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5E38F7F">
      <w:pPr>
        <w:spacing w:line="360" w:lineRule="auto"/>
        <w:jc w:val="center"/>
        <w:rPr>
          <w:rFonts w:ascii="Arial" w:hAnsi="Arial" w:cs="Arial"/>
          <w:b/>
          <w:bCs/>
          <w:sz w:val="28"/>
          <w:szCs w:val="28"/>
        </w:rPr>
      </w:pPr>
      <w:r>
        <w:rPr>
          <w:rFonts w:ascii="Arial" w:hAnsi="Arial" w:cs="Arial"/>
          <w:b/>
          <w:bCs/>
          <w:sz w:val="28"/>
          <w:szCs w:val="28"/>
        </w:rPr>
        <w:t>BSc (Hons) Health and Social Care</w:t>
      </w:r>
    </w:p>
    <w:p w14:paraId="358C7E62">
      <w:pPr>
        <w:spacing w:line="360" w:lineRule="auto"/>
        <w:jc w:val="center"/>
        <w:rPr>
          <w:rFonts w:ascii="Arial" w:hAnsi="Arial" w:cs="Arial"/>
          <w:b/>
          <w:bCs/>
          <w:sz w:val="28"/>
          <w:szCs w:val="28"/>
        </w:rPr>
      </w:pPr>
    </w:p>
    <w:p w14:paraId="7680A4B0">
      <w:pPr>
        <w:spacing w:line="360" w:lineRule="auto"/>
        <w:jc w:val="center"/>
        <w:rPr>
          <w:rFonts w:ascii="Arial" w:hAnsi="Arial" w:cs="Arial"/>
          <w:b/>
          <w:bCs/>
          <w:sz w:val="28"/>
          <w:szCs w:val="28"/>
        </w:rPr>
      </w:pPr>
      <w:r>
        <w:rPr>
          <w:rFonts w:ascii="Arial" w:hAnsi="Arial" w:cs="Arial"/>
          <w:b/>
          <w:bCs/>
          <w:sz w:val="28"/>
          <w:szCs w:val="28"/>
        </w:rPr>
        <w:t>Module: Introduction to Independent Research Skills (BMHP5019)</w:t>
      </w:r>
    </w:p>
    <w:p w14:paraId="3157DF3C">
      <w:pPr>
        <w:spacing w:line="360" w:lineRule="auto"/>
        <w:jc w:val="center"/>
        <w:rPr>
          <w:rFonts w:ascii="Arial" w:hAnsi="Arial" w:cs="Arial"/>
          <w:sz w:val="28"/>
          <w:szCs w:val="28"/>
        </w:rPr>
      </w:pPr>
    </w:p>
    <w:p w14:paraId="08BDA311">
      <w:pPr>
        <w:spacing w:line="360" w:lineRule="auto"/>
        <w:jc w:val="center"/>
        <w:rPr>
          <w:rFonts w:ascii="Arial" w:hAnsi="Arial" w:cs="Arial"/>
          <w:sz w:val="28"/>
          <w:szCs w:val="28"/>
        </w:rPr>
      </w:pPr>
      <w:r>
        <w:rPr>
          <w:rFonts w:ascii="Arial" w:hAnsi="Arial" w:cs="Arial"/>
          <w:b/>
          <w:bCs/>
          <w:sz w:val="28"/>
          <w:szCs w:val="28"/>
        </w:rPr>
        <w:t xml:space="preserve">Assessment title: </w:t>
      </w:r>
      <w:r>
        <w:rPr>
          <w:rFonts w:ascii="Arial" w:hAnsi="Arial" w:cs="Arial"/>
          <w:sz w:val="28"/>
          <w:szCs w:val="28"/>
        </w:rPr>
        <w:t xml:space="preserve">Assessment 1 - Research Proposal </w:t>
      </w:r>
    </w:p>
    <w:p w14:paraId="2EDEAE0B">
      <w:pPr>
        <w:spacing w:line="360" w:lineRule="auto"/>
        <w:rPr>
          <w:rFonts w:ascii="Arial" w:hAnsi="Arial" w:cs="Arial"/>
          <w:sz w:val="28"/>
          <w:szCs w:val="28"/>
        </w:rPr>
      </w:pPr>
    </w:p>
    <w:p w14:paraId="1AD185BB">
      <w:pPr>
        <w:spacing w:line="360" w:lineRule="auto"/>
        <w:rPr>
          <w:rFonts w:ascii="Arial" w:hAnsi="Arial" w:cs="Arial"/>
          <w:sz w:val="28"/>
          <w:szCs w:val="28"/>
        </w:rPr>
      </w:pPr>
    </w:p>
    <w:p w14:paraId="684DDF82">
      <w:pPr>
        <w:spacing w:line="360" w:lineRule="auto"/>
        <w:rPr>
          <w:rFonts w:hint="default" w:ascii="Arial" w:hAnsi="Arial" w:cs="Arial"/>
          <w:sz w:val="28"/>
          <w:szCs w:val="28"/>
          <w:lang w:val="en-GB"/>
        </w:rPr>
      </w:pPr>
      <w:r>
        <w:rPr>
          <w:rFonts w:ascii="Arial" w:hAnsi="Arial" w:cs="Arial"/>
          <w:b/>
          <w:bCs/>
          <w:sz w:val="28"/>
          <w:szCs w:val="28"/>
        </w:rPr>
        <w:t>Student ID</w:t>
      </w:r>
      <w:r>
        <w:rPr>
          <w:rFonts w:ascii="Arial" w:hAnsi="Arial" w:cs="Arial"/>
          <w:sz w:val="28"/>
          <w:szCs w:val="28"/>
        </w:rPr>
        <w:t xml:space="preserve">: </w:t>
      </w:r>
      <w:r>
        <w:rPr>
          <w:rFonts w:hint="default" w:ascii="Arial" w:hAnsi="Arial" w:cs="Arial"/>
          <w:sz w:val="28"/>
          <w:szCs w:val="28"/>
          <w:lang w:val="en-GB"/>
        </w:rPr>
        <w:t>2327272</w:t>
      </w:r>
    </w:p>
    <w:p w14:paraId="01D5D8DB">
      <w:pPr>
        <w:spacing w:line="360" w:lineRule="auto"/>
        <w:rPr>
          <w:rFonts w:ascii="Arial" w:hAnsi="Arial" w:cs="Arial"/>
          <w:sz w:val="28"/>
          <w:szCs w:val="28"/>
        </w:rPr>
      </w:pPr>
    </w:p>
    <w:p w14:paraId="638A4615">
      <w:pPr>
        <w:spacing w:line="360" w:lineRule="auto"/>
        <w:rPr>
          <w:rFonts w:hint="default" w:ascii="Arial" w:hAnsi="Arial" w:cs="Arial"/>
          <w:sz w:val="28"/>
          <w:szCs w:val="28"/>
          <w:lang w:val="en-GB"/>
        </w:rPr>
      </w:pPr>
      <w:r>
        <w:rPr>
          <w:rFonts w:ascii="Arial" w:hAnsi="Arial" w:cs="Arial"/>
          <w:b/>
          <w:bCs/>
          <w:sz w:val="28"/>
          <w:szCs w:val="28"/>
        </w:rPr>
        <w:t>Student Name</w:t>
      </w:r>
      <w:r>
        <w:rPr>
          <w:rFonts w:ascii="Arial" w:hAnsi="Arial" w:cs="Arial"/>
          <w:sz w:val="28"/>
          <w:szCs w:val="28"/>
        </w:rPr>
        <w:t xml:space="preserve">: </w:t>
      </w:r>
      <w:r>
        <w:rPr>
          <w:rFonts w:hint="default" w:ascii="Arial" w:hAnsi="Arial" w:cs="Arial"/>
          <w:sz w:val="28"/>
          <w:szCs w:val="28"/>
          <w:lang w:val="en-GB"/>
        </w:rPr>
        <w:t>Pavlin Enchev</w:t>
      </w:r>
    </w:p>
    <w:p w14:paraId="0CE6322E">
      <w:pPr>
        <w:spacing w:line="360" w:lineRule="auto"/>
        <w:rPr>
          <w:rFonts w:hint="default" w:ascii="Arial" w:hAnsi="Arial" w:cs="Arial"/>
          <w:sz w:val="28"/>
          <w:szCs w:val="28"/>
          <w:lang w:val="en-GB"/>
        </w:rPr>
      </w:pPr>
    </w:p>
    <w:p w14:paraId="0B04E018">
      <w:pPr>
        <w:spacing w:line="360" w:lineRule="auto"/>
        <w:rPr>
          <w:rFonts w:hint="default" w:ascii="Arial" w:hAnsi="Arial" w:cs="Arial"/>
          <w:sz w:val="28"/>
          <w:szCs w:val="28"/>
          <w:lang w:val="en-GB"/>
        </w:rPr>
      </w:pPr>
      <w:r>
        <w:rPr>
          <w:rFonts w:ascii="Arial" w:hAnsi="Arial" w:cs="Arial"/>
          <w:b/>
          <w:bCs/>
          <w:sz w:val="28"/>
          <w:szCs w:val="28"/>
        </w:rPr>
        <w:t>Date of submission</w:t>
      </w:r>
      <w:r>
        <w:rPr>
          <w:rFonts w:ascii="Arial" w:hAnsi="Arial" w:cs="Arial"/>
          <w:sz w:val="28"/>
          <w:szCs w:val="28"/>
        </w:rPr>
        <w:t xml:space="preserve">: </w:t>
      </w:r>
      <w:r>
        <w:rPr>
          <w:rFonts w:hint="default" w:ascii="Arial" w:hAnsi="Arial" w:cs="Arial"/>
          <w:sz w:val="28"/>
          <w:szCs w:val="28"/>
          <w:lang w:val="en-GB"/>
        </w:rPr>
        <w:t>12.03.2026</w:t>
      </w:r>
    </w:p>
    <w:p w14:paraId="5BD313B6">
      <w:pPr>
        <w:spacing w:line="360" w:lineRule="auto"/>
        <w:rPr>
          <w:rFonts w:ascii="Arial" w:hAnsi="Arial" w:cs="Arial"/>
          <w:sz w:val="22"/>
        </w:rPr>
      </w:pPr>
    </w:p>
    <w:p w14:paraId="07CF3A4D">
      <w:pPr>
        <w:spacing w:line="360" w:lineRule="auto"/>
        <w:rPr>
          <w:rFonts w:ascii="Arial" w:hAnsi="Arial" w:cs="Arial"/>
          <w:sz w:val="22"/>
        </w:rPr>
      </w:pPr>
      <w:r>
        <w:rPr>
          <w:rFonts w:ascii="Arial" w:hAnsi="Arial" w:cs="Arial"/>
          <w:sz w:val="22"/>
        </w:rPr>
        <w:br w:type="page"/>
      </w:r>
    </w:p>
    <w:sdt>
      <w:sdtPr>
        <w:rPr>
          <w:rFonts w:ascii="Times New Roman" w:hAnsi="Times New Roman" w:eastAsiaTheme="minorHAnsi" w:cstheme="minorBidi"/>
          <w:b w:val="0"/>
          <w:bCs w:val="0"/>
          <w:color w:val="auto"/>
          <w:sz w:val="24"/>
          <w:szCs w:val="22"/>
          <w:lang w:val="en-GB" w:eastAsia="en-US"/>
        </w:rPr>
        <w:id w:val="1298494794"/>
        <w:docPartObj>
          <w:docPartGallery w:val="Table of Contents"/>
          <w:docPartUnique/>
        </w:docPartObj>
      </w:sdtPr>
      <w:sdtEndPr>
        <w:rPr>
          <w:rFonts w:ascii="Times New Roman" w:hAnsi="Times New Roman" w:eastAsiaTheme="minorHAnsi" w:cstheme="minorBidi"/>
          <w:b w:val="0"/>
          <w:bCs w:val="0"/>
          <w:color w:val="auto"/>
          <w:sz w:val="24"/>
          <w:szCs w:val="22"/>
          <w:lang w:val="en-GB" w:eastAsia="en-US"/>
        </w:rPr>
      </w:sdtEndPr>
      <w:sdtContent>
        <w:p w14:paraId="2DFBDC09">
          <w:pPr>
            <w:pStyle w:val="21"/>
            <w:jc w:val="center"/>
            <w:rPr>
              <w:rFonts w:ascii="Arial" w:hAnsi="Arial" w:cs="Arial"/>
              <w:color w:val="auto"/>
              <w:sz w:val="22"/>
              <w:szCs w:val="22"/>
            </w:rPr>
          </w:pPr>
          <w:r>
            <w:rPr>
              <w:rFonts w:ascii="Arial" w:hAnsi="Arial" w:cs="Arial"/>
              <w:color w:val="auto"/>
              <w:sz w:val="22"/>
              <w:szCs w:val="22"/>
            </w:rPr>
            <w:t>Table of Contents</w:t>
          </w:r>
        </w:p>
        <w:p w14:paraId="3B6CE241">
          <w:pPr>
            <w:pStyle w:val="13"/>
            <w:tabs>
              <w:tab w:val="right" w:leader="dot" w:pos="9016"/>
            </w:tabs>
            <w:rPr>
              <w:rFonts w:ascii="Arial" w:hAnsi="Arial" w:cs="Arial"/>
              <w:sz w:val="22"/>
            </w:rPr>
          </w:pPr>
          <w:r>
            <w:rPr>
              <w:rFonts w:ascii="Arial" w:hAnsi="Arial" w:cs="Arial"/>
              <w:sz w:val="22"/>
            </w:rPr>
            <w:fldChar w:fldCharType="begin"/>
          </w:r>
          <w:r>
            <w:rPr>
              <w:rFonts w:ascii="Arial" w:hAnsi="Arial" w:cs="Arial"/>
              <w:sz w:val="22"/>
            </w:rPr>
            <w:instrText xml:space="preserve"> TOC \o "1-3" \h \z \u </w:instrText>
          </w:r>
          <w:r>
            <w:rPr>
              <w:rFonts w:ascii="Arial" w:hAnsi="Arial" w:cs="Arial"/>
              <w:sz w:val="22"/>
            </w:rPr>
            <w:fldChar w:fldCharType="separate"/>
          </w:r>
          <w:r>
            <w:fldChar w:fldCharType="begin"/>
          </w:r>
          <w:r>
            <w:instrText xml:space="preserve"> HYPERLINK \l "_Toc222751748" </w:instrText>
          </w:r>
          <w:r>
            <w:fldChar w:fldCharType="separate"/>
          </w:r>
          <w:r>
            <w:rPr>
              <w:rStyle w:val="10"/>
              <w:rFonts w:ascii="Arial" w:hAnsi="Arial" w:cs="Arial"/>
              <w:color w:val="auto"/>
              <w:sz w:val="22"/>
            </w:rPr>
            <w:t>The Key Factors that Determine the Placement of Children in UK Foster Care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_Toc222751748 \h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r>
            <w:rPr>
              <w:rFonts w:ascii="Arial" w:hAnsi="Arial" w:cs="Arial"/>
              <w:sz w:val="22"/>
            </w:rPr>
            <w:fldChar w:fldCharType="end"/>
          </w:r>
        </w:p>
        <w:p w14:paraId="5B30BD84">
          <w:pPr>
            <w:pStyle w:val="14"/>
            <w:tabs>
              <w:tab w:val="right" w:leader="dot" w:pos="9016"/>
            </w:tabs>
            <w:rPr>
              <w:rFonts w:ascii="Arial" w:hAnsi="Arial" w:cs="Arial"/>
              <w:sz w:val="22"/>
            </w:rPr>
          </w:pPr>
          <w:r>
            <w:fldChar w:fldCharType="begin"/>
          </w:r>
          <w:r>
            <w:instrText xml:space="preserve"> HYPERLINK \l "_Toc222751749" </w:instrText>
          </w:r>
          <w:r>
            <w:fldChar w:fldCharType="separate"/>
          </w:r>
          <w:r>
            <w:rPr>
              <w:rStyle w:val="10"/>
              <w:rFonts w:ascii="Arial" w:hAnsi="Arial" w:cs="Arial"/>
              <w:color w:val="auto"/>
              <w:sz w:val="22"/>
            </w:rPr>
            <w:t>Review Question</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_Toc222751749 \h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r>
            <w:rPr>
              <w:rFonts w:ascii="Arial" w:hAnsi="Arial" w:cs="Arial"/>
              <w:sz w:val="22"/>
            </w:rPr>
            <w:fldChar w:fldCharType="end"/>
          </w:r>
        </w:p>
        <w:p w14:paraId="77E34BFD">
          <w:pPr>
            <w:pStyle w:val="14"/>
            <w:tabs>
              <w:tab w:val="right" w:leader="dot" w:pos="9016"/>
            </w:tabs>
            <w:rPr>
              <w:rFonts w:ascii="Arial" w:hAnsi="Arial" w:cs="Arial"/>
              <w:sz w:val="22"/>
            </w:rPr>
          </w:pPr>
          <w:r>
            <w:fldChar w:fldCharType="begin"/>
          </w:r>
          <w:r>
            <w:instrText xml:space="preserve"> HYPERLINK \l "_Toc222751750" </w:instrText>
          </w:r>
          <w:r>
            <w:fldChar w:fldCharType="separate"/>
          </w:r>
          <w:r>
            <w:rPr>
              <w:rStyle w:val="10"/>
              <w:rFonts w:ascii="Arial" w:hAnsi="Arial" w:cs="Arial"/>
              <w:color w:val="auto"/>
              <w:sz w:val="22"/>
            </w:rPr>
            <w:t>Objectives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_Toc222751750 \h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r>
            <w:rPr>
              <w:rFonts w:ascii="Arial" w:hAnsi="Arial" w:cs="Arial"/>
              <w:sz w:val="22"/>
            </w:rPr>
            <w:fldChar w:fldCharType="end"/>
          </w:r>
        </w:p>
        <w:p w14:paraId="65E71D59">
          <w:pPr>
            <w:pStyle w:val="14"/>
            <w:tabs>
              <w:tab w:val="right" w:leader="dot" w:pos="9016"/>
            </w:tabs>
            <w:rPr>
              <w:rFonts w:ascii="Arial" w:hAnsi="Arial" w:cs="Arial"/>
              <w:sz w:val="22"/>
            </w:rPr>
          </w:pPr>
          <w:r>
            <w:fldChar w:fldCharType="begin"/>
          </w:r>
          <w:r>
            <w:instrText xml:space="preserve"> HYPERLINK \l "_Toc222751751" </w:instrText>
          </w:r>
          <w:r>
            <w:fldChar w:fldCharType="separate"/>
          </w:r>
          <w:r>
            <w:rPr>
              <w:rStyle w:val="10"/>
              <w:rFonts w:ascii="Arial" w:hAnsi="Arial" w:cs="Arial"/>
              <w:color w:val="auto"/>
              <w:sz w:val="22"/>
            </w:rPr>
            <w:t>Rationale</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_Toc222751751 \h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r>
            <w:rPr>
              <w:rFonts w:ascii="Arial" w:hAnsi="Arial" w:cs="Arial"/>
              <w:sz w:val="22"/>
            </w:rPr>
            <w:fldChar w:fldCharType="end"/>
          </w:r>
        </w:p>
        <w:p w14:paraId="6E5DC382">
          <w:pPr>
            <w:pStyle w:val="14"/>
            <w:tabs>
              <w:tab w:val="right" w:leader="dot" w:pos="9016"/>
            </w:tabs>
            <w:rPr>
              <w:rFonts w:ascii="Arial" w:hAnsi="Arial" w:cs="Arial"/>
              <w:sz w:val="22"/>
            </w:rPr>
          </w:pPr>
          <w:r>
            <w:fldChar w:fldCharType="begin"/>
          </w:r>
          <w:r>
            <w:instrText xml:space="preserve"> HYPERLINK \l "_Toc222751752" </w:instrText>
          </w:r>
          <w:r>
            <w:fldChar w:fldCharType="separate"/>
          </w:r>
          <w:r>
            <w:rPr>
              <w:rStyle w:val="10"/>
              <w:rFonts w:ascii="Arial" w:hAnsi="Arial" w:cs="Arial"/>
              <w:color w:val="auto"/>
              <w:sz w:val="22"/>
            </w:rPr>
            <w:t>Methods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_Toc222751752 \h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r>
            <w:rPr>
              <w:rFonts w:ascii="Arial" w:hAnsi="Arial" w:cs="Arial"/>
              <w:sz w:val="22"/>
            </w:rPr>
            <w:fldChar w:fldCharType="end"/>
          </w:r>
        </w:p>
        <w:p w14:paraId="1E224CD0">
          <w:pPr>
            <w:pStyle w:val="14"/>
            <w:tabs>
              <w:tab w:val="right" w:leader="dot" w:pos="9016"/>
            </w:tabs>
            <w:rPr>
              <w:rFonts w:ascii="Arial" w:hAnsi="Arial" w:cs="Arial"/>
              <w:sz w:val="22"/>
            </w:rPr>
          </w:pPr>
          <w:r>
            <w:fldChar w:fldCharType="begin"/>
          </w:r>
          <w:r>
            <w:instrText xml:space="preserve"> HYPERLINK \l "_Toc222751753" </w:instrText>
          </w:r>
          <w:r>
            <w:fldChar w:fldCharType="separate"/>
          </w:r>
          <w:r>
            <w:rPr>
              <w:rStyle w:val="10"/>
              <w:rFonts w:ascii="Arial" w:hAnsi="Arial" w:cs="Arial"/>
              <w:color w:val="auto"/>
              <w:sz w:val="22"/>
            </w:rPr>
            <w:t>Ethical considerations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_Toc222751753 \h </w:instrText>
          </w:r>
          <w:r>
            <w:rPr>
              <w:rFonts w:ascii="Arial" w:hAnsi="Arial" w:cs="Arial"/>
              <w:sz w:val="22"/>
            </w:rPr>
            <w:fldChar w:fldCharType="separate"/>
          </w:r>
          <w:r>
            <w:rPr>
              <w:rFonts w:ascii="Arial" w:hAnsi="Arial" w:cs="Arial"/>
              <w:sz w:val="22"/>
            </w:rPr>
            <w:t>4</w:t>
          </w:r>
          <w:r>
            <w:rPr>
              <w:rFonts w:ascii="Arial" w:hAnsi="Arial" w:cs="Arial"/>
              <w:sz w:val="22"/>
            </w:rPr>
            <w:fldChar w:fldCharType="end"/>
          </w:r>
          <w:r>
            <w:rPr>
              <w:rFonts w:ascii="Arial" w:hAnsi="Arial" w:cs="Arial"/>
              <w:sz w:val="22"/>
            </w:rPr>
            <w:fldChar w:fldCharType="end"/>
          </w:r>
        </w:p>
        <w:p w14:paraId="24E98156">
          <w:pPr>
            <w:pStyle w:val="13"/>
            <w:tabs>
              <w:tab w:val="right" w:leader="dot" w:pos="9016"/>
            </w:tabs>
            <w:rPr>
              <w:rFonts w:ascii="Arial" w:hAnsi="Arial" w:cs="Arial"/>
              <w:sz w:val="22"/>
            </w:rPr>
          </w:pPr>
          <w:r>
            <w:fldChar w:fldCharType="begin"/>
          </w:r>
          <w:r>
            <w:instrText xml:space="preserve"> HYPERLINK \l "_Toc222751754" </w:instrText>
          </w:r>
          <w:r>
            <w:fldChar w:fldCharType="separate"/>
          </w:r>
          <w:r>
            <w:rPr>
              <w:rStyle w:val="10"/>
              <w:rFonts w:ascii="Arial" w:hAnsi="Arial" w:cs="Arial"/>
              <w:color w:val="auto"/>
              <w:sz w:val="22"/>
            </w:rPr>
            <w:t>References</w:t>
          </w:r>
          <w:r>
            <w:rPr>
              <w:rFonts w:ascii="Arial" w:hAnsi="Arial" w:cs="Arial"/>
              <w:sz w:val="22"/>
            </w:rPr>
            <w:tab/>
          </w:r>
          <w:r>
            <w:rPr>
              <w:rFonts w:ascii="Arial" w:hAnsi="Arial" w:cs="Arial"/>
              <w:sz w:val="22"/>
            </w:rPr>
            <w:fldChar w:fldCharType="begin"/>
          </w:r>
          <w:r>
            <w:rPr>
              <w:rFonts w:ascii="Arial" w:hAnsi="Arial" w:cs="Arial"/>
              <w:sz w:val="22"/>
            </w:rPr>
            <w:instrText xml:space="preserve"> PAGEREF _Toc222751754 \h </w:instrText>
          </w:r>
          <w:r>
            <w:rPr>
              <w:rFonts w:ascii="Arial" w:hAnsi="Arial" w:cs="Arial"/>
              <w:sz w:val="22"/>
            </w:rPr>
            <w:fldChar w:fldCharType="separate"/>
          </w:r>
          <w:r>
            <w:rPr>
              <w:rFonts w:ascii="Arial" w:hAnsi="Arial" w:cs="Arial"/>
              <w:sz w:val="22"/>
            </w:rPr>
            <w:t>5</w:t>
          </w:r>
          <w:r>
            <w:rPr>
              <w:rFonts w:ascii="Arial" w:hAnsi="Arial" w:cs="Arial"/>
              <w:sz w:val="22"/>
            </w:rPr>
            <w:fldChar w:fldCharType="end"/>
          </w:r>
          <w:r>
            <w:rPr>
              <w:rFonts w:ascii="Arial" w:hAnsi="Arial" w:cs="Arial"/>
              <w:sz w:val="22"/>
            </w:rPr>
            <w:fldChar w:fldCharType="end"/>
          </w:r>
        </w:p>
        <w:p w14:paraId="32351525">
          <w:r>
            <w:rPr>
              <w:rFonts w:ascii="Arial" w:hAnsi="Arial" w:cs="Arial"/>
              <w:b/>
              <w:bCs/>
              <w:sz w:val="22"/>
            </w:rPr>
            <w:fldChar w:fldCharType="end"/>
          </w:r>
        </w:p>
      </w:sdtContent>
    </w:sdt>
    <w:p w14:paraId="23C3B489">
      <w:pPr>
        <w:rPr>
          <w:rFonts w:ascii="Arial" w:hAnsi="Arial" w:eastAsiaTheme="majorEastAsia" w:cstheme="majorBidi"/>
          <w:b/>
          <w:sz w:val="22"/>
        </w:rPr>
      </w:pPr>
      <w:r>
        <w:rPr>
          <w:sz w:val="22"/>
        </w:rPr>
        <w:br w:type="page"/>
      </w:r>
    </w:p>
    <w:p w14:paraId="03FD30D3">
      <w:pPr>
        <w:pStyle w:val="2"/>
        <w:rPr>
          <w:sz w:val="22"/>
        </w:rPr>
      </w:pPr>
      <w:bookmarkStart w:id="0" w:name="_Toc222751748"/>
      <w:r>
        <w:rPr>
          <w:sz w:val="22"/>
        </w:rPr>
        <w:t>The Key Factors that Determine the Placement of Children in UK Foster Care</w:t>
      </w:r>
      <w:bookmarkEnd w:id="0"/>
    </w:p>
    <w:p w14:paraId="40C7BB25">
      <w:pPr>
        <w:pStyle w:val="3"/>
      </w:pPr>
      <w:bookmarkStart w:id="1" w:name="_Toc222751749"/>
      <w:r>
        <w:t>Review Question</w:t>
      </w:r>
      <w:bookmarkEnd w:id="1"/>
    </w:p>
    <w:p w14:paraId="054B9726">
      <w:pPr>
        <w:pStyle w:val="20"/>
        <w:numPr>
          <w:ilvl w:val="0"/>
          <w:numId w:val="1"/>
        </w:numPr>
        <w:spacing w:line="360" w:lineRule="auto"/>
        <w:rPr>
          <w:rFonts w:ascii="Arial" w:hAnsi="Arial" w:cs="Arial"/>
          <w:sz w:val="22"/>
        </w:rPr>
      </w:pPr>
      <w:r>
        <w:rPr>
          <w:rFonts w:ascii="Arial" w:hAnsi="Arial" w:cs="Arial"/>
          <w:sz w:val="22"/>
        </w:rPr>
        <w:t>What are the main variables that affect placement stability within the UK’s foster care system?</w:t>
      </w:r>
    </w:p>
    <w:p w14:paraId="4C6858D8">
      <w:pPr>
        <w:pStyle w:val="20"/>
        <w:numPr>
          <w:ilvl w:val="0"/>
          <w:numId w:val="1"/>
        </w:numPr>
        <w:spacing w:line="360" w:lineRule="auto"/>
        <w:rPr>
          <w:rFonts w:ascii="Arial" w:hAnsi="Arial" w:cs="Arial"/>
          <w:sz w:val="22"/>
        </w:rPr>
      </w:pPr>
      <w:r>
        <w:rPr>
          <w:rFonts w:ascii="Arial" w:hAnsi="Arial" w:cs="Arial"/>
          <w:sz w:val="22"/>
        </w:rPr>
        <w:t>What are the implications of the identified factors on the foster children’s long-term stability and social and health outcomes?</w:t>
      </w:r>
    </w:p>
    <w:p w14:paraId="2B00F95C">
      <w:pPr>
        <w:pStyle w:val="3"/>
      </w:pPr>
      <w:bookmarkStart w:id="2" w:name="_Toc222751750"/>
      <w:r>
        <w:t>Objectives</w:t>
      </w:r>
      <w:bookmarkEnd w:id="2"/>
    </w:p>
    <w:p w14:paraId="166D1E1D">
      <w:pPr>
        <w:pStyle w:val="20"/>
        <w:numPr>
          <w:ilvl w:val="0"/>
          <w:numId w:val="2"/>
        </w:numPr>
        <w:spacing w:line="360" w:lineRule="auto"/>
        <w:rPr>
          <w:rFonts w:ascii="Arial" w:hAnsi="Arial" w:cs="Arial"/>
          <w:sz w:val="22"/>
        </w:rPr>
      </w:pPr>
      <w:r>
        <w:rPr>
          <w:rFonts w:ascii="Arial" w:hAnsi="Arial" w:cs="Arial"/>
          <w:sz w:val="22"/>
        </w:rPr>
        <w:t>To locate and conceptualise peer-reviewed research concentrating on child, carer, birth family, placement, and system-level variables within UK’s foster placement.</w:t>
      </w:r>
    </w:p>
    <w:p w14:paraId="413588B5">
      <w:pPr>
        <w:pStyle w:val="20"/>
        <w:numPr>
          <w:ilvl w:val="0"/>
          <w:numId w:val="2"/>
        </w:numPr>
        <w:spacing w:line="360" w:lineRule="auto"/>
        <w:rPr>
          <w:rFonts w:ascii="Arial" w:hAnsi="Arial" w:cs="Arial"/>
          <w:sz w:val="22"/>
        </w:rPr>
      </w:pPr>
      <w:r>
        <w:rPr>
          <w:rFonts w:ascii="Arial" w:hAnsi="Arial" w:cs="Arial"/>
          <w:sz w:val="22"/>
        </w:rPr>
        <w:t xml:space="preserve">To determine the risk and protective variables  that affect permanence outcomes. </w:t>
      </w:r>
    </w:p>
    <w:p w14:paraId="4DE92F51">
      <w:pPr>
        <w:pStyle w:val="20"/>
        <w:numPr>
          <w:ilvl w:val="0"/>
          <w:numId w:val="2"/>
        </w:numPr>
        <w:spacing w:line="360" w:lineRule="auto"/>
        <w:rPr>
          <w:rFonts w:ascii="Arial" w:hAnsi="Arial" w:cs="Arial"/>
          <w:sz w:val="22"/>
        </w:rPr>
      </w:pPr>
      <w:r>
        <w:rPr>
          <w:rFonts w:ascii="Arial" w:hAnsi="Arial" w:cs="Arial"/>
          <w:sz w:val="22"/>
        </w:rPr>
        <w:t>To examine social and health care implications, especially when it comes to professional practise and policy decisions.</w:t>
      </w:r>
    </w:p>
    <w:p w14:paraId="3AC96963">
      <w:pPr>
        <w:pStyle w:val="3"/>
      </w:pPr>
      <w:bookmarkStart w:id="3" w:name="_Toc222751751"/>
      <w:r>
        <w:t>Rationale</w:t>
      </w:r>
      <w:bookmarkEnd w:id="3"/>
    </w:p>
    <w:p w14:paraId="48B3D1A4">
      <w:pPr>
        <w:spacing w:line="360" w:lineRule="auto"/>
        <w:rPr>
          <w:rFonts w:ascii="Arial" w:hAnsi="Arial" w:cs="Arial"/>
          <w:sz w:val="22"/>
        </w:rPr>
      </w:pPr>
      <w:r>
        <w:rPr>
          <w:rFonts w:ascii="Arial" w:hAnsi="Arial" w:cs="Arial"/>
          <w:sz w:val="22"/>
        </w:rPr>
        <w:tab/>
      </w:r>
      <w:r>
        <w:rPr>
          <w:rFonts w:ascii="Arial" w:hAnsi="Arial" w:cs="Arial"/>
          <w:sz w:val="22"/>
        </w:rPr>
        <w:t>Hood et al. (2025) are among the strongest champions of foster children. The group postulates that those with complex needs experience different realities within the UK system. More importantly, instability heightens such difference with respect to their psychological and physical well-being (Hood et al., 2025). In Department for Education’s (2023) study, almost 20,000 found their way residential placements. Consequently, placement stability is a critical component of social work. More importantly, the likes of Akister et al. (2010) and Bergman et al. (2025) have demonstrated a link between instability and negative outcomes. More specifically, McGrath-Lone et al. (2020) reported a spike in the psychological challenges among minors who were assigned unstable out-of-home care in the UK. The primary challenges include higher incidences of self-harm and low academic performance. For Hood et al. (2005) about half of all foster placements lead to higher risks</w:t>
      </w:r>
    </w:p>
    <w:p w14:paraId="332E5A12">
      <w:pPr>
        <w:pStyle w:val="3"/>
      </w:pPr>
      <w:bookmarkStart w:id="4" w:name="_Toc222751752"/>
      <w:r>
        <w:t>Methods</w:t>
      </w:r>
      <w:bookmarkEnd w:id="4"/>
    </w:p>
    <w:p w14:paraId="08437629">
      <w:pPr>
        <w:spacing w:line="360" w:lineRule="auto"/>
        <w:ind w:firstLine="720"/>
        <w:rPr>
          <w:rFonts w:ascii="Arial" w:hAnsi="Arial" w:cs="Arial"/>
          <w:sz w:val="22"/>
        </w:rPr>
      </w:pPr>
      <w:r>
        <w:rPr>
          <w:rFonts w:ascii="Arial" w:hAnsi="Arial" w:cs="Arial"/>
          <w:sz w:val="22"/>
        </w:rPr>
        <w:t>A scoping review methodology is the most ideal for examining the current research questions and objectives. As part of the study, the researcher will systematically examine current peer-reviewed journals. With the help of conceptual maps, iterative internet searches will suffice. The primary keywords will revolve around foster placement risk variables, protective factors, interventions and outcomes (Jones et al., 2011).</w:t>
      </w:r>
    </w:p>
    <w:p w14:paraId="232DCC93">
      <w:pPr>
        <w:pStyle w:val="3"/>
      </w:pPr>
      <w:bookmarkStart w:id="5" w:name="_Toc222751753"/>
      <w:r>
        <w:t>Ethical considerations</w:t>
      </w:r>
      <w:bookmarkEnd w:id="5"/>
    </w:p>
    <w:p w14:paraId="64C3045A">
      <w:pPr>
        <w:spacing w:line="360" w:lineRule="auto"/>
        <w:ind w:firstLine="720"/>
        <w:rPr>
          <w:rFonts w:ascii="Arial" w:hAnsi="Arial" w:cs="Arial"/>
          <w:sz w:val="22"/>
        </w:rPr>
      </w:pPr>
      <w:r>
        <w:rPr>
          <w:rFonts w:ascii="Arial" w:hAnsi="Arial" w:cs="Arial"/>
          <w:sz w:val="22"/>
        </w:rPr>
        <w:t xml:space="preserve">Some of the greatest ethical dilemmas lie it the utility of existing secondary sources. Therefore, the project at no point directly involves the children whose welfare it sets out to study. The researcher has to operate within the ethical boundaries because the issue at hand integrates self-harm and mental health challenges among minors (Akister et al., 2010). </w:t>
      </w:r>
    </w:p>
    <w:p w14:paraId="32C49FA8">
      <w:pPr>
        <w:spacing w:line="360" w:lineRule="auto"/>
        <w:rPr>
          <w:rFonts w:ascii="Arial" w:hAnsi="Arial" w:cs="Arial"/>
          <w:sz w:val="22"/>
        </w:rPr>
      </w:pPr>
    </w:p>
    <w:p w14:paraId="376E10FA">
      <w:pPr>
        <w:rPr>
          <w:rFonts w:ascii="Arial" w:hAnsi="Arial" w:cs="Arial"/>
          <w:sz w:val="22"/>
        </w:rPr>
      </w:pPr>
    </w:p>
    <w:p w14:paraId="44ED918B">
      <w:pPr>
        <w:spacing w:line="360" w:lineRule="auto"/>
        <w:rPr>
          <w:rFonts w:ascii="Arial" w:hAnsi="Arial" w:cs="Arial"/>
          <w:sz w:val="22"/>
        </w:rPr>
      </w:pPr>
    </w:p>
    <w:p w14:paraId="602D39AC">
      <w:pPr>
        <w:spacing w:line="360" w:lineRule="auto"/>
        <w:rPr>
          <w:rFonts w:ascii="Arial" w:hAnsi="Arial" w:cs="Arial"/>
          <w:sz w:val="22"/>
        </w:rPr>
      </w:pPr>
    </w:p>
    <w:p w14:paraId="7D7C2A82">
      <w:pPr>
        <w:spacing w:line="360" w:lineRule="auto"/>
        <w:rPr>
          <w:rFonts w:ascii="Arial" w:hAnsi="Arial" w:cs="Arial"/>
          <w:sz w:val="22"/>
        </w:rPr>
      </w:pPr>
    </w:p>
    <w:p w14:paraId="4ECDA0BD">
      <w:pPr>
        <w:spacing w:line="360" w:lineRule="auto"/>
        <w:rPr>
          <w:rFonts w:ascii="Arial" w:hAnsi="Arial" w:cs="Arial"/>
          <w:sz w:val="22"/>
        </w:rPr>
      </w:pPr>
    </w:p>
    <w:p w14:paraId="449212CA">
      <w:pPr>
        <w:spacing w:line="360" w:lineRule="auto"/>
        <w:rPr>
          <w:rFonts w:ascii="Arial" w:hAnsi="Arial" w:cs="Arial"/>
          <w:sz w:val="22"/>
        </w:rPr>
      </w:pPr>
      <w:r>
        <w:rPr>
          <w:rFonts w:ascii="Arial" w:hAnsi="Arial" w:cs="Arial"/>
          <w:sz w:val="22"/>
        </w:rPr>
        <w:br w:type="page"/>
      </w:r>
    </w:p>
    <w:p w14:paraId="262C8CA3">
      <w:pPr>
        <w:pStyle w:val="2"/>
      </w:pPr>
      <w:bookmarkStart w:id="6" w:name="_Toc222751754"/>
      <w:r>
        <w:t>References</w:t>
      </w:r>
      <w:bookmarkEnd w:id="6"/>
    </w:p>
    <w:p w14:paraId="48A0993C">
      <w:pPr>
        <w:pStyle w:val="11"/>
        <w:spacing w:before="240" w:beforeAutospacing="0" w:after="240" w:afterAutospacing="0" w:line="360" w:lineRule="auto"/>
        <w:ind w:left="720" w:hanging="720"/>
        <w:rPr>
          <w:rFonts w:ascii="Arial" w:hAnsi="Arial" w:cs="Arial"/>
          <w:sz w:val="22"/>
          <w:szCs w:val="22"/>
        </w:rPr>
      </w:pPr>
      <w:r>
        <w:rPr>
          <w:rFonts w:ascii="Arial" w:hAnsi="Arial" w:cs="Arial"/>
          <w:color w:val="000000"/>
          <w:sz w:val="22"/>
          <w:szCs w:val="22"/>
        </w:rPr>
        <w:t xml:space="preserve">Akister, J., Owens, M. and Goodyer, I.M. (2010) ‘Children and young people in care: Mental health and service use’, </w:t>
      </w:r>
      <w:r>
        <w:rPr>
          <w:rFonts w:ascii="Arial" w:hAnsi="Arial" w:cs="Arial"/>
          <w:i/>
          <w:iCs/>
          <w:color w:val="000000"/>
          <w:sz w:val="22"/>
          <w:szCs w:val="22"/>
        </w:rPr>
        <w:t>Clinical Child Psychology and Psychiatry</w:t>
      </w:r>
      <w:r>
        <w:rPr>
          <w:rFonts w:ascii="Arial" w:hAnsi="Arial" w:cs="Arial"/>
          <w:color w:val="000000"/>
          <w:sz w:val="22"/>
          <w:szCs w:val="22"/>
        </w:rPr>
        <w:t>, 15(3), pp. 415–429.</w:t>
      </w:r>
    </w:p>
    <w:p w14:paraId="54236A03">
      <w:pPr>
        <w:pStyle w:val="11"/>
        <w:spacing w:before="240" w:beforeAutospacing="0" w:after="240" w:afterAutospacing="0" w:line="360" w:lineRule="auto"/>
        <w:ind w:left="720" w:hanging="720"/>
        <w:rPr>
          <w:rFonts w:ascii="Arial" w:hAnsi="Arial" w:cs="Arial"/>
          <w:sz w:val="22"/>
          <w:szCs w:val="22"/>
        </w:rPr>
      </w:pPr>
      <w:r>
        <w:rPr>
          <w:rFonts w:ascii="Arial" w:hAnsi="Arial" w:cs="Arial"/>
          <w:color w:val="000000"/>
          <w:sz w:val="22"/>
          <w:szCs w:val="22"/>
        </w:rPr>
        <w:t xml:space="preserve">Bergman, A-S., Bask, M., Engwall, K. and Järkestig Berggren, U. (2025) ‘Factors associated with stability for children in family foster care: A study of case files in six municipalities in Sweden’, </w:t>
      </w:r>
      <w:r>
        <w:rPr>
          <w:rFonts w:ascii="Arial" w:hAnsi="Arial" w:cs="Arial"/>
          <w:i/>
          <w:iCs/>
          <w:color w:val="000000"/>
          <w:sz w:val="22"/>
          <w:szCs w:val="22"/>
        </w:rPr>
        <w:t>Child &amp; Family Social Work</w:t>
      </w:r>
      <w:r>
        <w:rPr>
          <w:rFonts w:ascii="Arial" w:hAnsi="Arial" w:cs="Arial"/>
          <w:color w:val="000000"/>
          <w:sz w:val="22"/>
          <w:szCs w:val="22"/>
        </w:rPr>
        <w:t>, 30(3), pp. 377–386. Available at:</w:t>
      </w:r>
      <w:r>
        <w:fldChar w:fldCharType="begin"/>
      </w:r>
      <w:r>
        <w:instrText xml:space="preserve"> HYPERLINK "https://doi.org/10.1111/cfs.13176" </w:instrText>
      </w:r>
      <w:r>
        <w:fldChar w:fldCharType="separate"/>
      </w:r>
      <w:r>
        <w:rPr>
          <w:rStyle w:val="10"/>
          <w:rFonts w:ascii="Arial" w:hAnsi="Arial" w:cs="Arial" w:eastAsiaTheme="majorEastAsia"/>
          <w:color w:val="000000"/>
          <w:sz w:val="22"/>
          <w:szCs w:val="22"/>
        </w:rPr>
        <w:t xml:space="preserve"> </w:t>
      </w:r>
      <w:r>
        <w:rPr>
          <w:rStyle w:val="10"/>
          <w:rFonts w:ascii="Arial" w:hAnsi="Arial" w:cs="Arial" w:eastAsiaTheme="majorEastAsia"/>
          <w:color w:val="1155CC"/>
          <w:sz w:val="22"/>
          <w:szCs w:val="22"/>
        </w:rPr>
        <w:t>https://doi.org/10.1111/cfs.13176</w:t>
      </w:r>
      <w:r>
        <w:rPr>
          <w:rStyle w:val="10"/>
          <w:rFonts w:ascii="Arial" w:hAnsi="Arial" w:cs="Arial" w:eastAsiaTheme="majorEastAsia"/>
          <w:color w:val="1155CC"/>
          <w:sz w:val="22"/>
          <w:szCs w:val="22"/>
        </w:rPr>
        <w:fldChar w:fldCharType="end"/>
      </w:r>
    </w:p>
    <w:p w14:paraId="6DA6DF69">
      <w:pPr>
        <w:pStyle w:val="11"/>
        <w:spacing w:before="240" w:beforeAutospacing="0" w:after="240" w:afterAutospacing="0" w:line="360" w:lineRule="auto"/>
        <w:ind w:left="720" w:hanging="720"/>
        <w:rPr>
          <w:rFonts w:ascii="Arial" w:hAnsi="Arial" w:cs="Arial"/>
          <w:sz w:val="22"/>
          <w:szCs w:val="22"/>
        </w:rPr>
      </w:pPr>
      <w:r>
        <w:rPr>
          <w:rFonts w:ascii="Arial" w:hAnsi="Arial" w:cs="Arial"/>
          <w:color w:val="000000"/>
          <w:sz w:val="22"/>
          <w:szCs w:val="22"/>
        </w:rPr>
        <w:t xml:space="preserve">Department for Education (2023) </w:t>
      </w:r>
      <w:r>
        <w:rPr>
          <w:rFonts w:ascii="Arial" w:hAnsi="Arial" w:cs="Arial"/>
          <w:i/>
          <w:iCs/>
          <w:color w:val="000000"/>
          <w:sz w:val="22"/>
          <w:szCs w:val="22"/>
        </w:rPr>
        <w:t>Children looked after in England including adoption: 2022 to 2023</w:t>
      </w:r>
      <w:r>
        <w:rPr>
          <w:rFonts w:ascii="Arial" w:hAnsi="Arial" w:cs="Arial"/>
          <w:color w:val="000000"/>
          <w:sz w:val="22"/>
          <w:szCs w:val="22"/>
        </w:rPr>
        <w:t>. Available at:</w:t>
      </w:r>
      <w:r>
        <w:fldChar w:fldCharType="begin"/>
      </w:r>
      <w:r>
        <w:instrText xml:space="preserve"> HYPERLINK "https://explore-education-statistics.service.gov.uk/find-statistics/children-looked-after-in-england-including-adoptions/2023" </w:instrText>
      </w:r>
      <w:r>
        <w:fldChar w:fldCharType="separate"/>
      </w:r>
      <w:r>
        <w:rPr>
          <w:rStyle w:val="10"/>
          <w:rFonts w:ascii="Arial" w:hAnsi="Arial" w:cs="Arial" w:eastAsiaTheme="majorEastAsia"/>
          <w:color w:val="000000"/>
          <w:sz w:val="22"/>
          <w:szCs w:val="22"/>
        </w:rPr>
        <w:t xml:space="preserve"> </w:t>
      </w:r>
      <w:r>
        <w:rPr>
          <w:rStyle w:val="10"/>
          <w:rFonts w:ascii="Arial" w:hAnsi="Arial" w:cs="Arial" w:eastAsiaTheme="majorEastAsia"/>
          <w:color w:val="1155CC"/>
          <w:sz w:val="22"/>
          <w:szCs w:val="22"/>
        </w:rPr>
        <w:t>https://explore-education-statistics.service.gov.uk/find-statistics/children-looked-after-in-england-including-adoptions/2023</w:t>
      </w:r>
      <w:r>
        <w:rPr>
          <w:rStyle w:val="10"/>
          <w:rFonts w:ascii="Arial" w:hAnsi="Arial" w:cs="Arial" w:eastAsiaTheme="majorEastAsia"/>
          <w:color w:val="1155CC"/>
          <w:sz w:val="22"/>
          <w:szCs w:val="22"/>
        </w:rPr>
        <w:fldChar w:fldCharType="end"/>
      </w:r>
      <w:r>
        <w:rPr>
          <w:rFonts w:ascii="Arial" w:hAnsi="Arial" w:cs="Arial"/>
          <w:color w:val="000000"/>
          <w:sz w:val="22"/>
          <w:szCs w:val="22"/>
        </w:rPr>
        <w:t xml:space="preserve"> (Accessed: 22 February 2026).</w:t>
      </w:r>
    </w:p>
    <w:p w14:paraId="35D5B5AF">
      <w:pPr>
        <w:pStyle w:val="11"/>
        <w:spacing w:before="240" w:beforeAutospacing="0" w:after="240" w:afterAutospacing="0" w:line="360" w:lineRule="auto"/>
        <w:ind w:left="720" w:hanging="720"/>
        <w:rPr>
          <w:rFonts w:ascii="Arial" w:hAnsi="Arial" w:cs="Arial"/>
          <w:sz w:val="22"/>
          <w:szCs w:val="22"/>
        </w:rPr>
      </w:pPr>
      <w:r>
        <w:rPr>
          <w:rFonts w:ascii="Arial" w:hAnsi="Arial" w:cs="Arial"/>
          <w:color w:val="000000"/>
          <w:sz w:val="22"/>
          <w:szCs w:val="22"/>
        </w:rPr>
        <w:t xml:space="preserve">Hood, R., Goldacre, A., Martin, E., Jones, E., Coady, C., Clements, K. and Tempest, H. (2025) ‘What factors are associated with placement instability for children in children’s homes in England? A retrospective cohort analysis using national administrative data’, </w:t>
      </w:r>
      <w:r>
        <w:rPr>
          <w:rFonts w:ascii="Arial" w:hAnsi="Arial" w:cs="Arial"/>
          <w:i/>
          <w:iCs/>
          <w:color w:val="000000"/>
          <w:sz w:val="22"/>
          <w:szCs w:val="22"/>
        </w:rPr>
        <w:t>The British Journal of Social Work</w:t>
      </w:r>
      <w:r>
        <w:rPr>
          <w:rFonts w:ascii="Arial" w:hAnsi="Arial" w:cs="Arial"/>
          <w:color w:val="000000"/>
          <w:sz w:val="22"/>
          <w:szCs w:val="22"/>
        </w:rPr>
        <w:t>, bcaf236. Available at:</w:t>
      </w:r>
      <w:r>
        <w:fldChar w:fldCharType="begin"/>
      </w:r>
      <w:r>
        <w:instrText xml:space="preserve"> HYPERLINK "https://doi.org/10.1093/bjsw/bcaf236" </w:instrText>
      </w:r>
      <w:r>
        <w:fldChar w:fldCharType="separate"/>
      </w:r>
      <w:r>
        <w:rPr>
          <w:rStyle w:val="10"/>
          <w:rFonts w:ascii="Arial" w:hAnsi="Arial" w:cs="Arial" w:eastAsiaTheme="majorEastAsia"/>
          <w:color w:val="000000"/>
          <w:sz w:val="22"/>
          <w:szCs w:val="22"/>
        </w:rPr>
        <w:t xml:space="preserve"> </w:t>
      </w:r>
      <w:r>
        <w:rPr>
          <w:rStyle w:val="10"/>
          <w:rFonts w:ascii="Arial" w:hAnsi="Arial" w:cs="Arial" w:eastAsiaTheme="majorEastAsia"/>
          <w:color w:val="1155CC"/>
          <w:sz w:val="22"/>
          <w:szCs w:val="22"/>
        </w:rPr>
        <w:t>https://doi.org/10.1093/bjsw/bcaf236</w:t>
      </w:r>
      <w:r>
        <w:rPr>
          <w:rStyle w:val="10"/>
          <w:rFonts w:ascii="Arial" w:hAnsi="Arial" w:cs="Arial" w:eastAsiaTheme="majorEastAsia"/>
          <w:color w:val="1155CC"/>
          <w:sz w:val="22"/>
          <w:szCs w:val="22"/>
        </w:rPr>
        <w:fldChar w:fldCharType="end"/>
      </w:r>
    </w:p>
    <w:p w14:paraId="62A7BBAF">
      <w:pPr>
        <w:pStyle w:val="11"/>
        <w:spacing w:before="240" w:beforeAutospacing="0" w:after="240" w:afterAutospacing="0" w:line="360" w:lineRule="auto"/>
        <w:ind w:left="720" w:hanging="720"/>
        <w:rPr>
          <w:rFonts w:ascii="Arial" w:hAnsi="Arial" w:cs="Arial"/>
          <w:sz w:val="22"/>
          <w:szCs w:val="22"/>
        </w:rPr>
      </w:pPr>
      <w:r>
        <w:rPr>
          <w:rFonts w:ascii="Arial" w:hAnsi="Arial" w:cs="Arial"/>
          <w:color w:val="000000"/>
          <w:sz w:val="22"/>
          <w:szCs w:val="22"/>
        </w:rPr>
        <w:t xml:space="preserve">Jones, R., Everson-Hock, E.S., Papaioannou, D., Guillaume, L., Goyder, E., Chilcott, J., Cooke, J., Payne, N., Duenas, A., Sheppard, L.M. and Swann, C. (2011) ‘Factors associated with outcomes for looked-after children and young people: A correlates review of the literature’, </w:t>
      </w:r>
      <w:r>
        <w:rPr>
          <w:rFonts w:ascii="Arial" w:hAnsi="Arial" w:cs="Arial"/>
          <w:i/>
          <w:iCs/>
          <w:color w:val="000000"/>
          <w:sz w:val="22"/>
          <w:szCs w:val="22"/>
        </w:rPr>
        <w:t>Child: Care, Health and Development</w:t>
      </w:r>
      <w:r>
        <w:rPr>
          <w:rFonts w:ascii="Arial" w:hAnsi="Arial" w:cs="Arial"/>
          <w:color w:val="000000"/>
          <w:sz w:val="22"/>
          <w:szCs w:val="22"/>
        </w:rPr>
        <w:t>, 37(5), pp. 613–622. Available at: https://doi.org/10.1111/j.1365-2214.2011.01226.x</w:t>
      </w:r>
    </w:p>
    <w:p w14:paraId="5BC91157">
      <w:pPr>
        <w:pStyle w:val="11"/>
        <w:spacing w:before="240" w:beforeAutospacing="0" w:after="240" w:afterAutospacing="0" w:line="360" w:lineRule="auto"/>
        <w:ind w:left="720" w:hanging="720"/>
        <w:rPr>
          <w:rFonts w:ascii="Arial" w:hAnsi="Arial" w:cs="Arial"/>
          <w:sz w:val="22"/>
        </w:rPr>
      </w:pPr>
      <w:bookmarkStart w:id="7" w:name="_GoBack"/>
      <w:bookmarkEnd w:id="7"/>
    </w:p>
    <w:sectPr>
      <w:headerReference r:id="rId5" w:type="default"/>
      <w:footerReference r:id="rId6" w:type="default"/>
      <w:pgSz w:w="11906" w:h="16838"/>
      <w:pgMar w:top="1440" w:right="1440" w:bottom="1440" w:left="1440" w:header="709" w:footer="709"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等线 Light">
    <w:altName w:val="Yu Gothic"/>
    <w:panose1 w:val="00000000000000000000"/>
    <w:charset w:val="80"/>
    <w:family w:val="roman"/>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libri Light">
    <w:panose1 w:val="020F0302020204030204"/>
    <w:charset w:val="00"/>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 w:name="Yu Gothic">
    <w:panose1 w:val="020B0400000000000000"/>
    <w:charset w:val="80"/>
    <w:family w:val="auto"/>
    <w:pitch w:val="default"/>
    <w:sig w:usb0="E00002FF" w:usb1="2AC7FDFF" w:usb2="00000016" w:usb3="00000000" w:csb0="2002009F"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07048174"/>
      <w:docPartObj>
        <w:docPartGallery w:val="autotext"/>
      </w:docPartObj>
    </w:sdtPr>
    <w:sdtEndPr>
      <w:rPr>
        <w:rFonts w:ascii="Arial" w:hAnsi="Arial" w:cs="Arial"/>
        <w:sz w:val="22"/>
      </w:rPr>
    </w:sdtEndPr>
    <w:sdtContent>
      <w:p w14:paraId="4459FC94">
        <w:pPr>
          <w:pStyle w:val="8"/>
          <w:jc w:val="center"/>
          <w:rPr>
            <w:rFonts w:ascii="Arial" w:hAnsi="Arial" w:cs="Arial"/>
            <w:sz w:val="22"/>
          </w:rPr>
        </w:pPr>
        <w:r>
          <w:rPr>
            <w:rFonts w:ascii="Arial" w:hAnsi="Arial" w:cs="Arial"/>
            <w:sz w:val="22"/>
          </w:rPr>
          <w:fldChar w:fldCharType="begin"/>
        </w:r>
        <w:r>
          <w:rPr>
            <w:rFonts w:ascii="Arial" w:hAnsi="Arial" w:cs="Arial"/>
            <w:sz w:val="22"/>
          </w:rPr>
          <w:instrText xml:space="preserve"> PAGE   \* MERGEFORMAT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p>
    </w:sdtContent>
  </w:sdt>
  <w:p w14:paraId="0C825DF6">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Arial" w:hAnsi="Arial" w:cs="Arial"/>
        <w:sz w:val="22"/>
      </w:rPr>
      <w:id w:val="-1430649000"/>
      <w:docPartObj>
        <w:docPartGallery w:val="autotext"/>
      </w:docPartObj>
    </w:sdtPr>
    <w:sdtEndPr>
      <w:rPr>
        <w:rFonts w:ascii="Arial" w:hAnsi="Arial" w:cs="Arial"/>
        <w:sz w:val="22"/>
      </w:rPr>
    </w:sdtEndPr>
    <w:sdtContent>
      <w:p w14:paraId="750A7C69">
        <w:pPr>
          <w:pStyle w:val="9"/>
          <w:jc w:val="right"/>
          <w:rPr>
            <w:rFonts w:ascii="Arial" w:hAnsi="Arial" w:cs="Arial"/>
            <w:sz w:val="22"/>
          </w:rPr>
        </w:pPr>
        <w:r>
          <w:rPr>
            <w:rFonts w:ascii="Arial" w:hAnsi="Arial" w:cs="Arial"/>
            <w:sz w:val="22"/>
          </w:rPr>
          <w:fldChar w:fldCharType="begin"/>
        </w:r>
        <w:r>
          <w:rPr>
            <w:rFonts w:ascii="Arial" w:hAnsi="Arial" w:cs="Arial"/>
            <w:sz w:val="22"/>
          </w:rPr>
          <w:instrText xml:space="preserve"> PAGE   \* MERGEFORMAT </w:instrText>
        </w:r>
        <w:r>
          <w:rPr>
            <w:rFonts w:ascii="Arial" w:hAnsi="Arial" w:cs="Arial"/>
            <w:sz w:val="22"/>
          </w:rPr>
          <w:fldChar w:fldCharType="separate"/>
        </w:r>
        <w:r>
          <w:rPr>
            <w:rFonts w:ascii="Arial" w:hAnsi="Arial" w:cs="Arial"/>
            <w:sz w:val="22"/>
          </w:rPr>
          <w:t>3</w:t>
        </w:r>
        <w:r>
          <w:rPr>
            <w:rFonts w:ascii="Arial" w:hAnsi="Arial" w:cs="Arial"/>
            <w:sz w:val="22"/>
          </w:rPr>
          <w:fldChar w:fldCharType="end"/>
        </w:r>
      </w:p>
    </w:sdtContent>
  </w:sdt>
  <w:p w14:paraId="2566A734">
    <w:pPr>
      <w:pStyle w:val="9"/>
      <w:rPr>
        <w:rFonts w:ascii="Arial" w:hAnsi="Arial" w:cs="Arial"/>
        <w:sz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01F0008"/>
    <w:multiLevelType w:val="multilevel"/>
    <w:tmpl w:val="201F0008"/>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nsid w:val="6C3208D3"/>
    <w:multiLevelType w:val="multilevel"/>
    <w:tmpl w:val="6C3208D3"/>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15990"/>
    <w:rsid w:val="0002065D"/>
    <w:rsid w:val="00041A5A"/>
    <w:rsid w:val="000A5161"/>
    <w:rsid w:val="000B7CD5"/>
    <w:rsid w:val="001117A6"/>
    <w:rsid w:val="001E7C14"/>
    <w:rsid w:val="00216C85"/>
    <w:rsid w:val="00260277"/>
    <w:rsid w:val="00273EDD"/>
    <w:rsid w:val="002A15DA"/>
    <w:rsid w:val="002C3965"/>
    <w:rsid w:val="00321C4C"/>
    <w:rsid w:val="003A220F"/>
    <w:rsid w:val="003B5B7F"/>
    <w:rsid w:val="003D4C35"/>
    <w:rsid w:val="0047673E"/>
    <w:rsid w:val="004903AA"/>
    <w:rsid w:val="004E6C3B"/>
    <w:rsid w:val="00545684"/>
    <w:rsid w:val="005A52C7"/>
    <w:rsid w:val="0061260B"/>
    <w:rsid w:val="00715990"/>
    <w:rsid w:val="00784670"/>
    <w:rsid w:val="00866B7B"/>
    <w:rsid w:val="008B1247"/>
    <w:rsid w:val="008E5015"/>
    <w:rsid w:val="009C7C42"/>
    <w:rsid w:val="009D1D1E"/>
    <w:rsid w:val="00A035FD"/>
    <w:rsid w:val="00A63B28"/>
    <w:rsid w:val="00AD0E8D"/>
    <w:rsid w:val="00AE6D5D"/>
    <w:rsid w:val="00B032D6"/>
    <w:rsid w:val="00B32F94"/>
    <w:rsid w:val="00C503D4"/>
    <w:rsid w:val="00D769F0"/>
    <w:rsid w:val="00DD4745"/>
    <w:rsid w:val="00E614D4"/>
    <w:rsid w:val="00ED3B94"/>
    <w:rsid w:val="00F278D4"/>
    <w:rsid w:val="00FB5A2C"/>
    <w:rsid w:val="00FF5B70"/>
    <w:rsid w:val="64455054"/>
    <w:rsid w:val="66BF53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sz w:val="24"/>
      <w:szCs w:val="22"/>
      <w:lang w:val="en-GB" w:eastAsia="en-US" w:bidi="ar-SA"/>
    </w:rPr>
  </w:style>
  <w:style w:type="paragraph" w:styleId="2">
    <w:name w:val="heading 1"/>
    <w:basedOn w:val="1"/>
    <w:next w:val="1"/>
    <w:link w:val="15"/>
    <w:autoRedefine/>
    <w:qFormat/>
    <w:uiPriority w:val="9"/>
    <w:pPr>
      <w:keepNext/>
      <w:keepLines/>
      <w:spacing w:before="240" w:after="0" w:line="360" w:lineRule="auto"/>
      <w:jc w:val="center"/>
      <w:outlineLvl w:val="0"/>
    </w:pPr>
    <w:rPr>
      <w:rFonts w:ascii="Arial" w:hAnsi="Arial" w:eastAsiaTheme="majorEastAsia" w:cstheme="majorBidi"/>
      <w:b/>
      <w:sz w:val="28"/>
    </w:rPr>
  </w:style>
  <w:style w:type="paragraph" w:styleId="3">
    <w:name w:val="heading 2"/>
    <w:basedOn w:val="1"/>
    <w:next w:val="1"/>
    <w:link w:val="16"/>
    <w:autoRedefine/>
    <w:unhideWhenUsed/>
    <w:qFormat/>
    <w:uiPriority w:val="9"/>
    <w:pPr>
      <w:keepNext/>
      <w:keepLines/>
      <w:spacing w:before="40" w:after="0" w:line="360" w:lineRule="auto"/>
      <w:outlineLvl w:val="1"/>
    </w:pPr>
    <w:rPr>
      <w:rFonts w:ascii="Arial" w:hAnsi="Arial" w:cs="Arial" w:eastAsiaTheme="majorEastAsia"/>
      <w:b/>
      <w:bCs/>
      <w:sz w:val="22"/>
    </w:rPr>
  </w:style>
  <w:style w:type="paragraph" w:styleId="4">
    <w:name w:val="heading 3"/>
    <w:basedOn w:val="1"/>
    <w:link w:val="17"/>
    <w:autoRedefine/>
    <w:qFormat/>
    <w:uiPriority w:val="9"/>
    <w:pPr>
      <w:spacing w:before="100" w:beforeAutospacing="1" w:after="100" w:afterAutospacing="1" w:line="240" w:lineRule="auto"/>
      <w:outlineLvl w:val="2"/>
    </w:pPr>
    <w:rPr>
      <w:rFonts w:ascii="Arial" w:hAnsi="Arial" w:eastAsia="Times New Roman" w:cs="Times New Roman"/>
      <w:b/>
      <w:bCs/>
      <w:szCs w:val="27"/>
      <w:lang w:eastAsia="en-GB"/>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styleId="7">
    <w:name w:val="Balloon Text"/>
    <w:basedOn w:val="1"/>
    <w:link w:val="22"/>
    <w:semiHidden/>
    <w:unhideWhenUsed/>
    <w:qFormat/>
    <w:uiPriority w:val="99"/>
    <w:pPr>
      <w:spacing w:after="0" w:line="240" w:lineRule="auto"/>
    </w:pPr>
    <w:rPr>
      <w:rFonts w:ascii="Tahoma" w:hAnsi="Tahoma" w:cs="Tahoma"/>
      <w:sz w:val="16"/>
      <w:szCs w:val="16"/>
    </w:rPr>
  </w:style>
  <w:style w:type="paragraph" w:styleId="8">
    <w:name w:val="footer"/>
    <w:basedOn w:val="1"/>
    <w:link w:val="19"/>
    <w:unhideWhenUsed/>
    <w:qFormat/>
    <w:uiPriority w:val="99"/>
    <w:pPr>
      <w:tabs>
        <w:tab w:val="center" w:pos="4513"/>
        <w:tab w:val="right" w:pos="9026"/>
      </w:tabs>
      <w:spacing w:after="0" w:line="240" w:lineRule="auto"/>
    </w:pPr>
  </w:style>
  <w:style w:type="paragraph" w:styleId="9">
    <w:name w:val="header"/>
    <w:basedOn w:val="1"/>
    <w:link w:val="18"/>
    <w:unhideWhenUsed/>
    <w:uiPriority w:val="99"/>
    <w:pPr>
      <w:tabs>
        <w:tab w:val="center" w:pos="4513"/>
        <w:tab w:val="right" w:pos="9026"/>
      </w:tabs>
      <w:spacing w:after="0" w:line="240" w:lineRule="auto"/>
    </w:pPr>
  </w:style>
  <w:style w:type="character" w:styleId="10">
    <w:name w:val="Hyperlink"/>
    <w:basedOn w:val="5"/>
    <w:unhideWhenUsed/>
    <w:qFormat/>
    <w:uiPriority w:val="99"/>
    <w:rPr>
      <w:color w:val="0000FF"/>
      <w:u w:val="single"/>
    </w:rPr>
  </w:style>
  <w:style w:type="paragraph" w:styleId="11">
    <w:name w:val="Normal (Web)"/>
    <w:basedOn w:val="1"/>
    <w:unhideWhenUsed/>
    <w:uiPriority w:val="99"/>
    <w:pPr>
      <w:spacing w:before="100" w:beforeAutospacing="1" w:after="100" w:afterAutospacing="1" w:line="240" w:lineRule="auto"/>
    </w:pPr>
    <w:rPr>
      <w:rFonts w:eastAsia="Times New Roman" w:cs="Times New Roman"/>
      <w:szCs w:val="24"/>
      <w:lang w:eastAsia="en-GB"/>
    </w:rPr>
  </w:style>
  <w:style w:type="table" w:styleId="12">
    <w:name w:val="Table Grid"/>
    <w:basedOn w:val="6"/>
    <w:qFormat/>
    <w:uiPriority w:val="39"/>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40"/>
    </w:pPr>
  </w:style>
  <w:style w:type="character" w:customStyle="1" w:styleId="15">
    <w:name w:val="Heading 1 Char"/>
    <w:basedOn w:val="5"/>
    <w:link w:val="2"/>
    <w:uiPriority w:val="9"/>
    <w:rPr>
      <w:rFonts w:ascii="Arial" w:hAnsi="Arial" w:eastAsiaTheme="majorEastAsia" w:cstheme="majorBidi"/>
      <w:b/>
      <w:sz w:val="28"/>
    </w:rPr>
  </w:style>
  <w:style w:type="character" w:customStyle="1" w:styleId="16">
    <w:name w:val="Heading 2 Char"/>
    <w:basedOn w:val="5"/>
    <w:link w:val="3"/>
    <w:qFormat/>
    <w:uiPriority w:val="9"/>
    <w:rPr>
      <w:rFonts w:ascii="Arial" w:hAnsi="Arial" w:cs="Arial" w:eastAsiaTheme="majorEastAsia"/>
      <w:b/>
      <w:bCs/>
      <w:sz w:val="22"/>
    </w:rPr>
  </w:style>
  <w:style w:type="character" w:customStyle="1" w:styleId="17">
    <w:name w:val="Heading 3 Char"/>
    <w:basedOn w:val="5"/>
    <w:link w:val="4"/>
    <w:uiPriority w:val="9"/>
    <w:rPr>
      <w:rFonts w:ascii="Arial" w:hAnsi="Arial" w:eastAsia="Times New Roman" w:cs="Times New Roman"/>
      <w:b/>
      <w:bCs/>
      <w:szCs w:val="27"/>
      <w:lang w:eastAsia="en-GB"/>
    </w:rPr>
  </w:style>
  <w:style w:type="character" w:customStyle="1" w:styleId="18">
    <w:name w:val="Header Char"/>
    <w:basedOn w:val="5"/>
    <w:link w:val="9"/>
    <w:qFormat/>
    <w:uiPriority w:val="99"/>
  </w:style>
  <w:style w:type="character" w:customStyle="1" w:styleId="19">
    <w:name w:val="Footer Char"/>
    <w:basedOn w:val="5"/>
    <w:link w:val="8"/>
    <w:qFormat/>
    <w:uiPriority w:val="99"/>
  </w:style>
  <w:style w:type="paragraph" w:styleId="20">
    <w:name w:val="List Paragraph"/>
    <w:basedOn w:val="1"/>
    <w:qFormat/>
    <w:uiPriority w:val="34"/>
    <w:pPr>
      <w:ind w:left="720"/>
      <w:contextualSpacing/>
    </w:pPr>
  </w:style>
  <w:style w:type="paragraph" w:customStyle="1" w:styleId="21">
    <w:name w:val="TOC Heading"/>
    <w:basedOn w:val="2"/>
    <w:next w:val="1"/>
    <w:semiHidden/>
    <w:unhideWhenUsed/>
    <w:qFormat/>
    <w:uiPriority w:val="39"/>
    <w:pPr>
      <w:spacing w:before="480" w:line="276" w:lineRule="auto"/>
      <w:jc w:val="left"/>
      <w:outlineLvl w:val="9"/>
    </w:pPr>
    <w:rPr>
      <w:rFonts w:asciiTheme="majorHAnsi" w:hAnsiTheme="majorHAnsi"/>
      <w:bCs/>
      <w:color w:val="2F5597" w:themeColor="accent1" w:themeShade="BF"/>
      <w:szCs w:val="28"/>
      <w:lang w:val="en-US" w:eastAsia="ja-JP"/>
    </w:rPr>
  </w:style>
  <w:style w:type="character" w:customStyle="1" w:styleId="22">
    <w:name w:val="Balloon Text Char"/>
    <w:basedOn w:val="5"/>
    <w:link w:val="7"/>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F6D8FC-E63D-44B0-83F4-F7164271D252}">
  <ds:schemaRefs/>
</ds:datastoreItem>
</file>

<file path=docProps/app.xml><?xml version="1.0" encoding="utf-8"?>
<Properties xmlns="http://schemas.openxmlformats.org/officeDocument/2006/extended-properties" xmlns:vt="http://schemas.openxmlformats.org/officeDocument/2006/docPropsVTypes">
  <Template>Normal</Template>
  <Pages>5</Pages>
  <Words>959</Words>
  <Characters>5471</Characters>
  <Lines>45</Lines>
  <Paragraphs>12</Paragraphs>
  <TotalTime>84</TotalTime>
  <ScaleCrop>false</ScaleCrop>
  <LinksUpToDate>false</LinksUpToDate>
  <CharactersWithSpaces>6418</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2022-10-08T13:19:00Z</dcterms:created>
  <dc:creator>Eleni Koutsogeorgou</dc:creator>
  <cp:lastModifiedBy>pavlin enchev</cp:lastModifiedBy>
  <dcterms:modified xsi:type="dcterms:W3CDTF">2026-02-26T15:01:31Z</dcterms:modified>
  <cp:revision>15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8E291E7D19044F0199F3870C29CECF25_12</vt:lpwstr>
  </property>
</Properties>
</file>