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3EF5D9C3" w14:textId="77777777" w:rsidR="003655E8" w:rsidRPr="003655E8" w:rsidRDefault="003655E8" w:rsidP="003655E8">
            <w:pPr>
              <w:overflowPunct/>
              <w:autoSpaceDE/>
              <w:autoSpaceDN/>
              <w:adjustRightInd/>
              <w:ind w:right="-957"/>
              <w:textAlignment w:val="auto"/>
              <w:rPr>
                <w:rFonts w:ascii="Times New Roman" w:hAnsi="Times New Roman" w:cs="Times New Roman"/>
                <w:b/>
                <w:color w:val="auto"/>
                <w:sz w:val="48"/>
              </w:rPr>
            </w:pPr>
            <w:r w:rsidRPr="003655E8">
              <w:rPr>
                <w:rFonts w:ascii="Times New Roman" w:hAnsi="Times New Roman" w:cs="Times New Roman"/>
                <w:b/>
                <w:color w:val="auto"/>
                <w:sz w:val="48"/>
              </w:rPr>
              <w:t xml:space="preserve">Learner’s name: </w:t>
            </w:r>
            <w:r w:rsidRPr="003655E8">
              <w:rPr>
                <w:rFonts w:ascii="Times New Roman" w:hAnsi="Times New Roman" w:cs="Times New Roman"/>
                <w:bCs/>
                <w:color w:val="auto"/>
                <w:sz w:val="40"/>
                <w:szCs w:val="40"/>
              </w:rPr>
              <w:t>Lauren McCauley</w:t>
            </w:r>
          </w:p>
          <w:p w14:paraId="78AFE833" w14:textId="77777777" w:rsidR="003655E8" w:rsidRPr="003655E8" w:rsidRDefault="003655E8" w:rsidP="003655E8">
            <w:pPr>
              <w:overflowPunct/>
              <w:autoSpaceDE/>
              <w:autoSpaceDN/>
              <w:adjustRightInd/>
              <w:ind w:right="-957"/>
              <w:textAlignment w:val="auto"/>
              <w:rPr>
                <w:rFonts w:ascii="Times New Roman" w:hAnsi="Times New Roman" w:cs="Times New Roman"/>
                <w:b/>
                <w:color w:val="auto"/>
                <w:sz w:val="48"/>
              </w:rPr>
            </w:pPr>
          </w:p>
          <w:p w14:paraId="0F6BEEFB" w14:textId="77777777" w:rsidR="003655E8" w:rsidRPr="003655E8" w:rsidRDefault="003655E8" w:rsidP="003655E8">
            <w:pPr>
              <w:overflowPunct/>
              <w:autoSpaceDE/>
              <w:autoSpaceDN/>
              <w:adjustRightInd/>
              <w:ind w:right="-957"/>
              <w:textAlignment w:val="auto"/>
              <w:rPr>
                <w:rFonts w:ascii="Times New Roman" w:hAnsi="Times New Roman" w:cs="Times New Roman"/>
                <w:bCs/>
                <w:color w:val="auto"/>
                <w:sz w:val="40"/>
                <w:szCs w:val="40"/>
              </w:rPr>
            </w:pPr>
            <w:r w:rsidRPr="003655E8">
              <w:rPr>
                <w:rFonts w:ascii="Times New Roman" w:hAnsi="Times New Roman" w:cs="Times New Roman"/>
                <w:b/>
                <w:color w:val="auto"/>
                <w:sz w:val="48"/>
              </w:rPr>
              <w:t xml:space="preserve">Email address: </w:t>
            </w:r>
            <w:hyperlink r:id="rId11" w:history="1">
              <w:r w:rsidRPr="003655E8">
                <w:rPr>
                  <w:rFonts w:ascii="Times New Roman" w:hAnsi="Times New Roman" w:cs="Times New Roman"/>
                  <w:bCs/>
                  <w:color w:val="0000FF"/>
                  <w:sz w:val="40"/>
                  <w:szCs w:val="40"/>
                  <w:u w:val="single"/>
                </w:rPr>
                <w:t>lauren.mccauley@flintshire.gov.uk</w:t>
              </w:r>
            </w:hyperlink>
            <w:r w:rsidRPr="003655E8">
              <w:rPr>
                <w:rFonts w:ascii="Times New Roman" w:hAnsi="Times New Roman" w:cs="Times New Roman"/>
                <w:bCs/>
                <w:color w:val="auto"/>
                <w:sz w:val="40"/>
                <w:szCs w:val="40"/>
              </w:rPr>
              <w:t xml:space="preserve"> / </w:t>
            </w:r>
          </w:p>
          <w:p w14:paraId="3ABBCFCD" w14:textId="77777777" w:rsidR="003655E8" w:rsidRPr="003655E8" w:rsidRDefault="00234A49" w:rsidP="003655E8">
            <w:pPr>
              <w:overflowPunct/>
              <w:autoSpaceDE/>
              <w:autoSpaceDN/>
              <w:adjustRightInd/>
              <w:ind w:right="-957"/>
              <w:textAlignment w:val="auto"/>
              <w:rPr>
                <w:rFonts w:ascii="Times New Roman" w:hAnsi="Times New Roman" w:cs="Times New Roman"/>
                <w:b/>
                <w:color w:val="auto"/>
                <w:sz w:val="48"/>
              </w:rPr>
            </w:pPr>
            <w:hyperlink r:id="rId12" w:history="1">
              <w:r w:rsidR="003655E8" w:rsidRPr="003655E8">
                <w:rPr>
                  <w:rFonts w:ascii="Times New Roman" w:hAnsi="Times New Roman" w:cs="Times New Roman"/>
                  <w:bCs/>
                  <w:color w:val="0000FF"/>
                  <w:sz w:val="40"/>
                  <w:szCs w:val="40"/>
                  <w:u w:val="single"/>
                </w:rPr>
                <w:t>Lauren_mccauley00@hotmail.com</w:t>
              </w:r>
            </w:hyperlink>
            <w:r w:rsidR="003655E8" w:rsidRPr="003655E8">
              <w:rPr>
                <w:rFonts w:ascii="Times New Roman" w:hAnsi="Times New Roman" w:cs="Times New Roman"/>
                <w:b/>
                <w:color w:val="auto"/>
                <w:sz w:val="40"/>
                <w:szCs w:val="40"/>
              </w:rPr>
              <w:t xml:space="preserve"> </w:t>
            </w:r>
          </w:p>
          <w:p w14:paraId="521FC34A" w14:textId="77777777" w:rsidR="003655E8" w:rsidRPr="003655E8" w:rsidRDefault="003655E8" w:rsidP="003655E8">
            <w:pPr>
              <w:overflowPunct/>
              <w:autoSpaceDE/>
              <w:autoSpaceDN/>
              <w:adjustRightInd/>
              <w:ind w:right="-957"/>
              <w:textAlignment w:val="auto"/>
              <w:rPr>
                <w:rFonts w:ascii="Times New Roman" w:hAnsi="Times New Roman" w:cs="Times New Roman"/>
                <w:b/>
                <w:color w:val="auto"/>
                <w:sz w:val="48"/>
              </w:rPr>
            </w:pPr>
          </w:p>
          <w:p w14:paraId="2793C33A" w14:textId="77777777" w:rsidR="003655E8" w:rsidRPr="003655E8" w:rsidRDefault="003655E8" w:rsidP="003655E8">
            <w:pPr>
              <w:overflowPunct/>
              <w:autoSpaceDE/>
              <w:autoSpaceDN/>
              <w:adjustRightInd/>
              <w:ind w:right="-957"/>
              <w:textAlignment w:val="auto"/>
              <w:rPr>
                <w:rFonts w:ascii="Times New Roman" w:hAnsi="Times New Roman" w:cs="Times New Roman"/>
                <w:b/>
                <w:color w:val="auto"/>
                <w:sz w:val="48"/>
              </w:rPr>
            </w:pPr>
            <w:r w:rsidRPr="003655E8">
              <w:rPr>
                <w:rFonts w:ascii="Times New Roman" w:hAnsi="Times New Roman" w:cs="Times New Roman"/>
                <w:b/>
                <w:color w:val="auto"/>
                <w:sz w:val="48"/>
              </w:rPr>
              <w:t>Learner’s University Registration Number:</w:t>
            </w:r>
          </w:p>
          <w:p w14:paraId="6AB55DA3" w14:textId="77777777" w:rsidR="003655E8" w:rsidRPr="003655E8" w:rsidRDefault="003655E8" w:rsidP="003655E8">
            <w:pPr>
              <w:overflowPunct/>
              <w:autoSpaceDE/>
              <w:autoSpaceDN/>
              <w:adjustRightInd/>
              <w:ind w:right="-957"/>
              <w:textAlignment w:val="auto"/>
              <w:rPr>
                <w:rFonts w:ascii="Times New Roman" w:hAnsi="Times New Roman" w:cs="Times New Roman"/>
                <w:bCs/>
                <w:color w:val="auto"/>
                <w:sz w:val="40"/>
                <w:szCs w:val="40"/>
              </w:rPr>
            </w:pPr>
            <w:r w:rsidRPr="003655E8">
              <w:rPr>
                <w:rFonts w:ascii="Times New Roman" w:hAnsi="Times New Roman" w:cs="Times New Roman"/>
                <w:bCs/>
                <w:color w:val="auto"/>
                <w:sz w:val="40"/>
                <w:szCs w:val="40"/>
              </w:rPr>
              <w:t>2127608</w:t>
            </w:r>
          </w:p>
          <w:p w14:paraId="4AD620B0" w14:textId="77777777" w:rsidR="003655E8" w:rsidRPr="003655E8" w:rsidRDefault="003655E8" w:rsidP="003655E8">
            <w:pPr>
              <w:overflowPunct/>
              <w:autoSpaceDE/>
              <w:autoSpaceDN/>
              <w:adjustRightInd/>
              <w:ind w:right="-957"/>
              <w:textAlignment w:val="auto"/>
              <w:rPr>
                <w:rFonts w:ascii="Times New Roman" w:hAnsi="Times New Roman" w:cs="Times New Roman"/>
                <w:b/>
                <w:color w:val="auto"/>
                <w:sz w:val="48"/>
              </w:rPr>
            </w:pPr>
          </w:p>
          <w:p w14:paraId="13B0DE0D" w14:textId="77777777" w:rsidR="003655E8" w:rsidRPr="003655E8" w:rsidRDefault="003655E8" w:rsidP="003655E8">
            <w:pPr>
              <w:overflowPunct/>
              <w:autoSpaceDE/>
              <w:autoSpaceDN/>
              <w:adjustRightInd/>
              <w:spacing w:after="160" w:line="259" w:lineRule="auto"/>
              <w:textAlignment w:val="auto"/>
              <w:rPr>
                <w:rFonts w:asciiTheme="minorHAnsi" w:hAnsiTheme="minorHAnsi" w:cs="Times New Roman"/>
                <w:color w:val="auto"/>
                <w:sz w:val="22"/>
                <w:szCs w:val="22"/>
                <w:lang w:eastAsia="en-US"/>
              </w:rPr>
            </w:pPr>
            <w:r w:rsidRPr="003655E8">
              <w:rPr>
                <w:rFonts w:ascii="Times New Roman" w:hAnsi="Times New Roman" w:cs="Times New Roman"/>
                <w:b/>
                <w:color w:val="auto"/>
                <w:sz w:val="48"/>
              </w:rPr>
              <w:t>Cohort: 18 onwards</w:t>
            </w:r>
          </w:p>
          <w:p w14:paraId="5F84129B" w14:textId="28C111CA"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03435199" w14:textId="77777777" w:rsidR="003655E8"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71C7D00B" w14:textId="77777777" w:rsidR="003655E8" w:rsidRDefault="003655E8" w:rsidP="00FF7EBB">
            <w:pPr>
              <w:jc w:val="both"/>
              <w:rPr>
                <w:sz w:val="24"/>
                <w:szCs w:val="24"/>
              </w:rPr>
            </w:pPr>
          </w:p>
          <w:p w14:paraId="2BD37D80" w14:textId="77777777" w:rsidR="003655E8" w:rsidRDefault="003655E8" w:rsidP="003655E8">
            <w:pPr>
              <w:rPr>
                <w:color w:val="auto"/>
                <w:sz w:val="24"/>
                <w:szCs w:val="24"/>
              </w:rPr>
            </w:pPr>
            <w:r w:rsidRPr="00D63D05">
              <w:rPr>
                <w:color w:val="auto"/>
                <w:sz w:val="24"/>
                <w:szCs w:val="24"/>
              </w:rPr>
              <w:t>I am able to evidence an understanding of safeguarding within adults social services due to having a social work placement at an adults Learning Disability team. Before qualifying I also worked as a support worker within residential homes for adults with mental health, learning disabilities and autism.</w:t>
            </w:r>
          </w:p>
          <w:p w14:paraId="23942C39" w14:textId="6B825F47" w:rsidR="003655E8" w:rsidRPr="00D63D05" w:rsidRDefault="003655E8" w:rsidP="003655E8">
            <w:pPr>
              <w:rPr>
                <w:color w:val="auto"/>
                <w:sz w:val="24"/>
                <w:szCs w:val="24"/>
              </w:rPr>
            </w:pPr>
            <w:r w:rsidRPr="00D63D05">
              <w:rPr>
                <w:color w:val="auto"/>
                <w:sz w:val="24"/>
                <w:szCs w:val="24"/>
              </w:rPr>
              <w:t xml:space="preserve"> </w:t>
            </w:r>
          </w:p>
          <w:p w14:paraId="06714B7F" w14:textId="77777777" w:rsidR="003655E8" w:rsidRPr="00D63D05" w:rsidRDefault="003655E8" w:rsidP="003655E8">
            <w:pPr>
              <w:rPr>
                <w:color w:val="auto"/>
                <w:sz w:val="24"/>
                <w:szCs w:val="24"/>
              </w:rPr>
            </w:pPr>
            <w:r w:rsidRPr="00D63D05">
              <w:rPr>
                <w:color w:val="auto"/>
                <w:sz w:val="24"/>
                <w:szCs w:val="24"/>
              </w:rPr>
              <w:t xml:space="preserve">I have worked with individuals who have been under a Community Treatment Order, (CTO). (Mental Health Act,1983) This order was created so that individuals who had been detained under the Mental Health Act, 1983 can begin to transition into the community. Part of their order was that if individuals displayed concerning behaviour they could be re-called into Hospital. This would be faster than if the individual were not subject to a CTO. (MHA, 1983. Part 2 s.17a) This is in place to enable fast action in safeguarding adults. </w:t>
            </w:r>
          </w:p>
          <w:p w14:paraId="4369F0DF" w14:textId="7F8C159B" w:rsidR="003655E8" w:rsidRPr="00D63D05" w:rsidRDefault="003655E8" w:rsidP="003655E8">
            <w:pPr>
              <w:spacing w:before="240"/>
              <w:rPr>
                <w:color w:val="auto"/>
                <w:sz w:val="24"/>
                <w:szCs w:val="24"/>
              </w:rPr>
            </w:pPr>
            <w:r w:rsidRPr="00D63D05">
              <w:rPr>
                <w:color w:val="auto"/>
                <w:sz w:val="24"/>
                <w:szCs w:val="24"/>
              </w:rPr>
              <w:t>I have worked with individuals who have displayed concerning behaviour and have needed to have been detained under the Mental Health Act, 1983. This occurred when working in Wales. The organization I worked for followed their safeguarding policy which was ‘’developed in accordance with the principles established by the relevant statutory guidance and best practice around safeguarding children and adults’’. The National Autistic Society Overarching Safeguarding Policy, 2015. Within this policy is the use of DBS (Disclosure and Barring Service) checks. DBS checks are used to safeguard vulnerable groups of people who need to be protected in either their home, residential setting, school or day centre setting. These checks assist in ensuring that the most suitable people are appointed to roles working with these vulnerable groups. This is by identifying any risk of harm the potential volunteer/employer may present to vulnerable people. (Disclosure and Barring service, 2023).</w:t>
            </w:r>
          </w:p>
          <w:p w14:paraId="524A7B85" w14:textId="77777777" w:rsidR="003655E8" w:rsidRPr="00D63D05" w:rsidRDefault="003655E8" w:rsidP="003655E8">
            <w:pPr>
              <w:rPr>
                <w:color w:val="auto"/>
                <w:sz w:val="24"/>
                <w:szCs w:val="24"/>
              </w:rPr>
            </w:pPr>
          </w:p>
          <w:p w14:paraId="0E71755C" w14:textId="77777777" w:rsidR="003655E8" w:rsidRPr="00D63D05" w:rsidRDefault="003655E8" w:rsidP="003655E8">
            <w:pPr>
              <w:rPr>
                <w:b/>
                <w:color w:val="auto"/>
                <w:sz w:val="24"/>
                <w:szCs w:val="24"/>
              </w:rPr>
            </w:pPr>
            <w:r w:rsidRPr="00D63D05">
              <w:rPr>
                <w:color w:val="auto"/>
                <w:sz w:val="24"/>
                <w:szCs w:val="24"/>
              </w:rPr>
              <w:t xml:space="preserve">An individual who was living in their own home had transitioned there from a hospital stay. I was part of a small staff team which provided 24 hours of care on 2:1 basis. As a team we identified that the individual was not coping in the community and presented as a risk to </w:t>
            </w:r>
            <w:r w:rsidRPr="00D63D05">
              <w:rPr>
                <w:color w:val="auto"/>
                <w:sz w:val="24"/>
                <w:szCs w:val="24"/>
              </w:rPr>
              <w:lastRenderedPageBreak/>
              <w:t xml:space="preserve">herself and other people. The crisis team where contacted by senior staff who shared that under the Mental Health Act, 1983 it was necessary that the individual was assessed. </w:t>
            </w:r>
          </w:p>
          <w:p w14:paraId="31B00E4F" w14:textId="77777777" w:rsidR="003655E8" w:rsidRDefault="003655E8" w:rsidP="003655E8">
            <w:pPr>
              <w:rPr>
                <w:color w:val="auto"/>
                <w:sz w:val="24"/>
                <w:szCs w:val="24"/>
              </w:rPr>
            </w:pPr>
            <w:r w:rsidRPr="00D63D05">
              <w:rPr>
                <w:color w:val="auto"/>
                <w:sz w:val="24"/>
                <w:szCs w:val="24"/>
              </w:rPr>
              <w:t xml:space="preserve">As a result of the assessment the individual was detained initially for 28 days as per a section 2 (MHA, 1983). However we were informed that the individual was later assessed and detained under Section 3 (MHA, 1983). </w:t>
            </w:r>
          </w:p>
          <w:p w14:paraId="3C25C94E" w14:textId="77777777" w:rsidR="003655E8" w:rsidRPr="00D63D05" w:rsidRDefault="003655E8" w:rsidP="003655E8">
            <w:pPr>
              <w:rPr>
                <w:color w:val="auto"/>
                <w:sz w:val="24"/>
                <w:szCs w:val="24"/>
              </w:rPr>
            </w:pPr>
          </w:p>
          <w:p w14:paraId="10A881B1" w14:textId="406D38F0" w:rsidR="003655E8" w:rsidRDefault="003655E8" w:rsidP="003655E8">
            <w:pPr>
              <w:rPr>
                <w:color w:val="auto"/>
                <w:sz w:val="24"/>
                <w:szCs w:val="24"/>
              </w:rPr>
            </w:pPr>
            <w:r w:rsidRPr="00D63D05">
              <w:rPr>
                <w:color w:val="auto"/>
                <w:sz w:val="24"/>
                <w:szCs w:val="24"/>
              </w:rPr>
              <w:t>As a support worker for a young adult with learning disabilities I contributed to making referrals to the Local Adults Learning Disability team. This was following a disclosure being made by the individual we were caring for, the allegation was of a sexual nature. The allocated social worker visited the individual’s home and wanted to speak to them regarding her disclosure. The social worker then spoke to the staff team. Further to this a Learning Disability nurse visited to have a conversation with the individual using</w:t>
            </w:r>
            <w:r>
              <w:rPr>
                <w:color w:val="auto"/>
                <w:sz w:val="24"/>
                <w:szCs w:val="24"/>
              </w:rPr>
              <w:t xml:space="preserve"> tailored</w:t>
            </w:r>
            <w:r w:rsidRPr="00D63D05">
              <w:rPr>
                <w:color w:val="auto"/>
                <w:sz w:val="24"/>
                <w:szCs w:val="24"/>
              </w:rPr>
              <w:t xml:space="preserve"> </w:t>
            </w:r>
          </w:p>
          <w:p w14:paraId="4A21B5E7" w14:textId="3C923013" w:rsidR="003655E8" w:rsidRDefault="003655E8" w:rsidP="003655E8">
            <w:pPr>
              <w:rPr>
                <w:color w:val="auto"/>
                <w:sz w:val="24"/>
                <w:szCs w:val="24"/>
              </w:rPr>
            </w:pPr>
            <w:r w:rsidRPr="00D63D05">
              <w:rPr>
                <w:color w:val="auto"/>
                <w:sz w:val="24"/>
                <w:szCs w:val="24"/>
              </w:rPr>
              <w:t>Communication</w:t>
            </w:r>
            <w:r>
              <w:rPr>
                <w:color w:val="auto"/>
                <w:sz w:val="24"/>
                <w:szCs w:val="24"/>
              </w:rPr>
              <w:t xml:space="preserve"> method</w:t>
            </w:r>
            <w:r w:rsidRPr="00D63D05">
              <w:rPr>
                <w:color w:val="auto"/>
                <w:sz w:val="24"/>
                <w:szCs w:val="24"/>
              </w:rPr>
              <w:t>s.</w:t>
            </w:r>
          </w:p>
          <w:p w14:paraId="05F1BBE4" w14:textId="77777777" w:rsidR="003655E8" w:rsidRPr="00D63D05" w:rsidRDefault="003655E8" w:rsidP="003655E8">
            <w:pPr>
              <w:rPr>
                <w:color w:val="auto"/>
                <w:sz w:val="24"/>
                <w:szCs w:val="24"/>
              </w:rPr>
            </w:pPr>
          </w:p>
          <w:p w14:paraId="0A4C4A85" w14:textId="77777777" w:rsidR="003655E8" w:rsidRPr="00D63D05" w:rsidRDefault="003655E8" w:rsidP="003655E8">
            <w:pPr>
              <w:rPr>
                <w:color w:val="auto"/>
                <w:sz w:val="24"/>
                <w:szCs w:val="24"/>
              </w:rPr>
            </w:pPr>
            <w:r w:rsidRPr="00D63D05">
              <w:rPr>
                <w:color w:val="auto"/>
                <w:sz w:val="24"/>
                <w:szCs w:val="24"/>
              </w:rPr>
              <w:t>Word Count 491</w:t>
            </w:r>
          </w:p>
          <w:p w14:paraId="17A49383" w14:textId="489E08E3"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F4CD0CA" w14:textId="77777777" w:rsidR="00E23819" w:rsidRDefault="00E23819" w:rsidP="00FC0334">
            <w:pPr>
              <w:jc w:val="both"/>
              <w:rPr>
                <w:sz w:val="24"/>
                <w:szCs w:val="24"/>
              </w:rPr>
            </w:pPr>
          </w:p>
          <w:p w14:paraId="1EB26434" w14:textId="77777777" w:rsidR="00E23819" w:rsidRPr="00E23819" w:rsidRDefault="00E23819" w:rsidP="00E23819">
            <w:pPr>
              <w:overflowPunct/>
              <w:autoSpaceDE/>
              <w:autoSpaceDN/>
              <w:adjustRightInd/>
              <w:spacing w:after="160" w:line="259" w:lineRule="auto"/>
              <w:textAlignment w:val="auto"/>
              <w:rPr>
                <w:rFonts w:eastAsia="Calibri"/>
                <w:color w:val="auto"/>
                <w:sz w:val="24"/>
                <w:szCs w:val="24"/>
                <w:lang w:val="en-US" w:eastAsia="en-US"/>
              </w:rPr>
            </w:pPr>
            <w:r w:rsidRPr="00E23819">
              <w:rPr>
                <w:rFonts w:eastAsia="Calibri"/>
                <w:color w:val="auto"/>
                <w:sz w:val="24"/>
                <w:szCs w:val="24"/>
                <w:lang w:val="en-US" w:eastAsia="en-US"/>
              </w:rPr>
              <w:t>Within my role as a Child Protection social worker practicing in Wales, my practice is guided by the Social Services and Well Being Act (2014).</w:t>
            </w:r>
          </w:p>
          <w:p w14:paraId="3CBAD597" w14:textId="77777777" w:rsidR="00E23819" w:rsidRPr="00E23819" w:rsidRDefault="00E23819" w:rsidP="00E23819">
            <w:pPr>
              <w:overflowPunct/>
              <w:autoSpaceDE/>
              <w:autoSpaceDN/>
              <w:adjustRightInd/>
              <w:spacing w:after="160" w:line="259" w:lineRule="auto"/>
              <w:textAlignment w:val="auto"/>
              <w:rPr>
                <w:rFonts w:eastAsia="Calibri"/>
                <w:color w:val="auto"/>
                <w:sz w:val="24"/>
                <w:szCs w:val="24"/>
                <w:lang w:val="en-US" w:eastAsia="en-US"/>
              </w:rPr>
            </w:pPr>
            <w:r w:rsidRPr="00E23819">
              <w:rPr>
                <w:rFonts w:eastAsia="Calibri"/>
                <w:color w:val="auto"/>
                <w:sz w:val="24"/>
                <w:szCs w:val="24"/>
                <w:lang w:val="en-US" w:eastAsia="en-US"/>
              </w:rPr>
              <w:t>The main legislation used by Local Authorities in Wales to safeguard adults and children is the Social Services and Well Being Act, 2014 (SSWB).  In an overview of the Act written by Social Care Wales (2017) it shares that the act addresses concerns and gaps in service which were highlighted in The White Paper, Sustainable Social Services for Wales: A Framework for Action, 2011.  These were;</w:t>
            </w:r>
          </w:p>
          <w:p w14:paraId="66A0CC42" w14:textId="77777777" w:rsidR="00E23819" w:rsidRPr="00E23819" w:rsidRDefault="00E23819" w:rsidP="00E23819">
            <w:pPr>
              <w:numPr>
                <w:ilvl w:val="0"/>
                <w:numId w:val="54"/>
              </w:numPr>
              <w:overflowPunct/>
              <w:autoSpaceDE/>
              <w:autoSpaceDN/>
              <w:adjustRightInd/>
              <w:spacing w:after="160" w:line="259" w:lineRule="auto"/>
              <w:contextualSpacing/>
              <w:textAlignment w:val="auto"/>
              <w:rPr>
                <w:rFonts w:eastAsia="Calibri"/>
                <w:color w:val="auto"/>
                <w:sz w:val="24"/>
                <w:szCs w:val="24"/>
                <w:lang w:val="en-US" w:eastAsia="en-US"/>
              </w:rPr>
            </w:pPr>
            <w:r w:rsidRPr="00E23819">
              <w:rPr>
                <w:rFonts w:eastAsia="Calibri"/>
                <w:color w:val="auto"/>
                <w:sz w:val="24"/>
                <w:szCs w:val="24"/>
                <w:lang w:val="en-US" w:eastAsia="en-US"/>
              </w:rPr>
              <w:t xml:space="preserve">demographic changes, </w:t>
            </w:r>
          </w:p>
          <w:p w14:paraId="41C8E7FA" w14:textId="77777777" w:rsidR="00E23819" w:rsidRPr="00E23819" w:rsidRDefault="00E23819" w:rsidP="00E23819">
            <w:pPr>
              <w:numPr>
                <w:ilvl w:val="0"/>
                <w:numId w:val="54"/>
              </w:numPr>
              <w:overflowPunct/>
              <w:autoSpaceDE/>
              <w:autoSpaceDN/>
              <w:adjustRightInd/>
              <w:spacing w:after="160" w:line="259" w:lineRule="auto"/>
              <w:contextualSpacing/>
              <w:textAlignment w:val="auto"/>
              <w:rPr>
                <w:rFonts w:eastAsia="Calibri"/>
                <w:color w:val="auto"/>
                <w:sz w:val="24"/>
                <w:szCs w:val="24"/>
                <w:lang w:val="en-US" w:eastAsia="en-US"/>
              </w:rPr>
            </w:pPr>
            <w:r w:rsidRPr="00E23819">
              <w:rPr>
                <w:rFonts w:eastAsia="Calibri"/>
                <w:color w:val="auto"/>
                <w:sz w:val="24"/>
                <w:szCs w:val="24"/>
                <w:lang w:val="en-US" w:eastAsia="en-US"/>
              </w:rPr>
              <w:t xml:space="preserve">increased expectations from those who access care and support </w:t>
            </w:r>
          </w:p>
          <w:p w14:paraId="53784027" w14:textId="77777777" w:rsidR="00E23819" w:rsidRPr="00E23819" w:rsidRDefault="00E23819" w:rsidP="00E23819">
            <w:pPr>
              <w:numPr>
                <w:ilvl w:val="0"/>
                <w:numId w:val="54"/>
              </w:numPr>
              <w:overflowPunct/>
              <w:autoSpaceDE/>
              <w:autoSpaceDN/>
              <w:adjustRightInd/>
              <w:spacing w:after="160" w:line="259" w:lineRule="auto"/>
              <w:contextualSpacing/>
              <w:textAlignment w:val="auto"/>
              <w:rPr>
                <w:rFonts w:eastAsia="Calibri"/>
                <w:color w:val="auto"/>
                <w:sz w:val="24"/>
                <w:szCs w:val="24"/>
                <w:lang w:val="en-US" w:eastAsia="en-US"/>
              </w:rPr>
            </w:pPr>
            <w:r w:rsidRPr="00E23819">
              <w:rPr>
                <w:rFonts w:eastAsia="Calibri"/>
                <w:color w:val="auto"/>
                <w:sz w:val="24"/>
                <w:szCs w:val="24"/>
                <w:lang w:val="en-US" w:eastAsia="en-US"/>
              </w:rPr>
              <w:t>Continuing hard economic realities.</w:t>
            </w:r>
          </w:p>
          <w:p w14:paraId="47420C4F" w14:textId="77777777" w:rsidR="00E23819" w:rsidRPr="00E23819" w:rsidRDefault="00E23819" w:rsidP="00E23819">
            <w:pPr>
              <w:overflowPunct/>
              <w:autoSpaceDE/>
              <w:autoSpaceDN/>
              <w:adjustRightInd/>
              <w:spacing w:after="160" w:line="259" w:lineRule="auto"/>
              <w:textAlignment w:val="auto"/>
              <w:rPr>
                <w:rFonts w:eastAsia="Calibri"/>
                <w:color w:val="auto"/>
                <w:sz w:val="24"/>
                <w:szCs w:val="24"/>
                <w:lang w:val="en-US" w:eastAsia="en-US"/>
              </w:rPr>
            </w:pPr>
            <w:r w:rsidRPr="00E23819">
              <w:rPr>
                <w:rFonts w:eastAsia="Calibri"/>
                <w:color w:val="auto"/>
                <w:sz w:val="24"/>
                <w:szCs w:val="24"/>
                <w:lang w:val="en-US" w:eastAsia="en-US"/>
              </w:rPr>
              <w:lastRenderedPageBreak/>
              <w:t xml:space="preserve">This overview does not state if these gaps in service relate more to Childrens or Adults social work. However it is unlikely that the Children who I work with will have higher expectations in the Care and Support they receive, it is more likely that their parents will have higher expectations. I have had conversations with parents who have expressed a disdain for access to practical help. Whereas the Children I speak to do not appear to have an understanding of what services could be available to them. </w:t>
            </w:r>
          </w:p>
          <w:p w14:paraId="4BDEFB01" w14:textId="77777777" w:rsidR="00E23819" w:rsidRPr="00E23819" w:rsidRDefault="00E23819" w:rsidP="00E23819">
            <w:pPr>
              <w:overflowPunct/>
              <w:autoSpaceDE/>
              <w:autoSpaceDN/>
              <w:adjustRightInd/>
              <w:spacing w:after="160" w:line="259" w:lineRule="auto"/>
              <w:textAlignment w:val="auto"/>
              <w:rPr>
                <w:rFonts w:eastAsia="Calibri"/>
                <w:color w:val="auto"/>
                <w:sz w:val="24"/>
                <w:szCs w:val="24"/>
                <w:lang w:val="en-US" w:eastAsia="en-US"/>
              </w:rPr>
            </w:pPr>
            <w:r w:rsidRPr="00E23819">
              <w:rPr>
                <w:rFonts w:eastAsia="Calibri"/>
                <w:color w:val="auto"/>
                <w:sz w:val="24"/>
                <w:szCs w:val="24"/>
                <w:lang w:val="en-US" w:eastAsia="en-US"/>
              </w:rPr>
              <w:t xml:space="preserve">Under the Human Rights Act 2006 there are 16 rights which place legal duties on public authorities to respect human rights in their decisions and actions. These rights affect both Childrens and adults. C. Darlington’s 2016 research has found that the Human Rights Act has affected children by </w:t>
            </w:r>
          </w:p>
          <w:p w14:paraId="44503A11" w14:textId="64805868" w:rsidR="00E23819" w:rsidRPr="00E23819" w:rsidRDefault="00E23819" w:rsidP="00E23819">
            <w:pPr>
              <w:numPr>
                <w:ilvl w:val="0"/>
                <w:numId w:val="55"/>
              </w:numPr>
              <w:overflowPunct/>
              <w:autoSpaceDE/>
              <w:autoSpaceDN/>
              <w:adjustRightInd/>
              <w:spacing w:after="160" w:line="259" w:lineRule="auto"/>
              <w:contextualSpacing/>
              <w:textAlignment w:val="auto"/>
              <w:rPr>
                <w:rFonts w:eastAsia="Calibri"/>
                <w:color w:val="auto"/>
                <w:sz w:val="24"/>
                <w:szCs w:val="24"/>
                <w:lang w:val="en-US" w:eastAsia="en-US"/>
              </w:rPr>
            </w:pPr>
            <w:r w:rsidRPr="00E23819">
              <w:rPr>
                <w:rFonts w:eastAsia="Calibri"/>
                <w:color w:val="auto"/>
                <w:sz w:val="24"/>
                <w:szCs w:val="24"/>
                <w:lang w:val="en-US" w:eastAsia="en-US"/>
              </w:rPr>
              <w:t>prote</w:t>
            </w:r>
            <w:r w:rsidR="00234A49">
              <w:rPr>
                <w:rFonts w:eastAsia="Calibri"/>
                <w:color w:val="auto"/>
                <w:sz w:val="24"/>
                <w:szCs w:val="24"/>
                <w:lang w:val="en-US" w:eastAsia="en-US"/>
              </w:rPr>
              <w:t>cting their rights to privacy by</w:t>
            </w:r>
            <w:r w:rsidRPr="00E23819">
              <w:rPr>
                <w:rFonts w:eastAsia="Calibri"/>
                <w:color w:val="auto"/>
                <w:sz w:val="24"/>
                <w:szCs w:val="24"/>
                <w:lang w:val="en-US" w:eastAsia="en-US"/>
              </w:rPr>
              <w:t xml:space="preserve"> receiving confidential advice and treatment about contraception and sexual health</w:t>
            </w:r>
          </w:p>
          <w:p w14:paraId="54D07CCF" w14:textId="77777777" w:rsidR="00E23819" w:rsidRPr="00E23819" w:rsidRDefault="00E23819" w:rsidP="00E23819">
            <w:pPr>
              <w:numPr>
                <w:ilvl w:val="0"/>
                <w:numId w:val="55"/>
              </w:numPr>
              <w:overflowPunct/>
              <w:autoSpaceDE/>
              <w:autoSpaceDN/>
              <w:adjustRightInd/>
              <w:spacing w:after="160" w:line="259" w:lineRule="auto"/>
              <w:contextualSpacing/>
              <w:textAlignment w:val="auto"/>
              <w:rPr>
                <w:rFonts w:eastAsia="Calibri"/>
                <w:color w:val="auto"/>
                <w:sz w:val="24"/>
                <w:szCs w:val="24"/>
                <w:lang w:val="en-US" w:eastAsia="en-US"/>
              </w:rPr>
            </w:pPr>
            <w:r w:rsidRPr="00E23819">
              <w:rPr>
                <w:rFonts w:eastAsia="Calibri"/>
                <w:color w:val="auto"/>
                <w:sz w:val="24"/>
                <w:szCs w:val="24"/>
                <w:lang w:val="en-US" w:eastAsia="en-US"/>
              </w:rPr>
              <w:t>protecting children from abuse and harm when involved with the criminal justice system</w:t>
            </w:r>
          </w:p>
          <w:p w14:paraId="5D50FAD9" w14:textId="77777777" w:rsidR="00E23819" w:rsidRPr="00E23819" w:rsidRDefault="00E23819" w:rsidP="00E23819">
            <w:pPr>
              <w:numPr>
                <w:ilvl w:val="0"/>
                <w:numId w:val="55"/>
              </w:numPr>
              <w:overflowPunct/>
              <w:autoSpaceDE/>
              <w:autoSpaceDN/>
              <w:adjustRightInd/>
              <w:spacing w:after="160" w:line="259" w:lineRule="auto"/>
              <w:contextualSpacing/>
              <w:textAlignment w:val="auto"/>
              <w:rPr>
                <w:rFonts w:eastAsia="Calibri"/>
                <w:color w:val="auto"/>
                <w:sz w:val="24"/>
                <w:szCs w:val="24"/>
                <w:lang w:val="en-US" w:eastAsia="en-US"/>
              </w:rPr>
            </w:pPr>
            <w:r w:rsidRPr="00E23819">
              <w:rPr>
                <w:rFonts w:eastAsia="Calibri"/>
                <w:color w:val="auto"/>
                <w:sz w:val="24"/>
                <w:szCs w:val="24"/>
                <w:lang w:val="en-US" w:eastAsia="en-US"/>
              </w:rPr>
              <w:t>Ensuring that children’s rights in the United Nations Convention on the Rights of the Child, 2019 (UNCRC) are considered by courts, such as when deciding if interventions are breaching the child’s right to a family life.</w:t>
            </w:r>
          </w:p>
          <w:p w14:paraId="06B43505" w14:textId="77777777" w:rsidR="00E23819" w:rsidRPr="00E23819" w:rsidRDefault="00E23819" w:rsidP="00E23819">
            <w:pPr>
              <w:overflowPunct/>
              <w:autoSpaceDE/>
              <w:autoSpaceDN/>
              <w:adjustRightInd/>
              <w:spacing w:after="160" w:line="259" w:lineRule="auto"/>
              <w:textAlignment w:val="auto"/>
              <w:rPr>
                <w:rFonts w:eastAsia="Calibri"/>
                <w:i/>
                <w:color w:val="auto"/>
                <w:sz w:val="24"/>
                <w:szCs w:val="24"/>
                <w:lang w:val="en-US" w:eastAsia="en-US"/>
              </w:rPr>
            </w:pPr>
          </w:p>
          <w:p w14:paraId="4A62C0A8" w14:textId="77777777" w:rsidR="00E23819" w:rsidRPr="00E23819" w:rsidRDefault="00E23819" w:rsidP="00E23819">
            <w:pPr>
              <w:overflowPunct/>
              <w:autoSpaceDE/>
              <w:autoSpaceDN/>
              <w:adjustRightInd/>
              <w:spacing w:after="160" w:line="259" w:lineRule="auto"/>
              <w:textAlignment w:val="auto"/>
              <w:rPr>
                <w:rFonts w:eastAsia="Calibri"/>
                <w:color w:val="auto"/>
                <w:sz w:val="24"/>
                <w:szCs w:val="24"/>
                <w:lang w:val="en-US" w:eastAsia="en-US"/>
              </w:rPr>
            </w:pPr>
            <w:r w:rsidRPr="00E23819">
              <w:rPr>
                <w:rFonts w:eastAsia="Calibri"/>
                <w:color w:val="auto"/>
                <w:sz w:val="24"/>
                <w:szCs w:val="24"/>
                <w:lang w:val="en-US" w:eastAsia="en-US"/>
              </w:rPr>
              <w:t xml:space="preserve">Mangar Health’s 2016 article has found that Children are included and equally represented in Welsh Act’s where as in England Children and Adults are represented in different acts. This article suggests that different legislations, as used in Wales, will remove the difficulty associated with the transition period from childhood to adulthood.   </w:t>
            </w:r>
          </w:p>
          <w:p w14:paraId="1AA3081F" w14:textId="2AC6BAB9" w:rsidR="00FC0334" w:rsidRPr="00E23819" w:rsidRDefault="00E23819" w:rsidP="00E23819">
            <w:pPr>
              <w:overflowPunct/>
              <w:autoSpaceDE/>
              <w:autoSpaceDN/>
              <w:adjustRightInd/>
              <w:spacing w:after="160" w:line="259" w:lineRule="auto"/>
              <w:textAlignment w:val="auto"/>
              <w:rPr>
                <w:rFonts w:eastAsia="Calibri"/>
                <w:color w:val="auto"/>
                <w:sz w:val="24"/>
                <w:szCs w:val="24"/>
                <w:lang w:val="en-US" w:eastAsia="en-US"/>
              </w:rPr>
            </w:pPr>
            <w:r w:rsidRPr="00E23819">
              <w:rPr>
                <w:rFonts w:eastAsia="Calibri"/>
                <w:color w:val="auto"/>
                <w:sz w:val="24"/>
                <w:szCs w:val="24"/>
                <w:lang w:val="en-US" w:eastAsia="en-US"/>
              </w:rPr>
              <w:t>Mangar’s article states that Welsh legislation places a greater emphasis on safeguarding. This article suggests this is demonstrated by the adult protection Wales have put in place via national safeguarding boards, which support local safeguarding boards.</w:t>
            </w:r>
            <w:bookmarkStart w:id="0" w:name="_GoBack"/>
            <w:bookmarkEnd w:id="0"/>
          </w:p>
          <w:p w14:paraId="0DFE7CD1" w14:textId="77777777" w:rsidR="00E23819" w:rsidRPr="00E23819" w:rsidRDefault="00E23819" w:rsidP="00E23819">
            <w:pPr>
              <w:rPr>
                <w:color w:val="auto"/>
                <w:sz w:val="24"/>
                <w:szCs w:val="24"/>
              </w:rPr>
            </w:pPr>
            <w:r w:rsidRPr="00E23819">
              <w:rPr>
                <w:color w:val="auto"/>
                <w:sz w:val="24"/>
                <w:szCs w:val="24"/>
              </w:rPr>
              <w:t>Word Count 394</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DengXian Light">
    <w:altName w:val="Arial Unicode MS"/>
    <w:charset w:val="86"/>
    <w:family w:val="auto"/>
    <w:pitch w:val="variable"/>
    <w:sig w:usb0="00000000"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Arial Unicode MS"/>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3DEAF" w14:textId="311829FB" w:rsidR="00A5656A" w:rsidRDefault="00A5656A">
    <w:pPr>
      <w:pStyle w:val="Footer"/>
      <w:jc w:val="right"/>
    </w:pPr>
    <w:r>
      <w:fldChar w:fldCharType="begin"/>
    </w:r>
    <w:r>
      <w:instrText xml:space="preserve"> PAGE   \* MERGEFORMAT </w:instrText>
    </w:r>
    <w:r>
      <w:fldChar w:fldCharType="separate"/>
    </w:r>
    <w:r w:rsidR="00234A49">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19C3ED7"/>
    <w:multiLevelType w:val="hybridMultilevel"/>
    <w:tmpl w:val="10587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8657685"/>
    <w:multiLevelType w:val="hybridMultilevel"/>
    <w:tmpl w:val="34368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4"/>
  </w:num>
  <w:num w:numId="3">
    <w:abstractNumId w:val="47"/>
  </w:num>
  <w:num w:numId="4">
    <w:abstractNumId w:val="49"/>
  </w:num>
  <w:num w:numId="5">
    <w:abstractNumId w:val="36"/>
  </w:num>
  <w:num w:numId="6">
    <w:abstractNumId w:val="34"/>
  </w:num>
  <w:num w:numId="7">
    <w:abstractNumId w:val="31"/>
  </w:num>
  <w:num w:numId="8">
    <w:abstractNumId w:val="32"/>
  </w:num>
  <w:num w:numId="9">
    <w:abstractNumId w:val="11"/>
  </w:num>
  <w:num w:numId="10">
    <w:abstractNumId w:val="35"/>
  </w:num>
  <w:num w:numId="11">
    <w:abstractNumId w:val="18"/>
  </w:num>
  <w:num w:numId="12">
    <w:abstractNumId w:val="17"/>
  </w:num>
  <w:num w:numId="13">
    <w:abstractNumId w:val="29"/>
  </w:num>
  <w:num w:numId="14">
    <w:abstractNumId w:val="9"/>
  </w:num>
  <w:num w:numId="15">
    <w:abstractNumId w:val="28"/>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num>
  <w:num w:numId="20">
    <w:abstractNumId w:val="19"/>
  </w:num>
  <w:num w:numId="21">
    <w:abstractNumId w:val="15"/>
  </w:num>
  <w:num w:numId="22">
    <w:abstractNumId w:val="12"/>
  </w:num>
  <w:num w:numId="23">
    <w:abstractNumId w:val="30"/>
  </w:num>
  <w:num w:numId="24">
    <w:abstractNumId w:val="20"/>
  </w:num>
  <w:num w:numId="25">
    <w:abstractNumId w:val="43"/>
  </w:num>
  <w:num w:numId="26">
    <w:abstractNumId w:val="37"/>
  </w:num>
  <w:num w:numId="27">
    <w:abstractNumId w:val="42"/>
  </w:num>
  <w:num w:numId="28">
    <w:abstractNumId w:val="22"/>
  </w:num>
  <w:num w:numId="29">
    <w:abstractNumId w:val="45"/>
  </w:num>
  <w:num w:numId="30">
    <w:abstractNumId w:val="33"/>
  </w:num>
  <w:num w:numId="31">
    <w:abstractNumId w:val="13"/>
  </w:num>
  <w:num w:numId="32">
    <w:abstractNumId w:val="46"/>
  </w:num>
  <w:num w:numId="33">
    <w:abstractNumId w:val="41"/>
  </w:num>
  <w:num w:numId="34">
    <w:abstractNumId w:val="5"/>
  </w:num>
  <w:num w:numId="35">
    <w:abstractNumId w:val="48"/>
  </w:num>
  <w:num w:numId="36">
    <w:abstractNumId w:val="44"/>
  </w:num>
  <w:num w:numId="37">
    <w:abstractNumId w:val="38"/>
  </w:num>
  <w:num w:numId="38">
    <w:abstractNumId w:val="39"/>
  </w:num>
  <w:num w:numId="39">
    <w:abstractNumId w:val="4"/>
  </w:num>
  <w:num w:numId="40">
    <w:abstractNumId w:val="6"/>
  </w:num>
  <w:num w:numId="41">
    <w:abstractNumId w:val="27"/>
  </w:num>
  <w:num w:numId="42">
    <w:abstractNumId w:val="7"/>
  </w:num>
  <w:num w:numId="43">
    <w:abstractNumId w:val="3"/>
  </w:num>
  <w:num w:numId="44">
    <w:abstractNumId w:val="40"/>
  </w:num>
  <w:num w:numId="45">
    <w:abstractNumId w:val="0"/>
  </w:num>
  <w:num w:numId="46">
    <w:abstractNumId w:val="15"/>
  </w:num>
  <w:num w:numId="47">
    <w:abstractNumId w:val="50"/>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30"/>
  </w:num>
  <w:num w:numId="51">
    <w:abstractNumId w:val="26"/>
  </w:num>
  <w:num w:numId="52">
    <w:abstractNumId w:val="23"/>
  </w:num>
  <w:num w:numId="53">
    <w:abstractNumId w:val="2"/>
  </w:num>
  <w:num w:numId="54">
    <w:abstractNumId w:val="21"/>
  </w:num>
  <w:num w:numId="55">
    <w:abstractNumId w:val="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4A4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5E8"/>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3819"/>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Lauren_mccauley00@hotmail.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auren.mccauley@flintshire.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A091600-6E2B-4931-AEF1-955510F12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1094</Words>
  <Characters>5972</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 McCauley</cp:lastModifiedBy>
  <cp:revision>2</cp:revision>
  <cp:lastPrinted>2020-02-11T19:20:00Z</cp:lastPrinted>
  <dcterms:created xsi:type="dcterms:W3CDTF">2023-02-24T17:09:00Z</dcterms:created>
  <dcterms:modified xsi:type="dcterms:W3CDTF">2023-02-24T17:09:00Z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