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90DAB6" w14:textId="1E725628" w:rsidR="00754751" w:rsidRDefault="00A068D4" w:rsidP="005553A1">
      <w:pPr>
        <w:jc w:val="center"/>
        <w:rPr>
          <w:b/>
          <w:bCs/>
          <w:sz w:val="28"/>
          <w:szCs w:val="28"/>
        </w:rPr>
      </w:pPr>
      <w:r>
        <w:rPr>
          <w:b/>
          <w:bCs/>
          <w:sz w:val="28"/>
          <w:szCs w:val="28"/>
        </w:rPr>
        <w:t>Journal Review</w:t>
      </w:r>
    </w:p>
    <w:p w14:paraId="34382929" w14:textId="698FD62B" w:rsidR="00471753" w:rsidRDefault="00471753" w:rsidP="005553A1">
      <w:pPr>
        <w:jc w:val="center"/>
        <w:rPr>
          <w:b/>
          <w:bCs/>
          <w:sz w:val="28"/>
          <w:szCs w:val="28"/>
        </w:rPr>
      </w:pPr>
    </w:p>
    <w:p w14:paraId="50B4154A" w14:textId="27A19206" w:rsidR="005553A1" w:rsidRDefault="005553A1" w:rsidP="005553A1">
      <w:pPr>
        <w:rPr>
          <w:b/>
          <w:bCs/>
          <w:sz w:val="28"/>
          <w:szCs w:val="28"/>
        </w:rPr>
      </w:pPr>
    </w:p>
    <w:p w14:paraId="7C6BB75C" w14:textId="4848D0A0" w:rsidR="005553A1" w:rsidRPr="006009F6" w:rsidRDefault="006009F6" w:rsidP="005553A1">
      <w:pPr>
        <w:rPr>
          <w:b/>
          <w:bCs/>
        </w:rPr>
      </w:pPr>
      <w:r w:rsidRPr="006009F6">
        <w:rPr>
          <w:b/>
          <w:bCs/>
        </w:rPr>
        <w:t xml:space="preserve">Article title: </w:t>
      </w:r>
      <w:bookmarkStart w:id="0" w:name="OLE_LINK1"/>
      <w:bookmarkStart w:id="1" w:name="OLE_LINK2"/>
      <w:r w:rsidRPr="006009F6">
        <w:t>Long term trends in child maltreatment in England and Wales</w:t>
      </w:r>
      <w:bookmarkEnd w:id="0"/>
      <w:bookmarkEnd w:id="1"/>
      <w:r w:rsidRPr="006009F6">
        <w:t>, 1858- 2016: an observational, time series analysis</w:t>
      </w:r>
    </w:p>
    <w:p w14:paraId="7CE2EE25" w14:textId="70B9F40C" w:rsidR="006009F6" w:rsidRPr="006009F6" w:rsidRDefault="006009F6" w:rsidP="005553A1">
      <w:pPr>
        <w:rPr>
          <w:b/>
          <w:bCs/>
        </w:rPr>
      </w:pPr>
      <w:r w:rsidRPr="006009F6">
        <w:rPr>
          <w:b/>
          <w:bCs/>
        </w:rPr>
        <w:t xml:space="preserve">Authors: </w:t>
      </w:r>
      <w:r w:rsidRPr="006009F6">
        <w:t xml:space="preserve">Michelle Degli Esposti BA, David K. </w:t>
      </w:r>
      <w:r w:rsidR="003B597A" w:rsidRPr="006009F6">
        <w:t>Humphries</w:t>
      </w:r>
      <w:r w:rsidRPr="006009F6">
        <w:t xml:space="preserve"> PhD et al.</w:t>
      </w:r>
    </w:p>
    <w:p w14:paraId="5266CCB0" w14:textId="226D87B5" w:rsidR="006009F6" w:rsidRPr="006009F6" w:rsidRDefault="006009F6" w:rsidP="005553A1">
      <w:pPr>
        <w:rPr>
          <w:b/>
          <w:bCs/>
        </w:rPr>
      </w:pPr>
      <w:r w:rsidRPr="006009F6">
        <w:rPr>
          <w:b/>
          <w:bCs/>
        </w:rPr>
        <w:t xml:space="preserve">Journal: </w:t>
      </w:r>
      <w:r w:rsidRPr="006009F6">
        <w:t>The Lancet Public Health</w:t>
      </w:r>
    </w:p>
    <w:p w14:paraId="5EFBF3A8" w14:textId="2AE3AAFA" w:rsidR="006009F6" w:rsidRDefault="006009F6" w:rsidP="005553A1">
      <w:r w:rsidRPr="006009F6">
        <w:rPr>
          <w:b/>
          <w:bCs/>
        </w:rPr>
        <w:t xml:space="preserve">Date published: </w:t>
      </w:r>
      <w:r w:rsidRPr="006009F6">
        <w:t>March 2019</w:t>
      </w:r>
    </w:p>
    <w:p w14:paraId="7B22F788" w14:textId="077F1DE3" w:rsidR="003C03F7" w:rsidRDefault="003C03F7" w:rsidP="005553A1"/>
    <w:p w14:paraId="66A7FE18" w14:textId="32F703ED" w:rsidR="003C03F7" w:rsidRDefault="003C03F7" w:rsidP="005553A1"/>
    <w:p w14:paraId="495E704A" w14:textId="49AE8619" w:rsidR="003C03F7" w:rsidRDefault="003C03F7" w:rsidP="00722B3F">
      <w:pPr>
        <w:spacing w:line="480" w:lineRule="auto"/>
      </w:pPr>
      <w:r>
        <w:t>Approximately 0.5% of children annually are identified</w:t>
      </w:r>
      <w:r w:rsidR="008E3154">
        <w:t xml:space="preserve"> as being at risk of child abuse in England and Wales. </w:t>
      </w:r>
      <w:r>
        <w:t xml:space="preserve"> </w:t>
      </w:r>
      <w:r w:rsidR="008E3154">
        <w:t>The results of this are severe and have the potential of chronic</w:t>
      </w:r>
      <w:r w:rsidR="004D5E53">
        <w:t xml:space="preserve"> effects for children</w:t>
      </w:r>
      <w:r w:rsidR="00AA5FFB">
        <w:t xml:space="preserve">, as well as to their families and to society itself. Protecting vulnerable youths has been a priority to public health and since the 70s, Government funding in addition to schemes have risen however, the aim of this article is to understand that even though increasing funding </w:t>
      </w:r>
      <w:r w:rsidR="008B236D">
        <w:t>and initiatives has gone towards vulnerable child protection, has this resulted in continuous decreases in child neglect cases. This is currently unclear, with child welfare professionals asking the question “Are trends in child abuse falling?”</w:t>
      </w:r>
    </w:p>
    <w:p w14:paraId="1C555764" w14:textId="6157277E" w:rsidR="005601C1" w:rsidRDefault="009E4466" w:rsidP="00722B3F">
      <w:pPr>
        <w:spacing w:line="480" w:lineRule="auto"/>
      </w:pPr>
      <w:r>
        <w:t>The Journal explains that</w:t>
      </w:r>
      <w:r w:rsidR="003B597A">
        <w:t xml:space="preserve"> there appears to be little evidence regarding whether child neglect cases are rising or falling in England and Wales. Despite this, a number of cases and </w:t>
      </w:r>
      <w:r w:rsidR="00166A3A">
        <w:t>high-profile</w:t>
      </w:r>
      <w:r w:rsidR="003B597A">
        <w:t xml:space="preserve"> enquiries </w:t>
      </w:r>
      <w:r w:rsidR="009963A1">
        <w:t xml:space="preserve">have resulted in the </w:t>
      </w:r>
      <w:r w:rsidR="004008C1">
        <w:t xml:space="preserve">public and media to condemn child services and postulate that </w:t>
      </w:r>
      <w:r w:rsidR="00166A3A">
        <w:t xml:space="preserve">child neglect cases may be rising. The number of children noted as at risk as also risen </w:t>
      </w:r>
      <w:r w:rsidR="00E304E2">
        <w:t xml:space="preserve">over the past few years. An example of this could be that from 2016 to 2016, the number of children put into child protection plans rose by 1.6%, as well as the NSPCC responding to the greatest ever number of contacts in 2017. </w:t>
      </w:r>
      <w:r w:rsidR="00510025">
        <w:t xml:space="preserve">This data however, may not indicate a growing problem, however could come from improvements in responding </w:t>
      </w:r>
      <w:r w:rsidR="005601C1">
        <w:t xml:space="preserve">to child neglect cases over time. When studying sustained changes over time by looking at long term trends, it has been found that the amount of child deaths linked to neglect have fallen since the 70s, which could argue a considerable reduction in child abuse. The theory that child </w:t>
      </w:r>
      <w:r w:rsidR="005601C1">
        <w:lastRenderedPageBreak/>
        <w:t xml:space="preserve">abuse cases have fallen can be supported in a publication by Radford (2011) who argues that </w:t>
      </w:r>
      <w:r w:rsidR="007F2AF4">
        <w:t xml:space="preserve">some </w:t>
      </w:r>
      <w:r w:rsidR="004F4240">
        <w:t xml:space="preserve">characteristics of child neglect have become less frequent </w:t>
      </w:r>
      <w:r w:rsidR="00D40741">
        <w:t xml:space="preserve">than those reported 12 years ago and is consistent </w:t>
      </w:r>
      <w:r w:rsidR="00F21CB9">
        <w:t xml:space="preserve">with other types of data from the UK. An example of this </w:t>
      </w:r>
      <w:r w:rsidR="00526BF0">
        <w:t>is how cases of physical violence decreased considerably from 13.1% in 1998 to 9.8% in 2009.</w:t>
      </w:r>
      <w:r w:rsidR="00BD356A">
        <w:t xml:space="preserve"> In addition to this, Radford also explains that the number of young people who reported being kissed and hugged in a sexual way considerable reduced from 50.7% to 47.5% between 1998 to 2009. Despite this, it was also found that there was a notable rise in reports of engaging in oral sex rising from 22% to 26.3% between 1998 and 2009. Some of the reasons why this is the case may not however, be connected to </w:t>
      </w:r>
      <w:r w:rsidR="00E05CA8">
        <w:t>child abuse. To conclude what Radford reports, the findings do present a positive</w:t>
      </w:r>
      <w:r w:rsidR="005059CA">
        <w:t xml:space="preserve"> picture, with a decrease in reported incidents of emotional and physical punishments given by parents and carers. </w:t>
      </w:r>
      <w:r w:rsidR="0016470C">
        <w:t xml:space="preserve">It is clear that the use of both quantitative and qualitative data </w:t>
      </w:r>
      <w:r w:rsidR="00722B3F">
        <w:t>has</w:t>
      </w:r>
      <w:r w:rsidR="0016470C">
        <w:t xml:space="preserve"> been use in Esposti’s journal has it is explained </w:t>
      </w:r>
      <w:r w:rsidR="00722B3F">
        <w:t>exactly how much child protection plans have risen by but also how child protection has been a public health priority since the 70s.</w:t>
      </w:r>
    </w:p>
    <w:p w14:paraId="2F66B46A" w14:textId="2CA0D869" w:rsidR="00626920" w:rsidRDefault="009739AD" w:rsidP="00722B3F">
      <w:pPr>
        <w:spacing w:line="480" w:lineRule="auto"/>
      </w:pPr>
      <w:r>
        <w:t>Due to the fact only a minimal percentage of unrepresentative cases lead to child mortality, additional evidence is required as well as this source, in order to fully understand the extent of child neglect. In a</w:t>
      </w:r>
      <w:r w:rsidR="00975854">
        <w:t xml:space="preserve"> </w:t>
      </w:r>
      <w:r>
        <w:t>supporting article</w:t>
      </w:r>
      <w:r w:rsidR="00975854">
        <w:t xml:space="preserve"> and research conducted</w:t>
      </w:r>
      <w:r>
        <w:t xml:space="preserve"> by Gilbert (2011) </w:t>
      </w:r>
      <w:r w:rsidR="00975854">
        <w:t xml:space="preserve">surrounding neglect linked hospital admissions and violent child deaths in order to study trends </w:t>
      </w:r>
      <w:r w:rsidR="00626920">
        <w:t xml:space="preserve">in child abuse since the 80s. Despite finding no consistent data for rising or falling trends, their research showed that the use of a wide range of sources can be utilised for a broader estimation of trends in child neglect, although additional relevant sources do exist including data regarding neglect offences, which could be used in order to study trends in abuse. Evidence of this data can be seen in the journal by Esposti. </w:t>
      </w:r>
    </w:p>
    <w:p w14:paraId="58F5BBE8" w14:textId="4D59D782" w:rsidR="00626920" w:rsidRDefault="00626920" w:rsidP="00722B3F">
      <w:pPr>
        <w:spacing w:line="480" w:lineRule="auto"/>
      </w:pPr>
      <w:r>
        <w:lastRenderedPageBreak/>
        <w:t xml:space="preserve">When studying trends over an extensive period of time, it is crucial that </w:t>
      </w:r>
      <w:r w:rsidR="002909D3">
        <w:t xml:space="preserve">time sensitive factors are taken into consideration. The journal adjusts for changes over time by controlling for population size through the use of population estimations for areas in order to calculate incidences. It also controls for changes in </w:t>
      </w:r>
      <w:r w:rsidR="00F85DD0">
        <w:t>the population age structure through age standardising the incidences and investigating and identifying changes that may have affected the data consistency over time. This may range from organisational changes to changes in the recording practice.</w:t>
      </w:r>
    </w:p>
    <w:p w14:paraId="3EBC95DD" w14:textId="77777777" w:rsidR="00B27204" w:rsidRDefault="00F85DD0" w:rsidP="00B27204">
      <w:pPr>
        <w:spacing w:line="480" w:lineRule="auto"/>
      </w:pPr>
      <w:r>
        <w:t>As mentioned in the journal, despite being able to identify and record cases of child neglect in the UK, it may not present a</w:t>
      </w:r>
      <w:r w:rsidR="00EA26A5">
        <w:t>n</w:t>
      </w:r>
      <w:r>
        <w:t xml:space="preserve"> </w:t>
      </w:r>
      <w:r w:rsidR="00EA26A5">
        <w:t>accurate</w:t>
      </w:r>
      <w:r>
        <w:t xml:space="preserve"> account this issue as many cases go unreported or unrecorded.</w:t>
      </w:r>
      <w:r w:rsidR="00EA26A5">
        <w:t xml:space="preserve"> Beckett and Warrington (2014) state that the current body of literature </w:t>
      </w:r>
      <w:r w:rsidR="0027637E">
        <w:t xml:space="preserve">calls attention to one of the reasons that young </w:t>
      </w:r>
      <w:r w:rsidR="00883876">
        <w:t xml:space="preserve">people fail to report crimes and victimisation to either authorities or even informal sources of support, is because they may not realise that what has happened </w:t>
      </w:r>
      <w:r w:rsidR="007F52D3">
        <w:t xml:space="preserve">constitutes a criminal offence, or constitutes a type of victimisation needing support and correction. Responses </w:t>
      </w:r>
      <w:r w:rsidR="00BE1134">
        <w:t xml:space="preserve">to the need for evidence evidently supports the thesis that many young people may fail to recognise the offence that has been committed, further noting that many children often view victimisation in hindsight, rather than when the act has immediately been committed. Based on this, one could argue that as many </w:t>
      </w:r>
      <w:r w:rsidR="003A10D6">
        <w:t>children may not understand the crimes linked with child neglect, or may view the neglect as parental or guardian discipline</w:t>
      </w:r>
      <w:r w:rsidR="00672ADD">
        <w:t>. Children, especially younger children may not also recognise abuse from parents, guardians or people with a responsibility to a child and as a result, may fail to report such incidents, as well as t</w:t>
      </w:r>
      <w:r w:rsidR="00BB4C1D">
        <w:t xml:space="preserve">he actual victim of the abuse failing to report neglect due to either not understanding the crimes or through lack of trust towards adults and other authority figures caused by the neglect received. </w:t>
      </w:r>
    </w:p>
    <w:p w14:paraId="17ADB607" w14:textId="45DA25D4" w:rsidR="00B27204" w:rsidRDefault="00B27204" w:rsidP="00B27204">
      <w:pPr>
        <w:spacing w:line="480" w:lineRule="auto"/>
        <w:rPr>
          <w:rStyle w:val="apple-converted-space"/>
          <w:rFonts w:ascii="Calibri" w:hAnsi="Calibri" w:cs="Calibri"/>
          <w:color w:val="000000" w:themeColor="text1"/>
          <w:shd w:val="clear" w:color="auto" w:fill="FFFFFF"/>
        </w:rPr>
      </w:pPr>
      <w:r w:rsidRPr="00B27204">
        <w:rPr>
          <w:rStyle w:val="apple-converted-space"/>
          <w:rFonts w:ascii="Calibri" w:hAnsi="Calibri" w:cs="Calibri"/>
          <w:color w:val="000000" w:themeColor="text1"/>
          <w:shd w:val="clear" w:color="auto" w:fill="FFFFFF"/>
        </w:rPr>
        <w:lastRenderedPageBreak/>
        <w:t>From 1858 to 2016, there was a 90% overall fall in child deaths by homicide or assault. Despite this, the decrease was non- linear, with small rises during 1858 to 1870 and 1960-75. A yearly incidence for police- recorded child homicide fell in a linear fashion, even though data was only available for 1977-206. Police recorded child homicides considerably decreased by 1%.</w:t>
      </w:r>
      <w:r>
        <w:rPr>
          <w:rStyle w:val="apple-converted-space"/>
          <w:rFonts w:ascii="Calibri" w:hAnsi="Calibri" w:cs="Calibri"/>
          <w:color w:val="000000" w:themeColor="text1"/>
          <w:shd w:val="clear" w:color="auto" w:fill="FFFFFF"/>
        </w:rPr>
        <w:t xml:space="preserve"> </w:t>
      </w:r>
      <w:r w:rsidR="00431D72">
        <w:rPr>
          <w:rStyle w:val="apple-converted-space"/>
          <w:rFonts w:ascii="Calibri" w:hAnsi="Calibri" w:cs="Calibri"/>
          <w:color w:val="000000" w:themeColor="text1"/>
          <w:shd w:val="clear" w:color="auto" w:fill="FFFFFF"/>
        </w:rPr>
        <w:t xml:space="preserve">Research regarding the </w:t>
      </w:r>
      <w:r>
        <w:rPr>
          <w:rStyle w:val="apple-converted-space"/>
          <w:rFonts w:ascii="Calibri" w:hAnsi="Calibri" w:cs="Calibri"/>
          <w:color w:val="000000" w:themeColor="text1"/>
          <w:shd w:val="clear" w:color="auto" w:fill="FFFFFF"/>
        </w:rPr>
        <w:t>child mortality cases</w:t>
      </w:r>
      <w:r w:rsidR="00431D72">
        <w:rPr>
          <w:rStyle w:val="apple-converted-space"/>
          <w:rFonts w:ascii="Calibri" w:hAnsi="Calibri" w:cs="Calibri"/>
          <w:color w:val="000000" w:themeColor="text1"/>
          <w:shd w:val="clear" w:color="auto" w:fill="FFFFFF"/>
        </w:rPr>
        <w:t xml:space="preserve"> from</w:t>
      </w:r>
      <w:r>
        <w:rPr>
          <w:rStyle w:val="apple-converted-space"/>
          <w:rFonts w:ascii="Calibri" w:hAnsi="Calibri" w:cs="Calibri"/>
          <w:color w:val="000000" w:themeColor="text1"/>
          <w:shd w:val="clear" w:color="auto" w:fill="FFFFFF"/>
        </w:rPr>
        <w:t xml:space="preserve"> </w:t>
      </w:r>
      <w:r w:rsidR="00431D72">
        <w:rPr>
          <w:rStyle w:val="apple-converted-space"/>
          <w:rFonts w:ascii="Calibri" w:hAnsi="Calibri" w:cs="Calibri"/>
          <w:color w:val="000000" w:themeColor="text1"/>
          <w:shd w:val="clear" w:color="auto" w:fill="FFFFFF"/>
        </w:rPr>
        <w:t>Sidebotham (2010) explains that 105 serious case reviews linked to incidents happen</w:t>
      </w:r>
      <w:r w:rsidR="0064603A">
        <w:rPr>
          <w:rStyle w:val="apple-converted-space"/>
          <w:rFonts w:ascii="Calibri" w:hAnsi="Calibri" w:cs="Calibri"/>
          <w:color w:val="000000" w:themeColor="text1"/>
          <w:shd w:val="clear" w:color="auto" w:fill="FFFFFF"/>
        </w:rPr>
        <w:t>ing</w:t>
      </w:r>
      <w:r w:rsidR="00431D72">
        <w:rPr>
          <w:rStyle w:val="apple-converted-space"/>
          <w:rFonts w:ascii="Calibri" w:hAnsi="Calibri" w:cs="Calibri"/>
          <w:color w:val="000000" w:themeColor="text1"/>
          <w:shd w:val="clear" w:color="auto" w:fill="FFFFFF"/>
        </w:rPr>
        <w:t xml:space="preserve"> from April 2009 </w:t>
      </w:r>
      <w:r w:rsidR="0064603A">
        <w:rPr>
          <w:rStyle w:val="apple-converted-space"/>
          <w:rFonts w:ascii="Calibri" w:hAnsi="Calibri" w:cs="Calibri"/>
          <w:color w:val="000000" w:themeColor="text1"/>
          <w:shd w:val="clear" w:color="auto" w:fill="FFFFFF"/>
        </w:rPr>
        <w:t xml:space="preserve">to March 2010 were reported to the Department for Education. Of these 106 incidents, 59% (62) were fatal and 41% (43) were not fatal. Of the 62 fatal cases, 37% were ages 1 and younger and 48% were male. Record of all Serious Case Reviews and fatal Serious Case Reviews were calculated </w:t>
      </w:r>
      <w:r w:rsidR="00CA1BE7">
        <w:rPr>
          <w:rStyle w:val="apple-converted-space"/>
          <w:rFonts w:ascii="Calibri" w:hAnsi="Calibri" w:cs="Calibri"/>
          <w:color w:val="000000" w:themeColor="text1"/>
          <w:shd w:val="clear" w:color="auto" w:fill="FFFFFF"/>
        </w:rPr>
        <w:t>using mid 2009 population estimations for England by age and gender. The rates for Serious Case Reviews were the greatest in infancy with 6.02 per 100,000, decreasing to lower levels amongst school age children, then followed by a slight increase during late teenage years. Sidebotham al</w:t>
      </w:r>
      <w:r w:rsidR="00261EEE">
        <w:rPr>
          <w:rStyle w:val="apple-converted-space"/>
          <w:rFonts w:ascii="Calibri" w:hAnsi="Calibri" w:cs="Calibri"/>
          <w:color w:val="000000" w:themeColor="text1"/>
          <w:shd w:val="clear" w:color="auto" w:fill="FFFFFF"/>
        </w:rPr>
        <w:t>so explains how a similar trend can be seen regarding fatal cases, although there is no increase during adolescence. The rates for all Serious Case reviews appear to be higher in males with 0.96 per 100,000 males, between 0-17, compared to females with 0.93 per 100,000 females</w:t>
      </w:r>
      <w:r w:rsidR="002748D4">
        <w:rPr>
          <w:rStyle w:val="apple-converted-space"/>
          <w:rFonts w:ascii="Calibri" w:hAnsi="Calibri" w:cs="Calibri"/>
          <w:color w:val="000000" w:themeColor="text1"/>
          <w:shd w:val="clear" w:color="auto" w:fill="FFFFFF"/>
        </w:rPr>
        <w:t>. Despite this, it is seen that in fatal cases, fatal cases are higher in females with 0.53 to 0.60. More specifically, amongst infants and pre-school aged children, more girls than boys are recipients of fatal Serious Case Reviews however, the numbers in each group are small.</w:t>
      </w:r>
    </w:p>
    <w:p w14:paraId="5276F99C" w14:textId="37CC80E2" w:rsidR="00D84A81" w:rsidRDefault="00635B6D" w:rsidP="00B27204">
      <w:pPr>
        <w:spacing w:line="480" w:lineRule="auto"/>
        <w:rPr>
          <w:rStyle w:val="apple-converted-space"/>
          <w:rFonts w:ascii="Calibri" w:hAnsi="Calibri" w:cs="Calibri"/>
          <w:color w:val="000000" w:themeColor="text1"/>
          <w:shd w:val="clear" w:color="auto" w:fill="FFFFFF"/>
        </w:rPr>
      </w:pPr>
      <w:r>
        <w:rPr>
          <w:rStyle w:val="apple-converted-space"/>
          <w:rFonts w:ascii="Calibri" w:hAnsi="Calibri" w:cs="Calibri"/>
          <w:color w:val="000000" w:themeColor="text1"/>
          <w:shd w:val="clear" w:color="auto" w:fill="FFFFFF"/>
        </w:rPr>
        <w:t xml:space="preserve">It can be seen in the journal that this is the first analysis of long-term trends regarding child neglect in England and Wales. The findings show that between 2000 and 2006, incidents of crimes towards children, as well as child protection registrations and children going into care rose significantly. The age of the child as well as the type of neglect appeared as crucial factors regarding both long term trends in addition to 2016 estimations. In 2016, those ages </w:t>
      </w:r>
      <w:r>
        <w:rPr>
          <w:rStyle w:val="apple-converted-space"/>
          <w:rFonts w:ascii="Calibri" w:hAnsi="Calibri" w:cs="Calibri"/>
          <w:color w:val="000000" w:themeColor="text1"/>
          <w:shd w:val="clear" w:color="auto" w:fill="FFFFFF"/>
        </w:rPr>
        <w:lastRenderedPageBreak/>
        <w:t>15 to 16, were twice as likely to be killed from homicide or assaults rather that children aged one year or under and six times a</w:t>
      </w:r>
      <w:r w:rsidR="00CC6E14">
        <w:rPr>
          <w:rStyle w:val="apple-converted-space"/>
          <w:rFonts w:ascii="Calibri" w:hAnsi="Calibri" w:cs="Calibri"/>
          <w:color w:val="000000" w:themeColor="text1"/>
          <w:shd w:val="clear" w:color="auto" w:fill="FFFFFF"/>
        </w:rPr>
        <w:t xml:space="preserve">s likely compared to 1-14 years old. In 2016, the most frequent reason that a child would be placed on a Child Protection Register would be from emotional abuse following neglect. One could argue that the figures regarding deaths linked to child abuse being most common amongst those aged </w:t>
      </w:r>
      <w:r w:rsidR="000D34E6">
        <w:rPr>
          <w:rStyle w:val="apple-converted-space"/>
          <w:rFonts w:ascii="Calibri" w:hAnsi="Calibri" w:cs="Calibri"/>
          <w:color w:val="000000" w:themeColor="text1"/>
          <w:shd w:val="clear" w:color="auto" w:fill="FFFFFF"/>
        </w:rPr>
        <w:t>15- 16, may be contrary to the beliefs of the majority of the public due to children in that age bracket being a lot older and less vulnerable compared to children aged 1 and under or even those aged 1 to 14.</w:t>
      </w:r>
      <w:r w:rsidR="00D84A81">
        <w:rPr>
          <w:rStyle w:val="apple-converted-space"/>
          <w:rFonts w:ascii="Calibri" w:hAnsi="Calibri" w:cs="Calibri"/>
          <w:color w:val="000000" w:themeColor="text1"/>
          <w:shd w:val="clear" w:color="auto" w:fill="FFFFFF"/>
        </w:rPr>
        <w:t xml:space="preserve"> The Journal also states how violent deaths have fallen more for younger children compared to older children and even adolescents, and between 18</w:t>
      </w:r>
      <w:r w:rsidR="004A2189">
        <w:rPr>
          <w:rStyle w:val="apple-converted-space"/>
          <w:rFonts w:ascii="Calibri" w:hAnsi="Calibri" w:cs="Calibri"/>
          <w:color w:val="000000" w:themeColor="text1"/>
          <w:shd w:val="clear" w:color="auto" w:fill="FFFFFF"/>
        </w:rPr>
        <w:t xml:space="preserve">58 and 2016, there was a major </w:t>
      </w:r>
      <w:r w:rsidR="00E7095A">
        <w:rPr>
          <w:rStyle w:val="apple-converted-space"/>
          <w:rFonts w:ascii="Calibri" w:hAnsi="Calibri" w:cs="Calibri"/>
          <w:color w:val="000000" w:themeColor="text1"/>
          <w:shd w:val="clear" w:color="auto" w:fill="FFFFFF"/>
        </w:rPr>
        <w:t xml:space="preserve">96% decrease in infant mortalities, as well as a 1% rise in adolescent fatalities. The same pattern can be seen regarding sexual offences towards children with a 55% fall in those guilty of sexual offences with 13 and younger aged children, with a </w:t>
      </w:r>
      <w:r w:rsidR="00517A07">
        <w:rPr>
          <w:rStyle w:val="apple-converted-space"/>
          <w:rFonts w:ascii="Calibri" w:hAnsi="Calibri" w:cs="Calibri"/>
          <w:color w:val="000000" w:themeColor="text1"/>
          <w:shd w:val="clear" w:color="auto" w:fill="FFFFFF"/>
        </w:rPr>
        <w:t>319% rise in people found guilty of sexual activity with children aged 13- 16. As previously mentioned, in 2016, a larger number of adolescents died due to assaults or homicide compared to any other age group. Despite this, fewer children aged 15-16 were put onto the Child Protection</w:t>
      </w:r>
      <w:r w:rsidR="00DC1AE1">
        <w:rPr>
          <w:rStyle w:val="apple-converted-space"/>
          <w:rFonts w:ascii="Calibri" w:hAnsi="Calibri" w:cs="Calibri"/>
          <w:color w:val="000000" w:themeColor="text1"/>
          <w:shd w:val="clear" w:color="auto" w:fill="FFFFFF"/>
        </w:rPr>
        <w:t xml:space="preserve"> compared to those younger than this. These results support the hypothesis that certain development ages are more susceptible to neglect and maltreatment, with adolescents </w:t>
      </w:r>
      <w:r w:rsidR="00B604EA">
        <w:rPr>
          <w:rStyle w:val="apple-converted-space"/>
          <w:rFonts w:ascii="Calibri" w:hAnsi="Calibri" w:cs="Calibri"/>
          <w:color w:val="000000" w:themeColor="text1"/>
          <w:shd w:val="clear" w:color="auto" w:fill="FFFFFF"/>
        </w:rPr>
        <w:t>being at a greater risk as opposed to those of a younger age. One could suggest that future studies could continue to examine whether</w:t>
      </w:r>
      <w:r w:rsidR="00D54D06">
        <w:rPr>
          <w:rStyle w:val="apple-converted-space"/>
          <w:rFonts w:ascii="Calibri" w:hAnsi="Calibri" w:cs="Calibri"/>
          <w:color w:val="000000" w:themeColor="text1"/>
          <w:shd w:val="clear" w:color="auto" w:fill="FFFFFF"/>
        </w:rPr>
        <w:t xml:space="preserve"> children aged 15-16 are a more vulnerable age group and that child protection services should respond to this possible demand. </w:t>
      </w:r>
    </w:p>
    <w:p w14:paraId="4592ABA8" w14:textId="1575CC7F" w:rsidR="00471753" w:rsidRDefault="00B43FC1" w:rsidP="00D75A5F">
      <w:pPr>
        <w:spacing w:line="480" w:lineRule="auto"/>
        <w:rPr>
          <w:rStyle w:val="apple-converted-space"/>
          <w:rFonts w:ascii="Calibri" w:hAnsi="Calibri" w:cs="Calibri"/>
          <w:color w:val="000000" w:themeColor="text1"/>
          <w:shd w:val="clear" w:color="auto" w:fill="FFFFFF"/>
        </w:rPr>
      </w:pPr>
      <w:r>
        <w:rPr>
          <w:rStyle w:val="apple-converted-space"/>
          <w:rFonts w:ascii="Calibri" w:hAnsi="Calibri" w:cs="Calibri"/>
          <w:color w:val="000000" w:themeColor="text1"/>
          <w:shd w:val="clear" w:color="auto" w:fill="FFFFFF"/>
        </w:rPr>
        <w:t>The journal however, has some limitations. To begin with, official record fail to properly es</w:t>
      </w:r>
      <w:r w:rsidR="006726D0">
        <w:rPr>
          <w:rStyle w:val="apple-converted-space"/>
          <w:rFonts w:ascii="Calibri" w:hAnsi="Calibri" w:cs="Calibri"/>
          <w:color w:val="000000" w:themeColor="text1"/>
          <w:shd w:val="clear" w:color="auto" w:fill="FFFFFF"/>
        </w:rPr>
        <w:t xml:space="preserve">timate incidents of child neglect due to the fact that many neglected </w:t>
      </w:r>
      <w:r w:rsidR="00DD09E5">
        <w:rPr>
          <w:rStyle w:val="apple-converted-space"/>
          <w:rFonts w:ascii="Calibri" w:hAnsi="Calibri" w:cs="Calibri"/>
          <w:color w:val="000000" w:themeColor="text1"/>
          <w:shd w:val="clear" w:color="auto" w:fill="FFFFFF"/>
        </w:rPr>
        <w:t>children</w:t>
      </w:r>
      <w:r w:rsidR="006726D0">
        <w:rPr>
          <w:rStyle w:val="apple-converted-space"/>
          <w:rFonts w:ascii="Calibri" w:hAnsi="Calibri" w:cs="Calibri"/>
          <w:color w:val="000000" w:themeColor="text1"/>
          <w:shd w:val="clear" w:color="auto" w:fill="FFFFFF"/>
        </w:rPr>
        <w:t xml:space="preserve"> are not identified</w:t>
      </w:r>
      <w:r w:rsidR="00DD09E5">
        <w:rPr>
          <w:rStyle w:val="apple-converted-space"/>
          <w:rFonts w:ascii="Calibri" w:hAnsi="Calibri" w:cs="Calibri"/>
          <w:color w:val="000000" w:themeColor="text1"/>
          <w:shd w:val="clear" w:color="auto" w:fill="FFFFFF"/>
        </w:rPr>
        <w:t>. In addition to this, each indicator comes with its own limitations.</w:t>
      </w:r>
      <w:r w:rsidR="00391681">
        <w:rPr>
          <w:rStyle w:val="apple-converted-space"/>
          <w:rFonts w:ascii="Calibri" w:hAnsi="Calibri" w:cs="Calibri"/>
          <w:color w:val="000000" w:themeColor="text1"/>
          <w:shd w:val="clear" w:color="auto" w:fill="FFFFFF"/>
        </w:rPr>
        <w:t xml:space="preserve"> Limitations regarding the indicators of people found guilty of offences, children entering care as well as </w:t>
      </w:r>
      <w:r w:rsidR="00391681">
        <w:rPr>
          <w:rStyle w:val="apple-converted-space"/>
          <w:rFonts w:ascii="Calibri" w:hAnsi="Calibri" w:cs="Calibri"/>
          <w:color w:val="000000" w:themeColor="text1"/>
          <w:shd w:val="clear" w:color="auto" w:fill="FFFFFF"/>
        </w:rPr>
        <w:lastRenderedPageBreak/>
        <w:t xml:space="preserve">child protection registrations, are that they could mirror changes in thresholds controlled by developing policies and practices. Limitation for those helped by NSPCC data are that they depend of whether additional agencies are responsible for helping children and the capacity of the charity. Thirdly, it does not investigate the effects of further secular changes and does not study causes that may be linked and explain trends in child neglect, such as poverty and economic recession. Finally, official record data is typically poorly suited to primary research due to </w:t>
      </w:r>
      <w:r w:rsidR="00D75A5F">
        <w:rPr>
          <w:rStyle w:val="apple-converted-space"/>
          <w:rFonts w:ascii="Calibri" w:hAnsi="Calibri" w:cs="Calibri"/>
          <w:color w:val="000000" w:themeColor="text1"/>
          <w:shd w:val="clear" w:color="auto" w:fill="FFFFFF"/>
        </w:rPr>
        <w:t xml:space="preserve">the data intendedly collected for specific research. </w:t>
      </w:r>
      <w:r w:rsidR="00471753">
        <w:rPr>
          <w:rStyle w:val="apple-converted-space"/>
          <w:rFonts w:ascii="Calibri" w:hAnsi="Calibri" w:cs="Calibri"/>
          <w:color w:val="000000" w:themeColor="text1"/>
          <w:shd w:val="clear" w:color="auto" w:fill="FFFFFF"/>
        </w:rPr>
        <w:t>Altogether, the findings have led to the understanding that child neglect is still a serious and significant issue around the UL and must continue to be a public health chief concern. Future studies should aim to understand if trends have continued to increase, if adolescents are still especially vulnerable and whether cases of mistreatment and emotional abuse are becoming more frequent. In future, child protection policies and practices must respond to these areas of increasing demand.</w:t>
      </w:r>
    </w:p>
    <w:p w14:paraId="59A753EC" w14:textId="2DDD8183" w:rsidR="00722B3F" w:rsidRDefault="00722B3F" w:rsidP="00722B3F">
      <w:pPr>
        <w:spacing w:line="480" w:lineRule="auto"/>
      </w:pPr>
      <w:r>
        <w:t xml:space="preserve">In conclusion, the journal explained thoroughly how child neglect cases have changed over the years and how child protection services are able to deal with these changes. The journal is an effective source, potentially used by undergraduate and postgraduate students studying the changes in </w:t>
      </w:r>
      <w:r w:rsidR="00AE4911">
        <w:t>the different types of abuse received by children in England and Wales</w:t>
      </w:r>
      <w:r w:rsidR="005C60B8">
        <w:t xml:space="preserve"> and to use this journal as support and guidance during further reading around the subject of child neglect.</w:t>
      </w:r>
      <w:r w:rsidR="00261EEE">
        <w:t xml:space="preserve"> </w:t>
      </w:r>
      <w:r w:rsidR="00CA1BE7">
        <w:t>The journal also provided data surrounding child neglect and can thus be used to compare similar journals to compare information and to also developed a clearer understanding of child neglect in the UK.</w:t>
      </w:r>
    </w:p>
    <w:p w14:paraId="2C7D9A2B" w14:textId="69902A93" w:rsidR="0094370D" w:rsidRDefault="0094370D" w:rsidP="005553A1"/>
    <w:p w14:paraId="5ABE4A21" w14:textId="512EB013" w:rsidR="0094370D" w:rsidRDefault="0094370D" w:rsidP="005553A1"/>
    <w:p w14:paraId="613DC466" w14:textId="37EA690B" w:rsidR="006009F6" w:rsidRDefault="008B236D" w:rsidP="005553A1">
      <w:pPr>
        <w:rPr>
          <w:b/>
          <w:bCs/>
          <w:sz w:val="28"/>
          <w:szCs w:val="28"/>
        </w:rPr>
      </w:pPr>
      <w:r>
        <w:rPr>
          <w:b/>
          <w:bCs/>
          <w:sz w:val="28"/>
          <w:szCs w:val="28"/>
        </w:rPr>
        <w:t>References:</w:t>
      </w:r>
    </w:p>
    <w:p w14:paraId="1D1B6784" w14:textId="3F5EFF9B" w:rsidR="008B236D" w:rsidRDefault="008B236D" w:rsidP="005553A1">
      <w:pPr>
        <w:rPr>
          <w:b/>
          <w:bCs/>
          <w:sz w:val="28"/>
          <w:szCs w:val="28"/>
        </w:rPr>
      </w:pPr>
    </w:p>
    <w:p w14:paraId="3E708F21" w14:textId="77777777" w:rsidR="00C95965" w:rsidRDefault="00C95965" w:rsidP="00FB1D1F">
      <w:pPr>
        <w:rPr>
          <w:rFonts w:ascii="Times New Roman" w:eastAsia="Times New Roman" w:hAnsi="Times New Roman" w:cs="Times New Roman"/>
          <w:lang w:eastAsia="en-GB"/>
        </w:rPr>
      </w:pPr>
    </w:p>
    <w:p w14:paraId="7F2FB289" w14:textId="59E11305" w:rsidR="00C95965" w:rsidRPr="00E563B6" w:rsidRDefault="00C95965" w:rsidP="00FB1D1F">
      <w:pPr>
        <w:rPr>
          <w:rFonts w:ascii="Calibri Light" w:hAnsi="Calibri Light" w:cs="Calibri Light"/>
          <w:color w:val="000000" w:themeColor="text1"/>
        </w:rPr>
      </w:pPr>
      <w:r w:rsidRPr="00E563B6">
        <w:rPr>
          <w:rFonts w:ascii="Calibri Light" w:hAnsi="Calibri Light" w:cs="Calibri Light"/>
          <w:b/>
          <w:bCs/>
          <w:color w:val="000000" w:themeColor="text1"/>
        </w:rPr>
        <w:lastRenderedPageBreak/>
        <w:t>Beckett H and Warrington C (2014)</w:t>
      </w:r>
      <w:r w:rsidRPr="00E563B6">
        <w:rPr>
          <w:rFonts w:ascii="Calibri Light" w:hAnsi="Calibri Light" w:cs="Calibri Light"/>
          <w:color w:val="000000" w:themeColor="text1"/>
        </w:rPr>
        <w:t xml:space="preserve"> </w:t>
      </w:r>
      <w:r w:rsidRPr="00E563B6">
        <w:rPr>
          <w:rFonts w:ascii="Calibri Light" w:hAnsi="Calibri Light" w:cs="Calibri Light"/>
          <w:i/>
          <w:iCs/>
          <w:color w:val="000000" w:themeColor="text1"/>
        </w:rPr>
        <w:t>‘Suffering in silence: Children and unreported crime’</w:t>
      </w:r>
      <w:r w:rsidRPr="00E563B6">
        <w:rPr>
          <w:rFonts w:ascii="Calibri Light" w:hAnsi="Calibri Light" w:cs="Calibri Light"/>
          <w:color w:val="000000" w:themeColor="text1"/>
        </w:rPr>
        <w:t xml:space="preserve"> University of Bedfordshire. </w:t>
      </w:r>
      <w:hyperlink r:id="rId7" w:history="1">
        <w:r w:rsidRPr="00E563B6">
          <w:rPr>
            <w:rStyle w:val="Hyperlink"/>
            <w:rFonts w:ascii="Calibri Light" w:hAnsi="Calibri Light" w:cs="Calibri Light"/>
            <w:b/>
            <w:bCs/>
            <w:color w:val="000000" w:themeColor="text1"/>
            <w:u w:val="none"/>
          </w:rPr>
          <w:t>https://www.victimsupport.org.uk/sites/default/files/Suffering%20in%20silence%20-%20Children%20and%20unreported%20crime.pdf</w:t>
        </w:r>
      </w:hyperlink>
      <w:r w:rsidRPr="00E563B6">
        <w:rPr>
          <w:rFonts w:ascii="Calibri Light" w:hAnsi="Calibri Light" w:cs="Calibri Light"/>
          <w:b/>
          <w:bCs/>
          <w:color w:val="000000" w:themeColor="text1"/>
        </w:rPr>
        <w:t xml:space="preserve"> </w:t>
      </w:r>
      <w:r w:rsidRPr="00E563B6">
        <w:rPr>
          <w:rFonts w:ascii="Calibri Light" w:hAnsi="Calibri Light" w:cs="Calibri Light"/>
          <w:color w:val="000000" w:themeColor="text1"/>
        </w:rPr>
        <w:t>(Accessed 09/11/2020)</w:t>
      </w:r>
    </w:p>
    <w:p w14:paraId="2AA3805B" w14:textId="77777777" w:rsidR="00C95965" w:rsidRPr="00E563B6" w:rsidRDefault="00C95965" w:rsidP="00FB1D1F">
      <w:pPr>
        <w:rPr>
          <w:rFonts w:ascii="Calibri Light" w:eastAsia="Times New Roman" w:hAnsi="Calibri Light" w:cs="Calibri Light"/>
          <w:lang w:eastAsia="en-GB"/>
        </w:rPr>
      </w:pPr>
    </w:p>
    <w:p w14:paraId="63E131E5" w14:textId="5D7FFF38" w:rsidR="00C95965" w:rsidRPr="00E563B6" w:rsidRDefault="00C95965" w:rsidP="005553A1">
      <w:pPr>
        <w:rPr>
          <w:rFonts w:ascii="Calibri Light" w:hAnsi="Calibri Light" w:cs="Calibri Light"/>
          <w:color w:val="000000" w:themeColor="text1"/>
        </w:rPr>
      </w:pPr>
      <w:r w:rsidRPr="00E563B6">
        <w:rPr>
          <w:rFonts w:ascii="Calibri Light" w:hAnsi="Calibri Light" w:cs="Calibri Light"/>
          <w:b/>
          <w:bCs/>
          <w:color w:val="000000" w:themeColor="text1"/>
        </w:rPr>
        <w:t>Esposti M, et al (2019)</w:t>
      </w:r>
      <w:r w:rsidRPr="00E563B6">
        <w:rPr>
          <w:rFonts w:ascii="Calibri Light" w:hAnsi="Calibri Light" w:cs="Calibri Light"/>
          <w:color w:val="000000" w:themeColor="text1"/>
        </w:rPr>
        <w:t xml:space="preserve"> </w:t>
      </w:r>
      <w:r w:rsidRPr="00E563B6">
        <w:rPr>
          <w:rFonts w:ascii="Calibri Light" w:hAnsi="Calibri Light" w:cs="Calibri Light"/>
          <w:i/>
          <w:iCs/>
          <w:color w:val="000000" w:themeColor="text1"/>
        </w:rPr>
        <w:t>‘Long term trends in child maltreatment in England and Wales, 1858- 2016: an observational, time series analysis’</w:t>
      </w:r>
      <w:r w:rsidRPr="00E563B6">
        <w:rPr>
          <w:rFonts w:ascii="Calibri Light" w:hAnsi="Calibri Light" w:cs="Calibri Light"/>
          <w:color w:val="000000" w:themeColor="text1"/>
        </w:rPr>
        <w:t xml:space="preserve"> </w:t>
      </w:r>
      <w:r w:rsidRPr="00E563B6">
        <w:rPr>
          <w:rFonts w:ascii="Calibri Light" w:hAnsi="Calibri Light" w:cs="Calibri Light"/>
          <w:b/>
          <w:bCs/>
          <w:color w:val="000000" w:themeColor="text1"/>
        </w:rPr>
        <w:t>The Lancet Public Health</w:t>
      </w:r>
      <w:r w:rsidRPr="00E563B6">
        <w:rPr>
          <w:rFonts w:ascii="Calibri Light" w:hAnsi="Calibri Light" w:cs="Calibri Light"/>
          <w:color w:val="000000" w:themeColor="text1"/>
        </w:rPr>
        <w:t xml:space="preserve">, Vol. 4, Issue. 3. </w:t>
      </w:r>
      <w:hyperlink r:id="rId8" w:history="1">
        <w:r w:rsidRPr="00E563B6">
          <w:rPr>
            <w:rStyle w:val="Hyperlink"/>
            <w:rFonts w:ascii="Calibri Light" w:hAnsi="Calibri Light" w:cs="Calibri Light"/>
            <w:b/>
            <w:bCs/>
            <w:color w:val="000000" w:themeColor="text1"/>
            <w:u w:val="none"/>
          </w:rPr>
          <w:t>https://www.thelancet.com/journals/lanpub/article/PIIS2468-2667(19)30002-7/fulltext</w:t>
        </w:r>
      </w:hyperlink>
      <w:r w:rsidRPr="00E563B6">
        <w:rPr>
          <w:rFonts w:ascii="Calibri Light" w:hAnsi="Calibri Light" w:cs="Calibri Light"/>
          <w:color w:val="000000" w:themeColor="text1"/>
        </w:rPr>
        <w:t xml:space="preserve"> (Accessed 07/11/2020) </w:t>
      </w:r>
    </w:p>
    <w:p w14:paraId="126EF138" w14:textId="77777777" w:rsidR="00C95965" w:rsidRPr="00E563B6" w:rsidRDefault="00C95965" w:rsidP="005553A1">
      <w:pPr>
        <w:rPr>
          <w:rFonts w:ascii="Calibri Light" w:hAnsi="Calibri Light" w:cs="Calibri Light"/>
          <w:color w:val="000000" w:themeColor="text1"/>
        </w:rPr>
      </w:pPr>
    </w:p>
    <w:p w14:paraId="51440F68" w14:textId="77777777" w:rsidR="00C95965" w:rsidRPr="00E563B6" w:rsidRDefault="00C95965" w:rsidP="00EA26A5">
      <w:pPr>
        <w:pStyle w:val="Heading1"/>
        <w:spacing w:before="0" w:beforeAutospacing="0" w:after="225" w:afterAutospacing="0"/>
        <w:rPr>
          <w:rFonts w:ascii="Calibri Light" w:hAnsi="Calibri Light" w:cs="Calibri Light"/>
          <w:b w:val="0"/>
          <w:bCs w:val="0"/>
          <w:color w:val="000000" w:themeColor="text1"/>
          <w:sz w:val="24"/>
          <w:szCs w:val="24"/>
        </w:rPr>
      </w:pPr>
      <w:r w:rsidRPr="00E563B6">
        <w:rPr>
          <w:rFonts w:ascii="Calibri Light" w:hAnsi="Calibri Light" w:cs="Calibri Light"/>
          <w:color w:val="000000" w:themeColor="text1"/>
          <w:sz w:val="24"/>
          <w:szCs w:val="24"/>
        </w:rPr>
        <w:t>Gilbert R, et al (2011)</w:t>
      </w:r>
      <w:r w:rsidRPr="00E563B6">
        <w:rPr>
          <w:rFonts w:ascii="Calibri Light" w:hAnsi="Calibri Light" w:cs="Calibri Light"/>
          <w:b w:val="0"/>
          <w:bCs w:val="0"/>
          <w:color w:val="000000" w:themeColor="text1"/>
          <w:sz w:val="24"/>
          <w:szCs w:val="24"/>
        </w:rPr>
        <w:t xml:space="preserve"> </w:t>
      </w:r>
      <w:r w:rsidRPr="00E563B6">
        <w:rPr>
          <w:rFonts w:ascii="Calibri Light" w:hAnsi="Calibri Light" w:cs="Calibri Light"/>
          <w:b w:val="0"/>
          <w:bCs w:val="0"/>
          <w:i/>
          <w:iCs/>
          <w:color w:val="000000" w:themeColor="text1"/>
          <w:sz w:val="24"/>
          <w:szCs w:val="24"/>
        </w:rPr>
        <w:t xml:space="preserve">‘Child maltreatment: variation in trends and policies in six developed countries treatment’ </w:t>
      </w:r>
      <w:r w:rsidRPr="00E563B6">
        <w:rPr>
          <w:rFonts w:ascii="Calibri Light" w:hAnsi="Calibri Light" w:cs="Calibri Light"/>
          <w:color w:val="000000" w:themeColor="text1"/>
          <w:sz w:val="24"/>
          <w:szCs w:val="24"/>
        </w:rPr>
        <w:t>The Lancet Public Health</w:t>
      </w:r>
      <w:r w:rsidRPr="00E563B6">
        <w:rPr>
          <w:rFonts w:ascii="Calibri Light" w:hAnsi="Calibri Light" w:cs="Calibri Light"/>
          <w:b w:val="0"/>
          <w:bCs w:val="0"/>
          <w:color w:val="000000" w:themeColor="text1"/>
          <w:sz w:val="24"/>
          <w:szCs w:val="24"/>
        </w:rPr>
        <w:t xml:space="preserve">, Vol. 379, Issue. 9817. </w:t>
      </w:r>
      <w:hyperlink r:id="rId9" w:history="1">
        <w:r w:rsidRPr="00E563B6">
          <w:rPr>
            <w:rStyle w:val="Hyperlink"/>
            <w:rFonts w:ascii="Calibri Light" w:hAnsi="Calibri Light" w:cs="Calibri Light"/>
            <w:color w:val="000000" w:themeColor="text1"/>
            <w:sz w:val="24"/>
            <w:szCs w:val="24"/>
            <w:u w:val="none"/>
          </w:rPr>
          <w:t>https://www.thelancet.com/pdfs/journals/lancet/PIIS0140-6736(11)61087-8.pdf</w:t>
        </w:r>
      </w:hyperlink>
      <w:r w:rsidRPr="00E563B6">
        <w:rPr>
          <w:rFonts w:ascii="Calibri Light" w:hAnsi="Calibri Light" w:cs="Calibri Light"/>
          <w:b w:val="0"/>
          <w:bCs w:val="0"/>
          <w:color w:val="000000" w:themeColor="text1"/>
          <w:sz w:val="24"/>
          <w:szCs w:val="24"/>
        </w:rPr>
        <w:t xml:space="preserve"> (Accessed 08/11/2020)</w:t>
      </w:r>
    </w:p>
    <w:p w14:paraId="3B0FF43B" w14:textId="77777777" w:rsidR="00C95965" w:rsidRPr="00E563B6" w:rsidRDefault="00C95965" w:rsidP="005059CA">
      <w:pPr>
        <w:pStyle w:val="NormalWeb"/>
        <w:rPr>
          <w:rFonts w:ascii="Calibri Light" w:hAnsi="Calibri Light" w:cs="Calibri Light"/>
          <w:color w:val="000000" w:themeColor="text1"/>
        </w:rPr>
      </w:pPr>
      <w:r w:rsidRPr="00E563B6">
        <w:rPr>
          <w:rFonts w:ascii="Calibri Light" w:hAnsi="Calibri Light" w:cs="Calibri Light"/>
          <w:b/>
          <w:bCs/>
          <w:color w:val="000000" w:themeColor="text1"/>
        </w:rPr>
        <w:t>Radford L (2011)</w:t>
      </w:r>
      <w:r w:rsidRPr="00E563B6">
        <w:rPr>
          <w:rFonts w:ascii="Calibri Light" w:hAnsi="Calibri Light" w:cs="Calibri Light"/>
          <w:color w:val="000000" w:themeColor="text1"/>
        </w:rPr>
        <w:t xml:space="preserve"> </w:t>
      </w:r>
      <w:r w:rsidRPr="00E563B6">
        <w:rPr>
          <w:rFonts w:ascii="Calibri Light" w:hAnsi="Calibri Light" w:cs="Calibri Light"/>
          <w:i/>
          <w:iCs/>
          <w:color w:val="000000" w:themeColor="text1"/>
        </w:rPr>
        <w:t>‘Child abuse and neglect in the UK today’</w:t>
      </w:r>
      <w:r w:rsidRPr="00E563B6">
        <w:rPr>
          <w:rFonts w:ascii="Calibri Light" w:hAnsi="Calibri Light" w:cs="Calibri Light"/>
          <w:color w:val="000000" w:themeColor="text1"/>
        </w:rPr>
        <w:t xml:space="preserve"> NSPCC </w:t>
      </w:r>
      <w:hyperlink r:id="rId10" w:history="1">
        <w:r w:rsidRPr="00E563B6">
          <w:rPr>
            <w:rStyle w:val="Hyperlink"/>
            <w:rFonts w:ascii="Calibri Light" w:hAnsi="Calibri Light" w:cs="Calibri Light"/>
            <w:b/>
            <w:bCs/>
            <w:color w:val="000000" w:themeColor="text1"/>
            <w:u w:val="none"/>
          </w:rPr>
          <w:t>https://www.blackpoolsafeguarding.org.uk/assets/uploads/resources/Children/child_abuse_neglect_research_PDF_wdf84181.pdf</w:t>
        </w:r>
      </w:hyperlink>
      <w:r w:rsidRPr="00E563B6">
        <w:rPr>
          <w:rFonts w:ascii="Calibri Light" w:hAnsi="Calibri Light" w:cs="Calibri Light"/>
          <w:color w:val="000000" w:themeColor="text1"/>
        </w:rPr>
        <w:t xml:space="preserve"> (Accessed 07/11/2020)</w:t>
      </w:r>
    </w:p>
    <w:p w14:paraId="6E19410A" w14:textId="77777777" w:rsidR="00C95965" w:rsidRPr="00E563B6" w:rsidRDefault="00C95965" w:rsidP="00FB1D1F">
      <w:pPr>
        <w:rPr>
          <w:rFonts w:ascii="Calibri Light" w:eastAsia="Times New Roman" w:hAnsi="Calibri Light" w:cs="Calibri Light"/>
          <w:lang w:eastAsia="en-GB"/>
        </w:rPr>
      </w:pPr>
      <w:r w:rsidRPr="00E563B6">
        <w:rPr>
          <w:rFonts w:ascii="Calibri Light" w:eastAsia="Times New Roman" w:hAnsi="Calibri Light" w:cs="Calibri Light"/>
          <w:b/>
          <w:bCs/>
          <w:lang w:eastAsia="en-GB"/>
        </w:rPr>
        <w:t>Sidebotham P (2010)</w:t>
      </w:r>
      <w:r w:rsidRPr="00E563B6">
        <w:rPr>
          <w:rFonts w:ascii="Calibri Light" w:eastAsia="Times New Roman" w:hAnsi="Calibri Light" w:cs="Calibri Light"/>
          <w:lang w:eastAsia="en-GB"/>
        </w:rPr>
        <w:t xml:space="preserve"> </w:t>
      </w:r>
      <w:r w:rsidRPr="00E563B6">
        <w:rPr>
          <w:rFonts w:ascii="Calibri Light" w:eastAsia="Times New Roman" w:hAnsi="Calibri Light" w:cs="Calibri Light"/>
          <w:i/>
          <w:iCs/>
          <w:lang w:eastAsia="en-GB"/>
        </w:rPr>
        <w:t xml:space="preserve">‘Serious and fatal maltreatment: Setting serious case review data in context with other data on violent and maltreatment related death in 2009-10’ </w:t>
      </w:r>
      <w:r w:rsidRPr="00E563B6">
        <w:rPr>
          <w:rFonts w:ascii="Calibri Light" w:eastAsia="Times New Roman" w:hAnsi="Calibri Light" w:cs="Calibri Light"/>
          <w:lang w:eastAsia="en-GB"/>
        </w:rPr>
        <w:t xml:space="preserve">University of Warwick. </w:t>
      </w:r>
      <w:hyperlink r:id="rId11" w:history="1">
        <w:r w:rsidRPr="00E563B6">
          <w:rPr>
            <w:rStyle w:val="Hyperlink"/>
            <w:rFonts w:ascii="Calibri Light" w:eastAsia="Times New Roman" w:hAnsi="Calibri Light" w:cs="Calibri Light"/>
            <w:b/>
            <w:bCs/>
            <w:color w:val="000000" w:themeColor="text1"/>
            <w:u w:val="none"/>
            <w:lang w:eastAsia="en-GB"/>
          </w:rPr>
          <w:t>https://assets.publishing.service.gov.uk/government/uploads/system/uploads/attachment_data/file/183297/DFE-RR167.pdf</w:t>
        </w:r>
      </w:hyperlink>
      <w:r w:rsidRPr="00E563B6">
        <w:rPr>
          <w:rFonts w:ascii="Calibri Light" w:eastAsia="Times New Roman" w:hAnsi="Calibri Light" w:cs="Calibri Light"/>
          <w:lang w:eastAsia="en-GB"/>
        </w:rPr>
        <w:t xml:space="preserve"> (Accessed 10/11/2020) </w:t>
      </w:r>
    </w:p>
    <w:p w14:paraId="5C1C6D71" w14:textId="77777777" w:rsidR="001F3C9F" w:rsidRPr="00E563B6" w:rsidRDefault="001F3C9F" w:rsidP="00FB1D1F">
      <w:pPr>
        <w:rPr>
          <w:rFonts w:ascii="Helvetica Light" w:eastAsia="Times New Roman" w:hAnsi="Helvetica Light" w:cs="Times New Roman"/>
          <w:lang w:eastAsia="en-GB"/>
        </w:rPr>
      </w:pPr>
    </w:p>
    <w:p w14:paraId="060D5061" w14:textId="77777777" w:rsidR="001F3C9F" w:rsidRDefault="001F3C9F" w:rsidP="00FB1D1F">
      <w:pPr>
        <w:rPr>
          <w:rFonts w:ascii="Times New Roman" w:eastAsia="Times New Roman" w:hAnsi="Times New Roman" w:cs="Times New Roman"/>
          <w:lang w:eastAsia="en-GB"/>
        </w:rPr>
      </w:pPr>
    </w:p>
    <w:p w14:paraId="0ABFF253" w14:textId="14A0D12E" w:rsidR="00F85DD0" w:rsidRDefault="00F85DD0" w:rsidP="005059CA">
      <w:pPr>
        <w:pStyle w:val="NormalWeb"/>
        <w:rPr>
          <w:rFonts w:ascii="HelveticaNeue" w:hAnsi="HelveticaNeue"/>
          <w:sz w:val="22"/>
          <w:szCs w:val="22"/>
        </w:rPr>
      </w:pPr>
    </w:p>
    <w:p w14:paraId="2C0FDA81" w14:textId="77777777" w:rsidR="005059CA" w:rsidRDefault="005059CA" w:rsidP="005059CA">
      <w:pPr>
        <w:pStyle w:val="NormalWeb"/>
      </w:pPr>
    </w:p>
    <w:p w14:paraId="6CBF71EB" w14:textId="7F1BE9A2" w:rsidR="005059CA" w:rsidRPr="00426656" w:rsidRDefault="005059CA" w:rsidP="005553A1">
      <w:pPr>
        <w:rPr>
          <w:rFonts w:ascii="Calibri" w:hAnsi="Calibri" w:cs="Calibri"/>
          <w:sz w:val="22"/>
          <w:szCs w:val="22"/>
        </w:rPr>
      </w:pPr>
    </w:p>
    <w:sectPr w:rsidR="005059CA" w:rsidRPr="00426656">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63AC2E" w14:textId="77777777" w:rsidR="00F0729B" w:rsidRDefault="00F0729B" w:rsidP="005553A1">
      <w:r>
        <w:separator/>
      </w:r>
    </w:p>
  </w:endnote>
  <w:endnote w:type="continuationSeparator" w:id="0">
    <w:p w14:paraId="0E61D735" w14:textId="77777777" w:rsidR="00F0729B" w:rsidRDefault="00F0729B" w:rsidP="00555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Helvetica Light">
    <w:altName w:val="HELVETICA LIGHT"/>
    <w:panose1 w:val="020B0403020202020204"/>
    <w:charset w:val="00"/>
    <w:family w:val="swiss"/>
    <w:pitch w:val="variable"/>
    <w:sig w:usb0="800000AF" w:usb1="4000204A" w:usb2="00000000" w:usb3="00000000" w:csb0="00000001" w:csb1="00000000"/>
  </w:font>
  <w:font w:name="HelveticaNeue">
    <w:altName w:val="Sylfaen"/>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D227B7" w14:textId="79F6C36B" w:rsidR="005553A1" w:rsidRPr="005553A1" w:rsidRDefault="005553A1" w:rsidP="005553A1">
    <w:pPr>
      <w:pStyle w:val="Footer"/>
      <w:rPr>
        <w:sz w:val="21"/>
        <w:szCs w:val="21"/>
      </w:rPr>
    </w:pPr>
    <w:r w:rsidRPr="005553A1">
      <w:rPr>
        <w:sz w:val="21"/>
        <w:szCs w:val="21"/>
      </w:rPr>
      <w:t xml:space="preserve">Claudine Young </w:t>
    </w:r>
    <w:r w:rsidRPr="005553A1">
      <w:rPr>
        <w:sz w:val="21"/>
        <w:szCs w:val="21"/>
      </w:rPr>
      <w:ptab w:relativeTo="margin" w:alignment="center" w:leader="none"/>
    </w:r>
    <w:r>
      <w:rPr>
        <w:sz w:val="21"/>
        <w:szCs w:val="21"/>
      </w:rPr>
      <w:t xml:space="preserve">   </w:t>
    </w:r>
    <w:r w:rsidRPr="005553A1">
      <w:rPr>
        <w:sz w:val="21"/>
        <w:szCs w:val="21"/>
      </w:rPr>
      <w:t>The Criminal justice system, youth justice and prisons in England and Wales</w:t>
    </w:r>
    <w:r w:rsidRPr="005553A1">
      <w:rPr>
        <w:sz w:val="21"/>
        <w:szCs w:val="21"/>
      </w:rPr>
      <w:ptab w:relativeTo="margin" w:alignment="right" w:leader="none"/>
    </w:r>
    <w:r w:rsidRPr="005553A1">
      <w:rPr>
        <w:sz w:val="21"/>
        <w:szCs w:val="21"/>
      </w:rPr>
      <w:t>1706553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648C42" w14:textId="77777777" w:rsidR="00F0729B" w:rsidRDefault="00F0729B" w:rsidP="005553A1">
      <w:r>
        <w:separator/>
      </w:r>
    </w:p>
  </w:footnote>
  <w:footnote w:type="continuationSeparator" w:id="0">
    <w:p w14:paraId="1E6E65CB" w14:textId="77777777" w:rsidR="00F0729B" w:rsidRDefault="00F0729B" w:rsidP="00555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F8EF22" w14:textId="54CC99C4" w:rsidR="005553A1" w:rsidRDefault="005553A1">
    <w:pPr>
      <w:pStyle w:val="Header"/>
    </w:pPr>
    <w:r>
      <w:t>Maxim Harvey</w:t>
    </w:r>
    <w:r>
      <w:ptab w:relativeTo="margin" w:alignment="center" w:leader="none"/>
    </w:r>
    <w:r>
      <w:t>MA Criminal Justice and Policing (UWTSD)</w:t>
    </w:r>
    <w:r>
      <w:ptab w:relativeTo="margin" w:alignment="right" w:leader="none"/>
    </w:r>
    <w:r>
      <w:t>06/11/2020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FB2667"/>
    <w:multiLevelType w:val="hybridMultilevel"/>
    <w:tmpl w:val="0C22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B84278"/>
    <w:multiLevelType w:val="hybridMultilevel"/>
    <w:tmpl w:val="92323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3A1"/>
    <w:rsid w:val="000D34E6"/>
    <w:rsid w:val="0016470C"/>
    <w:rsid w:val="00166A3A"/>
    <w:rsid w:val="001B1EEE"/>
    <w:rsid w:val="001F3C9F"/>
    <w:rsid w:val="0021104A"/>
    <w:rsid w:val="0021305D"/>
    <w:rsid w:val="00261EEE"/>
    <w:rsid w:val="002748D4"/>
    <w:rsid w:val="0027637E"/>
    <w:rsid w:val="002909D3"/>
    <w:rsid w:val="00302AA3"/>
    <w:rsid w:val="00391681"/>
    <w:rsid w:val="003A10D6"/>
    <w:rsid w:val="003B597A"/>
    <w:rsid w:val="003C03F7"/>
    <w:rsid w:val="004008C1"/>
    <w:rsid w:val="00426656"/>
    <w:rsid w:val="00431D72"/>
    <w:rsid w:val="004407CA"/>
    <w:rsid w:val="00471753"/>
    <w:rsid w:val="004A2189"/>
    <w:rsid w:val="004D5E53"/>
    <w:rsid w:val="004F4240"/>
    <w:rsid w:val="005059CA"/>
    <w:rsid w:val="00510025"/>
    <w:rsid w:val="00517A07"/>
    <w:rsid w:val="00526BF0"/>
    <w:rsid w:val="005553A1"/>
    <w:rsid w:val="005601C1"/>
    <w:rsid w:val="005B6BA5"/>
    <w:rsid w:val="005C60B8"/>
    <w:rsid w:val="006009F6"/>
    <w:rsid w:val="00626920"/>
    <w:rsid w:val="00635B6D"/>
    <w:rsid w:val="0064603A"/>
    <w:rsid w:val="006726D0"/>
    <w:rsid w:val="00672ADD"/>
    <w:rsid w:val="00722B3F"/>
    <w:rsid w:val="007F2AF4"/>
    <w:rsid w:val="007F52D3"/>
    <w:rsid w:val="0084308E"/>
    <w:rsid w:val="00883876"/>
    <w:rsid w:val="008A7B04"/>
    <w:rsid w:val="008B236D"/>
    <w:rsid w:val="008E3154"/>
    <w:rsid w:val="009326B8"/>
    <w:rsid w:val="0094370D"/>
    <w:rsid w:val="009739AD"/>
    <w:rsid w:val="00975854"/>
    <w:rsid w:val="009963A1"/>
    <w:rsid w:val="009E4466"/>
    <w:rsid w:val="00A068D4"/>
    <w:rsid w:val="00A52922"/>
    <w:rsid w:val="00AA5FFB"/>
    <w:rsid w:val="00AE4911"/>
    <w:rsid w:val="00B27204"/>
    <w:rsid w:val="00B43FC1"/>
    <w:rsid w:val="00B44C6E"/>
    <w:rsid w:val="00B604EA"/>
    <w:rsid w:val="00BB4C1D"/>
    <w:rsid w:val="00BD356A"/>
    <w:rsid w:val="00BE1134"/>
    <w:rsid w:val="00C95965"/>
    <w:rsid w:val="00CA1BE7"/>
    <w:rsid w:val="00CC6E14"/>
    <w:rsid w:val="00D40741"/>
    <w:rsid w:val="00D54D06"/>
    <w:rsid w:val="00D75A5F"/>
    <w:rsid w:val="00D84A81"/>
    <w:rsid w:val="00DB7617"/>
    <w:rsid w:val="00DC1AE1"/>
    <w:rsid w:val="00DD09E5"/>
    <w:rsid w:val="00E05CA8"/>
    <w:rsid w:val="00E254F8"/>
    <w:rsid w:val="00E304E2"/>
    <w:rsid w:val="00E563B6"/>
    <w:rsid w:val="00E7095A"/>
    <w:rsid w:val="00EA26A5"/>
    <w:rsid w:val="00EB7E5B"/>
    <w:rsid w:val="00F0729B"/>
    <w:rsid w:val="00F12C6F"/>
    <w:rsid w:val="00F21CB9"/>
    <w:rsid w:val="00F85DD0"/>
    <w:rsid w:val="00F863BD"/>
    <w:rsid w:val="00FB1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76D36C"/>
  <w15:chartTrackingRefBased/>
  <w15:docId w15:val="{A2B15D39-6421-2346-AEF6-C3885A96B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A26A5"/>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3A1"/>
    <w:pPr>
      <w:tabs>
        <w:tab w:val="center" w:pos="4513"/>
        <w:tab w:val="right" w:pos="9026"/>
      </w:tabs>
    </w:pPr>
  </w:style>
  <w:style w:type="character" w:customStyle="1" w:styleId="HeaderChar">
    <w:name w:val="Header Char"/>
    <w:basedOn w:val="DefaultParagraphFont"/>
    <w:link w:val="Header"/>
    <w:uiPriority w:val="99"/>
    <w:rsid w:val="005553A1"/>
  </w:style>
  <w:style w:type="paragraph" w:styleId="Footer">
    <w:name w:val="footer"/>
    <w:basedOn w:val="Normal"/>
    <w:link w:val="FooterChar"/>
    <w:uiPriority w:val="99"/>
    <w:unhideWhenUsed/>
    <w:rsid w:val="005553A1"/>
    <w:pPr>
      <w:tabs>
        <w:tab w:val="center" w:pos="4513"/>
        <w:tab w:val="right" w:pos="9026"/>
      </w:tabs>
    </w:pPr>
  </w:style>
  <w:style w:type="character" w:customStyle="1" w:styleId="FooterChar">
    <w:name w:val="Footer Char"/>
    <w:basedOn w:val="DefaultParagraphFont"/>
    <w:link w:val="Footer"/>
    <w:uiPriority w:val="99"/>
    <w:rsid w:val="005553A1"/>
  </w:style>
  <w:style w:type="character" w:styleId="Hyperlink">
    <w:name w:val="Hyperlink"/>
    <w:basedOn w:val="DefaultParagraphFont"/>
    <w:uiPriority w:val="99"/>
    <w:unhideWhenUsed/>
    <w:rsid w:val="008B236D"/>
    <w:rPr>
      <w:color w:val="0563C1" w:themeColor="hyperlink"/>
      <w:u w:val="single"/>
    </w:rPr>
  </w:style>
  <w:style w:type="character" w:styleId="UnresolvedMention">
    <w:name w:val="Unresolved Mention"/>
    <w:basedOn w:val="DefaultParagraphFont"/>
    <w:uiPriority w:val="99"/>
    <w:semiHidden/>
    <w:unhideWhenUsed/>
    <w:rsid w:val="008B236D"/>
    <w:rPr>
      <w:color w:val="605E5C"/>
      <w:shd w:val="clear" w:color="auto" w:fill="E1DFDD"/>
    </w:rPr>
  </w:style>
  <w:style w:type="character" w:customStyle="1" w:styleId="apple-converted-space">
    <w:name w:val="apple-converted-space"/>
    <w:basedOn w:val="DefaultParagraphFont"/>
    <w:rsid w:val="00A52922"/>
  </w:style>
  <w:style w:type="paragraph" w:styleId="NormalWeb">
    <w:name w:val="Normal (Web)"/>
    <w:basedOn w:val="Normal"/>
    <w:uiPriority w:val="99"/>
    <w:unhideWhenUsed/>
    <w:rsid w:val="005601C1"/>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9739AD"/>
    <w:rPr>
      <w:color w:val="954F72" w:themeColor="followedHyperlink"/>
      <w:u w:val="single"/>
    </w:rPr>
  </w:style>
  <w:style w:type="character" w:customStyle="1" w:styleId="Heading1Char">
    <w:name w:val="Heading 1 Char"/>
    <w:basedOn w:val="DefaultParagraphFont"/>
    <w:link w:val="Heading1"/>
    <w:uiPriority w:val="9"/>
    <w:rsid w:val="00EA26A5"/>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B27204"/>
    <w:rPr>
      <w:i/>
      <w:iCs/>
    </w:rPr>
  </w:style>
  <w:style w:type="paragraph" w:styleId="ListParagraph">
    <w:name w:val="List Paragraph"/>
    <w:basedOn w:val="Normal"/>
    <w:uiPriority w:val="34"/>
    <w:qFormat/>
    <w:rsid w:val="001F3C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618197">
      <w:bodyDiv w:val="1"/>
      <w:marLeft w:val="0"/>
      <w:marRight w:val="0"/>
      <w:marTop w:val="0"/>
      <w:marBottom w:val="0"/>
      <w:divBdr>
        <w:top w:val="none" w:sz="0" w:space="0" w:color="auto"/>
        <w:left w:val="none" w:sz="0" w:space="0" w:color="auto"/>
        <w:bottom w:val="none" w:sz="0" w:space="0" w:color="auto"/>
        <w:right w:val="none" w:sz="0" w:space="0" w:color="auto"/>
      </w:divBdr>
      <w:divsChild>
        <w:div w:id="1028872188">
          <w:marLeft w:val="0"/>
          <w:marRight w:val="0"/>
          <w:marTop w:val="0"/>
          <w:marBottom w:val="0"/>
          <w:divBdr>
            <w:top w:val="none" w:sz="0" w:space="0" w:color="auto"/>
            <w:left w:val="none" w:sz="0" w:space="0" w:color="auto"/>
            <w:bottom w:val="none" w:sz="0" w:space="0" w:color="auto"/>
            <w:right w:val="none" w:sz="0" w:space="0" w:color="auto"/>
          </w:divBdr>
          <w:divsChild>
            <w:div w:id="205727972">
              <w:marLeft w:val="0"/>
              <w:marRight w:val="0"/>
              <w:marTop w:val="0"/>
              <w:marBottom w:val="0"/>
              <w:divBdr>
                <w:top w:val="none" w:sz="0" w:space="0" w:color="auto"/>
                <w:left w:val="none" w:sz="0" w:space="0" w:color="auto"/>
                <w:bottom w:val="none" w:sz="0" w:space="0" w:color="auto"/>
                <w:right w:val="none" w:sz="0" w:space="0" w:color="auto"/>
              </w:divBdr>
              <w:divsChild>
                <w:div w:id="1357579001">
                  <w:marLeft w:val="0"/>
                  <w:marRight w:val="0"/>
                  <w:marTop w:val="0"/>
                  <w:marBottom w:val="0"/>
                  <w:divBdr>
                    <w:top w:val="none" w:sz="0" w:space="0" w:color="auto"/>
                    <w:left w:val="none" w:sz="0" w:space="0" w:color="auto"/>
                    <w:bottom w:val="none" w:sz="0" w:space="0" w:color="auto"/>
                    <w:right w:val="none" w:sz="0" w:space="0" w:color="auto"/>
                  </w:divBdr>
                  <w:divsChild>
                    <w:div w:id="13182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078896">
      <w:bodyDiv w:val="1"/>
      <w:marLeft w:val="0"/>
      <w:marRight w:val="0"/>
      <w:marTop w:val="0"/>
      <w:marBottom w:val="0"/>
      <w:divBdr>
        <w:top w:val="none" w:sz="0" w:space="0" w:color="auto"/>
        <w:left w:val="none" w:sz="0" w:space="0" w:color="auto"/>
        <w:bottom w:val="none" w:sz="0" w:space="0" w:color="auto"/>
        <w:right w:val="none" w:sz="0" w:space="0" w:color="auto"/>
      </w:divBdr>
    </w:div>
    <w:div w:id="291638776">
      <w:bodyDiv w:val="1"/>
      <w:marLeft w:val="0"/>
      <w:marRight w:val="0"/>
      <w:marTop w:val="0"/>
      <w:marBottom w:val="0"/>
      <w:divBdr>
        <w:top w:val="none" w:sz="0" w:space="0" w:color="auto"/>
        <w:left w:val="none" w:sz="0" w:space="0" w:color="auto"/>
        <w:bottom w:val="none" w:sz="0" w:space="0" w:color="auto"/>
        <w:right w:val="none" w:sz="0" w:space="0" w:color="auto"/>
      </w:divBdr>
      <w:divsChild>
        <w:div w:id="578976500">
          <w:marLeft w:val="0"/>
          <w:marRight w:val="0"/>
          <w:marTop w:val="0"/>
          <w:marBottom w:val="0"/>
          <w:divBdr>
            <w:top w:val="none" w:sz="0" w:space="0" w:color="auto"/>
            <w:left w:val="none" w:sz="0" w:space="0" w:color="auto"/>
            <w:bottom w:val="none" w:sz="0" w:space="0" w:color="auto"/>
            <w:right w:val="none" w:sz="0" w:space="0" w:color="auto"/>
          </w:divBdr>
          <w:divsChild>
            <w:div w:id="1781101554">
              <w:marLeft w:val="0"/>
              <w:marRight w:val="0"/>
              <w:marTop w:val="0"/>
              <w:marBottom w:val="0"/>
              <w:divBdr>
                <w:top w:val="none" w:sz="0" w:space="0" w:color="auto"/>
                <w:left w:val="none" w:sz="0" w:space="0" w:color="auto"/>
                <w:bottom w:val="none" w:sz="0" w:space="0" w:color="auto"/>
                <w:right w:val="none" w:sz="0" w:space="0" w:color="auto"/>
              </w:divBdr>
              <w:divsChild>
                <w:div w:id="997490539">
                  <w:marLeft w:val="0"/>
                  <w:marRight w:val="0"/>
                  <w:marTop w:val="0"/>
                  <w:marBottom w:val="0"/>
                  <w:divBdr>
                    <w:top w:val="none" w:sz="0" w:space="0" w:color="auto"/>
                    <w:left w:val="none" w:sz="0" w:space="0" w:color="auto"/>
                    <w:bottom w:val="none" w:sz="0" w:space="0" w:color="auto"/>
                    <w:right w:val="none" w:sz="0" w:space="0" w:color="auto"/>
                  </w:divBdr>
                  <w:divsChild>
                    <w:div w:id="1273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950980">
      <w:bodyDiv w:val="1"/>
      <w:marLeft w:val="0"/>
      <w:marRight w:val="0"/>
      <w:marTop w:val="0"/>
      <w:marBottom w:val="0"/>
      <w:divBdr>
        <w:top w:val="none" w:sz="0" w:space="0" w:color="auto"/>
        <w:left w:val="none" w:sz="0" w:space="0" w:color="auto"/>
        <w:bottom w:val="none" w:sz="0" w:space="0" w:color="auto"/>
        <w:right w:val="none" w:sz="0" w:space="0" w:color="auto"/>
      </w:divBdr>
    </w:div>
    <w:div w:id="423262978">
      <w:bodyDiv w:val="1"/>
      <w:marLeft w:val="0"/>
      <w:marRight w:val="0"/>
      <w:marTop w:val="0"/>
      <w:marBottom w:val="0"/>
      <w:divBdr>
        <w:top w:val="none" w:sz="0" w:space="0" w:color="auto"/>
        <w:left w:val="none" w:sz="0" w:space="0" w:color="auto"/>
        <w:bottom w:val="none" w:sz="0" w:space="0" w:color="auto"/>
        <w:right w:val="none" w:sz="0" w:space="0" w:color="auto"/>
      </w:divBdr>
      <w:divsChild>
        <w:div w:id="121924760">
          <w:marLeft w:val="0"/>
          <w:marRight w:val="0"/>
          <w:marTop w:val="0"/>
          <w:marBottom w:val="0"/>
          <w:divBdr>
            <w:top w:val="none" w:sz="0" w:space="0" w:color="auto"/>
            <w:left w:val="none" w:sz="0" w:space="0" w:color="auto"/>
            <w:bottom w:val="none" w:sz="0" w:space="0" w:color="auto"/>
            <w:right w:val="none" w:sz="0" w:space="0" w:color="auto"/>
          </w:divBdr>
          <w:divsChild>
            <w:div w:id="1566262460">
              <w:marLeft w:val="0"/>
              <w:marRight w:val="0"/>
              <w:marTop w:val="0"/>
              <w:marBottom w:val="0"/>
              <w:divBdr>
                <w:top w:val="none" w:sz="0" w:space="0" w:color="auto"/>
                <w:left w:val="none" w:sz="0" w:space="0" w:color="auto"/>
                <w:bottom w:val="none" w:sz="0" w:space="0" w:color="auto"/>
                <w:right w:val="none" w:sz="0" w:space="0" w:color="auto"/>
              </w:divBdr>
              <w:divsChild>
                <w:div w:id="1048379741">
                  <w:marLeft w:val="0"/>
                  <w:marRight w:val="0"/>
                  <w:marTop w:val="0"/>
                  <w:marBottom w:val="0"/>
                  <w:divBdr>
                    <w:top w:val="none" w:sz="0" w:space="0" w:color="auto"/>
                    <w:left w:val="none" w:sz="0" w:space="0" w:color="auto"/>
                    <w:bottom w:val="none" w:sz="0" w:space="0" w:color="auto"/>
                    <w:right w:val="none" w:sz="0" w:space="0" w:color="auto"/>
                  </w:divBdr>
                  <w:divsChild>
                    <w:div w:id="27440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9903825">
      <w:bodyDiv w:val="1"/>
      <w:marLeft w:val="0"/>
      <w:marRight w:val="0"/>
      <w:marTop w:val="0"/>
      <w:marBottom w:val="0"/>
      <w:divBdr>
        <w:top w:val="none" w:sz="0" w:space="0" w:color="auto"/>
        <w:left w:val="none" w:sz="0" w:space="0" w:color="auto"/>
        <w:bottom w:val="none" w:sz="0" w:space="0" w:color="auto"/>
        <w:right w:val="none" w:sz="0" w:space="0" w:color="auto"/>
      </w:divBdr>
    </w:div>
    <w:div w:id="593443632">
      <w:bodyDiv w:val="1"/>
      <w:marLeft w:val="0"/>
      <w:marRight w:val="0"/>
      <w:marTop w:val="0"/>
      <w:marBottom w:val="0"/>
      <w:divBdr>
        <w:top w:val="none" w:sz="0" w:space="0" w:color="auto"/>
        <w:left w:val="none" w:sz="0" w:space="0" w:color="auto"/>
        <w:bottom w:val="none" w:sz="0" w:space="0" w:color="auto"/>
        <w:right w:val="none" w:sz="0" w:space="0" w:color="auto"/>
      </w:divBdr>
      <w:divsChild>
        <w:div w:id="1279333829">
          <w:marLeft w:val="0"/>
          <w:marRight w:val="0"/>
          <w:marTop w:val="0"/>
          <w:marBottom w:val="0"/>
          <w:divBdr>
            <w:top w:val="none" w:sz="0" w:space="0" w:color="auto"/>
            <w:left w:val="none" w:sz="0" w:space="0" w:color="auto"/>
            <w:bottom w:val="none" w:sz="0" w:space="0" w:color="auto"/>
            <w:right w:val="none" w:sz="0" w:space="0" w:color="auto"/>
          </w:divBdr>
          <w:divsChild>
            <w:div w:id="687681968">
              <w:marLeft w:val="0"/>
              <w:marRight w:val="0"/>
              <w:marTop w:val="0"/>
              <w:marBottom w:val="0"/>
              <w:divBdr>
                <w:top w:val="none" w:sz="0" w:space="0" w:color="auto"/>
                <w:left w:val="none" w:sz="0" w:space="0" w:color="auto"/>
                <w:bottom w:val="none" w:sz="0" w:space="0" w:color="auto"/>
                <w:right w:val="none" w:sz="0" w:space="0" w:color="auto"/>
              </w:divBdr>
              <w:divsChild>
                <w:div w:id="683433955">
                  <w:marLeft w:val="0"/>
                  <w:marRight w:val="0"/>
                  <w:marTop w:val="0"/>
                  <w:marBottom w:val="0"/>
                  <w:divBdr>
                    <w:top w:val="none" w:sz="0" w:space="0" w:color="auto"/>
                    <w:left w:val="none" w:sz="0" w:space="0" w:color="auto"/>
                    <w:bottom w:val="none" w:sz="0" w:space="0" w:color="auto"/>
                    <w:right w:val="none" w:sz="0" w:space="0" w:color="auto"/>
                  </w:divBdr>
                  <w:divsChild>
                    <w:div w:id="400449574">
                      <w:marLeft w:val="0"/>
                      <w:marRight w:val="0"/>
                      <w:marTop w:val="0"/>
                      <w:marBottom w:val="0"/>
                      <w:divBdr>
                        <w:top w:val="none" w:sz="0" w:space="0" w:color="auto"/>
                        <w:left w:val="none" w:sz="0" w:space="0" w:color="auto"/>
                        <w:bottom w:val="none" w:sz="0" w:space="0" w:color="auto"/>
                        <w:right w:val="none" w:sz="0" w:space="0" w:color="auto"/>
                      </w:divBdr>
                      <w:divsChild>
                        <w:div w:id="547689901">
                          <w:marLeft w:val="0"/>
                          <w:marRight w:val="0"/>
                          <w:marTop w:val="0"/>
                          <w:marBottom w:val="0"/>
                          <w:divBdr>
                            <w:top w:val="none" w:sz="0" w:space="0" w:color="auto"/>
                            <w:left w:val="none" w:sz="0" w:space="0" w:color="auto"/>
                            <w:bottom w:val="none" w:sz="0" w:space="0" w:color="auto"/>
                            <w:right w:val="none" w:sz="0" w:space="0" w:color="auto"/>
                          </w:divBdr>
                          <w:divsChild>
                            <w:div w:id="108993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430301">
      <w:bodyDiv w:val="1"/>
      <w:marLeft w:val="0"/>
      <w:marRight w:val="0"/>
      <w:marTop w:val="0"/>
      <w:marBottom w:val="0"/>
      <w:divBdr>
        <w:top w:val="none" w:sz="0" w:space="0" w:color="auto"/>
        <w:left w:val="none" w:sz="0" w:space="0" w:color="auto"/>
        <w:bottom w:val="none" w:sz="0" w:space="0" w:color="auto"/>
        <w:right w:val="none" w:sz="0" w:space="0" w:color="auto"/>
      </w:divBdr>
      <w:divsChild>
        <w:div w:id="1439257757">
          <w:marLeft w:val="0"/>
          <w:marRight w:val="0"/>
          <w:marTop w:val="0"/>
          <w:marBottom w:val="0"/>
          <w:divBdr>
            <w:top w:val="none" w:sz="0" w:space="0" w:color="auto"/>
            <w:left w:val="none" w:sz="0" w:space="0" w:color="auto"/>
            <w:bottom w:val="none" w:sz="0" w:space="0" w:color="auto"/>
            <w:right w:val="none" w:sz="0" w:space="0" w:color="auto"/>
          </w:divBdr>
          <w:divsChild>
            <w:div w:id="1735926782">
              <w:marLeft w:val="0"/>
              <w:marRight w:val="0"/>
              <w:marTop w:val="0"/>
              <w:marBottom w:val="0"/>
              <w:divBdr>
                <w:top w:val="none" w:sz="0" w:space="0" w:color="auto"/>
                <w:left w:val="none" w:sz="0" w:space="0" w:color="auto"/>
                <w:bottom w:val="none" w:sz="0" w:space="0" w:color="auto"/>
                <w:right w:val="none" w:sz="0" w:space="0" w:color="auto"/>
              </w:divBdr>
              <w:divsChild>
                <w:div w:id="42738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164925">
      <w:bodyDiv w:val="1"/>
      <w:marLeft w:val="0"/>
      <w:marRight w:val="0"/>
      <w:marTop w:val="0"/>
      <w:marBottom w:val="0"/>
      <w:divBdr>
        <w:top w:val="none" w:sz="0" w:space="0" w:color="auto"/>
        <w:left w:val="none" w:sz="0" w:space="0" w:color="auto"/>
        <w:bottom w:val="none" w:sz="0" w:space="0" w:color="auto"/>
        <w:right w:val="none" w:sz="0" w:space="0" w:color="auto"/>
      </w:divBdr>
    </w:div>
    <w:div w:id="802889899">
      <w:bodyDiv w:val="1"/>
      <w:marLeft w:val="0"/>
      <w:marRight w:val="0"/>
      <w:marTop w:val="0"/>
      <w:marBottom w:val="0"/>
      <w:divBdr>
        <w:top w:val="none" w:sz="0" w:space="0" w:color="auto"/>
        <w:left w:val="none" w:sz="0" w:space="0" w:color="auto"/>
        <w:bottom w:val="none" w:sz="0" w:space="0" w:color="auto"/>
        <w:right w:val="none" w:sz="0" w:space="0" w:color="auto"/>
      </w:divBdr>
    </w:div>
    <w:div w:id="899679329">
      <w:bodyDiv w:val="1"/>
      <w:marLeft w:val="0"/>
      <w:marRight w:val="0"/>
      <w:marTop w:val="0"/>
      <w:marBottom w:val="0"/>
      <w:divBdr>
        <w:top w:val="none" w:sz="0" w:space="0" w:color="auto"/>
        <w:left w:val="none" w:sz="0" w:space="0" w:color="auto"/>
        <w:bottom w:val="none" w:sz="0" w:space="0" w:color="auto"/>
        <w:right w:val="none" w:sz="0" w:space="0" w:color="auto"/>
      </w:divBdr>
      <w:divsChild>
        <w:div w:id="1775055240">
          <w:marLeft w:val="0"/>
          <w:marRight w:val="0"/>
          <w:marTop w:val="0"/>
          <w:marBottom w:val="0"/>
          <w:divBdr>
            <w:top w:val="none" w:sz="0" w:space="0" w:color="auto"/>
            <w:left w:val="none" w:sz="0" w:space="0" w:color="auto"/>
            <w:bottom w:val="none" w:sz="0" w:space="0" w:color="auto"/>
            <w:right w:val="none" w:sz="0" w:space="0" w:color="auto"/>
          </w:divBdr>
          <w:divsChild>
            <w:div w:id="1114442015">
              <w:marLeft w:val="0"/>
              <w:marRight w:val="0"/>
              <w:marTop w:val="0"/>
              <w:marBottom w:val="0"/>
              <w:divBdr>
                <w:top w:val="none" w:sz="0" w:space="0" w:color="auto"/>
                <w:left w:val="none" w:sz="0" w:space="0" w:color="auto"/>
                <w:bottom w:val="none" w:sz="0" w:space="0" w:color="auto"/>
                <w:right w:val="none" w:sz="0" w:space="0" w:color="auto"/>
              </w:divBdr>
              <w:divsChild>
                <w:div w:id="1280647899">
                  <w:marLeft w:val="0"/>
                  <w:marRight w:val="0"/>
                  <w:marTop w:val="0"/>
                  <w:marBottom w:val="0"/>
                  <w:divBdr>
                    <w:top w:val="none" w:sz="0" w:space="0" w:color="auto"/>
                    <w:left w:val="none" w:sz="0" w:space="0" w:color="auto"/>
                    <w:bottom w:val="none" w:sz="0" w:space="0" w:color="auto"/>
                    <w:right w:val="none" w:sz="0" w:space="0" w:color="auto"/>
                  </w:divBdr>
                  <w:divsChild>
                    <w:div w:id="32258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888668">
      <w:bodyDiv w:val="1"/>
      <w:marLeft w:val="0"/>
      <w:marRight w:val="0"/>
      <w:marTop w:val="0"/>
      <w:marBottom w:val="0"/>
      <w:divBdr>
        <w:top w:val="none" w:sz="0" w:space="0" w:color="auto"/>
        <w:left w:val="none" w:sz="0" w:space="0" w:color="auto"/>
        <w:bottom w:val="none" w:sz="0" w:space="0" w:color="auto"/>
        <w:right w:val="none" w:sz="0" w:space="0" w:color="auto"/>
      </w:divBdr>
      <w:divsChild>
        <w:div w:id="496458053">
          <w:marLeft w:val="0"/>
          <w:marRight w:val="0"/>
          <w:marTop w:val="0"/>
          <w:marBottom w:val="0"/>
          <w:divBdr>
            <w:top w:val="none" w:sz="0" w:space="0" w:color="auto"/>
            <w:left w:val="none" w:sz="0" w:space="0" w:color="auto"/>
            <w:bottom w:val="none" w:sz="0" w:space="0" w:color="auto"/>
            <w:right w:val="none" w:sz="0" w:space="0" w:color="auto"/>
          </w:divBdr>
          <w:divsChild>
            <w:div w:id="1372530768">
              <w:marLeft w:val="0"/>
              <w:marRight w:val="0"/>
              <w:marTop w:val="0"/>
              <w:marBottom w:val="0"/>
              <w:divBdr>
                <w:top w:val="none" w:sz="0" w:space="0" w:color="auto"/>
                <w:left w:val="none" w:sz="0" w:space="0" w:color="auto"/>
                <w:bottom w:val="none" w:sz="0" w:space="0" w:color="auto"/>
                <w:right w:val="none" w:sz="0" w:space="0" w:color="auto"/>
              </w:divBdr>
              <w:divsChild>
                <w:div w:id="633099002">
                  <w:marLeft w:val="0"/>
                  <w:marRight w:val="0"/>
                  <w:marTop w:val="0"/>
                  <w:marBottom w:val="0"/>
                  <w:divBdr>
                    <w:top w:val="none" w:sz="0" w:space="0" w:color="auto"/>
                    <w:left w:val="none" w:sz="0" w:space="0" w:color="auto"/>
                    <w:bottom w:val="none" w:sz="0" w:space="0" w:color="auto"/>
                    <w:right w:val="none" w:sz="0" w:space="0" w:color="auto"/>
                  </w:divBdr>
                  <w:divsChild>
                    <w:div w:id="108765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704802">
      <w:bodyDiv w:val="1"/>
      <w:marLeft w:val="0"/>
      <w:marRight w:val="0"/>
      <w:marTop w:val="0"/>
      <w:marBottom w:val="0"/>
      <w:divBdr>
        <w:top w:val="none" w:sz="0" w:space="0" w:color="auto"/>
        <w:left w:val="none" w:sz="0" w:space="0" w:color="auto"/>
        <w:bottom w:val="none" w:sz="0" w:space="0" w:color="auto"/>
        <w:right w:val="none" w:sz="0" w:space="0" w:color="auto"/>
      </w:divBdr>
    </w:div>
    <w:div w:id="1178740684">
      <w:bodyDiv w:val="1"/>
      <w:marLeft w:val="0"/>
      <w:marRight w:val="0"/>
      <w:marTop w:val="0"/>
      <w:marBottom w:val="0"/>
      <w:divBdr>
        <w:top w:val="none" w:sz="0" w:space="0" w:color="auto"/>
        <w:left w:val="none" w:sz="0" w:space="0" w:color="auto"/>
        <w:bottom w:val="none" w:sz="0" w:space="0" w:color="auto"/>
        <w:right w:val="none" w:sz="0" w:space="0" w:color="auto"/>
      </w:divBdr>
      <w:divsChild>
        <w:div w:id="543173944">
          <w:marLeft w:val="0"/>
          <w:marRight w:val="0"/>
          <w:marTop w:val="0"/>
          <w:marBottom w:val="0"/>
          <w:divBdr>
            <w:top w:val="none" w:sz="0" w:space="0" w:color="auto"/>
            <w:left w:val="none" w:sz="0" w:space="0" w:color="auto"/>
            <w:bottom w:val="none" w:sz="0" w:space="0" w:color="auto"/>
            <w:right w:val="none" w:sz="0" w:space="0" w:color="auto"/>
          </w:divBdr>
          <w:divsChild>
            <w:div w:id="1015957413">
              <w:marLeft w:val="0"/>
              <w:marRight w:val="0"/>
              <w:marTop w:val="0"/>
              <w:marBottom w:val="0"/>
              <w:divBdr>
                <w:top w:val="none" w:sz="0" w:space="0" w:color="auto"/>
                <w:left w:val="none" w:sz="0" w:space="0" w:color="auto"/>
                <w:bottom w:val="none" w:sz="0" w:space="0" w:color="auto"/>
                <w:right w:val="none" w:sz="0" w:space="0" w:color="auto"/>
              </w:divBdr>
              <w:divsChild>
                <w:div w:id="421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179984">
      <w:bodyDiv w:val="1"/>
      <w:marLeft w:val="0"/>
      <w:marRight w:val="0"/>
      <w:marTop w:val="0"/>
      <w:marBottom w:val="0"/>
      <w:divBdr>
        <w:top w:val="none" w:sz="0" w:space="0" w:color="auto"/>
        <w:left w:val="none" w:sz="0" w:space="0" w:color="auto"/>
        <w:bottom w:val="none" w:sz="0" w:space="0" w:color="auto"/>
        <w:right w:val="none" w:sz="0" w:space="0" w:color="auto"/>
      </w:divBdr>
      <w:divsChild>
        <w:div w:id="1146699809">
          <w:marLeft w:val="0"/>
          <w:marRight w:val="0"/>
          <w:marTop w:val="0"/>
          <w:marBottom w:val="0"/>
          <w:divBdr>
            <w:top w:val="none" w:sz="0" w:space="0" w:color="auto"/>
            <w:left w:val="none" w:sz="0" w:space="0" w:color="auto"/>
            <w:bottom w:val="none" w:sz="0" w:space="0" w:color="auto"/>
            <w:right w:val="none" w:sz="0" w:space="0" w:color="auto"/>
          </w:divBdr>
          <w:divsChild>
            <w:div w:id="2060665706">
              <w:marLeft w:val="0"/>
              <w:marRight w:val="0"/>
              <w:marTop w:val="0"/>
              <w:marBottom w:val="0"/>
              <w:divBdr>
                <w:top w:val="none" w:sz="0" w:space="0" w:color="auto"/>
                <w:left w:val="none" w:sz="0" w:space="0" w:color="auto"/>
                <w:bottom w:val="none" w:sz="0" w:space="0" w:color="auto"/>
                <w:right w:val="none" w:sz="0" w:space="0" w:color="auto"/>
              </w:divBdr>
              <w:divsChild>
                <w:div w:id="1202862718">
                  <w:marLeft w:val="0"/>
                  <w:marRight w:val="0"/>
                  <w:marTop w:val="0"/>
                  <w:marBottom w:val="0"/>
                  <w:divBdr>
                    <w:top w:val="none" w:sz="0" w:space="0" w:color="auto"/>
                    <w:left w:val="none" w:sz="0" w:space="0" w:color="auto"/>
                    <w:bottom w:val="none" w:sz="0" w:space="0" w:color="auto"/>
                    <w:right w:val="none" w:sz="0" w:space="0" w:color="auto"/>
                  </w:divBdr>
                  <w:divsChild>
                    <w:div w:id="111505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709343">
      <w:bodyDiv w:val="1"/>
      <w:marLeft w:val="0"/>
      <w:marRight w:val="0"/>
      <w:marTop w:val="0"/>
      <w:marBottom w:val="0"/>
      <w:divBdr>
        <w:top w:val="none" w:sz="0" w:space="0" w:color="auto"/>
        <w:left w:val="none" w:sz="0" w:space="0" w:color="auto"/>
        <w:bottom w:val="none" w:sz="0" w:space="0" w:color="auto"/>
        <w:right w:val="none" w:sz="0" w:space="0" w:color="auto"/>
      </w:divBdr>
      <w:divsChild>
        <w:div w:id="824512178">
          <w:marLeft w:val="0"/>
          <w:marRight w:val="0"/>
          <w:marTop w:val="0"/>
          <w:marBottom w:val="0"/>
          <w:divBdr>
            <w:top w:val="none" w:sz="0" w:space="0" w:color="auto"/>
            <w:left w:val="none" w:sz="0" w:space="0" w:color="auto"/>
            <w:bottom w:val="none" w:sz="0" w:space="0" w:color="auto"/>
            <w:right w:val="none" w:sz="0" w:space="0" w:color="auto"/>
          </w:divBdr>
          <w:divsChild>
            <w:div w:id="2103910874">
              <w:marLeft w:val="0"/>
              <w:marRight w:val="0"/>
              <w:marTop w:val="0"/>
              <w:marBottom w:val="0"/>
              <w:divBdr>
                <w:top w:val="none" w:sz="0" w:space="0" w:color="auto"/>
                <w:left w:val="none" w:sz="0" w:space="0" w:color="auto"/>
                <w:bottom w:val="none" w:sz="0" w:space="0" w:color="auto"/>
                <w:right w:val="none" w:sz="0" w:space="0" w:color="auto"/>
              </w:divBdr>
              <w:divsChild>
                <w:div w:id="124113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748179">
      <w:bodyDiv w:val="1"/>
      <w:marLeft w:val="0"/>
      <w:marRight w:val="0"/>
      <w:marTop w:val="0"/>
      <w:marBottom w:val="0"/>
      <w:divBdr>
        <w:top w:val="none" w:sz="0" w:space="0" w:color="auto"/>
        <w:left w:val="none" w:sz="0" w:space="0" w:color="auto"/>
        <w:bottom w:val="none" w:sz="0" w:space="0" w:color="auto"/>
        <w:right w:val="none" w:sz="0" w:space="0" w:color="auto"/>
      </w:divBdr>
      <w:divsChild>
        <w:div w:id="1784373858">
          <w:marLeft w:val="0"/>
          <w:marRight w:val="0"/>
          <w:marTop w:val="0"/>
          <w:marBottom w:val="0"/>
          <w:divBdr>
            <w:top w:val="none" w:sz="0" w:space="0" w:color="auto"/>
            <w:left w:val="none" w:sz="0" w:space="0" w:color="auto"/>
            <w:bottom w:val="none" w:sz="0" w:space="0" w:color="auto"/>
            <w:right w:val="none" w:sz="0" w:space="0" w:color="auto"/>
          </w:divBdr>
          <w:divsChild>
            <w:div w:id="1641569406">
              <w:marLeft w:val="0"/>
              <w:marRight w:val="0"/>
              <w:marTop w:val="0"/>
              <w:marBottom w:val="0"/>
              <w:divBdr>
                <w:top w:val="none" w:sz="0" w:space="0" w:color="auto"/>
                <w:left w:val="none" w:sz="0" w:space="0" w:color="auto"/>
                <w:bottom w:val="none" w:sz="0" w:space="0" w:color="auto"/>
                <w:right w:val="none" w:sz="0" w:space="0" w:color="auto"/>
              </w:divBdr>
              <w:divsChild>
                <w:div w:id="153685249">
                  <w:marLeft w:val="0"/>
                  <w:marRight w:val="0"/>
                  <w:marTop w:val="0"/>
                  <w:marBottom w:val="0"/>
                  <w:divBdr>
                    <w:top w:val="none" w:sz="0" w:space="0" w:color="auto"/>
                    <w:left w:val="none" w:sz="0" w:space="0" w:color="auto"/>
                    <w:bottom w:val="none" w:sz="0" w:space="0" w:color="auto"/>
                    <w:right w:val="none" w:sz="0" w:space="0" w:color="auto"/>
                  </w:divBdr>
                  <w:divsChild>
                    <w:div w:id="1519781408">
                      <w:marLeft w:val="0"/>
                      <w:marRight w:val="0"/>
                      <w:marTop w:val="0"/>
                      <w:marBottom w:val="0"/>
                      <w:divBdr>
                        <w:top w:val="none" w:sz="0" w:space="0" w:color="auto"/>
                        <w:left w:val="none" w:sz="0" w:space="0" w:color="auto"/>
                        <w:bottom w:val="none" w:sz="0" w:space="0" w:color="auto"/>
                        <w:right w:val="none" w:sz="0" w:space="0" w:color="auto"/>
                      </w:divBdr>
                      <w:divsChild>
                        <w:div w:id="33777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8729704">
      <w:bodyDiv w:val="1"/>
      <w:marLeft w:val="0"/>
      <w:marRight w:val="0"/>
      <w:marTop w:val="0"/>
      <w:marBottom w:val="0"/>
      <w:divBdr>
        <w:top w:val="none" w:sz="0" w:space="0" w:color="auto"/>
        <w:left w:val="none" w:sz="0" w:space="0" w:color="auto"/>
        <w:bottom w:val="none" w:sz="0" w:space="0" w:color="auto"/>
        <w:right w:val="none" w:sz="0" w:space="0" w:color="auto"/>
      </w:divBdr>
      <w:divsChild>
        <w:div w:id="1389498738">
          <w:marLeft w:val="0"/>
          <w:marRight w:val="0"/>
          <w:marTop w:val="0"/>
          <w:marBottom w:val="0"/>
          <w:divBdr>
            <w:top w:val="none" w:sz="0" w:space="0" w:color="auto"/>
            <w:left w:val="none" w:sz="0" w:space="0" w:color="auto"/>
            <w:bottom w:val="none" w:sz="0" w:space="0" w:color="auto"/>
            <w:right w:val="none" w:sz="0" w:space="0" w:color="auto"/>
          </w:divBdr>
          <w:divsChild>
            <w:div w:id="830681043">
              <w:marLeft w:val="0"/>
              <w:marRight w:val="0"/>
              <w:marTop w:val="0"/>
              <w:marBottom w:val="0"/>
              <w:divBdr>
                <w:top w:val="none" w:sz="0" w:space="0" w:color="auto"/>
                <w:left w:val="none" w:sz="0" w:space="0" w:color="auto"/>
                <w:bottom w:val="none" w:sz="0" w:space="0" w:color="auto"/>
                <w:right w:val="none" w:sz="0" w:space="0" w:color="auto"/>
              </w:divBdr>
              <w:divsChild>
                <w:div w:id="1798060831">
                  <w:marLeft w:val="0"/>
                  <w:marRight w:val="0"/>
                  <w:marTop w:val="0"/>
                  <w:marBottom w:val="0"/>
                  <w:divBdr>
                    <w:top w:val="none" w:sz="0" w:space="0" w:color="auto"/>
                    <w:left w:val="none" w:sz="0" w:space="0" w:color="auto"/>
                    <w:bottom w:val="none" w:sz="0" w:space="0" w:color="auto"/>
                    <w:right w:val="none" w:sz="0" w:space="0" w:color="auto"/>
                  </w:divBdr>
                  <w:divsChild>
                    <w:div w:id="36425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220315">
      <w:bodyDiv w:val="1"/>
      <w:marLeft w:val="0"/>
      <w:marRight w:val="0"/>
      <w:marTop w:val="0"/>
      <w:marBottom w:val="0"/>
      <w:divBdr>
        <w:top w:val="none" w:sz="0" w:space="0" w:color="auto"/>
        <w:left w:val="none" w:sz="0" w:space="0" w:color="auto"/>
        <w:bottom w:val="none" w:sz="0" w:space="0" w:color="auto"/>
        <w:right w:val="none" w:sz="0" w:space="0" w:color="auto"/>
      </w:divBdr>
      <w:divsChild>
        <w:div w:id="393941296">
          <w:marLeft w:val="0"/>
          <w:marRight w:val="0"/>
          <w:marTop w:val="0"/>
          <w:marBottom w:val="0"/>
          <w:divBdr>
            <w:top w:val="none" w:sz="0" w:space="0" w:color="auto"/>
            <w:left w:val="none" w:sz="0" w:space="0" w:color="auto"/>
            <w:bottom w:val="none" w:sz="0" w:space="0" w:color="auto"/>
            <w:right w:val="none" w:sz="0" w:space="0" w:color="auto"/>
          </w:divBdr>
        </w:div>
      </w:divsChild>
    </w:div>
    <w:div w:id="1678341092">
      <w:bodyDiv w:val="1"/>
      <w:marLeft w:val="0"/>
      <w:marRight w:val="0"/>
      <w:marTop w:val="0"/>
      <w:marBottom w:val="0"/>
      <w:divBdr>
        <w:top w:val="none" w:sz="0" w:space="0" w:color="auto"/>
        <w:left w:val="none" w:sz="0" w:space="0" w:color="auto"/>
        <w:bottom w:val="none" w:sz="0" w:space="0" w:color="auto"/>
        <w:right w:val="none" w:sz="0" w:space="0" w:color="auto"/>
      </w:divBdr>
      <w:divsChild>
        <w:div w:id="1926911862">
          <w:marLeft w:val="0"/>
          <w:marRight w:val="0"/>
          <w:marTop w:val="0"/>
          <w:marBottom w:val="0"/>
          <w:divBdr>
            <w:top w:val="none" w:sz="0" w:space="0" w:color="auto"/>
            <w:left w:val="none" w:sz="0" w:space="0" w:color="auto"/>
            <w:bottom w:val="none" w:sz="0" w:space="0" w:color="auto"/>
            <w:right w:val="none" w:sz="0" w:space="0" w:color="auto"/>
          </w:divBdr>
          <w:divsChild>
            <w:div w:id="1115710304">
              <w:marLeft w:val="0"/>
              <w:marRight w:val="0"/>
              <w:marTop w:val="0"/>
              <w:marBottom w:val="0"/>
              <w:divBdr>
                <w:top w:val="none" w:sz="0" w:space="0" w:color="auto"/>
                <w:left w:val="none" w:sz="0" w:space="0" w:color="auto"/>
                <w:bottom w:val="none" w:sz="0" w:space="0" w:color="auto"/>
                <w:right w:val="none" w:sz="0" w:space="0" w:color="auto"/>
              </w:divBdr>
              <w:divsChild>
                <w:div w:id="159501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787121">
      <w:bodyDiv w:val="1"/>
      <w:marLeft w:val="0"/>
      <w:marRight w:val="0"/>
      <w:marTop w:val="0"/>
      <w:marBottom w:val="0"/>
      <w:divBdr>
        <w:top w:val="none" w:sz="0" w:space="0" w:color="auto"/>
        <w:left w:val="none" w:sz="0" w:space="0" w:color="auto"/>
        <w:bottom w:val="none" w:sz="0" w:space="0" w:color="auto"/>
        <w:right w:val="none" w:sz="0" w:space="0" w:color="auto"/>
      </w:divBdr>
    </w:div>
    <w:div w:id="1747609597">
      <w:bodyDiv w:val="1"/>
      <w:marLeft w:val="0"/>
      <w:marRight w:val="0"/>
      <w:marTop w:val="0"/>
      <w:marBottom w:val="0"/>
      <w:divBdr>
        <w:top w:val="none" w:sz="0" w:space="0" w:color="auto"/>
        <w:left w:val="none" w:sz="0" w:space="0" w:color="auto"/>
        <w:bottom w:val="none" w:sz="0" w:space="0" w:color="auto"/>
        <w:right w:val="none" w:sz="0" w:space="0" w:color="auto"/>
      </w:divBdr>
      <w:divsChild>
        <w:div w:id="1528331926">
          <w:marLeft w:val="0"/>
          <w:marRight w:val="0"/>
          <w:marTop w:val="0"/>
          <w:marBottom w:val="0"/>
          <w:divBdr>
            <w:top w:val="none" w:sz="0" w:space="0" w:color="auto"/>
            <w:left w:val="none" w:sz="0" w:space="0" w:color="auto"/>
            <w:bottom w:val="none" w:sz="0" w:space="0" w:color="auto"/>
            <w:right w:val="none" w:sz="0" w:space="0" w:color="auto"/>
          </w:divBdr>
        </w:div>
      </w:divsChild>
    </w:div>
    <w:div w:id="1804888815">
      <w:bodyDiv w:val="1"/>
      <w:marLeft w:val="0"/>
      <w:marRight w:val="0"/>
      <w:marTop w:val="0"/>
      <w:marBottom w:val="0"/>
      <w:divBdr>
        <w:top w:val="none" w:sz="0" w:space="0" w:color="auto"/>
        <w:left w:val="none" w:sz="0" w:space="0" w:color="auto"/>
        <w:bottom w:val="none" w:sz="0" w:space="0" w:color="auto"/>
        <w:right w:val="none" w:sz="0" w:space="0" w:color="auto"/>
      </w:divBdr>
      <w:divsChild>
        <w:div w:id="545487066">
          <w:marLeft w:val="0"/>
          <w:marRight w:val="0"/>
          <w:marTop w:val="0"/>
          <w:marBottom w:val="0"/>
          <w:divBdr>
            <w:top w:val="none" w:sz="0" w:space="0" w:color="auto"/>
            <w:left w:val="none" w:sz="0" w:space="0" w:color="auto"/>
            <w:bottom w:val="none" w:sz="0" w:space="0" w:color="auto"/>
            <w:right w:val="none" w:sz="0" w:space="0" w:color="auto"/>
          </w:divBdr>
          <w:divsChild>
            <w:div w:id="1103115856">
              <w:marLeft w:val="0"/>
              <w:marRight w:val="0"/>
              <w:marTop w:val="0"/>
              <w:marBottom w:val="0"/>
              <w:divBdr>
                <w:top w:val="none" w:sz="0" w:space="0" w:color="auto"/>
                <w:left w:val="none" w:sz="0" w:space="0" w:color="auto"/>
                <w:bottom w:val="none" w:sz="0" w:space="0" w:color="auto"/>
                <w:right w:val="none" w:sz="0" w:space="0" w:color="auto"/>
              </w:divBdr>
              <w:divsChild>
                <w:div w:id="123936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811030">
      <w:bodyDiv w:val="1"/>
      <w:marLeft w:val="0"/>
      <w:marRight w:val="0"/>
      <w:marTop w:val="0"/>
      <w:marBottom w:val="0"/>
      <w:divBdr>
        <w:top w:val="none" w:sz="0" w:space="0" w:color="auto"/>
        <w:left w:val="none" w:sz="0" w:space="0" w:color="auto"/>
        <w:bottom w:val="none" w:sz="0" w:space="0" w:color="auto"/>
        <w:right w:val="none" w:sz="0" w:space="0" w:color="auto"/>
      </w:divBdr>
      <w:divsChild>
        <w:div w:id="1403603742">
          <w:marLeft w:val="0"/>
          <w:marRight w:val="0"/>
          <w:marTop w:val="0"/>
          <w:marBottom w:val="0"/>
          <w:divBdr>
            <w:top w:val="none" w:sz="0" w:space="0" w:color="auto"/>
            <w:left w:val="none" w:sz="0" w:space="0" w:color="auto"/>
            <w:bottom w:val="none" w:sz="0" w:space="0" w:color="auto"/>
            <w:right w:val="none" w:sz="0" w:space="0" w:color="auto"/>
          </w:divBdr>
          <w:divsChild>
            <w:div w:id="1706559184">
              <w:marLeft w:val="0"/>
              <w:marRight w:val="0"/>
              <w:marTop w:val="0"/>
              <w:marBottom w:val="0"/>
              <w:divBdr>
                <w:top w:val="none" w:sz="0" w:space="0" w:color="auto"/>
                <w:left w:val="none" w:sz="0" w:space="0" w:color="auto"/>
                <w:bottom w:val="none" w:sz="0" w:space="0" w:color="auto"/>
                <w:right w:val="none" w:sz="0" w:space="0" w:color="auto"/>
              </w:divBdr>
              <w:divsChild>
                <w:div w:id="1180508932">
                  <w:marLeft w:val="0"/>
                  <w:marRight w:val="0"/>
                  <w:marTop w:val="0"/>
                  <w:marBottom w:val="0"/>
                  <w:divBdr>
                    <w:top w:val="none" w:sz="0" w:space="0" w:color="auto"/>
                    <w:left w:val="none" w:sz="0" w:space="0" w:color="auto"/>
                    <w:bottom w:val="none" w:sz="0" w:space="0" w:color="auto"/>
                    <w:right w:val="none" w:sz="0" w:space="0" w:color="auto"/>
                  </w:divBdr>
                  <w:divsChild>
                    <w:div w:id="186043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lancet.com/journals/lanpub/article/PIIS2468-2667(19)30002-7/fulltex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victimsupport.org.uk/sites/default/files/Suffering%20in%20silence%20-%20Children%20and%20unreported%20crime.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183297/DFE-RR167.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lackpoolsafeguarding.org.uk/assets/uploads/resources/Children/child_abuse_neglect_research_PDF_wdf84181.pdf" TargetMode="External"/><Relationship Id="rId4" Type="http://schemas.openxmlformats.org/officeDocument/2006/relationships/webSettings" Target="webSettings.xml"/><Relationship Id="rId9" Type="http://schemas.openxmlformats.org/officeDocument/2006/relationships/hyperlink" Target="https://www.thelancet.com/pdfs/journals/lancet/PIIS0140-6736(11)61087-8.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350</TotalTime>
  <Pages>7</Pages>
  <Words>2093</Words>
  <Characters>11932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 Harvey</dc:creator>
  <cp:keywords/>
  <dc:description/>
  <cp:lastModifiedBy>Maxim Harvey</cp:lastModifiedBy>
  <cp:revision>70</cp:revision>
  <dcterms:created xsi:type="dcterms:W3CDTF">2020-11-09T11:44:00Z</dcterms:created>
  <dcterms:modified xsi:type="dcterms:W3CDTF">2020-11-19T15:04:00Z</dcterms:modified>
</cp:coreProperties>
</file>