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ind w:left="0" w:right="0" w:firstLine="0"/>
        <w:jc w:val="left"/>
        <w:rPr>
          <w:rFonts w:ascii="Trebuchet MS" w:hAnsi="Trebuchet MS"/>
          <w:sz w:val="24"/>
          <w:szCs w:val="24"/>
          <w:u w:color="000000"/>
          <w:rtl w:val="0"/>
          <w:lang w:val="en-US"/>
        </w:rPr>
      </w:pPr>
      <w:r>
        <w:rPr>
          <w:rFonts w:ascii="Georgia" w:hAnsi="Georgia"/>
          <w:sz w:val="21"/>
          <w:szCs w:val="21"/>
          <w:u w:color="000000"/>
          <w:rtl w:val="0"/>
          <w:lang w:val="en-US"/>
        </w:rP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w:bidi w:val="0"/>
        <w:spacing w:before="240" w:after="60"/>
        <w:ind w:left="0" w:right="0" w:firstLine="0"/>
        <w:jc w:val="center"/>
        <w:rPr>
          <w:rFonts w:ascii="Arial" w:cs="Arial" w:hAnsi="Arial" w:eastAsia="Arial"/>
          <w:kern w:val="32"/>
          <w:sz w:val="32"/>
          <w:szCs w:val="32"/>
          <w:u w:color="000000"/>
          <w:rtl w:val="0"/>
        </w:rPr>
      </w:pPr>
      <w:r>
        <w:rPr>
          <w:rFonts w:ascii="Arial" w:hAnsi="Arial"/>
          <w:kern w:val="32"/>
          <w:sz w:val="32"/>
          <w:szCs w:val="32"/>
          <w:u w:color="000000"/>
          <w:rtl w:val="0"/>
        </w:rPr>
        <w:t>Undergraduate assignment feedback form</w:t>
      </w:r>
    </w:p>
    <w:p>
      <w:pPr>
        <w:pStyle w:val="Body"/>
        <w:bidi w:val="0"/>
        <w:ind w:left="0" w:right="0" w:firstLine="0"/>
        <w:jc w:val="center"/>
        <w:rPr>
          <w:rFonts w:ascii="Arial" w:cs="Arial" w:hAnsi="Arial" w:eastAsia="Arial"/>
          <w:b w:val="1"/>
          <w:bCs w:val="1"/>
          <w:sz w:val="24"/>
          <w:szCs w:val="24"/>
          <w:u w:color="000000"/>
          <w:rtl w:val="0"/>
        </w:rPr>
      </w:pPr>
      <w:r>
        <w:rPr>
          <w:rFonts w:ascii="Arial" w:hAnsi="Arial"/>
          <w:b w:val="1"/>
          <w:bCs w:val="1"/>
          <w:sz w:val="24"/>
          <w:szCs w:val="24"/>
          <w:u w:color="000000"/>
          <w:rtl w:val="0"/>
        </w:rPr>
        <w:t>(to be completed by marker)</w:t>
      </w:r>
    </w:p>
    <w:p>
      <w:pPr>
        <w:pStyle w:val="Body"/>
        <w:bidi w:val="0"/>
        <w:ind w:left="0" w:right="0" w:firstLine="0"/>
        <w:jc w:val="center"/>
        <w:rPr>
          <w:rFonts w:ascii="Arial" w:cs="Arial" w:hAnsi="Arial" w:eastAsia="Arial"/>
          <w:b w:val="1"/>
          <w:bCs w:val="1"/>
          <w:sz w:val="24"/>
          <w:szCs w:val="24"/>
          <w:u w:color="000000"/>
          <w:rtl w:val="0"/>
        </w:rPr>
      </w:pPr>
    </w:p>
    <w:p>
      <w:pPr>
        <w:pStyle w:val="Heading 3"/>
        <w:pBdr>
          <w:top w:val="nil"/>
          <w:left w:val="nil"/>
          <w:bottom w:val="nil"/>
          <w:right w:val="nil"/>
        </w:pBdr>
        <w:bidi w:val="0"/>
        <w:spacing w:before="0" w:after="0" w:line="240" w:lineRule="auto"/>
        <w:ind w:left="720" w:right="0" w:firstLine="0"/>
        <w:jc w:val="both"/>
        <w:rPr>
          <w:rFonts w:ascii="Trebuchet MS" w:cs="Trebuchet MS" w:hAnsi="Trebuchet MS" w:eastAsia="Trebuchet MS"/>
          <w:b w:val="1"/>
          <w:bCs w:val="1"/>
          <w:spacing w:val="0"/>
          <w:sz w:val="20"/>
          <w:szCs w:val="20"/>
          <w:u w:color="000000"/>
          <w:rtl w:val="0"/>
          <w:lang w:val="en-US"/>
        </w:rPr>
      </w:pPr>
    </w:p>
    <w:tbl>
      <w:tblPr>
        <w:tblW w:w="875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1980"/>
        <w:gridCol w:w="1987"/>
      </w:tblGrid>
      <w:tr>
        <w:tblPrEx>
          <w:shd w:val="clear" w:color="auto" w:fill="ced7e7"/>
        </w:tblPrEx>
        <w:trPr>
          <w:trHeight w:val="57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Default"/>
              <w:bidi w:val="0"/>
              <w:ind w:left="0" w:right="34" w:firstLine="0"/>
              <w:jc w:val="left"/>
              <w:rPr>
                <w:rtl w:val="0"/>
              </w:rPr>
            </w:pP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Student Name:</w:t>
            </w: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 xml:space="preserve"> Joseph Chitty</w:t>
            </w: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rPr>
            </w:r>
          </w:p>
        </w:tc>
      </w:tr>
      <w:tr>
        <w:tblPrEx>
          <w:shd w:val="clear" w:color="auto" w:fill="ced7e7"/>
        </w:tblPrEx>
        <w:trPr>
          <w:trHeight w:val="113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Default"/>
              <w:bidi w:val="0"/>
              <w:ind w:left="0" w:right="34"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 xml:space="preserve">Module Code: </w:t>
            </w: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CSEN5014</w:t>
            </w:r>
          </w:p>
          <w:p>
            <w:pPr>
              <w:pStyle w:val="Default"/>
              <w:bidi w:val="0"/>
              <w:ind w:left="0" w:right="34"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pPr>
          </w:p>
          <w:p>
            <w:pPr>
              <w:pStyle w:val="Default"/>
              <w:ind w:right="34"/>
              <w:jc w:val="left"/>
            </w:pP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 xml:space="preserve">Module title: </w:t>
            </w: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Critical and Cultural Theory</w:t>
            </w: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Pr>
            </w:r>
          </w:p>
        </w:tc>
        <w:tc>
          <w:tcPr>
            <w:tcW w:type="dxa" w:w="39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bidi w:val="0"/>
              <w:ind w:left="0" w:right="34" w:firstLine="0"/>
              <w:jc w:val="left"/>
              <w:rPr>
                <w:rtl w:val="0"/>
              </w:rPr>
            </w:pP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Student number:</w:t>
            </w: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 xml:space="preserve"> 1401303</w:t>
            </w:r>
          </w:p>
        </w:tc>
      </w:tr>
      <w:tr>
        <w:tblPrEx>
          <w:shd w:val="clear" w:color="auto" w:fill="ced7e7"/>
        </w:tblPrEx>
        <w:trPr>
          <w:trHeight w:val="485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For completion by marker:</w:t>
            </w:r>
          </w:p>
          <w:p>
            <w:pPr>
              <w:pStyle w:val="Default"/>
              <w:spacing w:before="100" w:after="10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Pr>
            </w:pP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Comments:</w:t>
            </w:r>
          </w:p>
          <w:p>
            <w:pPr>
              <w:pStyle w:val="Default"/>
              <w:bidi w:val="0"/>
              <w:spacing w:before="100" w:after="100"/>
              <w:ind w:left="0" w:right="0"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pPr>
          </w:p>
          <w:p>
            <w:pPr>
              <w:pStyle w:val="Default"/>
              <w:bidi w:val="0"/>
              <w:spacing w:before="100" w:after="100"/>
              <w:ind w:left="0" w:right="0"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pPr>
          </w:p>
          <w:p>
            <w:pPr>
              <w:pStyle w:val="Default"/>
              <w:bidi w:val="0"/>
              <w:spacing w:before="100" w:after="100"/>
              <w:ind w:left="0" w:right="0"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pPr>
          </w:p>
          <w:p>
            <w:pPr>
              <w:pStyle w:val="Default"/>
              <w:bidi w:val="0"/>
              <w:spacing w:before="100" w:after="100"/>
              <w:ind w:left="0" w:right="0"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pPr>
          </w:p>
          <w:p>
            <w:pPr>
              <w:pStyle w:val="Default"/>
              <w:bidi w:val="0"/>
              <w:spacing w:before="100" w:after="100"/>
              <w:ind w:left="0" w:right="0"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pPr>
          </w:p>
          <w:p>
            <w:pPr>
              <w:pStyle w:val="Default"/>
              <w:bidi w:val="0"/>
              <w:spacing w:before="100" w:after="100"/>
              <w:ind w:left="0" w:right="0"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pPr>
          </w:p>
          <w:p>
            <w:pPr>
              <w:pStyle w:val="Default"/>
              <w:bidi w:val="0"/>
              <w:spacing w:before="100" w:after="100"/>
              <w:ind w:left="0" w:right="0"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pPr>
          </w:p>
          <w:p>
            <w:pPr>
              <w:pStyle w:val="Default"/>
              <w:bidi w:val="0"/>
              <w:spacing w:before="100" w:after="100"/>
              <w:ind w:left="0" w:right="0"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pPr>
          </w:p>
          <w:p>
            <w:pPr>
              <w:pStyle w:val="Default"/>
              <w:bidi w:val="0"/>
              <w:spacing w:before="100" w:after="100"/>
              <w:ind w:left="0" w:right="0"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pPr>
          </w:p>
          <w:p>
            <w:pPr>
              <w:pStyle w:val="Default"/>
              <w:bidi w:val="0"/>
              <w:spacing w:before="100" w:after="100"/>
              <w:ind w:left="0" w:right="0" w:firstLine="0"/>
              <w:jc w:val="left"/>
              <w:rPr>
                <w:rtl w:val="0"/>
              </w:rPr>
            </w:pP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r>
          </w:p>
        </w:tc>
      </w:tr>
      <w:tr>
        <w:tblPrEx>
          <w:shd w:val="clear" w:color="auto" w:fill="ced7e7"/>
        </w:tblPrEx>
        <w:trPr>
          <w:trHeight w:val="342" w:hRule="atLeast"/>
        </w:trPr>
        <w:tc>
          <w:tcPr>
            <w:tcW w:type="dxa" w:w="67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Default"/>
              <w:bidi w:val="0"/>
              <w:spacing w:before="100" w:after="100"/>
              <w:ind w:left="142" w:right="34" w:firstLine="0"/>
              <w:jc w:val="left"/>
              <w:rPr>
                <w:rtl w:val="0"/>
              </w:rPr>
            </w:pP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Marker</w:t>
            </w:r>
            <w:r>
              <w:rPr>
                <w:rFonts w:ascii="Calibri" w:cs="Calibri" w:hAnsi="Calibri" w:eastAsia="Calibri" w:hint="default"/>
                <w:i w:val="1"/>
                <w:iCs w:val="1"/>
                <w:caps w:val="0"/>
                <w:smallCaps w:val="0"/>
                <w:strike w:val="0"/>
                <w:dstrike w:val="0"/>
                <w:outline w:val="0"/>
                <w:color w:val="000000"/>
                <w:spacing w:val="0"/>
                <w:kern w:val="0"/>
                <w:position w:val="0"/>
                <w:sz w:val="24"/>
                <w:szCs w:val="24"/>
                <w:u w:val="none" w:color="000000"/>
                <w:vertAlign w:val="baseline"/>
                <w:rtl w:val="0"/>
                <w:lang w:val="en-US"/>
              </w:rPr>
              <w:t>’</w:t>
            </w: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s signature:</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Default"/>
              <w:bidi w:val="0"/>
              <w:spacing w:before="100" w:after="100"/>
              <w:ind w:left="142" w:right="34" w:firstLine="0"/>
              <w:jc w:val="left"/>
              <w:rPr>
                <w:rtl w:val="0"/>
              </w:rPr>
            </w:pP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Date:</w:t>
            </w:r>
          </w:p>
        </w:tc>
      </w:tr>
      <w:tr>
        <w:tblPrEx>
          <w:shd w:val="clear" w:color="auto" w:fill="ced7e7"/>
        </w:tblPrEx>
        <w:trPr>
          <w:trHeight w:val="85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Default"/>
              <w:bidi w:val="0"/>
              <w:ind w:left="142" w:right="34" w:firstLine="0"/>
              <w:jc w:val="left"/>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 xml:space="preserve">Provisional mark: </w:t>
            </w:r>
          </w:p>
          <w:p>
            <w:pPr>
              <w:pStyle w:val="Default"/>
              <w:ind w:left="142" w:right="34" w:firstLine="0"/>
              <w:jc w:val="left"/>
            </w:pPr>
            <w:r>
              <w:rPr>
                <w:rFonts w:ascii="Calibri" w:cs="Calibri" w:hAnsi="Calibri" w:eastAsia="Calibri"/>
                <w:b w:val="1"/>
                <w:bCs w:val="1"/>
                <w:i w:val="1"/>
                <w:iCs w:val="1"/>
                <w:caps w:val="0"/>
                <w:smallCaps w:val="0"/>
                <w:strike w:val="0"/>
                <w:dstrike w:val="0"/>
                <w:outline w:val="0"/>
                <w:color w:val="000000"/>
                <w:spacing w:val="0"/>
                <w:kern w:val="0"/>
                <w:position w:val="0"/>
                <w:sz w:val="24"/>
                <w:szCs w:val="24"/>
                <w:u w:val="none" w:color="000000"/>
                <w:vertAlign w:val="baseline"/>
                <w:rtl w:val="0"/>
                <w:lang w:val="en-US"/>
              </w:rPr>
              <w:t>NB.</w:t>
            </w:r>
            <w:r>
              <w:rPr>
                <w:rFonts w:ascii="Calibri" w:cs="Calibri" w:hAnsi="Calibri" w:eastAsia="Calibri"/>
                <w:i w:val="1"/>
                <w:iCs w:val="1"/>
                <w:caps w:val="0"/>
                <w:smallCaps w:val="0"/>
                <w:strike w:val="0"/>
                <w:dstrike w:val="0"/>
                <w:outline w:val="0"/>
                <w:color w:val="000000"/>
                <w:spacing w:val="0"/>
                <w:kern w:val="0"/>
                <w:position w:val="0"/>
                <w:sz w:val="24"/>
                <w:szCs w:val="24"/>
                <w:u w:val="none" w:color="000000"/>
                <w:vertAlign w:val="baseline"/>
                <w:rtl w:val="0"/>
                <w:lang w:val="en-US"/>
              </w:rPr>
              <w:t xml:space="preserve">  All marks are provisional until confirmed by the final examination board. </w:t>
            </w:r>
          </w:p>
        </w:tc>
      </w:tr>
    </w:tbl>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Body"/>
        <w:tabs>
          <w:tab w:val="left" w:pos="360"/>
        </w:tabs>
        <w:jc w:val="left"/>
        <w:rPr>
          <w:rFonts w:ascii="Garamond" w:cs="Garamond" w:hAnsi="Garamond" w:eastAsia="Garamond"/>
          <w:sz w:val="24"/>
          <w:szCs w:val="24"/>
          <w:u w:color="000000"/>
          <w:lang w:val="en-US"/>
        </w:rPr>
      </w:pPr>
    </w:p>
    <w:p>
      <w:pPr>
        <w:pStyle w:val="Body"/>
        <w:tabs>
          <w:tab w:val="left" w:pos="360"/>
        </w:tabs>
        <w:jc w:val="left"/>
        <w:rPr>
          <w:rFonts w:ascii="Garamond" w:cs="Garamond" w:hAnsi="Garamond" w:eastAsia="Garamond"/>
          <w:sz w:val="24"/>
          <w:szCs w:val="24"/>
          <w:u w:color="000000"/>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rPr>
          <w:sz w:val="26"/>
          <w:szCs w:val="26"/>
          <w:u w:val="single"/>
          <w:lang w:val="en-US"/>
        </w:rPr>
      </w:pPr>
      <w:r>
        <w:rPr>
          <w:sz w:val="26"/>
          <w:szCs w:val="26"/>
          <w:u w:val="single"/>
          <w:rtl w:val="0"/>
          <w:lang w:val="en-US"/>
        </w:rPr>
        <w:t>Classical psychoanalytic approaches to characters in literature rest on the assumption that literary characters may be treated as though they were living beings with psychological complexities and complexes of their own. Consider whether or not this assumption can be justified, and illustrate your answer with reference to Shakespeare</w:t>
      </w:r>
      <w:r>
        <w:rPr>
          <w:sz w:val="26"/>
          <w:szCs w:val="26"/>
          <w:u w:val="single"/>
          <w:rtl w:val="0"/>
          <w:lang w:val="en-US"/>
        </w:rPr>
        <w:t>’</w:t>
      </w:r>
      <w:r>
        <w:rPr>
          <w:sz w:val="26"/>
          <w:szCs w:val="26"/>
          <w:u w:val="single"/>
          <w:rtl w:val="0"/>
          <w:lang w:val="en-US"/>
        </w:rPr>
        <w:t xml:space="preserve">s </w:t>
      </w:r>
      <w:r>
        <w:rPr>
          <w:i w:val="1"/>
          <w:iCs w:val="1"/>
          <w:sz w:val="26"/>
          <w:szCs w:val="26"/>
          <w:u w:val="single"/>
          <w:rtl w:val="0"/>
          <w:lang w:val="en-US"/>
        </w:rPr>
        <w:t>Hamlet</w:t>
      </w:r>
      <w:r>
        <w:rPr>
          <w:sz w:val="26"/>
          <w:szCs w:val="26"/>
          <w:u w:val="single"/>
          <w:rtl w:val="0"/>
          <w:lang w:val="en-US"/>
        </w:rPr>
        <w:t xml:space="preserve">. </w:t>
      </w:r>
    </w:p>
    <w:p>
      <w:pPr>
        <w:pStyle w:val="Body"/>
        <w:bidi w:val="0"/>
        <w:rPr>
          <w:lang w:val="en-US"/>
        </w:rPr>
      </w:pPr>
    </w:p>
    <w:p>
      <w:pPr>
        <w:pStyle w:val="Body"/>
        <w:bidi w:val="0"/>
        <w:rPr>
          <w:lang w:val="en-US"/>
        </w:rPr>
      </w:pPr>
      <w:r>
        <w:rPr>
          <w:rtl w:val="0"/>
          <w:lang w:val="en-US"/>
        </w:rPr>
        <w:t xml:space="preserve">In his cornerstone work, The Interpretation of Dreams, Sigmund Freud declares that </w:t>
      </w:r>
      <w:r>
        <w:rPr>
          <w:rtl w:val="0"/>
          <w:lang w:val="en-US"/>
        </w:rPr>
        <w:t>“</w:t>
      </w:r>
      <w:r>
        <w:rPr>
          <w:rtl w:val="0"/>
          <w:lang w:val="en-US"/>
        </w:rPr>
        <w:t>Shakespeare</w:t>
      </w:r>
      <w:r>
        <w:rPr>
          <w:rtl w:val="0"/>
          <w:lang w:val="en-US"/>
        </w:rPr>
        <w:t>’</w:t>
      </w:r>
      <w:r>
        <w:rPr>
          <w:rtl w:val="0"/>
          <w:lang w:val="en-US"/>
        </w:rPr>
        <w:t xml:space="preserve">s </w:t>
      </w:r>
      <w:r>
        <w:rPr>
          <w:i w:val="1"/>
          <w:iCs w:val="1"/>
          <w:rtl w:val="0"/>
          <w:lang w:val="en-US"/>
        </w:rPr>
        <w:t xml:space="preserve">Hamlet, </w:t>
      </w:r>
      <w:r>
        <w:rPr>
          <w:rtl w:val="0"/>
          <w:lang w:val="en-US"/>
        </w:rPr>
        <w:t xml:space="preserve">has its roots in the same soil as </w:t>
      </w:r>
      <w:r>
        <w:rPr>
          <w:i w:val="1"/>
          <w:iCs w:val="1"/>
          <w:rtl w:val="0"/>
          <w:lang w:val="en-US"/>
        </w:rPr>
        <w:t>Oedipus Rex</w:t>
      </w:r>
      <w:r>
        <w:rPr>
          <w:i w:val="1"/>
          <w:iCs w:val="1"/>
          <w:rtl w:val="0"/>
          <w:lang w:val="en-US"/>
        </w:rPr>
        <w:t xml:space="preserve">… </w:t>
      </w:r>
      <w:r>
        <w:rPr>
          <w:rtl w:val="0"/>
          <w:lang w:val="en-US"/>
        </w:rPr>
        <w:t xml:space="preserve">In the </w:t>
      </w:r>
      <w:r>
        <w:rPr>
          <w:i w:val="1"/>
          <w:iCs w:val="1"/>
          <w:rtl w:val="0"/>
          <w:lang w:val="en-US"/>
        </w:rPr>
        <w:t>Oedipus</w:t>
      </w:r>
      <w:r>
        <w:rPr>
          <w:rtl w:val="0"/>
          <w:lang w:val="en-US"/>
        </w:rPr>
        <w:t xml:space="preserve"> the child</w:t>
      </w:r>
      <w:r>
        <w:rPr>
          <w:rtl w:val="0"/>
          <w:lang w:val="en-US"/>
        </w:rPr>
        <w:t>’</w:t>
      </w:r>
      <w:r>
        <w:rPr>
          <w:rtl w:val="0"/>
          <w:lang w:val="en-US"/>
        </w:rPr>
        <w:t xml:space="preserve">s wishful phantasy that underlies it is brought into the open and realised as it would be in a dream. In </w:t>
      </w:r>
      <w:r>
        <w:rPr>
          <w:i w:val="1"/>
          <w:iCs w:val="1"/>
          <w:rtl w:val="0"/>
          <w:lang w:val="en-US"/>
        </w:rPr>
        <w:t>Hamlet</w:t>
      </w:r>
      <w:r>
        <w:rPr>
          <w:rtl w:val="0"/>
          <w:lang w:val="en-US"/>
        </w:rPr>
        <w:t xml:space="preserve"> it remains repressed; and - just as in the case of a neurosis - we only learn of its existence from its inhibiting consequences.</w:t>
      </w:r>
      <w:r>
        <w:rPr>
          <w:rtl w:val="0"/>
          <w:lang w:val="en-US"/>
        </w:rPr>
        <w:t>”</w:t>
      </w:r>
      <w:r>
        <w:rPr>
          <w:rFonts w:ascii="Helvetica" w:cs="Helvetica" w:hAnsi="Helvetica" w:eastAsia="Helvetica"/>
          <w:b w:val="0"/>
          <w:bCs w:val="0"/>
          <w:i w:val="0"/>
          <w:iCs w:val="0"/>
          <w:vertAlign w:val="superscript"/>
          <w:lang w:val="en-US"/>
        </w:rPr>
        <w:footnoteReference w:id="1"/>
      </w:r>
      <w:r>
        <w:rPr>
          <w:rtl w:val="0"/>
          <w:lang w:val="en-US"/>
        </w:rPr>
        <w:t xml:space="preserve"> The conjecture here, that something within Shakespeare</w:t>
      </w:r>
      <w:r>
        <w:rPr>
          <w:rtl w:val="0"/>
          <w:lang w:val="en-US"/>
        </w:rPr>
        <w:t>’</w:t>
      </w:r>
      <w:r>
        <w:rPr>
          <w:rtl w:val="0"/>
          <w:lang w:val="en-US"/>
        </w:rPr>
        <w:t xml:space="preserve">s </w:t>
      </w:r>
      <w:r>
        <w:rPr>
          <w:i w:val="1"/>
          <w:iCs w:val="1"/>
          <w:rtl w:val="0"/>
          <w:lang w:val="en-US"/>
        </w:rPr>
        <w:t>Hamlet</w:t>
      </w:r>
      <w:r>
        <w:rPr>
          <w:rtl w:val="0"/>
          <w:lang w:val="en-US"/>
        </w:rPr>
        <w:t xml:space="preserve"> is buried deep within the titular characters</w:t>
      </w:r>
      <w:r>
        <w:rPr>
          <w:rtl w:val="0"/>
          <w:lang w:val="en-US"/>
        </w:rPr>
        <w:t xml:space="preserve">’ </w:t>
      </w:r>
      <w:r>
        <w:rPr>
          <w:rtl w:val="0"/>
          <w:lang w:val="en-US"/>
        </w:rPr>
        <w:t xml:space="preserve">unconscious only to wreak havoc upon the conscious occupants of the play, is not unpersuasive. Freud continues, </w:t>
      </w:r>
      <w:r>
        <w:rPr>
          <w:rtl w:val="0"/>
          <w:lang w:val="en-US"/>
        </w:rPr>
        <w:t>“</w:t>
      </w:r>
      <w:r>
        <w:rPr>
          <w:rtl w:val="0"/>
          <w:lang w:val="en-US"/>
        </w:rPr>
        <w:t>The play is built upon Hamlet</w:t>
      </w:r>
      <w:r>
        <w:rPr>
          <w:rtl w:val="0"/>
          <w:lang w:val="en-US"/>
        </w:rPr>
        <w:t>’</w:t>
      </w:r>
      <w:r>
        <w:rPr>
          <w:rtl w:val="0"/>
          <w:lang w:val="en-US"/>
        </w:rPr>
        <w:t>s hesitations over fulfilling the task of revenge that is assigned to him; but its text offers no reasons or motives for these hesitations and an immense variety of attempts at interpreting them have failed to produce a result.</w:t>
      </w:r>
      <w:r>
        <w:rPr>
          <w:rtl w:val="0"/>
          <w:lang w:val="en-US"/>
        </w:rPr>
        <w:t>”</w:t>
      </w:r>
      <w:r>
        <w:rPr>
          <w:rFonts w:ascii="Helvetica" w:cs="Helvetica" w:hAnsi="Helvetica" w:eastAsia="Helvetica"/>
          <w:b w:val="0"/>
          <w:bCs w:val="0"/>
          <w:i w:val="0"/>
          <w:iCs w:val="0"/>
          <w:vertAlign w:val="superscript"/>
          <w:lang w:val="en-US"/>
        </w:rPr>
        <w:footnoteReference w:id="2"/>
      </w:r>
      <w:r>
        <w:rPr>
          <w:rtl w:val="0"/>
          <w:lang w:val="en-US"/>
        </w:rPr>
        <w:t xml:space="preserve"> Even in this statement, Freud makes a theoretically crucial assumption, that Prince Hamlet is, psychologically, a human being as we may understand one, which undermines his subsequent argument. Hamlet is an artistic device, a deliberately constructed body of archetypes, held together by what Bloom referred to as Shakespeare</w:t>
      </w:r>
      <w:r>
        <w:rPr>
          <w:rtl w:val="0"/>
          <w:lang w:val="en-US"/>
        </w:rPr>
        <w:t>’</w:t>
      </w:r>
      <w:r>
        <w:rPr>
          <w:rtl w:val="0"/>
          <w:lang w:val="en-US"/>
        </w:rPr>
        <w:t xml:space="preserve">s </w:t>
      </w:r>
      <w:r>
        <w:rPr>
          <w:rtl w:val="0"/>
          <w:lang w:val="en-US"/>
        </w:rPr>
        <w:t>“</w:t>
      </w:r>
      <w:r>
        <w:rPr>
          <w:rtl w:val="0"/>
          <w:lang w:val="en-US"/>
        </w:rPr>
        <w:t>uncanny mastery of language, his extraordinary, Mozartean facility of composition</w:t>
      </w:r>
      <w:r>
        <w:rPr>
          <w:rtl w:val="0"/>
          <w:lang w:val="en-US"/>
        </w:rPr>
        <w:t>”</w:t>
      </w:r>
      <w:r>
        <w:rPr>
          <w:rFonts w:ascii="Helvetica" w:cs="Helvetica" w:hAnsi="Helvetica" w:eastAsia="Helvetica"/>
          <w:b w:val="0"/>
          <w:bCs w:val="0"/>
          <w:i w:val="0"/>
          <w:iCs w:val="0"/>
          <w:vertAlign w:val="superscript"/>
          <w:lang w:val="en-US"/>
        </w:rPr>
        <w:footnoteReference w:id="3"/>
      </w:r>
      <w:r>
        <w:rPr>
          <w:rtl w:val="0"/>
          <w:lang w:val="en-US"/>
        </w:rPr>
        <w:t>. Hamlet</w:t>
      </w:r>
      <w:r>
        <w:rPr>
          <w:rtl w:val="0"/>
          <w:lang w:val="en-US"/>
        </w:rPr>
        <w:t>’</w:t>
      </w:r>
      <w:r>
        <w:rPr>
          <w:rtl w:val="0"/>
          <w:lang w:val="en-US"/>
        </w:rPr>
        <w:t>s actions are not driven by his own unconscious but by Shakespeare</w:t>
      </w:r>
      <w:r>
        <w:rPr>
          <w:rtl w:val="0"/>
          <w:lang w:val="en-US"/>
        </w:rPr>
        <w:t>’</w:t>
      </w:r>
      <w:r>
        <w:rPr>
          <w:rtl w:val="0"/>
          <w:lang w:val="en-US"/>
        </w:rPr>
        <w:t xml:space="preserve">s pen, forgetting that he is a creation essentially negates him, emptying him of all meaning and then using him as a vessel for whichever ideology, no matter how valuable or insightful, is at hand. </w:t>
      </w:r>
    </w:p>
    <w:p>
      <w:pPr>
        <w:pStyle w:val="Body"/>
        <w:bidi w:val="0"/>
        <w:rPr>
          <w:lang w:val="en-US"/>
        </w:rPr>
      </w:pPr>
    </w:p>
    <w:p>
      <w:pPr>
        <w:pStyle w:val="Body"/>
        <w:bidi w:val="0"/>
        <w:rPr>
          <w:lang w:val="en-US"/>
        </w:rPr>
      </w:pPr>
      <w:r>
        <w:rPr>
          <w:rtl w:val="0"/>
          <w:lang w:val="en-US"/>
        </w:rPr>
        <w:t>There also arises the issue of treating ambiguities within literary works as truth</w:t>
      </w:r>
      <w:r>
        <w:rPr>
          <w:rtl w:val="0"/>
          <w:lang w:val="en-US"/>
        </w:rPr>
        <w:t>’</w:t>
      </w:r>
      <w:r>
        <w:rPr>
          <w:rtl w:val="0"/>
          <w:lang w:val="en-US"/>
        </w:rPr>
        <w:t xml:space="preserve">s waiting to be excavated from the text, rather than aspects of its fundamental design and structure. Northrop Frye, defines Hamlet as a </w:t>
      </w:r>
      <w:r>
        <w:rPr>
          <w:rtl w:val="0"/>
          <w:lang w:val="en-US"/>
        </w:rPr>
        <w:t>‘</w:t>
      </w:r>
      <w:r>
        <w:rPr>
          <w:rtl w:val="0"/>
          <w:lang w:val="en-US"/>
        </w:rPr>
        <w:t>nemesis-figure</w:t>
      </w:r>
      <w:r>
        <w:rPr>
          <w:rtl w:val="0"/>
          <w:lang w:val="en-US"/>
        </w:rPr>
        <w:t xml:space="preserve">’ </w:t>
      </w:r>
      <w:r>
        <w:rPr>
          <w:rtl w:val="0"/>
          <w:lang w:val="en-US"/>
        </w:rPr>
        <w:t xml:space="preserve">and goes on to explain that </w:t>
      </w:r>
      <w:r>
        <w:rPr>
          <w:rtl w:val="0"/>
          <w:lang w:val="en-US"/>
        </w:rPr>
        <w:t>“</w:t>
      </w:r>
      <w:r>
        <w:rPr>
          <w:rtl w:val="0"/>
          <w:lang w:val="en-US"/>
        </w:rPr>
        <w:t>The nemesis-figure is partly a revenger and partly an avenger. He is primarily obsessed with killing the rebel-figure, but he has a secondary function of restoring something of the previous order.</w:t>
      </w:r>
      <w:r>
        <w:rPr>
          <w:rtl w:val="0"/>
          <w:lang w:val="en-US"/>
        </w:rPr>
        <w:t>”</w:t>
      </w:r>
      <w:r>
        <w:rPr>
          <w:rFonts w:ascii="Helvetica" w:cs="Helvetica" w:hAnsi="Helvetica" w:eastAsia="Helvetica"/>
          <w:b w:val="0"/>
          <w:bCs w:val="0"/>
          <w:i w:val="0"/>
          <w:iCs w:val="0"/>
          <w:vertAlign w:val="superscript"/>
          <w:lang w:val="en-US"/>
        </w:rPr>
        <w:footnoteReference w:id="4"/>
      </w:r>
      <w:r>
        <w:rPr>
          <w:rtl w:val="0"/>
          <w:lang w:val="en-US"/>
        </w:rPr>
        <w:t xml:space="preserve"> Within these technical confines ambiguities develop, driving forward the play, and certain fundamental questions, such as </w:t>
      </w:r>
      <w:r>
        <w:rPr>
          <w:rtl w:val="0"/>
          <w:lang w:val="en-US"/>
        </w:rPr>
        <w:t>‘</w:t>
      </w:r>
      <w:r>
        <w:rPr>
          <w:rtl w:val="0"/>
          <w:lang w:val="en-US"/>
        </w:rPr>
        <w:t>Did Hamlet</w:t>
      </w:r>
      <w:r>
        <w:rPr>
          <w:rtl w:val="0"/>
          <w:lang w:val="en-US"/>
        </w:rPr>
        <w:t>’</w:t>
      </w:r>
      <w:r>
        <w:rPr>
          <w:rtl w:val="0"/>
          <w:lang w:val="en-US"/>
        </w:rPr>
        <w:t>s grief for his father throw him into such a terrible emotional state? Did something more subtle, perhaps even hidden, in the text contribute towards this?</w:t>
      </w:r>
      <w:r>
        <w:rPr>
          <w:rtl w:val="0"/>
          <w:lang w:val="en-US"/>
        </w:rPr>
        <w:t xml:space="preserve">’ </w:t>
      </w:r>
      <w:r>
        <w:rPr>
          <w:rtl w:val="0"/>
          <w:lang w:val="en-US"/>
        </w:rPr>
        <w:t xml:space="preserve">are left within these confines, present but unanswered, and artfully so. Hamlet is not a human being, he is a </w:t>
      </w:r>
      <w:r>
        <w:rPr>
          <w:rtl w:val="0"/>
          <w:lang w:val="en-US"/>
        </w:rPr>
        <w:t>‘</w:t>
      </w:r>
      <w:r>
        <w:rPr>
          <w:rtl w:val="0"/>
          <w:lang w:val="en-US"/>
        </w:rPr>
        <w:t>revenger</w:t>
      </w:r>
      <w:r>
        <w:rPr>
          <w:rtl w:val="0"/>
          <w:lang w:val="en-US"/>
        </w:rPr>
        <w:t>’</w:t>
      </w:r>
      <w:r>
        <w:rPr>
          <w:rtl w:val="0"/>
          <w:lang w:val="en-US"/>
        </w:rPr>
        <w:t xml:space="preserve">, he is singular in purpose and yet is, for most of the play, unable or unwilling to achieve that purpose, namely, through his notorious inaction. In other words, Hamlet, the archetype enlivened with language, is unable to carry out his literal, unquestionable purpose, to kill Claudius in answer for the murder of his father, King Hamlet. Thus the ambiguities are rendered differently to the Freudian model, but no less starkly, instead of a person withholding revenge for unclear reasons, a figure of a singular, predetermined, course is withheld from that trajectory, and as such order within the play breaks down even further, with innocent, Ophelia, and Laertes, and corrupt, Polonius, Rosencrantz, and Guildenstern, characters dispatched in every direction for the sake of a vengeance which Hamlet initially fails to enact. </w:t>
      </w:r>
    </w:p>
    <w:p>
      <w:pPr>
        <w:pStyle w:val="Body"/>
        <w:bidi w:val="0"/>
        <w:rPr>
          <w:lang w:val="en-US"/>
        </w:rPr>
      </w:pPr>
    </w:p>
    <w:p>
      <w:pPr>
        <w:pStyle w:val="Body"/>
        <w:bidi w:val="0"/>
        <w:rPr>
          <w:lang w:val="en-US"/>
        </w:rPr>
      </w:pPr>
    </w:p>
    <w:p>
      <w:pPr>
        <w:pStyle w:val="Body"/>
        <w:bidi w:val="0"/>
        <w:rPr>
          <w:lang w:val="en-US"/>
        </w:rPr>
      </w:pPr>
      <w:r>
        <w:rPr>
          <w:rtl w:val="0"/>
          <w:lang w:val="en-US"/>
        </w:rPr>
        <w:t xml:space="preserve">As Marcellus famously states towards the close of Act 1 Scene 4, </w:t>
      </w:r>
      <w:r>
        <w:rPr>
          <w:rtl w:val="0"/>
          <w:lang w:val="en-US"/>
        </w:rPr>
        <w:t>“</w:t>
      </w:r>
      <w:r>
        <w:rPr>
          <w:rtl w:val="0"/>
          <w:lang w:val="en-US"/>
        </w:rPr>
        <w:t>There is something rotten in this state of Denmark</w:t>
      </w:r>
      <w:r>
        <w:rPr>
          <w:rtl w:val="0"/>
          <w:lang w:val="en-US"/>
        </w:rPr>
        <w:t>”</w:t>
      </w:r>
      <w:r>
        <w:rPr>
          <w:rFonts w:ascii="Helvetica" w:cs="Helvetica" w:hAnsi="Helvetica" w:eastAsia="Helvetica"/>
          <w:b w:val="0"/>
          <w:bCs w:val="0"/>
          <w:i w:val="0"/>
          <w:iCs w:val="0"/>
          <w:vertAlign w:val="superscript"/>
          <w:lang w:val="en-US"/>
        </w:rPr>
        <w:footnoteReference w:id="5"/>
      </w:r>
      <w:r>
        <w:rPr>
          <w:rtl w:val="0"/>
          <w:lang w:val="en-US"/>
        </w:rPr>
        <w:t xml:space="preserve"> The use of the term </w:t>
      </w:r>
      <w:r>
        <w:rPr>
          <w:rtl w:val="0"/>
          <w:lang w:val="en-US"/>
        </w:rPr>
        <w:t>‘</w:t>
      </w:r>
      <w:r>
        <w:rPr>
          <w:rtl w:val="0"/>
          <w:lang w:val="en-US"/>
        </w:rPr>
        <w:t>rotting</w:t>
      </w:r>
      <w:r>
        <w:rPr>
          <w:rtl w:val="0"/>
          <w:lang w:val="en-US"/>
        </w:rPr>
        <w:t xml:space="preserve">’ </w:t>
      </w:r>
      <w:r>
        <w:rPr>
          <w:rtl w:val="0"/>
          <w:lang w:val="en-US"/>
        </w:rPr>
        <w:t xml:space="preserve">here is especially evocative, summoning up the image of matter once organic now dead in some stage of decomposition, and the statement itself contributes towards an impression of the play that places something disturbing under its pages. Eliot, when criticising Hamlet for not conforming to his notion of an objective correlative argues that </w:t>
      </w:r>
      <w:r>
        <w:rPr>
          <w:i w:val="1"/>
          <w:iCs w:val="1"/>
          <w:rtl w:val="0"/>
          <w:lang w:val="en-US"/>
        </w:rPr>
        <w:t>“</w:t>
      </w:r>
      <w:r>
        <w:rPr>
          <w:rtl w:val="0"/>
          <w:lang w:val="en-US"/>
        </w:rPr>
        <w:t>Hamlet (the man) is dominated by an emotion which is inexpressible, because it is in excess of the facts as they appear. And the supposed identity of Hamlet with his author is genuine to this point: that Hamlet</w:t>
      </w:r>
      <w:r>
        <w:rPr>
          <w:rtl w:val="0"/>
          <w:lang w:val="en-US"/>
        </w:rPr>
        <w:t>’</w:t>
      </w:r>
      <w:r>
        <w:rPr>
          <w:rtl w:val="0"/>
          <w:lang w:val="en-US"/>
        </w:rPr>
        <w:t>s bafflement at the absence of objective equivalent to his feelings is a prolongation of the bafflement of his creator in the face of his artistic problem. Hamlet is up against the difficulty that his disgust is occasioned by his mother, but that his mother is not an adequate equivalent for it; his disgust envelops and exceeds her. It is thus a feeling which he cannot understand; he cannot objectify it, and it therefore remains to poison life and obstruct action. None of the possible actions can satisfy it; and nothing that Shakespeare can do with the plot can express Hamlet for him.</w:t>
      </w:r>
      <w:r>
        <w:rPr>
          <w:rtl w:val="0"/>
          <w:lang w:val="en-US"/>
        </w:rPr>
        <w:t>”</w:t>
      </w:r>
      <w:r>
        <w:rPr>
          <w:rFonts w:ascii="Helvetica" w:cs="Helvetica" w:hAnsi="Helvetica" w:eastAsia="Helvetica"/>
          <w:b w:val="0"/>
          <w:bCs w:val="0"/>
          <w:i w:val="0"/>
          <w:iCs w:val="0"/>
          <w:vertAlign w:val="superscript"/>
          <w:lang w:val="en-US"/>
        </w:rPr>
        <w:footnoteReference w:id="6"/>
      </w:r>
      <w:r>
        <w:rPr>
          <w:rtl w:val="0"/>
          <w:lang w:val="en-US"/>
        </w:rPr>
        <w:t xml:space="preserve"> While we may disagree with Eliot</w:t>
      </w:r>
      <w:r>
        <w:rPr>
          <w:rtl w:val="0"/>
          <w:lang w:val="en-US"/>
        </w:rPr>
        <w:t>’</w:t>
      </w:r>
      <w:r>
        <w:rPr>
          <w:rtl w:val="0"/>
          <w:lang w:val="en-US"/>
        </w:rPr>
        <w:t xml:space="preserve">s assertion that </w:t>
      </w:r>
      <w:r>
        <w:rPr>
          <w:i w:val="1"/>
          <w:iCs w:val="1"/>
          <w:rtl w:val="0"/>
          <w:lang w:val="en-US"/>
        </w:rPr>
        <w:t>Hamlet</w:t>
      </w:r>
      <w:r>
        <w:rPr>
          <w:rtl w:val="0"/>
          <w:lang w:val="en-US"/>
        </w:rPr>
        <w:t xml:space="preserve"> lacks an adequate objective correlative, or even the relevance of such a critical construct several centuries after the fact, he does seem to be hinting at an extremely promising vein of thought. That said, it seems a little contrarian, and far too sure of one</w:t>
      </w:r>
      <w:r>
        <w:rPr>
          <w:rtl w:val="0"/>
          <w:lang w:val="en-US"/>
        </w:rPr>
        <w:t>’</w:t>
      </w:r>
      <w:r>
        <w:rPr>
          <w:rtl w:val="0"/>
          <w:lang w:val="en-US"/>
        </w:rPr>
        <w:t xml:space="preserve">s own opinion, to call a piece of art as profoundly influential, and aesthetically masterful as </w:t>
      </w:r>
      <w:r>
        <w:rPr>
          <w:i w:val="1"/>
          <w:iCs w:val="1"/>
          <w:rtl w:val="0"/>
          <w:lang w:val="en-US"/>
        </w:rPr>
        <w:t>Hamlet</w:t>
      </w:r>
      <w:r>
        <w:rPr>
          <w:rtl w:val="0"/>
          <w:lang w:val="en-US"/>
        </w:rPr>
        <w:t xml:space="preserve"> a failure. It is true that there lies, seemingly beneath the dreamlike surface peopled with ghosts and revengers, a feeling which seems common to critic, reader, and viewer alike, of immense horror, fear, and despair; namely, within Hamlet, repeatedly expressed in various degrees of emphasis, and fluctuations of character and mood, always muscularly introspective, and of a particular verbal intensity. While the events of the play itself, especially the appearance of King Hamlet</w:t>
      </w:r>
      <w:r>
        <w:rPr>
          <w:rtl w:val="0"/>
          <w:lang w:val="en-US"/>
        </w:rPr>
        <w:t>’</w:t>
      </w:r>
      <w:r>
        <w:rPr>
          <w:rtl w:val="0"/>
          <w:lang w:val="en-US"/>
        </w:rPr>
        <w:t xml:space="preserve">s ghost and his revelation to his namesake that he has been murdered, and thus, must be avenged, seem to offer explanations for this sense that permeates the play, but ultimately fail to account for it. Before his supernatural encounter Hamlet is still clad in </w:t>
      </w:r>
      <w:r>
        <w:rPr>
          <w:rtl w:val="0"/>
          <w:lang w:val="en-US"/>
        </w:rPr>
        <w:t>‘</w:t>
      </w:r>
      <w:r>
        <w:rPr>
          <w:rtl w:val="0"/>
          <w:lang w:val="en-US"/>
        </w:rPr>
        <w:t>nightly colour</w:t>
      </w:r>
      <w:r>
        <w:rPr>
          <w:rtl w:val="0"/>
          <w:lang w:val="en-US"/>
        </w:rPr>
        <w:t>’</w:t>
      </w:r>
      <w:r>
        <w:rPr>
          <w:rtl w:val="0"/>
          <w:lang w:val="en-US"/>
        </w:rPr>
        <w:t>, he is still in mourning, still in pain, attempting to find and define himself in the absence of the order figure who preceded him. Perhaps what is most important about King Hamlet is not that he is Hamlet</w:t>
      </w:r>
      <w:r>
        <w:rPr>
          <w:rtl w:val="0"/>
          <w:lang w:val="en-US"/>
        </w:rPr>
        <w:t>’</w:t>
      </w:r>
      <w:r>
        <w:rPr>
          <w:rtl w:val="0"/>
          <w:lang w:val="en-US"/>
        </w:rPr>
        <w:t>s father, but the preceding authority whose usurpation has brought into the world a misbalance which demands correction, Prince Hamlet as a result is not purely the filial child defending his father, rather he is the new order figure seeking the restitution of his stolen kingdom, and to correct an unnatural deviation within the world.</w:t>
      </w:r>
    </w:p>
    <w:p>
      <w:pPr>
        <w:pStyle w:val="Body"/>
        <w:bidi w:val="0"/>
        <w:rPr>
          <w:lang w:val="en-US"/>
        </w:rPr>
      </w:pPr>
    </w:p>
    <w:p>
      <w:pPr>
        <w:pStyle w:val="Body"/>
        <w:bidi w:val="0"/>
        <w:rPr>
          <w:lang w:val="en-US"/>
        </w:rPr>
      </w:pPr>
      <w:r>
        <w:rPr>
          <w:rtl w:val="0"/>
          <w:lang w:val="en-US"/>
        </w:rPr>
        <w:t>Hamlet</w:t>
      </w:r>
      <w:r>
        <w:rPr>
          <w:rtl w:val="0"/>
          <w:lang w:val="en-US"/>
        </w:rPr>
        <w:t>’</w:t>
      </w:r>
      <w:r>
        <w:rPr>
          <w:rtl w:val="0"/>
          <w:lang w:val="en-US"/>
        </w:rPr>
        <w:t>s options are severely limited, it seems an interesting aside that in a play commonly taken to consider, at least in some way, the problems of human choice and freedom it</w:t>
      </w:r>
      <w:r>
        <w:rPr>
          <w:rtl w:val="0"/>
          <w:lang w:val="en-US"/>
        </w:rPr>
        <w:t>’</w:t>
      </w:r>
      <w:r>
        <w:rPr>
          <w:rtl w:val="0"/>
          <w:lang w:val="en-US"/>
        </w:rPr>
        <w:t xml:space="preserve">s protagonist is at least somewhat limited in the scope of his action. Hamlet curses the </w:t>
      </w:r>
      <w:r>
        <w:rPr>
          <w:rtl w:val="0"/>
          <w:lang w:val="en-US"/>
        </w:rPr>
        <w:t>“</w:t>
      </w:r>
      <w:r>
        <w:rPr>
          <w:rtl w:val="0"/>
          <w:lang w:val="en-US"/>
        </w:rPr>
        <w:t>canon 'gainst self-slaughter!</w:t>
      </w:r>
      <w:r>
        <w:rPr>
          <w:rtl w:val="0"/>
          <w:lang w:val="en-US"/>
        </w:rPr>
        <w:t>”</w:t>
      </w:r>
      <w:r>
        <w:rPr>
          <w:rtl w:val="0"/>
          <w:lang w:val="en-US"/>
        </w:rPr>
        <w:t xml:space="preserve">, and herein lies a problem of </w:t>
      </w:r>
      <w:r>
        <w:rPr>
          <w:i w:val="1"/>
          <w:iCs w:val="1"/>
          <w:rtl w:val="0"/>
          <w:lang w:val="en-US"/>
        </w:rPr>
        <w:t>Hamlet</w:t>
      </w:r>
      <w:r>
        <w:rPr>
          <w:rtl w:val="0"/>
          <w:lang w:val="en-US"/>
        </w:rPr>
        <w:t>, his endeavour is necessarily and completely connected to his own death, and as is his power. Hamlet metaphorically conquers death in the final act of the play, accepting his own finality and exerting it at sword point and a poisoned cup into his enemy. When Hamlet apologises to Laertes, a gesture which shows the remarkable change that Ophelia</w:t>
      </w:r>
      <w:r>
        <w:rPr>
          <w:rtl w:val="0"/>
          <w:lang w:val="en-US"/>
        </w:rPr>
        <w:t>’</w:t>
      </w:r>
      <w:r>
        <w:rPr>
          <w:rtl w:val="0"/>
          <w:lang w:val="en-US"/>
        </w:rPr>
        <w:t xml:space="preserve">s death wrought in him, he states that, </w:t>
      </w:r>
    </w:p>
    <w:p>
      <w:pPr>
        <w:pStyle w:val="Body"/>
        <w:bidi w:val="0"/>
        <w:rPr>
          <w:lang w:val="en-US"/>
        </w:rPr>
      </w:pPr>
      <w:r>
        <w:rPr>
          <w:rtl w:val="0"/>
          <w:lang w:val="en-US"/>
        </w:rPr>
        <w:t>“</w:t>
      </w:r>
      <w:r>
        <w:rPr>
          <w:rtl w:val="0"/>
          <w:lang w:val="en-US"/>
        </w:rPr>
        <w:t>Sir, in thus audience,</w:t>
      </w:r>
    </w:p>
    <w:p>
      <w:pPr>
        <w:pStyle w:val="Body"/>
        <w:bidi w:val="0"/>
        <w:rPr>
          <w:lang w:val="en-US"/>
        </w:rPr>
      </w:pPr>
      <w:r>
        <w:rPr>
          <w:rtl w:val="0"/>
          <w:lang w:val="en-US"/>
        </w:rPr>
        <w:t>Let my disclaiming from a purposed evil</w:t>
      </w:r>
    </w:p>
    <w:p>
      <w:pPr>
        <w:pStyle w:val="Body"/>
        <w:bidi w:val="0"/>
        <w:rPr>
          <w:lang w:val="en-US"/>
        </w:rPr>
      </w:pPr>
      <w:r>
        <w:rPr>
          <w:rtl w:val="0"/>
          <w:lang w:val="en-US"/>
        </w:rPr>
        <w:t>Free me so far in your most generous thoughts</w:t>
      </w:r>
    </w:p>
    <w:p>
      <w:pPr>
        <w:pStyle w:val="Body"/>
        <w:bidi w:val="0"/>
        <w:rPr>
          <w:lang w:val="en-US"/>
        </w:rPr>
      </w:pPr>
      <w:r>
        <w:rPr>
          <w:rtl w:val="0"/>
          <w:lang w:val="en-US"/>
        </w:rPr>
        <w:t>That I have shot my arrow o</w:t>
      </w:r>
      <w:r>
        <w:rPr>
          <w:rtl w:val="0"/>
          <w:lang w:val="en-US"/>
        </w:rPr>
        <w:t>’</w:t>
      </w:r>
      <w:r>
        <w:rPr>
          <w:rtl w:val="0"/>
          <w:lang w:val="en-US"/>
        </w:rPr>
        <w:t>er the house</w:t>
      </w:r>
    </w:p>
    <w:p>
      <w:pPr>
        <w:pStyle w:val="Body"/>
        <w:bidi w:val="0"/>
        <w:rPr>
          <w:lang w:val="en-US"/>
        </w:rPr>
      </w:pPr>
      <w:r>
        <w:rPr>
          <w:rtl w:val="0"/>
          <w:lang w:val="en-US"/>
        </w:rPr>
        <w:t>And hurt my brother.</w:t>
      </w:r>
      <w:r>
        <w:rPr>
          <w:rtl w:val="0"/>
          <w:lang w:val="en-US"/>
        </w:rPr>
        <w:t>”</w:t>
      </w:r>
      <w:r>
        <w:rPr>
          <w:rFonts w:ascii="Helvetica" w:cs="Helvetica" w:hAnsi="Helvetica" w:eastAsia="Helvetica"/>
          <w:b w:val="0"/>
          <w:bCs w:val="0"/>
          <w:i w:val="0"/>
          <w:iCs w:val="0"/>
          <w:vertAlign w:val="superscript"/>
          <w:lang w:val="en-US"/>
        </w:rPr>
        <w:footnoteReference w:id="7"/>
      </w:r>
    </w:p>
    <w:p>
      <w:pPr>
        <w:pStyle w:val="Body"/>
        <w:bidi w:val="0"/>
        <w:rPr>
          <w:lang w:val="en-US"/>
        </w:rPr>
      </w:pPr>
      <w:r>
        <w:rPr>
          <w:rtl w:val="0"/>
          <w:lang w:val="en-US"/>
        </w:rPr>
        <w:t>Hamlet has obtained an equanimity here, a certain clarity of vision and voice, his actions throughout the play, admittedly not purposefully, have led to the death</w:t>
      </w:r>
      <w:r>
        <w:rPr>
          <w:rtl w:val="0"/>
          <w:lang w:val="en-US"/>
        </w:rPr>
        <w:t>’</w:t>
      </w:r>
      <w:r>
        <w:rPr>
          <w:rtl w:val="0"/>
          <w:lang w:val="en-US"/>
        </w:rPr>
        <w:t>s of Laertes</w:t>
      </w:r>
      <w:r>
        <w:rPr>
          <w:rtl w:val="0"/>
          <w:lang w:val="en-US"/>
        </w:rPr>
        <w:t xml:space="preserve">’ </w:t>
      </w:r>
      <w:r>
        <w:rPr>
          <w:rtl w:val="0"/>
          <w:lang w:val="en-US"/>
        </w:rPr>
        <w:t>sister and father, casting Laertes as a revenger also, though one more direct in his undertakings. Hamlet</w:t>
      </w:r>
      <w:r>
        <w:rPr>
          <w:rtl w:val="0"/>
          <w:lang w:val="en-US"/>
        </w:rPr>
        <w:t>’</w:t>
      </w:r>
      <w:r>
        <w:rPr>
          <w:rtl w:val="0"/>
          <w:lang w:val="en-US"/>
        </w:rPr>
        <w:t xml:space="preserve">s invocation of his former </w:t>
      </w:r>
      <w:r>
        <w:rPr>
          <w:rtl w:val="0"/>
          <w:lang w:val="en-US"/>
        </w:rPr>
        <w:t>‘</w:t>
      </w:r>
      <w:r>
        <w:rPr>
          <w:rtl w:val="0"/>
          <w:lang w:val="en-US"/>
        </w:rPr>
        <w:t>madness</w:t>
      </w:r>
      <w:r>
        <w:rPr>
          <w:rtl w:val="0"/>
          <w:lang w:val="en-US"/>
        </w:rPr>
        <w:t>’</w:t>
      </w:r>
      <w:r>
        <w:rPr>
          <w:rtl w:val="0"/>
          <w:lang w:val="en-US"/>
        </w:rPr>
        <w:t xml:space="preserve">, a partial ruse in his series of moves against Claudius, may make this speech seem disingenuous, partially reconciliatory towards Laertes but generally a falsehood supporting the performance of madness. </w:t>
      </w:r>
    </w:p>
    <w:p>
      <w:pPr>
        <w:pStyle w:val="Body"/>
        <w:bidi w:val="0"/>
        <w:rPr>
          <w:lang w:val="en-US"/>
        </w:rPr>
      </w:pPr>
      <w:r>
        <w:rPr>
          <w:rtl w:val="0"/>
          <w:lang w:val="en-US"/>
        </w:rPr>
        <w:t>“</w:t>
      </w:r>
      <w:r>
        <w:rPr>
          <w:rtl w:val="0"/>
          <w:lang w:val="en-US"/>
        </w:rPr>
        <w:t>Who does it then? If</w:t>
      </w:r>
      <w:r>
        <w:rPr>
          <w:rtl w:val="0"/>
          <w:lang w:val="en-US"/>
        </w:rPr>
        <w:t>’</w:t>
      </w:r>
      <w:r>
        <w:rPr>
          <w:rtl w:val="0"/>
          <w:lang w:val="en-US"/>
        </w:rPr>
        <w:t xml:space="preserve">t be so, </w:t>
      </w:r>
    </w:p>
    <w:p>
      <w:pPr>
        <w:pStyle w:val="Body"/>
        <w:bidi w:val="0"/>
        <w:rPr>
          <w:lang w:val="en-US"/>
        </w:rPr>
      </w:pPr>
      <w:r>
        <w:rPr>
          <w:rtl w:val="0"/>
          <w:lang w:val="en-US"/>
        </w:rPr>
        <w:t>Hamlet is of the faction that is wronged,</w:t>
      </w:r>
    </w:p>
    <w:p>
      <w:pPr>
        <w:pStyle w:val="Body"/>
        <w:bidi w:val="0"/>
        <w:rPr>
          <w:lang w:val="en-US"/>
        </w:rPr>
      </w:pPr>
      <w:r>
        <w:rPr>
          <w:rtl w:val="0"/>
          <w:lang w:val="en-US"/>
        </w:rPr>
        <w:t>His madness is poor Hamlet</w:t>
      </w:r>
      <w:r>
        <w:rPr>
          <w:rtl w:val="0"/>
          <w:lang w:val="en-US"/>
        </w:rPr>
        <w:t>’</w:t>
      </w:r>
      <w:r>
        <w:rPr>
          <w:rtl w:val="0"/>
          <w:lang w:val="en-US"/>
        </w:rPr>
        <w:t>s enemy.</w:t>
      </w:r>
      <w:r>
        <w:rPr>
          <w:rtl w:val="0"/>
          <w:lang w:val="en-US"/>
        </w:rPr>
        <w:t>”</w:t>
      </w:r>
      <w:r>
        <w:rPr>
          <w:rFonts w:ascii="Helvetica" w:cs="Helvetica" w:hAnsi="Helvetica" w:eastAsia="Helvetica"/>
          <w:b w:val="0"/>
          <w:bCs w:val="0"/>
          <w:i w:val="0"/>
          <w:iCs w:val="0"/>
          <w:vertAlign w:val="superscript"/>
          <w:lang w:val="en-US"/>
        </w:rPr>
        <w:footnoteReference w:id="8"/>
      </w:r>
    </w:p>
    <w:p>
      <w:pPr>
        <w:pStyle w:val="Body"/>
        <w:bidi w:val="0"/>
        <w:rPr>
          <w:lang w:val="en-US"/>
        </w:rPr>
      </w:pPr>
      <w:r>
        <w:rPr>
          <w:rtl w:val="0"/>
          <w:lang w:val="en-US"/>
        </w:rPr>
        <w:t>Hamlet seemingly breaks with the ambiguity surrounding his madness, namely the dramatic irony present in the audience</w:t>
      </w:r>
      <w:r>
        <w:rPr>
          <w:rtl w:val="0"/>
          <w:lang w:val="en-US"/>
        </w:rPr>
        <w:t>’</w:t>
      </w:r>
      <w:r>
        <w:rPr>
          <w:rtl w:val="0"/>
          <w:lang w:val="en-US"/>
        </w:rPr>
        <w:t xml:space="preserve">s awareness of the theatricality immersed in his supposed split with sanity, by confessing to Laertes that the murder of his father, Polonius, was in fact, an act of madness, rather than a callous deed. The ambiguity lies heavy here once again, and not without purpose. Hamlet is a play of immense purposeful ambiguity, with the original crime of the narrative an act of fratricide which places the emergent King Claudius in a state of ambiguity with regards to his role, and Prince Hamlet in a permanent emotional state of ambiguity and skepticism. While this immense gulf between apparent and actual meaning permeates the work, and often leaves us without the recourse of a firm answer offered at the close of the play, it also invites the attention of a theory such as psychoanalysis, concerned chiefly with the excavation of innermost unconscious expression found beneath enormous piles of spoken, or written, language. Greenblatt said that </w:t>
      </w:r>
      <w:r>
        <w:rPr>
          <w:rtl w:val="0"/>
          <w:lang w:val="en-US"/>
        </w:rPr>
        <w:t>“</w:t>
      </w:r>
      <w:r>
        <w:rPr>
          <w:rtl w:val="0"/>
          <w:lang w:val="en-US"/>
        </w:rPr>
        <w:t>I do not propose that we abandon the attempts at psychologically deep readings of Renaissance texts; rather, in the company of literary criticism and history, psychoanalysis can redeem its belatedness only when it historicises its own procedures.</w:t>
      </w:r>
      <w:r>
        <w:rPr>
          <w:rtl w:val="0"/>
          <w:lang w:val="en-US"/>
        </w:rPr>
        <w:t>”</w:t>
      </w:r>
      <w:r>
        <w:rPr>
          <w:rFonts w:ascii="Helvetica" w:cs="Helvetica" w:hAnsi="Helvetica" w:eastAsia="Helvetica"/>
          <w:b w:val="0"/>
          <w:bCs w:val="0"/>
          <w:i w:val="0"/>
          <w:iCs w:val="0"/>
          <w:vertAlign w:val="superscript"/>
          <w:lang w:val="en-US"/>
        </w:rPr>
        <w:footnoteReference w:id="9"/>
      </w:r>
      <w:r>
        <w:rPr>
          <w:rtl w:val="0"/>
          <w:lang w:val="en-US"/>
        </w:rPr>
        <w:t xml:space="preserve"> In the interest of this observation, I propose that elsewhere in Greenblatt is such a </w:t>
      </w:r>
      <w:r>
        <w:rPr>
          <w:rtl w:val="0"/>
          <w:lang w:val="en-US"/>
        </w:rPr>
        <w:t>‘</w:t>
      </w:r>
      <w:r>
        <w:rPr>
          <w:rtl w:val="0"/>
          <w:lang w:val="en-US"/>
        </w:rPr>
        <w:t>psychologically deep</w:t>
      </w:r>
      <w:r>
        <w:rPr>
          <w:rtl w:val="0"/>
          <w:lang w:val="en-US"/>
        </w:rPr>
        <w:t xml:space="preserve">’ </w:t>
      </w:r>
      <w:r>
        <w:rPr>
          <w:rtl w:val="0"/>
          <w:lang w:val="en-US"/>
        </w:rPr>
        <w:t xml:space="preserve">reading of </w:t>
      </w:r>
      <w:r>
        <w:rPr>
          <w:i w:val="1"/>
          <w:iCs w:val="1"/>
          <w:rtl w:val="0"/>
          <w:lang w:val="en-US"/>
        </w:rPr>
        <w:t>Hamlet</w:t>
      </w:r>
      <w:r>
        <w:rPr>
          <w:rtl w:val="0"/>
          <w:lang w:val="en-US"/>
        </w:rPr>
        <w:t>, only one more concerned with the creation of the text and it</w:t>
      </w:r>
      <w:r>
        <w:rPr>
          <w:rtl w:val="0"/>
          <w:lang w:val="en-US"/>
        </w:rPr>
        <w:t>’</w:t>
      </w:r>
      <w:r>
        <w:rPr>
          <w:rtl w:val="0"/>
          <w:lang w:val="en-US"/>
        </w:rPr>
        <w:t>s relation to it</w:t>
      </w:r>
      <w:r>
        <w:rPr>
          <w:rtl w:val="0"/>
          <w:lang w:val="en-US"/>
        </w:rPr>
        <w:t>’</w:t>
      </w:r>
      <w:r>
        <w:rPr>
          <w:rtl w:val="0"/>
          <w:lang w:val="en-US"/>
        </w:rPr>
        <w:t>s author.</w:t>
      </w:r>
    </w:p>
    <w:p>
      <w:pPr>
        <w:pStyle w:val="Body"/>
        <w:bidi w:val="0"/>
        <w:rPr>
          <w:lang w:val="en-US"/>
        </w:rPr>
      </w:pPr>
    </w:p>
    <w:p>
      <w:pPr>
        <w:pStyle w:val="Body"/>
        <w:bidi w:val="0"/>
        <w:rPr>
          <w:lang w:val="en-US"/>
        </w:rPr>
      </w:pPr>
      <w:r>
        <w:rPr>
          <w:rtl w:val="0"/>
          <w:lang w:val="en-US"/>
        </w:rPr>
        <w:t>With this textual difficulty, and with the difficulties inherent in the psychoanalysis of character, an interesting but often abused resource remains, one that is particularly troubling with Shakespeare, the biographical. Greenblatt</w:t>
      </w:r>
      <w:r>
        <w:rPr>
          <w:rtl w:val="0"/>
          <w:lang w:val="en-US"/>
        </w:rPr>
        <w:t>’</w:t>
      </w:r>
      <w:r>
        <w:rPr>
          <w:rtl w:val="0"/>
          <w:lang w:val="en-US"/>
        </w:rPr>
        <w:t>s eloquent, intelligent, and deeply humane essay,</w:t>
      </w:r>
      <w:r>
        <w:rPr>
          <w:i w:val="1"/>
          <w:iCs w:val="1"/>
          <w:rtl w:val="0"/>
          <w:lang w:val="en-US"/>
        </w:rPr>
        <w:t xml:space="preserve"> ‘</w:t>
      </w:r>
      <w:r>
        <w:rPr>
          <w:i w:val="1"/>
          <w:iCs w:val="1"/>
          <w:rtl w:val="0"/>
          <w:lang w:val="en-US"/>
        </w:rPr>
        <w:t>The Death of Hamnet and the making of Hamlet</w:t>
      </w:r>
      <w:r>
        <w:rPr>
          <w:i w:val="1"/>
          <w:iCs w:val="1"/>
          <w:rtl w:val="0"/>
          <w:lang w:val="en-US"/>
        </w:rPr>
        <w:t xml:space="preserve">’ </w:t>
      </w:r>
      <w:r>
        <w:rPr>
          <w:rFonts w:ascii="Helvetica" w:cs="Helvetica" w:hAnsi="Helvetica" w:eastAsia="Helvetica"/>
          <w:b w:val="0"/>
          <w:bCs w:val="0"/>
          <w:i w:val="0"/>
          <w:iCs w:val="0"/>
          <w:vertAlign w:val="superscript"/>
          <w:lang w:val="en-US"/>
        </w:rPr>
        <w:footnoteReference w:id="10"/>
      </w:r>
      <w:r>
        <w:rPr>
          <w:i w:val="1"/>
          <w:iCs w:val="1"/>
          <w:rtl w:val="0"/>
          <w:lang w:val="en-US"/>
        </w:rPr>
        <w:t xml:space="preserve">, </w:t>
      </w:r>
      <w:r>
        <w:rPr>
          <w:rtl w:val="0"/>
          <w:lang w:val="en-US"/>
        </w:rPr>
        <w:t>addresses both Shakespeare</w:t>
      </w:r>
      <w:r>
        <w:rPr>
          <w:rtl w:val="0"/>
          <w:lang w:val="en-US"/>
        </w:rPr>
        <w:t>’</w:t>
      </w:r>
      <w:r>
        <w:rPr>
          <w:rtl w:val="0"/>
          <w:lang w:val="en-US"/>
        </w:rPr>
        <w:t xml:space="preserve">s development of a literary inwardness, culminating in </w:t>
      </w:r>
      <w:r>
        <w:rPr>
          <w:i w:val="1"/>
          <w:iCs w:val="1"/>
          <w:rtl w:val="0"/>
          <w:lang w:val="en-US"/>
        </w:rPr>
        <w:t>Hamlet</w:t>
      </w:r>
      <w:r>
        <w:rPr>
          <w:rtl w:val="0"/>
          <w:lang w:val="en-US"/>
        </w:rPr>
        <w:t>, a linguistic whirlwind of agonised introspection, and the death of his son, Hamnet, aged 11. Educatedly speculating upon the influence of Shakespeare</w:t>
      </w:r>
      <w:r>
        <w:rPr>
          <w:rtl w:val="0"/>
          <w:lang w:val="en-US"/>
        </w:rPr>
        <w:t>’</w:t>
      </w:r>
      <w:r>
        <w:rPr>
          <w:rtl w:val="0"/>
          <w:lang w:val="en-US"/>
        </w:rPr>
        <w:t>s supposedly Catholic father, and the simple emotional power, indispensable to any serious contemplation of the play</w:t>
      </w:r>
      <w:r>
        <w:rPr>
          <w:rtl w:val="0"/>
          <w:lang w:val="en-US"/>
        </w:rPr>
        <w:t>’</w:t>
      </w:r>
      <w:r>
        <w:rPr>
          <w:rtl w:val="0"/>
          <w:lang w:val="en-US"/>
        </w:rPr>
        <w:t>s creation, of a parent, geographically separated from his surviving family, repeating his deceased son</w:t>
      </w:r>
      <w:r>
        <w:rPr>
          <w:rtl w:val="0"/>
          <w:lang w:val="en-US"/>
        </w:rPr>
        <w:t>’</w:t>
      </w:r>
      <w:r>
        <w:rPr>
          <w:rtl w:val="0"/>
          <w:lang w:val="en-US"/>
        </w:rPr>
        <w:t xml:space="preserve">s name. Greenblatt raises a myriad of interesting points and conjectures, but none are so relevant here as the notion that the profound disturbance of feeling that lies, wrapped in poetic ambiguity, at the heart of </w:t>
      </w:r>
      <w:r>
        <w:rPr>
          <w:i w:val="1"/>
          <w:iCs w:val="1"/>
          <w:rtl w:val="0"/>
          <w:lang w:val="en-US"/>
        </w:rPr>
        <w:t>Hamlet</w:t>
      </w:r>
      <w:r>
        <w:rPr>
          <w:rtl w:val="0"/>
          <w:lang w:val="en-US"/>
        </w:rPr>
        <w:t xml:space="preserve"> may in fact be Shakespeare</w:t>
      </w:r>
      <w:r>
        <w:rPr>
          <w:rtl w:val="0"/>
          <w:lang w:val="en-US"/>
        </w:rPr>
        <w:t>’</w:t>
      </w:r>
      <w:r>
        <w:rPr>
          <w:rtl w:val="0"/>
          <w:lang w:val="en-US"/>
        </w:rPr>
        <w:t>s. It would appear that the strongest trace of this feeling is not necessarily found in any structural or psychological point of the play, but in it</w:t>
      </w:r>
      <w:r>
        <w:rPr>
          <w:rtl w:val="0"/>
          <w:lang w:val="en-US"/>
        </w:rPr>
        <w:t>’</w:t>
      </w:r>
      <w:r>
        <w:rPr>
          <w:rtl w:val="0"/>
          <w:lang w:val="en-US"/>
        </w:rPr>
        <w:t>s very language, in it</w:t>
      </w:r>
      <w:r>
        <w:rPr>
          <w:rtl w:val="0"/>
          <w:lang w:val="en-US"/>
        </w:rPr>
        <w:t>’</w:t>
      </w:r>
      <w:r>
        <w:rPr>
          <w:rtl w:val="0"/>
          <w:lang w:val="en-US"/>
        </w:rPr>
        <w:t>s linguistic preoccupation with death and loss. Hamlet</w:t>
      </w:r>
      <w:r>
        <w:rPr>
          <w:rtl w:val="0"/>
          <w:lang w:val="en-US"/>
        </w:rPr>
        <w:t>’</w:t>
      </w:r>
      <w:r>
        <w:rPr>
          <w:rtl w:val="0"/>
          <w:lang w:val="en-US"/>
        </w:rPr>
        <w:t xml:space="preserve">s famous </w:t>
      </w:r>
      <w:r>
        <w:rPr>
          <w:rtl w:val="0"/>
          <w:lang w:val="en-US"/>
        </w:rPr>
        <w:t>‘</w:t>
      </w:r>
      <w:r>
        <w:rPr>
          <w:rtl w:val="0"/>
          <w:lang w:val="en-US"/>
        </w:rPr>
        <w:t>To be, or not to be</w:t>
      </w:r>
      <w:r>
        <w:rPr>
          <w:rtl w:val="0"/>
          <w:lang w:val="en-US"/>
        </w:rPr>
        <w:t xml:space="preserve">’ </w:t>
      </w:r>
      <w:r>
        <w:rPr>
          <w:rtl w:val="0"/>
          <w:lang w:val="en-US"/>
        </w:rPr>
        <w:t xml:space="preserve">soliloquy is a particularly notable instance of this presence, acknowledging both the finality and opacity of the grave, he muses </w:t>
      </w:r>
    </w:p>
    <w:p>
      <w:pPr>
        <w:pStyle w:val="Body"/>
        <w:bidi w:val="0"/>
        <w:rPr>
          <w:lang w:val="en-US"/>
        </w:rPr>
      </w:pPr>
      <w:r>
        <w:rPr>
          <w:rtl w:val="0"/>
          <w:lang w:val="en-US"/>
        </w:rPr>
        <w:t>“</w:t>
      </w:r>
      <w:r>
        <w:rPr>
          <w:rtl w:val="0"/>
          <w:lang w:val="en-US"/>
        </w:rPr>
        <w:t>But that the dread of something after death,</w:t>
      </w:r>
    </w:p>
    <w:p>
      <w:pPr>
        <w:pStyle w:val="Body"/>
        <w:bidi w:val="0"/>
        <w:rPr>
          <w:lang w:val="en-US"/>
        </w:rPr>
      </w:pPr>
      <w:r>
        <w:rPr>
          <w:rtl w:val="0"/>
          <w:lang w:val="en-US"/>
        </w:rPr>
        <w:t>The undiscovered country from whose bourn</w:t>
      </w:r>
    </w:p>
    <w:p>
      <w:pPr>
        <w:pStyle w:val="Body"/>
        <w:bidi w:val="0"/>
        <w:rPr>
          <w:lang w:val="en-US"/>
        </w:rPr>
      </w:pPr>
      <w:r>
        <w:rPr>
          <w:rtl w:val="0"/>
          <w:lang w:val="en-US"/>
        </w:rPr>
        <w:t>No traveller returns, puzzles the will,</w:t>
      </w:r>
    </w:p>
    <w:p>
      <w:pPr>
        <w:pStyle w:val="Body"/>
        <w:bidi w:val="0"/>
        <w:rPr>
          <w:lang w:val="en-US"/>
        </w:rPr>
      </w:pPr>
      <w:r>
        <w:rPr>
          <w:rtl w:val="0"/>
          <w:lang w:val="en-US"/>
        </w:rPr>
        <w:t>And makes us rather bear those ills we have</w:t>
      </w:r>
    </w:p>
    <w:p>
      <w:pPr>
        <w:pStyle w:val="Body"/>
        <w:bidi w:val="0"/>
        <w:rPr>
          <w:lang w:val="en-US"/>
        </w:rPr>
      </w:pPr>
      <w:r>
        <w:rPr>
          <w:rtl w:val="0"/>
          <w:lang w:val="en-US"/>
        </w:rPr>
        <w:t>Then fly to others that we know not of?</w:t>
      </w:r>
    </w:p>
    <w:p>
      <w:pPr>
        <w:pStyle w:val="Body"/>
        <w:bidi w:val="0"/>
        <w:rPr>
          <w:lang w:val="en-US"/>
        </w:rPr>
      </w:pPr>
      <w:r>
        <w:rPr>
          <w:rtl w:val="0"/>
          <w:lang w:val="en-US"/>
        </w:rPr>
        <w:t>Thus conscience does make cowards of us all,</w:t>
      </w:r>
      <w:r>
        <w:rPr>
          <w:rtl w:val="0"/>
          <w:lang w:val="en-US"/>
        </w:rPr>
        <w:t>”</w:t>
      </w:r>
      <w:r>
        <w:rPr>
          <w:rFonts w:ascii="Helvetica" w:cs="Helvetica" w:hAnsi="Helvetica" w:eastAsia="Helvetica"/>
          <w:b w:val="0"/>
          <w:bCs w:val="0"/>
          <w:i w:val="0"/>
          <w:iCs w:val="0"/>
          <w:vertAlign w:val="superscript"/>
          <w:lang w:val="en-US"/>
        </w:rPr>
        <w:footnoteReference w:id="11"/>
      </w:r>
    </w:p>
    <w:p>
      <w:pPr>
        <w:pStyle w:val="Body"/>
        <w:bidi w:val="0"/>
        <w:rPr>
          <w:lang w:val="en-US"/>
        </w:rPr>
      </w:pPr>
    </w:p>
    <w:p>
      <w:pPr>
        <w:pStyle w:val="Body"/>
        <w:bidi w:val="0"/>
        <w:rPr>
          <w:lang w:val="en-US"/>
        </w:rPr>
      </w:pPr>
      <w:r>
        <w:rPr>
          <w:rtl w:val="0"/>
          <w:lang w:val="en-US"/>
        </w:rPr>
        <w:t>The last line, among the most powerful in the entirety of the play, universalises a specific aspect of the pain that Hamlet is experiencing, and turns his melancholic introspection into a powerful observation about humankind in general. In line with Greenblatt</w:t>
      </w:r>
      <w:r>
        <w:rPr>
          <w:rtl w:val="0"/>
          <w:lang w:val="en-US"/>
        </w:rPr>
        <w:t>’</w:t>
      </w:r>
      <w:r>
        <w:rPr>
          <w:rtl w:val="0"/>
          <w:lang w:val="en-US"/>
        </w:rPr>
        <w:t>s thoughts on Shakespeare</w:t>
      </w:r>
      <w:r>
        <w:rPr>
          <w:rtl w:val="0"/>
          <w:lang w:val="en-US"/>
        </w:rPr>
        <w:t>’</w:t>
      </w:r>
      <w:r>
        <w:rPr>
          <w:rtl w:val="0"/>
          <w:lang w:val="en-US"/>
        </w:rPr>
        <w:t>s personal suffering, this tendency of Hamlet</w:t>
      </w:r>
      <w:r>
        <w:rPr>
          <w:rtl w:val="0"/>
          <w:lang w:val="en-US"/>
        </w:rPr>
        <w:t>’</w:t>
      </w:r>
      <w:r>
        <w:rPr>
          <w:rtl w:val="0"/>
          <w:lang w:val="en-US"/>
        </w:rPr>
        <w:t>s to draw from his own wellspring of misery and then truthfully paint our own condition may be an artistic device cloaked in personality, wherein Shakespeare in fiction universalised his own torments and gave them to characters far flung from himself. This may go some way as to explaining the attraction towards the psychoanalysis of character, while revealing one of it</w:t>
      </w:r>
      <w:r>
        <w:rPr>
          <w:rtl w:val="0"/>
          <w:lang w:val="en-US"/>
        </w:rPr>
        <w:t>’</w:t>
      </w:r>
      <w:r>
        <w:rPr>
          <w:rtl w:val="0"/>
          <w:lang w:val="en-US"/>
        </w:rPr>
        <w:t>s greatest flaws, Hamlet, while not a complete human impression, certainly has aspects of a psychology, he possesses a dominant compulsion, that towards avenging his father, and a remarkable, engulfing, inwardness, however, Hamlet, as previously noted, fits into the role of the nemesis-figure while subverting it, hence him being rendered a revenger who is somewhat late in his revenge, a literary device of drawn out inaction, resulting in the other trait discussed, his capacity for introspection, which simultaneously fills the play with language and events, and allows him to emotionally and beautifully reflect, and react, spinning from an at times chaotic narrative a complete and lofty picture of the inner dimension of man. In this sense the psychoanalysis of character fails, treating Hamlet as a complete human being suffering from an Oedipal conflict fails to grasp both the artful and structural dimensions of his character, by placing it</w:t>
      </w:r>
      <w:r>
        <w:rPr>
          <w:rtl w:val="0"/>
          <w:lang w:val="en-US"/>
        </w:rPr>
        <w:t>’</w:t>
      </w:r>
      <w:r>
        <w:rPr>
          <w:rtl w:val="0"/>
          <w:lang w:val="en-US"/>
        </w:rPr>
        <w:t>s emphasis primarily on it</w:t>
      </w:r>
      <w:r>
        <w:rPr>
          <w:rtl w:val="0"/>
          <w:lang w:val="en-US"/>
        </w:rPr>
        <w:t>’</w:t>
      </w:r>
      <w:r>
        <w:rPr>
          <w:rtl w:val="0"/>
          <w:lang w:val="en-US"/>
        </w:rPr>
        <w:t xml:space="preserve">s own ideas, rather than the text, the mode of criticism fails to actively engage with and not only excavate, but learn from, the text itself, treated deservedly, as an object worthy of its own consideration regardless of what it may or may not offer to any given theory. </w:t>
      </w:r>
    </w:p>
    <w:p>
      <w:pPr>
        <w:pStyle w:val="Body"/>
        <w:bidi w:val="0"/>
        <w:rPr>
          <w:lang w:val="en-US"/>
        </w:rPr>
      </w:pPr>
    </w:p>
    <w:p>
      <w:pPr>
        <w:pStyle w:val="Body"/>
        <w:bidi w:val="0"/>
        <w:rPr>
          <w:lang w:val="en-US"/>
        </w:rPr>
      </w:pPr>
      <w:r>
        <w:rPr>
          <w:rtl w:val="0"/>
          <w:lang w:val="en-US"/>
        </w:rPr>
        <w:t>In conclusion, the psychoanalysis of character is a seductive endeavour lined with pitfalls and cushioned in false assumptions concerning the text, it misconceives characters as individuals, and thus fails as a method of criticism that can negotiate the artistic complexities of characters as constructs, and speak meaningfully about the relation of those complexities to the process of creation, as well as with other characters inside the text. This being said, Greenblatt</w:t>
      </w:r>
      <w:r>
        <w:rPr>
          <w:rtl w:val="0"/>
          <w:lang w:val="en-US"/>
        </w:rPr>
        <w:t>’</w:t>
      </w:r>
      <w:r>
        <w:rPr>
          <w:rtl w:val="0"/>
          <w:lang w:val="en-US"/>
        </w:rPr>
        <w:t>s earlier referenced statement concerning the potential historicisation of psychoanalysis bears enormous promise. In a manner, Freud</w:t>
      </w:r>
      <w:r>
        <w:rPr>
          <w:rtl w:val="0"/>
          <w:lang w:val="en-US"/>
        </w:rPr>
        <w:t>’</w:t>
      </w:r>
      <w:r>
        <w:rPr>
          <w:rtl w:val="0"/>
          <w:lang w:val="en-US"/>
        </w:rPr>
        <w:t>s talking cure has permeated us deeply, so deeply in fact that even if it had not initially any shreds of truth it would since have developed into a wealth of them. Were it</w:t>
      </w:r>
      <w:r>
        <w:rPr>
          <w:rtl w:val="0"/>
          <w:lang w:val="en-US"/>
        </w:rPr>
        <w:t>’</w:t>
      </w:r>
      <w:r>
        <w:rPr>
          <w:rtl w:val="0"/>
          <w:lang w:val="en-US"/>
        </w:rPr>
        <w:t>s concepts traced, carefully and accurately, across various cultures, buried in poetry and philosophy alike, and understood in relation to their own historical context, it may provide an invaluable insight into the interpersonal zeitgeist of any given age. If future critics using psychoanalysis were to appreciate the possibility of adequately historicising it</w:t>
      </w:r>
      <w:r>
        <w:rPr>
          <w:rtl w:val="0"/>
          <w:lang w:val="en-US"/>
        </w:rPr>
        <w:t>’</w:t>
      </w:r>
      <w:r>
        <w:rPr>
          <w:rtl w:val="0"/>
          <w:lang w:val="en-US"/>
        </w:rPr>
        <w:t xml:space="preserve">s processes by attempting to understand the culturally informed psychic, and psycho-social structures of a previous age, they may find it invaluable, not only in the insights it may offer into the experience of consciousness in other historical periods, but in the way that this insight may reveal precious and potent interpretations a multitude of texts, </w:t>
      </w:r>
      <w:r>
        <w:rPr>
          <w:i w:val="1"/>
          <w:iCs w:val="1"/>
          <w:rtl w:val="0"/>
          <w:lang w:val="en-US"/>
        </w:rPr>
        <w:t>Hamlet</w:t>
      </w:r>
      <w:r>
        <w:rPr>
          <w:rtl w:val="0"/>
          <w:lang w:val="en-US"/>
        </w:rPr>
        <w:t xml:space="preserve"> being among them.</w:t>
      </w: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bidi w:val="0"/>
        <w:rPr>
          <w:lang w:val="en-US"/>
        </w:rPr>
      </w:pPr>
    </w:p>
    <w:p>
      <w:pPr>
        <w:pStyle w:val="Body"/>
        <w:rPr>
          <w:sz w:val="28"/>
          <w:szCs w:val="28"/>
          <w:u w:val="single"/>
          <w:lang w:val="en-US"/>
        </w:rPr>
      </w:pPr>
      <w:r>
        <w:rPr>
          <w:sz w:val="28"/>
          <w:szCs w:val="28"/>
          <w:u w:val="single"/>
          <w:rtl w:val="0"/>
          <w:lang w:val="en-US"/>
        </w:rPr>
        <w:t>Bibliography</w:t>
      </w:r>
    </w:p>
    <w:p>
      <w:pPr>
        <w:pStyle w:val="Body"/>
        <w:rPr>
          <w:sz w:val="28"/>
          <w:szCs w:val="28"/>
          <w:u w:val="single"/>
          <w:lang w:val="en-US"/>
        </w:rPr>
      </w:pPr>
    </w:p>
    <w:p>
      <w:pPr>
        <w:pStyle w:val="Body"/>
        <w:bidi w:val="0"/>
        <w:rPr>
          <w:lang w:val="en-US"/>
        </w:rPr>
      </w:pPr>
      <w:r>
        <w:rPr>
          <w:rtl w:val="0"/>
          <w:lang w:val="en-US"/>
        </w:rPr>
        <w:t>Bloom, Harold, The Anxiety of Influence, second edition</w:t>
      </w:r>
      <w:r>
        <w:rPr>
          <w:rtl w:val="0"/>
          <w:lang w:val="en-US"/>
        </w:rPr>
        <w:t xml:space="preserve"> (Oxford University Press: New York, 1997)</w:t>
      </w:r>
    </w:p>
    <w:p>
      <w:pPr>
        <w:pStyle w:val="Body"/>
        <w:bidi w:val="0"/>
        <w:rPr>
          <w:lang w:val="en-US"/>
        </w:rPr>
      </w:pPr>
    </w:p>
    <w:p>
      <w:pPr>
        <w:pStyle w:val="Body"/>
        <w:bidi w:val="0"/>
        <w:rPr>
          <w:lang w:val="en-US"/>
        </w:rPr>
      </w:pPr>
      <w:r>
        <w:rPr>
          <w:rtl w:val="0"/>
          <w:lang w:val="en-US"/>
        </w:rPr>
        <w:t>Bloom, Harold, The Western Canon, (Macmillan: London, 1995)</w:t>
      </w:r>
    </w:p>
    <w:p>
      <w:pPr>
        <w:pStyle w:val="Body"/>
        <w:bidi w:val="0"/>
        <w:rPr>
          <w:lang w:val="en-US"/>
        </w:rPr>
      </w:pPr>
    </w:p>
    <w:p>
      <w:pPr>
        <w:pStyle w:val="Body"/>
        <w:bidi w:val="0"/>
        <w:rPr>
          <w:lang w:val="en-US"/>
        </w:rPr>
      </w:pPr>
      <w:r>
        <w:rPr>
          <w:rtl w:val="0"/>
          <w:lang w:val="en-US"/>
        </w:rPr>
        <w:t>Eliot, T.S., The Sacred Wood, essays on poetry and criticism</w:t>
      </w:r>
      <w:r>
        <w:rPr>
          <w:i w:val="1"/>
          <w:iCs w:val="1"/>
          <w:rtl w:val="0"/>
          <w:lang w:val="en-US"/>
        </w:rPr>
        <w:t xml:space="preserve"> </w:t>
      </w:r>
      <w:r>
        <w:rPr>
          <w:rtl w:val="0"/>
          <w:lang w:val="en-US"/>
        </w:rPr>
        <w:t>(London: Metheun &amp; Co LTD, 1967)</w:t>
      </w:r>
    </w:p>
    <w:p>
      <w:pPr>
        <w:pStyle w:val="Body"/>
        <w:bidi w:val="0"/>
        <w:rPr>
          <w:lang w:val="en-US"/>
        </w:rPr>
      </w:pPr>
    </w:p>
    <w:p>
      <w:pPr>
        <w:pStyle w:val="Body"/>
        <w:bidi w:val="0"/>
        <w:rPr>
          <w:lang w:val="en-US"/>
        </w:rPr>
      </w:pPr>
      <w:r>
        <w:rPr>
          <w:rtl w:val="0"/>
          <w:lang w:val="en-US"/>
        </w:rPr>
        <w:t>Freud, Sigmund, The Interpretation of Dreams,</w:t>
      </w:r>
      <w:r>
        <w:rPr>
          <w:rtl w:val="0"/>
          <w:lang w:val="en-US"/>
        </w:rPr>
        <w:t xml:space="preserve"> translated and edited by James Strachey (Penguin Books Ltd: Aylesbury, 1985)</w:t>
      </w:r>
    </w:p>
    <w:p>
      <w:pPr>
        <w:pStyle w:val="Body"/>
        <w:bidi w:val="0"/>
        <w:rPr>
          <w:lang w:val="en-US"/>
        </w:rPr>
      </w:pPr>
    </w:p>
    <w:p>
      <w:pPr>
        <w:pStyle w:val="Body"/>
        <w:bidi w:val="0"/>
        <w:rPr>
          <w:lang w:val="en-US"/>
        </w:rPr>
      </w:pPr>
      <w:r>
        <w:rPr>
          <w:rtl w:val="0"/>
          <w:lang w:val="en-US"/>
        </w:rPr>
        <w:t>Frye, Northrop, Fools of Time, Studies in Shakespearean Tragedy</w:t>
      </w:r>
      <w:r>
        <w:rPr>
          <w:rtl w:val="0"/>
          <w:lang w:val="en-US"/>
        </w:rPr>
        <w:t xml:space="preserve"> (University of Toronto Press: Canada, 1967)</w:t>
      </w:r>
    </w:p>
    <w:p>
      <w:pPr>
        <w:pStyle w:val="Body"/>
        <w:bidi w:val="0"/>
        <w:rPr>
          <w:lang w:val="en-US"/>
        </w:rPr>
      </w:pPr>
    </w:p>
    <w:p>
      <w:pPr>
        <w:pStyle w:val="Body"/>
        <w:bidi w:val="0"/>
        <w:rPr>
          <w:lang w:val="en-US"/>
        </w:rPr>
      </w:pPr>
      <w:r>
        <w:rPr>
          <w:rtl w:val="0"/>
          <w:lang w:val="en-US"/>
        </w:rPr>
        <w:t>Frye, Northrop, Anatomy of Criticism, (Princeton University Press: Oxfordshire, 2000)</w:t>
      </w:r>
    </w:p>
    <w:p>
      <w:pPr>
        <w:pStyle w:val="Body"/>
        <w:bidi w:val="0"/>
        <w:rPr>
          <w:lang w:val="en-US"/>
        </w:rPr>
      </w:pPr>
    </w:p>
    <w:p>
      <w:pPr>
        <w:pStyle w:val="Body"/>
        <w:bidi w:val="0"/>
        <w:rPr>
          <w:lang w:val="en-US"/>
        </w:rPr>
      </w:pPr>
      <w:r>
        <w:rPr>
          <w:rtl w:val="0"/>
          <w:lang w:val="en-US"/>
        </w:rPr>
        <w:t xml:space="preserve">Greenblatt, Stephen J., Learning to Curse, Essays in Early Modern Culture </w:t>
      </w:r>
      <w:r>
        <w:rPr>
          <w:rtl w:val="0"/>
          <w:lang w:val="en-US"/>
        </w:rPr>
        <w:t>(United States of America, Routledge, 1992)</w:t>
      </w:r>
    </w:p>
    <w:p>
      <w:pPr>
        <w:pStyle w:val="Body"/>
        <w:bidi w:val="0"/>
        <w:rPr>
          <w:lang w:val="en-US"/>
        </w:rPr>
      </w:pPr>
    </w:p>
    <w:p>
      <w:pPr>
        <w:pStyle w:val="Body"/>
        <w:bidi w:val="0"/>
      </w:pPr>
      <w:r>
        <w:rPr>
          <w:rtl w:val="0"/>
          <w:lang w:val="en-US"/>
        </w:rPr>
        <w:t xml:space="preserve">Shakespeare, William, </w:t>
      </w:r>
      <w:r>
        <w:rPr>
          <w:i w:val="1"/>
          <w:iCs w:val="1"/>
          <w:rtl w:val="0"/>
          <w:lang w:val="en-US"/>
        </w:rPr>
        <w:t>Hamlet, Prince Of Denmark,</w:t>
      </w:r>
      <w:r>
        <w:rPr>
          <w:rtl w:val="0"/>
          <w:lang w:val="en-US"/>
        </w:rPr>
        <w:t xml:space="preserve"> edited by Philip Edwards (Cambridge: Cambridge University Press, 1988)</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Georgia">
    <w:charset w:val="00"/>
    <w:family w:val="roman"/>
    <w:pitch w:val="default"/>
  </w:font>
  <w:font w:name="Trebuchet MS">
    <w:charset w:val="00"/>
    <w:family w:val="roman"/>
    <w:pitch w:val="default"/>
  </w:font>
  <w:font w:name="Helvetica Light">
    <w:charset w:val="00"/>
    <w:family w:val="roman"/>
    <w:pitch w:val="default"/>
  </w:font>
  <w:font w:name="Calibri">
    <w:charset w:val="00"/>
    <w:family w:val="roman"/>
    <w:pitch w:val="default"/>
  </w:font>
  <w:font w:name="Cambria">
    <w:charset w:val="00"/>
    <w:family w:val="roman"/>
    <w:pitch w:val="default"/>
  </w:font>
  <w:font w:name="Garamond">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Sigmund Freud, </w:t>
      </w:r>
      <w:r>
        <w:rPr>
          <w:rFonts w:cs="Arial Unicode MS" w:eastAsia="Arial Unicode MS"/>
          <w:i w:val="1"/>
          <w:iCs w:val="1"/>
          <w:rtl w:val="0"/>
          <w:lang w:val="en-US"/>
        </w:rPr>
        <w:t xml:space="preserve">The Interpretation of Dreams, </w:t>
      </w:r>
      <w:r>
        <w:rPr>
          <w:rFonts w:cs="Arial Unicode MS" w:eastAsia="Arial Unicode MS"/>
          <w:rtl w:val="0"/>
          <w:lang w:val="en-US"/>
        </w:rPr>
        <w:t>translated and edited by James Strachey (Penguin Books Ltd: Aylesbury, 1985) Page 366</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Page 367</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Harold Bloom, </w:t>
      </w:r>
      <w:r>
        <w:rPr>
          <w:rFonts w:cs="Arial Unicode MS" w:eastAsia="Arial Unicode MS"/>
          <w:i w:val="1"/>
          <w:iCs w:val="1"/>
          <w:rtl w:val="0"/>
          <w:lang w:val="en-US"/>
        </w:rPr>
        <w:t xml:space="preserve">The Anxiety of Influence, </w:t>
      </w:r>
      <w:r>
        <w:rPr>
          <w:rFonts w:cs="Arial Unicode MS" w:eastAsia="Arial Unicode MS"/>
          <w:rtl w:val="0"/>
          <w:lang w:val="en-US"/>
        </w:rPr>
        <w:t>second edition (Oxford University Press: New York, 1997) Page xxxiii of the preface</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Northrop Frye, </w:t>
      </w:r>
      <w:r>
        <w:rPr>
          <w:rFonts w:cs="Arial Unicode MS" w:eastAsia="Arial Unicode MS"/>
          <w:i w:val="1"/>
          <w:iCs w:val="1"/>
          <w:rtl w:val="0"/>
          <w:lang w:val="en-US"/>
        </w:rPr>
        <w:t xml:space="preserve">Fools Of Time, Studies in Shakespearean Tragedy </w:t>
      </w:r>
      <w:r>
        <w:rPr>
          <w:rFonts w:cs="Arial Unicode MS" w:eastAsia="Arial Unicode MS"/>
          <w:rtl w:val="0"/>
          <w:lang w:val="en-US"/>
        </w:rPr>
        <w:t>(University of Toronto Press: Canada, 1967)</w:t>
      </w:r>
    </w:p>
  </w:footnote>
  <w:footnote w:id="5">
    <w:p>
      <w:pPr>
        <w:pStyle w:val="Footnote"/>
        <w:bidi w:val="0"/>
      </w:pPr>
      <w:r>
        <w:rPr>
          <w:vertAlign w:val="superscript"/>
        </w:rPr>
        <w:footnoteRef/>
      </w:r>
      <w:r>
        <w:rPr>
          <w:rFonts w:cs="Arial Unicode MS" w:eastAsia="Arial Unicode MS"/>
          <w:rtl w:val="0"/>
          <w:lang w:val="en-US"/>
        </w:rPr>
        <w:t xml:space="preserve">William Shakespeare, </w:t>
      </w:r>
      <w:r>
        <w:rPr>
          <w:rFonts w:cs="Arial Unicode MS" w:eastAsia="Arial Unicode MS"/>
          <w:i w:val="1"/>
          <w:iCs w:val="1"/>
          <w:rtl w:val="0"/>
          <w:lang w:val="en-US"/>
        </w:rPr>
        <w:t>Hamlet, Prince Of Denmark,</w:t>
      </w:r>
      <w:r>
        <w:rPr>
          <w:rFonts w:cs="Arial Unicode MS" w:eastAsia="Arial Unicode MS"/>
          <w:rtl w:val="0"/>
          <w:lang w:val="en-US"/>
        </w:rPr>
        <w:t xml:space="preserve"> edited by Philip Edwards (Cambridge: Cambridge University Press, 1988) Page 105</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T.S. Eliot, </w:t>
      </w:r>
      <w:r>
        <w:rPr>
          <w:rFonts w:cs="Arial Unicode MS" w:eastAsia="Arial Unicode MS"/>
          <w:i w:val="1"/>
          <w:iCs w:val="1"/>
          <w:rtl w:val="0"/>
          <w:lang w:val="en-US"/>
        </w:rPr>
        <w:t xml:space="preserve">The Sacred Wood, essays on poetry and criticism </w:t>
      </w:r>
      <w:r>
        <w:rPr>
          <w:rFonts w:cs="Arial Unicode MS" w:eastAsia="Arial Unicode MS"/>
          <w:rtl w:val="0"/>
          <w:lang w:val="en-US"/>
        </w:rPr>
        <w:t>(London: Metheun &amp; Co LTD, 1967) Page 97</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William Shakespeare, </w:t>
      </w:r>
      <w:r>
        <w:rPr>
          <w:rFonts w:cs="Arial Unicode MS" w:eastAsia="Arial Unicode MS"/>
          <w:i w:val="1"/>
          <w:iCs w:val="1"/>
          <w:rtl w:val="0"/>
          <w:lang w:val="en-US"/>
        </w:rPr>
        <w:t>Hamlet, Prince Of Denmark,</w:t>
      </w:r>
      <w:r>
        <w:rPr>
          <w:rFonts w:cs="Arial Unicode MS" w:eastAsia="Arial Unicode MS"/>
          <w:rtl w:val="0"/>
          <w:lang w:val="en-US"/>
        </w:rPr>
        <w:t xml:space="preserve"> edited by Philip Edwards (Cambridge: Cambridge University Press, 1988) Page 235</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Stephen Greenblatt, </w:t>
      </w:r>
      <w:r>
        <w:rPr>
          <w:rFonts w:cs="Arial Unicode MS" w:eastAsia="Arial Unicode MS"/>
          <w:i w:val="1"/>
          <w:iCs w:val="1"/>
          <w:rtl w:val="0"/>
          <w:lang w:val="en-US"/>
        </w:rPr>
        <w:t xml:space="preserve">Learning to Curse, essays in Early Modern Culture, </w:t>
      </w:r>
      <w:r>
        <w:rPr>
          <w:rFonts w:cs="Arial Unicode MS" w:eastAsia="Arial Unicode MS"/>
          <w:rtl w:val="0"/>
          <w:lang w:val="en-US"/>
        </w:rPr>
        <w:t>(United States of America, Routledge, 1992) Psychoanalysis and Renaissance Culture, page</w:t>
      </w:r>
      <w:r>
        <w:rPr>
          <w:rFonts w:cs="Arial Unicode MS" w:eastAsia="Arial Unicode MS"/>
          <w:i w:val="1"/>
          <w:iCs w:val="1"/>
          <w:rtl w:val="0"/>
          <w:lang w:val="en-US"/>
        </w:rPr>
        <w:t xml:space="preserve"> </w:t>
      </w:r>
      <w:r>
        <w:rPr>
          <w:rFonts w:cs="Arial Unicode MS" w:eastAsia="Arial Unicode MS"/>
          <w:rtl w:val="0"/>
          <w:lang w:val="en-US"/>
        </w:rPr>
        <w:t>142</w:t>
      </w:r>
    </w:p>
  </w:footnote>
  <w:footnote w:id="10">
    <w:p>
      <w:pPr>
        <w:pStyle w:val="Footnote"/>
        <w:bidi w:val="0"/>
      </w:pPr>
      <w:r>
        <w:rPr>
          <w:vertAlign w:val="superscript"/>
        </w:rPr>
        <w:footnoteRef/>
      </w:r>
      <w:r>
        <w:rPr>
          <w:rFonts w:cs="Arial Unicode MS" w:eastAsia="Arial Unicode MS"/>
          <w:rtl w:val="0"/>
          <w:lang w:val="en-US"/>
        </w:rPr>
        <w:t>http://www.nybooks.com/articles/2004/10/21/the-death-of-hamnet-and-the-making-of-hamlet/</w:t>
      </w:r>
    </w:p>
  </w:footnote>
  <w:footnote w:id="11">
    <w:p>
      <w:pPr>
        <w:pStyle w:val="Footnote"/>
        <w:bidi w:val="0"/>
      </w:pPr>
      <w:r>
        <w:rPr>
          <w:vertAlign w:val="superscript"/>
        </w:rPr>
        <w:footnoteRef/>
      </w:r>
      <w:r>
        <w:rPr>
          <w:rFonts w:cs="Arial Unicode MS" w:eastAsia="Arial Unicode MS"/>
          <w:rtl w:val="0"/>
          <w:lang w:val="en-US"/>
        </w:rPr>
        <w:t xml:space="preserve">William Shakespeare, </w:t>
      </w:r>
      <w:r>
        <w:rPr>
          <w:rFonts w:cs="Arial Unicode MS" w:eastAsia="Arial Unicode MS"/>
          <w:i w:val="1"/>
          <w:iCs w:val="1"/>
          <w:rtl w:val="0"/>
          <w:lang w:val="en-US"/>
        </w:rPr>
        <w:t>Hamlet, Prince Of Denmark,</w:t>
      </w:r>
      <w:r>
        <w:rPr>
          <w:rFonts w:cs="Arial Unicode MS" w:eastAsia="Arial Unicode MS"/>
          <w:rtl w:val="0"/>
          <w:lang w:val="en-US"/>
        </w:rPr>
        <w:t xml:space="preserve"> edited by Philip Edwards (Cambridge: Cambridge University Press, 1988) Page 147</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w:cs="Arial Unicode MS" w:hAnsi="Helvetica" w:eastAsia="Arial Unicode MS"/>
      <w:b w:val="1"/>
      <w:bCs w:val="1"/>
      <w:i w:val="0"/>
      <w:iCs w:val="0"/>
      <w:caps w:val="0"/>
      <w:smallCaps w:val="0"/>
      <w:strike w:val="0"/>
      <w:dstrike w:val="0"/>
      <w:outline w:val="0"/>
      <w:color w:val="000000"/>
      <w:spacing w:val="0"/>
      <w:kern w:val="0"/>
      <w:position w:val="0"/>
      <w:sz w:val="36"/>
      <w:szCs w:val="36"/>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Light" w:cs="Helvetica Light" w:hAnsi="Helvetica Light" w:eastAsia="Helvetica Light"/>
      <w:b w:val="0"/>
      <w:bCs w:val="0"/>
      <w:i w:val="0"/>
      <w:iCs w:val="0"/>
      <w:caps w:val="0"/>
      <w:smallCaps w:val="0"/>
      <w:strike w:val="0"/>
      <w:dstrike w:val="0"/>
      <w:outline w:val="0"/>
      <w:color w:val="000000"/>
      <w:spacing w:val="5"/>
      <w:kern w:val="0"/>
      <w:position w:val="0"/>
      <w:sz w:val="28"/>
      <w:szCs w:val="28"/>
      <w:u w:val="none"/>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