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867C6" w14:textId="4F416F80" w:rsidR="005113BA" w:rsidRDefault="005113BA" w:rsidP="005113BA">
      <w:pPr>
        <w:jc w:val="center"/>
        <w:rPr>
          <w:rFonts w:ascii="Arial" w:hAnsi="Arial" w:cs="Arial"/>
          <w:b/>
          <w:bCs/>
          <w:sz w:val="32"/>
          <w:szCs w:val="32"/>
          <w:lang w:val="en-GB"/>
        </w:rPr>
      </w:pPr>
      <w:r>
        <w:rPr>
          <w:rFonts w:ascii="Arial" w:hAnsi="Arial" w:cs="Arial"/>
          <w:b/>
          <w:bCs/>
          <w:sz w:val="32"/>
          <w:szCs w:val="32"/>
          <w:lang w:val="en-GB"/>
        </w:rPr>
        <w:t>Name: Saireen Mahmood</w:t>
      </w:r>
    </w:p>
    <w:p w14:paraId="6381DAE3" w14:textId="01631A71" w:rsidR="005113BA" w:rsidRPr="00105C97" w:rsidRDefault="005113BA" w:rsidP="005113BA">
      <w:pPr>
        <w:jc w:val="center"/>
        <w:rPr>
          <w:rFonts w:ascii="Arial" w:hAnsi="Arial" w:cs="Arial"/>
          <w:b/>
          <w:bCs/>
          <w:sz w:val="32"/>
          <w:szCs w:val="32"/>
          <w:lang w:val="en-GB"/>
        </w:rPr>
      </w:pPr>
      <w:r>
        <w:rPr>
          <w:rFonts w:ascii="Arial" w:hAnsi="Arial" w:cs="Arial"/>
          <w:b/>
          <w:bCs/>
          <w:sz w:val="32"/>
          <w:szCs w:val="32"/>
          <w:lang w:val="en-GB"/>
        </w:rPr>
        <w:t xml:space="preserve">Student Number: 2238897 </w:t>
      </w:r>
    </w:p>
    <w:p w14:paraId="07B72D01" w14:textId="77777777" w:rsidR="005113BA" w:rsidRPr="00105C97" w:rsidRDefault="005113BA" w:rsidP="005113BA">
      <w:pPr>
        <w:spacing w:line="278" w:lineRule="auto"/>
        <w:jc w:val="center"/>
        <w:rPr>
          <w:b/>
          <w:bCs/>
          <w:sz w:val="32"/>
          <w:szCs w:val="32"/>
          <w:lang w:val="en-GB"/>
        </w:rPr>
      </w:pPr>
      <w:r w:rsidRPr="00105C97">
        <w:rPr>
          <w:b/>
          <w:bCs/>
          <w:sz w:val="32"/>
          <w:szCs w:val="32"/>
          <w:lang w:val="en-GB"/>
        </w:rPr>
        <w:t>Course: BSc (Hons) Health and Social Care</w:t>
      </w:r>
    </w:p>
    <w:p w14:paraId="1946407B" w14:textId="77777777" w:rsidR="005113BA" w:rsidRDefault="005113BA" w:rsidP="005113BA">
      <w:pPr>
        <w:spacing w:line="278" w:lineRule="auto"/>
        <w:jc w:val="center"/>
        <w:rPr>
          <w:b/>
          <w:bCs/>
          <w:sz w:val="32"/>
          <w:szCs w:val="32"/>
          <w:lang w:val="en-GB"/>
        </w:rPr>
      </w:pPr>
      <w:r w:rsidRPr="00105C97">
        <w:rPr>
          <w:b/>
          <w:bCs/>
          <w:sz w:val="32"/>
          <w:szCs w:val="32"/>
          <w:lang w:val="en-GB"/>
        </w:rPr>
        <w:t>Module: Independent Project (BMHP6020_BIRM)</w:t>
      </w:r>
    </w:p>
    <w:p w14:paraId="37245C3E" w14:textId="77777777" w:rsidR="005113BA" w:rsidRDefault="005113BA" w:rsidP="005113BA">
      <w:pPr>
        <w:spacing w:line="278" w:lineRule="auto"/>
        <w:jc w:val="center"/>
        <w:rPr>
          <w:b/>
          <w:bCs/>
          <w:sz w:val="32"/>
          <w:szCs w:val="32"/>
          <w:lang w:val="en-GB"/>
        </w:rPr>
      </w:pPr>
      <w:r w:rsidRPr="00AF4477">
        <w:rPr>
          <w:b/>
          <w:bCs/>
          <w:sz w:val="32"/>
          <w:szCs w:val="32"/>
          <w:lang w:val="en-GB"/>
        </w:rPr>
        <w:t>Assignment Title:</w:t>
      </w:r>
      <w:r>
        <w:rPr>
          <w:b/>
          <w:bCs/>
          <w:sz w:val="32"/>
          <w:szCs w:val="32"/>
          <w:lang w:val="en-GB"/>
        </w:rPr>
        <w:t xml:space="preserve"> </w:t>
      </w:r>
      <w:r w:rsidRPr="00AF4477">
        <w:rPr>
          <w:b/>
          <w:bCs/>
          <w:sz w:val="32"/>
          <w:szCs w:val="32"/>
          <w:lang w:val="en-GB"/>
        </w:rPr>
        <w:t>Component 1: Portfolio (including 3 elements)</w:t>
      </w:r>
    </w:p>
    <w:p w14:paraId="08F37AC9" w14:textId="77777777" w:rsidR="005113BA" w:rsidRDefault="005113BA" w:rsidP="005113BA">
      <w:pPr>
        <w:spacing w:line="278" w:lineRule="auto"/>
        <w:jc w:val="center"/>
        <w:rPr>
          <w:b/>
          <w:bCs/>
          <w:sz w:val="32"/>
          <w:szCs w:val="32"/>
          <w:lang w:val="en-GB"/>
        </w:rPr>
      </w:pPr>
    </w:p>
    <w:p w14:paraId="7FBA36B3" w14:textId="77777777" w:rsidR="005113BA" w:rsidRPr="00AF4477" w:rsidRDefault="005113BA" w:rsidP="005113BA">
      <w:pPr>
        <w:spacing w:line="278" w:lineRule="auto"/>
        <w:jc w:val="center"/>
        <w:rPr>
          <w:b/>
          <w:bCs/>
          <w:sz w:val="32"/>
          <w:szCs w:val="32"/>
          <w:lang w:val="en-GB"/>
        </w:rPr>
      </w:pPr>
    </w:p>
    <w:p w14:paraId="1A2B2E73" w14:textId="60C36893" w:rsidR="003B2466" w:rsidRPr="00E54111" w:rsidRDefault="005113BA" w:rsidP="00814946">
      <w:pPr>
        <w:pStyle w:val="Heading1"/>
        <w:jc w:val="center"/>
        <w:rPr>
          <w:szCs w:val="22"/>
          <w:lang w:val="en-GB"/>
        </w:rPr>
      </w:pPr>
      <w:r w:rsidRPr="00420362">
        <w:t xml:space="preserve">Project Title: </w:t>
      </w:r>
      <w:r w:rsidRPr="005113BA">
        <w:rPr>
          <w:lang w:val="en-GB"/>
        </w:rPr>
        <w:t>The impact of socioeconomic status on access to health and social care services in urban and rural communities.</w:t>
      </w:r>
      <w:r>
        <w:rPr>
          <w:szCs w:val="22"/>
          <w:lang w:val="en-GB"/>
        </w:rPr>
        <w:br w:type="page"/>
      </w:r>
    </w:p>
    <w:p w14:paraId="22F9566A" w14:textId="199DA4C0" w:rsidR="00FF33B9" w:rsidRPr="0052625A" w:rsidRDefault="00FF33B9" w:rsidP="00E54111">
      <w:pPr>
        <w:pStyle w:val="NormalWeb"/>
        <w:spacing w:line="360" w:lineRule="auto"/>
        <w:jc w:val="both"/>
        <w:rPr>
          <w:rFonts w:asciiTheme="minorBidi" w:hAnsiTheme="minorBidi" w:cstheme="minorBidi"/>
          <w:b/>
          <w:bCs/>
          <w:sz w:val="22"/>
          <w:szCs w:val="22"/>
        </w:rPr>
      </w:pPr>
      <w:r w:rsidRPr="0052625A">
        <w:rPr>
          <w:rFonts w:asciiTheme="minorBidi" w:hAnsiTheme="minorBidi" w:cstheme="minorBidi"/>
          <w:b/>
          <w:bCs/>
          <w:sz w:val="22"/>
          <w:szCs w:val="22"/>
        </w:rPr>
        <w:lastRenderedPageBreak/>
        <w:t>CHAPTER 1: Introduction</w:t>
      </w:r>
    </w:p>
    <w:p w14:paraId="5274D9C1" w14:textId="77777777" w:rsidR="00FF33B9" w:rsidRPr="00E54111" w:rsidRDefault="00FF33B9" w:rsidP="00E54111">
      <w:pPr>
        <w:pStyle w:val="Heading3"/>
        <w:jc w:val="both"/>
        <w:rPr>
          <w:rFonts w:cstheme="minorBidi"/>
          <w:szCs w:val="22"/>
        </w:rPr>
      </w:pPr>
      <w:r w:rsidRPr="00E54111">
        <w:rPr>
          <w:rFonts w:cstheme="minorBidi"/>
          <w:szCs w:val="22"/>
        </w:rPr>
        <w:t>1.1 Introduction</w:t>
      </w:r>
    </w:p>
    <w:p w14:paraId="67D29242" w14:textId="1F7D610A"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Access to health and social care is not distributed evenly across populations. People with lower income, insecure work or limited education often experience more illness, yet face more obstacles when trying to obtain care than more advantaged groups. This reflects the influence of socioeconomic status (SES), which indicates people’s position in the social hierarchy and the resources they can use to protect their health</w:t>
      </w:r>
      <w:r w:rsidR="004B5EA3" w:rsidRPr="00E54111">
        <w:rPr>
          <w:rFonts w:asciiTheme="minorBidi" w:hAnsiTheme="minorBidi" w:cstheme="minorBidi"/>
          <w:sz w:val="22"/>
          <w:szCs w:val="22"/>
        </w:rPr>
        <w:t xml:space="preserve"> (Gabriel </w:t>
      </w:r>
      <w:r w:rsidR="004B5EA3" w:rsidRPr="00E54111">
        <w:rPr>
          <w:rFonts w:asciiTheme="minorBidi" w:hAnsiTheme="minorBidi" w:cstheme="minorBidi"/>
          <w:i/>
          <w:iCs/>
          <w:sz w:val="22"/>
          <w:szCs w:val="22"/>
        </w:rPr>
        <w:t>et al.</w:t>
      </w:r>
      <w:r w:rsidR="004B5EA3" w:rsidRPr="00E54111">
        <w:rPr>
          <w:rFonts w:asciiTheme="minorBidi" w:hAnsiTheme="minorBidi" w:cstheme="minorBidi"/>
          <w:sz w:val="22"/>
          <w:szCs w:val="22"/>
        </w:rPr>
        <w:t>, 2025)</w:t>
      </w:r>
      <w:r w:rsidRPr="00E54111">
        <w:rPr>
          <w:rFonts w:asciiTheme="minorBidi" w:hAnsiTheme="minorBidi" w:cstheme="minorBidi"/>
          <w:sz w:val="22"/>
          <w:szCs w:val="22"/>
        </w:rPr>
        <w:t>. Place of residence further shapes which services exist and how they can be reached. Urban areas usually have a higher concentration of hospitals, clinics and voluntary organisations, whereas many rural areas face longer travel distances, fewer services and workforce shortages</w:t>
      </w:r>
      <w:r w:rsidR="004B5EA3" w:rsidRPr="00E54111">
        <w:rPr>
          <w:rFonts w:asciiTheme="minorBidi" w:hAnsiTheme="minorBidi" w:cstheme="minorBidi"/>
          <w:sz w:val="22"/>
          <w:szCs w:val="22"/>
        </w:rPr>
        <w:t xml:space="preserve"> (Chen </w:t>
      </w:r>
      <w:r w:rsidR="004B5EA3" w:rsidRPr="00E54111">
        <w:rPr>
          <w:rFonts w:asciiTheme="minorBidi" w:hAnsiTheme="minorBidi" w:cstheme="minorBidi"/>
          <w:i/>
          <w:iCs/>
          <w:sz w:val="22"/>
          <w:szCs w:val="22"/>
        </w:rPr>
        <w:t>et al.</w:t>
      </w:r>
      <w:r w:rsidR="004B5EA3" w:rsidRPr="00E54111">
        <w:rPr>
          <w:rFonts w:asciiTheme="minorBidi" w:hAnsiTheme="minorBidi" w:cstheme="minorBidi"/>
          <w:sz w:val="22"/>
          <w:szCs w:val="22"/>
        </w:rPr>
        <w:t>, 2019)</w:t>
      </w:r>
      <w:r w:rsidRPr="00E54111">
        <w:rPr>
          <w:rFonts w:asciiTheme="minorBidi" w:hAnsiTheme="minorBidi" w:cstheme="minorBidi"/>
          <w:sz w:val="22"/>
          <w:szCs w:val="22"/>
        </w:rPr>
        <w:t>.</w:t>
      </w:r>
    </w:p>
    <w:p w14:paraId="3EBA5F23" w14:textId="169BE378"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Greater availability of services in cities does not automatically lead to fair access. Administrative complexity, long waiting times, transport costs and social stigma can still restrict use of services, especially for people with low SES. In rural areas, informal networks may offer some support but cannot replace comprehensive provision</w:t>
      </w:r>
      <w:r w:rsidR="00EE4744" w:rsidRPr="00E54111">
        <w:rPr>
          <w:rFonts w:asciiTheme="minorBidi" w:hAnsiTheme="minorBidi" w:cstheme="minorBidi"/>
          <w:sz w:val="22"/>
          <w:szCs w:val="22"/>
        </w:rPr>
        <w:t xml:space="preserve"> (Dassah </w:t>
      </w:r>
      <w:r w:rsidR="00EE4744" w:rsidRPr="00E54111">
        <w:rPr>
          <w:rFonts w:asciiTheme="minorBidi" w:hAnsiTheme="minorBidi" w:cstheme="minorBidi"/>
          <w:i/>
          <w:iCs/>
          <w:sz w:val="22"/>
          <w:szCs w:val="22"/>
        </w:rPr>
        <w:t>et al.</w:t>
      </w:r>
      <w:r w:rsidR="00EE4744" w:rsidRPr="00E54111">
        <w:rPr>
          <w:rFonts w:asciiTheme="minorBidi" w:hAnsiTheme="minorBidi" w:cstheme="minorBidi"/>
          <w:sz w:val="22"/>
          <w:szCs w:val="22"/>
        </w:rPr>
        <w:t>, 2018)</w:t>
      </w:r>
      <w:r w:rsidRPr="00E54111">
        <w:rPr>
          <w:rFonts w:asciiTheme="minorBidi" w:hAnsiTheme="minorBidi" w:cstheme="minorBidi"/>
          <w:sz w:val="22"/>
          <w:szCs w:val="22"/>
        </w:rPr>
        <w:t>. This dissertation examines how SES interacts with urban and rural settings to shape access to health and social care. Its overall aim is to analyse how SES, measured using income, education, occupation and deprivation indices, affects people’s ability to reach and use services in different geographical contexts and to draw out implications for more equitable policy and practice.</w:t>
      </w:r>
    </w:p>
    <w:p w14:paraId="0EE08AD9" w14:textId="77777777" w:rsidR="00FF33B9" w:rsidRPr="00E54111" w:rsidRDefault="00FF33B9" w:rsidP="00E54111">
      <w:pPr>
        <w:pStyle w:val="Heading3"/>
        <w:jc w:val="both"/>
        <w:rPr>
          <w:rFonts w:cstheme="minorBidi"/>
          <w:szCs w:val="22"/>
        </w:rPr>
      </w:pPr>
      <w:r w:rsidRPr="00E54111">
        <w:rPr>
          <w:rFonts w:cstheme="minorBidi"/>
          <w:szCs w:val="22"/>
        </w:rPr>
        <w:t>1.2 Definitions and Terminology</w:t>
      </w:r>
    </w:p>
    <w:p w14:paraId="573B6519" w14:textId="60935842"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Socioeconomic status (SES) in this dissertation refers to a person’s or household’s social and economic position relative to others, measured through income, educational attainment, occupational status and area based deprivation scores. These indicators act as proxies for access to resources and social status. SES is treated as a product of wider economic and policy structures rather than as a purely individual characteristic</w:t>
      </w:r>
      <w:r w:rsidR="00C362EB" w:rsidRPr="00E54111">
        <w:rPr>
          <w:rFonts w:asciiTheme="minorBidi" w:hAnsiTheme="minorBidi" w:cstheme="minorBidi"/>
          <w:sz w:val="22"/>
          <w:szCs w:val="22"/>
        </w:rPr>
        <w:t xml:space="preserve"> (Zaneva </w:t>
      </w:r>
      <w:r w:rsidR="00C362EB" w:rsidRPr="00E54111">
        <w:rPr>
          <w:rFonts w:asciiTheme="minorBidi" w:hAnsiTheme="minorBidi" w:cstheme="minorBidi"/>
          <w:i/>
          <w:iCs/>
          <w:sz w:val="22"/>
          <w:szCs w:val="22"/>
        </w:rPr>
        <w:t>et al.</w:t>
      </w:r>
      <w:r w:rsidR="00C362EB" w:rsidRPr="00E54111">
        <w:rPr>
          <w:rFonts w:asciiTheme="minorBidi" w:hAnsiTheme="minorBidi" w:cstheme="minorBidi"/>
          <w:sz w:val="22"/>
          <w:szCs w:val="22"/>
        </w:rPr>
        <w:t>, 2024)</w:t>
      </w:r>
      <w:r w:rsidRPr="00E54111">
        <w:rPr>
          <w:rFonts w:asciiTheme="minorBidi" w:hAnsiTheme="minorBidi" w:cstheme="minorBidi"/>
          <w:sz w:val="22"/>
          <w:szCs w:val="22"/>
        </w:rPr>
        <w:t>.</w:t>
      </w:r>
    </w:p>
    <w:p w14:paraId="1CA247C0" w14:textId="040056C2"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Access to health and social care is understood as more than simple contact with a provider. It includes recognising a need, seeking help, reaching a service, meeting related costs and receiving appropriate, timely and respectful care. Access therefore has financial, organisational, geographical and cultural dimensions. Health services cover activities to prevent, diagnose and treat illness and to promote health. Social care services provide practical and emotional support with daily living and social participation</w:t>
      </w:r>
      <w:r w:rsidR="00C362EB" w:rsidRPr="00E54111">
        <w:rPr>
          <w:rFonts w:asciiTheme="minorBidi" w:hAnsiTheme="minorBidi" w:cstheme="minorBidi"/>
          <w:sz w:val="22"/>
          <w:szCs w:val="22"/>
        </w:rPr>
        <w:t xml:space="preserve"> (Gulliford </w:t>
      </w:r>
      <w:r w:rsidR="00C362EB" w:rsidRPr="00E54111">
        <w:rPr>
          <w:rFonts w:asciiTheme="minorBidi" w:hAnsiTheme="minorBidi" w:cstheme="minorBidi"/>
          <w:i/>
          <w:iCs/>
          <w:sz w:val="22"/>
          <w:szCs w:val="22"/>
        </w:rPr>
        <w:t>et al.</w:t>
      </w:r>
      <w:r w:rsidR="00C362EB" w:rsidRPr="00E54111">
        <w:rPr>
          <w:rFonts w:asciiTheme="minorBidi" w:hAnsiTheme="minorBidi" w:cstheme="minorBidi"/>
          <w:sz w:val="22"/>
          <w:szCs w:val="22"/>
        </w:rPr>
        <w:t>, 2022)</w:t>
      </w:r>
      <w:r w:rsidRPr="00E54111">
        <w:rPr>
          <w:rFonts w:asciiTheme="minorBidi" w:hAnsiTheme="minorBidi" w:cstheme="minorBidi"/>
          <w:sz w:val="22"/>
          <w:szCs w:val="22"/>
        </w:rPr>
        <w:t>.</w:t>
      </w:r>
    </w:p>
    <w:p w14:paraId="18A75829" w14:textId="4DAF391E"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lastRenderedPageBreak/>
        <w:t>Urban and rural communities are defined according to each study’s classification, for example by population density, land use or administrative boundaries. This flexible approach allows inclusion of evidence from different countries but requires careful interpretation of context. Inequalities are understood as avoidable and unjust differences in health outcomes or access between social groups</w:t>
      </w:r>
      <w:r w:rsidR="00C362EB" w:rsidRPr="00E54111">
        <w:rPr>
          <w:rFonts w:asciiTheme="minorBidi" w:hAnsiTheme="minorBidi" w:cstheme="minorBidi"/>
          <w:sz w:val="22"/>
          <w:szCs w:val="22"/>
        </w:rPr>
        <w:t xml:space="preserve"> (Öğdül, 2010)</w:t>
      </w:r>
      <w:r w:rsidRPr="00E54111">
        <w:rPr>
          <w:rFonts w:asciiTheme="minorBidi" w:hAnsiTheme="minorBidi" w:cstheme="minorBidi"/>
          <w:sz w:val="22"/>
          <w:szCs w:val="22"/>
        </w:rPr>
        <w:t>.</w:t>
      </w:r>
    </w:p>
    <w:p w14:paraId="2BFD43A5" w14:textId="77777777" w:rsidR="0030312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Key acronyms used in this dissertation are:</w:t>
      </w:r>
    </w:p>
    <w:p w14:paraId="25C9109E" w14:textId="77777777" w:rsidR="0030312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 </w:t>
      </w:r>
      <w:r w:rsidRPr="00E54111">
        <w:rPr>
          <w:rStyle w:val="Strong"/>
          <w:rFonts w:asciiTheme="minorBidi" w:eastAsiaTheme="majorEastAsia" w:hAnsiTheme="minorBidi" w:cstheme="minorBidi"/>
          <w:sz w:val="22"/>
          <w:szCs w:val="22"/>
        </w:rPr>
        <w:t>SES</w:t>
      </w:r>
      <w:r w:rsidRPr="00E54111">
        <w:rPr>
          <w:rFonts w:asciiTheme="minorBidi" w:hAnsiTheme="minorBidi" w:cstheme="minorBidi"/>
          <w:sz w:val="22"/>
          <w:szCs w:val="22"/>
        </w:rPr>
        <w:t>: Socioeconomic status</w:t>
      </w:r>
    </w:p>
    <w:p w14:paraId="48811F4E" w14:textId="77777777" w:rsidR="0030312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 </w:t>
      </w:r>
      <w:r w:rsidRPr="00E54111">
        <w:rPr>
          <w:rStyle w:val="Strong"/>
          <w:rFonts w:asciiTheme="minorBidi" w:eastAsiaTheme="majorEastAsia" w:hAnsiTheme="minorBidi" w:cstheme="minorBidi"/>
          <w:sz w:val="22"/>
          <w:szCs w:val="22"/>
        </w:rPr>
        <w:t>GP</w:t>
      </w:r>
      <w:r w:rsidRPr="00E54111">
        <w:rPr>
          <w:rFonts w:asciiTheme="minorBidi" w:hAnsiTheme="minorBidi" w:cstheme="minorBidi"/>
          <w:sz w:val="22"/>
          <w:szCs w:val="22"/>
        </w:rPr>
        <w:t>: General practitioner</w:t>
      </w:r>
    </w:p>
    <w:p w14:paraId="47544DE5" w14:textId="77777777" w:rsidR="0030312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 </w:t>
      </w:r>
      <w:r w:rsidRPr="00E54111">
        <w:rPr>
          <w:rStyle w:val="Strong"/>
          <w:rFonts w:asciiTheme="minorBidi" w:eastAsiaTheme="majorEastAsia" w:hAnsiTheme="minorBidi" w:cstheme="minorBidi"/>
          <w:sz w:val="22"/>
          <w:szCs w:val="22"/>
        </w:rPr>
        <w:t>NGO</w:t>
      </w:r>
      <w:r w:rsidRPr="00E54111">
        <w:rPr>
          <w:rFonts w:asciiTheme="minorBidi" w:hAnsiTheme="minorBidi" w:cstheme="minorBidi"/>
          <w:sz w:val="22"/>
          <w:szCs w:val="22"/>
        </w:rPr>
        <w:t>: Non governmental organisation</w:t>
      </w:r>
    </w:p>
    <w:p w14:paraId="55913A72" w14:textId="77777777" w:rsidR="0030312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 </w:t>
      </w:r>
      <w:r w:rsidRPr="00E54111">
        <w:rPr>
          <w:rStyle w:val="Strong"/>
          <w:rFonts w:asciiTheme="minorBidi" w:eastAsiaTheme="majorEastAsia" w:hAnsiTheme="minorBidi" w:cstheme="minorBidi"/>
          <w:sz w:val="22"/>
          <w:szCs w:val="22"/>
        </w:rPr>
        <w:t>OECD</w:t>
      </w:r>
      <w:r w:rsidRPr="00E54111">
        <w:rPr>
          <w:rFonts w:asciiTheme="minorBidi" w:hAnsiTheme="minorBidi" w:cstheme="minorBidi"/>
          <w:sz w:val="22"/>
          <w:szCs w:val="22"/>
        </w:rPr>
        <w:t>: Organisation for Economic Co operation and Development</w:t>
      </w:r>
    </w:p>
    <w:p w14:paraId="4CF7F754" w14:textId="3F7BFD95"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 </w:t>
      </w:r>
      <w:r w:rsidRPr="00E54111">
        <w:rPr>
          <w:rStyle w:val="Strong"/>
          <w:rFonts w:asciiTheme="minorBidi" w:eastAsiaTheme="majorEastAsia" w:hAnsiTheme="minorBidi" w:cstheme="minorBidi"/>
          <w:sz w:val="22"/>
          <w:szCs w:val="22"/>
        </w:rPr>
        <w:t>WHO</w:t>
      </w:r>
      <w:r w:rsidRPr="00E54111">
        <w:rPr>
          <w:rFonts w:asciiTheme="minorBidi" w:hAnsiTheme="minorBidi" w:cstheme="minorBidi"/>
          <w:sz w:val="22"/>
          <w:szCs w:val="22"/>
        </w:rPr>
        <w:t>: World Health Organization</w:t>
      </w:r>
    </w:p>
    <w:p w14:paraId="5FD836AB" w14:textId="77777777" w:rsidR="00FF33B9" w:rsidRPr="00E54111" w:rsidRDefault="00FF33B9" w:rsidP="00E54111">
      <w:pPr>
        <w:pStyle w:val="Heading3"/>
        <w:jc w:val="both"/>
        <w:rPr>
          <w:rFonts w:cstheme="minorBidi"/>
          <w:szCs w:val="22"/>
        </w:rPr>
      </w:pPr>
      <w:r w:rsidRPr="00E54111">
        <w:rPr>
          <w:rFonts w:cstheme="minorBidi"/>
          <w:szCs w:val="22"/>
        </w:rPr>
        <w:t>1.3 Rationale for Research</w:t>
      </w:r>
    </w:p>
    <w:p w14:paraId="04B62035" w14:textId="2DBEA9FA"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Evidence consistently links socioeconomic disadvantage with poorer health outcomes and lower use of services. Studies also show differences between urban and rural populations in service availability and health indicators</w:t>
      </w:r>
      <w:r w:rsidR="00C362EB" w:rsidRPr="00E54111">
        <w:rPr>
          <w:rFonts w:asciiTheme="minorBidi" w:hAnsiTheme="minorBidi" w:cstheme="minorBidi"/>
          <w:sz w:val="22"/>
          <w:szCs w:val="22"/>
        </w:rPr>
        <w:t xml:space="preserve"> (Dassah </w:t>
      </w:r>
      <w:r w:rsidR="00C362EB" w:rsidRPr="00E54111">
        <w:rPr>
          <w:rFonts w:asciiTheme="minorBidi" w:hAnsiTheme="minorBidi" w:cstheme="minorBidi"/>
          <w:i/>
          <w:iCs/>
          <w:sz w:val="22"/>
          <w:szCs w:val="22"/>
        </w:rPr>
        <w:t>et al.</w:t>
      </w:r>
      <w:r w:rsidR="00C362EB" w:rsidRPr="00E54111">
        <w:rPr>
          <w:rFonts w:asciiTheme="minorBidi" w:hAnsiTheme="minorBidi" w:cstheme="minorBidi"/>
          <w:sz w:val="22"/>
          <w:szCs w:val="22"/>
        </w:rPr>
        <w:t xml:space="preserve">, 2018; Gabriel </w:t>
      </w:r>
      <w:r w:rsidR="00C362EB" w:rsidRPr="00E54111">
        <w:rPr>
          <w:rFonts w:asciiTheme="minorBidi" w:hAnsiTheme="minorBidi" w:cstheme="minorBidi"/>
          <w:i/>
          <w:iCs/>
          <w:sz w:val="22"/>
          <w:szCs w:val="22"/>
        </w:rPr>
        <w:t>et al.</w:t>
      </w:r>
      <w:r w:rsidR="00C362EB" w:rsidRPr="00E54111">
        <w:rPr>
          <w:rFonts w:asciiTheme="minorBidi" w:hAnsiTheme="minorBidi" w:cstheme="minorBidi"/>
          <w:sz w:val="22"/>
          <w:szCs w:val="22"/>
        </w:rPr>
        <w:t>, 2025)</w:t>
      </w:r>
      <w:r w:rsidRPr="00E54111">
        <w:rPr>
          <w:rFonts w:asciiTheme="minorBidi" w:hAnsiTheme="minorBidi" w:cstheme="minorBidi"/>
          <w:sz w:val="22"/>
          <w:szCs w:val="22"/>
        </w:rPr>
        <w:t>. However, much of this work treats SES and place as separate variables or uses simple urban–rural comparisons. Policy responses then focus either on area based investment or on support for low income groups, without examining how social position and geography interact to shape access.</w:t>
      </w:r>
    </w:p>
    <w:p w14:paraId="59FE3BD0" w14:textId="75E778A2"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Existing reviews often focus on specific services, such as primary care or hospital admission, or on particular population groups. While these studies are useful, they give a fragmented picture of how SES influences access to the wider system of health and social care in different settings</w:t>
      </w:r>
      <w:r w:rsidR="00C362EB" w:rsidRPr="00E54111">
        <w:rPr>
          <w:rFonts w:asciiTheme="minorBidi" w:hAnsiTheme="minorBidi" w:cstheme="minorBidi"/>
          <w:sz w:val="22"/>
          <w:szCs w:val="22"/>
        </w:rPr>
        <w:t xml:space="preserve"> (Averill and Mills, 2022; Moscrop </w:t>
      </w:r>
      <w:r w:rsidR="00C362EB" w:rsidRPr="00E54111">
        <w:rPr>
          <w:rFonts w:asciiTheme="minorBidi" w:hAnsiTheme="minorBidi" w:cstheme="minorBidi"/>
          <w:i/>
          <w:iCs/>
          <w:sz w:val="22"/>
          <w:szCs w:val="22"/>
        </w:rPr>
        <w:t>et al.</w:t>
      </w:r>
      <w:r w:rsidR="00C362EB" w:rsidRPr="00E54111">
        <w:rPr>
          <w:rFonts w:asciiTheme="minorBidi" w:hAnsiTheme="minorBidi" w:cstheme="minorBidi"/>
          <w:sz w:val="22"/>
          <w:szCs w:val="22"/>
        </w:rPr>
        <w:t>, 2019)</w:t>
      </w:r>
      <w:r w:rsidRPr="00E54111">
        <w:rPr>
          <w:rFonts w:asciiTheme="minorBidi" w:hAnsiTheme="minorBidi" w:cstheme="minorBidi"/>
          <w:sz w:val="22"/>
          <w:szCs w:val="22"/>
        </w:rPr>
        <w:t>. Many studies use narrow measures of access based only on utilisation or insurance status, which do not capture unmet need, quality of care or user experience. Policy documents frequently state commitments to equity, yet they rarely draw systematically on evidence about which interventions reduce SES related barriers in urban and rural areas</w:t>
      </w:r>
      <w:r w:rsidR="00C362EB" w:rsidRPr="00E54111">
        <w:rPr>
          <w:rFonts w:asciiTheme="minorBidi" w:hAnsiTheme="minorBidi" w:cstheme="minorBidi"/>
          <w:sz w:val="22"/>
          <w:szCs w:val="22"/>
        </w:rPr>
        <w:t xml:space="preserve"> (Ranjan, Sundararaman and Garg, 2023; Zaneva </w:t>
      </w:r>
      <w:r w:rsidR="00C362EB" w:rsidRPr="00E54111">
        <w:rPr>
          <w:rFonts w:asciiTheme="minorBidi" w:hAnsiTheme="minorBidi" w:cstheme="minorBidi"/>
          <w:i/>
          <w:iCs/>
          <w:sz w:val="22"/>
          <w:szCs w:val="22"/>
        </w:rPr>
        <w:t>et al.</w:t>
      </w:r>
      <w:r w:rsidR="00C362EB" w:rsidRPr="00E54111">
        <w:rPr>
          <w:rFonts w:asciiTheme="minorBidi" w:hAnsiTheme="minorBidi" w:cstheme="minorBidi"/>
          <w:sz w:val="22"/>
          <w:szCs w:val="22"/>
        </w:rPr>
        <w:t>, 2024)</w:t>
      </w:r>
      <w:r w:rsidRPr="00E54111">
        <w:rPr>
          <w:rFonts w:asciiTheme="minorBidi" w:hAnsiTheme="minorBidi" w:cstheme="minorBidi"/>
          <w:sz w:val="22"/>
          <w:szCs w:val="22"/>
        </w:rPr>
        <w:t>.</w:t>
      </w:r>
    </w:p>
    <w:p w14:paraId="630059B5" w14:textId="3C40F402"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This dissertation addresses these gaps through a systematic literature review that brings together studies on SES, access and urban–rural context. By comparing findings across </w:t>
      </w:r>
      <w:r w:rsidRPr="00E54111">
        <w:rPr>
          <w:rFonts w:asciiTheme="minorBidi" w:hAnsiTheme="minorBidi" w:cstheme="minorBidi"/>
          <w:sz w:val="22"/>
          <w:szCs w:val="22"/>
        </w:rPr>
        <w:lastRenderedPageBreak/>
        <w:t>different settings, the review will assess where patterns are consistent, where they diverge and how these differences can be explained. The intention is to move beyond descriptive mapping of inequalities towards a clearer understanding of the mechanisms through which socioeconomic disadvantage shapes access and the policy levers that might address them.</w:t>
      </w:r>
    </w:p>
    <w:p w14:paraId="1F7E6320" w14:textId="77777777" w:rsidR="00FF33B9" w:rsidRPr="00E54111" w:rsidRDefault="00FF33B9" w:rsidP="00E54111">
      <w:pPr>
        <w:pStyle w:val="Heading3"/>
        <w:jc w:val="both"/>
        <w:rPr>
          <w:rFonts w:cstheme="minorBidi"/>
          <w:szCs w:val="22"/>
        </w:rPr>
      </w:pPr>
      <w:r w:rsidRPr="00E54111">
        <w:rPr>
          <w:rFonts w:cstheme="minorBidi"/>
          <w:szCs w:val="22"/>
        </w:rPr>
        <w:t>1.4 Aim and Objectives</w:t>
      </w:r>
    </w:p>
    <w:p w14:paraId="4EAD8B74" w14:textId="77777777"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The overarching aim of this dissertation is to examine how socioeconomic status, measured through income, education, occupation and deprivation indices, shapes access to health and social care services across urban and rural communities.</w:t>
      </w:r>
    </w:p>
    <w:p w14:paraId="2245C610" w14:textId="77777777" w:rsidR="00C362EB"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The study will pursue the following objectives:</w:t>
      </w:r>
    </w:p>
    <w:p w14:paraId="1159FDF2" w14:textId="77777777" w:rsidR="00C362EB" w:rsidRPr="00E54111" w:rsidRDefault="00FF33B9" w:rsidP="00E54111">
      <w:pPr>
        <w:pStyle w:val="NormalWeb"/>
        <w:numPr>
          <w:ilvl w:val="0"/>
          <w:numId w:val="2"/>
        </w:numPr>
        <w:spacing w:line="360" w:lineRule="auto"/>
        <w:jc w:val="both"/>
        <w:rPr>
          <w:rFonts w:asciiTheme="minorBidi" w:hAnsiTheme="minorBidi" w:cstheme="minorBidi"/>
          <w:sz w:val="22"/>
          <w:szCs w:val="22"/>
        </w:rPr>
      </w:pPr>
      <w:r w:rsidRPr="00E54111">
        <w:rPr>
          <w:rFonts w:asciiTheme="minorBidi" w:hAnsiTheme="minorBidi" w:cstheme="minorBidi"/>
          <w:sz w:val="22"/>
          <w:szCs w:val="22"/>
        </w:rPr>
        <w:t>To define and examine the concept of socioeconomic status and its dimensions in relation to access to health and social care services.</w:t>
      </w:r>
    </w:p>
    <w:p w14:paraId="345DA32F" w14:textId="77777777" w:rsidR="00C362EB" w:rsidRPr="00E54111" w:rsidRDefault="00FF33B9" w:rsidP="00E54111">
      <w:pPr>
        <w:pStyle w:val="NormalWeb"/>
        <w:numPr>
          <w:ilvl w:val="0"/>
          <w:numId w:val="2"/>
        </w:numPr>
        <w:spacing w:line="360" w:lineRule="auto"/>
        <w:jc w:val="both"/>
        <w:rPr>
          <w:rFonts w:asciiTheme="minorBidi" w:hAnsiTheme="minorBidi" w:cstheme="minorBidi"/>
          <w:sz w:val="22"/>
          <w:szCs w:val="22"/>
        </w:rPr>
      </w:pPr>
      <w:r w:rsidRPr="00E54111">
        <w:rPr>
          <w:rFonts w:asciiTheme="minorBidi" w:hAnsiTheme="minorBidi" w:cstheme="minorBidi"/>
          <w:sz w:val="22"/>
          <w:szCs w:val="22"/>
        </w:rPr>
        <w:t>To analyse how socioeconomic status influences disparities in accessing health and social care services across urban and rural populations.</w:t>
      </w:r>
    </w:p>
    <w:p w14:paraId="4C84478A" w14:textId="77777777" w:rsidR="00C362EB" w:rsidRPr="00E54111" w:rsidRDefault="00FF33B9" w:rsidP="00E54111">
      <w:pPr>
        <w:pStyle w:val="NormalWeb"/>
        <w:numPr>
          <w:ilvl w:val="0"/>
          <w:numId w:val="2"/>
        </w:numPr>
        <w:spacing w:line="360" w:lineRule="auto"/>
        <w:jc w:val="both"/>
        <w:rPr>
          <w:rFonts w:asciiTheme="minorBidi" w:hAnsiTheme="minorBidi" w:cstheme="minorBidi"/>
          <w:sz w:val="22"/>
          <w:szCs w:val="22"/>
        </w:rPr>
      </w:pPr>
      <w:r w:rsidRPr="00E54111">
        <w:rPr>
          <w:rFonts w:asciiTheme="minorBidi" w:hAnsiTheme="minorBidi" w:cstheme="minorBidi"/>
          <w:sz w:val="22"/>
          <w:szCs w:val="22"/>
        </w:rPr>
        <w:t>To evaluate the evidence from existing literature on how socioeconomic status affects patterns of healthcare and social care utilisation and barriers to access.</w:t>
      </w:r>
    </w:p>
    <w:p w14:paraId="72CBD042" w14:textId="422625C8" w:rsidR="00FF33B9" w:rsidRPr="00E54111" w:rsidRDefault="00FF33B9" w:rsidP="00E54111">
      <w:pPr>
        <w:pStyle w:val="NormalWeb"/>
        <w:numPr>
          <w:ilvl w:val="0"/>
          <w:numId w:val="2"/>
        </w:numPr>
        <w:spacing w:line="360" w:lineRule="auto"/>
        <w:jc w:val="both"/>
        <w:rPr>
          <w:rFonts w:asciiTheme="minorBidi" w:hAnsiTheme="minorBidi" w:cstheme="minorBidi"/>
          <w:sz w:val="22"/>
          <w:szCs w:val="22"/>
        </w:rPr>
      </w:pPr>
      <w:r w:rsidRPr="00E54111">
        <w:rPr>
          <w:rFonts w:asciiTheme="minorBidi" w:hAnsiTheme="minorBidi" w:cstheme="minorBidi"/>
          <w:sz w:val="22"/>
          <w:szCs w:val="22"/>
        </w:rPr>
        <w:t>To provide recommendations for policymakers, healthcare providers and social care organisations to reduce socioeconomic inequalities and improve equitable access in both urban and rural settings.</w:t>
      </w:r>
    </w:p>
    <w:p w14:paraId="1F3823E6" w14:textId="291DA4B0"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These objectives provide a clear framework for the review, guide the development of the search strategy and inclusion criteria and structure the analysis of findings.</w:t>
      </w:r>
    </w:p>
    <w:p w14:paraId="47C5F417" w14:textId="77777777" w:rsidR="00FF33B9" w:rsidRPr="00E54111" w:rsidRDefault="00FF33B9" w:rsidP="00E54111">
      <w:pPr>
        <w:pStyle w:val="Heading3"/>
        <w:jc w:val="both"/>
        <w:rPr>
          <w:rFonts w:cstheme="minorBidi"/>
          <w:szCs w:val="22"/>
        </w:rPr>
      </w:pPr>
      <w:r w:rsidRPr="00E54111">
        <w:rPr>
          <w:rFonts w:cstheme="minorBidi"/>
          <w:szCs w:val="22"/>
        </w:rPr>
        <w:t>1.5 Conclusion</w:t>
      </w:r>
    </w:p>
    <w:p w14:paraId="1031DF6A" w14:textId="77777777"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This chapter has introduced the focus of the dissertation, clarified the key concepts that will be used throughout and explained why the relationship between socioeconomic status, geographical context and access to health and social care requires critical examination. It has set out the rationale for adopting a systematic review design and presented the aim and objectives that will guide the study.</w:t>
      </w:r>
    </w:p>
    <w:p w14:paraId="64549CCE" w14:textId="77777777" w:rsidR="00FF33B9" w:rsidRPr="00E54111" w:rsidRDefault="00FF33B9"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Chapter 2 will present a critical review of the existing literature on socioeconomic inequalities in access to health and social care. It will examine theoretical perspectives on SES and health, summarise current evidence on urban–rural differences in access and identify the main gaps and inconsistencies that justify the present study. This provides the foundation for the methods </w:t>
      </w:r>
      <w:r w:rsidRPr="00E54111">
        <w:rPr>
          <w:rFonts w:asciiTheme="minorBidi" w:hAnsiTheme="minorBidi" w:cstheme="minorBidi"/>
          <w:sz w:val="22"/>
          <w:szCs w:val="22"/>
        </w:rPr>
        <w:lastRenderedPageBreak/>
        <w:t>and analysis described in later chapters. Overall, this chapter provides conceptual and methodological foundation for the systematic review carried out in later chapters.</w:t>
      </w:r>
    </w:p>
    <w:p w14:paraId="0252CE0B" w14:textId="77777777" w:rsidR="0099681F" w:rsidRPr="00E54111" w:rsidRDefault="0099681F" w:rsidP="00E54111">
      <w:pPr>
        <w:jc w:val="both"/>
        <w:rPr>
          <w:szCs w:val="22"/>
          <w:lang w:val="en-GB"/>
        </w:rPr>
      </w:pPr>
    </w:p>
    <w:p w14:paraId="4CC4F04F" w14:textId="3497902A" w:rsidR="00C362EB" w:rsidRPr="00E54111" w:rsidRDefault="00C362EB" w:rsidP="00E54111">
      <w:pPr>
        <w:pStyle w:val="Heading1"/>
        <w:jc w:val="both"/>
        <w:rPr>
          <w:rFonts w:cstheme="minorBidi"/>
          <w:sz w:val="22"/>
          <w:szCs w:val="22"/>
          <w:lang w:val="en-GB"/>
        </w:rPr>
      </w:pPr>
      <w:r w:rsidRPr="00E54111">
        <w:rPr>
          <w:rFonts w:cstheme="minorBidi"/>
          <w:kern w:val="0"/>
          <w:sz w:val="22"/>
          <w:szCs w:val="22"/>
          <w:lang w:val="en-GB"/>
        </w:rPr>
        <w:t>CHAPTER 2 – Background Information and Analysis</w:t>
      </w:r>
    </w:p>
    <w:p w14:paraId="6AC59A93" w14:textId="77777777" w:rsidR="006A7836" w:rsidRPr="00E54111" w:rsidRDefault="006A7836" w:rsidP="00E54111">
      <w:pPr>
        <w:pStyle w:val="Heading3"/>
        <w:jc w:val="both"/>
        <w:rPr>
          <w:rFonts w:cstheme="minorBidi"/>
          <w:szCs w:val="22"/>
        </w:rPr>
      </w:pPr>
      <w:r w:rsidRPr="00E54111">
        <w:rPr>
          <w:rFonts w:cstheme="minorBidi"/>
          <w:szCs w:val="22"/>
        </w:rPr>
        <w:t>2.1 Introduction</w:t>
      </w:r>
    </w:p>
    <w:p w14:paraId="45CB578F" w14:textId="1C2FDD1E" w:rsidR="006A7836" w:rsidRPr="00E54111" w:rsidRDefault="00E80757" w:rsidP="00E54111">
      <w:pPr>
        <w:jc w:val="both"/>
        <w:rPr>
          <w:szCs w:val="22"/>
        </w:rPr>
      </w:pPr>
      <w:r w:rsidRPr="00E54111">
        <w:rPr>
          <w:szCs w:val="22"/>
        </w:rPr>
        <w:t>This chapter provides background and analysis for the dissertation on socioeconomic status and access to health and social care in urban and rural communities. It clarifies how concerns about equity, need and resource distribution have developed over time and how they are framed in current debates. The chapter brings together historical developments, theoretical perspectives and international and UK policy contexts to locate the research problem within a broader system of social and spatial inequality. By doing so, it supplies the conceptual and contextual foundation for the review, without previewing findings or themes, which are addressed in Chapter 4.</w:t>
      </w:r>
    </w:p>
    <w:p w14:paraId="24EADD78" w14:textId="77777777" w:rsidR="006A7836" w:rsidRPr="00E54111" w:rsidRDefault="006A7836" w:rsidP="00E54111">
      <w:pPr>
        <w:pStyle w:val="Heading3"/>
        <w:jc w:val="both"/>
        <w:rPr>
          <w:rFonts w:cstheme="minorBidi"/>
          <w:szCs w:val="22"/>
        </w:rPr>
      </w:pPr>
      <w:r w:rsidRPr="00E54111">
        <w:rPr>
          <w:rFonts w:cstheme="minorBidi"/>
          <w:szCs w:val="22"/>
        </w:rPr>
        <w:t>2.2 Historical Background</w:t>
      </w:r>
    </w:p>
    <w:p w14:paraId="613F1A3C" w14:textId="3E204B9C"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Debates about socioeconomic status (SES) and access to health and social care have developed alongside the expansion of modern welfare states. Early public health reforms in the late nineteenth and early twentieth centuries recognised links between poverty, overcrowding and infectious disease, but interventions focused mainly on sanitation, housing and basic relief rather than on systematic access to medical or social care. Access to treatment depended largely on charity, out of pocket payment or limited insurance schemes, so low income and rural populations had few guarantees of timely or comprehensive care</w:t>
      </w:r>
      <w:r w:rsidR="00C362EB" w:rsidRPr="00E54111">
        <w:rPr>
          <w:rFonts w:asciiTheme="minorBidi" w:hAnsiTheme="minorBidi" w:cstheme="minorBidi"/>
          <w:sz w:val="22"/>
          <w:szCs w:val="22"/>
        </w:rPr>
        <w:t xml:space="preserve"> (Porter, 1994)</w:t>
      </w:r>
      <w:r w:rsidRPr="00E54111">
        <w:rPr>
          <w:rFonts w:asciiTheme="minorBidi" w:hAnsiTheme="minorBidi" w:cstheme="minorBidi"/>
          <w:sz w:val="22"/>
          <w:szCs w:val="22"/>
        </w:rPr>
        <w:t>. After the Second World War, many countries created tax funded or social insurance based systems intended to provide universal coverage. In practice, service distribution often followed existing patterns of professional power and urban concentration, so poorer and rural communities continued to experience fewer local services and longer waiting times</w:t>
      </w:r>
      <w:r w:rsidR="00E40CB8" w:rsidRPr="00E54111">
        <w:rPr>
          <w:rFonts w:asciiTheme="minorBidi" w:hAnsiTheme="minorBidi" w:cstheme="minorBidi"/>
          <w:sz w:val="22"/>
          <w:szCs w:val="22"/>
        </w:rPr>
        <w:t xml:space="preserve"> </w:t>
      </w:r>
      <w:r w:rsidR="00485DEE" w:rsidRPr="00E54111">
        <w:rPr>
          <w:rFonts w:asciiTheme="minorBidi" w:hAnsiTheme="minorBidi" w:cstheme="minorBidi"/>
          <w:sz w:val="22"/>
          <w:szCs w:val="22"/>
        </w:rPr>
        <w:t>(Tulchinsky, 2018)</w:t>
      </w:r>
      <w:r w:rsidRPr="00E54111">
        <w:rPr>
          <w:rFonts w:asciiTheme="minorBidi" w:hAnsiTheme="minorBidi" w:cstheme="minorBidi"/>
          <w:sz w:val="22"/>
          <w:szCs w:val="22"/>
        </w:rPr>
        <w:t>.</w:t>
      </w:r>
    </w:p>
    <w:p w14:paraId="4CDE613D" w14:textId="391AE84E"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From the 1960s and 1970s onwards, social medicine and primary care research began to document systematic inequalities in access. Julian Tudor Hart’s formulation of the inverse care law argued that good quality medical care tends to be least available where need is greatest, especially where services are strongly shaped by market forces</w:t>
      </w:r>
      <w:r w:rsidR="00080D64" w:rsidRPr="00E54111">
        <w:rPr>
          <w:rFonts w:asciiTheme="minorBidi" w:hAnsiTheme="minorBidi" w:cstheme="minorBidi"/>
          <w:sz w:val="22"/>
          <w:szCs w:val="22"/>
        </w:rPr>
        <w:t xml:space="preserve"> (Hart, 1971)</w:t>
      </w:r>
      <w:r w:rsidRPr="00E54111">
        <w:rPr>
          <w:rFonts w:asciiTheme="minorBidi" w:hAnsiTheme="minorBidi" w:cstheme="minorBidi"/>
          <w:sz w:val="22"/>
          <w:szCs w:val="22"/>
        </w:rPr>
        <w:t xml:space="preserve">. This challenged the assumption that universal systems automatically deliver equity and highlighted the importance of how resources are organised across space and social groups. International </w:t>
      </w:r>
      <w:r w:rsidRPr="00E54111">
        <w:rPr>
          <w:rFonts w:asciiTheme="minorBidi" w:hAnsiTheme="minorBidi" w:cstheme="minorBidi"/>
          <w:sz w:val="22"/>
          <w:szCs w:val="22"/>
        </w:rPr>
        <w:lastRenderedPageBreak/>
        <w:t>initiatives such as the primary health care movement and the health for all</w:t>
      </w:r>
      <w:r w:rsidR="00D54E70" w:rsidRPr="00E54111">
        <w:rPr>
          <w:rFonts w:asciiTheme="minorBidi" w:hAnsiTheme="minorBidi" w:cstheme="minorBidi"/>
          <w:sz w:val="22"/>
          <w:szCs w:val="22"/>
        </w:rPr>
        <w:t xml:space="preserve"> </w:t>
      </w:r>
      <w:r w:rsidRPr="00E54111">
        <w:rPr>
          <w:rFonts w:asciiTheme="minorBidi" w:hAnsiTheme="minorBidi" w:cstheme="minorBidi"/>
          <w:sz w:val="22"/>
          <w:szCs w:val="22"/>
        </w:rPr>
        <w:t>agenda called for redistribution of services towards underserved communities and for stronger community based care, but implementation remained uneven across and within countries</w:t>
      </w:r>
      <w:r w:rsidR="00D54E70" w:rsidRPr="00E54111">
        <w:rPr>
          <w:rFonts w:asciiTheme="minorBidi" w:hAnsiTheme="minorBidi" w:cstheme="minorBidi"/>
          <w:sz w:val="22"/>
          <w:szCs w:val="22"/>
        </w:rPr>
        <w:t xml:space="preserve"> (Erku </w:t>
      </w:r>
      <w:r w:rsidR="00D54E70" w:rsidRPr="00E54111">
        <w:rPr>
          <w:rFonts w:asciiTheme="minorBidi" w:hAnsiTheme="minorBidi" w:cstheme="minorBidi"/>
          <w:i/>
          <w:iCs/>
          <w:sz w:val="22"/>
          <w:szCs w:val="22"/>
        </w:rPr>
        <w:t>et al.</w:t>
      </w:r>
      <w:r w:rsidR="00D54E70" w:rsidRPr="00E54111">
        <w:rPr>
          <w:rFonts w:asciiTheme="minorBidi" w:hAnsiTheme="minorBidi" w:cstheme="minorBidi"/>
          <w:sz w:val="22"/>
          <w:szCs w:val="22"/>
        </w:rPr>
        <w:t>, 2023)</w:t>
      </w:r>
      <w:r w:rsidRPr="00E54111">
        <w:rPr>
          <w:rFonts w:asciiTheme="minorBidi" w:hAnsiTheme="minorBidi" w:cstheme="minorBidi"/>
          <w:sz w:val="22"/>
          <w:szCs w:val="22"/>
        </w:rPr>
        <w:t>.</w:t>
      </w:r>
    </w:p>
    <w:p w14:paraId="644BB3A7" w14:textId="12BC12A0" w:rsidR="006A7836" w:rsidRPr="00E54111" w:rsidRDefault="006A7836" w:rsidP="0030312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Since the 1980s, neoliberal economic policies, privatisation and managerial reforms have reshaped health and social care systems in both high and middle income countries. Market style mechanisms, internal competition and performance targets have aimed to improve efficiency, yet they have often intensified pressures on services serving disadvantaged communities, where demand is high but resources are constrained</w:t>
      </w:r>
      <w:r w:rsidR="00D54E70" w:rsidRPr="00E54111">
        <w:rPr>
          <w:rFonts w:asciiTheme="minorBidi" w:hAnsiTheme="minorBidi" w:cstheme="minorBidi"/>
          <w:sz w:val="22"/>
          <w:szCs w:val="22"/>
        </w:rPr>
        <w:t xml:space="preserve"> (Sakellariou and Rotarou, 2017)</w:t>
      </w:r>
      <w:r w:rsidRPr="00E54111">
        <w:rPr>
          <w:rFonts w:asciiTheme="minorBidi" w:hAnsiTheme="minorBidi" w:cstheme="minorBidi"/>
          <w:sz w:val="22"/>
          <w:szCs w:val="22"/>
        </w:rPr>
        <w:t>. Rural health research has highlighted workforce shortages, hospital closures and consolidation of services into urban hubs, which can increase travel times and reduce continuity of care for remote communities. Urban studies have exposed fragmented care pathways, rising user charges and hidden costs such as transport and childcare that disproportionately affect low income groups</w:t>
      </w:r>
      <w:r w:rsidR="00D54E70" w:rsidRPr="00E54111">
        <w:rPr>
          <w:rFonts w:asciiTheme="minorBidi" w:hAnsiTheme="minorBidi" w:cstheme="minorBidi"/>
          <w:sz w:val="22"/>
          <w:szCs w:val="22"/>
        </w:rPr>
        <w:t xml:space="preserve"> (Chen </w:t>
      </w:r>
      <w:r w:rsidR="00D54E70" w:rsidRPr="00E54111">
        <w:rPr>
          <w:rFonts w:asciiTheme="minorBidi" w:hAnsiTheme="minorBidi" w:cstheme="minorBidi"/>
          <w:i/>
          <w:iCs/>
          <w:sz w:val="22"/>
          <w:szCs w:val="22"/>
        </w:rPr>
        <w:t>et al.</w:t>
      </w:r>
      <w:r w:rsidR="00D54E70" w:rsidRPr="00E54111">
        <w:rPr>
          <w:rFonts w:asciiTheme="minorBidi" w:hAnsiTheme="minorBidi" w:cstheme="minorBidi"/>
          <w:sz w:val="22"/>
          <w:szCs w:val="22"/>
        </w:rPr>
        <w:t xml:space="preserve">, 2019; Coates </w:t>
      </w:r>
      <w:r w:rsidR="00D54E70" w:rsidRPr="00E54111">
        <w:rPr>
          <w:rFonts w:asciiTheme="minorBidi" w:hAnsiTheme="minorBidi" w:cstheme="minorBidi"/>
          <w:i/>
          <w:iCs/>
          <w:sz w:val="22"/>
          <w:szCs w:val="22"/>
        </w:rPr>
        <w:t>et al.</w:t>
      </w:r>
      <w:r w:rsidR="00D54E70" w:rsidRPr="00E54111">
        <w:rPr>
          <w:rFonts w:asciiTheme="minorBidi" w:hAnsiTheme="minorBidi" w:cstheme="minorBidi"/>
          <w:sz w:val="22"/>
          <w:szCs w:val="22"/>
        </w:rPr>
        <w:t>, 2025)</w:t>
      </w:r>
      <w:r w:rsidRPr="00E54111">
        <w:rPr>
          <w:rFonts w:asciiTheme="minorBidi" w:hAnsiTheme="minorBidi" w:cstheme="minorBidi"/>
          <w:sz w:val="22"/>
          <w:szCs w:val="22"/>
        </w:rPr>
        <w:t>.</w:t>
      </w:r>
    </w:p>
    <w:p w14:paraId="47380301" w14:textId="77777777" w:rsidR="006A7836" w:rsidRPr="00E54111" w:rsidRDefault="006A7836" w:rsidP="00E54111">
      <w:pPr>
        <w:pStyle w:val="Heading3"/>
        <w:jc w:val="both"/>
        <w:rPr>
          <w:rFonts w:cstheme="minorBidi"/>
          <w:szCs w:val="22"/>
        </w:rPr>
      </w:pPr>
      <w:r w:rsidRPr="00E54111">
        <w:rPr>
          <w:rFonts w:cstheme="minorBidi"/>
          <w:szCs w:val="22"/>
        </w:rPr>
        <w:t>2.3 Theoretical Background</w:t>
      </w:r>
    </w:p>
    <w:p w14:paraId="619419D1" w14:textId="1B565451"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The </w:t>
      </w:r>
      <w:r w:rsidRPr="00E54111">
        <w:rPr>
          <w:rStyle w:val="Strong"/>
          <w:rFonts w:asciiTheme="minorBidi" w:eastAsiaTheme="majorEastAsia" w:hAnsiTheme="minorBidi" w:cstheme="minorBidi"/>
          <w:sz w:val="22"/>
          <w:szCs w:val="22"/>
        </w:rPr>
        <w:t>social determinants of health</w:t>
      </w:r>
      <w:r w:rsidRPr="00E54111">
        <w:rPr>
          <w:rFonts w:asciiTheme="minorBidi" w:hAnsiTheme="minorBidi" w:cstheme="minorBidi"/>
          <w:sz w:val="22"/>
          <w:szCs w:val="22"/>
        </w:rPr>
        <w:t xml:space="preserve"> framework views health outcomes and access to care as shaped by the conditions in which people are born, grow, live, work and age, and by the distribution of power, money and resources that produces these conditions. </w:t>
      </w:r>
      <w:r w:rsidR="00076D56" w:rsidRPr="00E54111">
        <w:rPr>
          <w:rFonts w:asciiTheme="minorBidi" w:hAnsiTheme="minorBidi" w:cstheme="minorBidi"/>
          <w:sz w:val="22"/>
          <w:szCs w:val="22"/>
        </w:rPr>
        <w:t>Marmot and Bell (2010)</w:t>
      </w:r>
      <w:r w:rsidRPr="00E54111">
        <w:rPr>
          <w:rFonts w:asciiTheme="minorBidi" w:hAnsiTheme="minorBidi" w:cstheme="minorBidi"/>
          <w:sz w:val="22"/>
          <w:szCs w:val="22"/>
        </w:rPr>
        <w:t xml:space="preserve"> have demonstrated a social gradient in health, where each step down the socioeconomic hierarchy is associated with worse outcomes, even within relatively affluent societies. In this view, SES is not only an individual attribute but a marker of structural position within labour markets, education systems and neighbourhood environments. Access to health and social care is one mechanism through which these broader structures translate into unequal risks and outcomes.</w:t>
      </w:r>
    </w:p>
    <w:p w14:paraId="09AF4B8F" w14:textId="2A08772F"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Empirically, the social determinants framework has been used to justify analyses that relate income, education, occupation and area deprivation indices to patterns of service availability and utilisation. Cross national and national studies apply these indicators to map gradients in primary care access, preventive uptake and avoidable hospitalisation, and to argue for upstream policies targeting poverty, early child development and working conditions</w:t>
      </w:r>
      <w:r w:rsidR="00076D56" w:rsidRPr="00E54111">
        <w:rPr>
          <w:rFonts w:asciiTheme="minorBidi" w:hAnsiTheme="minorBidi" w:cstheme="minorBidi"/>
          <w:sz w:val="22"/>
          <w:szCs w:val="22"/>
        </w:rPr>
        <w:t xml:space="preserve"> (Marmot and Bell, 2010; Shutt </w:t>
      </w:r>
      <w:r w:rsidR="00076D56" w:rsidRPr="00E54111">
        <w:rPr>
          <w:rFonts w:asciiTheme="minorBidi" w:hAnsiTheme="minorBidi" w:cstheme="minorBidi"/>
          <w:i/>
          <w:iCs/>
          <w:sz w:val="22"/>
          <w:szCs w:val="22"/>
        </w:rPr>
        <w:t>et al.</w:t>
      </w:r>
      <w:r w:rsidR="00076D56" w:rsidRPr="00E54111">
        <w:rPr>
          <w:rFonts w:asciiTheme="minorBidi" w:hAnsiTheme="minorBidi" w:cstheme="minorBidi"/>
          <w:sz w:val="22"/>
          <w:szCs w:val="22"/>
        </w:rPr>
        <w:t>, 2025)</w:t>
      </w:r>
      <w:r w:rsidRPr="00E54111">
        <w:rPr>
          <w:rFonts w:asciiTheme="minorBidi" w:hAnsiTheme="minorBidi" w:cstheme="minorBidi"/>
          <w:sz w:val="22"/>
          <w:szCs w:val="22"/>
        </w:rPr>
        <w:t xml:space="preserve">. However, the framework is sometimes criticised for being conceptually broad and policy oriented without specifying detailed causal pathways at the service level. It can encourage macro level descriptions of inequality while leaving operational questions about how provider behaviour, organisational rules or rural infrastructure specifically mediate SES effects unanswered. In addition, many applications focus on national averages </w:t>
      </w:r>
      <w:r w:rsidRPr="00E54111">
        <w:rPr>
          <w:rFonts w:asciiTheme="minorBidi" w:hAnsiTheme="minorBidi" w:cstheme="minorBidi"/>
          <w:sz w:val="22"/>
          <w:szCs w:val="22"/>
        </w:rPr>
        <w:lastRenderedPageBreak/>
        <w:t>and pay less attention to how urban–rural patterns modify the relationship between SES and access</w:t>
      </w:r>
      <w:r w:rsidR="001A5ACA" w:rsidRPr="00E54111">
        <w:rPr>
          <w:rFonts w:asciiTheme="minorBidi" w:hAnsiTheme="minorBidi" w:cstheme="minorBidi"/>
          <w:sz w:val="22"/>
          <w:szCs w:val="22"/>
        </w:rPr>
        <w:t xml:space="preserve"> (McAllister </w:t>
      </w:r>
      <w:r w:rsidR="001A5ACA" w:rsidRPr="00E54111">
        <w:rPr>
          <w:rFonts w:asciiTheme="minorBidi" w:hAnsiTheme="minorBidi" w:cstheme="minorBidi"/>
          <w:i/>
          <w:iCs/>
          <w:sz w:val="22"/>
          <w:szCs w:val="22"/>
        </w:rPr>
        <w:t>et al.</w:t>
      </w:r>
      <w:r w:rsidR="001A5ACA" w:rsidRPr="00E54111">
        <w:rPr>
          <w:rFonts w:asciiTheme="minorBidi" w:hAnsiTheme="minorBidi" w:cstheme="minorBidi"/>
          <w:sz w:val="22"/>
          <w:szCs w:val="22"/>
        </w:rPr>
        <w:t>, 2018)</w:t>
      </w:r>
      <w:r w:rsidRPr="00E54111">
        <w:rPr>
          <w:rFonts w:asciiTheme="minorBidi" w:hAnsiTheme="minorBidi" w:cstheme="minorBidi"/>
          <w:sz w:val="22"/>
          <w:szCs w:val="22"/>
        </w:rPr>
        <w:t>.</w:t>
      </w:r>
    </w:p>
    <w:p w14:paraId="24F25E41" w14:textId="33814EB3" w:rsidR="006A7836" w:rsidRPr="00E54111" w:rsidRDefault="006A7836" w:rsidP="00E54111">
      <w:pPr>
        <w:pStyle w:val="NormalWeb"/>
        <w:spacing w:line="360" w:lineRule="auto"/>
        <w:jc w:val="both"/>
        <w:rPr>
          <w:rFonts w:asciiTheme="minorBidi" w:hAnsiTheme="minorBidi" w:cstheme="minorBidi"/>
          <w:sz w:val="22"/>
          <w:szCs w:val="22"/>
        </w:rPr>
      </w:pPr>
      <w:r w:rsidRPr="00E54111">
        <w:rPr>
          <w:rStyle w:val="Strong"/>
          <w:rFonts w:asciiTheme="minorBidi" w:eastAsiaTheme="majorEastAsia" w:hAnsiTheme="minorBidi" w:cstheme="minorBidi"/>
          <w:sz w:val="22"/>
          <w:szCs w:val="22"/>
        </w:rPr>
        <w:t>Andersen’s behavioural model of health service use</w:t>
      </w:r>
      <w:r w:rsidRPr="00E54111">
        <w:rPr>
          <w:rFonts w:asciiTheme="minorBidi" w:hAnsiTheme="minorBidi" w:cstheme="minorBidi"/>
          <w:sz w:val="22"/>
          <w:szCs w:val="22"/>
        </w:rPr>
        <w:t xml:space="preserve"> offers a more explicit pathway from individual and contextual characteristics to service utilisation. The model distinguishes predisposing factors (such as age, gender, beliefs), enabling factors (such as income, insurance, transport, provider density) and need factors (perceived or evaluated health status) as the main drivers of use</w:t>
      </w:r>
      <w:r w:rsidR="001A5ACA" w:rsidRPr="00E54111">
        <w:rPr>
          <w:rFonts w:asciiTheme="minorBidi" w:hAnsiTheme="minorBidi" w:cstheme="minorBidi"/>
          <w:sz w:val="22"/>
          <w:szCs w:val="22"/>
        </w:rPr>
        <w:t xml:space="preserve"> (Alkhawaldeh </w:t>
      </w:r>
      <w:r w:rsidR="001A5ACA" w:rsidRPr="00E54111">
        <w:rPr>
          <w:rFonts w:asciiTheme="minorBidi" w:hAnsiTheme="minorBidi" w:cstheme="minorBidi"/>
          <w:i/>
          <w:iCs/>
          <w:sz w:val="22"/>
          <w:szCs w:val="22"/>
        </w:rPr>
        <w:t>et al.</w:t>
      </w:r>
      <w:r w:rsidR="001A5ACA" w:rsidRPr="00E54111">
        <w:rPr>
          <w:rFonts w:asciiTheme="minorBidi" w:hAnsiTheme="minorBidi" w:cstheme="minorBidi"/>
          <w:sz w:val="22"/>
          <w:szCs w:val="22"/>
        </w:rPr>
        <w:t>, 2023)</w:t>
      </w:r>
      <w:r w:rsidRPr="00E54111">
        <w:rPr>
          <w:rFonts w:asciiTheme="minorBidi" w:hAnsiTheme="minorBidi" w:cstheme="minorBidi"/>
          <w:sz w:val="22"/>
          <w:szCs w:val="22"/>
        </w:rPr>
        <w:t>. Later versions incorporate system level variables and feedback loops from outcomes back to predisposing factors. SES is usually treated as a predisposing or enabling factor, while rural or urban location is modelled as a contextual enabling condition that affects provider availability and travel time</w:t>
      </w:r>
      <w:r w:rsidR="001A5ACA" w:rsidRPr="00E54111">
        <w:rPr>
          <w:rFonts w:asciiTheme="minorBidi" w:hAnsiTheme="minorBidi" w:cstheme="minorBidi"/>
          <w:sz w:val="22"/>
          <w:szCs w:val="22"/>
        </w:rPr>
        <w:t xml:space="preserve"> (Lederle, Tempes and Bitzer, 2021)</w:t>
      </w:r>
      <w:r w:rsidRPr="00E54111">
        <w:rPr>
          <w:rFonts w:asciiTheme="minorBidi" w:hAnsiTheme="minorBidi" w:cstheme="minorBidi"/>
          <w:sz w:val="22"/>
          <w:szCs w:val="22"/>
        </w:rPr>
        <w:t>.</w:t>
      </w:r>
    </w:p>
    <w:p w14:paraId="5DABBCA0" w14:textId="30185D10"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The core </w:t>
      </w:r>
      <w:r w:rsidRPr="00E54111">
        <w:rPr>
          <w:rStyle w:val="Strong"/>
          <w:rFonts w:asciiTheme="minorBidi" w:eastAsiaTheme="majorEastAsia" w:hAnsiTheme="minorBidi" w:cstheme="minorBidi"/>
          <w:sz w:val="22"/>
          <w:szCs w:val="22"/>
        </w:rPr>
        <w:t>concept of access to care</w:t>
      </w:r>
      <w:r w:rsidRPr="00E54111">
        <w:rPr>
          <w:rFonts w:asciiTheme="minorBidi" w:hAnsiTheme="minorBidi" w:cstheme="minorBidi"/>
          <w:sz w:val="22"/>
          <w:szCs w:val="22"/>
        </w:rPr>
        <w:t xml:space="preserve"> provides a third strand. </w:t>
      </w:r>
      <w:r w:rsidR="004357CE" w:rsidRPr="00E54111">
        <w:rPr>
          <w:rFonts w:asciiTheme="minorBidi" w:hAnsiTheme="minorBidi" w:cstheme="minorBidi"/>
          <w:sz w:val="22"/>
          <w:szCs w:val="22"/>
        </w:rPr>
        <w:t xml:space="preserve">Penchansky and Thomas (1981) </w:t>
      </w:r>
      <w:r w:rsidRPr="00E54111">
        <w:rPr>
          <w:rFonts w:asciiTheme="minorBidi" w:hAnsiTheme="minorBidi" w:cstheme="minorBidi"/>
          <w:sz w:val="22"/>
          <w:szCs w:val="22"/>
        </w:rPr>
        <w:t>conceptualised access as the “fit” between users and the health system across five dimensions: availability (volume and type of services), accessibility (geographical location and travel), accommodation (organisation and opening hours), affordability (costs relative to ability to pay) and acceptability (cultural and interpersonal aspects). Later work has proposed a sixth dimension, awareness, and has reframed access in more patient centred terms</w:t>
      </w:r>
      <w:r w:rsidR="008B3E89" w:rsidRPr="00E54111">
        <w:rPr>
          <w:rFonts w:asciiTheme="minorBidi" w:hAnsiTheme="minorBidi" w:cstheme="minorBidi"/>
          <w:sz w:val="22"/>
          <w:szCs w:val="22"/>
        </w:rPr>
        <w:t xml:space="preserve"> (Saurman, 2015)</w:t>
      </w:r>
      <w:r w:rsidRPr="00E54111">
        <w:rPr>
          <w:rFonts w:asciiTheme="minorBidi" w:hAnsiTheme="minorBidi" w:cstheme="minorBidi"/>
          <w:sz w:val="22"/>
          <w:szCs w:val="22"/>
        </w:rPr>
        <w:t>. This concept is highly relevant for a study of SES and urban–rural differences because it distinguishes clearly between problems of affordability and problems of availability or geography.</w:t>
      </w:r>
    </w:p>
    <w:p w14:paraId="5256EE33" w14:textId="77777777" w:rsidR="006A7836" w:rsidRPr="00E54111" w:rsidRDefault="006A7836" w:rsidP="00E54111">
      <w:pPr>
        <w:pStyle w:val="Heading3"/>
        <w:jc w:val="both"/>
        <w:rPr>
          <w:rFonts w:cstheme="minorBidi"/>
          <w:szCs w:val="22"/>
        </w:rPr>
      </w:pPr>
      <w:r w:rsidRPr="00E54111">
        <w:rPr>
          <w:rFonts w:cstheme="minorBidi"/>
          <w:szCs w:val="22"/>
        </w:rPr>
        <w:t>2.4 International Context</w:t>
      </w:r>
    </w:p>
    <w:p w14:paraId="6BFD0500" w14:textId="0472557D"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Internationally, socioeconomic inequalities in access to health and social care are recognised as a major barrier to universal health coverage (UHC). The World Health Organization</w:t>
      </w:r>
      <w:r w:rsidR="000F655B" w:rsidRPr="00E54111">
        <w:rPr>
          <w:rFonts w:asciiTheme="minorBidi" w:hAnsiTheme="minorBidi" w:cstheme="minorBidi"/>
          <w:sz w:val="22"/>
          <w:szCs w:val="22"/>
        </w:rPr>
        <w:t xml:space="preserve"> (2025)</w:t>
      </w:r>
      <w:r w:rsidRPr="00E54111">
        <w:rPr>
          <w:rFonts w:asciiTheme="minorBidi" w:hAnsiTheme="minorBidi" w:cstheme="minorBidi"/>
          <w:sz w:val="22"/>
          <w:szCs w:val="22"/>
        </w:rPr>
        <w:t xml:space="preserve"> defines UHC as ensuring that all people receive the health services they need without financial hardship, yet most countries still show strong social gradients in access linked to income, education and occupation. In many settings, these gradients are intensified by urban–rural divides: low-income groups in informal urban settlements and remote rural communities often face the greatest barriers despite high levels of need.</w:t>
      </w:r>
    </w:p>
    <w:p w14:paraId="64B5AF1C" w14:textId="2EA0D934"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Across high-income countries in the OECD, comparative indicators show that people with lower income and education have higher rates of unmet medical need, lower uptake of preventive care and greater reliance on emergency services, even where formal coverage is universal</w:t>
      </w:r>
      <w:r w:rsidR="00250824" w:rsidRPr="00E54111">
        <w:rPr>
          <w:rFonts w:asciiTheme="minorBidi" w:hAnsiTheme="minorBidi" w:cstheme="minorBidi"/>
          <w:sz w:val="22"/>
          <w:szCs w:val="22"/>
        </w:rPr>
        <w:t xml:space="preserve"> (Looper and Lafortune, 2009)</w:t>
      </w:r>
      <w:r w:rsidRPr="00E54111">
        <w:rPr>
          <w:rFonts w:asciiTheme="minorBidi" w:hAnsiTheme="minorBidi" w:cstheme="minorBidi"/>
          <w:sz w:val="22"/>
          <w:szCs w:val="22"/>
        </w:rPr>
        <w:t xml:space="preserve">. Regional analyses demonstrate that rural regions tend to have fewer health workers, limited specialist services and longer travel times, while </w:t>
      </w:r>
      <w:r w:rsidRPr="00E54111">
        <w:rPr>
          <w:rFonts w:asciiTheme="minorBidi" w:hAnsiTheme="minorBidi" w:cstheme="minorBidi"/>
          <w:sz w:val="22"/>
          <w:szCs w:val="22"/>
        </w:rPr>
        <w:lastRenderedPageBreak/>
        <w:t>deprived urban districts experience overcrowded facilities, fragmented care and administrative obstacles. These patterns suggest that insurance and user-fee reforms are necessary but not sufficient; workforce planning, spatial distribution of services and investment in community-based primary care are also critical</w:t>
      </w:r>
      <w:r w:rsidR="00250824" w:rsidRPr="00E54111">
        <w:rPr>
          <w:rFonts w:asciiTheme="minorBidi" w:hAnsiTheme="minorBidi" w:cstheme="minorBidi"/>
          <w:sz w:val="22"/>
          <w:szCs w:val="22"/>
        </w:rPr>
        <w:t xml:space="preserve"> (Looper and Lafortune, 2009; Sacks </w:t>
      </w:r>
      <w:r w:rsidR="00250824" w:rsidRPr="00E54111">
        <w:rPr>
          <w:rFonts w:asciiTheme="minorBidi" w:hAnsiTheme="minorBidi" w:cstheme="minorBidi"/>
          <w:i/>
          <w:iCs/>
          <w:sz w:val="22"/>
          <w:szCs w:val="22"/>
        </w:rPr>
        <w:t>et al.</w:t>
      </w:r>
      <w:r w:rsidR="00250824" w:rsidRPr="00E54111">
        <w:rPr>
          <w:rFonts w:asciiTheme="minorBidi" w:hAnsiTheme="minorBidi" w:cstheme="minorBidi"/>
          <w:sz w:val="22"/>
          <w:szCs w:val="22"/>
        </w:rPr>
        <w:t>, 2020)</w:t>
      </w:r>
      <w:r w:rsidRPr="00E54111">
        <w:rPr>
          <w:rFonts w:asciiTheme="minorBidi" w:hAnsiTheme="minorBidi" w:cstheme="minorBidi"/>
          <w:sz w:val="22"/>
          <w:szCs w:val="22"/>
        </w:rPr>
        <w:t>.</w:t>
      </w:r>
      <w:r w:rsidR="00250824" w:rsidRPr="00E54111">
        <w:rPr>
          <w:rFonts w:asciiTheme="minorBidi" w:hAnsiTheme="minorBidi" w:cstheme="minorBidi"/>
          <w:sz w:val="22"/>
          <w:szCs w:val="22"/>
        </w:rPr>
        <w:t xml:space="preserve"> </w:t>
      </w:r>
    </w:p>
    <w:p w14:paraId="290BA468" w14:textId="33313F66"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Countries have taken different approaches. </w:t>
      </w:r>
      <w:r w:rsidR="00546B0F" w:rsidRPr="00E54111">
        <w:rPr>
          <w:rFonts w:asciiTheme="minorBidi" w:hAnsiTheme="minorBidi" w:cstheme="minorBidi"/>
          <w:sz w:val="22"/>
          <w:szCs w:val="22"/>
        </w:rPr>
        <w:t>N</w:t>
      </w:r>
      <w:r w:rsidRPr="00E54111">
        <w:rPr>
          <w:rFonts w:asciiTheme="minorBidi" w:hAnsiTheme="minorBidi" w:cstheme="minorBidi"/>
          <w:sz w:val="22"/>
          <w:szCs w:val="22"/>
        </w:rPr>
        <w:t xml:space="preserve">orthern European systems </w:t>
      </w:r>
      <w:r w:rsidR="00546B0F" w:rsidRPr="00E54111">
        <w:rPr>
          <w:rFonts w:asciiTheme="minorBidi" w:hAnsiTheme="minorBidi" w:cstheme="minorBidi"/>
          <w:sz w:val="22"/>
          <w:szCs w:val="22"/>
        </w:rPr>
        <w:t xml:space="preserve">like UK and Norway </w:t>
      </w:r>
      <w:r w:rsidRPr="00E54111">
        <w:rPr>
          <w:rFonts w:asciiTheme="minorBidi" w:hAnsiTheme="minorBidi" w:cstheme="minorBidi"/>
          <w:sz w:val="22"/>
          <w:szCs w:val="22"/>
        </w:rPr>
        <w:t xml:space="preserve">use capitation and deprivation-weighted funding formulas to direct more resources towards disadvantaged or remote areas. Others </w:t>
      </w:r>
      <w:r w:rsidR="00546B0F" w:rsidRPr="00E54111">
        <w:rPr>
          <w:rFonts w:asciiTheme="minorBidi" w:hAnsiTheme="minorBidi" w:cstheme="minorBidi"/>
          <w:sz w:val="22"/>
          <w:szCs w:val="22"/>
        </w:rPr>
        <w:t xml:space="preserve">like Australia and Canada </w:t>
      </w:r>
      <w:r w:rsidRPr="00E54111">
        <w:rPr>
          <w:rFonts w:asciiTheme="minorBidi" w:hAnsiTheme="minorBidi" w:cstheme="minorBidi"/>
          <w:sz w:val="22"/>
          <w:szCs w:val="22"/>
        </w:rPr>
        <w:t>rely on targeted rural incentives, mobile clinics and telehealth to extend coverage</w:t>
      </w:r>
      <w:r w:rsidR="002A1A09" w:rsidRPr="00E54111">
        <w:rPr>
          <w:rFonts w:asciiTheme="minorBidi" w:hAnsiTheme="minorBidi" w:cstheme="minorBidi"/>
          <w:sz w:val="22"/>
          <w:szCs w:val="22"/>
        </w:rPr>
        <w:t xml:space="preserve"> (Russell </w:t>
      </w:r>
      <w:r w:rsidR="002A1A09" w:rsidRPr="00E54111">
        <w:rPr>
          <w:rFonts w:asciiTheme="minorBidi" w:hAnsiTheme="minorBidi" w:cstheme="minorBidi"/>
          <w:i/>
          <w:iCs/>
          <w:sz w:val="22"/>
          <w:szCs w:val="22"/>
        </w:rPr>
        <w:t>et al.</w:t>
      </w:r>
      <w:r w:rsidR="002A1A09" w:rsidRPr="00E54111">
        <w:rPr>
          <w:rFonts w:asciiTheme="minorBidi" w:hAnsiTheme="minorBidi" w:cstheme="minorBidi"/>
          <w:sz w:val="22"/>
          <w:szCs w:val="22"/>
        </w:rPr>
        <w:t>, 2025)</w:t>
      </w:r>
      <w:r w:rsidRPr="00E54111">
        <w:rPr>
          <w:rFonts w:asciiTheme="minorBidi" w:hAnsiTheme="minorBidi" w:cstheme="minorBidi"/>
          <w:sz w:val="22"/>
          <w:szCs w:val="22"/>
        </w:rPr>
        <w:t>. Evidence on these strategies is mixed: they can improve contact with services but may reproduce inequalities where broadband, transport and digital literacy already reflect SES gaps</w:t>
      </w:r>
      <w:r w:rsidR="002A1A09" w:rsidRPr="00E54111">
        <w:rPr>
          <w:rFonts w:asciiTheme="minorBidi" w:hAnsiTheme="minorBidi" w:cstheme="minorBidi"/>
          <w:sz w:val="22"/>
          <w:szCs w:val="22"/>
        </w:rPr>
        <w:t>.</w:t>
      </w:r>
      <w:r w:rsidRPr="00E54111">
        <w:rPr>
          <w:rFonts w:asciiTheme="minorBidi" w:hAnsiTheme="minorBidi" w:cstheme="minorBidi"/>
          <w:sz w:val="22"/>
          <w:szCs w:val="22"/>
        </w:rPr>
        <w:t xml:space="preserve"> In many low- and middle-income countries, rapid urbanisation has produced a dual pattern: better-resourced hospitals and private providers in cities, alongside under-resourced rural facilities and informal urban settlements with high out-of-pocket spending.</w:t>
      </w:r>
    </w:p>
    <w:p w14:paraId="5A64655B" w14:textId="2FE484B6"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Recent work on countries such as Pakistan illustrates this tension. UHC indicators show progress in coverage, yet there are marked provincial and urban–rural disparities, with poorer regions lagging on vaccination, maternal health and financial protection</w:t>
      </w:r>
      <w:r w:rsidR="00F113AB" w:rsidRPr="00E54111">
        <w:rPr>
          <w:rFonts w:asciiTheme="minorBidi" w:hAnsiTheme="minorBidi" w:cstheme="minorBidi"/>
          <w:sz w:val="22"/>
          <w:szCs w:val="22"/>
        </w:rPr>
        <w:t xml:space="preserve"> (Yang </w:t>
      </w:r>
      <w:r w:rsidR="00F113AB" w:rsidRPr="00E54111">
        <w:rPr>
          <w:rFonts w:asciiTheme="minorBidi" w:hAnsiTheme="minorBidi" w:cstheme="minorBidi"/>
          <w:i/>
          <w:iCs/>
          <w:sz w:val="22"/>
          <w:szCs w:val="22"/>
        </w:rPr>
        <w:t>et al.</w:t>
      </w:r>
      <w:r w:rsidR="00F113AB" w:rsidRPr="00E54111">
        <w:rPr>
          <w:rFonts w:asciiTheme="minorBidi" w:hAnsiTheme="minorBidi" w:cstheme="minorBidi"/>
          <w:sz w:val="22"/>
          <w:szCs w:val="22"/>
        </w:rPr>
        <w:t>, 2024)</w:t>
      </w:r>
      <w:r w:rsidRPr="00E54111">
        <w:rPr>
          <w:rFonts w:asciiTheme="minorBidi" w:hAnsiTheme="minorBidi" w:cstheme="minorBidi"/>
          <w:sz w:val="22"/>
          <w:szCs w:val="22"/>
        </w:rPr>
        <w:t>. Similarly, global reviews of rural health highlight that structural factors such as labour markets, transport networks and digital infrastructure often outweigh individual preferences in shaping access</w:t>
      </w:r>
      <w:r w:rsidR="00F113AB" w:rsidRPr="00E54111">
        <w:rPr>
          <w:rFonts w:asciiTheme="minorBidi" w:hAnsiTheme="minorBidi" w:cstheme="minorBidi"/>
          <w:sz w:val="22"/>
          <w:szCs w:val="22"/>
        </w:rPr>
        <w:t xml:space="preserve"> (Chen </w:t>
      </w:r>
      <w:r w:rsidR="00F113AB" w:rsidRPr="00E54111">
        <w:rPr>
          <w:rFonts w:asciiTheme="minorBidi" w:hAnsiTheme="minorBidi" w:cstheme="minorBidi"/>
          <w:i/>
          <w:iCs/>
          <w:sz w:val="22"/>
          <w:szCs w:val="22"/>
        </w:rPr>
        <w:t>et al.</w:t>
      </w:r>
      <w:r w:rsidR="00F113AB" w:rsidRPr="00E54111">
        <w:rPr>
          <w:rFonts w:asciiTheme="minorBidi" w:hAnsiTheme="minorBidi" w:cstheme="minorBidi"/>
          <w:sz w:val="22"/>
          <w:szCs w:val="22"/>
        </w:rPr>
        <w:t>, 2019)</w:t>
      </w:r>
      <w:r w:rsidRPr="00E54111">
        <w:rPr>
          <w:rFonts w:asciiTheme="minorBidi" w:hAnsiTheme="minorBidi" w:cstheme="minorBidi"/>
          <w:sz w:val="22"/>
          <w:szCs w:val="22"/>
        </w:rPr>
        <w:t xml:space="preserve">. </w:t>
      </w:r>
    </w:p>
    <w:p w14:paraId="58913D42" w14:textId="77777777" w:rsidR="006A7836" w:rsidRPr="00E54111" w:rsidRDefault="006A7836" w:rsidP="00E54111">
      <w:pPr>
        <w:pStyle w:val="Heading3"/>
        <w:jc w:val="both"/>
        <w:rPr>
          <w:rFonts w:cstheme="minorBidi"/>
          <w:szCs w:val="22"/>
        </w:rPr>
      </w:pPr>
      <w:r w:rsidRPr="00E54111">
        <w:rPr>
          <w:rFonts w:cstheme="minorBidi"/>
          <w:szCs w:val="22"/>
        </w:rPr>
        <w:t>2.5 National/Local UK Context</w:t>
      </w:r>
    </w:p>
    <w:p w14:paraId="56E7E7B7" w14:textId="79B36922"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In the UK, the National Health Service (NHS) is founded on the principle of equal access based on clinical need, not ability to pay. Nevertheless, national guidance and independent reviews report persistent socioeconomic and geographic inequalities in both health outcomes and service use. Health inequalities are defined as avoidable differences between groups linked to social and economic disadvantage and to the conditions in which people are born, grow, live, work and age</w:t>
      </w:r>
      <w:r w:rsidR="004139FC" w:rsidRPr="00E54111">
        <w:rPr>
          <w:rFonts w:asciiTheme="minorBidi" w:hAnsiTheme="minorBidi" w:cstheme="minorBidi"/>
          <w:sz w:val="22"/>
          <w:szCs w:val="22"/>
        </w:rPr>
        <w:t xml:space="preserve"> (Office for Health Improvement &amp; Disparities, 2022)</w:t>
      </w:r>
      <w:r w:rsidRPr="00E54111">
        <w:rPr>
          <w:rFonts w:asciiTheme="minorBidi" w:hAnsiTheme="minorBidi" w:cstheme="minorBidi"/>
          <w:sz w:val="22"/>
          <w:szCs w:val="22"/>
        </w:rPr>
        <w:t>. Data from England show that people living in the most deprived areas experience worse access, experience and outcomes than those in the least deprived areas, including higher emergency admissions and lower uptake of preventive care</w:t>
      </w:r>
      <w:r w:rsidR="004139FC" w:rsidRPr="00E54111">
        <w:rPr>
          <w:rFonts w:asciiTheme="minorBidi" w:hAnsiTheme="minorBidi" w:cstheme="minorBidi"/>
          <w:sz w:val="22"/>
          <w:szCs w:val="22"/>
        </w:rPr>
        <w:t xml:space="preserve"> (NHS England, 2023)</w:t>
      </w:r>
      <w:r w:rsidRPr="00E54111">
        <w:rPr>
          <w:rFonts w:asciiTheme="minorBidi" w:hAnsiTheme="minorBidi" w:cstheme="minorBidi"/>
          <w:sz w:val="22"/>
          <w:szCs w:val="22"/>
        </w:rPr>
        <w:t>.</w:t>
      </w:r>
      <w:r w:rsidR="004139FC" w:rsidRPr="00E54111">
        <w:rPr>
          <w:rFonts w:asciiTheme="minorBidi" w:hAnsiTheme="minorBidi" w:cstheme="minorBidi"/>
          <w:sz w:val="22"/>
          <w:szCs w:val="22"/>
        </w:rPr>
        <w:t xml:space="preserve"> </w:t>
      </w:r>
    </w:p>
    <w:p w14:paraId="19B1300C" w14:textId="2DFDD41D"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National policy has increasingly recognised these gaps. The NHS Long Term Plan committed the service to “stronger NHS action” on health inequalities, with a focus on primary and community care in deprived areas and on conditions such as cardiovascular disease, cancer, mental illness and maternity outcomes</w:t>
      </w:r>
      <w:r w:rsidR="00A71742" w:rsidRPr="00E54111">
        <w:rPr>
          <w:rFonts w:asciiTheme="minorBidi" w:hAnsiTheme="minorBidi" w:cstheme="minorBidi"/>
          <w:sz w:val="22"/>
          <w:szCs w:val="22"/>
        </w:rPr>
        <w:t xml:space="preserve"> (Alderwick, Hutchings and Mays, 2024)</w:t>
      </w:r>
      <w:r w:rsidRPr="00E54111">
        <w:rPr>
          <w:rFonts w:asciiTheme="minorBidi" w:hAnsiTheme="minorBidi" w:cstheme="minorBidi"/>
          <w:sz w:val="22"/>
          <w:szCs w:val="22"/>
        </w:rPr>
        <w:t xml:space="preserve">. The </w:t>
      </w:r>
      <w:r w:rsidRPr="00E54111">
        <w:rPr>
          <w:rFonts w:asciiTheme="minorBidi" w:hAnsiTheme="minorBidi" w:cstheme="minorBidi"/>
          <w:sz w:val="22"/>
          <w:szCs w:val="22"/>
        </w:rPr>
        <w:lastRenderedPageBreak/>
        <w:t>Core20PLUS5 framework translates this commitment into an operational approach by asking integrated care systems to prioritise the most deprived 20% of the national population, locally defined inclusion groups (for example, people experiencing homelessness or exploitation) and five clinical areas where inequalities are greatest</w:t>
      </w:r>
      <w:r w:rsidR="00A71742" w:rsidRPr="00E54111">
        <w:rPr>
          <w:rFonts w:asciiTheme="minorBidi" w:hAnsiTheme="minorBidi" w:cstheme="minorBidi"/>
          <w:sz w:val="22"/>
          <w:szCs w:val="22"/>
        </w:rPr>
        <w:t xml:space="preserve"> (NHS England, 2021)</w:t>
      </w:r>
      <w:r w:rsidRPr="00E54111">
        <w:rPr>
          <w:rFonts w:asciiTheme="minorBidi" w:hAnsiTheme="minorBidi" w:cstheme="minorBidi"/>
          <w:sz w:val="22"/>
          <w:szCs w:val="22"/>
        </w:rPr>
        <w:t>. This represents a shift towards more systematic targeting, but its effectiveness depends on whether funding, workforce and accountability mechanisms genuinely follow the identified priorities.</w:t>
      </w:r>
    </w:p>
    <w:p w14:paraId="3D8D0AA9" w14:textId="0E72F071"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Integration of health and social care is another central policy strand. White papers and parliamentary briefings promote closer working between the NHS, local authority social care and the voluntary sector through integrated care systems and place-based partnerships</w:t>
      </w:r>
      <w:r w:rsidR="004C26CD" w:rsidRPr="00E54111">
        <w:rPr>
          <w:rFonts w:asciiTheme="minorBidi" w:hAnsiTheme="minorBidi" w:cstheme="minorBidi"/>
          <w:sz w:val="22"/>
          <w:szCs w:val="22"/>
        </w:rPr>
        <w:t xml:space="preserve"> (House of Commons, 2021)</w:t>
      </w:r>
      <w:r w:rsidRPr="00E54111">
        <w:rPr>
          <w:rFonts w:asciiTheme="minorBidi" w:hAnsiTheme="minorBidi" w:cstheme="minorBidi"/>
          <w:sz w:val="22"/>
          <w:szCs w:val="22"/>
        </w:rPr>
        <w:t xml:space="preserve"> The stated aims include improving continuity of support, reducing duplication and tackling inequalities in outcomes and access. Evaluations, however, point to variable progress across England, ongoing pressure on social care budgets and unresolved tensions over governance and risk-sharing. Integration is therefore best seen as a contested mechanism rather than a guaranteed solution.</w:t>
      </w:r>
    </w:p>
    <w:p w14:paraId="7767435E" w14:textId="66B121F2"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Local initiatives show both innovation and constraint. Some trusts and primary care networks are using inequalities dashboards and the Core20PLUS5 approach to identify priority neighbourhoods, run outreach clinics and co-locate services in modern, accessible premises in high-deprivation areas</w:t>
      </w:r>
      <w:r w:rsidR="004C26CD" w:rsidRPr="00E54111">
        <w:rPr>
          <w:rFonts w:asciiTheme="minorBidi" w:hAnsiTheme="minorBidi" w:cstheme="minorBidi"/>
          <w:sz w:val="22"/>
          <w:szCs w:val="22"/>
        </w:rPr>
        <w:t xml:space="preserve"> (NHS England, 2021)</w:t>
      </w:r>
      <w:r w:rsidRPr="00E54111">
        <w:rPr>
          <w:rFonts w:asciiTheme="minorBidi" w:hAnsiTheme="minorBidi" w:cstheme="minorBidi"/>
          <w:sz w:val="22"/>
          <w:szCs w:val="22"/>
        </w:rPr>
        <w:t>. At the same time, years of austerity, rising poverty and shrinking local authority budgets have limited councils’ ability to address the wider determinants of health, including housing and social support. Media investigations and expert commentary describe UK health inequalities as severe and in some respects worsening, indicating that policy rhetoric has not yet been matched by sustained, adequately resourced action at scale</w:t>
      </w:r>
      <w:r w:rsidR="004C26CD" w:rsidRPr="00E54111">
        <w:rPr>
          <w:rFonts w:asciiTheme="minorBidi" w:hAnsiTheme="minorBidi" w:cstheme="minorBidi"/>
          <w:sz w:val="22"/>
          <w:szCs w:val="22"/>
        </w:rPr>
        <w:t xml:space="preserve"> (Halliday, 2025)</w:t>
      </w:r>
      <w:r w:rsidRPr="00E54111">
        <w:rPr>
          <w:rFonts w:asciiTheme="minorBidi" w:hAnsiTheme="minorBidi" w:cstheme="minorBidi"/>
          <w:sz w:val="22"/>
          <w:szCs w:val="22"/>
        </w:rPr>
        <w:t>. For this dissertation, the UK context illustrates how SES, geography and system-level reform interact in complex ways to shape access to health and social care.</w:t>
      </w:r>
    </w:p>
    <w:p w14:paraId="4F906482" w14:textId="77777777" w:rsidR="006A7836" w:rsidRPr="00E54111" w:rsidRDefault="006A7836" w:rsidP="00E54111">
      <w:pPr>
        <w:pStyle w:val="Heading3"/>
        <w:jc w:val="both"/>
        <w:rPr>
          <w:rFonts w:cstheme="minorBidi"/>
          <w:szCs w:val="22"/>
        </w:rPr>
      </w:pPr>
      <w:r w:rsidRPr="00E54111">
        <w:rPr>
          <w:rFonts w:cstheme="minorBidi"/>
          <w:szCs w:val="22"/>
        </w:rPr>
        <w:t>2.6 Conclusion</w:t>
      </w:r>
    </w:p>
    <w:p w14:paraId="716CB6B3" w14:textId="77777777"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This chapter has situated the dissertation topic within a broader historical, theoretical and policy context. Historically, attempts to expand coverage and integrate services have reduced some barriers but have not removed social gradients in access, especially where low income, limited education and marginal occupations intersect with urban–rural disadvantage. Theoretical frameworks such as the social determinants of health, behavioural models of service use and multi-dimensional concepts of access help to explain these patterns but leave gaps around the interaction between socioeconomic status and place. International evidence shows that similar SES-related access inequalities persist across diverse systems, while the </w:t>
      </w:r>
      <w:r w:rsidRPr="00E54111">
        <w:rPr>
          <w:rFonts w:asciiTheme="minorBidi" w:hAnsiTheme="minorBidi" w:cstheme="minorBidi"/>
          <w:sz w:val="22"/>
          <w:szCs w:val="22"/>
        </w:rPr>
        <w:lastRenderedPageBreak/>
        <w:t>UK case demonstrates how equity goals can coexist with substantial geographic and social variation in practice.</w:t>
      </w:r>
    </w:p>
    <w:p w14:paraId="72A9EB4F" w14:textId="77777777" w:rsidR="006A7836" w:rsidRPr="00E54111" w:rsidRDefault="006A7836" w:rsidP="00E54111">
      <w:pPr>
        <w:pStyle w:val="NormalWeb"/>
        <w:spacing w:line="360" w:lineRule="auto"/>
        <w:jc w:val="both"/>
        <w:rPr>
          <w:rFonts w:asciiTheme="minorBidi" w:hAnsiTheme="minorBidi" w:cstheme="minorBidi"/>
          <w:sz w:val="22"/>
          <w:szCs w:val="22"/>
        </w:rPr>
      </w:pPr>
      <w:r w:rsidRPr="00E54111">
        <w:rPr>
          <w:rFonts w:asciiTheme="minorBidi" w:hAnsiTheme="minorBidi" w:cstheme="minorBidi"/>
          <w:sz w:val="22"/>
          <w:szCs w:val="22"/>
        </w:rPr>
        <w:t>The next chapter will set out the methodology for the dissertation. It will explain the rationale for using a systematic literature review, describe the search strategy, inclusion and exclusion criteria, and detail the processes for data extraction, quality appraisal and thematic analysis. The background and analysis presented in Chapter 2 provide the foundation for these methodological choices by clarifying key concepts, identifying relevant international and UK policy debates, and highlighting gaps in the evidence that the review seeks to address.</w:t>
      </w:r>
    </w:p>
    <w:p w14:paraId="5352ED8F" w14:textId="77777777" w:rsidR="006A7836" w:rsidRPr="00E54111" w:rsidRDefault="006A7836" w:rsidP="00E54111">
      <w:pPr>
        <w:jc w:val="both"/>
        <w:rPr>
          <w:szCs w:val="22"/>
          <w:lang w:val="en-GB"/>
        </w:rPr>
      </w:pPr>
    </w:p>
    <w:p w14:paraId="4CFB618F" w14:textId="77777777" w:rsidR="004C26CD" w:rsidRPr="00E54111" w:rsidRDefault="004C26CD" w:rsidP="00E54111">
      <w:pPr>
        <w:jc w:val="both"/>
        <w:rPr>
          <w:szCs w:val="22"/>
          <w:lang w:val="en-GB"/>
        </w:rPr>
      </w:pPr>
    </w:p>
    <w:p w14:paraId="5F0FED93" w14:textId="77777777" w:rsidR="004C26CD" w:rsidRPr="00E54111" w:rsidRDefault="004C26CD" w:rsidP="00E54111">
      <w:pPr>
        <w:jc w:val="both"/>
        <w:rPr>
          <w:szCs w:val="22"/>
          <w:lang w:val="en-GB"/>
        </w:rPr>
      </w:pPr>
    </w:p>
    <w:p w14:paraId="600EA6C0" w14:textId="38F064FB" w:rsidR="004C26CD" w:rsidRPr="00E54111" w:rsidRDefault="0079288B" w:rsidP="00E54111">
      <w:pPr>
        <w:jc w:val="both"/>
        <w:rPr>
          <w:b/>
          <w:bCs/>
          <w:szCs w:val="22"/>
          <w:lang w:val="en-GB"/>
        </w:rPr>
      </w:pPr>
      <w:r w:rsidRPr="00E54111">
        <w:rPr>
          <w:b/>
          <w:bCs/>
          <w:szCs w:val="22"/>
          <w:lang w:val="en-GB"/>
        </w:rPr>
        <w:t>References</w:t>
      </w:r>
    </w:p>
    <w:p w14:paraId="2DBE2775"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Alderwick, H., Hutchings, A. and Mays, N. (2024) ‘Solving poverty or tackling healthcare inequalities? Qualitative study exploring local interpretations of national policy on health inequalities under new NHS reforms in England’, </w:t>
      </w:r>
      <w:r w:rsidRPr="00E54111">
        <w:rPr>
          <w:rFonts w:asciiTheme="minorBidi" w:hAnsiTheme="minorBidi" w:cstheme="minorBidi"/>
          <w:i/>
          <w:iCs/>
          <w:sz w:val="22"/>
          <w:szCs w:val="22"/>
        </w:rPr>
        <w:t>BMJ Open</w:t>
      </w:r>
      <w:r w:rsidRPr="00E54111">
        <w:rPr>
          <w:rFonts w:asciiTheme="minorBidi" w:hAnsiTheme="minorBidi" w:cstheme="minorBidi"/>
          <w:sz w:val="22"/>
          <w:szCs w:val="22"/>
        </w:rPr>
        <w:t>, 14(4), p. e081954. doi:https://doi.org/10.1136/bmjopen-2023-081954.</w:t>
      </w:r>
    </w:p>
    <w:p w14:paraId="72FC79EF"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Alkhawaldeh, A.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(2023) ‘Application and Use of Andersen’s Behavioral Model as Theoretical Framework: A Systematic Literature Review from 2012–2021’, </w:t>
      </w:r>
      <w:r w:rsidRPr="00E54111">
        <w:rPr>
          <w:rFonts w:asciiTheme="minorBidi" w:hAnsiTheme="minorBidi" w:cstheme="minorBidi"/>
          <w:i/>
          <w:iCs/>
          <w:sz w:val="22"/>
          <w:szCs w:val="22"/>
        </w:rPr>
        <w:t>Iranian journal of public health</w:t>
      </w:r>
      <w:r w:rsidRPr="00E54111">
        <w:rPr>
          <w:rFonts w:asciiTheme="minorBidi" w:hAnsiTheme="minorBidi" w:cstheme="minorBidi"/>
          <w:sz w:val="22"/>
          <w:szCs w:val="22"/>
        </w:rPr>
        <w:t>, 52(7). doi:https://doi.org/10.18502/ijph.v52i7.13236.</w:t>
      </w:r>
    </w:p>
    <w:p w14:paraId="5ADEBC22"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Averill, R.F. and Mills, R.E. (2022) ‘Impact of Socioeconomic Status on Delivery System Effectiveness’, </w:t>
      </w:r>
      <w:r w:rsidRPr="00E54111">
        <w:rPr>
          <w:rFonts w:asciiTheme="minorBidi" w:hAnsiTheme="minorBidi" w:cstheme="minorBidi"/>
          <w:i/>
          <w:iCs/>
          <w:sz w:val="22"/>
          <w:szCs w:val="22"/>
        </w:rPr>
        <w:t>Journal of Ambulatory Care Management</w:t>
      </w:r>
      <w:r w:rsidRPr="00E54111">
        <w:rPr>
          <w:rFonts w:asciiTheme="minorBidi" w:hAnsiTheme="minorBidi" w:cstheme="minorBidi"/>
          <w:sz w:val="22"/>
          <w:szCs w:val="22"/>
        </w:rPr>
        <w:t>, Publish Ahead of Print. doi:https://doi.org/10.1097/jac.0000000000000438.</w:t>
      </w:r>
    </w:p>
    <w:p w14:paraId="2DE45D5D"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Chen, X.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(2019) ‘Differences in Rural and Urban Health Information Access and Use’, </w:t>
      </w:r>
      <w:r w:rsidRPr="00E54111">
        <w:rPr>
          <w:rFonts w:asciiTheme="minorBidi" w:hAnsiTheme="minorBidi" w:cstheme="minorBidi"/>
          <w:i/>
          <w:iCs/>
          <w:sz w:val="22"/>
          <w:szCs w:val="22"/>
        </w:rPr>
        <w:t>The Journal of Rural Health</w:t>
      </w:r>
      <w:r w:rsidRPr="00E54111">
        <w:rPr>
          <w:rFonts w:asciiTheme="minorBidi" w:hAnsiTheme="minorBidi" w:cstheme="minorBidi"/>
          <w:sz w:val="22"/>
          <w:szCs w:val="22"/>
        </w:rPr>
        <w:t>, 35(3), pp. 405–417. doi:https://doi.org/10.1111/jrh.12335.</w:t>
      </w:r>
    </w:p>
    <w:p w14:paraId="2CDE79AD"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Coates, A.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(2025) ‘The Impact of Rural Hospital Closures and Mergers on Health System Ecologies: A Scoping Review’, </w:t>
      </w:r>
      <w:r w:rsidRPr="00E54111">
        <w:rPr>
          <w:rFonts w:asciiTheme="minorBidi" w:hAnsiTheme="minorBidi" w:cstheme="minorBidi"/>
          <w:i/>
          <w:iCs/>
          <w:sz w:val="22"/>
          <w:szCs w:val="22"/>
        </w:rPr>
        <w:t>Medical care research and review : MCRR</w:t>
      </w:r>
      <w:r w:rsidRPr="00E54111">
        <w:rPr>
          <w:rFonts w:asciiTheme="minorBidi" w:hAnsiTheme="minorBidi" w:cstheme="minorBidi"/>
          <w:sz w:val="22"/>
          <w:szCs w:val="22"/>
        </w:rPr>
        <w:t>, 82(5), pp. 359–375. doi:https://doi.org/10.1177/10775587251355671.</w:t>
      </w:r>
    </w:p>
    <w:p w14:paraId="6DEEA0DC"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Dassah, E.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(2018) ‘Factors affecting access to primary health care services for persons with disabilities in rural areas: a “best-fit” framework synthesis’, </w:t>
      </w:r>
      <w:r w:rsidRPr="00E54111">
        <w:rPr>
          <w:rFonts w:asciiTheme="minorBidi" w:hAnsiTheme="minorBidi" w:cstheme="minorBidi"/>
          <w:i/>
          <w:iCs/>
          <w:sz w:val="22"/>
          <w:szCs w:val="22"/>
        </w:rPr>
        <w:t>Global Health Research and Policy</w:t>
      </w:r>
      <w:r w:rsidRPr="00E54111">
        <w:rPr>
          <w:rFonts w:asciiTheme="minorBidi" w:hAnsiTheme="minorBidi" w:cstheme="minorBidi"/>
          <w:sz w:val="22"/>
          <w:szCs w:val="22"/>
        </w:rPr>
        <w:t>, 3(1). doi:https://doi.org/10.1186/s41256-018-0091-x.</w:t>
      </w:r>
    </w:p>
    <w:p w14:paraId="769E0EE8"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lastRenderedPageBreak/>
        <w:t xml:space="preserve">Erku, D.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(2023) ‘Community engagement initiatives in primary health care to achieve universal health coverage: A realist synthesis of scoping review’, </w:t>
      </w:r>
      <w:r w:rsidRPr="00E54111">
        <w:rPr>
          <w:rFonts w:asciiTheme="minorBidi" w:hAnsiTheme="minorBidi" w:cstheme="minorBidi"/>
          <w:i/>
          <w:iCs/>
          <w:sz w:val="22"/>
          <w:szCs w:val="22"/>
        </w:rPr>
        <w:t>PLOS ONE</w:t>
      </w:r>
      <w:r w:rsidRPr="00E54111">
        <w:rPr>
          <w:rFonts w:asciiTheme="minorBidi" w:hAnsiTheme="minorBidi" w:cstheme="minorBidi"/>
          <w:sz w:val="22"/>
          <w:szCs w:val="22"/>
        </w:rPr>
        <w:t>. Edited by S. Reddy, 18(5). doi:https://doi.org/10.1371/journal.pone.0285222.</w:t>
      </w:r>
    </w:p>
    <w:p w14:paraId="28AEC535"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Gabriel, K.P.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(2025) ‘Socioeconomic Status and Employee Well-Being: An Intersectional and Resource-Based View of Health Inequalities at Work’, </w:t>
      </w:r>
      <w:r w:rsidRPr="00E54111">
        <w:rPr>
          <w:rFonts w:asciiTheme="minorBidi" w:hAnsiTheme="minorBidi" w:cstheme="minorBidi"/>
          <w:i/>
          <w:iCs/>
          <w:sz w:val="22"/>
          <w:szCs w:val="22"/>
        </w:rPr>
        <w:t>Journal of Management</w:t>
      </w:r>
      <w:r w:rsidRPr="00E54111">
        <w:rPr>
          <w:rFonts w:asciiTheme="minorBidi" w:hAnsiTheme="minorBidi" w:cstheme="minorBidi"/>
          <w:sz w:val="22"/>
          <w:szCs w:val="22"/>
        </w:rPr>
        <w:t>, 51(6). doi:https://doi.org/10.1177/01492063241311869.</w:t>
      </w:r>
    </w:p>
    <w:p w14:paraId="53D03D85"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Gulliford, M.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(2022) ‘What does “access to health care” mean?’, </w:t>
      </w:r>
      <w:r w:rsidRPr="00E54111">
        <w:rPr>
          <w:rFonts w:asciiTheme="minorBidi" w:hAnsiTheme="minorBidi" w:cstheme="minorBidi"/>
          <w:i/>
          <w:iCs/>
          <w:sz w:val="22"/>
          <w:szCs w:val="22"/>
        </w:rPr>
        <w:t>Journal of Health Services Research &amp; Policy</w:t>
      </w:r>
      <w:r w:rsidRPr="00E54111">
        <w:rPr>
          <w:rFonts w:asciiTheme="minorBidi" w:hAnsiTheme="minorBidi" w:cstheme="minorBidi"/>
          <w:sz w:val="22"/>
          <w:szCs w:val="22"/>
        </w:rPr>
        <w:t>, 7(3), pp. 186–188. doi:https://doi.org/10.1258/135581902760082517.</w:t>
      </w:r>
    </w:p>
    <w:p w14:paraId="76D50B27"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Halliday, J. (2025) </w:t>
      </w:r>
      <w:r w:rsidRPr="00E54111">
        <w:rPr>
          <w:rFonts w:asciiTheme="minorBidi" w:hAnsiTheme="minorBidi" w:cstheme="minorBidi"/>
          <w:i/>
          <w:iCs/>
          <w:sz w:val="22"/>
          <w:szCs w:val="22"/>
        </w:rPr>
        <w:t>Britain’s ‘medieval’ health inequality is devastating NHS, experts say</w:t>
      </w:r>
      <w:r w:rsidRPr="00E54111">
        <w:rPr>
          <w:rFonts w:asciiTheme="minorBidi" w:hAnsiTheme="minorBidi" w:cstheme="minorBidi"/>
          <w:sz w:val="22"/>
          <w:szCs w:val="22"/>
        </w:rPr>
        <w:t xml:space="preserve">, </w:t>
      </w:r>
      <w:r w:rsidRPr="00E54111">
        <w:rPr>
          <w:rFonts w:asciiTheme="minorBidi" w:hAnsiTheme="minorBidi" w:cstheme="minorBidi"/>
          <w:i/>
          <w:iCs/>
          <w:sz w:val="22"/>
          <w:szCs w:val="22"/>
        </w:rPr>
        <w:t>the Guardian</w:t>
      </w:r>
      <w:r w:rsidRPr="00E54111">
        <w:rPr>
          <w:rFonts w:asciiTheme="minorBidi" w:hAnsiTheme="minorBidi" w:cstheme="minorBidi"/>
          <w:sz w:val="22"/>
          <w:szCs w:val="22"/>
        </w:rPr>
        <w:t>. The Guardian. Available at: https://www.theguardian.com/society/2025/jun/29/britains-medieval-health-inequality-is-devastating-nhs-experts-say (Accessed: 1 December 2025).</w:t>
      </w:r>
    </w:p>
    <w:p w14:paraId="6619D053"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Hart, J.T. (1971) ‘The Inverse Care Law’, </w:t>
      </w:r>
      <w:r w:rsidRPr="00E54111">
        <w:rPr>
          <w:rFonts w:asciiTheme="minorBidi" w:hAnsiTheme="minorBidi" w:cstheme="minorBidi"/>
          <w:i/>
          <w:iCs/>
          <w:sz w:val="22"/>
          <w:szCs w:val="22"/>
        </w:rPr>
        <w:t>The Lancet</w:t>
      </w:r>
      <w:r w:rsidRPr="00E54111">
        <w:rPr>
          <w:rFonts w:asciiTheme="minorBidi" w:hAnsiTheme="minorBidi" w:cstheme="minorBidi"/>
          <w:sz w:val="22"/>
          <w:szCs w:val="22"/>
        </w:rPr>
        <w:t>, 297(7696), pp. 405–412. doi:https://doi.org/10.1016/s0140-6736(71)92410-x.</w:t>
      </w:r>
    </w:p>
    <w:p w14:paraId="0759F56B"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House of Commons (2021) </w:t>
      </w:r>
      <w:r w:rsidRPr="00E54111">
        <w:rPr>
          <w:rFonts w:asciiTheme="minorBidi" w:hAnsiTheme="minorBidi" w:cstheme="minorBidi"/>
          <w:i/>
          <w:iCs/>
          <w:sz w:val="22"/>
          <w:szCs w:val="22"/>
        </w:rPr>
        <w:t>The Government’s White Paper proposals for the reform of Health and Social Care First Report of Session 2021–22</w:t>
      </w:r>
      <w:r w:rsidRPr="00E54111">
        <w:rPr>
          <w:rFonts w:asciiTheme="minorBidi" w:hAnsiTheme="minorBidi" w:cstheme="minorBidi"/>
          <w:sz w:val="22"/>
          <w:szCs w:val="22"/>
        </w:rPr>
        <w:t>. House of Commons Health and Social Care Committee, pp. 1–54.</w:t>
      </w:r>
    </w:p>
    <w:p w14:paraId="2128C79D"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Lederle, M., Tempes, J. and Bitzer, E.M. (2021) ‘Application of Andersen’s behavioural model of health services use: a scoping review with a focus on qualitative health services research’, </w:t>
      </w:r>
      <w:r w:rsidRPr="00E54111">
        <w:rPr>
          <w:rFonts w:asciiTheme="minorBidi" w:hAnsiTheme="minorBidi" w:cstheme="minorBidi"/>
          <w:i/>
          <w:iCs/>
          <w:sz w:val="22"/>
          <w:szCs w:val="22"/>
        </w:rPr>
        <w:t>BMJ Open</w:t>
      </w:r>
      <w:r w:rsidRPr="00E54111">
        <w:rPr>
          <w:rFonts w:asciiTheme="minorBidi" w:hAnsiTheme="minorBidi" w:cstheme="minorBidi"/>
          <w:sz w:val="22"/>
          <w:szCs w:val="22"/>
        </w:rPr>
        <w:t>, 11(5), p. e045018. doi:https://doi.org/10.1136/bmjopen-2020-045018.</w:t>
      </w:r>
    </w:p>
    <w:p w14:paraId="347E9F4A"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Looper, M. de and Lafortune, G. (2009) ‘Measuring Disparities in Health Status and in Access and Use of Health Care in OECD Countries’, </w:t>
      </w:r>
      <w:r w:rsidRPr="00E54111">
        <w:rPr>
          <w:rFonts w:asciiTheme="minorBidi" w:hAnsiTheme="minorBidi" w:cstheme="minorBidi"/>
          <w:i/>
          <w:iCs/>
          <w:sz w:val="22"/>
          <w:szCs w:val="22"/>
        </w:rPr>
        <w:t>www.oecd-ilibrary.org</w:t>
      </w:r>
      <w:r w:rsidRPr="00E54111">
        <w:rPr>
          <w:rFonts w:asciiTheme="minorBidi" w:hAnsiTheme="minorBidi" w:cstheme="minorBidi"/>
          <w:sz w:val="22"/>
          <w:szCs w:val="22"/>
        </w:rPr>
        <w:t xml:space="preserve"> [Preprint]. doi:https://doi.org/10.1787/225748084267.</w:t>
      </w:r>
    </w:p>
    <w:p w14:paraId="78B197C5"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Marmot, M. and Bell, R. (2010) ‘Fair society, Healthy Lives’, </w:t>
      </w:r>
      <w:r w:rsidRPr="00E54111">
        <w:rPr>
          <w:rFonts w:asciiTheme="minorBidi" w:hAnsiTheme="minorBidi" w:cstheme="minorBidi"/>
          <w:i/>
          <w:iCs/>
          <w:sz w:val="22"/>
          <w:szCs w:val="22"/>
        </w:rPr>
        <w:t>Public Health</w:t>
      </w:r>
      <w:r w:rsidRPr="00E54111">
        <w:rPr>
          <w:rFonts w:asciiTheme="minorBidi" w:hAnsiTheme="minorBidi" w:cstheme="minorBidi"/>
          <w:sz w:val="22"/>
          <w:szCs w:val="22"/>
        </w:rPr>
        <w:t>, 126(1), pp. S4–S10. doi:https://doi.org/10.1016/j.puhe.2012.05.014.</w:t>
      </w:r>
    </w:p>
    <w:p w14:paraId="5018621E"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McAllister, A.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(2018) ‘How do macro-level structural determinants affect inequalities in mental health? – a systematic review of the literature’, </w:t>
      </w:r>
      <w:r w:rsidRPr="00E54111">
        <w:rPr>
          <w:rFonts w:asciiTheme="minorBidi" w:hAnsiTheme="minorBidi" w:cstheme="minorBidi"/>
          <w:i/>
          <w:iCs/>
          <w:sz w:val="22"/>
          <w:szCs w:val="22"/>
        </w:rPr>
        <w:t>International Journal for Equity in Health</w:t>
      </w:r>
      <w:r w:rsidRPr="00E54111">
        <w:rPr>
          <w:rFonts w:asciiTheme="minorBidi" w:hAnsiTheme="minorBidi" w:cstheme="minorBidi"/>
          <w:sz w:val="22"/>
          <w:szCs w:val="22"/>
        </w:rPr>
        <w:t>, 17(1). doi:https://doi.org/10.1186/s12939-018-0879-9.</w:t>
      </w:r>
    </w:p>
    <w:p w14:paraId="5278F4FC"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lastRenderedPageBreak/>
        <w:t xml:space="preserve">Moscrop, A.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(2019) ‘A systematic review of reasons for and against asking patients about their socioeconomic contexts’, </w:t>
      </w:r>
      <w:r w:rsidRPr="00E54111">
        <w:rPr>
          <w:rFonts w:asciiTheme="minorBidi" w:hAnsiTheme="minorBidi" w:cstheme="minorBidi"/>
          <w:i/>
          <w:iCs/>
          <w:sz w:val="22"/>
          <w:szCs w:val="22"/>
        </w:rPr>
        <w:t>International Journal for Equity in Health</w:t>
      </w:r>
      <w:r w:rsidRPr="00E54111">
        <w:rPr>
          <w:rFonts w:asciiTheme="minorBidi" w:hAnsiTheme="minorBidi" w:cstheme="minorBidi"/>
          <w:sz w:val="22"/>
          <w:szCs w:val="22"/>
        </w:rPr>
        <w:t>, 18(1). doi:https://doi.org/10.1186/s12939-019-1014-2.</w:t>
      </w:r>
    </w:p>
    <w:p w14:paraId="055B4A75"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NHS England (2021) </w:t>
      </w:r>
      <w:r w:rsidRPr="00E54111">
        <w:rPr>
          <w:rFonts w:asciiTheme="minorBidi" w:hAnsiTheme="minorBidi" w:cstheme="minorBidi"/>
          <w:i/>
          <w:iCs/>
          <w:sz w:val="22"/>
          <w:szCs w:val="22"/>
        </w:rPr>
        <w:t>Core20PLUS5 an Approach to Reducing Health Inequalities</w:t>
      </w:r>
      <w:r w:rsidRPr="00E54111">
        <w:rPr>
          <w:rFonts w:asciiTheme="minorBidi" w:hAnsiTheme="minorBidi" w:cstheme="minorBidi"/>
          <w:sz w:val="22"/>
          <w:szCs w:val="22"/>
        </w:rPr>
        <w:t xml:space="preserve">, </w:t>
      </w:r>
      <w:r w:rsidRPr="00E54111">
        <w:rPr>
          <w:rFonts w:asciiTheme="minorBidi" w:hAnsiTheme="minorBidi" w:cstheme="minorBidi"/>
          <w:i/>
          <w:iCs/>
          <w:sz w:val="22"/>
          <w:szCs w:val="22"/>
        </w:rPr>
        <w:t>www.england.nhs.uk</w:t>
      </w:r>
      <w:r w:rsidRPr="00E54111">
        <w:rPr>
          <w:rFonts w:asciiTheme="minorBidi" w:hAnsiTheme="minorBidi" w:cstheme="minorBidi"/>
          <w:sz w:val="22"/>
          <w:szCs w:val="22"/>
        </w:rPr>
        <w:t>. NHS England. Available at: https://www.england.nhs.uk/about/equality/equality-hub/national-healthcare-inequalities-improvement-programme/core20plus5/ (Accessed: 1 December 2025).</w:t>
      </w:r>
    </w:p>
    <w:p w14:paraId="1A4414FE"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NHS England (2023) </w:t>
      </w:r>
      <w:r w:rsidRPr="00E54111">
        <w:rPr>
          <w:rFonts w:asciiTheme="minorBidi" w:hAnsiTheme="minorBidi" w:cstheme="minorBidi"/>
          <w:i/>
          <w:iCs/>
          <w:sz w:val="22"/>
          <w:szCs w:val="22"/>
        </w:rPr>
        <w:t>Deprivation What is deprivation health?</w:t>
      </w:r>
      <w:r w:rsidRPr="00E54111">
        <w:rPr>
          <w:rFonts w:asciiTheme="minorBidi" w:hAnsiTheme="minorBidi" w:cstheme="minorBidi"/>
          <w:sz w:val="22"/>
          <w:szCs w:val="22"/>
        </w:rPr>
        <w:t xml:space="preserve">, </w:t>
      </w:r>
      <w:r w:rsidRPr="00E54111">
        <w:rPr>
          <w:rFonts w:asciiTheme="minorBidi" w:hAnsiTheme="minorBidi" w:cstheme="minorBidi"/>
          <w:i/>
          <w:iCs/>
          <w:sz w:val="22"/>
          <w:szCs w:val="22"/>
        </w:rPr>
        <w:t>www.england.nhs.uk</w:t>
      </w:r>
      <w:r w:rsidRPr="00E54111">
        <w:rPr>
          <w:rFonts w:asciiTheme="minorBidi" w:hAnsiTheme="minorBidi" w:cstheme="minorBidi"/>
          <w:sz w:val="22"/>
          <w:szCs w:val="22"/>
        </w:rPr>
        <w:t>. NHS England. Available at: https://www.england.nhs.uk/about/equality/equality-hub/national-healthcare-inequalities-improvement-programme/what-are-healthcare-inequalities/deprivation/ (Accessed: 1 December 2025).</w:t>
      </w:r>
    </w:p>
    <w:p w14:paraId="40E60760"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Office for Health Improvement &amp; Disparities (2022) </w:t>
      </w:r>
      <w:r w:rsidRPr="00E54111">
        <w:rPr>
          <w:rFonts w:asciiTheme="minorBidi" w:hAnsiTheme="minorBidi" w:cstheme="minorBidi"/>
          <w:i/>
          <w:iCs/>
          <w:sz w:val="22"/>
          <w:szCs w:val="22"/>
        </w:rPr>
        <w:t>Health disparities and health inequalities: applying All Our Health</w:t>
      </w:r>
      <w:r w:rsidRPr="00E54111">
        <w:rPr>
          <w:rFonts w:asciiTheme="minorBidi" w:hAnsiTheme="minorBidi" w:cstheme="minorBidi"/>
          <w:sz w:val="22"/>
          <w:szCs w:val="22"/>
        </w:rPr>
        <w:t xml:space="preserve">, </w:t>
      </w:r>
      <w:r w:rsidRPr="00E54111">
        <w:rPr>
          <w:rFonts w:asciiTheme="minorBidi" w:hAnsiTheme="minorBidi" w:cstheme="minorBidi"/>
          <w:i/>
          <w:iCs/>
          <w:sz w:val="22"/>
          <w:szCs w:val="22"/>
        </w:rPr>
        <w:t>GOV.UK</w:t>
      </w:r>
      <w:r w:rsidRPr="00E54111">
        <w:rPr>
          <w:rFonts w:asciiTheme="minorBidi" w:hAnsiTheme="minorBidi" w:cstheme="minorBidi"/>
          <w:sz w:val="22"/>
          <w:szCs w:val="22"/>
        </w:rPr>
        <w:t>. Available at: https://www.gov.uk/government/publications/health-disparities-and-health-inequalities-applying-all-our-health/health-disparities-and-health-inequalities-applying-all-our-health? (Accessed: 1 December 2025).</w:t>
      </w:r>
    </w:p>
    <w:p w14:paraId="53B5C311"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Öğdül, H.G. (2010) ‘Urban and Rural Definitions in Regional Context: A Case Study on Turkey’, </w:t>
      </w:r>
      <w:r w:rsidRPr="00E54111">
        <w:rPr>
          <w:rFonts w:asciiTheme="minorBidi" w:hAnsiTheme="minorBidi" w:cstheme="minorBidi"/>
          <w:i/>
          <w:iCs/>
          <w:sz w:val="22"/>
          <w:szCs w:val="22"/>
        </w:rPr>
        <w:t>European Planning Studies</w:t>
      </w:r>
      <w:r w:rsidRPr="00E54111">
        <w:rPr>
          <w:rFonts w:asciiTheme="minorBidi" w:hAnsiTheme="minorBidi" w:cstheme="minorBidi"/>
          <w:sz w:val="22"/>
          <w:szCs w:val="22"/>
        </w:rPr>
        <w:t>, 18(9), pp. 1519–1541. doi:https://doi.org/10.1080/09654313.2010.492589.</w:t>
      </w:r>
    </w:p>
    <w:p w14:paraId="7F09512B"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Penchansky, R. and Thomas, J.W. (1981) ‘The Concept of Access: Definition and Relationship to Consumer Satisfaction’, </w:t>
      </w:r>
      <w:r w:rsidRPr="00E54111">
        <w:rPr>
          <w:rFonts w:asciiTheme="minorBidi" w:hAnsiTheme="minorBidi" w:cstheme="minorBidi"/>
          <w:i/>
          <w:iCs/>
          <w:sz w:val="22"/>
          <w:szCs w:val="22"/>
        </w:rPr>
        <w:t>Medical Care</w:t>
      </w:r>
      <w:r w:rsidRPr="00E54111">
        <w:rPr>
          <w:rFonts w:asciiTheme="minorBidi" w:hAnsiTheme="minorBidi" w:cstheme="minorBidi"/>
          <w:sz w:val="22"/>
          <w:szCs w:val="22"/>
        </w:rPr>
        <w:t>, 19(2), pp. 127–140. doi:https://doi.org/10.1097/00005650-198102000-00001.</w:t>
      </w:r>
    </w:p>
    <w:p w14:paraId="237BD157"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Porter, D. (1994) </w:t>
      </w:r>
      <w:r w:rsidRPr="00E54111">
        <w:rPr>
          <w:rFonts w:asciiTheme="minorBidi" w:hAnsiTheme="minorBidi" w:cstheme="minorBidi"/>
          <w:i/>
          <w:iCs/>
          <w:sz w:val="22"/>
          <w:szCs w:val="22"/>
        </w:rPr>
        <w:t>The History of Public Health and the Modern State</w:t>
      </w:r>
      <w:r w:rsidRPr="00E54111">
        <w:rPr>
          <w:rFonts w:asciiTheme="minorBidi" w:hAnsiTheme="minorBidi" w:cstheme="minorBidi"/>
          <w:sz w:val="22"/>
          <w:szCs w:val="22"/>
        </w:rPr>
        <w:t xml:space="preserve">, </w:t>
      </w:r>
      <w:r w:rsidRPr="00E54111">
        <w:rPr>
          <w:rFonts w:asciiTheme="minorBidi" w:hAnsiTheme="minorBidi" w:cstheme="minorBidi"/>
          <w:i/>
          <w:iCs/>
          <w:sz w:val="22"/>
          <w:szCs w:val="22"/>
        </w:rPr>
        <w:t>Google Books</w:t>
      </w:r>
      <w:r w:rsidRPr="00E54111">
        <w:rPr>
          <w:rFonts w:asciiTheme="minorBidi" w:hAnsiTheme="minorBidi" w:cstheme="minorBidi"/>
          <w:sz w:val="22"/>
          <w:szCs w:val="22"/>
        </w:rPr>
        <w:t>.</w:t>
      </w:r>
    </w:p>
    <w:p w14:paraId="601AADAD"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Ranjan, A., Sundararaman, T. and Garg, S. (2023) ‘Measurement of unmet healthcare needs to assess progress on universal health coverage - exploring a novel approach based on household surveys’, </w:t>
      </w:r>
      <w:r w:rsidRPr="00E54111">
        <w:rPr>
          <w:rFonts w:asciiTheme="minorBidi" w:hAnsiTheme="minorBidi" w:cstheme="minorBidi"/>
          <w:i/>
          <w:iCs/>
          <w:sz w:val="22"/>
          <w:szCs w:val="22"/>
        </w:rPr>
        <w:t>BMC Health Services Research</w:t>
      </w:r>
      <w:r w:rsidRPr="00E54111">
        <w:rPr>
          <w:rFonts w:asciiTheme="minorBidi" w:hAnsiTheme="minorBidi" w:cstheme="minorBidi"/>
          <w:sz w:val="22"/>
          <w:szCs w:val="22"/>
        </w:rPr>
        <w:t>, 23(1). doi:https://doi.org/10.1186/s12913-023-09542-0.</w:t>
      </w:r>
    </w:p>
    <w:p w14:paraId="7A85B317"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Russell, D.J.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(2025) ‘Remote health: what are the problems and what can we do about them? Insights from Australia’, </w:t>
      </w:r>
      <w:r w:rsidRPr="00E54111">
        <w:rPr>
          <w:rFonts w:asciiTheme="minorBidi" w:hAnsiTheme="minorBidi" w:cstheme="minorBidi"/>
          <w:i/>
          <w:iCs/>
          <w:sz w:val="22"/>
          <w:szCs w:val="22"/>
        </w:rPr>
        <w:t>BMC Health Services Research</w:t>
      </w:r>
      <w:r w:rsidRPr="00E54111">
        <w:rPr>
          <w:rFonts w:asciiTheme="minorBidi" w:hAnsiTheme="minorBidi" w:cstheme="minorBidi"/>
          <w:sz w:val="22"/>
          <w:szCs w:val="22"/>
        </w:rPr>
        <w:t>, 25(1). doi:https://doi.org/10.1186/s12913-025-12828-0.</w:t>
      </w:r>
    </w:p>
    <w:p w14:paraId="7634731C"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lastRenderedPageBreak/>
        <w:t xml:space="preserve">Sacks, E.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(2020) ‘Communities, universal health coverage and primary health care’, </w:t>
      </w:r>
      <w:r w:rsidRPr="00E54111">
        <w:rPr>
          <w:rFonts w:asciiTheme="minorBidi" w:hAnsiTheme="minorBidi" w:cstheme="minorBidi"/>
          <w:i/>
          <w:iCs/>
          <w:sz w:val="22"/>
          <w:szCs w:val="22"/>
        </w:rPr>
        <w:t>Bulletin of the World Health Organization</w:t>
      </w:r>
      <w:r w:rsidRPr="00E54111">
        <w:rPr>
          <w:rFonts w:asciiTheme="minorBidi" w:hAnsiTheme="minorBidi" w:cstheme="minorBidi"/>
          <w:sz w:val="22"/>
          <w:szCs w:val="22"/>
        </w:rPr>
        <w:t>, 98(11), pp. 773–780. doi:https://doi.org/10.2471/blt.20.252445.</w:t>
      </w:r>
    </w:p>
    <w:p w14:paraId="5530FFD1"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Sakellariou, D. and Rotarou, E.S. (2017) ‘The Effects of Neoliberal Policies on Access to Healthcare for People with Disabilities’, </w:t>
      </w:r>
      <w:r w:rsidRPr="00E54111">
        <w:rPr>
          <w:rFonts w:asciiTheme="minorBidi" w:hAnsiTheme="minorBidi" w:cstheme="minorBidi"/>
          <w:i/>
          <w:iCs/>
          <w:sz w:val="22"/>
          <w:szCs w:val="22"/>
        </w:rPr>
        <w:t>International Journal for Equity in Health</w:t>
      </w:r>
      <w:r w:rsidRPr="00E54111">
        <w:rPr>
          <w:rFonts w:asciiTheme="minorBidi" w:hAnsiTheme="minorBidi" w:cstheme="minorBidi"/>
          <w:sz w:val="22"/>
          <w:szCs w:val="22"/>
        </w:rPr>
        <w:t>, 16(1). doi:https://doi.org/10.1186/s12939-017-0699-3.</w:t>
      </w:r>
    </w:p>
    <w:p w14:paraId="53D2DE80"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Saurman, E. (2015) ‘Improving access: modifying Penchansky and Thomas’s Theory of Access’, </w:t>
      </w:r>
      <w:r w:rsidRPr="00E54111">
        <w:rPr>
          <w:rFonts w:asciiTheme="minorBidi" w:hAnsiTheme="minorBidi" w:cstheme="minorBidi"/>
          <w:i/>
          <w:iCs/>
          <w:sz w:val="22"/>
          <w:szCs w:val="22"/>
        </w:rPr>
        <w:t>Journal of Health Services Research &amp; Policy</w:t>
      </w:r>
      <w:r w:rsidRPr="00E54111">
        <w:rPr>
          <w:rFonts w:asciiTheme="minorBidi" w:hAnsiTheme="minorBidi" w:cstheme="minorBidi"/>
          <w:sz w:val="22"/>
          <w:szCs w:val="22"/>
        </w:rPr>
        <w:t>, 21(1), pp. 36–39. doi:https://doi.org/10.1177/1355819615600001.</w:t>
      </w:r>
    </w:p>
    <w:p w14:paraId="5BAEABB7"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Shutt, A.E.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(2025) ‘The intersection of the social determinants of health and antimicrobial resistance in human populations: a systematic review’, </w:t>
      </w:r>
      <w:r w:rsidRPr="00E54111">
        <w:rPr>
          <w:rFonts w:asciiTheme="minorBidi" w:hAnsiTheme="minorBidi" w:cstheme="minorBidi"/>
          <w:i/>
          <w:iCs/>
          <w:sz w:val="22"/>
          <w:szCs w:val="22"/>
        </w:rPr>
        <w:t>BMJ Global Health</w:t>
      </w:r>
      <w:r w:rsidRPr="00E54111">
        <w:rPr>
          <w:rFonts w:asciiTheme="minorBidi" w:hAnsiTheme="minorBidi" w:cstheme="minorBidi"/>
          <w:sz w:val="22"/>
          <w:szCs w:val="22"/>
        </w:rPr>
        <w:t>, 10(5), p. e017389. doi:https://doi.org/10.1136/bmjgh-2024-017389.</w:t>
      </w:r>
    </w:p>
    <w:p w14:paraId="56FE75CD"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Tulchinsky, T.H. (2018) ‘Bismarck and the Long Road to Universal Health Coverage’, </w:t>
      </w:r>
      <w:r w:rsidRPr="00E54111">
        <w:rPr>
          <w:rFonts w:asciiTheme="minorBidi" w:hAnsiTheme="minorBidi" w:cstheme="minorBidi"/>
          <w:i/>
          <w:iCs/>
          <w:sz w:val="22"/>
          <w:szCs w:val="22"/>
        </w:rPr>
        <w:t>Case Studies in Public Health</w:t>
      </w:r>
      <w:r w:rsidRPr="00E54111">
        <w:rPr>
          <w:rFonts w:asciiTheme="minorBidi" w:hAnsiTheme="minorBidi" w:cstheme="minorBidi"/>
          <w:sz w:val="22"/>
          <w:szCs w:val="22"/>
        </w:rPr>
        <w:t>, pp. 131–179. doi:https://doi.org/10.1016/B978-0-12-804571-8.00031-7.</w:t>
      </w:r>
    </w:p>
    <w:p w14:paraId="7AFA3002"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World Health Organization (2025) </w:t>
      </w:r>
      <w:r w:rsidRPr="00E54111">
        <w:rPr>
          <w:rFonts w:asciiTheme="minorBidi" w:hAnsiTheme="minorBidi" w:cstheme="minorBidi"/>
          <w:i/>
          <w:iCs/>
          <w:sz w:val="22"/>
          <w:szCs w:val="22"/>
        </w:rPr>
        <w:t>Universal Health Coverage (UHC)</w:t>
      </w:r>
      <w:r w:rsidRPr="00E54111">
        <w:rPr>
          <w:rFonts w:asciiTheme="minorBidi" w:hAnsiTheme="minorBidi" w:cstheme="minorBidi"/>
          <w:sz w:val="22"/>
          <w:szCs w:val="22"/>
        </w:rPr>
        <w:t xml:space="preserve">, </w:t>
      </w:r>
      <w:r w:rsidRPr="00E54111">
        <w:rPr>
          <w:rFonts w:asciiTheme="minorBidi" w:hAnsiTheme="minorBidi" w:cstheme="minorBidi"/>
          <w:i/>
          <w:iCs/>
          <w:sz w:val="22"/>
          <w:szCs w:val="22"/>
        </w:rPr>
        <w:t>World Health Organization</w:t>
      </w:r>
      <w:r w:rsidRPr="00E54111">
        <w:rPr>
          <w:rFonts w:asciiTheme="minorBidi" w:hAnsiTheme="minorBidi" w:cstheme="minorBidi"/>
          <w:sz w:val="22"/>
          <w:szCs w:val="22"/>
        </w:rPr>
        <w:t>. Available at: https://www.who.int/news-room/fact-sheets/detail/universal-health-coverage-(uhc) (Accessed: 1 December 2025).</w:t>
      </w:r>
    </w:p>
    <w:p w14:paraId="6B10A433"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Yang, D.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(2024) ‘Pakistan’s path to universal health coverage: national and regional insights’, </w:t>
      </w:r>
      <w:r w:rsidRPr="00E54111">
        <w:rPr>
          <w:rFonts w:asciiTheme="minorBidi" w:hAnsiTheme="minorBidi" w:cstheme="minorBidi"/>
          <w:i/>
          <w:iCs/>
          <w:sz w:val="22"/>
          <w:szCs w:val="22"/>
        </w:rPr>
        <w:t>International Journal for Equity in Health</w:t>
      </w:r>
      <w:r w:rsidRPr="00E54111">
        <w:rPr>
          <w:rFonts w:asciiTheme="minorBidi" w:hAnsiTheme="minorBidi" w:cstheme="minorBidi"/>
          <w:sz w:val="22"/>
          <w:szCs w:val="22"/>
        </w:rPr>
        <w:t>, 23(1). doi:https://doi.org/10.1186/s12939-024-02232-1.</w:t>
      </w:r>
    </w:p>
    <w:p w14:paraId="787832E2" w14:textId="77777777" w:rsidR="0079288B" w:rsidRPr="00E54111" w:rsidRDefault="0079288B" w:rsidP="00E54111">
      <w:pPr>
        <w:pStyle w:val="NormalWeb"/>
        <w:spacing w:before="0" w:beforeAutospacing="0" w:after="240" w:afterAutospacing="0" w:line="360" w:lineRule="auto"/>
        <w:jc w:val="both"/>
        <w:rPr>
          <w:rFonts w:asciiTheme="minorBidi" w:hAnsiTheme="minorBidi" w:cstheme="minorBidi"/>
          <w:sz w:val="22"/>
          <w:szCs w:val="22"/>
        </w:rPr>
      </w:pPr>
      <w:r w:rsidRPr="00E54111">
        <w:rPr>
          <w:rFonts w:asciiTheme="minorBidi" w:hAnsiTheme="minorBidi" w:cstheme="minorBidi"/>
          <w:sz w:val="22"/>
          <w:szCs w:val="22"/>
        </w:rPr>
        <w:t xml:space="preserve">Zaneva, M. </w:t>
      </w:r>
      <w:r w:rsidRPr="00E54111">
        <w:rPr>
          <w:rFonts w:asciiTheme="minorBidi" w:hAnsiTheme="minorBidi" w:cstheme="minorBidi"/>
          <w:i/>
          <w:iCs/>
          <w:sz w:val="22"/>
          <w:szCs w:val="22"/>
        </w:rPr>
        <w:t>et al.</w:t>
      </w:r>
      <w:r w:rsidRPr="00E54111">
        <w:rPr>
          <w:rFonts w:asciiTheme="minorBidi" w:hAnsiTheme="minorBidi" w:cstheme="minorBidi"/>
          <w:sz w:val="22"/>
          <w:szCs w:val="22"/>
        </w:rPr>
        <w:t xml:space="preserve"> (2024) ‘What do we mean when we talk about socioeconomic status? Implications for measurement, mechanisms and interventions from a critical review on adolescent mental health’, </w:t>
      </w:r>
      <w:r w:rsidRPr="00E54111">
        <w:rPr>
          <w:rFonts w:asciiTheme="minorBidi" w:hAnsiTheme="minorBidi" w:cstheme="minorBidi"/>
          <w:i/>
          <w:iCs/>
          <w:sz w:val="22"/>
          <w:szCs w:val="22"/>
        </w:rPr>
        <w:t>General Psychiatry</w:t>
      </w:r>
      <w:r w:rsidRPr="00E54111">
        <w:rPr>
          <w:rFonts w:asciiTheme="minorBidi" w:hAnsiTheme="minorBidi" w:cstheme="minorBidi"/>
          <w:sz w:val="22"/>
          <w:szCs w:val="22"/>
        </w:rPr>
        <w:t>, 37(6), p. e101455. doi:https://doi.org/10.1136/gpsych-2023-101455.</w:t>
      </w:r>
    </w:p>
    <w:p w14:paraId="02CBAE5A" w14:textId="77777777" w:rsidR="0079288B" w:rsidRPr="00E54111" w:rsidRDefault="0079288B" w:rsidP="00E54111">
      <w:pPr>
        <w:jc w:val="both"/>
        <w:rPr>
          <w:b/>
          <w:bCs/>
          <w:szCs w:val="22"/>
          <w:lang w:val="en-GB"/>
        </w:rPr>
      </w:pPr>
    </w:p>
    <w:sectPr w:rsidR="0079288B" w:rsidRPr="00E541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D40AC5"/>
    <w:multiLevelType w:val="hybridMultilevel"/>
    <w:tmpl w:val="94562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F20C59"/>
    <w:multiLevelType w:val="hybridMultilevel"/>
    <w:tmpl w:val="EB06C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5045396">
    <w:abstractNumId w:val="0"/>
  </w:num>
  <w:num w:numId="2" w16cid:durableId="591015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3C9"/>
    <w:rsid w:val="000363C5"/>
    <w:rsid w:val="00076D56"/>
    <w:rsid w:val="00080D64"/>
    <w:rsid w:val="000B743B"/>
    <w:rsid w:val="000F655B"/>
    <w:rsid w:val="001A5ACA"/>
    <w:rsid w:val="00250824"/>
    <w:rsid w:val="002A1A09"/>
    <w:rsid w:val="002A5235"/>
    <w:rsid w:val="00303121"/>
    <w:rsid w:val="00340028"/>
    <w:rsid w:val="003B2466"/>
    <w:rsid w:val="004139FC"/>
    <w:rsid w:val="004357CE"/>
    <w:rsid w:val="00437888"/>
    <w:rsid w:val="00461624"/>
    <w:rsid w:val="00485DEE"/>
    <w:rsid w:val="004B5EA3"/>
    <w:rsid w:val="004C26CD"/>
    <w:rsid w:val="005113BA"/>
    <w:rsid w:val="0052625A"/>
    <w:rsid w:val="00546B0F"/>
    <w:rsid w:val="0057613A"/>
    <w:rsid w:val="006A7836"/>
    <w:rsid w:val="0074515C"/>
    <w:rsid w:val="0079288B"/>
    <w:rsid w:val="00804503"/>
    <w:rsid w:val="00814946"/>
    <w:rsid w:val="008B3E89"/>
    <w:rsid w:val="00914068"/>
    <w:rsid w:val="009610E3"/>
    <w:rsid w:val="0099681F"/>
    <w:rsid w:val="009B14D7"/>
    <w:rsid w:val="00A053C9"/>
    <w:rsid w:val="00A71742"/>
    <w:rsid w:val="00BE4882"/>
    <w:rsid w:val="00C362EB"/>
    <w:rsid w:val="00C50A4E"/>
    <w:rsid w:val="00D54E70"/>
    <w:rsid w:val="00D95A10"/>
    <w:rsid w:val="00E40CB8"/>
    <w:rsid w:val="00E54111"/>
    <w:rsid w:val="00E80757"/>
    <w:rsid w:val="00E947F1"/>
    <w:rsid w:val="00EE4744"/>
    <w:rsid w:val="00F113AB"/>
    <w:rsid w:val="00FB6C67"/>
    <w:rsid w:val="00FF33B9"/>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7B2B7"/>
  <w15:chartTrackingRefBased/>
  <w15:docId w15:val="{12BCC216-D0DB-E34B-8660-A2655948C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81F"/>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A053C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053C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053C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53C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53C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53C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A053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3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3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3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3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3C9"/>
    <w:rPr>
      <w:rFonts w:eastAsiaTheme="majorEastAsia" w:cstheme="majorBidi"/>
      <w:color w:val="272727" w:themeColor="text1" w:themeTint="D8"/>
    </w:rPr>
  </w:style>
  <w:style w:type="paragraph" w:styleId="Title">
    <w:name w:val="Title"/>
    <w:basedOn w:val="Normal"/>
    <w:next w:val="Normal"/>
    <w:link w:val="TitleChar"/>
    <w:uiPriority w:val="10"/>
    <w:qFormat/>
    <w:rsid w:val="00A053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3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3C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3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3C9"/>
    <w:pPr>
      <w:spacing w:before="160"/>
      <w:jc w:val="center"/>
    </w:pPr>
    <w:rPr>
      <w:i/>
      <w:iCs/>
      <w:color w:val="404040" w:themeColor="text1" w:themeTint="BF"/>
    </w:rPr>
  </w:style>
  <w:style w:type="character" w:customStyle="1" w:styleId="QuoteChar">
    <w:name w:val="Quote Char"/>
    <w:basedOn w:val="DefaultParagraphFont"/>
    <w:link w:val="Quote"/>
    <w:uiPriority w:val="29"/>
    <w:rsid w:val="00A053C9"/>
    <w:rPr>
      <w:rFonts w:asciiTheme="majorBidi" w:hAnsiTheme="majorBidi"/>
      <w:i/>
      <w:iCs/>
      <w:color w:val="404040" w:themeColor="text1" w:themeTint="BF"/>
    </w:rPr>
  </w:style>
  <w:style w:type="paragraph" w:styleId="ListParagraph">
    <w:name w:val="List Paragraph"/>
    <w:basedOn w:val="Normal"/>
    <w:uiPriority w:val="34"/>
    <w:qFormat/>
    <w:rsid w:val="00A053C9"/>
    <w:pPr>
      <w:ind w:left="720"/>
      <w:contextualSpacing/>
    </w:pPr>
  </w:style>
  <w:style w:type="character" w:styleId="IntenseEmphasis">
    <w:name w:val="Intense Emphasis"/>
    <w:basedOn w:val="DefaultParagraphFont"/>
    <w:uiPriority w:val="21"/>
    <w:qFormat/>
    <w:rsid w:val="00A053C9"/>
    <w:rPr>
      <w:i/>
      <w:iCs/>
      <w:color w:val="0F4761" w:themeColor="accent1" w:themeShade="BF"/>
    </w:rPr>
  </w:style>
  <w:style w:type="paragraph" w:styleId="IntenseQuote">
    <w:name w:val="Intense Quote"/>
    <w:basedOn w:val="Normal"/>
    <w:next w:val="Normal"/>
    <w:link w:val="IntenseQuoteChar"/>
    <w:uiPriority w:val="30"/>
    <w:qFormat/>
    <w:rsid w:val="00A053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53C9"/>
    <w:rPr>
      <w:rFonts w:asciiTheme="majorBidi" w:hAnsiTheme="majorBidi"/>
      <w:i/>
      <w:iCs/>
      <w:color w:val="0F4761" w:themeColor="accent1" w:themeShade="BF"/>
    </w:rPr>
  </w:style>
  <w:style w:type="character" w:styleId="IntenseReference">
    <w:name w:val="Intense Reference"/>
    <w:basedOn w:val="DefaultParagraphFont"/>
    <w:uiPriority w:val="32"/>
    <w:qFormat/>
    <w:rsid w:val="00A053C9"/>
    <w:rPr>
      <w:b/>
      <w:bCs/>
      <w:smallCaps/>
      <w:color w:val="0F4761" w:themeColor="accent1" w:themeShade="BF"/>
      <w:spacing w:val="5"/>
    </w:rPr>
  </w:style>
  <w:style w:type="paragraph" w:styleId="NormalWeb">
    <w:name w:val="Normal (Web)"/>
    <w:basedOn w:val="Normal"/>
    <w:uiPriority w:val="99"/>
    <w:unhideWhenUsed/>
    <w:rsid w:val="00FF33B9"/>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FF33B9"/>
    <w:rPr>
      <w:b/>
      <w:bCs/>
    </w:rPr>
  </w:style>
  <w:style w:type="character" w:customStyle="1" w:styleId="ms-1">
    <w:name w:val="ms-1"/>
    <w:basedOn w:val="DefaultParagraphFont"/>
    <w:rsid w:val="006A7836"/>
  </w:style>
  <w:style w:type="character" w:customStyle="1" w:styleId="max-w-15ch">
    <w:name w:val="max-w-[15ch]"/>
    <w:basedOn w:val="DefaultParagraphFont"/>
    <w:rsid w:val="006A7836"/>
  </w:style>
  <w:style w:type="character" w:customStyle="1" w:styleId="-me-1">
    <w:name w:val="-me-1"/>
    <w:basedOn w:val="DefaultParagraphFont"/>
    <w:rsid w:val="006A7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13</Pages>
  <Words>4350</Words>
  <Characters>24800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Naqi Mir</cp:lastModifiedBy>
  <cp:revision>34</cp:revision>
  <dcterms:created xsi:type="dcterms:W3CDTF">2025-12-01T10:11:00Z</dcterms:created>
  <dcterms:modified xsi:type="dcterms:W3CDTF">2025-12-01T14:48:00Z</dcterms:modified>
</cp:coreProperties>
</file>