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0110F" w14:textId="02F92BA9" w:rsidR="0075132B" w:rsidRPr="008B3ACC" w:rsidRDefault="00EC68D4" w:rsidP="00F424C0">
      <w:pPr>
        <w:jc w:val="both"/>
        <w:rPr>
          <w:rFonts w:ascii="Arial" w:hAnsi="Arial" w:cs="Arial"/>
        </w:rPr>
      </w:pPr>
      <w:r w:rsidRPr="008B3ACC">
        <w:rPr>
          <w:rFonts w:ascii="Arial" w:hAnsi="Arial" w:cs="Arial"/>
        </w:rPr>
        <w:t>Construction Materials Assignment</w:t>
      </w:r>
    </w:p>
    <w:p w14:paraId="53041F2E" w14:textId="77777777" w:rsidR="00EC68D4" w:rsidRPr="008B3ACC" w:rsidRDefault="00EC68D4" w:rsidP="00F424C0">
      <w:pPr>
        <w:jc w:val="both"/>
        <w:rPr>
          <w:rFonts w:ascii="Arial" w:hAnsi="Arial" w:cs="Arial"/>
        </w:rPr>
      </w:pPr>
    </w:p>
    <w:p w14:paraId="1693E2C3" w14:textId="77777777" w:rsidR="007533B9" w:rsidRPr="007533B9" w:rsidRDefault="007533B9" w:rsidP="00F424C0">
      <w:pPr>
        <w:jc w:val="both"/>
        <w:rPr>
          <w:rFonts w:ascii="Arial" w:hAnsi="Arial" w:cs="Arial"/>
        </w:rPr>
      </w:pPr>
      <w:r w:rsidRPr="007533B9">
        <w:rPr>
          <w:rFonts w:ascii="Arial" w:hAnsi="Arial" w:cs="Arial"/>
        </w:rPr>
        <w:t>1).</w:t>
      </w:r>
    </w:p>
    <w:p w14:paraId="1AFADF9C" w14:textId="5AA03F8F" w:rsidR="00B01B5D" w:rsidRPr="00B01B5D" w:rsidRDefault="007533B9" w:rsidP="00B01B5D">
      <w:pPr>
        <w:jc w:val="both"/>
        <w:rPr>
          <w:rFonts w:ascii="Arial" w:hAnsi="Arial" w:cs="Arial"/>
        </w:rPr>
      </w:pPr>
      <w:r w:rsidRPr="007533B9">
        <w:rPr>
          <w:rFonts w:ascii="Arial" w:hAnsi="Arial" w:cs="Arial"/>
        </w:rPr>
        <w:t xml:space="preserve">Trellick Tower, located in Kensal Town, North London, is a unique tower block in the UK which was constructed with a concrete frame. It was built between 1968 and 1972. </w:t>
      </w:r>
      <w:r w:rsidR="003D5446" w:rsidRPr="003D5446">
        <w:rPr>
          <w:rFonts w:ascii="Arial" w:hAnsi="Arial" w:cs="Arial"/>
        </w:rPr>
        <w:t xml:space="preserve">(Notting Hill’s famous Trellick Tower, </w:t>
      </w:r>
      <w:r w:rsidR="00C76FAF" w:rsidRPr="003D5446">
        <w:rPr>
          <w:rFonts w:ascii="Arial" w:hAnsi="Arial" w:cs="Arial"/>
        </w:rPr>
        <w:t>2017)</w:t>
      </w:r>
      <w:r w:rsidR="00C76FAF" w:rsidRPr="007533B9">
        <w:rPr>
          <w:rFonts w:ascii="Arial" w:hAnsi="Arial" w:cs="Arial"/>
        </w:rPr>
        <w:t xml:space="preserve"> It</w:t>
      </w:r>
      <w:r w:rsidRPr="007533B9">
        <w:rPr>
          <w:rFonts w:ascii="Arial" w:hAnsi="Arial" w:cs="Arial"/>
        </w:rPr>
        <w:t xml:space="preserve"> was a residential project commissioned by the Greater London Council, as there was a shortage of residential housing in London at the time, likely due to rises in population following post</w:t>
      </w:r>
      <w:r w:rsidRPr="007533B9">
        <w:rPr>
          <w:rFonts w:ascii="Arial" w:hAnsi="Arial" w:cs="Arial"/>
        </w:rPr>
        <w:noBreakHyphen/>
        <w:t>war economic and population booms. The architect of Trellick Tower was Ernő Goldfinger, who created a 31</w:t>
      </w:r>
      <w:r w:rsidRPr="007533B9">
        <w:rPr>
          <w:rFonts w:ascii="Arial" w:hAnsi="Arial" w:cs="Arial"/>
        </w:rPr>
        <w:noBreakHyphen/>
        <w:t>storey design with a separate services tower connected to the residential tower by a series of bridges every three floors. (</w:t>
      </w:r>
      <w:r w:rsidR="007F070F" w:rsidRPr="007F070F">
        <w:rPr>
          <w:rFonts w:ascii="Arial" w:hAnsi="Arial" w:cs="Arial"/>
        </w:rPr>
        <w:t>Brooks, 2020</w:t>
      </w:r>
      <w:r w:rsidRPr="007533B9">
        <w:rPr>
          <w:rFonts w:ascii="Arial" w:hAnsi="Arial" w:cs="Arial"/>
        </w:rPr>
        <w:t>) The design is unique to the London skyline because of the elements Goldfinger incorporated, which have helped give the building iconic status. Trellick Tower became a Grade II listed building in 1998. It is a useful case study in post</w:t>
      </w:r>
      <w:r w:rsidRPr="007533B9">
        <w:rPr>
          <w:rFonts w:ascii="Arial" w:hAnsi="Arial" w:cs="Arial"/>
        </w:rPr>
        <w:noBreakHyphen/>
        <w:t>war housing because it is equally infamous as it is iconic. Like many projects aimed at supplying social housing, Trellick Tower faced scrutiny during construction and after completion. This was due to public pressure to provide housing at a time when other social housing projects had proved inadequate or had structural issues after completion. Furthermore, Trellick Tower experienced a series of social problems upon completion, such as crime and vandalism. The tower has featured in and inspired popular media, helping to cement it in British popular consciousness</w:t>
      </w:r>
      <w:r w:rsidR="00B01B5D">
        <w:rPr>
          <w:rFonts w:ascii="Arial" w:hAnsi="Arial" w:cs="Arial"/>
        </w:rPr>
        <w:t>.</w:t>
      </w:r>
      <w:r w:rsidR="00B01B5D" w:rsidRPr="00B01B5D">
        <w:rPr>
          <w:rFonts w:ascii="Times New Roman" w:eastAsia="Times New Roman" w:hAnsi="Times New Roman" w:cs="Times New Roman"/>
          <w:kern w:val="0"/>
          <w:lang w:eastAsia="en-GB"/>
          <w14:ligatures w14:val="none"/>
        </w:rPr>
        <w:t xml:space="preserve"> </w:t>
      </w:r>
      <w:r w:rsidR="00B01B5D" w:rsidRPr="00B01B5D">
        <w:rPr>
          <w:rFonts w:ascii="Arial" w:hAnsi="Arial" w:cs="Arial"/>
        </w:rPr>
        <w:t>(Richardson, 2021)</w:t>
      </w:r>
    </w:p>
    <w:p w14:paraId="426F0544" w14:textId="25612430" w:rsidR="007533B9" w:rsidRPr="007533B9" w:rsidRDefault="007533B9" w:rsidP="00F424C0">
      <w:pPr>
        <w:jc w:val="both"/>
        <w:rPr>
          <w:rFonts w:ascii="Arial" w:hAnsi="Arial" w:cs="Arial"/>
        </w:rPr>
      </w:pPr>
    </w:p>
    <w:p w14:paraId="51578377" w14:textId="39513593" w:rsidR="00C4506E" w:rsidRPr="00C4506E" w:rsidRDefault="007533B9" w:rsidP="00C4506E">
      <w:pPr>
        <w:jc w:val="both"/>
        <w:rPr>
          <w:rFonts w:ascii="Arial" w:hAnsi="Arial" w:cs="Arial"/>
        </w:rPr>
      </w:pPr>
      <w:r w:rsidRPr="007533B9">
        <w:rPr>
          <w:rFonts w:ascii="Arial" w:hAnsi="Arial" w:cs="Arial"/>
        </w:rPr>
        <w:t>The tower block’s design is unique in many ways. It is composed of in</w:t>
      </w:r>
      <w:r w:rsidRPr="007533B9">
        <w:rPr>
          <w:rFonts w:ascii="Arial" w:hAnsi="Arial" w:cs="Arial"/>
        </w:rPr>
        <w:noBreakHyphen/>
        <w:t>situ exposed concrete, meaning the concrete is poured into the formwork onsite rather than being precast offsite. In</w:t>
      </w:r>
      <w:r w:rsidRPr="007533B9">
        <w:rPr>
          <w:rFonts w:ascii="Arial" w:hAnsi="Arial" w:cs="Arial"/>
        </w:rPr>
        <w:noBreakHyphen/>
        <w:t>situ concrete contains far fewer joints for this reason. The concrete is reinforced, and one of the challenges during construction would have been reinforcing the suspended walkways. The walkways are integrated into the concrete cores of each unit and reinforced to resist shear forces. The tower is considered Brutalist in style. The separate services tower is also an uncommon design choice. The top of the tower contains boilers and water tanks, which reduces the amount of pipework and the number of pumps needed throughout the building. Staircases are also located in this service tower and connected to the main tower via suspended walkways. There are many different types of dwellings in the tower, with many being duplexes with internal staircases. This reduced the amount of internal corridor space required for a building of this size.</w:t>
      </w:r>
      <w:r w:rsidR="00C4506E" w:rsidRPr="00C4506E">
        <w:rPr>
          <w:rFonts w:ascii="Times New Roman" w:eastAsia="Times New Roman" w:hAnsi="Times New Roman" w:cs="Times New Roman"/>
          <w:kern w:val="0"/>
          <w:lang w:eastAsia="en-GB"/>
          <w14:ligatures w14:val="none"/>
        </w:rPr>
        <w:t xml:space="preserve"> </w:t>
      </w:r>
      <w:r w:rsidR="00C4506E" w:rsidRPr="00C4506E">
        <w:rPr>
          <w:rFonts w:ascii="Arial" w:hAnsi="Arial" w:cs="Arial"/>
        </w:rPr>
        <w:t>(RIBA, 2021)</w:t>
      </w:r>
    </w:p>
    <w:p w14:paraId="3A3F8501" w14:textId="255B4420" w:rsidR="007533B9" w:rsidRPr="008B3ACC" w:rsidRDefault="007533B9" w:rsidP="00F424C0">
      <w:pPr>
        <w:jc w:val="both"/>
        <w:rPr>
          <w:rFonts w:ascii="Arial" w:hAnsi="Arial" w:cs="Arial"/>
        </w:rPr>
      </w:pPr>
    </w:p>
    <w:p w14:paraId="32CB7945" w14:textId="77777777" w:rsidR="007533B9" w:rsidRPr="008B3ACC" w:rsidRDefault="007533B9" w:rsidP="00F424C0">
      <w:pPr>
        <w:jc w:val="both"/>
        <w:rPr>
          <w:rFonts w:ascii="Arial" w:hAnsi="Arial" w:cs="Arial"/>
        </w:rPr>
      </w:pPr>
    </w:p>
    <w:p w14:paraId="43157B00" w14:textId="77777777" w:rsidR="007533B9" w:rsidRDefault="007533B9" w:rsidP="00F424C0">
      <w:pPr>
        <w:jc w:val="both"/>
        <w:rPr>
          <w:rFonts w:ascii="Arial" w:hAnsi="Arial" w:cs="Arial"/>
        </w:rPr>
      </w:pPr>
    </w:p>
    <w:p w14:paraId="446C87F0" w14:textId="77777777" w:rsidR="00911355" w:rsidRDefault="00911355" w:rsidP="00F424C0">
      <w:pPr>
        <w:jc w:val="both"/>
        <w:rPr>
          <w:rFonts w:ascii="Arial" w:hAnsi="Arial" w:cs="Arial"/>
        </w:rPr>
      </w:pPr>
    </w:p>
    <w:p w14:paraId="4DC1DDEE" w14:textId="77777777" w:rsidR="00911355" w:rsidRPr="008B3ACC" w:rsidRDefault="00911355" w:rsidP="00F424C0">
      <w:pPr>
        <w:jc w:val="both"/>
        <w:rPr>
          <w:rFonts w:ascii="Arial" w:hAnsi="Arial" w:cs="Arial"/>
        </w:rPr>
      </w:pPr>
    </w:p>
    <w:p w14:paraId="21A6A9B4" w14:textId="77777777" w:rsidR="007533B9" w:rsidRPr="007533B9" w:rsidRDefault="007533B9" w:rsidP="00F424C0">
      <w:pPr>
        <w:jc w:val="both"/>
        <w:rPr>
          <w:rFonts w:ascii="Arial" w:hAnsi="Arial" w:cs="Arial"/>
        </w:rPr>
      </w:pPr>
    </w:p>
    <w:p w14:paraId="31DE4058" w14:textId="77777777" w:rsidR="007533B9" w:rsidRPr="007533B9" w:rsidRDefault="007533B9" w:rsidP="00F424C0">
      <w:pPr>
        <w:jc w:val="both"/>
        <w:rPr>
          <w:rFonts w:ascii="Arial" w:hAnsi="Arial" w:cs="Arial"/>
        </w:rPr>
      </w:pPr>
      <w:r w:rsidRPr="007533B9">
        <w:rPr>
          <w:rFonts w:ascii="Arial" w:hAnsi="Arial" w:cs="Arial"/>
        </w:rPr>
        <w:t>2).</w:t>
      </w:r>
    </w:p>
    <w:p w14:paraId="365746A9" w14:textId="77777777" w:rsidR="007533B9" w:rsidRPr="007533B9" w:rsidRDefault="007533B9" w:rsidP="00F424C0">
      <w:pPr>
        <w:jc w:val="both"/>
        <w:rPr>
          <w:rFonts w:ascii="Arial" w:hAnsi="Arial" w:cs="Arial"/>
        </w:rPr>
      </w:pPr>
      <w:r w:rsidRPr="007533B9">
        <w:rPr>
          <w:rFonts w:ascii="Arial" w:hAnsi="Arial" w:cs="Arial"/>
        </w:rPr>
        <w:t>a. Strength, durability and climatic resistance</w:t>
      </w:r>
    </w:p>
    <w:p w14:paraId="4D3EA14D" w14:textId="77777777" w:rsidR="007533B9" w:rsidRPr="007533B9" w:rsidRDefault="007533B9" w:rsidP="00F424C0">
      <w:pPr>
        <w:jc w:val="both"/>
        <w:rPr>
          <w:rFonts w:ascii="Arial" w:hAnsi="Arial" w:cs="Arial"/>
        </w:rPr>
      </w:pPr>
      <w:r w:rsidRPr="007533B9">
        <w:rPr>
          <w:rFonts w:ascii="Arial" w:hAnsi="Arial" w:cs="Arial"/>
        </w:rPr>
        <w:t>Exposed concrete frames are not good insulators. Cavity walls and ceilings were likely not included in Trellick Tower’s design, as this is impractical with concrete frames, especially ones poured and set on site. This is due to the mass of concrete, the labour required, and the fact that concrete does not perform well under tension. However, the concrete frame does have advantages. Concrete is fireproof, so no additional fireproofing is needed. In</w:t>
      </w:r>
      <w:r w:rsidRPr="007533B9">
        <w:rPr>
          <w:rFonts w:ascii="Arial" w:hAnsi="Arial" w:cs="Arial"/>
        </w:rPr>
        <w:noBreakHyphen/>
        <w:t>situ concrete has far fewer joints than precast concrete because it can be poured into larger moulds without needing transportation. Joints can create natural structural weaknesses because stress may concentrate at these points. Concrete does not have a high strength</w:t>
      </w:r>
      <w:r w:rsidRPr="007533B9">
        <w:rPr>
          <w:rFonts w:ascii="Arial" w:hAnsi="Arial" w:cs="Arial"/>
        </w:rPr>
        <w:noBreakHyphen/>
        <w:t>to</w:t>
      </w:r>
      <w:r w:rsidRPr="007533B9">
        <w:rPr>
          <w:rFonts w:ascii="Arial" w:hAnsi="Arial" w:cs="Arial"/>
        </w:rPr>
        <w:noBreakHyphen/>
        <w:t>weight ratio compared to steel. It is also not waterproof, as it is porous, so the frame could experience damp, mould or mildew if not treated during its lifespan. Water seeping into the concrete may reduce its structural integrity over time. Since Trellick Tower is regularly exposed to rainfall, this should be considered by those responsible for maintaining the building.</w:t>
      </w:r>
    </w:p>
    <w:p w14:paraId="76BEF3FE" w14:textId="77777777" w:rsidR="007533B9" w:rsidRPr="007533B9" w:rsidRDefault="007533B9" w:rsidP="00F424C0">
      <w:pPr>
        <w:jc w:val="both"/>
        <w:rPr>
          <w:rFonts w:ascii="Arial" w:hAnsi="Arial" w:cs="Arial"/>
        </w:rPr>
      </w:pPr>
      <w:r w:rsidRPr="007533B9">
        <w:rPr>
          <w:rFonts w:ascii="Arial" w:hAnsi="Arial" w:cs="Arial"/>
        </w:rPr>
        <w:t>b. Time, labour, programme and cost compared to steel framing</w:t>
      </w:r>
    </w:p>
    <w:p w14:paraId="16A33C21" w14:textId="77777777" w:rsidR="007533B9" w:rsidRPr="007533B9" w:rsidRDefault="007533B9" w:rsidP="00F424C0">
      <w:pPr>
        <w:jc w:val="both"/>
        <w:rPr>
          <w:rFonts w:ascii="Arial" w:hAnsi="Arial" w:cs="Arial"/>
        </w:rPr>
      </w:pPr>
      <w:r w:rsidRPr="007533B9">
        <w:rPr>
          <w:rFonts w:ascii="Arial" w:hAnsi="Arial" w:cs="Arial"/>
        </w:rPr>
        <w:t>In</w:t>
      </w:r>
      <w:r w:rsidRPr="007533B9">
        <w:rPr>
          <w:rFonts w:ascii="Arial" w:hAnsi="Arial" w:cs="Arial"/>
        </w:rPr>
        <w:noBreakHyphen/>
        <w:t>situ concrete can be more labour</w:t>
      </w:r>
      <w:r w:rsidRPr="007533B9">
        <w:rPr>
          <w:rFonts w:ascii="Arial" w:hAnsi="Arial" w:cs="Arial"/>
        </w:rPr>
        <w:noBreakHyphen/>
        <w:t>intensive than precast concrete or steel framing, and the process takes longer because the concrete must be poured and allowed to set onsite. Concrete is easy to mould onsite as long as the formwork can be built. Construction is less dependent on weather conditions because concrete sets at room temperature and is water</w:t>
      </w:r>
      <w:r w:rsidRPr="007533B9">
        <w:rPr>
          <w:rFonts w:ascii="Arial" w:hAnsi="Arial" w:cs="Arial"/>
        </w:rPr>
        <w:noBreakHyphen/>
        <w:t>resistant, which is an advantage in the colder and wetter climate of the UK. Concrete can be cheaper than steel because it is more energy</w:t>
      </w:r>
      <w:r w:rsidRPr="007533B9">
        <w:rPr>
          <w:rFonts w:ascii="Arial" w:hAnsi="Arial" w:cs="Arial"/>
        </w:rPr>
        <w:noBreakHyphen/>
        <w:t>efficient to produce and can include recycled or waste materials, although this was less common when Trellick Tower was built. Concrete mixes must be monitored onsite, which adds tasks for the site team and may cause delays if issues arise. However, if crane access is limited or space for storing steel beams is unavailable, concrete framing can be advantageous because the materials take up less space and may require less plant.</w:t>
      </w:r>
    </w:p>
    <w:p w14:paraId="0F468459" w14:textId="77777777" w:rsidR="007533B9" w:rsidRPr="007533B9" w:rsidRDefault="007533B9" w:rsidP="00F424C0">
      <w:pPr>
        <w:jc w:val="both"/>
        <w:rPr>
          <w:rFonts w:ascii="Arial" w:hAnsi="Arial" w:cs="Arial"/>
        </w:rPr>
      </w:pPr>
      <w:r w:rsidRPr="007533B9">
        <w:rPr>
          <w:rFonts w:ascii="Arial" w:hAnsi="Arial" w:cs="Arial"/>
        </w:rPr>
        <w:t>c. Ease of assembly and potential for adaptation</w:t>
      </w:r>
    </w:p>
    <w:p w14:paraId="1F501351" w14:textId="77777777" w:rsidR="007533B9" w:rsidRPr="007533B9" w:rsidRDefault="007533B9" w:rsidP="00F424C0">
      <w:pPr>
        <w:jc w:val="both"/>
        <w:rPr>
          <w:rFonts w:ascii="Arial" w:hAnsi="Arial" w:cs="Arial"/>
        </w:rPr>
      </w:pPr>
      <w:r w:rsidRPr="007533B9">
        <w:rPr>
          <w:rFonts w:ascii="Arial" w:hAnsi="Arial" w:cs="Arial"/>
        </w:rPr>
        <w:t>Continuous concrete frames are difficult to adjust after construction because altering the building shape may require large parts of the frame to be modified. In contrast, modular steel frames can often be adjusted more easily. Concrete frames are heavy and have a lower strength</w:t>
      </w:r>
      <w:r w:rsidRPr="007533B9">
        <w:rPr>
          <w:rFonts w:ascii="Arial" w:hAnsi="Arial" w:cs="Arial"/>
        </w:rPr>
        <w:noBreakHyphen/>
        <w:t>to</w:t>
      </w:r>
      <w:r w:rsidRPr="007533B9">
        <w:rPr>
          <w:rFonts w:ascii="Arial" w:hAnsi="Arial" w:cs="Arial"/>
        </w:rPr>
        <w:noBreakHyphen/>
        <w:t>weight ratio than steel, so changes to the structure can have a much larger impact on overall stability, meaning structural changes need to be considered very carefully.</w:t>
      </w:r>
    </w:p>
    <w:p w14:paraId="5E01BAC1" w14:textId="77777777" w:rsidR="007533B9" w:rsidRPr="007533B9" w:rsidRDefault="007533B9" w:rsidP="00F424C0">
      <w:pPr>
        <w:jc w:val="both"/>
        <w:rPr>
          <w:rFonts w:ascii="Arial" w:hAnsi="Arial" w:cs="Arial"/>
        </w:rPr>
      </w:pPr>
      <w:r w:rsidRPr="007533B9">
        <w:rPr>
          <w:rFonts w:ascii="Arial" w:hAnsi="Arial" w:cs="Arial"/>
        </w:rPr>
        <w:t>d. Integration of services</w:t>
      </w:r>
    </w:p>
    <w:p w14:paraId="6014AD70" w14:textId="258631F2" w:rsidR="00B44DB4" w:rsidRPr="00B44DB4" w:rsidRDefault="007533B9" w:rsidP="00B44DB4">
      <w:pPr>
        <w:jc w:val="both"/>
        <w:rPr>
          <w:rFonts w:ascii="Arial" w:hAnsi="Arial" w:cs="Arial"/>
        </w:rPr>
      </w:pPr>
      <w:r w:rsidRPr="007533B9">
        <w:rPr>
          <w:rFonts w:ascii="Arial" w:hAnsi="Arial" w:cs="Arial"/>
        </w:rPr>
        <w:lastRenderedPageBreak/>
        <w:t>Trellick Tower has a separate tower dedicated to service provision. This reduced the need for water pumps and limited the amount of pipework required. Concrete frames typically have lower ceilings than steel frames to reduce stress, which leaves less space for services. Services can be cast into the concrete, but this makes future maintenance difficult and may require backup systems, increasing construction costs.</w:t>
      </w:r>
      <w:r w:rsidR="00B44DB4" w:rsidRPr="00B44DB4">
        <w:rPr>
          <w:rFonts w:ascii="Times New Roman" w:eastAsia="Times New Roman" w:hAnsi="Times New Roman" w:cs="Times New Roman"/>
          <w:kern w:val="0"/>
          <w:lang w:eastAsia="en-GB"/>
          <w14:ligatures w14:val="none"/>
        </w:rPr>
        <w:t xml:space="preserve"> </w:t>
      </w:r>
      <w:r w:rsidR="00B44DB4" w:rsidRPr="00B44DB4">
        <w:rPr>
          <w:rFonts w:ascii="Arial" w:hAnsi="Arial" w:cs="Arial"/>
        </w:rPr>
        <w:t>(Concrete Society, 2025)</w:t>
      </w:r>
    </w:p>
    <w:p w14:paraId="03665E07" w14:textId="144E93BB" w:rsidR="007533B9" w:rsidRPr="007533B9" w:rsidRDefault="007533B9" w:rsidP="00F424C0">
      <w:pPr>
        <w:jc w:val="both"/>
        <w:rPr>
          <w:rFonts w:ascii="Arial" w:hAnsi="Arial" w:cs="Arial"/>
        </w:rPr>
      </w:pPr>
    </w:p>
    <w:p w14:paraId="0931D2D7" w14:textId="77777777" w:rsidR="007533B9" w:rsidRPr="007533B9" w:rsidRDefault="007533B9" w:rsidP="00F424C0">
      <w:pPr>
        <w:jc w:val="both"/>
        <w:rPr>
          <w:rFonts w:ascii="Arial" w:hAnsi="Arial" w:cs="Arial"/>
        </w:rPr>
      </w:pPr>
      <w:r w:rsidRPr="007533B9">
        <w:rPr>
          <w:rFonts w:ascii="Arial" w:hAnsi="Arial" w:cs="Arial"/>
        </w:rPr>
        <w:t>e. Demolition challenges</w:t>
      </w:r>
    </w:p>
    <w:p w14:paraId="57724098" w14:textId="77777777" w:rsidR="007533B9" w:rsidRPr="007533B9" w:rsidRDefault="007533B9" w:rsidP="00F424C0">
      <w:pPr>
        <w:jc w:val="both"/>
        <w:rPr>
          <w:rFonts w:ascii="Arial" w:hAnsi="Arial" w:cs="Arial"/>
        </w:rPr>
      </w:pPr>
      <w:r w:rsidRPr="007533B9">
        <w:rPr>
          <w:rFonts w:ascii="Arial" w:hAnsi="Arial" w:cs="Arial"/>
        </w:rPr>
        <w:t>Since Trellick Tower was built during a period when asbestos was commonly used, asbestos fibres may be present in the concrete, complicating demolition if airborne levels exceed permitted limits. The reinforced concrete frame would need to be broken down so that the embedded steel reinforcement can be removed. This process requires heavy plant and can be time</w:t>
      </w:r>
      <w:r w:rsidRPr="007533B9">
        <w:rPr>
          <w:rFonts w:ascii="Arial" w:hAnsi="Arial" w:cs="Arial"/>
        </w:rPr>
        <w:noBreakHyphen/>
        <w:t>consuming. The services tower presents additional challenges because heavy equipment like boilers and water tanks at the top must be removed before demolition, often requiring work at height, hot works, or cranes. The services tower may rely on the main tower for stability, so both structures may need to be demolished simultaneously. Due to the tower’s height, explosive demolition would likely be required. This would involve a complex pre</w:t>
      </w:r>
      <w:r w:rsidRPr="007533B9">
        <w:rPr>
          <w:rFonts w:ascii="Arial" w:hAnsi="Arial" w:cs="Arial"/>
        </w:rPr>
        <w:noBreakHyphen/>
        <w:t>weakening process to ensure the tower falls safely. The resulting debris would need to be processed by heavy plant, creating noise, dust, and vibration that could affect nearby residents.</w:t>
      </w:r>
    </w:p>
    <w:p w14:paraId="5524F3CA" w14:textId="11C932EA" w:rsidR="007533B9" w:rsidRPr="007533B9" w:rsidRDefault="007533B9" w:rsidP="00F424C0">
      <w:pPr>
        <w:jc w:val="both"/>
        <w:rPr>
          <w:rFonts w:ascii="Arial" w:hAnsi="Arial" w:cs="Arial"/>
        </w:rPr>
      </w:pPr>
    </w:p>
    <w:p w14:paraId="4FE5BD51" w14:textId="6EA3D913" w:rsidR="007533B9" w:rsidRPr="007533B9" w:rsidRDefault="007533B9" w:rsidP="00F424C0">
      <w:pPr>
        <w:jc w:val="both"/>
        <w:rPr>
          <w:rFonts w:ascii="Arial" w:hAnsi="Arial" w:cs="Arial"/>
        </w:rPr>
      </w:pPr>
      <w:r w:rsidRPr="007533B9">
        <w:rPr>
          <w:rFonts w:ascii="Arial" w:hAnsi="Arial" w:cs="Arial"/>
        </w:rPr>
        <w:t>3). Concrete production significantly impacts the environment. Raw materials such as limestone must be mined and quarried, a process that uses heavy machinery and produces high CO</w:t>
      </w:r>
      <w:r w:rsidRPr="007533B9">
        <w:rPr>
          <w:rFonts w:ascii="Cambria Math" w:hAnsi="Cambria Math" w:cs="Cambria Math"/>
        </w:rPr>
        <w:t>₂</w:t>
      </w:r>
      <w:r w:rsidRPr="007533B9">
        <w:rPr>
          <w:rFonts w:ascii="Arial" w:hAnsi="Arial" w:cs="Arial"/>
        </w:rPr>
        <w:t xml:space="preserve"> emissions.</w:t>
      </w:r>
      <w:r w:rsidR="00856D47" w:rsidRPr="00856D47">
        <w:rPr>
          <w:rFonts w:ascii="Times New Roman" w:eastAsia="Times New Roman" w:hAnsi="Times New Roman" w:cs="Times New Roman"/>
          <w:kern w:val="0"/>
          <w:lang w:eastAsia="en-GB"/>
          <w14:ligatures w14:val="none"/>
        </w:rPr>
        <w:t xml:space="preserve"> </w:t>
      </w:r>
      <w:r w:rsidR="00856D47" w:rsidRPr="00856D47">
        <w:rPr>
          <w:rFonts w:ascii="Arial" w:hAnsi="Arial" w:cs="Arial"/>
        </w:rPr>
        <w:t>(UK Green Building Council, n.d.)</w:t>
      </w:r>
      <w:r w:rsidRPr="007533B9">
        <w:rPr>
          <w:rFonts w:ascii="Arial" w:hAnsi="Arial" w:cs="Arial"/>
        </w:rPr>
        <w:t xml:space="preserve"> Quarrying can destroy habitats, disrupt wildlife, and alter the natural landscape. Soil and vegetation may be affected, potentially causing erosion and increasing the risk of polluted water runoff reaching nearby ecosystems.</w:t>
      </w:r>
      <w:r w:rsidR="00EB6930" w:rsidRPr="00EB6930">
        <w:rPr>
          <w:rFonts w:ascii="Times New Roman" w:eastAsia="Times New Roman" w:hAnsi="Times New Roman" w:cs="Times New Roman"/>
          <w:kern w:val="0"/>
          <w:lang w:eastAsia="en-GB"/>
          <w14:ligatures w14:val="none"/>
        </w:rPr>
        <w:t xml:space="preserve"> </w:t>
      </w:r>
      <w:r w:rsidR="00EB6930" w:rsidRPr="00EB6930">
        <w:rPr>
          <w:rFonts w:ascii="Arial" w:hAnsi="Arial" w:cs="Arial"/>
        </w:rPr>
        <w:t>(Bob, 2025)</w:t>
      </w:r>
    </w:p>
    <w:p w14:paraId="3B9CAB96" w14:textId="6F8FBBCA" w:rsidR="007533B9" w:rsidRPr="007533B9" w:rsidRDefault="007533B9" w:rsidP="00F424C0">
      <w:pPr>
        <w:jc w:val="both"/>
        <w:rPr>
          <w:rFonts w:ascii="Arial" w:hAnsi="Arial" w:cs="Arial"/>
        </w:rPr>
      </w:pPr>
      <w:r w:rsidRPr="007533B9">
        <w:rPr>
          <w:rFonts w:ascii="Arial" w:hAnsi="Arial" w:cs="Arial"/>
        </w:rPr>
        <w:t>After extraction, the materials are used to produce cement. Cement production is extremely energy</w:t>
      </w:r>
      <w:r w:rsidRPr="007533B9">
        <w:rPr>
          <w:rFonts w:ascii="Arial" w:hAnsi="Arial" w:cs="Arial"/>
        </w:rPr>
        <w:noBreakHyphen/>
        <w:t>intensive because the material must be heated in a kiln, producing large amounts of carbon emissions and waste products such as slag. Cooling the cement also requires large quantities of water. Rapid urbanisation driven by concrete construction can further disrupt wildlife that cannot adapt quickly enough to changes in habitat.</w:t>
      </w:r>
      <w:r w:rsidR="009D66E2" w:rsidRPr="009D66E2">
        <w:rPr>
          <w:rFonts w:ascii="Times New Roman" w:eastAsia="Times New Roman" w:hAnsi="Times New Roman" w:cs="Times New Roman"/>
          <w:kern w:val="0"/>
          <w:lang w:eastAsia="en-GB"/>
          <w14:ligatures w14:val="none"/>
        </w:rPr>
        <w:t xml:space="preserve"> </w:t>
      </w:r>
      <w:r w:rsidR="009D66E2" w:rsidRPr="009D66E2">
        <w:rPr>
          <w:rFonts w:ascii="Arial" w:hAnsi="Arial" w:cs="Arial"/>
        </w:rPr>
        <w:t>(Bandera, 2024)</w:t>
      </w:r>
    </w:p>
    <w:p w14:paraId="094ACA37" w14:textId="33719BEF" w:rsidR="00521159" w:rsidRDefault="007533B9" w:rsidP="00F424C0">
      <w:pPr>
        <w:jc w:val="both"/>
        <w:rPr>
          <w:rFonts w:ascii="Arial" w:hAnsi="Arial" w:cs="Arial"/>
        </w:rPr>
      </w:pPr>
      <w:r w:rsidRPr="007533B9">
        <w:rPr>
          <w:rFonts w:ascii="Arial" w:hAnsi="Arial" w:cs="Arial"/>
        </w:rPr>
        <w:t>Communities near quarries or cement plants often experience increased traffic, dust and pollution, which can worsen local air and water quality. This may contribute to health issues, including respiratory problems.</w:t>
      </w:r>
    </w:p>
    <w:p w14:paraId="3E70C300" w14:textId="77777777" w:rsidR="00911355" w:rsidRDefault="00911355" w:rsidP="00F424C0">
      <w:pPr>
        <w:jc w:val="both"/>
        <w:rPr>
          <w:rFonts w:ascii="Arial" w:hAnsi="Arial" w:cs="Arial"/>
        </w:rPr>
      </w:pPr>
    </w:p>
    <w:p w14:paraId="1A0C9F9A" w14:textId="77777777" w:rsidR="00911355" w:rsidRDefault="00911355" w:rsidP="00F424C0">
      <w:pPr>
        <w:jc w:val="both"/>
        <w:rPr>
          <w:rFonts w:ascii="Arial" w:hAnsi="Arial" w:cs="Arial"/>
        </w:rPr>
      </w:pPr>
    </w:p>
    <w:p w14:paraId="2BEC8EAD" w14:textId="77777777" w:rsidR="00911355" w:rsidRDefault="00911355" w:rsidP="00F424C0">
      <w:pPr>
        <w:jc w:val="both"/>
        <w:rPr>
          <w:rFonts w:ascii="Arial" w:hAnsi="Arial" w:cs="Arial"/>
        </w:rPr>
      </w:pPr>
    </w:p>
    <w:p w14:paraId="4BD9AD21" w14:textId="77777777" w:rsidR="00911355" w:rsidRDefault="00911355" w:rsidP="00F424C0">
      <w:pPr>
        <w:jc w:val="both"/>
        <w:rPr>
          <w:rFonts w:ascii="Arial" w:hAnsi="Arial" w:cs="Arial"/>
        </w:rPr>
      </w:pPr>
    </w:p>
    <w:p w14:paraId="69B4F2B4" w14:textId="77777777" w:rsidR="00911355" w:rsidRPr="008B3ACC" w:rsidRDefault="00911355" w:rsidP="00F424C0">
      <w:pPr>
        <w:jc w:val="both"/>
        <w:rPr>
          <w:rFonts w:ascii="Arial" w:hAnsi="Arial" w:cs="Arial"/>
        </w:rPr>
      </w:pPr>
    </w:p>
    <w:p w14:paraId="19C68D91" w14:textId="77777777" w:rsidR="007533B9" w:rsidRPr="008B3ACC" w:rsidRDefault="007533B9" w:rsidP="00F424C0">
      <w:pPr>
        <w:jc w:val="both"/>
        <w:rPr>
          <w:rFonts w:ascii="Arial" w:hAnsi="Arial" w:cs="Arial"/>
          <w:b/>
          <w:bCs/>
        </w:rPr>
      </w:pPr>
    </w:p>
    <w:p w14:paraId="476DD18C" w14:textId="763280FE" w:rsidR="007952FE" w:rsidRPr="008B3ACC" w:rsidRDefault="00521159" w:rsidP="00F424C0">
      <w:pPr>
        <w:jc w:val="both"/>
        <w:rPr>
          <w:rFonts w:ascii="Arial" w:hAnsi="Arial" w:cs="Arial"/>
          <w:b/>
          <w:bCs/>
        </w:rPr>
      </w:pPr>
      <w:r w:rsidRPr="00521159">
        <w:rPr>
          <w:rFonts w:ascii="Arial" w:hAnsi="Arial" w:cs="Arial"/>
          <w:b/>
          <w:bCs/>
        </w:rPr>
        <w:t>     4).</w:t>
      </w:r>
      <w:r w:rsidRPr="00521159">
        <w:rPr>
          <w:rFonts w:ascii="Arial" w:hAnsi="Arial" w:cs="Arial"/>
        </w:rPr>
        <w:t> </w:t>
      </w:r>
      <w:r w:rsidR="007952FE" w:rsidRPr="008B3ACC">
        <w:rPr>
          <w:rFonts w:ascii="Arial" w:hAnsi="Arial" w:cs="Arial"/>
          <w:b/>
          <w:bCs/>
        </w:rPr>
        <w:t>a.)</w:t>
      </w:r>
    </w:p>
    <w:p w14:paraId="131A621C" w14:textId="77777777" w:rsidR="007952FE" w:rsidRPr="008B3ACC" w:rsidRDefault="007952FE" w:rsidP="00F424C0">
      <w:pPr>
        <w:jc w:val="both"/>
        <w:rPr>
          <w:rFonts w:ascii="Arial" w:hAnsi="Arial" w:cs="Arial"/>
        </w:rPr>
      </w:pPr>
    </w:p>
    <w:tbl>
      <w:tblPr>
        <w:tblW w:w="4980" w:type="dxa"/>
        <w:tblInd w:w="7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5"/>
        <w:gridCol w:w="1185"/>
        <w:gridCol w:w="1110"/>
        <w:gridCol w:w="1470"/>
      </w:tblGrid>
      <w:tr w:rsidR="00521159" w:rsidRPr="00521159" w14:paraId="0B2A6CCB" w14:textId="77777777" w:rsidTr="007952FE">
        <w:trPr>
          <w:trHeight w:val="555"/>
        </w:trPr>
        <w:tc>
          <w:tcPr>
            <w:tcW w:w="1215" w:type="dxa"/>
            <w:tcBorders>
              <w:top w:val="single" w:sz="6" w:space="0" w:color="auto"/>
              <w:left w:val="single" w:sz="6" w:space="0" w:color="auto"/>
              <w:bottom w:val="single" w:sz="6" w:space="0" w:color="auto"/>
              <w:right w:val="single" w:sz="6" w:space="0" w:color="auto"/>
            </w:tcBorders>
            <w:hideMark/>
          </w:tcPr>
          <w:p w14:paraId="2F696E66" w14:textId="77777777" w:rsidR="00521159" w:rsidRPr="00521159" w:rsidRDefault="00521159" w:rsidP="00F424C0">
            <w:pPr>
              <w:jc w:val="both"/>
              <w:rPr>
                <w:rFonts w:ascii="Arial" w:hAnsi="Arial" w:cs="Arial"/>
              </w:rPr>
            </w:pPr>
            <w:r w:rsidRPr="00521159">
              <w:rPr>
                <w:rFonts w:ascii="Arial" w:hAnsi="Arial" w:cs="Arial"/>
              </w:rPr>
              <w:t>Sieve Size (mm) </w:t>
            </w:r>
          </w:p>
        </w:tc>
        <w:tc>
          <w:tcPr>
            <w:tcW w:w="1185" w:type="dxa"/>
            <w:tcBorders>
              <w:top w:val="single" w:sz="6" w:space="0" w:color="auto"/>
              <w:left w:val="single" w:sz="6" w:space="0" w:color="auto"/>
              <w:bottom w:val="single" w:sz="6" w:space="0" w:color="auto"/>
              <w:right w:val="single" w:sz="6" w:space="0" w:color="auto"/>
            </w:tcBorders>
            <w:hideMark/>
          </w:tcPr>
          <w:p w14:paraId="7ABD1DB0" w14:textId="77777777" w:rsidR="00521159" w:rsidRPr="00521159" w:rsidRDefault="00521159" w:rsidP="00F424C0">
            <w:pPr>
              <w:jc w:val="both"/>
              <w:rPr>
                <w:rFonts w:ascii="Arial" w:hAnsi="Arial" w:cs="Arial"/>
              </w:rPr>
            </w:pPr>
            <w:r w:rsidRPr="00521159">
              <w:rPr>
                <w:rFonts w:ascii="Arial" w:hAnsi="Arial" w:cs="Arial"/>
              </w:rPr>
              <w:t>Mass(g) </w:t>
            </w:r>
          </w:p>
        </w:tc>
        <w:tc>
          <w:tcPr>
            <w:tcW w:w="1110" w:type="dxa"/>
            <w:tcBorders>
              <w:top w:val="single" w:sz="6" w:space="0" w:color="auto"/>
              <w:left w:val="single" w:sz="6" w:space="0" w:color="auto"/>
              <w:bottom w:val="single" w:sz="6" w:space="0" w:color="auto"/>
              <w:right w:val="single" w:sz="6" w:space="0" w:color="auto"/>
            </w:tcBorders>
            <w:hideMark/>
          </w:tcPr>
          <w:p w14:paraId="4428D296" w14:textId="77777777" w:rsidR="00521159" w:rsidRPr="00521159" w:rsidRDefault="00521159" w:rsidP="00F424C0">
            <w:pPr>
              <w:jc w:val="both"/>
              <w:rPr>
                <w:rFonts w:ascii="Arial" w:hAnsi="Arial" w:cs="Arial"/>
              </w:rPr>
            </w:pPr>
            <w:r w:rsidRPr="00521159">
              <w:rPr>
                <w:rFonts w:ascii="Arial" w:hAnsi="Arial" w:cs="Arial"/>
              </w:rPr>
              <w:t>% on sieve </w:t>
            </w:r>
          </w:p>
        </w:tc>
        <w:tc>
          <w:tcPr>
            <w:tcW w:w="1470" w:type="dxa"/>
            <w:tcBorders>
              <w:top w:val="single" w:sz="6" w:space="0" w:color="auto"/>
              <w:left w:val="single" w:sz="6" w:space="0" w:color="auto"/>
              <w:bottom w:val="single" w:sz="6" w:space="0" w:color="auto"/>
              <w:right w:val="single" w:sz="6" w:space="0" w:color="auto"/>
            </w:tcBorders>
            <w:hideMark/>
          </w:tcPr>
          <w:p w14:paraId="6D23A2D3" w14:textId="77777777" w:rsidR="00521159" w:rsidRPr="00521159" w:rsidRDefault="00521159" w:rsidP="00F424C0">
            <w:pPr>
              <w:jc w:val="both"/>
              <w:rPr>
                <w:rFonts w:ascii="Arial" w:hAnsi="Arial" w:cs="Arial"/>
              </w:rPr>
            </w:pPr>
            <w:r w:rsidRPr="00521159">
              <w:rPr>
                <w:rFonts w:ascii="Arial" w:hAnsi="Arial" w:cs="Arial"/>
              </w:rPr>
              <w:t>% Passing </w:t>
            </w:r>
          </w:p>
        </w:tc>
      </w:tr>
      <w:tr w:rsidR="00521159" w:rsidRPr="00521159" w14:paraId="05C71A56" w14:textId="77777777" w:rsidTr="007952FE">
        <w:trPr>
          <w:trHeight w:val="285"/>
        </w:trPr>
        <w:tc>
          <w:tcPr>
            <w:tcW w:w="1215" w:type="dxa"/>
            <w:tcBorders>
              <w:top w:val="single" w:sz="6" w:space="0" w:color="auto"/>
              <w:left w:val="single" w:sz="6" w:space="0" w:color="auto"/>
              <w:bottom w:val="single" w:sz="6" w:space="0" w:color="auto"/>
              <w:right w:val="single" w:sz="6" w:space="0" w:color="auto"/>
            </w:tcBorders>
            <w:hideMark/>
          </w:tcPr>
          <w:p w14:paraId="759C7033" w14:textId="77777777" w:rsidR="00521159" w:rsidRPr="00521159" w:rsidRDefault="00521159" w:rsidP="00F424C0">
            <w:pPr>
              <w:jc w:val="both"/>
              <w:rPr>
                <w:rFonts w:ascii="Arial" w:hAnsi="Arial" w:cs="Arial"/>
              </w:rPr>
            </w:pPr>
            <w:r w:rsidRPr="00521159">
              <w:rPr>
                <w:rFonts w:ascii="Arial" w:hAnsi="Arial" w:cs="Arial"/>
              </w:rPr>
              <w:t>125 </w:t>
            </w:r>
          </w:p>
        </w:tc>
        <w:tc>
          <w:tcPr>
            <w:tcW w:w="1185" w:type="dxa"/>
            <w:tcBorders>
              <w:top w:val="single" w:sz="6" w:space="0" w:color="auto"/>
              <w:left w:val="single" w:sz="6" w:space="0" w:color="auto"/>
              <w:bottom w:val="single" w:sz="6" w:space="0" w:color="auto"/>
              <w:right w:val="single" w:sz="6" w:space="0" w:color="auto"/>
            </w:tcBorders>
            <w:hideMark/>
          </w:tcPr>
          <w:p w14:paraId="0D89472C" w14:textId="77777777" w:rsidR="00521159" w:rsidRPr="00521159" w:rsidRDefault="00521159" w:rsidP="00F424C0">
            <w:pPr>
              <w:jc w:val="both"/>
              <w:rPr>
                <w:rFonts w:ascii="Arial" w:hAnsi="Arial" w:cs="Arial"/>
              </w:rPr>
            </w:pPr>
            <w:r w:rsidRPr="00521159">
              <w:rPr>
                <w:rFonts w:ascii="Arial" w:hAnsi="Arial" w:cs="Arial"/>
              </w:rPr>
              <w:t>0 </w:t>
            </w:r>
          </w:p>
        </w:tc>
        <w:tc>
          <w:tcPr>
            <w:tcW w:w="1110" w:type="dxa"/>
            <w:tcBorders>
              <w:top w:val="single" w:sz="6" w:space="0" w:color="auto"/>
              <w:left w:val="single" w:sz="6" w:space="0" w:color="auto"/>
              <w:bottom w:val="single" w:sz="6" w:space="0" w:color="auto"/>
              <w:right w:val="single" w:sz="6" w:space="0" w:color="auto"/>
            </w:tcBorders>
            <w:hideMark/>
          </w:tcPr>
          <w:p w14:paraId="667C1329" w14:textId="77777777" w:rsidR="00521159" w:rsidRPr="00521159" w:rsidRDefault="00521159" w:rsidP="00F424C0">
            <w:pPr>
              <w:jc w:val="both"/>
              <w:rPr>
                <w:rFonts w:ascii="Arial" w:hAnsi="Arial" w:cs="Arial"/>
              </w:rPr>
            </w:pPr>
            <w:r w:rsidRPr="00521159">
              <w:rPr>
                <w:rFonts w:ascii="Arial" w:hAnsi="Arial" w:cs="Arial"/>
              </w:rPr>
              <w:t>0 </w:t>
            </w:r>
          </w:p>
        </w:tc>
        <w:tc>
          <w:tcPr>
            <w:tcW w:w="1470" w:type="dxa"/>
            <w:tcBorders>
              <w:top w:val="single" w:sz="6" w:space="0" w:color="auto"/>
              <w:left w:val="single" w:sz="6" w:space="0" w:color="auto"/>
              <w:bottom w:val="single" w:sz="6" w:space="0" w:color="auto"/>
              <w:right w:val="single" w:sz="6" w:space="0" w:color="auto"/>
            </w:tcBorders>
            <w:hideMark/>
          </w:tcPr>
          <w:p w14:paraId="40F8043B" w14:textId="77777777" w:rsidR="00521159" w:rsidRPr="00521159" w:rsidRDefault="00521159" w:rsidP="00F424C0">
            <w:pPr>
              <w:jc w:val="both"/>
              <w:rPr>
                <w:rFonts w:ascii="Arial" w:hAnsi="Arial" w:cs="Arial"/>
              </w:rPr>
            </w:pPr>
            <w:r w:rsidRPr="00521159">
              <w:rPr>
                <w:rFonts w:ascii="Arial" w:hAnsi="Arial" w:cs="Arial"/>
              </w:rPr>
              <w:t>100 </w:t>
            </w:r>
          </w:p>
        </w:tc>
      </w:tr>
      <w:tr w:rsidR="00521159" w:rsidRPr="00521159" w14:paraId="475AB678" w14:textId="77777777" w:rsidTr="007952FE">
        <w:trPr>
          <w:trHeight w:val="270"/>
        </w:trPr>
        <w:tc>
          <w:tcPr>
            <w:tcW w:w="1215" w:type="dxa"/>
            <w:tcBorders>
              <w:top w:val="single" w:sz="6" w:space="0" w:color="auto"/>
              <w:left w:val="single" w:sz="6" w:space="0" w:color="auto"/>
              <w:bottom w:val="single" w:sz="6" w:space="0" w:color="auto"/>
              <w:right w:val="single" w:sz="6" w:space="0" w:color="auto"/>
            </w:tcBorders>
            <w:hideMark/>
          </w:tcPr>
          <w:p w14:paraId="424A12FC" w14:textId="77777777" w:rsidR="00521159" w:rsidRPr="00521159" w:rsidRDefault="00521159" w:rsidP="00F424C0">
            <w:pPr>
              <w:jc w:val="both"/>
              <w:rPr>
                <w:rFonts w:ascii="Arial" w:hAnsi="Arial" w:cs="Arial"/>
              </w:rPr>
            </w:pPr>
            <w:r w:rsidRPr="00521159">
              <w:rPr>
                <w:rFonts w:ascii="Arial" w:hAnsi="Arial" w:cs="Arial"/>
              </w:rPr>
              <w:t>75 </w:t>
            </w:r>
          </w:p>
        </w:tc>
        <w:tc>
          <w:tcPr>
            <w:tcW w:w="1185" w:type="dxa"/>
            <w:tcBorders>
              <w:top w:val="single" w:sz="6" w:space="0" w:color="auto"/>
              <w:left w:val="single" w:sz="6" w:space="0" w:color="auto"/>
              <w:bottom w:val="single" w:sz="6" w:space="0" w:color="auto"/>
              <w:right w:val="single" w:sz="6" w:space="0" w:color="auto"/>
            </w:tcBorders>
            <w:hideMark/>
          </w:tcPr>
          <w:p w14:paraId="2EC71ACD" w14:textId="77777777" w:rsidR="00521159" w:rsidRPr="00521159" w:rsidRDefault="00521159" w:rsidP="00F424C0">
            <w:pPr>
              <w:jc w:val="both"/>
              <w:rPr>
                <w:rFonts w:ascii="Arial" w:hAnsi="Arial" w:cs="Arial"/>
              </w:rPr>
            </w:pPr>
            <w:r w:rsidRPr="00521159">
              <w:rPr>
                <w:rFonts w:ascii="Arial" w:hAnsi="Arial" w:cs="Arial"/>
              </w:rPr>
              <w:t>0 </w:t>
            </w:r>
          </w:p>
        </w:tc>
        <w:tc>
          <w:tcPr>
            <w:tcW w:w="1110" w:type="dxa"/>
            <w:tcBorders>
              <w:top w:val="single" w:sz="6" w:space="0" w:color="auto"/>
              <w:left w:val="single" w:sz="6" w:space="0" w:color="auto"/>
              <w:bottom w:val="single" w:sz="6" w:space="0" w:color="auto"/>
              <w:right w:val="single" w:sz="6" w:space="0" w:color="auto"/>
            </w:tcBorders>
            <w:hideMark/>
          </w:tcPr>
          <w:p w14:paraId="275BE85E" w14:textId="77777777" w:rsidR="00521159" w:rsidRPr="00521159" w:rsidRDefault="00521159" w:rsidP="00F424C0">
            <w:pPr>
              <w:jc w:val="both"/>
              <w:rPr>
                <w:rFonts w:ascii="Arial" w:hAnsi="Arial" w:cs="Arial"/>
              </w:rPr>
            </w:pPr>
            <w:r w:rsidRPr="00521159">
              <w:rPr>
                <w:rFonts w:ascii="Arial" w:hAnsi="Arial" w:cs="Arial"/>
              </w:rPr>
              <w:t>0 </w:t>
            </w:r>
          </w:p>
        </w:tc>
        <w:tc>
          <w:tcPr>
            <w:tcW w:w="1470" w:type="dxa"/>
            <w:tcBorders>
              <w:top w:val="single" w:sz="6" w:space="0" w:color="auto"/>
              <w:left w:val="single" w:sz="6" w:space="0" w:color="auto"/>
              <w:bottom w:val="single" w:sz="6" w:space="0" w:color="auto"/>
              <w:right w:val="single" w:sz="6" w:space="0" w:color="auto"/>
            </w:tcBorders>
            <w:hideMark/>
          </w:tcPr>
          <w:p w14:paraId="0BEE12FA" w14:textId="77777777" w:rsidR="00521159" w:rsidRPr="00521159" w:rsidRDefault="00521159" w:rsidP="00F424C0">
            <w:pPr>
              <w:jc w:val="both"/>
              <w:rPr>
                <w:rFonts w:ascii="Arial" w:hAnsi="Arial" w:cs="Arial"/>
              </w:rPr>
            </w:pPr>
            <w:r w:rsidRPr="00521159">
              <w:rPr>
                <w:rFonts w:ascii="Arial" w:hAnsi="Arial" w:cs="Arial"/>
              </w:rPr>
              <w:t>100 </w:t>
            </w:r>
          </w:p>
        </w:tc>
      </w:tr>
      <w:tr w:rsidR="00521159" w:rsidRPr="00521159" w14:paraId="7087176E" w14:textId="77777777" w:rsidTr="007952FE">
        <w:trPr>
          <w:trHeight w:val="270"/>
        </w:trPr>
        <w:tc>
          <w:tcPr>
            <w:tcW w:w="1215" w:type="dxa"/>
            <w:tcBorders>
              <w:top w:val="single" w:sz="6" w:space="0" w:color="auto"/>
              <w:left w:val="single" w:sz="6" w:space="0" w:color="auto"/>
              <w:bottom w:val="single" w:sz="6" w:space="0" w:color="auto"/>
              <w:right w:val="single" w:sz="6" w:space="0" w:color="auto"/>
            </w:tcBorders>
            <w:hideMark/>
          </w:tcPr>
          <w:p w14:paraId="7E16F587" w14:textId="77777777" w:rsidR="00521159" w:rsidRPr="00521159" w:rsidRDefault="00521159" w:rsidP="00F424C0">
            <w:pPr>
              <w:jc w:val="both"/>
              <w:rPr>
                <w:rFonts w:ascii="Arial" w:hAnsi="Arial" w:cs="Arial"/>
              </w:rPr>
            </w:pPr>
            <w:r w:rsidRPr="00521159">
              <w:rPr>
                <w:rFonts w:ascii="Arial" w:hAnsi="Arial" w:cs="Arial"/>
              </w:rPr>
              <w:t>63 </w:t>
            </w:r>
          </w:p>
        </w:tc>
        <w:tc>
          <w:tcPr>
            <w:tcW w:w="1185" w:type="dxa"/>
            <w:tcBorders>
              <w:top w:val="single" w:sz="6" w:space="0" w:color="auto"/>
              <w:left w:val="single" w:sz="6" w:space="0" w:color="auto"/>
              <w:bottom w:val="single" w:sz="6" w:space="0" w:color="auto"/>
              <w:right w:val="single" w:sz="6" w:space="0" w:color="auto"/>
            </w:tcBorders>
            <w:hideMark/>
          </w:tcPr>
          <w:p w14:paraId="51D63760" w14:textId="77777777" w:rsidR="00521159" w:rsidRPr="00521159" w:rsidRDefault="00521159" w:rsidP="00F424C0">
            <w:pPr>
              <w:jc w:val="both"/>
              <w:rPr>
                <w:rFonts w:ascii="Arial" w:hAnsi="Arial" w:cs="Arial"/>
              </w:rPr>
            </w:pPr>
            <w:r w:rsidRPr="00521159">
              <w:rPr>
                <w:rFonts w:ascii="Arial" w:hAnsi="Arial" w:cs="Arial"/>
              </w:rPr>
              <w:t>0 </w:t>
            </w:r>
          </w:p>
        </w:tc>
        <w:tc>
          <w:tcPr>
            <w:tcW w:w="1110" w:type="dxa"/>
            <w:tcBorders>
              <w:top w:val="single" w:sz="6" w:space="0" w:color="auto"/>
              <w:left w:val="single" w:sz="6" w:space="0" w:color="auto"/>
              <w:bottom w:val="single" w:sz="6" w:space="0" w:color="auto"/>
              <w:right w:val="single" w:sz="6" w:space="0" w:color="auto"/>
            </w:tcBorders>
            <w:hideMark/>
          </w:tcPr>
          <w:p w14:paraId="2217371E" w14:textId="77777777" w:rsidR="00521159" w:rsidRPr="00521159" w:rsidRDefault="00521159" w:rsidP="00F424C0">
            <w:pPr>
              <w:jc w:val="both"/>
              <w:rPr>
                <w:rFonts w:ascii="Arial" w:hAnsi="Arial" w:cs="Arial"/>
              </w:rPr>
            </w:pPr>
            <w:r w:rsidRPr="00521159">
              <w:rPr>
                <w:rFonts w:ascii="Arial" w:hAnsi="Arial" w:cs="Arial"/>
              </w:rPr>
              <w:t>0 </w:t>
            </w:r>
          </w:p>
        </w:tc>
        <w:tc>
          <w:tcPr>
            <w:tcW w:w="1470" w:type="dxa"/>
            <w:tcBorders>
              <w:top w:val="single" w:sz="6" w:space="0" w:color="auto"/>
              <w:left w:val="single" w:sz="6" w:space="0" w:color="auto"/>
              <w:bottom w:val="single" w:sz="6" w:space="0" w:color="auto"/>
              <w:right w:val="single" w:sz="6" w:space="0" w:color="auto"/>
            </w:tcBorders>
            <w:hideMark/>
          </w:tcPr>
          <w:p w14:paraId="6FAA3A2F" w14:textId="77777777" w:rsidR="00521159" w:rsidRPr="00521159" w:rsidRDefault="00521159" w:rsidP="00F424C0">
            <w:pPr>
              <w:jc w:val="both"/>
              <w:rPr>
                <w:rFonts w:ascii="Arial" w:hAnsi="Arial" w:cs="Arial"/>
              </w:rPr>
            </w:pPr>
            <w:r w:rsidRPr="00521159">
              <w:rPr>
                <w:rFonts w:ascii="Arial" w:hAnsi="Arial" w:cs="Arial"/>
              </w:rPr>
              <w:t>100 </w:t>
            </w:r>
          </w:p>
        </w:tc>
      </w:tr>
      <w:tr w:rsidR="00521159" w:rsidRPr="00521159" w14:paraId="2BF8F8AE" w14:textId="77777777" w:rsidTr="007952FE">
        <w:trPr>
          <w:trHeight w:val="285"/>
        </w:trPr>
        <w:tc>
          <w:tcPr>
            <w:tcW w:w="1215" w:type="dxa"/>
            <w:tcBorders>
              <w:top w:val="single" w:sz="6" w:space="0" w:color="auto"/>
              <w:left w:val="single" w:sz="6" w:space="0" w:color="auto"/>
              <w:bottom w:val="single" w:sz="6" w:space="0" w:color="auto"/>
              <w:right w:val="single" w:sz="6" w:space="0" w:color="auto"/>
            </w:tcBorders>
            <w:hideMark/>
          </w:tcPr>
          <w:p w14:paraId="099AC8A1" w14:textId="77777777" w:rsidR="00521159" w:rsidRPr="00521159" w:rsidRDefault="00521159" w:rsidP="00F424C0">
            <w:pPr>
              <w:jc w:val="both"/>
              <w:rPr>
                <w:rFonts w:ascii="Arial" w:hAnsi="Arial" w:cs="Arial"/>
              </w:rPr>
            </w:pPr>
            <w:r w:rsidRPr="00521159">
              <w:rPr>
                <w:rFonts w:ascii="Arial" w:hAnsi="Arial" w:cs="Arial"/>
              </w:rPr>
              <w:t>37.5 </w:t>
            </w:r>
          </w:p>
        </w:tc>
        <w:tc>
          <w:tcPr>
            <w:tcW w:w="1185" w:type="dxa"/>
            <w:tcBorders>
              <w:top w:val="single" w:sz="6" w:space="0" w:color="auto"/>
              <w:left w:val="single" w:sz="6" w:space="0" w:color="auto"/>
              <w:bottom w:val="single" w:sz="6" w:space="0" w:color="auto"/>
              <w:right w:val="single" w:sz="6" w:space="0" w:color="auto"/>
            </w:tcBorders>
            <w:hideMark/>
          </w:tcPr>
          <w:p w14:paraId="120F9119" w14:textId="77777777" w:rsidR="00521159" w:rsidRPr="00521159" w:rsidRDefault="00521159" w:rsidP="00F424C0">
            <w:pPr>
              <w:jc w:val="both"/>
              <w:rPr>
                <w:rFonts w:ascii="Arial" w:hAnsi="Arial" w:cs="Arial"/>
              </w:rPr>
            </w:pPr>
            <w:r w:rsidRPr="00521159">
              <w:rPr>
                <w:rFonts w:ascii="Arial" w:hAnsi="Arial" w:cs="Arial"/>
              </w:rPr>
              <w:t>120 </w:t>
            </w:r>
          </w:p>
        </w:tc>
        <w:tc>
          <w:tcPr>
            <w:tcW w:w="1110" w:type="dxa"/>
            <w:tcBorders>
              <w:top w:val="single" w:sz="6" w:space="0" w:color="auto"/>
              <w:left w:val="single" w:sz="6" w:space="0" w:color="auto"/>
              <w:bottom w:val="single" w:sz="6" w:space="0" w:color="auto"/>
              <w:right w:val="single" w:sz="6" w:space="0" w:color="auto"/>
            </w:tcBorders>
            <w:hideMark/>
          </w:tcPr>
          <w:p w14:paraId="7A3E1FEE" w14:textId="65C0F793" w:rsidR="00521159" w:rsidRPr="00521159" w:rsidRDefault="00521159" w:rsidP="00F424C0">
            <w:pPr>
              <w:jc w:val="both"/>
              <w:rPr>
                <w:rFonts w:ascii="Arial" w:hAnsi="Arial" w:cs="Arial"/>
              </w:rPr>
            </w:pPr>
            <w:r w:rsidRPr="00521159">
              <w:rPr>
                <w:rFonts w:ascii="Arial" w:hAnsi="Arial" w:cs="Arial"/>
              </w:rPr>
              <w:t> </w:t>
            </w:r>
            <w:r w:rsidR="00E21C97" w:rsidRPr="008B3ACC">
              <w:rPr>
                <w:rFonts w:ascii="Arial" w:hAnsi="Arial" w:cs="Arial"/>
              </w:rPr>
              <w:t>9.6</w:t>
            </w:r>
          </w:p>
        </w:tc>
        <w:tc>
          <w:tcPr>
            <w:tcW w:w="1470" w:type="dxa"/>
            <w:tcBorders>
              <w:top w:val="single" w:sz="6" w:space="0" w:color="auto"/>
              <w:left w:val="single" w:sz="6" w:space="0" w:color="auto"/>
              <w:bottom w:val="single" w:sz="6" w:space="0" w:color="auto"/>
              <w:right w:val="single" w:sz="6" w:space="0" w:color="auto"/>
            </w:tcBorders>
            <w:hideMark/>
          </w:tcPr>
          <w:p w14:paraId="3C5BE1FA" w14:textId="504A6970" w:rsidR="00521159" w:rsidRPr="00521159" w:rsidRDefault="00E21C97" w:rsidP="00F424C0">
            <w:pPr>
              <w:jc w:val="both"/>
              <w:rPr>
                <w:rFonts w:ascii="Arial" w:hAnsi="Arial" w:cs="Arial"/>
              </w:rPr>
            </w:pPr>
            <w:r w:rsidRPr="008B3ACC">
              <w:rPr>
                <w:rFonts w:ascii="Arial" w:hAnsi="Arial" w:cs="Arial"/>
              </w:rPr>
              <w:t>90.4</w:t>
            </w:r>
            <w:r w:rsidR="00521159" w:rsidRPr="00521159">
              <w:rPr>
                <w:rFonts w:ascii="Arial" w:hAnsi="Arial" w:cs="Arial"/>
              </w:rPr>
              <w:t> </w:t>
            </w:r>
          </w:p>
        </w:tc>
      </w:tr>
      <w:tr w:rsidR="00521159" w:rsidRPr="00521159" w14:paraId="7AFA88A8" w14:textId="77777777" w:rsidTr="007952FE">
        <w:trPr>
          <w:trHeight w:val="270"/>
        </w:trPr>
        <w:tc>
          <w:tcPr>
            <w:tcW w:w="1215" w:type="dxa"/>
            <w:tcBorders>
              <w:top w:val="single" w:sz="6" w:space="0" w:color="auto"/>
              <w:left w:val="single" w:sz="6" w:space="0" w:color="auto"/>
              <w:bottom w:val="single" w:sz="6" w:space="0" w:color="auto"/>
              <w:right w:val="single" w:sz="6" w:space="0" w:color="auto"/>
            </w:tcBorders>
            <w:hideMark/>
          </w:tcPr>
          <w:p w14:paraId="09690248" w14:textId="77777777" w:rsidR="00521159" w:rsidRPr="00521159" w:rsidRDefault="00521159" w:rsidP="00F424C0">
            <w:pPr>
              <w:jc w:val="both"/>
              <w:rPr>
                <w:rFonts w:ascii="Arial" w:hAnsi="Arial" w:cs="Arial"/>
              </w:rPr>
            </w:pPr>
            <w:r w:rsidRPr="00521159">
              <w:rPr>
                <w:rFonts w:ascii="Arial" w:hAnsi="Arial" w:cs="Arial"/>
              </w:rPr>
              <w:t>20 </w:t>
            </w:r>
          </w:p>
        </w:tc>
        <w:tc>
          <w:tcPr>
            <w:tcW w:w="1185" w:type="dxa"/>
            <w:tcBorders>
              <w:top w:val="single" w:sz="6" w:space="0" w:color="auto"/>
              <w:left w:val="single" w:sz="6" w:space="0" w:color="auto"/>
              <w:bottom w:val="single" w:sz="6" w:space="0" w:color="auto"/>
              <w:right w:val="single" w:sz="6" w:space="0" w:color="auto"/>
            </w:tcBorders>
            <w:hideMark/>
          </w:tcPr>
          <w:p w14:paraId="1C893A2F" w14:textId="77777777" w:rsidR="00521159" w:rsidRPr="00521159" w:rsidRDefault="00521159" w:rsidP="00F424C0">
            <w:pPr>
              <w:jc w:val="both"/>
              <w:rPr>
                <w:rFonts w:ascii="Arial" w:hAnsi="Arial" w:cs="Arial"/>
              </w:rPr>
            </w:pPr>
            <w:r w:rsidRPr="00521159">
              <w:rPr>
                <w:rFonts w:ascii="Arial" w:hAnsi="Arial" w:cs="Arial"/>
              </w:rPr>
              <w:t>137 </w:t>
            </w:r>
          </w:p>
        </w:tc>
        <w:tc>
          <w:tcPr>
            <w:tcW w:w="1110" w:type="dxa"/>
            <w:tcBorders>
              <w:top w:val="single" w:sz="6" w:space="0" w:color="auto"/>
              <w:left w:val="single" w:sz="6" w:space="0" w:color="auto"/>
              <w:bottom w:val="single" w:sz="6" w:space="0" w:color="auto"/>
              <w:right w:val="single" w:sz="6" w:space="0" w:color="auto"/>
            </w:tcBorders>
            <w:hideMark/>
          </w:tcPr>
          <w:p w14:paraId="5789CF20" w14:textId="0B3A48DE"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10.96</w:t>
            </w:r>
          </w:p>
        </w:tc>
        <w:tc>
          <w:tcPr>
            <w:tcW w:w="1470" w:type="dxa"/>
            <w:tcBorders>
              <w:top w:val="single" w:sz="6" w:space="0" w:color="auto"/>
              <w:left w:val="single" w:sz="6" w:space="0" w:color="auto"/>
              <w:bottom w:val="single" w:sz="6" w:space="0" w:color="auto"/>
              <w:right w:val="single" w:sz="6" w:space="0" w:color="auto"/>
            </w:tcBorders>
            <w:hideMark/>
          </w:tcPr>
          <w:p w14:paraId="5CDBE55A" w14:textId="283177B8"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79.44</w:t>
            </w:r>
          </w:p>
        </w:tc>
      </w:tr>
      <w:tr w:rsidR="00521159" w:rsidRPr="00521159" w14:paraId="4A82B087" w14:textId="77777777" w:rsidTr="007952FE">
        <w:trPr>
          <w:trHeight w:val="270"/>
        </w:trPr>
        <w:tc>
          <w:tcPr>
            <w:tcW w:w="1215" w:type="dxa"/>
            <w:tcBorders>
              <w:top w:val="single" w:sz="6" w:space="0" w:color="auto"/>
              <w:left w:val="single" w:sz="6" w:space="0" w:color="auto"/>
              <w:bottom w:val="single" w:sz="6" w:space="0" w:color="auto"/>
              <w:right w:val="single" w:sz="6" w:space="0" w:color="auto"/>
            </w:tcBorders>
            <w:hideMark/>
          </w:tcPr>
          <w:p w14:paraId="78598280" w14:textId="77777777" w:rsidR="00521159" w:rsidRPr="00521159" w:rsidRDefault="00521159" w:rsidP="00F424C0">
            <w:pPr>
              <w:jc w:val="both"/>
              <w:rPr>
                <w:rFonts w:ascii="Arial" w:hAnsi="Arial" w:cs="Arial"/>
              </w:rPr>
            </w:pPr>
            <w:r w:rsidRPr="00521159">
              <w:rPr>
                <w:rFonts w:ascii="Arial" w:hAnsi="Arial" w:cs="Arial"/>
              </w:rPr>
              <w:t>10 </w:t>
            </w:r>
          </w:p>
        </w:tc>
        <w:tc>
          <w:tcPr>
            <w:tcW w:w="1185" w:type="dxa"/>
            <w:tcBorders>
              <w:top w:val="single" w:sz="6" w:space="0" w:color="auto"/>
              <w:left w:val="single" w:sz="6" w:space="0" w:color="auto"/>
              <w:bottom w:val="single" w:sz="6" w:space="0" w:color="auto"/>
              <w:right w:val="single" w:sz="6" w:space="0" w:color="auto"/>
            </w:tcBorders>
            <w:hideMark/>
          </w:tcPr>
          <w:p w14:paraId="1CF050E1" w14:textId="77777777" w:rsidR="00521159" w:rsidRPr="00521159" w:rsidRDefault="00521159" w:rsidP="00F424C0">
            <w:pPr>
              <w:jc w:val="both"/>
              <w:rPr>
                <w:rFonts w:ascii="Arial" w:hAnsi="Arial" w:cs="Arial"/>
              </w:rPr>
            </w:pPr>
            <w:r w:rsidRPr="00521159">
              <w:rPr>
                <w:rFonts w:ascii="Arial" w:hAnsi="Arial" w:cs="Arial"/>
              </w:rPr>
              <w:t>143 </w:t>
            </w:r>
          </w:p>
        </w:tc>
        <w:tc>
          <w:tcPr>
            <w:tcW w:w="1110" w:type="dxa"/>
            <w:tcBorders>
              <w:top w:val="single" w:sz="6" w:space="0" w:color="auto"/>
              <w:left w:val="single" w:sz="6" w:space="0" w:color="auto"/>
              <w:bottom w:val="single" w:sz="6" w:space="0" w:color="auto"/>
              <w:right w:val="single" w:sz="6" w:space="0" w:color="auto"/>
            </w:tcBorders>
            <w:hideMark/>
          </w:tcPr>
          <w:p w14:paraId="4A5B7C43" w14:textId="4DB10819"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11.44</w:t>
            </w:r>
          </w:p>
        </w:tc>
        <w:tc>
          <w:tcPr>
            <w:tcW w:w="1470" w:type="dxa"/>
            <w:tcBorders>
              <w:top w:val="single" w:sz="6" w:space="0" w:color="auto"/>
              <w:left w:val="single" w:sz="6" w:space="0" w:color="auto"/>
              <w:bottom w:val="single" w:sz="6" w:space="0" w:color="auto"/>
              <w:right w:val="single" w:sz="6" w:space="0" w:color="auto"/>
            </w:tcBorders>
            <w:hideMark/>
          </w:tcPr>
          <w:p w14:paraId="32BAFCD8" w14:textId="53CC6A8D"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68</w:t>
            </w:r>
          </w:p>
        </w:tc>
      </w:tr>
      <w:tr w:rsidR="00521159" w:rsidRPr="00521159" w14:paraId="33D2B6D8" w14:textId="77777777" w:rsidTr="007952FE">
        <w:trPr>
          <w:trHeight w:val="285"/>
        </w:trPr>
        <w:tc>
          <w:tcPr>
            <w:tcW w:w="1215" w:type="dxa"/>
            <w:tcBorders>
              <w:top w:val="single" w:sz="6" w:space="0" w:color="auto"/>
              <w:left w:val="single" w:sz="6" w:space="0" w:color="auto"/>
              <w:bottom w:val="single" w:sz="6" w:space="0" w:color="auto"/>
              <w:right w:val="single" w:sz="6" w:space="0" w:color="auto"/>
            </w:tcBorders>
            <w:hideMark/>
          </w:tcPr>
          <w:p w14:paraId="12BAFE84" w14:textId="77777777" w:rsidR="00521159" w:rsidRPr="00521159" w:rsidRDefault="00521159" w:rsidP="00F424C0">
            <w:pPr>
              <w:jc w:val="both"/>
              <w:rPr>
                <w:rFonts w:ascii="Arial" w:hAnsi="Arial" w:cs="Arial"/>
              </w:rPr>
            </w:pPr>
            <w:r w:rsidRPr="00521159">
              <w:rPr>
                <w:rFonts w:ascii="Arial" w:hAnsi="Arial" w:cs="Arial"/>
              </w:rPr>
              <w:t>6.3 </w:t>
            </w:r>
          </w:p>
        </w:tc>
        <w:tc>
          <w:tcPr>
            <w:tcW w:w="1185" w:type="dxa"/>
            <w:tcBorders>
              <w:top w:val="single" w:sz="6" w:space="0" w:color="auto"/>
              <w:left w:val="single" w:sz="6" w:space="0" w:color="auto"/>
              <w:bottom w:val="single" w:sz="6" w:space="0" w:color="auto"/>
              <w:right w:val="single" w:sz="6" w:space="0" w:color="auto"/>
            </w:tcBorders>
            <w:hideMark/>
          </w:tcPr>
          <w:p w14:paraId="2AC2CEC5" w14:textId="77777777" w:rsidR="00521159" w:rsidRPr="00521159" w:rsidRDefault="00521159" w:rsidP="00F424C0">
            <w:pPr>
              <w:jc w:val="both"/>
              <w:rPr>
                <w:rFonts w:ascii="Arial" w:hAnsi="Arial" w:cs="Arial"/>
              </w:rPr>
            </w:pPr>
            <w:r w:rsidRPr="00521159">
              <w:rPr>
                <w:rFonts w:ascii="Arial" w:hAnsi="Arial" w:cs="Arial"/>
              </w:rPr>
              <w:t>105 </w:t>
            </w:r>
          </w:p>
        </w:tc>
        <w:tc>
          <w:tcPr>
            <w:tcW w:w="1110" w:type="dxa"/>
            <w:tcBorders>
              <w:top w:val="single" w:sz="6" w:space="0" w:color="auto"/>
              <w:left w:val="single" w:sz="6" w:space="0" w:color="auto"/>
              <w:bottom w:val="single" w:sz="6" w:space="0" w:color="auto"/>
              <w:right w:val="single" w:sz="6" w:space="0" w:color="auto"/>
            </w:tcBorders>
            <w:hideMark/>
          </w:tcPr>
          <w:p w14:paraId="0E83139E" w14:textId="092C7C59"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8.4</w:t>
            </w:r>
          </w:p>
        </w:tc>
        <w:tc>
          <w:tcPr>
            <w:tcW w:w="1470" w:type="dxa"/>
            <w:tcBorders>
              <w:top w:val="single" w:sz="6" w:space="0" w:color="auto"/>
              <w:left w:val="single" w:sz="6" w:space="0" w:color="auto"/>
              <w:bottom w:val="single" w:sz="6" w:space="0" w:color="auto"/>
              <w:right w:val="single" w:sz="6" w:space="0" w:color="auto"/>
            </w:tcBorders>
            <w:hideMark/>
          </w:tcPr>
          <w:p w14:paraId="559442C7" w14:textId="4631E2D6"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59.6</w:t>
            </w:r>
          </w:p>
        </w:tc>
      </w:tr>
      <w:tr w:rsidR="00521159" w:rsidRPr="00521159" w14:paraId="2791029F" w14:textId="77777777" w:rsidTr="007952FE">
        <w:trPr>
          <w:trHeight w:val="270"/>
        </w:trPr>
        <w:tc>
          <w:tcPr>
            <w:tcW w:w="1215" w:type="dxa"/>
            <w:tcBorders>
              <w:top w:val="single" w:sz="6" w:space="0" w:color="auto"/>
              <w:left w:val="single" w:sz="6" w:space="0" w:color="auto"/>
              <w:bottom w:val="single" w:sz="6" w:space="0" w:color="auto"/>
              <w:right w:val="single" w:sz="6" w:space="0" w:color="auto"/>
            </w:tcBorders>
            <w:hideMark/>
          </w:tcPr>
          <w:p w14:paraId="35BD3B2F" w14:textId="77777777" w:rsidR="00521159" w:rsidRPr="00521159" w:rsidRDefault="00521159" w:rsidP="00F424C0">
            <w:pPr>
              <w:jc w:val="both"/>
              <w:rPr>
                <w:rFonts w:ascii="Arial" w:hAnsi="Arial" w:cs="Arial"/>
              </w:rPr>
            </w:pPr>
            <w:r w:rsidRPr="00521159">
              <w:rPr>
                <w:rFonts w:ascii="Arial" w:hAnsi="Arial" w:cs="Arial"/>
              </w:rPr>
              <w:t>3.35 </w:t>
            </w:r>
          </w:p>
        </w:tc>
        <w:tc>
          <w:tcPr>
            <w:tcW w:w="1185" w:type="dxa"/>
            <w:tcBorders>
              <w:top w:val="single" w:sz="6" w:space="0" w:color="auto"/>
              <w:left w:val="single" w:sz="6" w:space="0" w:color="auto"/>
              <w:bottom w:val="single" w:sz="6" w:space="0" w:color="auto"/>
              <w:right w:val="single" w:sz="6" w:space="0" w:color="auto"/>
            </w:tcBorders>
            <w:hideMark/>
          </w:tcPr>
          <w:p w14:paraId="37945530" w14:textId="77777777" w:rsidR="00521159" w:rsidRPr="00521159" w:rsidRDefault="00521159" w:rsidP="00F424C0">
            <w:pPr>
              <w:jc w:val="both"/>
              <w:rPr>
                <w:rFonts w:ascii="Arial" w:hAnsi="Arial" w:cs="Arial"/>
              </w:rPr>
            </w:pPr>
            <w:r w:rsidRPr="00521159">
              <w:rPr>
                <w:rFonts w:ascii="Arial" w:hAnsi="Arial" w:cs="Arial"/>
              </w:rPr>
              <w:t>      45 </w:t>
            </w:r>
          </w:p>
        </w:tc>
        <w:tc>
          <w:tcPr>
            <w:tcW w:w="1110" w:type="dxa"/>
            <w:tcBorders>
              <w:top w:val="single" w:sz="6" w:space="0" w:color="auto"/>
              <w:left w:val="single" w:sz="6" w:space="0" w:color="auto"/>
              <w:bottom w:val="single" w:sz="6" w:space="0" w:color="auto"/>
              <w:right w:val="single" w:sz="6" w:space="0" w:color="auto"/>
            </w:tcBorders>
            <w:hideMark/>
          </w:tcPr>
          <w:p w14:paraId="5094E77B" w14:textId="7333C536"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3.6</w:t>
            </w:r>
          </w:p>
        </w:tc>
        <w:tc>
          <w:tcPr>
            <w:tcW w:w="1470" w:type="dxa"/>
            <w:tcBorders>
              <w:top w:val="single" w:sz="6" w:space="0" w:color="auto"/>
              <w:left w:val="single" w:sz="6" w:space="0" w:color="auto"/>
              <w:bottom w:val="single" w:sz="6" w:space="0" w:color="auto"/>
              <w:right w:val="single" w:sz="6" w:space="0" w:color="auto"/>
            </w:tcBorders>
            <w:hideMark/>
          </w:tcPr>
          <w:p w14:paraId="7B8139BD" w14:textId="37984560"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56</w:t>
            </w:r>
          </w:p>
        </w:tc>
      </w:tr>
      <w:tr w:rsidR="00521159" w:rsidRPr="00521159" w14:paraId="320039B4" w14:textId="77777777" w:rsidTr="007952FE">
        <w:trPr>
          <w:trHeight w:val="270"/>
        </w:trPr>
        <w:tc>
          <w:tcPr>
            <w:tcW w:w="1215" w:type="dxa"/>
            <w:tcBorders>
              <w:top w:val="single" w:sz="6" w:space="0" w:color="auto"/>
              <w:left w:val="single" w:sz="6" w:space="0" w:color="auto"/>
              <w:bottom w:val="single" w:sz="6" w:space="0" w:color="auto"/>
              <w:right w:val="single" w:sz="6" w:space="0" w:color="auto"/>
            </w:tcBorders>
            <w:hideMark/>
          </w:tcPr>
          <w:p w14:paraId="011E4417" w14:textId="77777777" w:rsidR="00521159" w:rsidRPr="00521159" w:rsidRDefault="00521159" w:rsidP="00F424C0">
            <w:pPr>
              <w:jc w:val="both"/>
              <w:rPr>
                <w:rFonts w:ascii="Arial" w:hAnsi="Arial" w:cs="Arial"/>
              </w:rPr>
            </w:pPr>
            <w:r w:rsidRPr="00521159">
              <w:rPr>
                <w:rFonts w:ascii="Arial" w:hAnsi="Arial" w:cs="Arial"/>
              </w:rPr>
              <w:t>2 </w:t>
            </w:r>
          </w:p>
        </w:tc>
        <w:tc>
          <w:tcPr>
            <w:tcW w:w="1185" w:type="dxa"/>
            <w:tcBorders>
              <w:top w:val="single" w:sz="6" w:space="0" w:color="auto"/>
              <w:left w:val="single" w:sz="6" w:space="0" w:color="auto"/>
              <w:bottom w:val="single" w:sz="6" w:space="0" w:color="auto"/>
              <w:right w:val="single" w:sz="6" w:space="0" w:color="auto"/>
            </w:tcBorders>
            <w:hideMark/>
          </w:tcPr>
          <w:p w14:paraId="0126CDEC" w14:textId="77777777" w:rsidR="00521159" w:rsidRPr="00521159" w:rsidRDefault="00521159" w:rsidP="00F424C0">
            <w:pPr>
              <w:jc w:val="both"/>
              <w:rPr>
                <w:rFonts w:ascii="Arial" w:hAnsi="Arial" w:cs="Arial"/>
              </w:rPr>
            </w:pPr>
            <w:r w:rsidRPr="00521159">
              <w:rPr>
                <w:rFonts w:ascii="Arial" w:hAnsi="Arial" w:cs="Arial"/>
              </w:rPr>
              <w:t>130 </w:t>
            </w:r>
          </w:p>
        </w:tc>
        <w:tc>
          <w:tcPr>
            <w:tcW w:w="1110" w:type="dxa"/>
            <w:tcBorders>
              <w:top w:val="single" w:sz="6" w:space="0" w:color="auto"/>
              <w:left w:val="single" w:sz="6" w:space="0" w:color="auto"/>
              <w:bottom w:val="single" w:sz="6" w:space="0" w:color="auto"/>
              <w:right w:val="single" w:sz="6" w:space="0" w:color="auto"/>
            </w:tcBorders>
            <w:hideMark/>
          </w:tcPr>
          <w:p w14:paraId="48B6869D" w14:textId="1E6A5C8D"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10.4</w:t>
            </w:r>
          </w:p>
        </w:tc>
        <w:tc>
          <w:tcPr>
            <w:tcW w:w="1470" w:type="dxa"/>
            <w:tcBorders>
              <w:top w:val="single" w:sz="6" w:space="0" w:color="auto"/>
              <w:left w:val="single" w:sz="6" w:space="0" w:color="auto"/>
              <w:bottom w:val="single" w:sz="6" w:space="0" w:color="auto"/>
              <w:right w:val="single" w:sz="6" w:space="0" w:color="auto"/>
            </w:tcBorders>
            <w:hideMark/>
          </w:tcPr>
          <w:p w14:paraId="1D571D00" w14:textId="4414B4DB"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45.6</w:t>
            </w:r>
          </w:p>
        </w:tc>
      </w:tr>
      <w:tr w:rsidR="00521159" w:rsidRPr="00521159" w14:paraId="7221DE69" w14:textId="77777777" w:rsidTr="007952FE">
        <w:trPr>
          <w:trHeight w:val="285"/>
        </w:trPr>
        <w:tc>
          <w:tcPr>
            <w:tcW w:w="1215" w:type="dxa"/>
            <w:tcBorders>
              <w:top w:val="single" w:sz="6" w:space="0" w:color="auto"/>
              <w:left w:val="single" w:sz="6" w:space="0" w:color="auto"/>
              <w:bottom w:val="single" w:sz="6" w:space="0" w:color="auto"/>
              <w:right w:val="single" w:sz="6" w:space="0" w:color="auto"/>
            </w:tcBorders>
            <w:hideMark/>
          </w:tcPr>
          <w:p w14:paraId="4DB28AC7" w14:textId="77777777" w:rsidR="00521159" w:rsidRPr="00521159" w:rsidRDefault="00521159" w:rsidP="00F424C0">
            <w:pPr>
              <w:jc w:val="both"/>
              <w:rPr>
                <w:rFonts w:ascii="Arial" w:hAnsi="Arial" w:cs="Arial"/>
              </w:rPr>
            </w:pPr>
            <w:r w:rsidRPr="00521159">
              <w:rPr>
                <w:rFonts w:ascii="Arial" w:hAnsi="Arial" w:cs="Arial"/>
              </w:rPr>
              <w:t>1.18 </w:t>
            </w:r>
          </w:p>
        </w:tc>
        <w:tc>
          <w:tcPr>
            <w:tcW w:w="1185" w:type="dxa"/>
            <w:tcBorders>
              <w:top w:val="single" w:sz="6" w:space="0" w:color="auto"/>
              <w:left w:val="single" w:sz="6" w:space="0" w:color="auto"/>
              <w:bottom w:val="single" w:sz="6" w:space="0" w:color="auto"/>
              <w:right w:val="single" w:sz="6" w:space="0" w:color="auto"/>
            </w:tcBorders>
            <w:hideMark/>
          </w:tcPr>
          <w:p w14:paraId="5582CCB5" w14:textId="77777777" w:rsidR="00521159" w:rsidRPr="00521159" w:rsidRDefault="00521159" w:rsidP="00F424C0">
            <w:pPr>
              <w:jc w:val="both"/>
              <w:rPr>
                <w:rFonts w:ascii="Arial" w:hAnsi="Arial" w:cs="Arial"/>
              </w:rPr>
            </w:pPr>
            <w:r w:rsidRPr="00521159">
              <w:rPr>
                <w:rFonts w:ascii="Arial" w:hAnsi="Arial" w:cs="Arial"/>
              </w:rPr>
              <w:t>63 </w:t>
            </w:r>
          </w:p>
        </w:tc>
        <w:tc>
          <w:tcPr>
            <w:tcW w:w="1110" w:type="dxa"/>
            <w:tcBorders>
              <w:top w:val="single" w:sz="6" w:space="0" w:color="auto"/>
              <w:left w:val="single" w:sz="6" w:space="0" w:color="auto"/>
              <w:bottom w:val="single" w:sz="6" w:space="0" w:color="auto"/>
              <w:right w:val="single" w:sz="6" w:space="0" w:color="auto"/>
            </w:tcBorders>
            <w:hideMark/>
          </w:tcPr>
          <w:p w14:paraId="15F4227C" w14:textId="21B9FE11"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5.04</w:t>
            </w:r>
          </w:p>
        </w:tc>
        <w:tc>
          <w:tcPr>
            <w:tcW w:w="1470" w:type="dxa"/>
            <w:tcBorders>
              <w:top w:val="single" w:sz="6" w:space="0" w:color="auto"/>
              <w:left w:val="single" w:sz="6" w:space="0" w:color="auto"/>
              <w:bottom w:val="single" w:sz="6" w:space="0" w:color="auto"/>
              <w:right w:val="single" w:sz="6" w:space="0" w:color="auto"/>
            </w:tcBorders>
            <w:hideMark/>
          </w:tcPr>
          <w:p w14:paraId="51DBA3A5" w14:textId="5F78F6A8"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40.56</w:t>
            </w:r>
          </w:p>
        </w:tc>
      </w:tr>
      <w:tr w:rsidR="00521159" w:rsidRPr="00521159" w14:paraId="0C2DC965" w14:textId="77777777" w:rsidTr="007952FE">
        <w:trPr>
          <w:trHeight w:val="270"/>
        </w:trPr>
        <w:tc>
          <w:tcPr>
            <w:tcW w:w="1215" w:type="dxa"/>
            <w:tcBorders>
              <w:top w:val="single" w:sz="6" w:space="0" w:color="auto"/>
              <w:left w:val="single" w:sz="6" w:space="0" w:color="auto"/>
              <w:bottom w:val="single" w:sz="6" w:space="0" w:color="auto"/>
              <w:right w:val="single" w:sz="6" w:space="0" w:color="auto"/>
            </w:tcBorders>
            <w:hideMark/>
          </w:tcPr>
          <w:p w14:paraId="185E4A73" w14:textId="77777777" w:rsidR="00521159" w:rsidRPr="00521159" w:rsidRDefault="00521159" w:rsidP="00F424C0">
            <w:pPr>
              <w:jc w:val="both"/>
              <w:rPr>
                <w:rFonts w:ascii="Arial" w:hAnsi="Arial" w:cs="Arial"/>
              </w:rPr>
            </w:pPr>
            <w:r w:rsidRPr="00521159">
              <w:rPr>
                <w:rFonts w:ascii="Arial" w:hAnsi="Arial" w:cs="Arial"/>
              </w:rPr>
              <w:t>0.6 </w:t>
            </w:r>
          </w:p>
        </w:tc>
        <w:tc>
          <w:tcPr>
            <w:tcW w:w="1185" w:type="dxa"/>
            <w:tcBorders>
              <w:top w:val="single" w:sz="6" w:space="0" w:color="auto"/>
              <w:left w:val="single" w:sz="6" w:space="0" w:color="auto"/>
              <w:bottom w:val="single" w:sz="6" w:space="0" w:color="auto"/>
              <w:right w:val="single" w:sz="6" w:space="0" w:color="auto"/>
            </w:tcBorders>
            <w:hideMark/>
          </w:tcPr>
          <w:p w14:paraId="745ACB42" w14:textId="77777777" w:rsidR="00521159" w:rsidRPr="00521159" w:rsidRDefault="00521159" w:rsidP="00F424C0">
            <w:pPr>
              <w:jc w:val="both"/>
              <w:rPr>
                <w:rFonts w:ascii="Arial" w:hAnsi="Arial" w:cs="Arial"/>
              </w:rPr>
            </w:pPr>
            <w:r w:rsidRPr="00521159">
              <w:rPr>
                <w:rFonts w:ascii="Arial" w:hAnsi="Arial" w:cs="Arial"/>
              </w:rPr>
              <w:t>105 </w:t>
            </w:r>
          </w:p>
        </w:tc>
        <w:tc>
          <w:tcPr>
            <w:tcW w:w="1110" w:type="dxa"/>
            <w:tcBorders>
              <w:top w:val="single" w:sz="6" w:space="0" w:color="auto"/>
              <w:left w:val="single" w:sz="6" w:space="0" w:color="auto"/>
              <w:bottom w:val="single" w:sz="6" w:space="0" w:color="auto"/>
              <w:right w:val="single" w:sz="6" w:space="0" w:color="auto"/>
            </w:tcBorders>
            <w:hideMark/>
          </w:tcPr>
          <w:p w14:paraId="5A3486A1" w14:textId="0B6D7FCA"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8.4</w:t>
            </w:r>
          </w:p>
        </w:tc>
        <w:tc>
          <w:tcPr>
            <w:tcW w:w="1470" w:type="dxa"/>
            <w:tcBorders>
              <w:top w:val="single" w:sz="6" w:space="0" w:color="auto"/>
              <w:left w:val="single" w:sz="6" w:space="0" w:color="auto"/>
              <w:bottom w:val="single" w:sz="6" w:space="0" w:color="auto"/>
              <w:right w:val="single" w:sz="6" w:space="0" w:color="auto"/>
            </w:tcBorders>
            <w:hideMark/>
          </w:tcPr>
          <w:p w14:paraId="2C1DBECF" w14:textId="0C085B0C"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32.16</w:t>
            </w:r>
          </w:p>
        </w:tc>
      </w:tr>
      <w:tr w:rsidR="00521159" w:rsidRPr="00521159" w14:paraId="3371E6F0" w14:textId="77777777" w:rsidTr="007952FE">
        <w:trPr>
          <w:trHeight w:val="270"/>
        </w:trPr>
        <w:tc>
          <w:tcPr>
            <w:tcW w:w="1215" w:type="dxa"/>
            <w:tcBorders>
              <w:top w:val="single" w:sz="6" w:space="0" w:color="auto"/>
              <w:left w:val="single" w:sz="6" w:space="0" w:color="auto"/>
              <w:bottom w:val="single" w:sz="6" w:space="0" w:color="auto"/>
              <w:right w:val="single" w:sz="6" w:space="0" w:color="auto"/>
            </w:tcBorders>
            <w:hideMark/>
          </w:tcPr>
          <w:p w14:paraId="5393D206" w14:textId="77777777" w:rsidR="00521159" w:rsidRPr="00521159" w:rsidRDefault="00521159" w:rsidP="00F424C0">
            <w:pPr>
              <w:jc w:val="both"/>
              <w:rPr>
                <w:rFonts w:ascii="Arial" w:hAnsi="Arial" w:cs="Arial"/>
              </w:rPr>
            </w:pPr>
            <w:r w:rsidRPr="00521159">
              <w:rPr>
                <w:rFonts w:ascii="Arial" w:hAnsi="Arial" w:cs="Arial"/>
              </w:rPr>
              <w:t>0.3 </w:t>
            </w:r>
          </w:p>
        </w:tc>
        <w:tc>
          <w:tcPr>
            <w:tcW w:w="1185" w:type="dxa"/>
            <w:tcBorders>
              <w:top w:val="single" w:sz="6" w:space="0" w:color="auto"/>
              <w:left w:val="single" w:sz="6" w:space="0" w:color="auto"/>
              <w:bottom w:val="single" w:sz="6" w:space="0" w:color="auto"/>
              <w:right w:val="single" w:sz="6" w:space="0" w:color="auto"/>
            </w:tcBorders>
            <w:hideMark/>
          </w:tcPr>
          <w:p w14:paraId="68ED2212" w14:textId="77777777" w:rsidR="00521159" w:rsidRPr="00521159" w:rsidRDefault="00521159" w:rsidP="00F424C0">
            <w:pPr>
              <w:jc w:val="both"/>
              <w:rPr>
                <w:rFonts w:ascii="Arial" w:hAnsi="Arial" w:cs="Arial"/>
              </w:rPr>
            </w:pPr>
            <w:r w:rsidRPr="00521159">
              <w:rPr>
                <w:rFonts w:ascii="Arial" w:hAnsi="Arial" w:cs="Arial"/>
              </w:rPr>
              <w:t>102 </w:t>
            </w:r>
          </w:p>
        </w:tc>
        <w:tc>
          <w:tcPr>
            <w:tcW w:w="1110" w:type="dxa"/>
            <w:tcBorders>
              <w:top w:val="single" w:sz="6" w:space="0" w:color="auto"/>
              <w:left w:val="single" w:sz="6" w:space="0" w:color="auto"/>
              <w:bottom w:val="single" w:sz="6" w:space="0" w:color="auto"/>
              <w:right w:val="single" w:sz="6" w:space="0" w:color="auto"/>
            </w:tcBorders>
            <w:hideMark/>
          </w:tcPr>
          <w:p w14:paraId="6C40E9F9" w14:textId="0E58847C"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8.16</w:t>
            </w:r>
          </w:p>
        </w:tc>
        <w:tc>
          <w:tcPr>
            <w:tcW w:w="1470" w:type="dxa"/>
            <w:tcBorders>
              <w:top w:val="single" w:sz="6" w:space="0" w:color="auto"/>
              <w:left w:val="single" w:sz="6" w:space="0" w:color="auto"/>
              <w:bottom w:val="single" w:sz="6" w:space="0" w:color="auto"/>
              <w:right w:val="single" w:sz="6" w:space="0" w:color="auto"/>
            </w:tcBorders>
            <w:hideMark/>
          </w:tcPr>
          <w:p w14:paraId="115CE2B5" w14:textId="17828B01"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24</w:t>
            </w:r>
          </w:p>
        </w:tc>
      </w:tr>
      <w:tr w:rsidR="00521159" w:rsidRPr="00521159" w14:paraId="1F97F47D" w14:textId="77777777" w:rsidTr="007952FE">
        <w:trPr>
          <w:trHeight w:val="285"/>
        </w:trPr>
        <w:tc>
          <w:tcPr>
            <w:tcW w:w="1215" w:type="dxa"/>
            <w:tcBorders>
              <w:top w:val="single" w:sz="6" w:space="0" w:color="auto"/>
              <w:left w:val="single" w:sz="6" w:space="0" w:color="auto"/>
              <w:bottom w:val="single" w:sz="6" w:space="0" w:color="auto"/>
              <w:right w:val="single" w:sz="6" w:space="0" w:color="auto"/>
            </w:tcBorders>
            <w:hideMark/>
          </w:tcPr>
          <w:p w14:paraId="33B54CF8" w14:textId="77777777" w:rsidR="00521159" w:rsidRPr="00521159" w:rsidRDefault="00521159" w:rsidP="00F424C0">
            <w:pPr>
              <w:jc w:val="both"/>
              <w:rPr>
                <w:rFonts w:ascii="Arial" w:hAnsi="Arial" w:cs="Arial"/>
              </w:rPr>
            </w:pPr>
            <w:r w:rsidRPr="00521159">
              <w:rPr>
                <w:rFonts w:ascii="Arial" w:hAnsi="Arial" w:cs="Arial"/>
              </w:rPr>
              <w:t>0.212 </w:t>
            </w:r>
          </w:p>
        </w:tc>
        <w:tc>
          <w:tcPr>
            <w:tcW w:w="1185" w:type="dxa"/>
            <w:tcBorders>
              <w:top w:val="single" w:sz="6" w:space="0" w:color="auto"/>
              <w:left w:val="single" w:sz="6" w:space="0" w:color="auto"/>
              <w:bottom w:val="single" w:sz="6" w:space="0" w:color="auto"/>
              <w:right w:val="single" w:sz="6" w:space="0" w:color="auto"/>
            </w:tcBorders>
            <w:hideMark/>
          </w:tcPr>
          <w:p w14:paraId="4D56A062" w14:textId="77777777" w:rsidR="00521159" w:rsidRPr="00521159" w:rsidRDefault="00521159" w:rsidP="00F424C0">
            <w:pPr>
              <w:jc w:val="both"/>
              <w:rPr>
                <w:rFonts w:ascii="Arial" w:hAnsi="Arial" w:cs="Arial"/>
              </w:rPr>
            </w:pPr>
            <w:r w:rsidRPr="00521159">
              <w:rPr>
                <w:rFonts w:ascii="Arial" w:hAnsi="Arial" w:cs="Arial"/>
              </w:rPr>
              <w:t>109 </w:t>
            </w:r>
          </w:p>
        </w:tc>
        <w:tc>
          <w:tcPr>
            <w:tcW w:w="1110" w:type="dxa"/>
            <w:tcBorders>
              <w:top w:val="single" w:sz="6" w:space="0" w:color="auto"/>
              <w:left w:val="single" w:sz="6" w:space="0" w:color="auto"/>
              <w:bottom w:val="single" w:sz="6" w:space="0" w:color="auto"/>
              <w:right w:val="single" w:sz="6" w:space="0" w:color="auto"/>
            </w:tcBorders>
            <w:hideMark/>
          </w:tcPr>
          <w:p w14:paraId="0F53A4B9" w14:textId="40995270"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8.72</w:t>
            </w:r>
          </w:p>
        </w:tc>
        <w:tc>
          <w:tcPr>
            <w:tcW w:w="1470" w:type="dxa"/>
            <w:tcBorders>
              <w:top w:val="single" w:sz="6" w:space="0" w:color="auto"/>
              <w:left w:val="single" w:sz="6" w:space="0" w:color="auto"/>
              <w:bottom w:val="single" w:sz="6" w:space="0" w:color="auto"/>
              <w:right w:val="single" w:sz="6" w:space="0" w:color="auto"/>
            </w:tcBorders>
            <w:hideMark/>
          </w:tcPr>
          <w:p w14:paraId="16E30DDF" w14:textId="3807C623"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15.28</w:t>
            </w:r>
          </w:p>
        </w:tc>
      </w:tr>
      <w:tr w:rsidR="00521159" w:rsidRPr="00521159" w14:paraId="45BB6485" w14:textId="77777777" w:rsidTr="007952FE">
        <w:trPr>
          <w:trHeight w:val="270"/>
        </w:trPr>
        <w:tc>
          <w:tcPr>
            <w:tcW w:w="1215" w:type="dxa"/>
            <w:tcBorders>
              <w:top w:val="single" w:sz="6" w:space="0" w:color="auto"/>
              <w:left w:val="single" w:sz="6" w:space="0" w:color="auto"/>
              <w:bottom w:val="single" w:sz="6" w:space="0" w:color="auto"/>
              <w:right w:val="single" w:sz="6" w:space="0" w:color="auto"/>
            </w:tcBorders>
            <w:hideMark/>
          </w:tcPr>
          <w:p w14:paraId="238B1609" w14:textId="77777777" w:rsidR="00521159" w:rsidRPr="00521159" w:rsidRDefault="00521159" w:rsidP="00F424C0">
            <w:pPr>
              <w:jc w:val="both"/>
              <w:rPr>
                <w:rFonts w:ascii="Arial" w:hAnsi="Arial" w:cs="Arial"/>
              </w:rPr>
            </w:pPr>
            <w:r w:rsidRPr="00521159">
              <w:rPr>
                <w:rFonts w:ascii="Arial" w:hAnsi="Arial" w:cs="Arial"/>
              </w:rPr>
              <w:t>0.15 </w:t>
            </w:r>
          </w:p>
        </w:tc>
        <w:tc>
          <w:tcPr>
            <w:tcW w:w="1185" w:type="dxa"/>
            <w:tcBorders>
              <w:top w:val="single" w:sz="6" w:space="0" w:color="auto"/>
              <w:left w:val="single" w:sz="6" w:space="0" w:color="auto"/>
              <w:bottom w:val="single" w:sz="6" w:space="0" w:color="auto"/>
              <w:right w:val="single" w:sz="6" w:space="0" w:color="auto"/>
            </w:tcBorders>
            <w:hideMark/>
          </w:tcPr>
          <w:p w14:paraId="29D91AB5" w14:textId="77777777" w:rsidR="00521159" w:rsidRPr="00521159" w:rsidRDefault="00521159" w:rsidP="00F424C0">
            <w:pPr>
              <w:jc w:val="both"/>
              <w:rPr>
                <w:rFonts w:ascii="Arial" w:hAnsi="Arial" w:cs="Arial"/>
              </w:rPr>
            </w:pPr>
            <w:r w:rsidRPr="00521159">
              <w:rPr>
                <w:rFonts w:ascii="Arial" w:hAnsi="Arial" w:cs="Arial"/>
              </w:rPr>
              <w:t>98 </w:t>
            </w:r>
          </w:p>
        </w:tc>
        <w:tc>
          <w:tcPr>
            <w:tcW w:w="1110" w:type="dxa"/>
            <w:tcBorders>
              <w:top w:val="single" w:sz="6" w:space="0" w:color="auto"/>
              <w:left w:val="single" w:sz="6" w:space="0" w:color="auto"/>
              <w:bottom w:val="single" w:sz="6" w:space="0" w:color="auto"/>
              <w:right w:val="single" w:sz="6" w:space="0" w:color="auto"/>
            </w:tcBorders>
            <w:hideMark/>
          </w:tcPr>
          <w:p w14:paraId="08E25784" w14:textId="2E832D14"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7.84</w:t>
            </w:r>
          </w:p>
        </w:tc>
        <w:tc>
          <w:tcPr>
            <w:tcW w:w="1470" w:type="dxa"/>
            <w:tcBorders>
              <w:top w:val="single" w:sz="6" w:space="0" w:color="auto"/>
              <w:left w:val="single" w:sz="6" w:space="0" w:color="auto"/>
              <w:bottom w:val="single" w:sz="6" w:space="0" w:color="auto"/>
              <w:right w:val="single" w:sz="6" w:space="0" w:color="auto"/>
            </w:tcBorders>
            <w:hideMark/>
          </w:tcPr>
          <w:p w14:paraId="6E441A8C" w14:textId="62FCB9C6"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7.44</w:t>
            </w:r>
          </w:p>
        </w:tc>
      </w:tr>
      <w:tr w:rsidR="00521159" w:rsidRPr="00521159" w14:paraId="09EEB8DB" w14:textId="77777777" w:rsidTr="007952FE">
        <w:trPr>
          <w:trHeight w:val="285"/>
        </w:trPr>
        <w:tc>
          <w:tcPr>
            <w:tcW w:w="1215" w:type="dxa"/>
            <w:tcBorders>
              <w:top w:val="single" w:sz="6" w:space="0" w:color="auto"/>
              <w:left w:val="single" w:sz="6" w:space="0" w:color="auto"/>
              <w:bottom w:val="single" w:sz="6" w:space="0" w:color="auto"/>
              <w:right w:val="single" w:sz="6" w:space="0" w:color="auto"/>
            </w:tcBorders>
            <w:hideMark/>
          </w:tcPr>
          <w:p w14:paraId="410C1F4D" w14:textId="77777777" w:rsidR="00521159" w:rsidRPr="00521159" w:rsidRDefault="00521159" w:rsidP="00F424C0">
            <w:pPr>
              <w:jc w:val="both"/>
              <w:rPr>
                <w:rFonts w:ascii="Arial" w:hAnsi="Arial" w:cs="Arial"/>
              </w:rPr>
            </w:pPr>
            <w:r w:rsidRPr="00521159">
              <w:rPr>
                <w:rFonts w:ascii="Arial" w:hAnsi="Arial" w:cs="Arial"/>
              </w:rPr>
              <w:t>0.063 </w:t>
            </w:r>
          </w:p>
        </w:tc>
        <w:tc>
          <w:tcPr>
            <w:tcW w:w="1185" w:type="dxa"/>
            <w:tcBorders>
              <w:top w:val="single" w:sz="6" w:space="0" w:color="auto"/>
              <w:left w:val="single" w:sz="6" w:space="0" w:color="auto"/>
              <w:bottom w:val="single" w:sz="6" w:space="0" w:color="auto"/>
              <w:right w:val="single" w:sz="6" w:space="0" w:color="auto"/>
            </w:tcBorders>
            <w:hideMark/>
          </w:tcPr>
          <w:p w14:paraId="0919B6C6" w14:textId="77777777" w:rsidR="00521159" w:rsidRPr="00521159" w:rsidRDefault="00521159" w:rsidP="00F424C0">
            <w:pPr>
              <w:jc w:val="both"/>
              <w:rPr>
                <w:rFonts w:ascii="Arial" w:hAnsi="Arial" w:cs="Arial"/>
              </w:rPr>
            </w:pPr>
            <w:r w:rsidRPr="00521159">
              <w:rPr>
                <w:rFonts w:ascii="Arial" w:hAnsi="Arial" w:cs="Arial"/>
              </w:rPr>
              <w:t>55 </w:t>
            </w:r>
          </w:p>
        </w:tc>
        <w:tc>
          <w:tcPr>
            <w:tcW w:w="1110" w:type="dxa"/>
            <w:tcBorders>
              <w:top w:val="single" w:sz="6" w:space="0" w:color="auto"/>
              <w:left w:val="single" w:sz="6" w:space="0" w:color="auto"/>
              <w:bottom w:val="single" w:sz="6" w:space="0" w:color="auto"/>
              <w:right w:val="single" w:sz="6" w:space="0" w:color="auto"/>
            </w:tcBorders>
            <w:hideMark/>
          </w:tcPr>
          <w:p w14:paraId="3A858FB0" w14:textId="00C9B619"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4.4</w:t>
            </w:r>
          </w:p>
        </w:tc>
        <w:tc>
          <w:tcPr>
            <w:tcW w:w="1470" w:type="dxa"/>
            <w:tcBorders>
              <w:top w:val="single" w:sz="6" w:space="0" w:color="auto"/>
              <w:left w:val="single" w:sz="6" w:space="0" w:color="auto"/>
              <w:bottom w:val="single" w:sz="6" w:space="0" w:color="auto"/>
              <w:right w:val="single" w:sz="6" w:space="0" w:color="auto"/>
            </w:tcBorders>
            <w:hideMark/>
          </w:tcPr>
          <w:p w14:paraId="30E630E6" w14:textId="52D47AE7" w:rsidR="00521159" w:rsidRPr="00521159" w:rsidRDefault="00521159" w:rsidP="00F424C0">
            <w:pPr>
              <w:jc w:val="both"/>
              <w:rPr>
                <w:rFonts w:ascii="Arial" w:hAnsi="Arial" w:cs="Arial"/>
              </w:rPr>
            </w:pPr>
            <w:r w:rsidRPr="00521159">
              <w:rPr>
                <w:rFonts w:ascii="Arial" w:hAnsi="Arial" w:cs="Arial"/>
              </w:rPr>
              <w:t> </w:t>
            </w:r>
            <w:r w:rsidR="007264A4" w:rsidRPr="008B3ACC">
              <w:rPr>
                <w:rFonts w:ascii="Arial" w:hAnsi="Arial" w:cs="Arial"/>
              </w:rPr>
              <w:t>3.04</w:t>
            </w:r>
          </w:p>
        </w:tc>
      </w:tr>
    </w:tbl>
    <w:p w14:paraId="3FF973DD" w14:textId="77777777" w:rsidR="007952FE" w:rsidRPr="008B3ACC" w:rsidRDefault="007952FE" w:rsidP="00F424C0">
      <w:pPr>
        <w:jc w:val="both"/>
        <w:rPr>
          <w:rFonts w:ascii="Arial" w:hAnsi="Arial" w:cs="Arial"/>
          <w:b/>
          <w:bCs/>
        </w:rPr>
      </w:pPr>
      <w:r w:rsidRPr="00521159">
        <w:rPr>
          <w:rFonts w:ascii="Arial" w:hAnsi="Arial" w:cs="Arial"/>
          <w:b/>
          <w:bCs/>
        </w:rPr>
        <w:t xml:space="preserve">     </w:t>
      </w:r>
    </w:p>
    <w:p w14:paraId="4A9F3076" w14:textId="77777777" w:rsidR="001F158A" w:rsidRPr="008B3ACC" w:rsidRDefault="001F158A" w:rsidP="00F424C0">
      <w:pPr>
        <w:jc w:val="both"/>
        <w:rPr>
          <w:rFonts w:ascii="Arial" w:hAnsi="Arial" w:cs="Arial"/>
          <w:b/>
          <w:bCs/>
        </w:rPr>
      </w:pPr>
    </w:p>
    <w:p w14:paraId="2785C63E" w14:textId="593D4DD0" w:rsidR="007952FE" w:rsidRPr="008B3ACC" w:rsidRDefault="007952FE" w:rsidP="00F424C0">
      <w:pPr>
        <w:jc w:val="both"/>
        <w:rPr>
          <w:rFonts w:ascii="Arial" w:hAnsi="Arial" w:cs="Arial"/>
          <w:b/>
          <w:bCs/>
        </w:rPr>
      </w:pPr>
      <w:r w:rsidRPr="00521159">
        <w:rPr>
          <w:rFonts w:ascii="Arial" w:hAnsi="Arial" w:cs="Arial"/>
          <w:b/>
          <w:bCs/>
        </w:rPr>
        <w:t>4).</w:t>
      </w:r>
      <w:r w:rsidRPr="00521159">
        <w:rPr>
          <w:rFonts w:ascii="Arial" w:hAnsi="Arial" w:cs="Arial"/>
        </w:rPr>
        <w:t> </w:t>
      </w:r>
      <w:r w:rsidRPr="008B3ACC">
        <w:rPr>
          <w:rFonts w:ascii="Arial" w:hAnsi="Arial" w:cs="Arial"/>
          <w:b/>
          <w:bCs/>
        </w:rPr>
        <w:t>b</w:t>
      </w:r>
      <w:r w:rsidRPr="008B3ACC">
        <w:rPr>
          <w:rFonts w:ascii="Arial" w:hAnsi="Arial" w:cs="Arial"/>
          <w:b/>
          <w:bCs/>
        </w:rPr>
        <w:t>.)</w:t>
      </w:r>
    </w:p>
    <w:p w14:paraId="1048EDFA" w14:textId="3E673B82" w:rsidR="00521159" w:rsidRPr="008B3ACC" w:rsidRDefault="007952FE" w:rsidP="00F424C0">
      <w:pPr>
        <w:jc w:val="both"/>
        <w:rPr>
          <w:rFonts w:ascii="Arial" w:hAnsi="Arial" w:cs="Arial"/>
        </w:rPr>
      </w:pPr>
      <w:r w:rsidRPr="008B3ACC">
        <w:rPr>
          <w:rFonts w:ascii="Arial" w:hAnsi="Arial" w:cs="Arial"/>
        </w:rPr>
        <w:t>The percentage of coarse aggregate in the mix is 30.8%. This represents the number of particles that are 20-6.3mm in diameter. The sum of the percentage left on the sieve for the 20mm,10m and 6.3mm sieves gives you this percentage. (10.96% + 11.44% + 8.4%)</w:t>
      </w:r>
    </w:p>
    <w:p w14:paraId="45CF00A6" w14:textId="5FC8A130" w:rsidR="001F158A" w:rsidRPr="008B3ACC" w:rsidRDefault="007952FE" w:rsidP="00F424C0">
      <w:pPr>
        <w:jc w:val="both"/>
        <w:rPr>
          <w:rFonts w:ascii="Arial" w:hAnsi="Arial" w:cs="Arial"/>
        </w:rPr>
      </w:pPr>
      <w:r w:rsidRPr="008B3ACC">
        <w:rPr>
          <w:rFonts w:ascii="Arial" w:hAnsi="Arial" w:cs="Arial"/>
        </w:rPr>
        <w:lastRenderedPageBreak/>
        <w:t>The percentage of fine aggregates in the mix is</w:t>
      </w:r>
      <w:r w:rsidR="001F158A" w:rsidRPr="008B3ACC">
        <w:rPr>
          <w:rFonts w:ascii="Arial" w:hAnsi="Arial" w:cs="Arial"/>
        </w:rPr>
        <w:t xml:space="preserve"> 56.56%. </w:t>
      </w:r>
      <w:r w:rsidR="001F158A" w:rsidRPr="008B3ACC">
        <w:rPr>
          <w:rFonts w:ascii="Arial" w:hAnsi="Arial" w:cs="Arial"/>
        </w:rPr>
        <w:t xml:space="preserve">This represents the number of particles that are </w:t>
      </w:r>
      <w:r w:rsidR="001F158A" w:rsidRPr="008B3ACC">
        <w:rPr>
          <w:rFonts w:ascii="Arial" w:hAnsi="Arial" w:cs="Arial"/>
        </w:rPr>
        <w:t>3.35</w:t>
      </w:r>
      <w:r w:rsidR="001F158A" w:rsidRPr="008B3ACC">
        <w:rPr>
          <w:rFonts w:ascii="Arial" w:hAnsi="Arial" w:cs="Arial"/>
        </w:rPr>
        <w:t>-</w:t>
      </w:r>
      <w:r w:rsidR="001F158A" w:rsidRPr="008B3ACC">
        <w:rPr>
          <w:rFonts w:ascii="Arial" w:hAnsi="Arial" w:cs="Arial"/>
        </w:rPr>
        <w:t>0.15</w:t>
      </w:r>
      <w:r w:rsidR="001F158A" w:rsidRPr="008B3ACC">
        <w:rPr>
          <w:rFonts w:ascii="Arial" w:hAnsi="Arial" w:cs="Arial"/>
        </w:rPr>
        <w:t>mm in diameter.</w:t>
      </w:r>
    </w:p>
    <w:p w14:paraId="710BC1DB" w14:textId="77777777" w:rsidR="001F158A" w:rsidRPr="008B3ACC" w:rsidRDefault="001F158A" w:rsidP="00F424C0">
      <w:pPr>
        <w:jc w:val="both"/>
        <w:rPr>
          <w:rFonts w:ascii="Arial" w:hAnsi="Arial" w:cs="Arial"/>
        </w:rPr>
      </w:pPr>
    </w:p>
    <w:p w14:paraId="367B415D" w14:textId="77777777" w:rsidR="001F158A" w:rsidRPr="008B3ACC" w:rsidRDefault="001F158A" w:rsidP="00F424C0">
      <w:pPr>
        <w:jc w:val="both"/>
        <w:rPr>
          <w:rFonts w:ascii="Arial" w:hAnsi="Arial" w:cs="Arial"/>
        </w:rPr>
      </w:pPr>
    </w:p>
    <w:p w14:paraId="47EE5680" w14:textId="7826A8EB" w:rsidR="001F158A" w:rsidRPr="008B3ACC" w:rsidRDefault="00F10004" w:rsidP="00F424C0">
      <w:pPr>
        <w:jc w:val="both"/>
        <w:rPr>
          <w:rFonts w:ascii="Arial" w:hAnsi="Arial" w:cs="Arial"/>
          <w:b/>
          <w:bCs/>
        </w:rPr>
      </w:pPr>
      <w:r w:rsidRPr="008B3ACC">
        <w:rPr>
          <w:rFonts w:ascii="Arial" w:hAnsi="Arial" w:cs="Arial"/>
          <w:b/>
          <w:bCs/>
        </w:rPr>
        <w:drawing>
          <wp:anchor distT="0" distB="0" distL="114300" distR="114300" simplePos="0" relativeHeight="251658240" behindDoc="0" locked="0" layoutInCell="1" allowOverlap="1" wp14:anchorId="28CACEE5" wp14:editId="217AF55E">
            <wp:simplePos x="0" y="0"/>
            <wp:positionH relativeFrom="column">
              <wp:posOffset>-790575</wp:posOffset>
            </wp:positionH>
            <wp:positionV relativeFrom="paragraph">
              <wp:posOffset>266700</wp:posOffset>
            </wp:positionV>
            <wp:extent cx="7072347" cy="3781425"/>
            <wp:effectExtent l="0" t="0" r="0" b="0"/>
            <wp:wrapNone/>
            <wp:docPr id="38389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9423" name=""/>
                    <pic:cNvPicPr/>
                  </pic:nvPicPr>
                  <pic:blipFill>
                    <a:blip r:embed="rId8">
                      <a:extLst>
                        <a:ext uri="{28A0092B-C50C-407E-A947-70E740481C1C}">
                          <a14:useLocalDpi xmlns:a14="http://schemas.microsoft.com/office/drawing/2010/main" val="0"/>
                        </a:ext>
                      </a:extLst>
                    </a:blip>
                    <a:stretch>
                      <a:fillRect/>
                    </a:stretch>
                  </pic:blipFill>
                  <pic:spPr>
                    <a:xfrm>
                      <a:off x="0" y="0"/>
                      <a:ext cx="7077304" cy="3784076"/>
                    </a:xfrm>
                    <a:prstGeom prst="rect">
                      <a:avLst/>
                    </a:prstGeom>
                  </pic:spPr>
                </pic:pic>
              </a:graphicData>
            </a:graphic>
            <wp14:sizeRelH relativeFrom="margin">
              <wp14:pctWidth>0</wp14:pctWidth>
            </wp14:sizeRelH>
            <wp14:sizeRelV relativeFrom="margin">
              <wp14:pctHeight>0</wp14:pctHeight>
            </wp14:sizeRelV>
          </wp:anchor>
        </w:drawing>
      </w:r>
      <w:r w:rsidR="001F158A" w:rsidRPr="00521159">
        <w:rPr>
          <w:rFonts w:ascii="Arial" w:hAnsi="Arial" w:cs="Arial"/>
          <w:b/>
          <w:bCs/>
        </w:rPr>
        <w:t>4).</w:t>
      </w:r>
      <w:r w:rsidR="001F158A" w:rsidRPr="00521159">
        <w:rPr>
          <w:rFonts w:ascii="Arial" w:hAnsi="Arial" w:cs="Arial"/>
        </w:rPr>
        <w:t> </w:t>
      </w:r>
      <w:r w:rsidR="001F158A" w:rsidRPr="008B3ACC">
        <w:rPr>
          <w:rFonts w:ascii="Arial" w:hAnsi="Arial" w:cs="Arial"/>
          <w:b/>
          <w:bCs/>
        </w:rPr>
        <w:t>c</w:t>
      </w:r>
      <w:r w:rsidR="001F158A" w:rsidRPr="008B3ACC">
        <w:rPr>
          <w:rFonts w:ascii="Arial" w:hAnsi="Arial" w:cs="Arial"/>
          <w:b/>
          <w:bCs/>
        </w:rPr>
        <w:t>.)</w:t>
      </w:r>
    </w:p>
    <w:p w14:paraId="0532A4FB" w14:textId="62E2CF98" w:rsidR="001B6CC7" w:rsidRPr="008B3ACC" w:rsidRDefault="001B6CC7" w:rsidP="00F424C0">
      <w:pPr>
        <w:jc w:val="both"/>
        <w:rPr>
          <w:rFonts w:ascii="Arial" w:hAnsi="Arial" w:cs="Arial"/>
          <w:b/>
          <w:bCs/>
        </w:rPr>
      </w:pPr>
    </w:p>
    <w:p w14:paraId="711FA158" w14:textId="2CE9119C" w:rsidR="001B6CC7" w:rsidRPr="008B3ACC" w:rsidRDefault="001B6CC7" w:rsidP="00F424C0">
      <w:pPr>
        <w:jc w:val="both"/>
        <w:rPr>
          <w:rFonts w:ascii="Arial" w:hAnsi="Arial" w:cs="Arial"/>
          <w:b/>
          <w:bCs/>
        </w:rPr>
      </w:pPr>
    </w:p>
    <w:p w14:paraId="393BCB56" w14:textId="3D0B5E1F" w:rsidR="00F10004" w:rsidRPr="008B3ACC" w:rsidRDefault="00F10004" w:rsidP="00F424C0">
      <w:pPr>
        <w:jc w:val="both"/>
        <w:rPr>
          <w:rFonts w:ascii="Arial" w:hAnsi="Arial" w:cs="Arial"/>
          <w:b/>
          <w:bCs/>
        </w:rPr>
      </w:pPr>
    </w:p>
    <w:p w14:paraId="38C3BB1F" w14:textId="77777777" w:rsidR="001F158A" w:rsidRPr="008B3ACC" w:rsidRDefault="001F158A" w:rsidP="00F424C0">
      <w:pPr>
        <w:jc w:val="both"/>
        <w:rPr>
          <w:rFonts w:ascii="Arial" w:hAnsi="Arial" w:cs="Arial"/>
        </w:rPr>
      </w:pPr>
    </w:p>
    <w:p w14:paraId="14809833" w14:textId="3158AEE8" w:rsidR="007952FE" w:rsidRPr="008B3ACC" w:rsidRDefault="007952FE" w:rsidP="00F424C0">
      <w:pPr>
        <w:jc w:val="both"/>
        <w:rPr>
          <w:rFonts w:ascii="Arial" w:hAnsi="Arial" w:cs="Arial"/>
        </w:rPr>
      </w:pPr>
    </w:p>
    <w:p w14:paraId="685624B9" w14:textId="316AA5F4" w:rsidR="00521159" w:rsidRPr="00521159" w:rsidRDefault="00521159" w:rsidP="00F424C0">
      <w:pPr>
        <w:jc w:val="both"/>
        <w:rPr>
          <w:rFonts w:ascii="Arial" w:hAnsi="Arial" w:cs="Arial"/>
        </w:rPr>
      </w:pPr>
    </w:p>
    <w:p w14:paraId="7495E490" w14:textId="77777777" w:rsidR="00521159" w:rsidRPr="008B3ACC" w:rsidRDefault="00521159" w:rsidP="00F424C0">
      <w:pPr>
        <w:jc w:val="both"/>
        <w:rPr>
          <w:rFonts w:ascii="Arial" w:hAnsi="Arial" w:cs="Arial"/>
        </w:rPr>
      </w:pPr>
    </w:p>
    <w:p w14:paraId="4FD63BC7" w14:textId="77777777" w:rsidR="00521159" w:rsidRPr="008B3ACC" w:rsidRDefault="00521159" w:rsidP="00F424C0">
      <w:pPr>
        <w:jc w:val="both"/>
        <w:rPr>
          <w:rFonts w:ascii="Arial" w:hAnsi="Arial" w:cs="Arial"/>
        </w:rPr>
      </w:pPr>
    </w:p>
    <w:p w14:paraId="49D365C7" w14:textId="77777777" w:rsidR="00F10004" w:rsidRPr="008B3ACC" w:rsidRDefault="00F10004" w:rsidP="00F424C0">
      <w:pPr>
        <w:jc w:val="both"/>
        <w:rPr>
          <w:rFonts w:ascii="Arial" w:hAnsi="Arial" w:cs="Arial"/>
        </w:rPr>
      </w:pPr>
    </w:p>
    <w:p w14:paraId="1F19B4B7" w14:textId="77777777" w:rsidR="00F10004" w:rsidRPr="008B3ACC" w:rsidRDefault="00F10004" w:rsidP="00F424C0">
      <w:pPr>
        <w:jc w:val="both"/>
        <w:rPr>
          <w:rFonts w:ascii="Arial" w:hAnsi="Arial" w:cs="Arial"/>
        </w:rPr>
      </w:pPr>
    </w:p>
    <w:p w14:paraId="21737D05" w14:textId="77777777" w:rsidR="00F10004" w:rsidRPr="008B3ACC" w:rsidRDefault="00F10004" w:rsidP="00F424C0">
      <w:pPr>
        <w:jc w:val="both"/>
        <w:rPr>
          <w:rFonts w:ascii="Arial" w:hAnsi="Arial" w:cs="Arial"/>
        </w:rPr>
      </w:pPr>
    </w:p>
    <w:p w14:paraId="39282DBA" w14:textId="77777777" w:rsidR="00F10004" w:rsidRPr="008B3ACC" w:rsidRDefault="00F10004" w:rsidP="00F424C0">
      <w:pPr>
        <w:jc w:val="both"/>
        <w:rPr>
          <w:rFonts w:ascii="Arial" w:hAnsi="Arial" w:cs="Arial"/>
        </w:rPr>
      </w:pPr>
    </w:p>
    <w:p w14:paraId="215015C0" w14:textId="77777777" w:rsidR="00F10004" w:rsidRPr="008B3ACC" w:rsidRDefault="00F10004" w:rsidP="00F424C0">
      <w:pPr>
        <w:jc w:val="both"/>
        <w:rPr>
          <w:rFonts w:ascii="Arial" w:hAnsi="Arial" w:cs="Arial"/>
        </w:rPr>
      </w:pPr>
    </w:p>
    <w:p w14:paraId="46391300" w14:textId="6B293635" w:rsidR="00F10004" w:rsidRPr="008B3ACC" w:rsidRDefault="00F10004" w:rsidP="00F424C0">
      <w:pPr>
        <w:jc w:val="both"/>
        <w:rPr>
          <w:rFonts w:ascii="Arial" w:hAnsi="Arial" w:cs="Arial"/>
        </w:rPr>
      </w:pPr>
      <w:r w:rsidRPr="00521159">
        <w:rPr>
          <w:rFonts w:ascii="Arial" w:hAnsi="Arial" w:cs="Arial"/>
          <w:b/>
          <w:bCs/>
        </w:rPr>
        <w:t>4).</w:t>
      </w:r>
      <w:r w:rsidRPr="00521159">
        <w:rPr>
          <w:rFonts w:ascii="Arial" w:hAnsi="Arial" w:cs="Arial"/>
        </w:rPr>
        <w:t> </w:t>
      </w:r>
      <w:r w:rsidRPr="008B3ACC">
        <w:rPr>
          <w:rFonts w:ascii="Arial" w:hAnsi="Arial" w:cs="Arial"/>
          <w:b/>
          <w:bCs/>
        </w:rPr>
        <w:t>d</w:t>
      </w:r>
      <w:r w:rsidRPr="008B3ACC">
        <w:rPr>
          <w:rFonts w:ascii="Arial" w:hAnsi="Arial" w:cs="Arial"/>
          <w:b/>
          <w:bCs/>
        </w:rPr>
        <w:t>.)</w:t>
      </w:r>
    </w:p>
    <w:p w14:paraId="279FB88F" w14:textId="15AE995A" w:rsidR="00F448E0" w:rsidRPr="008B3ACC" w:rsidRDefault="00F10004" w:rsidP="00F424C0">
      <w:pPr>
        <w:jc w:val="both"/>
        <w:rPr>
          <w:rFonts w:ascii="Arial" w:hAnsi="Arial" w:cs="Arial"/>
        </w:rPr>
      </w:pPr>
      <w:r w:rsidRPr="008B3ACC">
        <w:rPr>
          <w:rFonts w:ascii="Arial" w:hAnsi="Arial" w:cs="Arial"/>
        </w:rPr>
        <w:t>There are no aggregates which we would consider as boulders in the sample. There are very few particles which we wo</w:t>
      </w:r>
      <w:r w:rsidR="004A3655" w:rsidRPr="008B3ACC">
        <w:rPr>
          <w:rFonts w:ascii="Arial" w:hAnsi="Arial" w:cs="Arial"/>
        </w:rPr>
        <w:t>uld consider to be cobbles.</w:t>
      </w:r>
      <w:r w:rsidR="00ED2527" w:rsidRPr="008B3ACC">
        <w:rPr>
          <w:rFonts w:ascii="Arial" w:hAnsi="Arial" w:cs="Arial"/>
        </w:rPr>
        <w:t xml:space="preserve"> We do not know the consistency of the sample from this data. The </w:t>
      </w:r>
      <w:r w:rsidR="00C60F52" w:rsidRPr="008B3ACC">
        <w:rPr>
          <w:rFonts w:ascii="Arial" w:hAnsi="Arial" w:cs="Arial"/>
        </w:rPr>
        <w:t>particles</w:t>
      </w:r>
      <w:r w:rsidR="00ED2527" w:rsidRPr="008B3ACC">
        <w:rPr>
          <w:rFonts w:ascii="Arial" w:hAnsi="Arial" w:cs="Arial"/>
        </w:rPr>
        <w:t xml:space="preserve"> could be very angular or rounded or </w:t>
      </w:r>
      <w:r w:rsidR="00C60F52" w:rsidRPr="008B3ACC">
        <w:rPr>
          <w:rFonts w:ascii="Arial" w:hAnsi="Arial" w:cs="Arial"/>
        </w:rPr>
        <w:t xml:space="preserve">a mixture of both. This </w:t>
      </w:r>
      <w:r w:rsidR="000D6092" w:rsidRPr="008B3ACC">
        <w:rPr>
          <w:rFonts w:ascii="Arial" w:hAnsi="Arial" w:cs="Arial"/>
        </w:rPr>
        <w:t xml:space="preserve">would </w:t>
      </w:r>
      <w:r w:rsidR="00437C42" w:rsidRPr="008B3ACC">
        <w:rPr>
          <w:rFonts w:ascii="Arial" w:hAnsi="Arial" w:cs="Arial"/>
        </w:rPr>
        <w:t>affect</w:t>
      </w:r>
      <w:r w:rsidR="000D6092" w:rsidRPr="008B3ACC">
        <w:rPr>
          <w:rFonts w:ascii="Arial" w:hAnsi="Arial" w:cs="Arial"/>
        </w:rPr>
        <w:t xml:space="preserve"> the quality of the concrete if this is used in the cement because the shape of the grains can </w:t>
      </w:r>
      <w:r w:rsidR="00437C42" w:rsidRPr="008B3ACC">
        <w:rPr>
          <w:rFonts w:ascii="Arial" w:hAnsi="Arial" w:cs="Arial"/>
        </w:rPr>
        <w:t>affect the strength of the bind due to different porosities and frictions</w:t>
      </w:r>
      <w:r w:rsidR="004A6114" w:rsidRPr="008B3ACC">
        <w:rPr>
          <w:rFonts w:ascii="Arial" w:hAnsi="Arial" w:cs="Arial"/>
        </w:rPr>
        <w:t xml:space="preserve">. </w:t>
      </w:r>
      <w:r w:rsidR="009543A9" w:rsidRPr="008B3ACC">
        <w:rPr>
          <w:rFonts w:ascii="Arial" w:hAnsi="Arial" w:cs="Arial"/>
        </w:rPr>
        <w:t xml:space="preserve">For </w:t>
      </w:r>
      <w:r w:rsidR="00011E13" w:rsidRPr="008B3ACC">
        <w:rPr>
          <w:rFonts w:ascii="Arial" w:hAnsi="Arial" w:cs="Arial"/>
        </w:rPr>
        <w:t xml:space="preserve">concrete that is required to be very strong </w:t>
      </w:r>
      <w:r w:rsidR="00A800BA" w:rsidRPr="008B3ACC">
        <w:rPr>
          <w:rFonts w:ascii="Arial" w:hAnsi="Arial" w:cs="Arial"/>
        </w:rPr>
        <w:t xml:space="preserve">and dense you want a good function of gradation on this graph. This means that </w:t>
      </w:r>
      <w:r w:rsidR="005F29B0" w:rsidRPr="008B3ACC">
        <w:rPr>
          <w:rFonts w:ascii="Arial" w:hAnsi="Arial" w:cs="Arial"/>
        </w:rPr>
        <w:t>you would see similar amounts of the sample left on the sieve each time</w:t>
      </w:r>
      <w:r w:rsidR="00D539DA" w:rsidRPr="008B3ACC">
        <w:rPr>
          <w:rFonts w:ascii="Arial" w:hAnsi="Arial" w:cs="Arial"/>
        </w:rPr>
        <w:t xml:space="preserve">. If the sample is missing particles of a certain size, it would </w:t>
      </w:r>
      <w:r w:rsidR="00080A52" w:rsidRPr="008B3ACC">
        <w:rPr>
          <w:rFonts w:ascii="Arial" w:hAnsi="Arial" w:cs="Arial"/>
        </w:rPr>
        <w:t>limit the utility of the aggregate because there will be voids in the concrete that will not be adequa</w:t>
      </w:r>
      <w:r w:rsidR="00362D68" w:rsidRPr="008B3ACC">
        <w:rPr>
          <w:rFonts w:ascii="Arial" w:hAnsi="Arial" w:cs="Arial"/>
        </w:rPr>
        <w:t xml:space="preserve">tely filled. </w:t>
      </w:r>
      <w:r w:rsidR="00D73CB7" w:rsidRPr="008B3ACC">
        <w:rPr>
          <w:rFonts w:ascii="Arial" w:hAnsi="Arial" w:cs="Arial"/>
        </w:rPr>
        <w:t xml:space="preserve"> The sample has a high</w:t>
      </w:r>
      <w:r w:rsidR="0068696B" w:rsidRPr="008B3ACC">
        <w:rPr>
          <w:rFonts w:ascii="Arial" w:hAnsi="Arial" w:cs="Arial"/>
        </w:rPr>
        <w:t xml:space="preserve"> percentage of fines in compa</w:t>
      </w:r>
      <w:r w:rsidR="00001691" w:rsidRPr="008B3ACC">
        <w:rPr>
          <w:rFonts w:ascii="Arial" w:hAnsi="Arial" w:cs="Arial"/>
        </w:rPr>
        <w:t xml:space="preserve">rison to coarse. This means that the sample is more workable as there </w:t>
      </w:r>
      <w:r w:rsidR="00D312B0" w:rsidRPr="008B3ACC">
        <w:rPr>
          <w:rFonts w:ascii="Arial" w:hAnsi="Arial" w:cs="Arial"/>
        </w:rPr>
        <w:t xml:space="preserve">is a high </w:t>
      </w:r>
      <w:r w:rsidR="007533B9" w:rsidRPr="008B3ACC">
        <w:rPr>
          <w:rFonts w:ascii="Arial" w:hAnsi="Arial" w:cs="Arial"/>
        </w:rPr>
        <w:t>number</w:t>
      </w:r>
      <w:r w:rsidR="00D312B0" w:rsidRPr="008B3ACC">
        <w:rPr>
          <w:rFonts w:ascii="Arial" w:hAnsi="Arial" w:cs="Arial"/>
        </w:rPr>
        <w:t xml:space="preserve"> of well-rounded particles but its bind strength will be less than other </w:t>
      </w:r>
      <w:r w:rsidR="002E0DE3" w:rsidRPr="008B3ACC">
        <w:rPr>
          <w:rFonts w:ascii="Arial" w:hAnsi="Arial" w:cs="Arial"/>
        </w:rPr>
        <w:t>aggregates. Due to the weakness of the bind, I think that backfilling would be the best use of this aggregate so long as the are</w:t>
      </w:r>
      <w:r w:rsidR="007533B9" w:rsidRPr="008B3ACC">
        <w:rPr>
          <w:rFonts w:ascii="Arial" w:hAnsi="Arial" w:cs="Arial"/>
        </w:rPr>
        <w:t>a</w:t>
      </w:r>
      <w:r w:rsidR="002E0DE3" w:rsidRPr="008B3ACC">
        <w:rPr>
          <w:rFonts w:ascii="Arial" w:hAnsi="Arial" w:cs="Arial"/>
        </w:rPr>
        <w:t xml:space="preserve"> being backfilled will not be required to bear heavy loads.</w:t>
      </w:r>
    </w:p>
    <w:p w14:paraId="5BCD2109" w14:textId="77777777" w:rsidR="00F448E0" w:rsidRPr="008B3ACC" w:rsidRDefault="00F448E0" w:rsidP="00F424C0">
      <w:pPr>
        <w:jc w:val="both"/>
        <w:rPr>
          <w:rFonts w:ascii="Arial" w:hAnsi="Arial" w:cs="Arial"/>
        </w:rPr>
      </w:pPr>
    </w:p>
    <w:p w14:paraId="1AE41377" w14:textId="77777777" w:rsidR="00F448E0" w:rsidRPr="008B3ACC" w:rsidRDefault="00F448E0" w:rsidP="00F424C0">
      <w:pPr>
        <w:jc w:val="both"/>
        <w:rPr>
          <w:rFonts w:ascii="Arial" w:hAnsi="Arial" w:cs="Arial"/>
          <w:b/>
          <w:bCs/>
        </w:rPr>
      </w:pPr>
      <w:r w:rsidRPr="008B3ACC">
        <w:rPr>
          <w:rFonts w:ascii="Arial" w:hAnsi="Arial" w:cs="Arial"/>
          <w:b/>
          <w:bCs/>
        </w:rPr>
        <w:t>Bibiliography</w:t>
      </w:r>
    </w:p>
    <w:p w14:paraId="1703BB49" w14:textId="275FA25A" w:rsidR="00F448E0" w:rsidRPr="00F448E0" w:rsidRDefault="00F448E0" w:rsidP="00F424C0">
      <w:pPr>
        <w:jc w:val="both"/>
        <w:rPr>
          <w:rFonts w:ascii="Arial" w:hAnsi="Arial" w:cs="Arial"/>
        </w:rPr>
      </w:pPr>
      <w:r w:rsidRPr="00F448E0">
        <w:rPr>
          <w:rFonts w:ascii="Arial" w:hAnsi="Arial" w:cs="Arial"/>
        </w:rPr>
        <w:t xml:space="preserve">Bandera, G. (2024). </w:t>
      </w:r>
      <w:r w:rsidRPr="00F448E0">
        <w:rPr>
          <w:rFonts w:ascii="Arial" w:hAnsi="Arial" w:cs="Arial"/>
          <w:i/>
          <w:iCs/>
        </w:rPr>
        <w:t>Why is Concrete so Damaging to the Environment?</w:t>
      </w:r>
      <w:r w:rsidRPr="00F448E0">
        <w:rPr>
          <w:rFonts w:ascii="Arial" w:hAnsi="Arial" w:cs="Arial"/>
        </w:rPr>
        <w:t xml:space="preserve"> [online] FairPlanet. Available at: https://www.fairplanet.org/story/concrete-climate-change-environmental-injustice/.</w:t>
      </w:r>
    </w:p>
    <w:p w14:paraId="05348ECE" w14:textId="77777777" w:rsidR="00F448E0" w:rsidRPr="00F448E0" w:rsidRDefault="00F448E0" w:rsidP="00F424C0">
      <w:pPr>
        <w:jc w:val="both"/>
        <w:rPr>
          <w:rFonts w:ascii="Arial" w:hAnsi="Arial" w:cs="Arial"/>
        </w:rPr>
      </w:pPr>
      <w:r w:rsidRPr="00F448E0">
        <w:rPr>
          <w:rFonts w:ascii="Arial" w:hAnsi="Arial" w:cs="Arial"/>
        </w:rPr>
        <w:t xml:space="preserve">Bob (2025). </w:t>
      </w:r>
      <w:r w:rsidRPr="00F448E0">
        <w:rPr>
          <w:rFonts w:ascii="Arial" w:hAnsi="Arial" w:cs="Arial"/>
          <w:i/>
          <w:iCs/>
        </w:rPr>
        <w:t>Exploring The Disadvantages Of Cement Production: Environmental, Health, And Economic Impacts - ConcreteCaptain.com</w:t>
      </w:r>
      <w:r w:rsidRPr="00F448E0">
        <w:rPr>
          <w:rFonts w:ascii="Arial" w:hAnsi="Arial" w:cs="Arial"/>
        </w:rPr>
        <w:t>. [online] ConcreteCaptain.com. Available at: https://concretecaptain.com/disadvantages-of-cement-production/.</w:t>
      </w:r>
    </w:p>
    <w:p w14:paraId="4C57198D" w14:textId="77777777" w:rsidR="00F448E0" w:rsidRPr="00F448E0" w:rsidRDefault="00F448E0" w:rsidP="00F424C0">
      <w:pPr>
        <w:jc w:val="both"/>
        <w:rPr>
          <w:rFonts w:ascii="Arial" w:hAnsi="Arial" w:cs="Arial"/>
        </w:rPr>
      </w:pPr>
      <w:r w:rsidRPr="00F448E0">
        <w:rPr>
          <w:rFonts w:ascii="Arial" w:hAnsi="Arial" w:cs="Arial"/>
        </w:rPr>
        <w:t xml:space="preserve">Brooks, M. (2020). </w:t>
      </w:r>
      <w:r w:rsidRPr="00F448E0">
        <w:rPr>
          <w:rFonts w:ascii="Arial" w:hAnsi="Arial" w:cs="Arial"/>
          <w:i/>
          <w:iCs/>
        </w:rPr>
        <w:t>Trellick Tower</w:t>
      </w:r>
      <w:r w:rsidRPr="00F448E0">
        <w:rPr>
          <w:rFonts w:ascii="Arial" w:hAnsi="Arial" w:cs="Arial"/>
        </w:rPr>
        <w:t>. [online] Designingbuildings.co.uk. Available at: https://www.designingbuildings.co.uk/Trellick_Tower.</w:t>
      </w:r>
    </w:p>
    <w:p w14:paraId="447C1036" w14:textId="77777777" w:rsidR="00F448E0" w:rsidRPr="00F448E0" w:rsidRDefault="00F448E0" w:rsidP="00F424C0">
      <w:pPr>
        <w:jc w:val="both"/>
        <w:rPr>
          <w:rFonts w:ascii="Arial" w:hAnsi="Arial" w:cs="Arial"/>
        </w:rPr>
      </w:pPr>
      <w:r w:rsidRPr="00F448E0">
        <w:rPr>
          <w:rFonts w:ascii="Arial" w:hAnsi="Arial" w:cs="Arial"/>
        </w:rPr>
        <w:t xml:space="preserve">Concrete Society. (2025). </w:t>
      </w:r>
      <w:r w:rsidRPr="00F448E0">
        <w:rPr>
          <w:rFonts w:ascii="Arial" w:hAnsi="Arial" w:cs="Arial"/>
          <w:i/>
          <w:iCs/>
        </w:rPr>
        <w:t>Integration of building services | Concrete Society</w:t>
      </w:r>
      <w:r w:rsidRPr="00F448E0">
        <w:rPr>
          <w:rFonts w:ascii="Arial" w:hAnsi="Arial" w:cs="Arial"/>
        </w:rPr>
        <w:t>. [online] Available at: https://www.concrete.org.uk/fingertips/integration-of-building-services/.</w:t>
      </w:r>
    </w:p>
    <w:p w14:paraId="6686C739" w14:textId="77777777" w:rsidR="00F448E0" w:rsidRPr="00F448E0" w:rsidRDefault="00F448E0" w:rsidP="00F424C0">
      <w:pPr>
        <w:jc w:val="both"/>
        <w:rPr>
          <w:rFonts w:ascii="Arial" w:hAnsi="Arial" w:cs="Arial"/>
        </w:rPr>
      </w:pPr>
      <w:r w:rsidRPr="00F448E0">
        <w:rPr>
          <w:rFonts w:ascii="Arial" w:hAnsi="Arial" w:cs="Arial"/>
        </w:rPr>
        <w:t xml:space="preserve">Notting Hill’s famous Trellick Tower. (2017). </w:t>
      </w:r>
      <w:r w:rsidRPr="00F448E0">
        <w:rPr>
          <w:rFonts w:ascii="Arial" w:hAnsi="Arial" w:cs="Arial"/>
          <w:i/>
          <w:iCs/>
        </w:rPr>
        <w:t>BBC News</w:t>
      </w:r>
      <w:r w:rsidRPr="00F448E0">
        <w:rPr>
          <w:rFonts w:ascii="Arial" w:hAnsi="Arial" w:cs="Arial"/>
        </w:rPr>
        <w:t>. [online] 1 Aug. Available at: https://www.bbc.co.uk/news/in-pictures-40728732.</w:t>
      </w:r>
    </w:p>
    <w:p w14:paraId="5B95CD37" w14:textId="77777777" w:rsidR="00F448E0" w:rsidRPr="00F448E0" w:rsidRDefault="00F448E0" w:rsidP="00F424C0">
      <w:pPr>
        <w:jc w:val="both"/>
        <w:rPr>
          <w:rFonts w:ascii="Arial" w:hAnsi="Arial" w:cs="Arial"/>
        </w:rPr>
      </w:pPr>
      <w:r w:rsidRPr="00F448E0">
        <w:rPr>
          <w:rFonts w:ascii="Arial" w:hAnsi="Arial" w:cs="Arial"/>
        </w:rPr>
        <w:t xml:space="preserve">RIBA (2021). </w:t>
      </w:r>
      <w:r w:rsidRPr="00F448E0">
        <w:rPr>
          <w:rFonts w:ascii="Arial" w:hAnsi="Arial" w:cs="Arial"/>
          <w:i/>
          <w:iCs/>
        </w:rPr>
        <w:t>A Tale of Two Towers: Trellick Tower turns 50</w:t>
      </w:r>
      <w:r w:rsidRPr="00F448E0">
        <w:rPr>
          <w:rFonts w:ascii="Arial" w:hAnsi="Arial" w:cs="Arial"/>
        </w:rPr>
        <w:t>. [online] Riba.org. Available at: https://www.riba.org/explore/riba-collections/inside-our-collections/trellick-tower-turns-50/.</w:t>
      </w:r>
    </w:p>
    <w:p w14:paraId="1CEEAC52" w14:textId="77777777" w:rsidR="00F448E0" w:rsidRPr="00F448E0" w:rsidRDefault="00F448E0" w:rsidP="00F424C0">
      <w:pPr>
        <w:jc w:val="both"/>
        <w:rPr>
          <w:rFonts w:ascii="Arial" w:hAnsi="Arial" w:cs="Arial"/>
        </w:rPr>
      </w:pPr>
      <w:r w:rsidRPr="00F448E0">
        <w:rPr>
          <w:rFonts w:ascii="Arial" w:hAnsi="Arial" w:cs="Arial"/>
        </w:rPr>
        <w:t xml:space="preserve">Richardson, P. (2021). </w:t>
      </w:r>
      <w:r w:rsidRPr="00F448E0">
        <w:rPr>
          <w:rFonts w:ascii="Arial" w:hAnsi="Arial" w:cs="Arial"/>
          <w:i/>
          <w:iCs/>
        </w:rPr>
        <w:t>Harnessing the Dystopian Dread of the Brutalist Tower Block</w:t>
      </w:r>
      <w:r w:rsidRPr="00F448E0">
        <w:rPr>
          <w:rFonts w:ascii="Arial" w:hAnsi="Arial" w:cs="Arial"/>
        </w:rPr>
        <w:t>. [online] Atlas Obscura. Available at: https://www.atlasobscura.com/articles/ballard-high-rise-inspiration.</w:t>
      </w:r>
    </w:p>
    <w:p w14:paraId="0B558A80" w14:textId="77777777" w:rsidR="00F448E0" w:rsidRPr="00F448E0" w:rsidRDefault="00F448E0" w:rsidP="00F424C0">
      <w:pPr>
        <w:jc w:val="both"/>
        <w:rPr>
          <w:rFonts w:ascii="Arial" w:hAnsi="Arial" w:cs="Arial"/>
        </w:rPr>
      </w:pPr>
      <w:r w:rsidRPr="00F448E0">
        <w:rPr>
          <w:rFonts w:ascii="Arial" w:hAnsi="Arial" w:cs="Arial"/>
        </w:rPr>
        <w:t xml:space="preserve">Team, A. (2025). </w:t>
      </w:r>
      <w:r w:rsidRPr="00F448E0">
        <w:rPr>
          <w:rFonts w:ascii="Arial" w:hAnsi="Arial" w:cs="Arial"/>
          <w:i/>
          <w:iCs/>
        </w:rPr>
        <w:t>Trellick Tower by Ernő Goldfinger: A Brutalist Landmark in London | ArchEyes</w:t>
      </w:r>
      <w:r w:rsidRPr="00F448E0">
        <w:rPr>
          <w:rFonts w:ascii="Arial" w:hAnsi="Arial" w:cs="Arial"/>
        </w:rPr>
        <w:t>. [online] ArchEyes. Available at: https://archeyes.com/trellick-tower-by-erno-goldfinger-a-brutalist-landmark-in-london/.</w:t>
      </w:r>
    </w:p>
    <w:p w14:paraId="6BAF19A1" w14:textId="77777777" w:rsidR="00F448E0" w:rsidRPr="00F448E0" w:rsidRDefault="00F448E0" w:rsidP="00F424C0">
      <w:pPr>
        <w:jc w:val="both"/>
        <w:rPr>
          <w:rFonts w:ascii="Arial" w:hAnsi="Arial" w:cs="Arial"/>
        </w:rPr>
      </w:pPr>
      <w:r w:rsidRPr="00F448E0">
        <w:rPr>
          <w:rFonts w:ascii="Arial" w:hAnsi="Arial" w:cs="Arial"/>
        </w:rPr>
        <w:t xml:space="preserve">UK Green Building Council (n.d.). </w:t>
      </w:r>
      <w:r w:rsidRPr="00F448E0">
        <w:rPr>
          <w:rFonts w:ascii="Arial" w:hAnsi="Arial" w:cs="Arial"/>
          <w:i/>
          <w:iCs/>
        </w:rPr>
        <w:t>Environmental &amp; Ecological Impacts of Cement</w:t>
      </w:r>
      <w:r w:rsidRPr="00F448E0">
        <w:rPr>
          <w:rFonts w:ascii="Arial" w:hAnsi="Arial" w:cs="Arial"/>
        </w:rPr>
        <w:t>. [online] UKGBC. Available at: https://ukgbc.org/our-work/topics/embodied-ecological-impacts/cement/.</w:t>
      </w:r>
    </w:p>
    <w:p w14:paraId="37771A1E" w14:textId="77777777" w:rsidR="00F448E0" w:rsidRPr="00F448E0" w:rsidRDefault="00F448E0" w:rsidP="00F424C0">
      <w:pPr>
        <w:jc w:val="both"/>
        <w:rPr>
          <w:rFonts w:ascii="Arial" w:hAnsi="Arial" w:cs="Arial"/>
        </w:rPr>
      </w:pPr>
      <w:r w:rsidRPr="00F448E0">
        <w:rPr>
          <w:rFonts w:ascii="Arial" w:hAnsi="Arial" w:cs="Arial"/>
        </w:rPr>
        <w:t xml:space="preserve">Valle, G. (2021). </w:t>
      </w:r>
      <w:r w:rsidRPr="00F448E0">
        <w:rPr>
          <w:rFonts w:ascii="Arial" w:hAnsi="Arial" w:cs="Arial"/>
          <w:i/>
          <w:iCs/>
        </w:rPr>
        <w:t>Concrete vs. Steel: Pros and Cons of Each - BuilderSpace</w:t>
      </w:r>
      <w:r w:rsidRPr="00F448E0">
        <w:rPr>
          <w:rFonts w:ascii="Arial" w:hAnsi="Arial" w:cs="Arial"/>
        </w:rPr>
        <w:t>. [online] www.builderspace.com. Available at: https://www.builderspace.com/concrete-vs-steel-which-is-better-for-buildings.</w:t>
      </w:r>
    </w:p>
    <w:p w14:paraId="6F31C8A3" w14:textId="77777777" w:rsidR="00F448E0" w:rsidRPr="00F448E0" w:rsidRDefault="00F448E0" w:rsidP="00F424C0">
      <w:pPr>
        <w:jc w:val="both"/>
        <w:rPr>
          <w:rFonts w:ascii="Arial" w:hAnsi="Arial" w:cs="Arial"/>
        </w:rPr>
      </w:pPr>
      <w:r w:rsidRPr="00F448E0">
        <w:rPr>
          <w:rFonts w:ascii="Arial" w:hAnsi="Arial" w:cs="Arial"/>
        </w:rPr>
        <w:t xml:space="preserve">Winstanley, T. (2019). </w:t>
      </w:r>
      <w:r w:rsidRPr="00F448E0">
        <w:rPr>
          <w:rFonts w:ascii="Arial" w:hAnsi="Arial" w:cs="Arial"/>
          <w:i/>
          <w:iCs/>
        </w:rPr>
        <w:t>AD Classics: Trellick Tower / Erno Goldfinger</w:t>
      </w:r>
      <w:r w:rsidRPr="00F448E0">
        <w:rPr>
          <w:rFonts w:ascii="Arial" w:hAnsi="Arial" w:cs="Arial"/>
        </w:rPr>
        <w:t>. [online] ArchDaily. Available at: https://www.archdaily.com/151227/ad-classics-trellick-tower-erno-goldfinger.</w:t>
      </w:r>
    </w:p>
    <w:p w14:paraId="63EB09F4" w14:textId="77777777" w:rsidR="00F448E0" w:rsidRPr="00F448E0" w:rsidRDefault="00F448E0" w:rsidP="00F424C0">
      <w:pPr>
        <w:jc w:val="both"/>
        <w:rPr>
          <w:rFonts w:ascii="Arial" w:hAnsi="Arial" w:cs="Arial"/>
        </w:rPr>
      </w:pPr>
      <w:r w:rsidRPr="00F448E0">
        <w:rPr>
          <w:rFonts w:ascii="Arial" w:hAnsi="Arial" w:cs="Arial"/>
        </w:rPr>
        <w:t xml:space="preserve">Wolfe, R. (2013). </w:t>
      </w:r>
      <w:r w:rsidRPr="00F448E0">
        <w:rPr>
          <w:rFonts w:ascii="Arial" w:hAnsi="Arial" w:cs="Arial"/>
          <w:i/>
          <w:iCs/>
        </w:rPr>
        <w:t>Trellick Tower: The fall and rise of a modern monument</w:t>
      </w:r>
      <w:r w:rsidRPr="00F448E0">
        <w:rPr>
          <w:rFonts w:ascii="Arial" w:hAnsi="Arial" w:cs="Arial"/>
        </w:rPr>
        <w:t>. [online] The Charnel-House. Available at: https://thecharnelhouse.org/2013/08/28/trellick-tower-the-fall-and-rise-of-a-modern-monument/.</w:t>
      </w:r>
    </w:p>
    <w:p w14:paraId="33C0BF99" w14:textId="77777777" w:rsidR="00F448E0" w:rsidRPr="008B3ACC" w:rsidRDefault="00F448E0" w:rsidP="00F424C0">
      <w:pPr>
        <w:jc w:val="both"/>
        <w:rPr>
          <w:rFonts w:ascii="Arial" w:hAnsi="Arial" w:cs="Arial"/>
        </w:rPr>
      </w:pPr>
    </w:p>
    <w:sectPr w:rsidR="00F448E0" w:rsidRPr="008B3AC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1AAFB" w14:textId="77777777" w:rsidR="00F66FE1" w:rsidRDefault="00F66FE1" w:rsidP="00F55761">
      <w:pPr>
        <w:spacing w:after="0" w:line="240" w:lineRule="auto"/>
      </w:pPr>
      <w:r>
        <w:separator/>
      </w:r>
    </w:p>
  </w:endnote>
  <w:endnote w:type="continuationSeparator" w:id="0">
    <w:p w14:paraId="49789550" w14:textId="77777777" w:rsidR="00F66FE1" w:rsidRDefault="00F66FE1" w:rsidP="00F55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3527A" w14:textId="77777777" w:rsidR="00F66FE1" w:rsidRDefault="00F66FE1" w:rsidP="00F55761">
      <w:pPr>
        <w:spacing w:after="0" w:line="240" w:lineRule="auto"/>
      </w:pPr>
      <w:r>
        <w:separator/>
      </w:r>
    </w:p>
  </w:footnote>
  <w:footnote w:type="continuationSeparator" w:id="0">
    <w:p w14:paraId="246F5769" w14:textId="77777777" w:rsidR="00F66FE1" w:rsidRDefault="00F66FE1" w:rsidP="00F55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7222715"/>
      <w:docPartObj>
        <w:docPartGallery w:val="Page Numbers (Top of Page)"/>
        <w:docPartUnique/>
      </w:docPartObj>
    </w:sdtPr>
    <w:sdtEndPr>
      <w:rPr>
        <w:noProof/>
      </w:rPr>
    </w:sdtEndPr>
    <w:sdtContent>
      <w:p w14:paraId="6075FCD0" w14:textId="6EAA20BA" w:rsidR="00F55761" w:rsidRDefault="00F55761">
        <w:pPr>
          <w:pStyle w:val="Header"/>
        </w:pPr>
        <w:r>
          <w:fldChar w:fldCharType="begin"/>
        </w:r>
        <w:r>
          <w:instrText xml:space="preserve"> PAGE   \* MERGEFORMAT </w:instrText>
        </w:r>
        <w:r>
          <w:fldChar w:fldCharType="separate"/>
        </w:r>
        <w:r>
          <w:rPr>
            <w:noProof/>
          </w:rPr>
          <w:t>2</w:t>
        </w:r>
        <w:r>
          <w:rPr>
            <w:noProof/>
          </w:rPr>
          <w:fldChar w:fldCharType="end"/>
        </w:r>
      </w:p>
    </w:sdtContent>
  </w:sdt>
  <w:p w14:paraId="109098F3" w14:textId="77777777" w:rsidR="00F55761" w:rsidRDefault="00F557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A1E"/>
    <w:multiLevelType w:val="multilevel"/>
    <w:tmpl w:val="2EF25DF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CF42B6C"/>
    <w:multiLevelType w:val="multilevel"/>
    <w:tmpl w:val="1F44B9C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7691F8C"/>
    <w:multiLevelType w:val="multilevel"/>
    <w:tmpl w:val="E4205A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DD4647B"/>
    <w:multiLevelType w:val="multilevel"/>
    <w:tmpl w:val="2578DD7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6BA39C2"/>
    <w:multiLevelType w:val="multilevel"/>
    <w:tmpl w:val="067871F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37E91D7D"/>
    <w:multiLevelType w:val="multilevel"/>
    <w:tmpl w:val="0840E75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5C9C2358"/>
    <w:multiLevelType w:val="multilevel"/>
    <w:tmpl w:val="2A8A4CF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5CDA73CF"/>
    <w:multiLevelType w:val="multilevel"/>
    <w:tmpl w:val="525A9CB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63656082"/>
    <w:multiLevelType w:val="multilevel"/>
    <w:tmpl w:val="2EF0353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6E17478B"/>
    <w:multiLevelType w:val="multilevel"/>
    <w:tmpl w:val="BDE811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57308038">
    <w:abstractNumId w:val="9"/>
  </w:num>
  <w:num w:numId="2" w16cid:durableId="257300083">
    <w:abstractNumId w:val="6"/>
  </w:num>
  <w:num w:numId="3" w16cid:durableId="939144480">
    <w:abstractNumId w:val="7"/>
  </w:num>
  <w:num w:numId="4" w16cid:durableId="1916355991">
    <w:abstractNumId w:val="5"/>
  </w:num>
  <w:num w:numId="5" w16cid:durableId="1025129508">
    <w:abstractNumId w:val="0"/>
  </w:num>
  <w:num w:numId="6" w16cid:durableId="712998260">
    <w:abstractNumId w:val="2"/>
  </w:num>
  <w:num w:numId="7" w16cid:durableId="723024282">
    <w:abstractNumId w:val="3"/>
  </w:num>
  <w:num w:numId="8" w16cid:durableId="87584461">
    <w:abstractNumId w:val="8"/>
  </w:num>
  <w:num w:numId="9" w16cid:durableId="1983775224">
    <w:abstractNumId w:val="1"/>
  </w:num>
  <w:num w:numId="10" w16cid:durableId="16593348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159"/>
    <w:rsid w:val="00001691"/>
    <w:rsid w:val="00003CD8"/>
    <w:rsid w:val="000118B6"/>
    <w:rsid w:val="00011E13"/>
    <w:rsid w:val="00033526"/>
    <w:rsid w:val="00066DEC"/>
    <w:rsid w:val="00080A52"/>
    <w:rsid w:val="00094209"/>
    <w:rsid w:val="000969DB"/>
    <w:rsid w:val="000A137B"/>
    <w:rsid w:val="000A24F0"/>
    <w:rsid w:val="000A4D2D"/>
    <w:rsid w:val="000B004B"/>
    <w:rsid w:val="000D6092"/>
    <w:rsid w:val="0010717C"/>
    <w:rsid w:val="001158CD"/>
    <w:rsid w:val="001720E5"/>
    <w:rsid w:val="00174657"/>
    <w:rsid w:val="0018178B"/>
    <w:rsid w:val="00183168"/>
    <w:rsid w:val="001B6CC7"/>
    <w:rsid w:val="001D7692"/>
    <w:rsid w:val="001E4DC8"/>
    <w:rsid w:val="001F0FCA"/>
    <w:rsid w:val="001F158A"/>
    <w:rsid w:val="001F18DF"/>
    <w:rsid w:val="00215CF4"/>
    <w:rsid w:val="00243BD3"/>
    <w:rsid w:val="002450A2"/>
    <w:rsid w:val="00256CB0"/>
    <w:rsid w:val="0027286E"/>
    <w:rsid w:val="0027597D"/>
    <w:rsid w:val="00282F0A"/>
    <w:rsid w:val="002860F0"/>
    <w:rsid w:val="00297212"/>
    <w:rsid w:val="002A38A3"/>
    <w:rsid w:val="002B35F1"/>
    <w:rsid w:val="002B4530"/>
    <w:rsid w:val="002B6885"/>
    <w:rsid w:val="002E0D84"/>
    <w:rsid w:val="002E0DE3"/>
    <w:rsid w:val="002E1D26"/>
    <w:rsid w:val="002E2201"/>
    <w:rsid w:val="002E7012"/>
    <w:rsid w:val="003008B4"/>
    <w:rsid w:val="0030274A"/>
    <w:rsid w:val="0033134B"/>
    <w:rsid w:val="00335C34"/>
    <w:rsid w:val="00346113"/>
    <w:rsid w:val="00362D68"/>
    <w:rsid w:val="003638AD"/>
    <w:rsid w:val="00373296"/>
    <w:rsid w:val="00373E7C"/>
    <w:rsid w:val="0037656D"/>
    <w:rsid w:val="003B674A"/>
    <w:rsid w:val="003C0B4D"/>
    <w:rsid w:val="003C4838"/>
    <w:rsid w:val="003D1AEF"/>
    <w:rsid w:val="003D5446"/>
    <w:rsid w:val="00417D99"/>
    <w:rsid w:val="00423706"/>
    <w:rsid w:val="004305CC"/>
    <w:rsid w:val="00436BBE"/>
    <w:rsid w:val="00437C42"/>
    <w:rsid w:val="004474DB"/>
    <w:rsid w:val="004515E9"/>
    <w:rsid w:val="004614F3"/>
    <w:rsid w:val="0046669E"/>
    <w:rsid w:val="00491C47"/>
    <w:rsid w:val="004A1FD7"/>
    <w:rsid w:val="004A3655"/>
    <w:rsid w:val="004A417A"/>
    <w:rsid w:val="004A6114"/>
    <w:rsid w:val="004A673E"/>
    <w:rsid w:val="004C76D5"/>
    <w:rsid w:val="004D1E59"/>
    <w:rsid w:val="004D5840"/>
    <w:rsid w:val="004E65EB"/>
    <w:rsid w:val="004F2E55"/>
    <w:rsid w:val="004F43AD"/>
    <w:rsid w:val="00500FF1"/>
    <w:rsid w:val="00505B83"/>
    <w:rsid w:val="00521159"/>
    <w:rsid w:val="0054253C"/>
    <w:rsid w:val="00582297"/>
    <w:rsid w:val="00594EF6"/>
    <w:rsid w:val="005A67B4"/>
    <w:rsid w:val="005A7DD8"/>
    <w:rsid w:val="005D145A"/>
    <w:rsid w:val="005E5805"/>
    <w:rsid w:val="005F29B0"/>
    <w:rsid w:val="0060796C"/>
    <w:rsid w:val="006120CF"/>
    <w:rsid w:val="0062605F"/>
    <w:rsid w:val="00636FF2"/>
    <w:rsid w:val="00671B2E"/>
    <w:rsid w:val="0068696B"/>
    <w:rsid w:val="00690753"/>
    <w:rsid w:val="006A12F9"/>
    <w:rsid w:val="006A1522"/>
    <w:rsid w:val="006A5A56"/>
    <w:rsid w:val="006D3B7A"/>
    <w:rsid w:val="006E1B23"/>
    <w:rsid w:val="006F33A8"/>
    <w:rsid w:val="006F5F18"/>
    <w:rsid w:val="00724A22"/>
    <w:rsid w:val="007264A4"/>
    <w:rsid w:val="0075132B"/>
    <w:rsid w:val="007533B9"/>
    <w:rsid w:val="00756AF7"/>
    <w:rsid w:val="007631AD"/>
    <w:rsid w:val="00777FAF"/>
    <w:rsid w:val="0079516E"/>
    <w:rsid w:val="007952FE"/>
    <w:rsid w:val="007C5995"/>
    <w:rsid w:val="007D0CEF"/>
    <w:rsid w:val="007D686D"/>
    <w:rsid w:val="007F070F"/>
    <w:rsid w:val="00806B5A"/>
    <w:rsid w:val="00823E59"/>
    <w:rsid w:val="008269AB"/>
    <w:rsid w:val="008315DB"/>
    <w:rsid w:val="00847606"/>
    <w:rsid w:val="00856D47"/>
    <w:rsid w:val="00872DDB"/>
    <w:rsid w:val="00876BE6"/>
    <w:rsid w:val="0088597E"/>
    <w:rsid w:val="008A32F3"/>
    <w:rsid w:val="008A6DFC"/>
    <w:rsid w:val="008A6E58"/>
    <w:rsid w:val="008B3ACC"/>
    <w:rsid w:val="008E6AE7"/>
    <w:rsid w:val="008F51CD"/>
    <w:rsid w:val="00911355"/>
    <w:rsid w:val="009233E7"/>
    <w:rsid w:val="009318A6"/>
    <w:rsid w:val="00931E23"/>
    <w:rsid w:val="00937341"/>
    <w:rsid w:val="00941286"/>
    <w:rsid w:val="00946667"/>
    <w:rsid w:val="00951E34"/>
    <w:rsid w:val="009543A9"/>
    <w:rsid w:val="00980FC0"/>
    <w:rsid w:val="00985C88"/>
    <w:rsid w:val="009932F7"/>
    <w:rsid w:val="009A195F"/>
    <w:rsid w:val="009B424C"/>
    <w:rsid w:val="009B4B4F"/>
    <w:rsid w:val="009C1614"/>
    <w:rsid w:val="009D66E2"/>
    <w:rsid w:val="009D7CD3"/>
    <w:rsid w:val="00A47B09"/>
    <w:rsid w:val="00A70E23"/>
    <w:rsid w:val="00A76EFA"/>
    <w:rsid w:val="00A800BA"/>
    <w:rsid w:val="00A81DF2"/>
    <w:rsid w:val="00A904B1"/>
    <w:rsid w:val="00A93EE4"/>
    <w:rsid w:val="00AB6E33"/>
    <w:rsid w:val="00AC05FF"/>
    <w:rsid w:val="00AC3DAB"/>
    <w:rsid w:val="00AF1C03"/>
    <w:rsid w:val="00AF2E41"/>
    <w:rsid w:val="00B01B5D"/>
    <w:rsid w:val="00B24292"/>
    <w:rsid w:val="00B24DFE"/>
    <w:rsid w:val="00B25A14"/>
    <w:rsid w:val="00B33794"/>
    <w:rsid w:val="00B43387"/>
    <w:rsid w:val="00B44DB4"/>
    <w:rsid w:val="00B573AD"/>
    <w:rsid w:val="00B72F8B"/>
    <w:rsid w:val="00B7534E"/>
    <w:rsid w:val="00BA3625"/>
    <w:rsid w:val="00BC5C9F"/>
    <w:rsid w:val="00BD2BCA"/>
    <w:rsid w:val="00C115EE"/>
    <w:rsid w:val="00C11DDC"/>
    <w:rsid w:val="00C11E9A"/>
    <w:rsid w:val="00C2519C"/>
    <w:rsid w:val="00C26672"/>
    <w:rsid w:val="00C44E94"/>
    <w:rsid w:val="00C4506E"/>
    <w:rsid w:val="00C515E4"/>
    <w:rsid w:val="00C542E1"/>
    <w:rsid w:val="00C60F52"/>
    <w:rsid w:val="00C750E5"/>
    <w:rsid w:val="00C76FAF"/>
    <w:rsid w:val="00C96DC8"/>
    <w:rsid w:val="00CC534E"/>
    <w:rsid w:val="00CC6859"/>
    <w:rsid w:val="00CD2E39"/>
    <w:rsid w:val="00CD43BA"/>
    <w:rsid w:val="00D13555"/>
    <w:rsid w:val="00D312B0"/>
    <w:rsid w:val="00D453B2"/>
    <w:rsid w:val="00D462ED"/>
    <w:rsid w:val="00D539DA"/>
    <w:rsid w:val="00D57EA2"/>
    <w:rsid w:val="00D7371C"/>
    <w:rsid w:val="00D73CB7"/>
    <w:rsid w:val="00D82173"/>
    <w:rsid w:val="00D91D2B"/>
    <w:rsid w:val="00DA1A18"/>
    <w:rsid w:val="00DD5873"/>
    <w:rsid w:val="00DF6981"/>
    <w:rsid w:val="00E21C97"/>
    <w:rsid w:val="00E278C2"/>
    <w:rsid w:val="00E319C6"/>
    <w:rsid w:val="00E37435"/>
    <w:rsid w:val="00E60F0A"/>
    <w:rsid w:val="00E8114E"/>
    <w:rsid w:val="00E911DA"/>
    <w:rsid w:val="00EB4529"/>
    <w:rsid w:val="00EB6930"/>
    <w:rsid w:val="00EC58C2"/>
    <w:rsid w:val="00EC68D4"/>
    <w:rsid w:val="00EC68ED"/>
    <w:rsid w:val="00EC7DD4"/>
    <w:rsid w:val="00ED0755"/>
    <w:rsid w:val="00ED2527"/>
    <w:rsid w:val="00F02820"/>
    <w:rsid w:val="00F05039"/>
    <w:rsid w:val="00F10004"/>
    <w:rsid w:val="00F17FC1"/>
    <w:rsid w:val="00F21400"/>
    <w:rsid w:val="00F24C02"/>
    <w:rsid w:val="00F424C0"/>
    <w:rsid w:val="00F448E0"/>
    <w:rsid w:val="00F46E17"/>
    <w:rsid w:val="00F474C3"/>
    <w:rsid w:val="00F55761"/>
    <w:rsid w:val="00F66FE1"/>
    <w:rsid w:val="00F76665"/>
    <w:rsid w:val="00F86107"/>
    <w:rsid w:val="00F965BE"/>
    <w:rsid w:val="00FC289E"/>
    <w:rsid w:val="00FC3E29"/>
    <w:rsid w:val="00FD0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6FD3A"/>
  <w15:chartTrackingRefBased/>
  <w15:docId w15:val="{A01FA4B8-78B5-4E6B-9F2D-EF7DA00DF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1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1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11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1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1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1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1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1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1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1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11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11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1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11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1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159"/>
    <w:rPr>
      <w:rFonts w:eastAsiaTheme="majorEastAsia" w:cstheme="majorBidi"/>
      <w:color w:val="272727" w:themeColor="text1" w:themeTint="D8"/>
    </w:rPr>
  </w:style>
  <w:style w:type="paragraph" w:styleId="Title">
    <w:name w:val="Title"/>
    <w:basedOn w:val="Normal"/>
    <w:next w:val="Normal"/>
    <w:link w:val="TitleChar"/>
    <w:uiPriority w:val="10"/>
    <w:qFormat/>
    <w:rsid w:val="005211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1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159"/>
    <w:pPr>
      <w:spacing w:before="160"/>
      <w:jc w:val="center"/>
    </w:pPr>
    <w:rPr>
      <w:i/>
      <w:iCs/>
      <w:color w:val="404040" w:themeColor="text1" w:themeTint="BF"/>
    </w:rPr>
  </w:style>
  <w:style w:type="character" w:customStyle="1" w:styleId="QuoteChar">
    <w:name w:val="Quote Char"/>
    <w:basedOn w:val="DefaultParagraphFont"/>
    <w:link w:val="Quote"/>
    <w:uiPriority w:val="29"/>
    <w:rsid w:val="00521159"/>
    <w:rPr>
      <w:i/>
      <w:iCs/>
      <w:color w:val="404040" w:themeColor="text1" w:themeTint="BF"/>
    </w:rPr>
  </w:style>
  <w:style w:type="paragraph" w:styleId="ListParagraph">
    <w:name w:val="List Paragraph"/>
    <w:basedOn w:val="Normal"/>
    <w:uiPriority w:val="34"/>
    <w:qFormat/>
    <w:rsid w:val="00521159"/>
    <w:pPr>
      <w:ind w:left="720"/>
      <w:contextualSpacing/>
    </w:pPr>
  </w:style>
  <w:style w:type="character" w:styleId="IntenseEmphasis">
    <w:name w:val="Intense Emphasis"/>
    <w:basedOn w:val="DefaultParagraphFont"/>
    <w:uiPriority w:val="21"/>
    <w:qFormat/>
    <w:rsid w:val="00521159"/>
    <w:rPr>
      <w:i/>
      <w:iCs/>
      <w:color w:val="0F4761" w:themeColor="accent1" w:themeShade="BF"/>
    </w:rPr>
  </w:style>
  <w:style w:type="paragraph" w:styleId="IntenseQuote">
    <w:name w:val="Intense Quote"/>
    <w:basedOn w:val="Normal"/>
    <w:next w:val="Normal"/>
    <w:link w:val="IntenseQuoteChar"/>
    <w:uiPriority w:val="30"/>
    <w:qFormat/>
    <w:rsid w:val="005211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159"/>
    <w:rPr>
      <w:i/>
      <w:iCs/>
      <w:color w:val="0F4761" w:themeColor="accent1" w:themeShade="BF"/>
    </w:rPr>
  </w:style>
  <w:style w:type="character" w:styleId="IntenseReference">
    <w:name w:val="Intense Reference"/>
    <w:basedOn w:val="DefaultParagraphFont"/>
    <w:uiPriority w:val="32"/>
    <w:qFormat/>
    <w:rsid w:val="00521159"/>
    <w:rPr>
      <w:b/>
      <w:bCs/>
      <w:smallCaps/>
      <w:color w:val="0F4761" w:themeColor="accent1" w:themeShade="BF"/>
      <w:spacing w:val="5"/>
    </w:rPr>
  </w:style>
  <w:style w:type="paragraph" w:styleId="Header">
    <w:name w:val="header"/>
    <w:basedOn w:val="Normal"/>
    <w:link w:val="HeaderChar"/>
    <w:uiPriority w:val="99"/>
    <w:unhideWhenUsed/>
    <w:rsid w:val="00F55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761"/>
  </w:style>
  <w:style w:type="paragraph" w:styleId="Footer">
    <w:name w:val="footer"/>
    <w:basedOn w:val="Normal"/>
    <w:link w:val="FooterChar"/>
    <w:uiPriority w:val="99"/>
    <w:unhideWhenUsed/>
    <w:rsid w:val="00F55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AEFE5-7592-48F2-9CBC-CFB7D2874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2198</TotalTime>
  <Pages>7</Pages>
  <Words>1811</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Powell</dc:creator>
  <cp:keywords/>
  <dc:description/>
  <cp:lastModifiedBy>Rhys Powell</cp:lastModifiedBy>
  <cp:revision>228</cp:revision>
  <dcterms:created xsi:type="dcterms:W3CDTF">2026-03-25T10:44:00Z</dcterms:created>
  <dcterms:modified xsi:type="dcterms:W3CDTF">2026-03-26T23:25:00Z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dbba3f9-212b-4b23-8b50-6dd6ff6ac453_Enabled">
    <vt:lpwstr>true</vt:lpwstr>
  </property>
  <property fmtid="{D5CDD505-2E9C-101B-9397-08002B2CF9AE}" pid="3" name="MSIP_Label_2dbba3f9-212b-4b23-8b50-6dd6ff6ac453_SetDate">
    <vt:lpwstr>2026-03-26T16:01:39Z</vt:lpwstr>
  </property>
  <property fmtid="{D5CDD505-2E9C-101B-9397-08002B2CF9AE}" pid="4" name="MSIP_Label_2dbba3f9-212b-4b23-8b50-6dd6ff6ac453_Method">
    <vt:lpwstr>Standard</vt:lpwstr>
  </property>
  <property fmtid="{D5CDD505-2E9C-101B-9397-08002B2CF9AE}" pid="5" name="MSIP_Label_2dbba3f9-212b-4b23-8b50-6dd6ff6ac453_Name">
    <vt:lpwstr>2dbba3f9-212b-4b23-8b50-6dd6ff6ac453</vt:lpwstr>
  </property>
  <property fmtid="{D5CDD505-2E9C-101B-9397-08002B2CF9AE}" pid="6" name="MSIP_Label_2dbba3f9-212b-4b23-8b50-6dd6ff6ac453_SiteId">
    <vt:lpwstr>19f05e49-84c6-45a1-81fe-2de9179458e4</vt:lpwstr>
  </property>
  <property fmtid="{D5CDD505-2E9C-101B-9397-08002B2CF9AE}" pid="7" name="MSIP_Label_2dbba3f9-212b-4b23-8b50-6dd6ff6ac453_ActionId">
    <vt:lpwstr>74ea6f0f-cd05-4f2d-9ada-6179c2b70f2f</vt:lpwstr>
  </property>
  <property fmtid="{D5CDD505-2E9C-101B-9397-08002B2CF9AE}" pid="8" name="MSIP_Label_2dbba3f9-212b-4b23-8b50-6dd6ff6ac453_ContentBits">
    <vt:lpwstr>0</vt:lpwstr>
  </property>
  <property fmtid="{D5CDD505-2E9C-101B-9397-08002B2CF9AE}" pid="9" name="MSIP_Label_2dbba3f9-212b-4b23-8b50-6dd6ff6ac453_Tag">
    <vt:lpwstr>10, 3, 0, 1</vt:lpwstr>
  </property>
</Properties>
</file>