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46FB6D" w14:textId="77777777" w:rsidR="000E3D46" w:rsidRDefault="000E3D46">
      <w:pPr>
        <w:jc w:val="center"/>
        <w:rPr>
          <w:b/>
          <w:color w:val="000000" w:themeColor="text1"/>
          <w:sz w:val="32"/>
          <w:szCs w:val="32"/>
          <w:lang w:val="en-GB"/>
        </w:rPr>
      </w:pPr>
    </w:p>
    <w:p w14:paraId="7B46FB6E" w14:textId="77777777" w:rsidR="000E3D46" w:rsidRDefault="000E3D46">
      <w:pPr>
        <w:jc w:val="center"/>
        <w:rPr>
          <w:b/>
          <w:color w:val="000000" w:themeColor="text1"/>
          <w:sz w:val="32"/>
          <w:szCs w:val="32"/>
          <w:lang w:val="en-GB"/>
        </w:rPr>
      </w:pPr>
    </w:p>
    <w:p w14:paraId="7B46FB6F" w14:textId="77777777" w:rsidR="000E3D46" w:rsidRDefault="000E3D46">
      <w:pPr>
        <w:jc w:val="center"/>
        <w:rPr>
          <w:b/>
          <w:color w:val="000000" w:themeColor="text1"/>
          <w:sz w:val="32"/>
          <w:szCs w:val="32"/>
          <w:lang w:val="en-GB"/>
        </w:rPr>
      </w:pPr>
    </w:p>
    <w:p w14:paraId="7B46FB70" w14:textId="77777777" w:rsidR="000E3D46" w:rsidRDefault="00000000">
      <w:pPr>
        <w:jc w:val="center"/>
        <w:rPr>
          <w:b/>
          <w:color w:val="000000" w:themeColor="text1"/>
          <w:sz w:val="32"/>
          <w:szCs w:val="32"/>
          <w:lang w:val="en-GB"/>
        </w:rPr>
      </w:pPr>
      <w:r>
        <w:rPr>
          <w:rFonts w:ascii="Arial" w:eastAsia="Arial" w:hAnsi="Arial" w:cs="Arial"/>
          <w:b/>
          <w:noProof/>
          <w:sz w:val="22"/>
          <w:szCs w:val="22"/>
          <w:lang w:val="en-GB"/>
        </w:rPr>
        <w:drawing>
          <wp:inline distT="0" distB="0" distL="0" distR="0" wp14:anchorId="7B46FD9F" wp14:editId="7B46FDA0">
            <wp:extent cx="3238500" cy="1228725"/>
            <wp:effectExtent l="0" t="0" r="0" b="3175"/>
            <wp:docPr id="1485234247" name="image1.png" descr="A close-up of a logo&#10;&#10;AI-generated content may be incorrect."/>
            <wp:cNvGraphicFramePr/>
            <a:graphic xmlns:a="http://schemas.openxmlformats.org/drawingml/2006/main">
              <a:graphicData uri="http://schemas.openxmlformats.org/drawingml/2006/picture">
                <pic:pic xmlns:pic="http://schemas.openxmlformats.org/drawingml/2006/picture">
                  <pic:nvPicPr>
                    <pic:cNvPr id="1485234247" name="image1.png" descr="A close-up of a logo&#10;&#10;AI-generated content may be incorrect."/>
                    <pic:cNvPicPr preferRelativeResize="0"/>
                  </pic:nvPicPr>
                  <pic:blipFill>
                    <a:blip r:embed="rId8"/>
                    <a:srcRect/>
                    <a:stretch>
                      <a:fillRect/>
                    </a:stretch>
                  </pic:blipFill>
                  <pic:spPr>
                    <a:xfrm>
                      <a:off x="0" y="0"/>
                      <a:ext cx="3238952" cy="1228896"/>
                    </a:xfrm>
                    <a:prstGeom prst="rect">
                      <a:avLst/>
                    </a:prstGeom>
                  </pic:spPr>
                </pic:pic>
              </a:graphicData>
            </a:graphic>
          </wp:inline>
        </w:drawing>
      </w:r>
    </w:p>
    <w:p w14:paraId="7B46FB71" w14:textId="77777777" w:rsidR="000E3D46" w:rsidRDefault="000E3D46">
      <w:pPr>
        <w:jc w:val="center"/>
        <w:rPr>
          <w:b/>
          <w:color w:val="000000" w:themeColor="text1"/>
          <w:sz w:val="32"/>
          <w:szCs w:val="32"/>
          <w:lang w:val="en-GB"/>
        </w:rPr>
      </w:pPr>
    </w:p>
    <w:p w14:paraId="7B46FB72" w14:textId="77777777" w:rsidR="000E3D46" w:rsidRDefault="000E3D46">
      <w:pPr>
        <w:jc w:val="center"/>
        <w:rPr>
          <w:b/>
          <w:color w:val="000000" w:themeColor="text1"/>
          <w:sz w:val="32"/>
          <w:szCs w:val="32"/>
          <w:lang w:val="en-GB"/>
        </w:rPr>
      </w:pPr>
    </w:p>
    <w:p w14:paraId="7B46FB73" w14:textId="77777777" w:rsidR="000E3D46" w:rsidRDefault="00000000">
      <w:pPr>
        <w:jc w:val="center"/>
        <w:rPr>
          <w:b/>
          <w:color w:val="000000" w:themeColor="text1"/>
          <w:sz w:val="32"/>
          <w:szCs w:val="32"/>
          <w:lang w:val="en-GB"/>
        </w:rPr>
      </w:pPr>
      <w:r>
        <w:rPr>
          <w:b/>
          <w:color w:val="000000" w:themeColor="text1"/>
          <w:sz w:val="32"/>
          <w:szCs w:val="32"/>
          <w:lang w:val="en-GB"/>
        </w:rPr>
        <w:t>Understanding the importance of Stakeholder Engagement in the successful commencement and completion of the project of Renishaw plc</w:t>
      </w:r>
    </w:p>
    <w:p w14:paraId="7B46FB74" w14:textId="77777777" w:rsidR="000E3D46" w:rsidRPr="00591740" w:rsidRDefault="00000000">
      <w:pPr>
        <w:jc w:val="center"/>
        <w:rPr>
          <w:b/>
          <w:bCs/>
          <w:lang w:val="nl-NL"/>
        </w:rPr>
      </w:pPr>
      <w:r w:rsidRPr="00591740">
        <w:rPr>
          <w:b/>
          <w:bCs/>
          <w:lang w:val="nl-NL"/>
        </w:rPr>
        <w:t>Student Name: George Burlui</w:t>
      </w:r>
    </w:p>
    <w:p w14:paraId="7B46FB75" w14:textId="77777777" w:rsidR="000E3D46" w:rsidRPr="00591740" w:rsidRDefault="00000000">
      <w:pPr>
        <w:jc w:val="center"/>
        <w:rPr>
          <w:b/>
          <w:bCs/>
          <w:lang w:val="nl-NL"/>
        </w:rPr>
      </w:pPr>
      <w:r w:rsidRPr="00591740">
        <w:rPr>
          <w:b/>
          <w:bCs/>
          <w:lang w:val="nl-NL"/>
        </w:rPr>
        <w:t>Student ID: 1907641</w:t>
      </w:r>
    </w:p>
    <w:p w14:paraId="7B46FB76" w14:textId="77777777" w:rsidR="000E3D46" w:rsidRPr="00591740" w:rsidRDefault="000E3D46">
      <w:pPr>
        <w:jc w:val="center"/>
        <w:rPr>
          <w:b/>
          <w:color w:val="000000" w:themeColor="text1"/>
          <w:sz w:val="32"/>
          <w:szCs w:val="32"/>
          <w:lang w:val="nl-NL"/>
        </w:rPr>
      </w:pPr>
    </w:p>
    <w:p w14:paraId="7B46FB77" w14:textId="77777777" w:rsidR="000E3D46" w:rsidRDefault="00000000">
      <w:pPr>
        <w:jc w:val="center"/>
        <w:rPr>
          <w:b/>
          <w:color w:val="000000" w:themeColor="text1"/>
          <w:lang w:val="en-GB"/>
        </w:rPr>
      </w:pPr>
      <w:r>
        <w:rPr>
          <w:b/>
          <w:color w:val="000000" w:themeColor="text1"/>
          <w:lang w:val="en-GB"/>
        </w:rPr>
        <w:t>Module: Understanding and Engaging Stakeholders</w:t>
      </w:r>
    </w:p>
    <w:p w14:paraId="7B46FB78" w14:textId="77777777" w:rsidR="000E3D46" w:rsidRDefault="00000000">
      <w:pPr>
        <w:jc w:val="center"/>
        <w:rPr>
          <w:b/>
          <w:color w:val="000000" w:themeColor="text1"/>
          <w:lang w:val="en-GB"/>
        </w:rPr>
      </w:pPr>
      <w:r>
        <w:rPr>
          <w:b/>
          <w:color w:val="000000" w:themeColor="text1"/>
          <w:lang w:val="en-GB"/>
        </w:rPr>
        <w:t>Programme: BA (Hons) Leadership and Management Skills for the Workplace</w:t>
      </w:r>
    </w:p>
    <w:p w14:paraId="7B46FB79" w14:textId="77777777" w:rsidR="000E3D46" w:rsidRDefault="00000000">
      <w:pPr>
        <w:jc w:val="center"/>
        <w:rPr>
          <w:b/>
          <w:color w:val="000000" w:themeColor="text1"/>
          <w:lang w:val="en-GB"/>
        </w:rPr>
      </w:pPr>
      <w:r>
        <w:rPr>
          <w:b/>
          <w:color w:val="000000" w:themeColor="text1"/>
          <w:lang w:val="en-GB"/>
        </w:rPr>
        <w:t>Module code: LCLM5001</w:t>
      </w:r>
    </w:p>
    <w:p w14:paraId="7B46FB7A" w14:textId="0D88FFFE" w:rsidR="000E3D46" w:rsidRDefault="00000000">
      <w:pPr>
        <w:jc w:val="center"/>
        <w:rPr>
          <w:b/>
          <w:color w:val="000000" w:themeColor="text1"/>
          <w:lang w:val="en-GB"/>
        </w:rPr>
      </w:pPr>
      <w:r>
        <w:rPr>
          <w:b/>
          <w:color w:val="000000" w:themeColor="text1"/>
          <w:lang w:val="en-GB"/>
        </w:rPr>
        <w:t xml:space="preserve">Module Leaders: </w:t>
      </w:r>
      <w:r w:rsidR="00300562">
        <w:rPr>
          <w:b/>
          <w:color w:val="000000" w:themeColor="text1"/>
          <w:lang w:val="en-GB"/>
        </w:rPr>
        <w:t>Sharin McDo</w:t>
      </w:r>
      <w:r w:rsidR="004D5530">
        <w:rPr>
          <w:b/>
          <w:color w:val="000000" w:themeColor="text1"/>
          <w:lang w:val="en-GB"/>
        </w:rPr>
        <w:t>w</w:t>
      </w:r>
      <w:r w:rsidR="00300562">
        <w:rPr>
          <w:b/>
          <w:color w:val="000000" w:themeColor="text1"/>
          <w:lang w:val="en-GB"/>
        </w:rPr>
        <w:t>all-</w:t>
      </w:r>
      <w:r w:rsidR="004D5530">
        <w:rPr>
          <w:b/>
          <w:color w:val="000000" w:themeColor="text1"/>
          <w:lang w:val="en-GB"/>
        </w:rPr>
        <w:t>Emefiele</w:t>
      </w:r>
    </w:p>
    <w:p w14:paraId="7B46FB7B" w14:textId="77777777" w:rsidR="000E3D46" w:rsidRPr="00D62538" w:rsidRDefault="00000000">
      <w:pPr>
        <w:jc w:val="center"/>
        <w:rPr>
          <w:b/>
          <w:color w:val="000000" w:themeColor="text1"/>
          <w:lang w:val="nl-NL"/>
        </w:rPr>
      </w:pPr>
      <w:r w:rsidRPr="00D62538">
        <w:rPr>
          <w:b/>
          <w:color w:val="000000" w:themeColor="text1"/>
          <w:lang w:val="nl-NL"/>
        </w:rPr>
        <w:t>Internal Verifier: Md Kalam, Samuel Ofori</w:t>
      </w:r>
    </w:p>
    <w:p w14:paraId="7B46FB7C" w14:textId="77777777" w:rsidR="000E3D46" w:rsidRDefault="00000000">
      <w:pPr>
        <w:jc w:val="center"/>
        <w:rPr>
          <w:b/>
          <w:color w:val="000000" w:themeColor="text1"/>
          <w:lang w:val="en-GB"/>
        </w:rPr>
      </w:pPr>
      <w:r>
        <w:rPr>
          <w:b/>
          <w:color w:val="000000" w:themeColor="text1"/>
          <w:lang w:val="en-GB"/>
        </w:rPr>
        <w:t xml:space="preserve">University name: University of Wales </w:t>
      </w:r>
    </w:p>
    <w:p w14:paraId="7B46FB7D" w14:textId="77777777" w:rsidR="000E3D46" w:rsidRDefault="00000000">
      <w:pPr>
        <w:jc w:val="center"/>
        <w:rPr>
          <w:b/>
          <w:color w:val="000000" w:themeColor="text1"/>
          <w:lang w:val="en-GB"/>
        </w:rPr>
      </w:pPr>
      <w:bookmarkStart w:id="0" w:name="_heading=h.jb0k2v28pvtq" w:colFirst="0" w:colLast="0"/>
      <w:bookmarkEnd w:id="0"/>
      <w:r>
        <w:rPr>
          <w:b/>
          <w:color w:val="000000" w:themeColor="text1"/>
          <w:lang w:val="en-GB"/>
        </w:rPr>
        <w:t>Word count: 4171</w:t>
      </w:r>
    </w:p>
    <w:p w14:paraId="7B46FB7E" w14:textId="77777777" w:rsidR="000E3D46" w:rsidRDefault="00000000">
      <w:pPr>
        <w:rPr>
          <w:color w:val="000000" w:themeColor="text1"/>
          <w:lang w:val="en-GB"/>
        </w:rPr>
      </w:pPr>
      <w:r>
        <w:rPr>
          <w:color w:val="000000" w:themeColor="text1"/>
          <w:lang w:val="en-GB"/>
        </w:rPr>
        <w:br w:type="page"/>
      </w:r>
    </w:p>
    <w:p w14:paraId="7B46FB7F" w14:textId="77777777" w:rsidR="000E3D46" w:rsidRDefault="00000000">
      <w:pPr>
        <w:spacing w:line="276" w:lineRule="auto"/>
        <w:jc w:val="center"/>
        <w:rPr>
          <w:b/>
          <w:color w:val="000000" w:themeColor="text1"/>
          <w:sz w:val="32"/>
          <w:szCs w:val="32"/>
          <w:lang w:val="en-GB"/>
        </w:rPr>
      </w:pPr>
      <w:r>
        <w:rPr>
          <w:b/>
          <w:color w:val="000000" w:themeColor="text1"/>
          <w:sz w:val="32"/>
          <w:szCs w:val="32"/>
          <w:lang w:val="en-GB"/>
        </w:rPr>
        <w:lastRenderedPageBreak/>
        <w:t>Executive Summary</w:t>
      </w:r>
    </w:p>
    <w:p w14:paraId="7B46FB80" w14:textId="77777777" w:rsidR="000E3D46" w:rsidRDefault="000E3D46">
      <w:pPr>
        <w:spacing w:line="276" w:lineRule="auto"/>
        <w:jc w:val="left"/>
        <w:rPr>
          <w:color w:val="000000" w:themeColor="text1"/>
          <w:lang w:val="en-GB"/>
        </w:rPr>
      </w:pPr>
    </w:p>
    <w:p w14:paraId="7B46FB81" w14:textId="322FE8F9" w:rsidR="000E3D46" w:rsidRDefault="00000000">
      <w:pPr>
        <w:rPr>
          <w:color w:val="000000" w:themeColor="text1"/>
          <w:lang w:val="en-GB"/>
        </w:rPr>
      </w:pPr>
      <w:r>
        <w:rPr>
          <w:color w:val="000000" w:themeColor="text1"/>
          <w:lang w:val="en-GB"/>
        </w:rPr>
        <w:t xml:space="preserve">Stakeholder engagement has increasingly been noted to be at the centre of the success of any complex project within the healthcare technology industry. This report examines how Renishaw plc, an engineering and health care innovator based in the United Kingdom, can engage stakeholders to develop and commercially release its new </w:t>
      </w:r>
      <w:r w:rsidR="00D62538">
        <w:rPr>
          <w:color w:val="000000" w:themeColor="text1"/>
          <w:lang w:val="en-GB"/>
        </w:rPr>
        <w:t>smart watch</w:t>
      </w:r>
      <w:r>
        <w:rPr>
          <w:color w:val="000000" w:themeColor="text1"/>
          <w:lang w:val="en-GB"/>
        </w:rPr>
        <w:t xml:space="preserve"> health gadget. The report ought to give a critical evaluation of the role played by internal and external stakeholders in the determination of product innovation, the way they can meet regulations, operational efficiency and its commercial adoption. In addition, tools such as situational analysis, SWOT, PESTLE and SMART objectives were used to evaluate the preparedness of Renishaw and its strategic positioning. The stakeholder roles, responsibilities and influence were mapped with the RACI matrix, power-interest matrix, stakeholder communication plan and the 4Cs model of engagement and conflict management. These models illuminated the important roles played by the executive leadership, R&amp;D, supply chain, regulators, clinicians, end users and investors to ensure project outcomes. The results indicate that the prosperous engagement increases strategic alignment, strengthens innovation, minimises compliance risks, and creates investor and consumer confidence. It suggests developing formalised digital feedback loops, strengthening clinical partnerships, enhancing investor transparency and enhancing supply chain resilience. In general, the report shows that stakeholder involvement is not just facilitative but a business driver of the business performance and innovation of Renishaw.</w:t>
      </w:r>
      <w:r>
        <w:rPr>
          <w:color w:val="000000" w:themeColor="text1"/>
          <w:lang w:val="en-GB"/>
        </w:rPr>
        <w:br w:type="page"/>
      </w:r>
    </w:p>
    <w:p w14:paraId="7B46FB82" w14:textId="77777777" w:rsidR="000E3D46" w:rsidRDefault="00000000">
      <w:pPr>
        <w:keepNext/>
        <w:keepLines/>
        <w:spacing w:before="480" w:line="480" w:lineRule="auto"/>
        <w:jc w:val="center"/>
        <w:rPr>
          <w:b/>
          <w:color w:val="000000" w:themeColor="text1"/>
          <w:sz w:val="28"/>
          <w:szCs w:val="28"/>
          <w:lang w:val="en-GB"/>
        </w:rPr>
      </w:pPr>
      <w:r>
        <w:rPr>
          <w:b/>
          <w:color w:val="000000" w:themeColor="text1"/>
          <w:sz w:val="28"/>
          <w:szCs w:val="28"/>
          <w:lang w:val="en-GB"/>
        </w:rPr>
        <w:lastRenderedPageBreak/>
        <w:t>Table of Contents</w:t>
      </w:r>
    </w:p>
    <w:sdt>
      <w:sdtPr>
        <w:rPr>
          <w:color w:val="000000" w:themeColor="text1"/>
          <w:lang w:val="en-GB"/>
        </w:rPr>
        <w:id w:val="-932800288"/>
        <w:docPartObj>
          <w:docPartGallery w:val="Table of Contents"/>
          <w:docPartUnique/>
        </w:docPartObj>
      </w:sdtPr>
      <w:sdtContent>
        <w:p w14:paraId="7B46FB83" w14:textId="77777777" w:rsidR="000E3D46" w:rsidRDefault="00000000">
          <w:pPr>
            <w:pStyle w:val="TOC1"/>
            <w:tabs>
              <w:tab w:val="right" w:leader="dot" w:pos="9350"/>
            </w:tabs>
            <w:rPr>
              <w:rFonts w:asciiTheme="minorHAnsi" w:eastAsiaTheme="minorEastAsia" w:hAnsiTheme="minorHAnsi" w:cstheme="minorBidi"/>
              <w:color w:val="000000" w:themeColor="text1"/>
              <w:sz w:val="22"/>
              <w:szCs w:val="22"/>
              <w:lang w:val="en-GB"/>
            </w:rPr>
          </w:pPr>
          <w:r>
            <w:rPr>
              <w:color w:val="000000" w:themeColor="text1"/>
              <w:lang w:val="en-GB"/>
            </w:rPr>
            <w:fldChar w:fldCharType="begin"/>
          </w:r>
          <w:r>
            <w:rPr>
              <w:color w:val="000000" w:themeColor="text1"/>
              <w:lang w:val="en-GB"/>
            </w:rPr>
            <w:instrText xml:space="preserve"> TOC \h \u \z \t "Heading 1,1,Heading 2,2,Heading 3,3,"</w:instrText>
          </w:r>
          <w:r>
            <w:rPr>
              <w:color w:val="000000" w:themeColor="text1"/>
              <w:lang w:val="en-GB"/>
            </w:rPr>
            <w:fldChar w:fldCharType="separate"/>
          </w:r>
          <w:hyperlink w:anchor="_Toc209869236" w:history="1">
            <w:r w:rsidR="000E3D46">
              <w:rPr>
                <w:rStyle w:val="Hyperlink"/>
                <w:color w:val="000000" w:themeColor="text1"/>
                <w:lang w:val="en-GB"/>
              </w:rPr>
              <w:t>1. Introduction</w:t>
            </w:r>
            <w:r w:rsidR="000E3D46">
              <w:rPr>
                <w:color w:val="000000" w:themeColor="text1"/>
                <w:lang w:val="en-GB"/>
              </w:rPr>
              <w:tab/>
            </w:r>
            <w:r w:rsidR="000E3D46">
              <w:rPr>
                <w:color w:val="000000" w:themeColor="text1"/>
                <w:lang w:val="en-GB"/>
              </w:rPr>
              <w:fldChar w:fldCharType="begin"/>
            </w:r>
            <w:r w:rsidR="000E3D46">
              <w:rPr>
                <w:color w:val="000000" w:themeColor="text1"/>
                <w:lang w:val="en-GB"/>
              </w:rPr>
              <w:instrText xml:space="preserve"> PAGEREF _Toc209869236 \h </w:instrText>
            </w:r>
            <w:r w:rsidR="000E3D46">
              <w:rPr>
                <w:color w:val="000000" w:themeColor="text1"/>
                <w:lang w:val="en-GB"/>
              </w:rPr>
            </w:r>
            <w:r w:rsidR="000E3D46">
              <w:rPr>
                <w:color w:val="000000" w:themeColor="text1"/>
                <w:lang w:val="en-GB"/>
              </w:rPr>
              <w:fldChar w:fldCharType="separate"/>
            </w:r>
            <w:r w:rsidR="000E3D46">
              <w:rPr>
                <w:color w:val="000000" w:themeColor="text1"/>
                <w:lang w:val="en-GB"/>
              </w:rPr>
              <w:t>5</w:t>
            </w:r>
            <w:r w:rsidR="000E3D46">
              <w:rPr>
                <w:color w:val="000000" w:themeColor="text1"/>
                <w:lang w:val="en-GB"/>
              </w:rPr>
              <w:fldChar w:fldCharType="end"/>
            </w:r>
          </w:hyperlink>
        </w:p>
        <w:p w14:paraId="7B46FB84" w14:textId="77777777" w:rsidR="000E3D46" w:rsidRDefault="000E3D46">
          <w:pPr>
            <w:pStyle w:val="TOC1"/>
            <w:tabs>
              <w:tab w:val="right" w:leader="dot" w:pos="9350"/>
            </w:tabs>
            <w:rPr>
              <w:rFonts w:asciiTheme="minorHAnsi" w:eastAsiaTheme="minorEastAsia" w:hAnsiTheme="minorHAnsi" w:cstheme="minorBidi"/>
              <w:color w:val="000000" w:themeColor="text1"/>
              <w:sz w:val="22"/>
              <w:szCs w:val="22"/>
              <w:lang w:val="en-GB"/>
            </w:rPr>
          </w:pPr>
          <w:hyperlink w:anchor="_Toc209869237" w:history="1">
            <w:r>
              <w:rPr>
                <w:rStyle w:val="Hyperlink"/>
                <w:color w:val="000000" w:themeColor="text1"/>
                <w:lang w:val="en-GB"/>
              </w:rPr>
              <w:t>2. Situational Analysis of Renishaw Plc with SWOT, PESTLE and SMART objectives</w:t>
            </w:r>
            <w:r>
              <w:rPr>
                <w:color w:val="000000" w:themeColor="text1"/>
                <w:lang w:val="en-GB"/>
              </w:rPr>
              <w:tab/>
            </w:r>
            <w:r>
              <w:rPr>
                <w:color w:val="000000" w:themeColor="text1"/>
                <w:lang w:val="en-GB"/>
              </w:rPr>
              <w:fldChar w:fldCharType="begin"/>
            </w:r>
            <w:r>
              <w:rPr>
                <w:color w:val="000000" w:themeColor="text1"/>
                <w:lang w:val="en-GB"/>
              </w:rPr>
              <w:instrText xml:space="preserve"> PAGEREF _Toc209869237 \h </w:instrText>
            </w:r>
            <w:r>
              <w:rPr>
                <w:color w:val="000000" w:themeColor="text1"/>
                <w:lang w:val="en-GB"/>
              </w:rPr>
            </w:r>
            <w:r>
              <w:rPr>
                <w:color w:val="000000" w:themeColor="text1"/>
                <w:lang w:val="en-GB"/>
              </w:rPr>
              <w:fldChar w:fldCharType="separate"/>
            </w:r>
            <w:r>
              <w:rPr>
                <w:color w:val="000000" w:themeColor="text1"/>
                <w:lang w:val="en-GB"/>
              </w:rPr>
              <w:t>6</w:t>
            </w:r>
            <w:r>
              <w:rPr>
                <w:color w:val="000000" w:themeColor="text1"/>
                <w:lang w:val="en-GB"/>
              </w:rPr>
              <w:fldChar w:fldCharType="end"/>
            </w:r>
          </w:hyperlink>
        </w:p>
        <w:p w14:paraId="7B46FB85" w14:textId="77777777" w:rsidR="000E3D46" w:rsidRDefault="000E3D46">
          <w:pPr>
            <w:pStyle w:val="TOC2"/>
            <w:tabs>
              <w:tab w:val="right" w:leader="dot" w:pos="9350"/>
            </w:tabs>
            <w:rPr>
              <w:rFonts w:asciiTheme="minorHAnsi" w:eastAsiaTheme="minorEastAsia" w:hAnsiTheme="minorHAnsi" w:cstheme="minorBidi"/>
              <w:color w:val="000000" w:themeColor="text1"/>
              <w:sz w:val="22"/>
              <w:szCs w:val="22"/>
              <w:lang w:val="en-GB"/>
            </w:rPr>
          </w:pPr>
          <w:hyperlink w:anchor="_Toc209869238" w:history="1">
            <w:r>
              <w:rPr>
                <w:rStyle w:val="Hyperlink"/>
                <w:color w:val="000000" w:themeColor="text1"/>
                <w:lang w:val="en-GB"/>
              </w:rPr>
              <w:t>SWOT Analysis</w:t>
            </w:r>
            <w:r>
              <w:rPr>
                <w:color w:val="000000" w:themeColor="text1"/>
                <w:lang w:val="en-GB"/>
              </w:rPr>
              <w:tab/>
            </w:r>
            <w:r>
              <w:rPr>
                <w:color w:val="000000" w:themeColor="text1"/>
                <w:lang w:val="en-GB"/>
              </w:rPr>
              <w:fldChar w:fldCharType="begin"/>
            </w:r>
            <w:r>
              <w:rPr>
                <w:color w:val="000000" w:themeColor="text1"/>
                <w:lang w:val="en-GB"/>
              </w:rPr>
              <w:instrText xml:space="preserve"> PAGEREF _Toc209869238 \h </w:instrText>
            </w:r>
            <w:r>
              <w:rPr>
                <w:color w:val="000000" w:themeColor="text1"/>
                <w:lang w:val="en-GB"/>
              </w:rPr>
            </w:r>
            <w:r>
              <w:rPr>
                <w:color w:val="000000" w:themeColor="text1"/>
                <w:lang w:val="en-GB"/>
              </w:rPr>
              <w:fldChar w:fldCharType="separate"/>
            </w:r>
            <w:r>
              <w:rPr>
                <w:color w:val="000000" w:themeColor="text1"/>
                <w:lang w:val="en-GB"/>
              </w:rPr>
              <w:t>6</w:t>
            </w:r>
            <w:r>
              <w:rPr>
                <w:color w:val="000000" w:themeColor="text1"/>
                <w:lang w:val="en-GB"/>
              </w:rPr>
              <w:fldChar w:fldCharType="end"/>
            </w:r>
          </w:hyperlink>
        </w:p>
        <w:p w14:paraId="7B46FB86" w14:textId="77777777" w:rsidR="000E3D46" w:rsidRDefault="000E3D46">
          <w:pPr>
            <w:pStyle w:val="TOC2"/>
            <w:tabs>
              <w:tab w:val="right" w:leader="dot" w:pos="9350"/>
            </w:tabs>
            <w:rPr>
              <w:rFonts w:asciiTheme="minorHAnsi" w:eastAsiaTheme="minorEastAsia" w:hAnsiTheme="minorHAnsi" w:cstheme="minorBidi"/>
              <w:color w:val="000000" w:themeColor="text1"/>
              <w:sz w:val="22"/>
              <w:szCs w:val="22"/>
              <w:lang w:val="en-GB"/>
            </w:rPr>
          </w:pPr>
          <w:hyperlink w:anchor="_Toc209869239" w:history="1">
            <w:r>
              <w:rPr>
                <w:rStyle w:val="Hyperlink"/>
                <w:color w:val="000000" w:themeColor="text1"/>
                <w:lang w:val="en-GB"/>
              </w:rPr>
              <w:t>PESTLE Analysis</w:t>
            </w:r>
            <w:r>
              <w:rPr>
                <w:color w:val="000000" w:themeColor="text1"/>
                <w:lang w:val="en-GB"/>
              </w:rPr>
              <w:tab/>
            </w:r>
            <w:r>
              <w:rPr>
                <w:color w:val="000000" w:themeColor="text1"/>
                <w:lang w:val="en-GB"/>
              </w:rPr>
              <w:fldChar w:fldCharType="begin"/>
            </w:r>
            <w:r>
              <w:rPr>
                <w:color w:val="000000" w:themeColor="text1"/>
                <w:lang w:val="en-GB"/>
              </w:rPr>
              <w:instrText xml:space="preserve"> PAGEREF _Toc209869239 \h </w:instrText>
            </w:r>
            <w:r>
              <w:rPr>
                <w:color w:val="000000" w:themeColor="text1"/>
                <w:lang w:val="en-GB"/>
              </w:rPr>
            </w:r>
            <w:r>
              <w:rPr>
                <w:color w:val="000000" w:themeColor="text1"/>
                <w:lang w:val="en-GB"/>
              </w:rPr>
              <w:fldChar w:fldCharType="separate"/>
            </w:r>
            <w:r>
              <w:rPr>
                <w:color w:val="000000" w:themeColor="text1"/>
                <w:lang w:val="en-GB"/>
              </w:rPr>
              <w:t>7</w:t>
            </w:r>
            <w:r>
              <w:rPr>
                <w:color w:val="000000" w:themeColor="text1"/>
                <w:lang w:val="en-GB"/>
              </w:rPr>
              <w:fldChar w:fldCharType="end"/>
            </w:r>
          </w:hyperlink>
        </w:p>
        <w:p w14:paraId="7B46FB87" w14:textId="77777777" w:rsidR="000E3D46" w:rsidRDefault="000E3D46">
          <w:pPr>
            <w:pStyle w:val="TOC2"/>
            <w:tabs>
              <w:tab w:val="right" w:leader="dot" w:pos="9350"/>
            </w:tabs>
            <w:rPr>
              <w:rFonts w:asciiTheme="minorHAnsi" w:eastAsiaTheme="minorEastAsia" w:hAnsiTheme="minorHAnsi" w:cstheme="minorBidi"/>
              <w:color w:val="000000" w:themeColor="text1"/>
              <w:sz w:val="22"/>
              <w:szCs w:val="22"/>
              <w:lang w:val="en-GB"/>
            </w:rPr>
          </w:pPr>
          <w:hyperlink w:anchor="_Toc209869240" w:history="1">
            <w:r>
              <w:rPr>
                <w:rStyle w:val="Hyperlink"/>
                <w:color w:val="000000" w:themeColor="text1"/>
                <w:lang w:val="en-GB"/>
              </w:rPr>
              <w:t>SMART Objective</w:t>
            </w:r>
            <w:r>
              <w:rPr>
                <w:color w:val="000000" w:themeColor="text1"/>
                <w:lang w:val="en-GB"/>
              </w:rPr>
              <w:tab/>
            </w:r>
            <w:r>
              <w:rPr>
                <w:color w:val="000000" w:themeColor="text1"/>
                <w:lang w:val="en-GB"/>
              </w:rPr>
              <w:fldChar w:fldCharType="begin"/>
            </w:r>
            <w:r>
              <w:rPr>
                <w:color w:val="000000" w:themeColor="text1"/>
                <w:lang w:val="en-GB"/>
              </w:rPr>
              <w:instrText xml:space="preserve"> PAGEREF _Toc209869240 \h </w:instrText>
            </w:r>
            <w:r>
              <w:rPr>
                <w:color w:val="000000" w:themeColor="text1"/>
                <w:lang w:val="en-GB"/>
              </w:rPr>
            </w:r>
            <w:r>
              <w:rPr>
                <w:color w:val="000000" w:themeColor="text1"/>
                <w:lang w:val="en-GB"/>
              </w:rPr>
              <w:fldChar w:fldCharType="separate"/>
            </w:r>
            <w:r>
              <w:rPr>
                <w:color w:val="000000" w:themeColor="text1"/>
                <w:lang w:val="en-GB"/>
              </w:rPr>
              <w:t>7</w:t>
            </w:r>
            <w:r>
              <w:rPr>
                <w:color w:val="000000" w:themeColor="text1"/>
                <w:lang w:val="en-GB"/>
              </w:rPr>
              <w:fldChar w:fldCharType="end"/>
            </w:r>
          </w:hyperlink>
        </w:p>
        <w:p w14:paraId="7B46FB88" w14:textId="77777777" w:rsidR="000E3D46" w:rsidRDefault="000E3D46">
          <w:pPr>
            <w:pStyle w:val="TOC1"/>
            <w:tabs>
              <w:tab w:val="right" w:leader="dot" w:pos="9350"/>
            </w:tabs>
            <w:rPr>
              <w:rFonts w:asciiTheme="minorHAnsi" w:eastAsiaTheme="minorEastAsia" w:hAnsiTheme="minorHAnsi" w:cstheme="minorBidi"/>
              <w:color w:val="000000" w:themeColor="text1"/>
              <w:sz w:val="22"/>
              <w:szCs w:val="22"/>
              <w:lang w:val="en-GB"/>
            </w:rPr>
          </w:pPr>
          <w:hyperlink w:anchor="_Toc209869241" w:history="1">
            <w:r>
              <w:rPr>
                <w:rStyle w:val="Hyperlink"/>
                <w:color w:val="000000" w:themeColor="text1"/>
                <w:lang w:val="en-GB"/>
              </w:rPr>
              <w:t>3. Key Internal and External Stakeholders Involved in the Project</w:t>
            </w:r>
            <w:r>
              <w:rPr>
                <w:color w:val="000000" w:themeColor="text1"/>
                <w:lang w:val="en-GB"/>
              </w:rPr>
              <w:tab/>
            </w:r>
            <w:r>
              <w:rPr>
                <w:color w:val="000000" w:themeColor="text1"/>
                <w:lang w:val="en-GB"/>
              </w:rPr>
              <w:fldChar w:fldCharType="begin"/>
            </w:r>
            <w:r>
              <w:rPr>
                <w:color w:val="000000" w:themeColor="text1"/>
                <w:lang w:val="en-GB"/>
              </w:rPr>
              <w:instrText xml:space="preserve"> PAGEREF _Toc209869241 \h </w:instrText>
            </w:r>
            <w:r>
              <w:rPr>
                <w:color w:val="000000" w:themeColor="text1"/>
                <w:lang w:val="en-GB"/>
              </w:rPr>
            </w:r>
            <w:r>
              <w:rPr>
                <w:color w:val="000000" w:themeColor="text1"/>
                <w:lang w:val="en-GB"/>
              </w:rPr>
              <w:fldChar w:fldCharType="separate"/>
            </w:r>
            <w:r>
              <w:rPr>
                <w:color w:val="000000" w:themeColor="text1"/>
                <w:lang w:val="en-GB"/>
              </w:rPr>
              <w:t>8</w:t>
            </w:r>
            <w:r>
              <w:rPr>
                <w:color w:val="000000" w:themeColor="text1"/>
                <w:lang w:val="en-GB"/>
              </w:rPr>
              <w:fldChar w:fldCharType="end"/>
            </w:r>
          </w:hyperlink>
        </w:p>
        <w:p w14:paraId="7B46FB89" w14:textId="77777777" w:rsidR="000E3D46" w:rsidRDefault="000E3D46">
          <w:pPr>
            <w:pStyle w:val="TOC2"/>
            <w:tabs>
              <w:tab w:val="right" w:leader="dot" w:pos="9350"/>
            </w:tabs>
            <w:rPr>
              <w:rFonts w:asciiTheme="minorHAnsi" w:eastAsiaTheme="minorEastAsia" w:hAnsiTheme="minorHAnsi" w:cstheme="minorBidi"/>
              <w:color w:val="000000" w:themeColor="text1"/>
              <w:sz w:val="22"/>
              <w:szCs w:val="22"/>
              <w:lang w:val="en-GB"/>
            </w:rPr>
          </w:pPr>
          <w:hyperlink w:anchor="_Toc209869242" w:history="1">
            <w:r>
              <w:rPr>
                <w:rStyle w:val="Hyperlink"/>
                <w:color w:val="000000" w:themeColor="text1"/>
                <w:lang w:val="en-GB"/>
              </w:rPr>
              <w:t>RACI Matrix</w:t>
            </w:r>
            <w:r>
              <w:rPr>
                <w:color w:val="000000" w:themeColor="text1"/>
                <w:lang w:val="en-GB"/>
              </w:rPr>
              <w:tab/>
            </w:r>
            <w:r>
              <w:rPr>
                <w:color w:val="000000" w:themeColor="text1"/>
                <w:lang w:val="en-GB"/>
              </w:rPr>
              <w:fldChar w:fldCharType="begin"/>
            </w:r>
            <w:r>
              <w:rPr>
                <w:color w:val="000000" w:themeColor="text1"/>
                <w:lang w:val="en-GB"/>
              </w:rPr>
              <w:instrText xml:space="preserve"> PAGEREF _Toc209869242 \h </w:instrText>
            </w:r>
            <w:r>
              <w:rPr>
                <w:color w:val="000000" w:themeColor="text1"/>
                <w:lang w:val="en-GB"/>
              </w:rPr>
            </w:r>
            <w:r>
              <w:rPr>
                <w:color w:val="000000" w:themeColor="text1"/>
                <w:lang w:val="en-GB"/>
              </w:rPr>
              <w:fldChar w:fldCharType="separate"/>
            </w:r>
            <w:r>
              <w:rPr>
                <w:color w:val="000000" w:themeColor="text1"/>
                <w:lang w:val="en-GB"/>
              </w:rPr>
              <w:t>8</w:t>
            </w:r>
            <w:r>
              <w:rPr>
                <w:color w:val="000000" w:themeColor="text1"/>
                <w:lang w:val="en-GB"/>
              </w:rPr>
              <w:fldChar w:fldCharType="end"/>
            </w:r>
          </w:hyperlink>
        </w:p>
        <w:p w14:paraId="7B46FB8A" w14:textId="77777777" w:rsidR="000E3D46" w:rsidRDefault="000E3D46">
          <w:pPr>
            <w:pStyle w:val="TOC2"/>
            <w:tabs>
              <w:tab w:val="right" w:leader="dot" w:pos="9350"/>
            </w:tabs>
            <w:rPr>
              <w:rFonts w:asciiTheme="minorHAnsi" w:eastAsiaTheme="minorEastAsia" w:hAnsiTheme="minorHAnsi" w:cstheme="minorBidi"/>
              <w:color w:val="000000" w:themeColor="text1"/>
              <w:sz w:val="22"/>
              <w:szCs w:val="22"/>
              <w:lang w:val="en-GB"/>
            </w:rPr>
          </w:pPr>
          <w:hyperlink w:anchor="_Toc209869243" w:history="1">
            <w:r>
              <w:rPr>
                <w:rStyle w:val="Hyperlink"/>
                <w:color w:val="000000" w:themeColor="text1"/>
                <w:lang w:val="en-GB"/>
              </w:rPr>
              <w:t>Internal Stakeholders</w:t>
            </w:r>
            <w:r>
              <w:rPr>
                <w:color w:val="000000" w:themeColor="text1"/>
                <w:lang w:val="en-GB"/>
              </w:rPr>
              <w:tab/>
            </w:r>
            <w:r>
              <w:rPr>
                <w:color w:val="000000" w:themeColor="text1"/>
                <w:lang w:val="en-GB"/>
              </w:rPr>
              <w:fldChar w:fldCharType="begin"/>
            </w:r>
            <w:r>
              <w:rPr>
                <w:color w:val="000000" w:themeColor="text1"/>
                <w:lang w:val="en-GB"/>
              </w:rPr>
              <w:instrText xml:space="preserve"> PAGEREF _Toc209869243 \h </w:instrText>
            </w:r>
            <w:r>
              <w:rPr>
                <w:color w:val="000000" w:themeColor="text1"/>
                <w:lang w:val="en-GB"/>
              </w:rPr>
            </w:r>
            <w:r>
              <w:rPr>
                <w:color w:val="000000" w:themeColor="text1"/>
                <w:lang w:val="en-GB"/>
              </w:rPr>
              <w:fldChar w:fldCharType="separate"/>
            </w:r>
            <w:r>
              <w:rPr>
                <w:color w:val="000000" w:themeColor="text1"/>
                <w:lang w:val="en-GB"/>
              </w:rPr>
              <w:t>9</w:t>
            </w:r>
            <w:r>
              <w:rPr>
                <w:color w:val="000000" w:themeColor="text1"/>
                <w:lang w:val="en-GB"/>
              </w:rPr>
              <w:fldChar w:fldCharType="end"/>
            </w:r>
          </w:hyperlink>
        </w:p>
        <w:p w14:paraId="7B46FB8B" w14:textId="77777777" w:rsidR="000E3D46" w:rsidRDefault="000E3D46">
          <w:pPr>
            <w:pStyle w:val="TOC2"/>
            <w:tabs>
              <w:tab w:val="right" w:leader="dot" w:pos="9350"/>
            </w:tabs>
            <w:rPr>
              <w:rFonts w:asciiTheme="minorHAnsi" w:eastAsiaTheme="minorEastAsia" w:hAnsiTheme="minorHAnsi" w:cstheme="minorBidi"/>
              <w:color w:val="000000" w:themeColor="text1"/>
              <w:sz w:val="22"/>
              <w:szCs w:val="22"/>
              <w:lang w:val="en-GB"/>
            </w:rPr>
          </w:pPr>
          <w:hyperlink w:anchor="_Toc209869244" w:history="1">
            <w:r>
              <w:rPr>
                <w:rStyle w:val="Hyperlink"/>
                <w:color w:val="000000" w:themeColor="text1"/>
                <w:lang w:val="en-GB"/>
              </w:rPr>
              <w:t>External Stakeholders</w:t>
            </w:r>
            <w:r>
              <w:rPr>
                <w:color w:val="000000" w:themeColor="text1"/>
                <w:lang w:val="en-GB"/>
              </w:rPr>
              <w:tab/>
            </w:r>
            <w:r>
              <w:rPr>
                <w:color w:val="000000" w:themeColor="text1"/>
                <w:lang w:val="en-GB"/>
              </w:rPr>
              <w:fldChar w:fldCharType="begin"/>
            </w:r>
            <w:r>
              <w:rPr>
                <w:color w:val="000000" w:themeColor="text1"/>
                <w:lang w:val="en-GB"/>
              </w:rPr>
              <w:instrText xml:space="preserve"> PAGEREF _Toc209869244 \h </w:instrText>
            </w:r>
            <w:r>
              <w:rPr>
                <w:color w:val="000000" w:themeColor="text1"/>
                <w:lang w:val="en-GB"/>
              </w:rPr>
            </w:r>
            <w:r>
              <w:rPr>
                <w:color w:val="000000" w:themeColor="text1"/>
                <w:lang w:val="en-GB"/>
              </w:rPr>
              <w:fldChar w:fldCharType="separate"/>
            </w:r>
            <w:r>
              <w:rPr>
                <w:color w:val="000000" w:themeColor="text1"/>
                <w:lang w:val="en-GB"/>
              </w:rPr>
              <w:t>11</w:t>
            </w:r>
            <w:r>
              <w:rPr>
                <w:color w:val="000000" w:themeColor="text1"/>
                <w:lang w:val="en-GB"/>
              </w:rPr>
              <w:fldChar w:fldCharType="end"/>
            </w:r>
          </w:hyperlink>
        </w:p>
        <w:p w14:paraId="7B46FB8C" w14:textId="77777777" w:rsidR="000E3D46" w:rsidRDefault="000E3D46">
          <w:pPr>
            <w:pStyle w:val="TOC2"/>
            <w:tabs>
              <w:tab w:val="right" w:leader="dot" w:pos="9350"/>
            </w:tabs>
            <w:rPr>
              <w:rFonts w:asciiTheme="minorHAnsi" w:eastAsiaTheme="minorEastAsia" w:hAnsiTheme="minorHAnsi" w:cstheme="minorBidi"/>
              <w:color w:val="000000" w:themeColor="text1"/>
              <w:sz w:val="22"/>
              <w:szCs w:val="22"/>
              <w:lang w:val="en-GB"/>
            </w:rPr>
          </w:pPr>
          <w:hyperlink w:anchor="_Toc209869245" w:history="1">
            <w:r>
              <w:rPr>
                <w:rStyle w:val="Hyperlink"/>
                <w:color w:val="000000" w:themeColor="text1"/>
                <w:lang w:val="en-GB"/>
              </w:rPr>
              <w:t>Stakeholder Mapping</w:t>
            </w:r>
            <w:r>
              <w:rPr>
                <w:color w:val="000000" w:themeColor="text1"/>
                <w:lang w:val="en-GB"/>
              </w:rPr>
              <w:tab/>
            </w:r>
            <w:r>
              <w:rPr>
                <w:color w:val="000000" w:themeColor="text1"/>
                <w:lang w:val="en-GB"/>
              </w:rPr>
              <w:fldChar w:fldCharType="begin"/>
            </w:r>
            <w:r>
              <w:rPr>
                <w:color w:val="000000" w:themeColor="text1"/>
                <w:lang w:val="en-GB"/>
              </w:rPr>
              <w:instrText xml:space="preserve"> PAGEREF _Toc209869245 \h </w:instrText>
            </w:r>
            <w:r>
              <w:rPr>
                <w:color w:val="000000" w:themeColor="text1"/>
                <w:lang w:val="en-GB"/>
              </w:rPr>
            </w:r>
            <w:r>
              <w:rPr>
                <w:color w:val="000000" w:themeColor="text1"/>
                <w:lang w:val="en-GB"/>
              </w:rPr>
              <w:fldChar w:fldCharType="separate"/>
            </w:r>
            <w:r>
              <w:rPr>
                <w:color w:val="000000" w:themeColor="text1"/>
                <w:lang w:val="en-GB"/>
              </w:rPr>
              <w:t>12</w:t>
            </w:r>
            <w:r>
              <w:rPr>
                <w:color w:val="000000" w:themeColor="text1"/>
                <w:lang w:val="en-GB"/>
              </w:rPr>
              <w:fldChar w:fldCharType="end"/>
            </w:r>
          </w:hyperlink>
        </w:p>
        <w:p w14:paraId="7B46FB8D" w14:textId="77777777" w:rsidR="000E3D46" w:rsidRDefault="000E3D46">
          <w:pPr>
            <w:pStyle w:val="TOC2"/>
            <w:tabs>
              <w:tab w:val="right" w:leader="dot" w:pos="9350"/>
            </w:tabs>
            <w:rPr>
              <w:rFonts w:asciiTheme="minorHAnsi" w:eastAsiaTheme="minorEastAsia" w:hAnsiTheme="minorHAnsi" w:cstheme="minorBidi"/>
              <w:color w:val="000000" w:themeColor="text1"/>
              <w:sz w:val="22"/>
              <w:szCs w:val="22"/>
              <w:lang w:val="en-GB"/>
            </w:rPr>
          </w:pPr>
          <w:hyperlink w:anchor="_Toc209869246" w:history="1">
            <w:r>
              <w:rPr>
                <w:rStyle w:val="Hyperlink"/>
                <w:color w:val="000000" w:themeColor="text1"/>
                <w:lang w:val="en-GB"/>
              </w:rPr>
              <w:t>Power-Interest Matrix</w:t>
            </w:r>
            <w:r>
              <w:rPr>
                <w:color w:val="000000" w:themeColor="text1"/>
                <w:lang w:val="en-GB"/>
              </w:rPr>
              <w:tab/>
            </w:r>
            <w:r>
              <w:rPr>
                <w:color w:val="000000" w:themeColor="text1"/>
                <w:lang w:val="en-GB"/>
              </w:rPr>
              <w:fldChar w:fldCharType="begin"/>
            </w:r>
            <w:r>
              <w:rPr>
                <w:color w:val="000000" w:themeColor="text1"/>
                <w:lang w:val="en-GB"/>
              </w:rPr>
              <w:instrText xml:space="preserve"> PAGEREF _Toc209869246 \h </w:instrText>
            </w:r>
            <w:r>
              <w:rPr>
                <w:color w:val="000000" w:themeColor="text1"/>
                <w:lang w:val="en-GB"/>
              </w:rPr>
            </w:r>
            <w:r>
              <w:rPr>
                <w:color w:val="000000" w:themeColor="text1"/>
                <w:lang w:val="en-GB"/>
              </w:rPr>
              <w:fldChar w:fldCharType="separate"/>
            </w:r>
            <w:r>
              <w:rPr>
                <w:color w:val="000000" w:themeColor="text1"/>
                <w:lang w:val="en-GB"/>
              </w:rPr>
              <w:t>13</w:t>
            </w:r>
            <w:r>
              <w:rPr>
                <w:color w:val="000000" w:themeColor="text1"/>
                <w:lang w:val="en-GB"/>
              </w:rPr>
              <w:fldChar w:fldCharType="end"/>
            </w:r>
          </w:hyperlink>
        </w:p>
        <w:p w14:paraId="7B46FB8E" w14:textId="77777777" w:rsidR="000E3D46" w:rsidRDefault="000E3D46">
          <w:pPr>
            <w:pStyle w:val="TOC2"/>
            <w:tabs>
              <w:tab w:val="right" w:leader="dot" w:pos="9350"/>
            </w:tabs>
            <w:rPr>
              <w:rFonts w:asciiTheme="minorHAnsi" w:eastAsiaTheme="minorEastAsia" w:hAnsiTheme="minorHAnsi" w:cstheme="minorBidi"/>
              <w:color w:val="000000" w:themeColor="text1"/>
              <w:sz w:val="22"/>
              <w:szCs w:val="22"/>
              <w:lang w:val="en-GB"/>
            </w:rPr>
          </w:pPr>
          <w:hyperlink w:anchor="_Toc209869247" w:history="1">
            <w:r>
              <w:rPr>
                <w:rStyle w:val="Hyperlink"/>
                <w:color w:val="000000" w:themeColor="text1"/>
                <w:lang w:val="en-GB"/>
              </w:rPr>
              <w:t>Engagement Plan</w:t>
            </w:r>
            <w:r>
              <w:rPr>
                <w:color w:val="000000" w:themeColor="text1"/>
                <w:lang w:val="en-GB"/>
              </w:rPr>
              <w:tab/>
            </w:r>
            <w:r>
              <w:rPr>
                <w:color w:val="000000" w:themeColor="text1"/>
                <w:lang w:val="en-GB"/>
              </w:rPr>
              <w:fldChar w:fldCharType="begin"/>
            </w:r>
            <w:r>
              <w:rPr>
                <w:color w:val="000000" w:themeColor="text1"/>
                <w:lang w:val="en-GB"/>
              </w:rPr>
              <w:instrText xml:space="preserve"> PAGEREF _Toc209869247 \h </w:instrText>
            </w:r>
            <w:r>
              <w:rPr>
                <w:color w:val="000000" w:themeColor="text1"/>
                <w:lang w:val="en-GB"/>
              </w:rPr>
            </w:r>
            <w:r>
              <w:rPr>
                <w:color w:val="000000" w:themeColor="text1"/>
                <w:lang w:val="en-GB"/>
              </w:rPr>
              <w:fldChar w:fldCharType="separate"/>
            </w:r>
            <w:r>
              <w:rPr>
                <w:color w:val="000000" w:themeColor="text1"/>
                <w:lang w:val="en-GB"/>
              </w:rPr>
              <w:t>13</w:t>
            </w:r>
            <w:r>
              <w:rPr>
                <w:color w:val="000000" w:themeColor="text1"/>
                <w:lang w:val="en-GB"/>
              </w:rPr>
              <w:fldChar w:fldCharType="end"/>
            </w:r>
          </w:hyperlink>
        </w:p>
        <w:p w14:paraId="7B46FB8F" w14:textId="77777777" w:rsidR="000E3D46" w:rsidRDefault="000E3D46">
          <w:pPr>
            <w:pStyle w:val="TOC2"/>
            <w:tabs>
              <w:tab w:val="right" w:leader="dot" w:pos="9350"/>
            </w:tabs>
            <w:rPr>
              <w:rFonts w:asciiTheme="minorHAnsi" w:eastAsiaTheme="minorEastAsia" w:hAnsiTheme="minorHAnsi" w:cstheme="minorBidi"/>
              <w:color w:val="000000" w:themeColor="text1"/>
              <w:sz w:val="22"/>
              <w:szCs w:val="22"/>
              <w:lang w:val="en-GB"/>
            </w:rPr>
          </w:pPr>
          <w:hyperlink w:anchor="_Toc209869248" w:history="1">
            <w:r>
              <w:rPr>
                <w:rStyle w:val="Hyperlink"/>
                <w:color w:val="000000" w:themeColor="text1"/>
                <w:lang w:val="en-GB"/>
              </w:rPr>
              <w:t>Communication Plan</w:t>
            </w:r>
            <w:r>
              <w:rPr>
                <w:color w:val="000000" w:themeColor="text1"/>
                <w:lang w:val="en-GB"/>
              </w:rPr>
              <w:tab/>
            </w:r>
            <w:r>
              <w:rPr>
                <w:color w:val="000000" w:themeColor="text1"/>
                <w:lang w:val="en-GB"/>
              </w:rPr>
              <w:fldChar w:fldCharType="begin"/>
            </w:r>
            <w:r>
              <w:rPr>
                <w:color w:val="000000" w:themeColor="text1"/>
                <w:lang w:val="en-GB"/>
              </w:rPr>
              <w:instrText xml:space="preserve"> PAGEREF _Toc209869248 \h </w:instrText>
            </w:r>
            <w:r>
              <w:rPr>
                <w:color w:val="000000" w:themeColor="text1"/>
                <w:lang w:val="en-GB"/>
              </w:rPr>
            </w:r>
            <w:r>
              <w:rPr>
                <w:color w:val="000000" w:themeColor="text1"/>
                <w:lang w:val="en-GB"/>
              </w:rPr>
              <w:fldChar w:fldCharType="separate"/>
            </w:r>
            <w:r>
              <w:rPr>
                <w:color w:val="000000" w:themeColor="text1"/>
                <w:lang w:val="en-GB"/>
              </w:rPr>
              <w:t>14</w:t>
            </w:r>
            <w:r>
              <w:rPr>
                <w:color w:val="000000" w:themeColor="text1"/>
                <w:lang w:val="en-GB"/>
              </w:rPr>
              <w:fldChar w:fldCharType="end"/>
            </w:r>
          </w:hyperlink>
        </w:p>
        <w:p w14:paraId="7B46FB90" w14:textId="77777777" w:rsidR="000E3D46" w:rsidRDefault="000E3D46">
          <w:pPr>
            <w:pStyle w:val="TOC1"/>
            <w:tabs>
              <w:tab w:val="right" w:leader="dot" w:pos="9350"/>
            </w:tabs>
            <w:rPr>
              <w:rFonts w:asciiTheme="minorHAnsi" w:eastAsiaTheme="minorEastAsia" w:hAnsiTheme="minorHAnsi" w:cstheme="minorBidi"/>
              <w:color w:val="000000" w:themeColor="text1"/>
              <w:sz w:val="22"/>
              <w:szCs w:val="22"/>
              <w:lang w:val="en-GB"/>
            </w:rPr>
          </w:pPr>
          <w:hyperlink w:anchor="_Toc209869249" w:history="1">
            <w:r>
              <w:rPr>
                <w:rStyle w:val="Hyperlink"/>
                <w:color w:val="000000" w:themeColor="text1"/>
                <w:lang w:val="en-GB"/>
              </w:rPr>
              <w:t>4. Roles and responsibilities of the key stakeholders, benefits and challenges stakeholders face</w:t>
            </w:r>
            <w:r>
              <w:rPr>
                <w:color w:val="000000" w:themeColor="text1"/>
                <w:lang w:val="en-GB"/>
              </w:rPr>
              <w:tab/>
            </w:r>
            <w:r>
              <w:rPr>
                <w:color w:val="000000" w:themeColor="text1"/>
                <w:lang w:val="en-GB"/>
              </w:rPr>
              <w:fldChar w:fldCharType="begin"/>
            </w:r>
            <w:r>
              <w:rPr>
                <w:color w:val="000000" w:themeColor="text1"/>
                <w:lang w:val="en-GB"/>
              </w:rPr>
              <w:instrText xml:space="preserve"> PAGEREF _Toc209869249 \h </w:instrText>
            </w:r>
            <w:r>
              <w:rPr>
                <w:color w:val="000000" w:themeColor="text1"/>
                <w:lang w:val="en-GB"/>
              </w:rPr>
            </w:r>
            <w:r>
              <w:rPr>
                <w:color w:val="000000" w:themeColor="text1"/>
                <w:lang w:val="en-GB"/>
              </w:rPr>
              <w:fldChar w:fldCharType="separate"/>
            </w:r>
            <w:r>
              <w:rPr>
                <w:color w:val="000000" w:themeColor="text1"/>
                <w:lang w:val="en-GB"/>
              </w:rPr>
              <w:t>15</w:t>
            </w:r>
            <w:r>
              <w:rPr>
                <w:color w:val="000000" w:themeColor="text1"/>
                <w:lang w:val="en-GB"/>
              </w:rPr>
              <w:fldChar w:fldCharType="end"/>
            </w:r>
          </w:hyperlink>
        </w:p>
        <w:p w14:paraId="7B46FB91" w14:textId="77777777" w:rsidR="000E3D46" w:rsidRDefault="000E3D46">
          <w:pPr>
            <w:pStyle w:val="TOC2"/>
            <w:tabs>
              <w:tab w:val="right" w:leader="dot" w:pos="9350"/>
            </w:tabs>
            <w:rPr>
              <w:rFonts w:asciiTheme="minorHAnsi" w:eastAsiaTheme="minorEastAsia" w:hAnsiTheme="minorHAnsi" w:cstheme="minorBidi"/>
              <w:color w:val="000000" w:themeColor="text1"/>
              <w:sz w:val="22"/>
              <w:szCs w:val="22"/>
              <w:lang w:val="en-GB"/>
            </w:rPr>
          </w:pPr>
          <w:hyperlink w:anchor="_Toc209869250" w:history="1">
            <w:r>
              <w:rPr>
                <w:rStyle w:val="Hyperlink"/>
                <w:color w:val="000000" w:themeColor="text1"/>
                <w:lang w:val="en-GB"/>
              </w:rPr>
              <w:t>Step 1: Communication</w:t>
            </w:r>
            <w:r>
              <w:rPr>
                <w:color w:val="000000" w:themeColor="text1"/>
                <w:lang w:val="en-GB"/>
              </w:rPr>
              <w:tab/>
            </w:r>
            <w:r>
              <w:rPr>
                <w:color w:val="000000" w:themeColor="text1"/>
                <w:lang w:val="en-GB"/>
              </w:rPr>
              <w:fldChar w:fldCharType="begin"/>
            </w:r>
            <w:r>
              <w:rPr>
                <w:color w:val="000000" w:themeColor="text1"/>
                <w:lang w:val="en-GB"/>
              </w:rPr>
              <w:instrText xml:space="preserve"> PAGEREF _Toc209869250 \h </w:instrText>
            </w:r>
            <w:r>
              <w:rPr>
                <w:color w:val="000000" w:themeColor="text1"/>
                <w:lang w:val="en-GB"/>
              </w:rPr>
            </w:r>
            <w:r>
              <w:rPr>
                <w:color w:val="000000" w:themeColor="text1"/>
                <w:lang w:val="en-GB"/>
              </w:rPr>
              <w:fldChar w:fldCharType="separate"/>
            </w:r>
            <w:r>
              <w:rPr>
                <w:color w:val="000000" w:themeColor="text1"/>
                <w:lang w:val="en-GB"/>
              </w:rPr>
              <w:t>15</w:t>
            </w:r>
            <w:r>
              <w:rPr>
                <w:color w:val="000000" w:themeColor="text1"/>
                <w:lang w:val="en-GB"/>
              </w:rPr>
              <w:fldChar w:fldCharType="end"/>
            </w:r>
          </w:hyperlink>
        </w:p>
        <w:p w14:paraId="7B46FB92" w14:textId="77777777" w:rsidR="000E3D46" w:rsidRDefault="000E3D46">
          <w:pPr>
            <w:pStyle w:val="TOC2"/>
            <w:tabs>
              <w:tab w:val="right" w:leader="dot" w:pos="9350"/>
            </w:tabs>
            <w:rPr>
              <w:rFonts w:asciiTheme="minorHAnsi" w:eastAsiaTheme="minorEastAsia" w:hAnsiTheme="minorHAnsi" w:cstheme="minorBidi"/>
              <w:color w:val="000000" w:themeColor="text1"/>
              <w:sz w:val="22"/>
              <w:szCs w:val="22"/>
              <w:lang w:val="en-GB"/>
            </w:rPr>
          </w:pPr>
          <w:hyperlink w:anchor="_Toc209869251" w:history="1">
            <w:r>
              <w:rPr>
                <w:rStyle w:val="Hyperlink"/>
                <w:color w:val="000000" w:themeColor="text1"/>
                <w:lang w:val="en-GB"/>
              </w:rPr>
              <w:t>Step 2: Coordination</w:t>
            </w:r>
            <w:r>
              <w:rPr>
                <w:color w:val="000000" w:themeColor="text1"/>
                <w:lang w:val="en-GB"/>
              </w:rPr>
              <w:tab/>
            </w:r>
            <w:r>
              <w:rPr>
                <w:color w:val="000000" w:themeColor="text1"/>
                <w:lang w:val="en-GB"/>
              </w:rPr>
              <w:fldChar w:fldCharType="begin"/>
            </w:r>
            <w:r>
              <w:rPr>
                <w:color w:val="000000" w:themeColor="text1"/>
                <w:lang w:val="en-GB"/>
              </w:rPr>
              <w:instrText xml:space="preserve"> PAGEREF _Toc209869251 \h </w:instrText>
            </w:r>
            <w:r>
              <w:rPr>
                <w:color w:val="000000" w:themeColor="text1"/>
                <w:lang w:val="en-GB"/>
              </w:rPr>
            </w:r>
            <w:r>
              <w:rPr>
                <w:color w:val="000000" w:themeColor="text1"/>
                <w:lang w:val="en-GB"/>
              </w:rPr>
              <w:fldChar w:fldCharType="separate"/>
            </w:r>
            <w:r>
              <w:rPr>
                <w:color w:val="000000" w:themeColor="text1"/>
                <w:lang w:val="en-GB"/>
              </w:rPr>
              <w:t>16</w:t>
            </w:r>
            <w:r>
              <w:rPr>
                <w:color w:val="000000" w:themeColor="text1"/>
                <w:lang w:val="en-GB"/>
              </w:rPr>
              <w:fldChar w:fldCharType="end"/>
            </w:r>
          </w:hyperlink>
        </w:p>
        <w:p w14:paraId="7B46FB93" w14:textId="77777777" w:rsidR="000E3D46" w:rsidRDefault="000E3D46">
          <w:pPr>
            <w:pStyle w:val="TOC2"/>
            <w:tabs>
              <w:tab w:val="right" w:leader="dot" w:pos="9350"/>
            </w:tabs>
            <w:rPr>
              <w:rFonts w:asciiTheme="minorHAnsi" w:eastAsiaTheme="minorEastAsia" w:hAnsiTheme="minorHAnsi" w:cstheme="minorBidi"/>
              <w:color w:val="000000" w:themeColor="text1"/>
              <w:sz w:val="22"/>
              <w:szCs w:val="22"/>
              <w:lang w:val="en-GB"/>
            </w:rPr>
          </w:pPr>
          <w:hyperlink w:anchor="_Toc209869252" w:history="1">
            <w:r>
              <w:rPr>
                <w:rStyle w:val="Hyperlink"/>
                <w:color w:val="000000" w:themeColor="text1"/>
                <w:lang w:val="en-GB"/>
              </w:rPr>
              <w:t>Step 3: Cooperation</w:t>
            </w:r>
            <w:r>
              <w:rPr>
                <w:color w:val="000000" w:themeColor="text1"/>
                <w:lang w:val="en-GB"/>
              </w:rPr>
              <w:tab/>
            </w:r>
            <w:r>
              <w:rPr>
                <w:color w:val="000000" w:themeColor="text1"/>
                <w:lang w:val="en-GB"/>
              </w:rPr>
              <w:fldChar w:fldCharType="begin"/>
            </w:r>
            <w:r>
              <w:rPr>
                <w:color w:val="000000" w:themeColor="text1"/>
                <w:lang w:val="en-GB"/>
              </w:rPr>
              <w:instrText xml:space="preserve"> PAGEREF _Toc209869252 \h </w:instrText>
            </w:r>
            <w:r>
              <w:rPr>
                <w:color w:val="000000" w:themeColor="text1"/>
                <w:lang w:val="en-GB"/>
              </w:rPr>
            </w:r>
            <w:r>
              <w:rPr>
                <w:color w:val="000000" w:themeColor="text1"/>
                <w:lang w:val="en-GB"/>
              </w:rPr>
              <w:fldChar w:fldCharType="separate"/>
            </w:r>
            <w:r>
              <w:rPr>
                <w:color w:val="000000" w:themeColor="text1"/>
                <w:lang w:val="en-GB"/>
              </w:rPr>
              <w:t>16</w:t>
            </w:r>
            <w:r>
              <w:rPr>
                <w:color w:val="000000" w:themeColor="text1"/>
                <w:lang w:val="en-GB"/>
              </w:rPr>
              <w:fldChar w:fldCharType="end"/>
            </w:r>
          </w:hyperlink>
        </w:p>
        <w:p w14:paraId="7B46FB94" w14:textId="77777777" w:rsidR="000E3D46" w:rsidRDefault="000E3D46">
          <w:pPr>
            <w:pStyle w:val="TOC2"/>
            <w:tabs>
              <w:tab w:val="right" w:leader="dot" w:pos="9350"/>
            </w:tabs>
            <w:rPr>
              <w:rFonts w:asciiTheme="minorHAnsi" w:eastAsiaTheme="minorEastAsia" w:hAnsiTheme="minorHAnsi" w:cstheme="minorBidi"/>
              <w:color w:val="000000" w:themeColor="text1"/>
              <w:sz w:val="22"/>
              <w:szCs w:val="22"/>
              <w:lang w:val="en-GB"/>
            </w:rPr>
          </w:pPr>
          <w:hyperlink w:anchor="_Toc209869253" w:history="1">
            <w:r>
              <w:rPr>
                <w:rStyle w:val="Hyperlink"/>
                <w:color w:val="000000" w:themeColor="text1"/>
                <w:lang w:val="en-GB"/>
              </w:rPr>
              <w:t>Step 4: Collaboration</w:t>
            </w:r>
            <w:r>
              <w:rPr>
                <w:color w:val="000000" w:themeColor="text1"/>
                <w:lang w:val="en-GB"/>
              </w:rPr>
              <w:tab/>
            </w:r>
            <w:r>
              <w:rPr>
                <w:color w:val="000000" w:themeColor="text1"/>
                <w:lang w:val="en-GB"/>
              </w:rPr>
              <w:fldChar w:fldCharType="begin"/>
            </w:r>
            <w:r>
              <w:rPr>
                <w:color w:val="000000" w:themeColor="text1"/>
                <w:lang w:val="en-GB"/>
              </w:rPr>
              <w:instrText xml:space="preserve"> PAGEREF _Toc209869253 \h </w:instrText>
            </w:r>
            <w:r>
              <w:rPr>
                <w:color w:val="000000" w:themeColor="text1"/>
                <w:lang w:val="en-GB"/>
              </w:rPr>
            </w:r>
            <w:r>
              <w:rPr>
                <w:color w:val="000000" w:themeColor="text1"/>
                <w:lang w:val="en-GB"/>
              </w:rPr>
              <w:fldChar w:fldCharType="separate"/>
            </w:r>
            <w:r>
              <w:rPr>
                <w:color w:val="000000" w:themeColor="text1"/>
                <w:lang w:val="en-GB"/>
              </w:rPr>
              <w:t>17</w:t>
            </w:r>
            <w:r>
              <w:rPr>
                <w:color w:val="000000" w:themeColor="text1"/>
                <w:lang w:val="en-GB"/>
              </w:rPr>
              <w:fldChar w:fldCharType="end"/>
            </w:r>
          </w:hyperlink>
        </w:p>
        <w:p w14:paraId="7B46FB95" w14:textId="77777777" w:rsidR="000E3D46" w:rsidRDefault="000E3D46">
          <w:pPr>
            <w:pStyle w:val="TOC2"/>
            <w:tabs>
              <w:tab w:val="right" w:leader="dot" w:pos="9350"/>
            </w:tabs>
            <w:rPr>
              <w:rFonts w:asciiTheme="minorHAnsi" w:eastAsiaTheme="minorEastAsia" w:hAnsiTheme="minorHAnsi" w:cstheme="minorBidi"/>
              <w:color w:val="000000" w:themeColor="text1"/>
              <w:sz w:val="22"/>
              <w:szCs w:val="22"/>
              <w:lang w:val="en-GB"/>
            </w:rPr>
          </w:pPr>
          <w:hyperlink w:anchor="_Toc209869254" w:history="1">
            <w:r>
              <w:rPr>
                <w:rStyle w:val="Hyperlink"/>
                <w:color w:val="000000" w:themeColor="text1"/>
                <w:lang w:val="en-GB"/>
              </w:rPr>
              <w:t>Roles and responsibilities of Internal Stakeholders and challenges</w:t>
            </w:r>
            <w:r>
              <w:rPr>
                <w:color w:val="000000" w:themeColor="text1"/>
                <w:lang w:val="en-GB"/>
              </w:rPr>
              <w:tab/>
            </w:r>
            <w:r>
              <w:rPr>
                <w:color w:val="000000" w:themeColor="text1"/>
                <w:lang w:val="en-GB"/>
              </w:rPr>
              <w:fldChar w:fldCharType="begin"/>
            </w:r>
            <w:r>
              <w:rPr>
                <w:color w:val="000000" w:themeColor="text1"/>
                <w:lang w:val="en-GB"/>
              </w:rPr>
              <w:instrText xml:space="preserve"> PAGEREF _Toc209869254 \h </w:instrText>
            </w:r>
            <w:r>
              <w:rPr>
                <w:color w:val="000000" w:themeColor="text1"/>
                <w:lang w:val="en-GB"/>
              </w:rPr>
            </w:r>
            <w:r>
              <w:rPr>
                <w:color w:val="000000" w:themeColor="text1"/>
                <w:lang w:val="en-GB"/>
              </w:rPr>
              <w:fldChar w:fldCharType="separate"/>
            </w:r>
            <w:r>
              <w:rPr>
                <w:color w:val="000000" w:themeColor="text1"/>
                <w:lang w:val="en-GB"/>
              </w:rPr>
              <w:t>17</w:t>
            </w:r>
            <w:r>
              <w:rPr>
                <w:color w:val="000000" w:themeColor="text1"/>
                <w:lang w:val="en-GB"/>
              </w:rPr>
              <w:fldChar w:fldCharType="end"/>
            </w:r>
          </w:hyperlink>
        </w:p>
        <w:p w14:paraId="7B46FB96" w14:textId="77777777" w:rsidR="000E3D46" w:rsidRDefault="000E3D46">
          <w:pPr>
            <w:pStyle w:val="TOC2"/>
            <w:tabs>
              <w:tab w:val="right" w:leader="dot" w:pos="9350"/>
            </w:tabs>
            <w:rPr>
              <w:rFonts w:asciiTheme="minorHAnsi" w:eastAsiaTheme="minorEastAsia" w:hAnsiTheme="minorHAnsi" w:cstheme="minorBidi"/>
              <w:color w:val="000000" w:themeColor="text1"/>
              <w:sz w:val="22"/>
              <w:szCs w:val="22"/>
              <w:lang w:val="en-GB"/>
            </w:rPr>
          </w:pPr>
          <w:hyperlink w:anchor="_Toc209869255" w:history="1">
            <w:r>
              <w:rPr>
                <w:rStyle w:val="Hyperlink"/>
                <w:color w:val="000000" w:themeColor="text1"/>
                <w:lang w:val="en-GB"/>
              </w:rPr>
              <w:t>Roles and responsibilities of External Stakeholders and challenges</w:t>
            </w:r>
            <w:r>
              <w:rPr>
                <w:color w:val="000000" w:themeColor="text1"/>
                <w:lang w:val="en-GB"/>
              </w:rPr>
              <w:tab/>
            </w:r>
            <w:r>
              <w:rPr>
                <w:color w:val="000000" w:themeColor="text1"/>
                <w:lang w:val="en-GB"/>
              </w:rPr>
              <w:fldChar w:fldCharType="begin"/>
            </w:r>
            <w:r>
              <w:rPr>
                <w:color w:val="000000" w:themeColor="text1"/>
                <w:lang w:val="en-GB"/>
              </w:rPr>
              <w:instrText xml:space="preserve"> PAGEREF _Toc209869255 \h </w:instrText>
            </w:r>
            <w:r>
              <w:rPr>
                <w:color w:val="000000" w:themeColor="text1"/>
                <w:lang w:val="en-GB"/>
              </w:rPr>
            </w:r>
            <w:r>
              <w:rPr>
                <w:color w:val="000000" w:themeColor="text1"/>
                <w:lang w:val="en-GB"/>
              </w:rPr>
              <w:fldChar w:fldCharType="separate"/>
            </w:r>
            <w:r>
              <w:rPr>
                <w:color w:val="000000" w:themeColor="text1"/>
                <w:lang w:val="en-GB"/>
              </w:rPr>
              <w:t>20</w:t>
            </w:r>
            <w:r>
              <w:rPr>
                <w:color w:val="000000" w:themeColor="text1"/>
                <w:lang w:val="en-GB"/>
              </w:rPr>
              <w:fldChar w:fldCharType="end"/>
            </w:r>
          </w:hyperlink>
        </w:p>
        <w:p w14:paraId="7B46FB97" w14:textId="77777777" w:rsidR="000E3D46" w:rsidRDefault="000E3D46">
          <w:pPr>
            <w:pStyle w:val="TOC1"/>
            <w:tabs>
              <w:tab w:val="right" w:leader="dot" w:pos="9350"/>
            </w:tabs>
            <w:rPr>
              <w:rFonts w:asciiTheme="minorHAnsi" w:eastAsiaTheme="minorEastAsia" w:hAnsiTheme="minorHAnsi" w:cstheme="minorBidi"/>
              <w:color w:val="000000" w:themeColor="text1"/>
              <w:sz w:val="22"/>
              <w:szCs w:val="22"/>
              <w:lang w:val="en-GB"/>
            </w:rPr>
          </w:pPr>
          <w:hyperlink w:anchor="_Toc209869256" w:history="1">
            <w:r>
              <w:rPr>
                <w:rStyle w:val="Hyperlink"/>
                <w:color w:val="000000" w:themeColor="text1"/>
                <w:lang w:val="en-GB"/>
              </w:rPr>
              <w:t>7. Impact of Stakeholder Engagement on Business Performance</w:t>
            </w:r>
            <w:r>
              <w:rPr>
                <w:color w:val="000000" w:themeColor="text1"/>
                <w:lang w:val="en-GB"/>
              </w:rPr>
              <w:tab/>
            </w:r>
            <w:r>
              <w:rPr>
                <w:color w:val="000000" w:themeColor="text1"/>
                <w:lang w:val="en-GB"/>
              </w:rPr>
              <w:fldChar w:fldCharType="begin"/>
            </w:r>
            <w:r>
              <w:rPr>
                <w:color w:val="000000" w:themeColor="text1"/>
                <w:lang w:val="en-GB"/>
              </w:rPr>
              <w:instrText xml:space="preserve"> PAGEREF _Toc209869256 \h </w:instrText>
            </w:r>
            <w:r>
              <w:rPr>
                <w:color w:val="000000" w:themeColor="text1"/>
                <w:lang w:val="en-GB"/>
              </w:rPr>
            </w:r>
            <w:r>
              <w:rPr>
                <w:color w:val="000000" w:themeColor="text1"/>
                <w:lang w:val="en-GB"/>
              </w:rPr>
              <w:fldChar w:fldCharType="separate"/>
            </w:r>
            <w:r>
              <w:rPr>
                <w:color w:val="000000" w:themeColor="text1"/>
                <w:lang w:val="en-GB"/>
              </w:rPr>
              <w:t>21</w:t>
            </w:r>
            <w:r>
              <w:rPr>
                <w:color w:val="000000" w:themeColor="text1"/>
                <w:lang w:val="en-GB"/>
              </w:rPr>
              <w:fldChar w:fldCharType="end"/>
            </w:r>
          </w:hyperlink>
        </w:p>
        <w:p w14:paraId="7B46FB98" w14:textId="77777777" w:rsidR="000E3D46" w:rsidRDefault="000E3D46">
          <w:pPr>
            <w:pStyle w:val="TOC2"/>
            <w:tabs>
              <w:tab w:val="right" w:leader="dot" w:pos="9350"/>
            </w:tabs>
            <w:rPr>
              <w:rFonts w:asciiTheme="minorHAnsi" w:eastAsiaTheme="minorEastAsia" w:hAnsiTheme="minorHAnsi" w:cstheme="minorBidi"/>
              <w:color w:val="000000" w:themeColor="text1"/>
              <w:sz w:val="22"/>
              <w:szCs w:val="22"/>
              <w:lang w:val="en-GB"/>
            </w:rPr>
          </w:pPr>
          <w:hyperlink w:anchor="_Toc209869257" w:history="1">
            <w:r>
              <w:rPr>
                <w:rStyle w:val="Hyperlink"/>
                <w:color w:val="000000" w:themeColor="text1"/>
                <w:lang w:val="en-GB"/>
              </w:rPr>
              <w:t>Key Impacts of Engagement</w:t>
            </w:r>
            <w:r>
              <w:rPr>
                <w:color w:val="000000" w:themeColor="text1"/>
                <w:lang w:val="en-GB"/>
              </w:rPr>
              <w:tab/>
            </w:r>
            <w:r>
              <w:rPr>
                <w:color w:val="000000" w:themeColor="text1"/>
                <w:lang w:val="en-GB"/>
              </w:rPr>
              <w:fldChar w:fldCharType="begin"/>
            </w:r>
            <w:r>
              <w:rPr>
                <w:color w:val="000000" w:themeColor="text1"/>
                <w:lang w:val="en-GB"/>
              </w:rPr>
              <w:instrText xml:space="preserve"> PAGEREF _Toc209869257 \h </w:instrText>
            </w:r>
            <w:r>
              <w:rPr>
                <w:color w:val="000000" w:themeColor="text1"/>
                <w:lang w:val="en-GB"/>
              </w:rPr>
            </w:r>
            <w:r>
              <w:rPr>
                <w:color w:val="000000" w:themeColor="text1"/>
                <w:lang w:val="en-GB"/>
              </w:rPr>
              <w:fldChar w:fldCharType="separate"/>
            </w:r>
            <w:r>
              <w:rPr>
                <w:color w:val="000000" w:themeColor="text1"/>
                <w:lang w:val="en-GB"/>
              </w:rPr>
              <w:t>21</w:t>
            </w:r>
            <w:r>
              <w:rPr>
                <w:color w:val="000000" w:themeColor="text1"/>
                <w:lang w:val="en-GB"/>
              </w:rPr>
              <w:fldChar w:fldCharType="end"/>
            </w:r>
          </w:hyperlink>
        </w:p>
        <w:p w14:paraId="7B46FB99" w14:textId="77777777" w:rsidR="000E3D46" w:rsidRDefault="000E3D46">
          <w:pPr>
            <w:pStyle w:val="TOC2"/>
            <w:tabs>
              <w:tab w:val="right" w:leader="dot" w:pos="9350"/>
            </w:tabs>
            <w:rPr>
              <w:rFonts w:asciiTheme="minorHAnsi" w:eastAsiaTheme="minorEastAsia" w:hAnsiTheme="minorHAnsi" w:cstheme="minorBidi"/>
              <w:color w:val="000000" w:themeColor="text1"/>
              <w:sz w:val="22"/>
              <w:szCs w:val="22"/>
              <w:lang w:val="en-GB"/>
            </w:rPr>
          </w:pPr>
          <w:hyperlink w:anchor="_Toc209869258" w:history="1">
            <w:r>
              <w:rPr>
                <w:rStyle w:val="Hyperlink"/>
                <w:color w:val="000000" w:themeColor="text1"/>
                <w:lang w:val="en-GB"/>
              </w:rPr>
              <w:t>Recommendations for Future Stakeholder Engagement</w:t>
            </w:r>
            <w:r>
              <w:rPr>
                <w:color w:val="000000" w:themeColor="text1"/>
                <w:lang w:val="en-GB"/>
              </w:rPr>
              <w:tab/>
            </w:r>
            <w:r>
              <w:rPr>
                <w:color w:val="000000" w:themeColor="text1"/>
                <w:lang w:val="en-GB"/>
              </w:rPr>
              <w:fldChar w:fldCharType="begin"/>
            </w:r>
            <w:r>
              <w:rPr>
                <w:color w:val="000000" w:themeColor="text1"/>
                <w:lang w:val="en-GB"/>
              </w:rPr>
              <w:instrText xml:space="preserve"> PAGEREF _Toc209869258 \h </w:instrText>
            </w:r>
            <w:r>
              <w:rPr>
                <w:color w:val="000000" w:themeColor="text1"/>
                <w:lang w:val="en-GB"/>
              </w:rPr>
            </w:r>
            <w:r>
              <w:rPr>
                <w:color w:val="000000" w:themeColor="text1"/>
                <w:lang w:val="en-GB"/>
              </w:rPr>
              <w:fldChar w:fldCharType="separate"/>
            </w:r>
            <w:r>
              <w:rPr>
                <w:color w:val="000000" w:themeColor="text1"/>
                <w:lang w:val="en-GB"/>
              </w:rPr>
              <w:t>23</w:t>
            </w:r>
            <w:r>
              <w:rPr>
                <w:color w:val="000000" w:themeColor="text1"/>
                <w:lang w:val="en-GB"/>
              </w:rPr>
              <w:fldChar w:fldCharType="end"/>
            </w:r>
          </w:hyperlink>
        </w:p>
        <w:p w14:paraId="7B46FB9A" w14:textId="77777777" w:rsidR="000E3D46" w:rsidRDefault="000E3D46">
          <w:pPr>
            <w:pStyle w:val="TOC1"/>
            <w:tabs>
              <w:tab w:val="right" w:leader="dot" w:pos="9350"/>
            </w:tabs>
            <w:rPr>
              <w:rFonts w:asciiTheme="minorHAnsi" w:eastAsiaTheme="minorEastAsia" w:hAnsiTheme="minorHAnsi" w:cstheme="minorBidi"/>
              <w:color w:val="000000" w:themeColor="text1"/>
              <w:sz w:val="22"/>
              <w:szCs w:val="22"/>
              <w:lang w:val="en-GB"/>
            </w:rPr>
          </w:pPr>
          <w:hyperlink w:anchor="_Toc209869259" w:history="1">
            <w:r>
              <w:rPr>
                <w:rStyle w:val="Hyperlink"/>
                <w:color w:val="000000" w:themeColor="text1"/>
                <w:lang w:val="en-GB"/>
              </w:rPr>
              <w:t>5. Conclusion</w:t>
            </w:r>
            <w:r>
              <w:rPr>
                <w:color w:val="000000" w:themeColor="text1"/>
                <w:lang w:val="en-GB"/>
              </w:rPr>
              <w:tab/>
            </w:r>
            <w:r>
              <w:rPr>
                <w:color w:val="000000" w:themeColor="text1"/>
                <w:lang w:val="en-GB"/>
              </w:rPr>
              <w:fldChar w:fldCharType="begin"/>
            </w:r>
            <w:r>
              <w:rPr>
                <w:color w:val="000000" w:themeColor="text1"/>
                <w:lang w:val="en-GB"/>
              </w:rPr>
              <w:instrText xml:space="preserve"> PAGEREF _Toc209869259 \h </w:instrText>
            </w:r>
            <w:r>
              <w:rPr>
                <w:color w:val="000000" w:themeColor="text1"/>
                <w:lang w:val="en-GB"/>
              </w:rPr>
            </w:r>
            <w:r>
              <w:rPr>
                <w:color w:val="000000" w:themeColor="text1"/>
                <w:lang w:val="en-GB"/>
              </w:rPr>
              <w:fldChar w:fldCharType="separate"/>
            </w:r>
            <w:r>
              <w:rPr>
                <w:color w:val="000000" w:themeColor="text1"/>
                <w:lang w:val="en-GB"/>
              </w:rPr>
              <w:t>24</w:t>
            </w:r>
            <w:r>
              <w:rPr>
                <w:color w:val="000000" w:themeColor="text1"/>
                <w:lang w:val="en-GB"/>
              </w:rPr>
              <w:fldChar w:fldCharType="end"/>
            </w:r>
          </w:hyperlink>
        </w:p>
        <w:p w14:paraId="7B46FB9B" w14:textId="77777777" w:rsidR="000E3D46" w:rsidRDefault="000E3D46">
          <w:pPr>
            <w:pStyle w:val="TOC1"/>
            <w:tabs>
              <w:tab w:val="right" w:leader="dot" w:pos="9350"/>
            </w:tabs>
            <w:rPr>
              <w:rFonts w:asciiTheme="minorHAnsi" w:eastAsiaTheme="minorEastAsia" w:hAnsiTheme="minorHAnsi" w:cstheme="minorBidi"/>
              <w:color w:val="000000" w:themeColor="text1"/>
              <w:sz w:val="22"/>
              <w:szCs w:val="22"/>
              <w:lang w:val="en-GB"/>
            </w:rPr>
          </w:pPr>
          <w:hyperlink w:anchor="_Toc209869260" w:history="1">
            <w:r>
              <w:rPr>
                <w:rStyle w:val="Hyperlink"/>
                <w:color w:val="000000" w:themeColor="text1"/>
                <w:lang w:val="en-GB"/>
              </w:rPr>
              <w:t>References</w:t>
            </w:r>
            <w:r>
              <w:rPr>
                <w:color w:val="000000" w:themeColor="text1"/>
                <w:lang w:val="en-GB"/>
              </w:rPr>
              <w:tab/>
            </w:r>
            <w:r>
              <w:rPr>
                <w:color w:val="000000" w:themeColor="text1"/>
                <w:lang w:val="en-GB"/>
              </w:rPr>
              <w:fldChar w:fldCharType="begin"/>
            </w:r>
            <w:r>
              <w:rPr>
                <w:color w:val="000000" w:themeColor="text1"/>
                <w:lang w:val="en-GB"/>
              </w:rPr>
              <w:instrText xml:space="preserve"> PAGEREF _Toc209869260 \h </w:instrText>
            </w:r>
            <w:r>
              <w:rPr>
                <w:color w:val="000000" w:themeColor="text1"/>
                <w:lang w:val="en-GB"/>
              </w:rPr>
            </w:r>
            <w:r>
              <w:rPr>
                <w:color w:val="000000" w:themeColor="text1"/>
                <w:lang w:val="en-GB"/>
              </w:rPr>
              <w:fldChar w:fldCharType="separate"/>
            </w:r>
            <w:r>
              <w:rPr>
                <w:color w:val="000000" w:themeColor="text1"/>
                <w:lang w:val="en-GB"/>
              </w:rPr>
              <w:t>26</w:t>
            </w:r>
            <w:r>
              <w:rPr>
                <w:color w:val="000000" w:themeColor="text1"/>
                <w:lang w:val="en-GB"/>
              </w:rPr>
              <w:fldChar w:fldCharType="end"/>
            </w:r>
          </w:hyperlink>
        </w:p>
        <w:p w14:paraId="7B46FB9C" w14:textId="77777777" w:rsidR="000E3D46" w:rsidRDefault="000E3D46">
          <w:pPr>
            <w:pStyle w:val="TOC1"/>
            <w:tabs>
              <w:tab w:val="right" w:leader="dot" w:pos="9350"/>
            </w:tabs>
            <w:rPr>
              <w:rFonts w:asciiTheme="minorHAnsi" w:eastAsiaTheme="minorEastAsia" w:hAnsiTheme="minorHAnsi" w:cstheme="minorBidi"/>
              <w:color w:val="000000" w:themeColor="text1"/>
              <w:sz w:val="22"/>
              <w:szCs w:val="22"/>
              <w:lang w:val="en-GB"/>
            </w:rPr>
          </w:pPr>
          <w:hyperlink w:anchor="_Toc209869261" w:history="1">
            <w:r>
              <w:rPr>
                <w:rStyle w:val="Hyperlink"/>
                <w:color w:val="000000" w:themeColor="text1"/>
                <w:lang w:val="en-GB"/>
              </w:rPr>
              <w:t>AI Declaration</w:t>
            </w:r>
            <w:r>
              <w:rPr>
                <w:color w:val="000000" w:themeColor="text1"/>
                <w:lang w:val="en-GB"/>
              </w:rPr>
              <w:tab/>
            </w:r>
            <w:r>
              <w:rPr>
                <w:color w:val="000000" w:themeColor="text1"/>
                <w:lang w:val="en-GB"/>
              </w:rPr>
              <w:fldChar w:fldCharType="begin"/>
            </w:r>
            <w:r>
              <w:rPr>
                <w:color w:val="000000" w:themeColor="text1"/>
                <w:lang w:val="en-GB"/>
              </w:rPr>
              <w:instrText xml:space="preserve"> PAGEREF _Toc209869261 \h </w:instrText>
            </w:r>
            <w:r>
              <w:rPr>
                <w:color w:val="000000" w:themeColor="text1"/>
                <w:lang w:val="en-GB"/>
              </w:rPr>
            </w:r>
            <w:r>
              <w:rPr>
                <w:color w:val="000000" w:themeColor="text1"/>
                <w:lang w:val="en-GB"/>
              </w:rPr>
              <w:fldChar w:fldCharType="separate"/>
            </w:r>
            <w:r>
              <w:rPr>
                <w:color w:val="000000" w:themeColor="text1"/>
                <w:lang w:val="en-GB"/>
              </w:rPr>
              <w:t>29</w:t>
            </w:r>
            <w:r>
              <w:rPr>
                <w:color w:val="000000" w:themeColor="text1"/>
                <w:lang w:val="en-GB"/>
              </w:rPr>
              <w:fldChar w:fldCharType="end"/>
            </w:r>
          </w:hyperlink>
        </w:p>
        <w:p w14:paraId="7B46FB9D" w14:textId="77777777" w:rsidR="000E3D46" w:rsidRDefault="00000000">
          <w:pPr>
            <w:rPr>
              <w:color w:val="000000" w:themeColor="text1"/>
              <w:lang w:val="en-GB"/>
            </w:rPr>
          </w:pPr>
          <w:r>
            <w:rPr>
              <w:color w:val="000000" w:themeColor="text1"/>
              <w:lang w:val="en-GB"/>
            </w:rPr>
            <w:fldChar w:fldCharType="end"/>
          </w:r>
        </w:p>
      </w:sdtContent>
    </w:sdt>
    <w:p w14:paraId="7B46FB9E" w14:textId="77777777" w:rsidR="000E3D46" w:rsidRDefault="00000000">
      <w:pPr>
        <w:spacing w:line="276" w:lineRule="auto"/>
        <w:jc w:val="left"/>
        <w:rPr>
          <w:b/>
          <w:color w:val="000000" w:themeColor="text1"/>
          <w:lang w:val="en-GB"/>
        </w:rPr>
      </w:pPr>
      <w:r>
        <w:rPr>
          <w:color w:val="000000" w:themeColor="text1"/>
          <w:lang w:val="en-GB"/>
        </w:rPr>
        <w:br w:type="page"/>
      </w:r>
    </w:p>
    <w:p w14:paraId="7B46FB9F" w14:textId="77777777" w:rsidR="000E3D46" w:rsidRDefault="00000000">
      <w:pPr>
        <w:pStyle w:val="Heading1"/>
        <w:rPr>
          <w:color w:val="000000" w:themeColor="text1"/>
          <w:lang w:val="en-GB"/>
        </w:rPr>
      </w:pPr>
      <w:bookmarkStart w:id="1" w:name="_Toc209869236"/>
      <w:r>
        <w:rPr>
          <w:color w:val="000000" w:themeColor="text1"/>
          <w:lang w:val="en-GB"/>
        </w:rPr>
        <w:lastRenderedPageBreak/>
        <w:t>1. Intro</w:t>
      </w:r>
      <w:sdt>
        <w:sdtPr>
          <w:rPr>
            <w:color w:val="000000" w:themeColor="text1"/>
            <w:lang w:val="en-GB"/>
          </w:rPr>
          <w:tag w:val="goog_rdk_1"/>
          <w:id w:val="1785500260"/>
        </w:sdtPr>
        <w:sdtContent/>
      </w:sdt>
      <w:r>
        <w:rPr>
          <w:color w:val="000000" w:themeColor="text1"/>
          <w:lang w:val="en-GB"/>
        </w:rPr>
        <w:t>duction</w:t>
      </w:r>
      <w:bookmarkEnd w:id="1"/>
    </w:p>
    <w:p w14:paraId="7B46FBA0" w14:textId="77777777" w:rsidR="000E3D46" w:rsidRDefault="00000000">
      <w:pPr>
        <w:rPr>
          <w:color w:val="000000" w:themeColor="text1"/>
          <w:lang w:val="en-GB"/>
        </w:rPr>
      </w:pPr>
      <w:sdt>
        <w:sdtPr>
          <w:rPr>
            <w:color w:val="000000" w:themeColor="text1"/>
            <w:lang w:val="en-GB"/>
          </w:rPr>
          <w:tag w:val="goog_rdk_2"/>
          <w:id w:val="-1624128776"/>
        </w:sdtPr>
        <w:sdtContent/>
      </w:sdt>
      <w:r>
        <w:rPr>
          <w:color w:val="000000" w:themeColor="text1"/>
          <w:lang w:val="en-GB"/>
        </w:rPr>
        <w:t xml:space="preserve">Renishaw plc is a globally renowned healthcare technology and engineering company which is headquartered in Gloucestershire, UK. Renishaw, established in 1973, has become a leader in aspects such as metrology, precision measurement, additive manufacturing, and healthcare innovation (Renishaw plc, 2025a). With operations spanning across 67 locations in nearly 36 countries and more than 5,000 workers globally, this UK-based health device company is broadly recognised for its pioneering approach in solving the critical medical and industrial challenges. There are more than 3,000 employees in the UK, where much of its research, development, and manufacturing activities take place (Renishaw plc, 2025a). The purpose of Renishaw, "Transforming Tomorrow Together", demonstrates its commitment to developing technologies that hold potential to improve accuracy, reliability, and efficiency across industries, including electronics, transport, healthcare, and agriculture. </w:t>
      </w:r>
    </w:p>
    <w:p w14:paraId="7B46FBA1" w14:textId="77777777" w:rsidR="000E3D46" w:rsidRDefault="00000000">
      <w:pPr>
        <w:jc w:val="center"/>
        <w:rPr>
          <w:color w:val="000000" w:themeColor="text1"/>
          <w:lang w:val="en-GB"/>
        </w:rPr>
      </w:pPr>
      <w:r>
        <w:rPr>
          <w:noProof/>
          <w:color w:val="000000" w:themeColor="text1"/>
          <w:lang w:val="en-GB"/>
        </w:rPr>
        <w:drawing>
          <wp:inline distT="0" distB="0" distL="0" distR="0" wp14:anchorId="7B46FDA1" wp14:editId="7B46FDA2">
            <wp:extent cx="5731510" cy="3201035"/>
            <wp:effectExtent l="0" t="0" r="0" b="0"/>
            <wp:docPr id="1470915224" name="image3.png"/>
            <wp:cNvGraphicFramePr/>
            <a:graphic xmlns:a="http://schemas.openxmlformats.org/drawingml/2006/main">
              <a:graphicData uri="http://schemas.openxmlformats.org/drawingml/2006/picture">
                <pic:pic xmlns:pic="http://schemas.openxmlformats.org/drawingml/2006/picture">
                  <pic:nvPicPr>
                    <pic:cNvPr id="1470915224" name="image3.png"/>
                    <pic:cNvPicPr preferRelativeResize="0"/>
                  </pic:nvPicPr>
                  <pic:blipFill>
                    <a:blip r:embed="rId9"/>
                    <a:srcRect/>
                    <a:stretch>
                      <a:fillRect/>
                    </a:stretch>
                  </pic:blipFill>
                  <pic:spPr>
                    <a:xfrm>
                      <a:off x="0" y="0"/>
                      <a:ext cx="5731510" cy="3201035"/>
                    </a:xfrm>
                    <a:prstGeom prst="rect">
                      <a:avLst/>
                    </a:prstGeom>
                  </pic:spPr>
                </pic:pic>
              </a:graphicData>
            </a:graphic>
          </wp:inline>
        </w:drawing>
      </w:r>
    </w:p>
    <w:p w14:paraId="7B46FBA2" w14:textId="77777777" w:rsidR="000E3D46" w:rsidRDefault="00000000">
      <w:pPr>
        <w:jc w:val="center"/>
        <w:rPr>
          <w:b/>
          <w:color w:val="000000" w:themeColor="text1"/>
          <w:lang w:val="en-GB"/>
        </w:rPr>
      </w:pPr>
      <w:r>
        <w:rPr>
          <w:b/>
          <w:color w:val="000000" w:themeColor="text1"/>
          <w:lang w:val="en-GB"/>
        </w:rPr>
        <w:t>Figure 1: Snapshot from Renishaw Description Video</w:t>
      </w:r>
    </w:p>
    <w:p w14:paraId="7B46FBA3" w14:textId="77777777" w:rsidR="000E3D46" w:rsidRDefault="00000000">
      <w:pPr>
        <w:jc w:val="center"/>
        <w:rPr>
          <w:color w:val="000000" w:themeColor="text1"/>
          <w:lang w:val="en-GB"/>
        </w:rPr>
      </w:pPr>
      <w:r>
        <w:rPr>
          <w:color w:val="000000" w:themeColor="text1"/>
          <w:lang w:val="en-GB"/>
        </w:rPr>
        <w:t>(Source: Renishaw plc, 2025a)</w:t>
      </w:r>
    </w:p>
    <w:p w14:paraId="7B46FBA4" w14:textId="15B1FB81" w:rsidR="000E3D46" w:rsidRDefault="00000000">
      <w:pPr>
        <w:rPr>
          <w:color w:val="000000" w:themeColor="text1"/>
          <w:lang w:val="en-GB"/>
        </w:rPr>
      </w:pPr>
      <w:sdt>
        <w:sdtPr>
          <w:rPr>
            <w:color w:val="000000" w:themeColor="text1"/>
            <w:lang w:val="en-GB"/>
          </w:rPr>
          <w:tag w:val="goog_rdk_3"/>
          <w:id w:val="890207392"/>
        </w:sdtPr>
        <w:sdtContent/>
      </w:sdt>
      <w:r>
        <w:rPr>
          <w:color w:val="000000" w:themeColor="text1"/>
          <w:lang w:val="en-GB"/>
        </w:rPr>
        <w:t xml:space="preserve">Within its healthcare focus, Renishaw has created a reputation for advancing medical devices, neurotechnology solutions, and surgical systems. To continue the innovative legacy of the brand, Renishaw is currently preparing to launch its new </w:t>
      </w:r>
      <w:r w:rsidR="00540215">
        <w:rPr>
          <w:color w:val="000000" w:themeColor="text1"/>
          <w:lang w:val="en-GB"/>
        </w:rPr>
        <w:t>smart watch</w:t>
      </w:r>
      <w:r>
        <w:rPr>
          <w:color w:val="000000" w:themeColor="text1"/>
          <w:lang w:val="en-GB"/>
        </w:rPr>
        <w:t xml:space="preserve"> health device that is designed to track vital health indicators like oxygen saturation, heart rate, and sleep patterns. The device is </w:t>
      </w:r>
      <w:r>
        <w:rPr>
          <w:color w:val="000000" w:themeColor="text1"/>
          <w:lang w:val="en-GB"/>
        </w:rPr>
        <w:lastRenderedPageBreak/>
        <w:t xml:space="preserve">believed to integrate advanced sensor technology with data-driven insights for empowering users in monitoring their well-being effectively </w:t>
      </w:r>
      <w:r w:rsidR="00591740">
        <w:rPr>
          <w:color w:val="000000" w:themeColor="text1"/>
          <w:lang w:val="en-GB"/>
        </w:rPr>
        <w:t>the</w:t>
      </w:r>
      <w:r>
        <w:rPr>
          <w:color w:val="000000" w:themeColor="text1"/>
          <w:lang w:val="en-GB"/>
        </w:rPr>
        <w:t xml:space="preserve"> purpose of the report is to critically assess the effectiveness of stakeholder engagement in terms of helping Renishaw to develop, launch and remain successful with its new healthcare</w:t>
      </w:r>
      <w:r w:rsidR="00351F3F">
        <w:rPr>
          <w:color w:val="000000" w:themeColor="text1"/>
          <w:lang w:val="en-GB"/>
        </w:rPr>
        <w:t xml:space="preserve"> smart watch</w:t>
      </w:r>
      <w:r>
        <w:rPr>
          <w:color w:val="000000" w:themeColor="text1"/>
          <w:lang w:val="en-GB"/>
        </w:rPr>
        <w:t xml:space="preserve"> device. </w:t>
      </w:r>
    </w:p>
    <w:p w14:paraId="7B46FBA5" w14:textId="77777777" w:rsidR="000E3D46" w:rsidRDefault="00000000">
      <w:pPr>
        <w:pStyle w:val="Heading1"/>
        <w:rPr>
          <w:color w:val="000000" w:themeColor="text1"/>
          <w:lang w:val="en-GB"/>
        </w:rPr>
      </w:pPr>
      <w:bookmarkStart w:id="2" w:name="_Toc209869237"/>
      <w:r>
        <w:rPr>
          <w:color w:val="000000" w:themeColor="text1"/>
          <w:lang w:val="en-GB"/>
        </w:rPr>
        <w:t>2. Situational Analysis of Renishaw Plc with SWOT, PESTLE and SMART objectives</w:t>
      </w:r>
      <w:bookmarkEnd w:id="2"/>
    </w:p>
    <w:p w14:paraId="7B46FBA6" w14:textId="3A70A642" w:rsidR="000E3D46" w:rsidRDefault="00000000">
      <w:pPr>
        <w:ind w:right="140"/>
        <w:rPr>
          <w:color w:val="000000" w:themeColor="text1"/>
          <w:lang w:val="en-GB"/>
        </w:rPr>
      </w:pPr>
      <w:r>
        <w:rPr>
          <w:color w:val="000000" w:themeColor="text1"/>
          <w:lang w:val="en-GB"/>
        </w:rPr>
        <w:t xml:space="preserve">Renishaw is one of the globally recognised engineering and healthcare technological companies, which is majorly involved in precision measurements, different medical devices and also the digital manufacturing solutions. Renishaw combines high-tech research and development with its manufacturing excellence for the delivery of innovative solutions for the case of industrial and healthcare sectors (Renishaw plc, 2025a). The organisation is planning to launch the new </w:t>
      </w:r>
      <w:r w:rsidR="00EA1FFE">
        <w:rPr>
          <w:color w:val="000000" w:themeColor="text1"/>
          <w:lang w:val="en-GB"/>
        </w:rPr>
        <w:t>smart watch</w:t>
      </w:r>
      <w:r>
        <w:rPr>
          <w:color w:val="000000" w:themeColor="text1"/>
          <w:lang w:val="en-GB"/>
        </w:rPr>
        <w:t xml:space="preserve"> health device that can focus on tracking the heart rate, oxygen level and also the sleep pattern in the next 6 months, for which the involvement of situational analysis is one of the critical aspects for ensuring operational readiness and the strategic alignment. </w:t>
      </w:r>
    </w:p>
    <w:p w14:paraId="7B46FBA7" w14:textId="77777777" w:rsidR="000E3D46" w:rsidRDefault="00000000">
      <w:pPr>
        <w:pStyle w:val="Heading2"/>
        <w:rPr>
          <w:color w:val="000000" w:themeColor="text1"/>
          <w:lang w:val="en-GB"/>
        </w:rPr>
      </w:pPr>
      <w:bookmarkStart w:id="3" w:name="_Toc209869238"/>
      <w:r>
        <w:rPr>
          <w:color w:val="000000" w:themeColor="text1"/>
          <w:lang w:val="en-GB"/>
        </w:rPr>
        <w:t>SWOT Analysis</w:t>
      </w:r>
      <w:bookmarkEnd w:id="3"/>
    </w:p>
    <w:p w14:paraId="7B46FBA8" w14:textId="77777777" w:rsidR="000E3D46" w:rsidRDefault="00000000">
      <w:pPr>
        <w:ind w:right="140"/>
        <w:rPr>
          <w:color w:val="000000" w:themeColor="text1"/>
          <w:lang w:val="en-GB"/>
        </w:rPr>
      </w:pPr>
      <w:r>
        <w:rPr>
          <w:b/>
          <w:i/>
          <w:color w:val="000000" w:themeColor="text1"/>
          <w:lang w:val="en-GB"/>
        </w:rPr>
        <w:t xml:space="preserve">Strengths: </w:t>
      </w:r>
      <w:r>
        <w:rPr>
          <w:color w:val="000000" w:themeColor="text1"/>
          <w:lang w:val="en-GB"/>
        </w:rPr>
        <w:t xml:space="preserve">Renishaw has a robust R&amp;D reputation and significant expertise in medical devices, providing one of the strongest foundations for innovation in healthcare technology. It provides a reputation for precision engineering and the involvement of a global distribution network (Renishaw plc, 2025c). It has a stronger financial stability for significant investment in product development. </w:t>
      </w:r>
    </w:p>
    <w:p w14:paraId="7B46FBA9" w14:textId="4ABC8B73" w:rsidR="000E3D46" w:rsidRDefault="00000000">
      <w:pPr>
        <w:ind w:right="140"/>
        <w:rPr>
          <w:color w:val="000000" w:themeColor="text1"/>
          <w:lang w:val="en-GB"/>
        </w:rPr>
      </w:pPr>
      <w:r>
        <w:rPr>
          <w:b/>
          <w:i/>
          <w:color w:val="000000" w:themeColor="text1"/>
          <w:lang w:val="en-GB"/>
        </w:rPr>
        <w:t>Weaknesses:</w:t>
      </w:r>
      <w:r>
        <w:rPr>
          <w:color w:val="000000" w:themeColor="text1"/>
          <w:lang w:val="en-GB"/>
        </w:rPr>
        <w:t xml:space="preserve"> Renishaw has a highly specialised product portfolio, which can limit the brand recognition in the </w:t>
      </w:r>
      <w:r w:rsidR="00AE5502">
        <w:rPr>
          <w:color w:val="000000" w:themeColor="text1"/>
          <w:lang w:val="en-GB"/>
        </w:rPr>
        <w:t>smart watch</w:t>
      </w:r>
      <w:r>
        <w:rPr>
          <w:color w:val="000000" w:themeColor="text1"/>
          <w:lang w:val="en-GB"/>
        </w:rPr>
        <w:t xml:space="preserve"> health markets. Reliance on the advanced manufacturing process might be the result of the longer production lead time. </w:t>
      </w:r>
    </w:p>
    <w:p w14:paraId="7B46FBAA" w14:textId="77777777" w:rsidR="000E3D46" w:rsidRDefault="00000000">
      <w:pPr>
        <w:ind w:right="140"/>
        <w:rPr>
          <w:color w:val="000000" w:themeColor="text1"/>
          <w:lang w:val="en-GB"/>
        </w:rPr>
      </w:pPr>
      <w:r>
        <w:rPr>
          <w:b/>
          <w:i/>
          <w:color w:val="000000" w:themeColor="text1"/>
          <w:lang w:val="en-GB"/>
        </w:rPr>
        <w:t xml:space="preserve">Opportunities: </w:t>
      </w:r>
      <w:r>
        <w:rPr>
          <w:color w:val="000000" w:themeColor="text1"/>
          <w:lang w:val="en-GB"/>
        </w:rPr>
        <w:t xml:space="preserve">Growing demand for different health monitoring devices has accelerated the significant rise in public awareness for health wellness and chronic health conditions (George </w:t>
      </w:r>
      <w:r>
        <w:rPr>
          <w:i/>
          <w:color w:val="000000" w:themeColor="text1"/>
          <w:lang w:val="en-GB"/>
        </w:rPr>
        <w:t xml:space="preserve">et al., </w:t>
      </w:r>
      <w:r>
        <w:rPr>
          <w:color w:val="000000" w:themeColor="text1"/>
          <w:lang w:val="en-GB"/>
        </w:rPr>
        <w:t xml:space="preserve">2023, p.21). A strategic partnership with different healthcare providers and an important, well-known digital health platform can enhance product adoption. </w:t>
      </w:r>
    </w:p>
    <w:p w14:paraId="7B46FBAB" w14:textId="77777777" w:rsidR="000E3D46" w:rsidRDefault="00000000">
      <w:pPr>
        <w:ind w:right="140"/>
        <w:rPr>
          <w:color w:val="000000" w:themeColor="text1"/>
          <w:lang w:val="en-GB"/>
        </w:rPr>
      </w:pPr>
      <w:r>
        <w:rPr>
          <w:b/>
          <w:i/>
          <w:color w:val="000000" w:themeColor="text1"/>
          <w:lang w:val="en-GB"/>
        </w:rPr>
        <w:lastRenderedPageBreak/>
        <w:t>Threats:</w:t>
      </w:r>
      <w:r>
        <w:rPr>
          <w:color w:val="000000" w:themeColor="text1"/>
          <w:lang w:val="en-GB"/>
        </w:rPr>
        <w:t xml:space="preserve"> Intensifying competition observed for the established consumer electronics brands. Different regulatory complaints can be observed for the variable medical devices and different healthcare data privacy laws. </w:t>
      </w:r>
    </w:p>
    <w:p w14:paraId="7B46FBAC" w14:textId="77777777" w:rsidR="000E3D46" w:rsidRDefault="00000000">
      <w:pPr>
        <w:pStyle w:val="Heading2"/>
        <w:rPr>
          <w:color w:val="000000" w:themeColor="text1"/>
          <w:lang w:val="en-GB"/>
        </w:rPr>
      </w:pPr>
      <w:bookmarkStart w:id="4" w:name="_Toc209869239"/>
      <w:r>
        <w:rPr>
          <w:color w:val="000000" w:themeColor="text1"/>
          <w:lang w:val="en-GB"/>
        </w:rPr>
        <w:t>PESTLE Analysis</w:t>
      </w:r>
      <w:bookmarkEnd w:id="4"/>
    </w:p>
    <w:p w14:paraId="7B46FBAD" w14:textId="77777777" w:rsidR="000E3D46" w:rsidRDefault="00000000">
      <w:pPr>
        <w:ind w:right="140"/>
        <w:rPr>
          <w:color w:val="000000" w:themeColor="text1"/>
          <w:lang w:val="en-GB"/>
        </w:rPr>
      </w:pPr>
      <w:r>
        <w:rPr>
          <w:b/>
          <w:i/>
          <w:color w:val="000000" w:themeColor="text1"/>
          <w:lang w:val="en-GB"/>
        </w:rPr>
        <w:t xml:space="preserve">Political: </w:t>
      </w:r>
      <w:r>
        <w:rPr>
          <w:color w:val="000000" w:themeColor="text1"/>
          <w:lang w:val="en-GB"/>
        </w:rPr>
        <w:t xml:space="preserve">Government regulations on medical devices in the EU and UK mainly include the MHRA approval (UK Government, 2025). This can directly impact the product certification and also the launch timelines. </w:t>
      </w:r>
    </w:p>
    <w:p w14:paraId="7B46FBAE" w14:textId="5B60E2A3" w:rsidR="000E3D46" w:rsidRDefault="00000000">
      <w:pPr>
        <w:ind w:right="140"/>
        <w:rPr>
          <w:color w:val="000000" w:themeColor="text1"/>
          <w:lang w:val="en-GB"/>
        </w:rPr>
      </w:pPr>
      <w:sdt>
        <w:sdtPr>
          <w:rPr>
            <w:color w:val="000000" w:themeColor="text1"/>
            <w:lang w:val="en-GB"/>
          </w:rPr>
          <w:tag w:val="goog_rdk_4"/>
          <w:id w:val="-1174324086"/>
        </w:sdtPr>
        <w:sdtContent/>
      </w:sdt>
      <w:r>
        <w:rPr>
          <w:b/>
          <w:i/>
          <w:color w:val="000000" w:themeColor="text1"/>
          <w:lang w:val="en-GB"/>
        </w:rPr>
        <w:t xml:space="preserve">Economic: </w:t>
      </w:r>
      <w:r>
        <w:rPr>
          <w:color w:val="000000" w:themeColor="text1"/>
          <w:lang w:val="en-GB"/>
        </w:rPr>
        <w:t xml:space="preserve">The UK inflation level was 6.7 per cent in 2023 which put stress on the household income and curtailed expenditure activity on the non-essential health apparatus (ONS, 2024). In contrast, the market of healthcare technologies is expected to increase by 5.6 percent per year (2024-2028) (Statista, 2024). This similarity challenges Renishaw to place its </w:t>
      </w:r>
      <w:r w:rsidR="00835235">
        <w:rPr>
          <w:color w:val="000000" w:themeColor="text1"/>
          <w:lang w:val="en-GB"/>
        </w:rPr>
        <w:t>smart watch</w:t>
      </w:r>
      <w:r>
        <w:rPr>
          <w:color w:val="000000" w:themeColor="text1"/>
          <w:lang w:val="en-GB"/>
        </w:rPr>
        <w:t xml:space="preserve"> as low-end but value-pride to continue to be adopted by the market.</w:t>
      </w:r>
    </w:p>
    <w:p w14:paraId="7B46FBAF" w14:textId="00321020" w:rsidR="000E3D46" w:rsidRDefault="00000000">
      <w:pPr>
        <w:ind w:right="140"/>
        <w:rPr>
          <w:color w:val="000000" w:themeColor="text1"/>
          <w:lang w:val="en-GB"/>
        </w:rPr>
      </w:pPr>
      <w:r>
        <w:rPr>
          <w:b/>
          <w:i/>
          <w:color w:val="000000" w:themeColor="text1"/>
          <w:lang w:val="en-GB"/>
        </w:rPr>
        <w:t>Social:</w:t>
      </w:r>
      <w:r>
        <w:rPr>
          <w:color w:val="000000" w:themeColor="text1"/>
          <w:lang w:val="en-GB"/>
        </w:rPr>
        <w:t xml:space="preserve"> It has been observed that the trend of health monitoring is on the rise, and according to Deloitte (2024), 67% of adults in the UK are currently using some form of health monitoring equipment. These changes in the society increase the success rate of the adoption of Renishaw </w:t>
      </w:r>
      <w:r w:rsidR="00835235">
        <w:rPr>
          <w:color w:val="000000" w:themeColor="text1"/>
          <w:lang w:val="en-GB"/>
        </w:rPr>
        <w:t>smart watch</w:t>
      </w:r>
      <w:r>
        <w:rPr>
          <w:color w:val="000000" w:themeColor="text1"/>
          <w:lang w:val="en-GB"/>
        </w:rPr>
        <w:t xml:space="preserve"> health technology.</w:t>
      </w:r>
    </w:p>
    <w:p w14:paraId="7B46FBB0" w14:textId="77777777" w:rsidR="000E3D46" w:rsidRDefault="00000000">
      <w:pPr>
        <w:ind w:right="140"/>
        <w:rPr>
          <w:color w:val="000000" w:themeColor="text1"/>
          <w:lang w:val="en-GB"/>
        </w:rPr>
      </w:pPr>
      <w:r>
        <w:rPr>
          <w:b/>
          <w:i/>
          <w:color w:val="000000" w:themeColor="text1"/>
          <w:lang w:val="en-GB"/>
        </w:rPr>
        <w:t>Technological:</w:t>
      </w:r>
      <w:r>
        <w:rPr>
          <w:color w:val="000000" w:themeColor="text1"/>
          <w:lang w:val="en-GB"/>
        </w:rPr>
        <w:t xml:space="preserve"> The rapid advancements observed in sensor technology and Data analytics significantly facilitate innovation (Capurro </w:t>
      </w:r>
      <w:r>
        <w:rPr>
          <w:i/>
          <w:color w:val="000000" w:themeColor="text1"/>
          <w:lang w:val="en-GB"/>
        </w:rPr>
        <w:t xml:space="preserve">et al., </w:t>
      </w:r>
      <w:r>
        <w:rPr>
          <w:color w:val="000000" w:themeColor="text1"/>
          <w:lang w:val="en-GB"/>
        </w:rPr>
        <w:t xml:space="preserve">2022, p.281). This requires continuous investment, which can impact Renishaw's ability to stay competitive in the market. </w:t>
      </w:r>
    </w:p>
    <w:p w14:paraId="7B46FBB1" w14:textId="77777777" w:rsidR="000E3D46" w:rsidRDefault="00000000">
      <w:pPr>
        <w:ind w:right="140"/>
        <w:rPr>
          <w:color w:val="000000" w:themeColor="text1"/>
          <w:lang w:val="en-GB"/>
        </w:rPr>
      </w:pPr>
      <w:r>
        <w:rPr>
          <w:b/>
          <w:i/>
          <w:color w:val="000000" w:themeColor="text1"/>
          <w:lang w:val="en-GB"/>
        </w:rPr>
        <w:t xml:space="preserve">Legal: </w:t>
      </w:r>
      <w:r>
        <w:rPr>
          <w:color w:val="000000" w:themeColor="text1"/>
          <w:lang w:val="en-GB"/>
        </w:rPr>
        <w:t xml:space="preserve">Compliance with the medical device regulations, GDPR and the consumer protection law is critical for Renishaw as it will help mitigate different legal and reputational risks. </w:t>
      </w:r>
    </w:p>
    <w:p w14:paraId="7B46FBB2" w14:textId="77777777" w:rsidR="000E3D46" w:rsidRDefault="00000000">
      <w:pPr>
        <w:ind w:right="140"/>
        <w:rPr>
          <w:color w:val="000000" w:themeColor="text1"/>
          <w:lang w:val="en-GB"/>
        </w:rPr>
      </w:pPr>
      <w:r>
        <w:rPr>
          <w:b/>
          <w:i/>
          <w:color w:val="000000" w:themeColor="text1"/>
          <w:lang w:val="en-GB"/>
        </w:rPr>
        <w:t>Environmental:</w:t>
      </w:r>
      <w:r>
        <w:rPr>
          <w:color w:val="000000" w:themeColor="text1"/>
          <w:lang w:val="en-GB"/>
        </w:rPr>
        <w:t xml:space="preserve"> Sustainability expectations for different device manufacturing significantly include energy-efficient production and the use of recyclable materials (Rahmani </w:t>
      </w:r>
      <w:r>
        <w:rPr>
          <w:i/>
          <w:color w:val="000000" w:themeColor="text1"/>
          <w:lang w:val="en-GB"/>
        </w:rPr>
        <w:t xml:space="preserve">et al., </w:t>
      </w:r>
      <w:r>
        <w:rPr>
          <w:color w:val="000000" w:themeColor="text1"/>
          <w:lang w:val="en-GB"/>
        </w:rPr>
        <w:t xml:space="preserve">2023, p.243). This directly influenced the operational decision at Renishaw. </w:t>
      </w:r>
    </w:p>
    <w:p w14:paraId="7B46FBB3" w14:textId="77777777" w:rsidR="000E3D46" w:rsidRDefault="00000000">
      <w:pPr>
        <w:pStyle w:val="Heading2"/>
        <w:rPr>
          <w:color w:val="000000" w:themeColor="text1"/>
          <w:lang w:val="en-GB"/>
        </w:rPr>
      </w:pPr>
      <w:bookmarkStart w:id="5" w:name="_Toc209869240"/>
      <w:r>
        <w:rPr>
          <w:color w:val="000000" w:themeColor="text1"/>
          <w:lang w:val="en-GB"/>
        </w:rPr>
        <w:t>SMA</w:t>
      </w:r>
      <w:sdt>
        <w:sdtPr>
          <w:rPr>
            <w:color w:val="000000" w:themeColor="text1"/>
            <w:lang w:val="en-GB"/>
          </w:rPr>
          <w:tag w:val="goog_rdk_5"/>
          <w:id w:val="-1309743178"/>
        </w:sdtPr>
        <w:sdtContent/>
      </w:sdt>
      <w:r>
        <w:rPr>
          <w:color w:val="000000" w:themeColor="text1"/>
          <w:lang w:val="en-GB"/>
        </w:rPr>
        <w:t>RT Objective</w:t>
      </w:r>
      <w:bookmarkEnd w:id="5"/>
    </w:p>
    <w:p w14:paraId="7B46FBB4" w14:textId="5B264DFD" w:rsidR="000E3D46" w:rsidRDefault="00000000">
      <w:pPr>
        <w:numPr>
          <w:ilvl w:val="0"/>
          <w:numId w:val="1"/>
        </w:numPr>
        <w:ind w:right="140"/>
        <w:rPr>
          <w:color w:val="000000" w:themeColor="text1"/>
          <w:lang w:val="en-GB"/>
        </w:rPr>
      </w:pPr>
      <w:r>
        <w:rPr>
          <w:b/>
          <w:i/>
          <w:color w:val="000000" w:themeColor="text1"/>
          <w:lang w:val="en-GB"/>
        </w:rPr>
        <w:t xml:space="preserve">Specific: </w:t>
      </w:r>
      <w:r>
        <w:rPr>
          <w:color w:val="000000" w:themeColor="text1"/>
          <w:lang w:val="en-GB"/>
        </w:rPr>
        <w:t xml:space="preserve">Developing and launching </w:t>
      </w:r>
      <w:r w:rsidR="00835235">
        <w:rPr>
          <w:color w:val="000000" w:themeColor="text1"/>
          <w:lang w:val="en-GB"/>
        </w:rPr>
        <w:t>smart watch</w:t>
      </w:r>
      <w:r>
        <w:rPr>
          <w:color w:val="000000" w:themeColor="text1"/>
          <w:lang w:val="en-GB"/>
        </w:rPr>
        <w:t xml:space="preserve"> health devices that accurately monitor the heart rate, oxygen level and the sleep pattern in the next 6 months. </w:t>
      </w:r>
    </w:p>
    <w:p w14:paraId="7B46FBB5" w14:textId="77777777" w:rsidR="000E3D46" w:rsidRDefault="00000000">
      <w:pPr>
        <w:numPr>
          <w:ilvl w:val="0"/>
          <w:numId w:val="1"/>
        </w:numPr>
        <w:ind w:right="140"/>
        <w:rPr>
          <w:color w:val="000000" w:themeColor="text1"/>
          <w:lang w:val="en-GB"/>
        </w:rPr>
      </w:pPr>
      <w:r>
        <w:rPr>
          <w:b/>
          <w:i/>
          <w:color w:val="000000" w:themeColor="text1"/>
          <w:lang w:val="en-GB"/>
        </w:rPr>
        <w:lastRenderedPageBreak/>
        <w:t xml:space="preserve">Measurable: </w:t>
      </w:r>
      <w:r>
        <w:rPr>
          <w:color w:val="000000" w:themeColor="text1"/>
          <w:lang w:val="en-GB"/>
        </w:rPr>
        <w:t xml:space="preserve">Achieving at least 95% accuracy in the biometric data reading, specifically during the pre-launched clinical trial. </w:t>
      </w:r>
    </w:p>
    <w:p w14:paraId="7B46FBB6" w14:textId="77777777" w:rsidR="000E3D46" w:rsidRDefault="00000000">
      <w:pPr>
        <w:numPr>
          <w:ilvl w:val="0"/>
          <w:numId w:val="1"/>
        </w:numPr>
        <w:ind w:right="140"/>
        <w:rPr>
          <w:color w:val="000000" w:themeColor="text1"/>
          <w:lang w:val="en-GB"/>
        </w:rPr>
      </w:pPr>
      <w:r>
        <w:rPr>
          <w:b/>
          <w:i/>
          <w:color w:val="000000" w:themeColor="text1"/>
          <w:lang w:val="en-GB"/>
        </w:rPr>
        <w:t>Achievable:</w:t>
      </w:r>
      <w:r>
        <w:rPr>
          <w:color w:val="000000" w:themeColor="text1"/>
          <w:lang w:val="en-GB"/>
        </w:rPr>
        <w:t xml:space="preserve"> Leveraging of the existing R&amp;D capabilities and the manufacturing infrastructure to meet the overall production target. </w:t>
      </w:r>
    </w:p>
    <w:p w14:paraId="7B46FBB7" w14:textId="77777777" w:rsidR="000E3D46" w:rsidRDefault="00000000">
      <w:pPr>
        <w:numPr>
          <w:ilvl w:val="0"/>
          <w:numId w:val="1"/>
        </w:numPr>
        <w:ind w:right="140"/>
        <w:rPr>
          <w:color w:val="000000" w:themeColor="text1"/>
          <w:lang w:val="en-GB"/>
        </w:rPr>
      </w:pPr>
      <w:r>
        <w:rPr>
          <w:b/>
          <w:i/>
          <w:color w:val="000000" w:themeColor="text1"/>
          <w:lang w:val="en-GB"/>
        </w:rPr>
        <w:t>Relevant:</w:t>
      </w:r>
      <w:r>
        <w:rPr>
          <w:color w:val="000000" w:themeColor="text1"/>
          <w:lang w:val="en-GB"/>
        </w:rPr>
        <w:t xml:space="preserve"> Aligning the product with the vision of advancing healthcare technology at Renishaw. </w:t>
      </w:r>
    </w:p>
    <w:p w14:paraId="7B46FBB8" w14:textId="77777777" w:rsidR="000E3D46" w:rsidRDefault="00000000">
      <w:pPr>
        <w:numPr>
          <w:ilvl w:val="0"/>
          <w:numId w:val="1"/>
        </w:numPr>
        <w:ind w:right="140"/>
        <w:rPr>
          <w:color w:val="000000" w:themeColor="text1"/>
          <w:lang w:val="en-GB"/>
        </w:rPr>
      </w:pPr>
      <w:r>
        <w:rPr>
          <w:b/>
          <w:i/>
          <w:color w:val="000000" w:themeColor="text1"/>
          <w:lang w:val="en-GB"/>
        </w:rPr>
        <w:t xml:space="preserve">Time-bound: </w:t>
      </w:r>
      <w:r>
        <w:rPr>
          <w:color w:val="000000" w:themeColor="text1"/>
          <w:lang w:val="en-GB"/>
        </w:rPr>
        <w:t xml:space="preserve">Completing the entire product development, regulatory approvals and the marketing preparation in the next 6 months launch window. </w:t>
      </w:r>
    </w:p>
    <w:p w14:paraId="7B46FBB9" w14:textId="77777777" w:rsidR="000E3D46" w:rsidRDefault="00000000">
      <w:pPr>
        <w:pStyle w:val="Heading1"/>
        <w:rPr>
          <w:color w:val="000000" w:themeColor="text1"/>
          <w:lang w:val="en-GB"/>
        </w:rPr>
      </w:pPr>
      <w:bookmarkStart w:id="6" w:name="_Toc209869241"/>
      <w:r>
        <w:rPr>
          <w:color w:val="000000" w:themeColor="text1"/>
          <w:lang w:val="en-GB"/>
        </w:rPr>
        <w:t>3. Key Internal and External Stakeholders Involved in the Project</w:t>
      </w:r>
      <w:bookmarkEnd w:id="6"/>
    </w:p>
    <w:bookmarkStart w:id="7" w:name="_Toc209869242"/>
    <w:p w14:paraId="7B46FBBA" w14:textId="77777777" w:rsidR="000E3D46" w:rsidRDefault="00000000">
      <w:pPr>
        <w:pStyle w:val="Heading2"/>
        <w:rPr>
          <w:color w:val="000000" w:themeColor="text1"/>
          <w:lang w:val="en-GB"/>
        </w:rPr>
      </w:pPr>
      <w:sdt>
        <w:sdtPr>
          <w:rPr>
            <w:color w:val="000000" w:themeColor="text1"/>
            <w:lang w:val="en-GB"/>
          </w:rPr>
          <w:tag w:val="goog_rdk_6"/>
          <w:id w:val="254245266"/>
        </w:sdtPr>
        <w:sdtContent/>
      </w:sdt>
      <w:r>
        <w:rPr>
          <w:color w:val="000000" w:themeColor="text1"/>
          <w:lang w:val="en-GB"/>
        </w:rPr>
        <w:t>RACI M</w:t>
      </w:r>
      <w:sdt>
        <w:sdtPr>
          <w:rPr>
            <w:color w:val="000000" w:themeColor="text1"/>
            <w:lang w:val="en-GB"/>
          </w:rPr>
          <w:tag w:val="goog_rdk_8"/>
          <w:id w:val="-400847591"/>
        </w:sdtPr>
        <w:sdtContent/>
      </w:sdt>
      <w:r>
        <w:rPr>
          <w:color w:val="000000" w:themeColor="text1"/>
          <w:lang w:val="en-GB"/>
        </w:rPr>
        <w:t>atrix</w:t>
      </w:r>
      <w:bookmarkEnd w:id="7"/>
    </w:p>
    <w:tbl>
      <w:tblPr>
        <w:tblStyle w:val="Style40"/>
        <w:tblW w:w="9345" w:type="dxa"/>
        <w:jc w:val="center"/>
        <w:tblLayout w:type="fixed"/>
        <w:tblLook w:val="04A0" w:firstRow="1" w:lastRow="0" w:firstColumn="1" w:lastColumn="0" w:noHBand="0" w:noVBand="1"/>
      </w:tblPr>
      <w:tblGrid>
        <w:gridCol w:w="1005"/>
        <w:gridCol w:w="840"/>
        <w:gridCol w:w="795"/>
        <w:gridCol w:w="705"/>
        <w:gridCol w:w="795"/>
        <w:gridCol w:w="675"/>
        <w:gridCol w:w="795"/>
        <w:gridCol w:w="630"/>
        <w:gridCol w:w="720"/>
        <w:gridCol w:w="825"/>
        <w:gridCol w:w="840"/>
        <w:gridCol w:w="720"/>
      </w:tblGrid>
      <w:tr w:rsidR="000E3D46" w14:paraId="7B46FBC7" w14:textId="77777777">
        <w:trPr>
          <w:trHeight w:val="870"/>
          <w:jc w:val="center"/>
        </w:trPr>
        <w:tc>
          <w:tcPr>
            <w:tcW w:w="100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7B46FBBB" w14:textId="77777777" w:rsidR="000E3D46" w:rsidRDefault="00000000">
            <w:pPr>
              <w:spacing w:before="240"/>
              <w:jc w:val="center"/>
              <w:rPr>
                <w:b/>
                <w:color w:val="000000" w:themeColor="text1"/>
                <w:lang w:val="en-GB"/>
              </w:rPr>
            </w:pPr>
            <w:r>
              <w:rPr>
                <w:b/>
                <w:color w:val="000000" w:themeColor="text1"/>
                <w:lang w:val="en-GB"/>
              </w:rPr>
              <w:t>Task/Activity</w:t>
            </w:r>
          </w:p>
        </w:tc>
        <w:tc>
          <w:tcPr>
            <w:tcW w:w="84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7B46FBBC" w14:textId="77777777" w:rsidR="000E3D46" w:rsidRDefault="00000000">
            <w:pPr>
              <w:spacing w:before="240"/>
              <w:jc w:val="center"/>
              <w:rPr>
                <w:b/>
                <w:color w:val="000000" w:themeColor="text1"/>
                <w:lang w:val="en-GB"/>
              </w:rPr>
            </w:pPr>
            <w:r>
              <w:rPr>
                <w:b/>
                <w:color w:val="000000" w:themeColor="text1"/>
                <w:lang w:val="en-GB"/>
              </w:rPr>
              <w:t>Exec Leadership</w:t>
            </w:r>
          </w:p>
        </w:tc>
        <w:tc>
          <w:tcPr>
            <w:tcW w:w="79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7B46FBBD" w14:textId="77777777" w:rsidR="000E3D46" w:rsidRDefault="00000000">
            <w:pPr>
              <w:spacing w:before="240"/>
              <w:jc w:val="center"/>
              <w:rPr>
                <w:b/>
                <w:color w:val="000000" w:themeColor="text1"/>
                <w:lang w:val="en-GB"/>
              </w:rPr>
            </w:pPr>
            <w:r>
              <w:rPr>
                <w:b/>
                <w:color w:val="000000" w:themeColor="text1"/>
                <w:lang w:val="en-GB"/>
              </w:rPr>
              <w:t>R&amp;D Team</w:t>
            </w:r>
          </w:p>
        </w:tc>
        <w:tc>
          <w:tcPr>
            <w:tcW w:w="70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7B46FBBE" w14:textId="77777777" w:rsidR="000E3D46" w:rsidRDefault="00000000">
            <w:pPr>
              <w:spacing w:before="240"/>
              <w:jc w:val="center"/>
              <w:rPr>
                <w:b/>
                <w:color w:val="000000" w:themeColor="text1"/>
                <w:lang w:val="en-GB"/>
              </w:rPr>
            </w:pPr>
            <w:r>
              <w:rPr>
                <w:b/>
                <w:color w:val="000000" w:themeColor="text1"/>
                <w:lang w:val="en-GB"/>
              </w:rPr>
              <w:t>Reg &amp; QA</w:t>
            </w:r>
          </w:p>
        </w:tc>
        <w:tc>
          <w:tcPr>
            <w:tcW w:w="79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7B46FBBF" w14:textId="77777777" w:rsidR="000E3D46" w:rsidRDefault="00000000">
            <w:pPr>
              <w:spacing w:before="240"/>
              <w:jc w:val="center"/>
              <w:rPr>
                <w:b/>
                <w:color w:val="000000" w:themeColor="text1"/>
                <w:lang w:val="en-GB"/>
              </w:rPr>
            </w:pPr>
            <w:r>
              <w:rPr>
                <w:b/>
                <w:color w:val="000000" w:themeColor="text1"/>
                <w:lang w:val="en-GB"/>
              </w:rPr>
              <w:t>Software/Data</w:t>
            </w:r>
          </w:p>
        </w:tc>
        <w:tc>
          <w:tcPr>
            <w:tcW w:w="67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7B46FBC0" w14:textId="77777777" w:rsidR="000E3D46" w:rsidRDefault="00000000">
            <w:pPr>
              <w:spacing w:before="240"/>
              <w:jc w:val="center"/>
              <w:rPr>
                <w:b/>
                <w:color w:val="000000" w:themeColor="text1"/>
                <w:lang w:val="en-GB"/>
              </w:rPr>
            </w:pPr>
            <w:r>
              <w:rPr>
                <w:b/>
                <w:color w:val="000000" w:themeColor="text1"/>
                <w:lang w:val="en-GB"/>
              </w:rPr>
              <w:t>Manufacturing</w:t>
            </w:r>
          </w:p>
        </w:tc>
        <w:tc>
          <w:tcPr>
            <w:tcW w:w="79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7B46FBC1" w14:textId="77777777" w:rsidR="000E3D46" w:rsidRDefault="00000000">
            <w:pPr>
              <w:spacing w:before="240"/>
              <w:jc w:val="center"/>
              <w:rPr>
                <w:b/>
                <w:color w:val="000000" w:themeColor="text1"/>
                <w:lang w:val="en-GB"/>
              </w:rPr>
            </w:pPr>
            <w:r>
              <w:rPr>
                <w:b/>
                <w:color w:val="000000" w:themeColor="text1"/>
                <w:lang w:val="en-GB"/>
              </w:rPr>
              <w:t>Marketing &amp; Sales</w:t>
            </w:r>
          </w:p>
        </w:tc>
        <w:tc>
          <w:tcPr>
            <w:tcW w:w="63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7B46FBC2" w14:textId="77777777" w:rsidR="000E3D46" w:rsidRDefault="00000000">
            <w:pPr>
              <w:spacing w:before="240"/>
              <w:jc w:val="center"/>
              <w:rPr>
                <w:b/>
                <w:color w:val="000000" w:themeColor="text1"/>
                <w:lang w:val="en-GB"/>
              </w:rPr>
            </w:pPr>
            <w:r>
              <w:rPr>
                <w:b/>
                <w:color w:val="000000" w:themeColor="text1"/>
                <w:lang w:val="en-GB"/>
              </w:rPr>
              <w:t>Clinical Affairs</w:t>
            </w:r>
          </w:p>
        </w:tc>
        <w:tc>
          <w:tcPr>
            <w:tcW w:w="72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7B46FBC3" w14:textId="77777777" w:rsidR="000E3D46" w:rsidRDefault="00000000">
            <w:pPr>
              <w:spacing w:before="240"/>
              <w:jc w:val="center"/>
              <w:rPr>
                <w:b/>
                <w:color w:val="000000" w:themeColor="text1"/>
                <w:lang w:val="en-GB"/>
              </w:rPr>
            </w:pPr>
            <w:r>
              <w:rPr>
                <w:b/>
                <w:color w:val="000000" w:themeColor="text1"/>
                <w:lang w:val="en-GB"/>
              </w:rPr>
              <w:t>Suppliers</w:t>
            </w:r>
          </w:p>
        </w:tc>
        <w:tc>
          <w:tcPr>
            <w:tcW w:w="82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7B46FBC4" w14:textId="77777777" w:rsidR="000E3D46" w:rsidRDefault="00000000">
            <w:pPr>
              <w:spacing w:before="240"/>
              <w:jc w:val="center"/>
              <w:rPr>
                <w:b/>
                <w:color w:val="000000" w:themeColor="text1"/>
                <w:lang w:val="en-GB"/>
              </w:rPr>
            </w:pPr>
            <w:r>
              <w:rPr>
                <w:b/>
                <w:color w:val="000000" w:themeColor="text1"/>
                <w:lang w:val="en-GB"/>
              </w:rPr>
              <w:t>Healthcare Providers</w:t>
            </w:r>
          </w:p>
        </w:tc>
        <w:tc>
          <w:tcPr>
            <w:tcW w:w="84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7B46FBC5" w14:textId="77777777" w:rsidR="000E3D46" w:rsidRDefault="00000000">
            <w:pPr>
              <w:spacing w:before="240"/>
              <w:jc w:val="center"/>
              <w:rPr>
                <w:b/>
                <w:color w:val="000000" w:themeColor="text1"/>
                <w:lang w:val="en-GB"/>
              </w:rPr>
            </w:pPr>
            <w:r>
              <w:rPr>
                <w:b/>
                <w:color w:val="000000" w:themeColor="text1"/>
                <w:lang w:val="en-GB"/>
              </w:rPr>
              <w:t>Consumers</w:t>
            </w:r>
          </w:p>
        </w:tc>
        <w:tc>
          <w:tcPr>
            <w:tcW w:w="72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7B46FBC6" w14:textId="77777777" w:rsidR="000E3D46" w:rsidRDefault="00000000">
            <w:pPr>
              <w:spacing w:before="240"/>
              <w:jc w:val="center"/>
              <w:rPr>
                <w:b/>
                <w:color w:val="000000" w:themeColor="text1"/>
                <w:lang w:val="en-GB"/>
              </w:rPr>
            </w:pPr>
            <w:r>
              <w:rPr>
                <w:b/>
                <w:color w:val="000000" w:themeColor="text1"/>
                <w:lang w:val="en-GB"/>
              </w:rPr>
              <w:t>Investors</w:t>
            </w:r>
          </w:p>
        </w:tc>
      </w:tr>
      <w:tr w:rsidR="000E3D46" w14:paraId="7B46FBD4" w14:textId="77777777">
        <w:trPr>
          <w:trHeight w:val="870"/>
          <w:jc w:val="center"/>
        </w:trPr>
        <w:tc>
          <w:tcPr>
            <w:tcW w:w="100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B46FBC8" w14:textId="77777777" w:rsidR="000E3D46" w:rsidRDefault="00000000">
            <w:pPr>
              <w:spacing w:before="240"/>
              <w:rPr>
                <w:color w:val="000000" w:themeColor="text1"/>
                <w:lang w:val="en-GB"/>
              </w:rPr>
            </w:pPr>
            <w:r>
              <w:rPr>
                <w:color w:val="000000" w:themeColor="text1"/>
                <w:lang w:val="en-GB"/>
              </w:rPr>
              <w:t>Product Design &amp; Development</w:t>
            </w:r>
          </w:p>
        </w:tc>
        <w:tc>
          <w:tcPr>
            <w:tcW w:w="840" w:type="dxa"/>
            <w:tcBorders>
              <w:top w:val="nil"/>
              <w:left w:val="nil"/>
              <w:bottom w:val="single" w:sz="6" w:space="0" w:color="000000"/>
              <w:right w:val="single" w:sz="6" w:space="0" w:color="000000"/>
            </w:tcBorders>
            <w:tcMar>
              <w:top w:w="0" w:type="dxa"/>
              <w:left w:w="100" w:type="dxa"/>
              <w:bottom w:w="0" w:type="dxa"/>
              <w:right w:w="100" w:type="dxa"/>
            </w:tcMar>
          </w:tcPr>
          <w:p w14:paraId="7B46FBC9" w14:textId="77777777" w:rsidR="000E3D46" w:rsidRDefault="00000000">
            <w:pPr>
              <w:spacing w:before="240"/>
              <w:rPr>
                <w:color w:val="000000" w:themeColor="text1"/>
                <w:lang w:val="en-GB"/>
              </w:rPr>
            </w:pPr>
            <w:r>
              <w:rPr>
                <w:color w:val="000000" w:themeColor="text1"/>
                <w:lang w:val="en-GB"/>
              </w:rPr>
              <w:t>A</w:t>
            </w:r>
          </w:p>
        </w:tc>
        <w:tc>
          <w:tcPr>
            <w:tcW w:w="795" w:type="dxa"/>
            <w:tcBorders>
              <w:top w:val="nil"/>
              <w:left w:val="nil"/>
              <w:bottom w:val="single" w:sz="6" w:space="0" w:color="000000"/>
              <w:right w:val="single" w:sz="6" w:space="0" w:color="000000"/>
            </w:tcBorders>
            <w:tcMar>
              <w:top w:w="0" w:type="dxa"/>
              <w:left w:w="100" w:type="dxa"/>
              <w:bottom w:w="0" w:type="dxa"/>
              <w:right w:w="100" w:type="dxa"/>
            </w:tcMar>
          </w:tcPr>
          <w:p w14:paraId="7B46FBCA" w14:textId="77777777" w:rsidR="000E3D46" w:rsidRDefault="00000000">
            <w:pPr>
              <w:spacing w:before="240"/>
              <w:rPr>
                <w:color w:val="000000" w:themeColor="text1"/>
                <w:lang w:val="en-GB"/>
              </w:rPr>
            </w:pPr>
            <w:r>
              <w:rPr>
                <w:color w:val="000000" w:themeColor="text1"/>
                <w:lang w:val="en-GB"/>
              </w:rPr>
              <w:t>R</w:t>
            </w:r>
          </w:p>
        </w:tc>
        <w:tc>
          <w:tcPr>
            <w:tcW w:w="705" w:type="dxa"/>
            <w:tcBorders>
              <w:top w:val="nil"/>
              <w:left w:val="nil"/>
              <w:bottom w:val="single" w:sz="6" w:space="0" w:color="000000"/>
              <w:right w:val="single" w:sz="6" w:space="0" w:color="000000"/>
            </w:tcBorders>
            <w:tcMar>
              <w:top w:w="0" w:type="dxa"/>
              <w:left w:w="100" w:type="dxa"/>
              <w:bottom w:w="0" w:type="dxa"/>
              <w:right w:w="100" w:type="dxa"/>
            </w:tcMar>
          </w:tcPr>
          <w:p w14:paraId="7B46FBCB" w14:textId="77777777" w:rsidR="000E3D46" w:rsidRDefault="00000000">
            <w:pPr>
              <w:spacing w:before="240"/>
              <w:rPr>
                <w:color w:val="000000" w:themeColor="text1"/>
                <w:lang w:val="en-GB"/>
              </w:rPr>
            </w:pPr>
            <w:r>
              <w:rPr>
                <w:color w:val="000000" w:themeColor="text1"/>
                <w:lang w:val="en-GB"/>
              </w:rPr>
              <w:t>C</w:t>
            </w:r>
          </w:p>
        </w:tc>
        <w:tc>
          <w:tcPr>
            <w:tcW w:w="795" w:type="dxa"/>
            <w:tcBorders>
              <w:top w:val="nil"/>
              <w:left w:val="nil"/>
              <w:bottom w:val="single" w:sz="6" w:space="0" w:color="000000"/>
              <w:right w:val="single" w:sz="6" w:space="0" w:color="000000"/>
            </w:tcBorders>
            <w:tcMar>
              <w:top w:w="0" w:type="dxa"/>
              <w:left w:w="100" w:type="dxa"/>
              <w:bottom w:w="0" w:type="dxa"/>
              <w:right w:w="100" w:type="dxa"/>
            </w:tcMar>
          </w:tcPr>
          <w:p w14:paraId="7B46FBCC" w14:textId="77777777" w:rsidR="000E3D46" w:rsidRDefault="00000000">
            <w:pPr>
              <w:spacing w:before="240"/>
              <w:rPr>
                <w:color w:val="000000" w:themeColor="text1"/>
                <w:lang w:val="en-GB"/>
              </w:rPr>
            </w:pPr>
            <w:r>
              <w:rPr>
                <w:color w:val="000000" w:themeColor="text1"/>
                <w:lang w:val="en-GB"/>
              </w:rPr>
              <w:t>R</w:t>
            </w:r>
          </w:p>
        </w:tc>
        <w:tc>
          <w:tcPr>
            <w:tcW w:w="675" w:type="dxa"/>
            <w:tcBorders>
              <w:top w:val="nil"/>
              <w:left w:val="nil"/>
              <w:bottom w:val="single" w:sz="6" w:space="0" w:color="000000"/>
              <w:right w:val="single" w:sz="6" w:space="0" w:color="000000"/>
            </w:tcBorders>
            <w:tcMar>
              <w:top w:w="0" w:type="dxa"/>
              <w:left w:w="100" w:type="dxa"/>
              <w:bottom w:w="0" w:type="dxa"/>
              <w:right w:w="100" w:type="dxa"/>
            </w:tcMar>
          </w:tcPr>
          <w:p w14:paraId="7B46FBCD" w14:textId="77777777" w:rsidR="000E3D46" w:rsidRDefault="00000000">
            <w:pPr>
              <w:spacing w:before="240"/>
              <w:rPr>
                <w:color w:val="000000" w:themeColor="text1"/>
                <w:lang w:val="en-GB"/>
              </w:rPr>
            </w:pPr>
            <w:r>
              <w:rPr>
                <w:color w:val="000000" w:themeColor="text1"/>
                <w:lang w:val="en-GB"/>
              </w:rPr>
              <w:t>I</w:t>
            </w:r>
          </w:p>
        </w:tc>
        <w:tc>
          <w:tcPr>
            <w:tcW w:w="795" w:type="dxa"/>
            <w:tcBorders>
              <w:top w:val="nil"/>
              <w:left w:val="nil"/>
              <w:bottom w:val="single" w:sz="6" w:space="0" w:color="000000"/>
              <w:right w:val="single" w:sz="6" w:space="0" w:color="000000"/>
            </w:tcBorders>
            <w:tcMar>
              <w:top w:w="0" w:type="dxa"/>
              <w:left w:w="100" w:type="dxa"/>
              <w:bottom w:w="0" w:type="dxa"/>
              <w:right w:w="100" w:type="dxa"/>
            </w:tcMar>
          </w:tcPr>
          <w:p w14:paraId="7B46FBCE" w14:textId="77777777" w:rsidR="000E3D46" w:rsidRDefault="00000000">
            <w:pPr>
              <w:spacing w:before="240"/>
              <w:rPr>
                <w:color w:val="000000" w:themeColor="text1"/>
                <w:lang w:val="en-GB"/>
              </w:rPr>
            </w:pPr>
            <w:r>
              <w:rPr>
                <w:color w:val="000000" w:themeColor="text1"/>
                <w:lang w:val="en-GB"/>
              </w:rPr>
              <w:t>C</w:t>
            </w:r>
          </w:p>
        </w:tc>
        <w:tc>
          <w:tcPr>
            <w:tcW w:w="630" w:type="dxa"/>
            <w:tcBorders>
              <w:top w:val="nil"/>
              <w:left w:val="nil"/>
              <w:bottom w:val="single" w:sz="6" w:space="0" w:color="000000"/>
              <w:right w:val="single" w:sz="6" w:space="0" w:color="000000"/>
            </w:tcBorders>
            <w:tcMar>
              <w:top w:w="0" w:type="dxa"/>
              <w:left w:w="100" w:type="dxa"/>
              <w:bottom w:w="0" w:type="dxa"/>
              <w:right w:w="100" w:type="dxa"/>
            </w:tcMar>
          </w:tcPr>
          <w:p w14:paraId="7B46FBCF" w14:textId="77777777" w:rsidR="000E3D46" w:rsidRDefault="00000000">
            <w:pPr>
              <w:spacing w:before="240"/>
              <w:rPr>
                <w:color w:val="000000" w:themeColor="text1"/>
                <w:lang w:val="en-GB"/>
              </w:rPr>
            </w:pPr>
            <w:r>
              <w:rPr>
                <w:color w:val="000000" w:themeColor="text1"/>
                <w:lang w:val="en-GB"/>
              </w:rPr>
              <w:t>C</w:t>
            </w:r>
          </w:p>
        </w:tc>
        <w:tc>
          <w:tcPr>
            <w:tcW w:w="720" w:type="dxa"/>
            <w:tcBorders>
              <w:top w:val="nil"/>
              <w:left w:val="nil"/>
              <w:bottom w:val="single" w:sz="6" w:space="0" w:color="000000"/>
              <w:right w:val="single" w:sz="6" w:space="0" w:color="000000"/>
            </w:tcBorders>
            <w:tcMar>
              <w:top w:w="0" w:type="dxa"/>
              <w:left w:w="100" w:type="dxa"/>
              <w:bottom w:w="0" w:type="dxa"/>
              <w:right w:w="100" w:type="dxa"/>
            </w:tcMar>
          </w:tcPr>
          <w:p w14:paraId="7B46FBD0" w14:textId="77777777" w:rsidR="000E3D46" w:rsidRDefault="00000000">
            <w:pPr>
              <w:spacing w:before="240"/>
              <w:rPr>
                <w:color w:val="000000" w:themeColor="text1"/>
                <w:lang w:val="en-GB"/>
              </w:rPr>
            </w:pPr>
            <w:r>
              <w:rPr>
                <w:color w:val="000000" w:themeColor="text1"/>
                <w:lang w:val="en-GB"/>
              </w:rPr>
              <w:t>I</w:t>
            </w:r>
          </w:p>
        </w:tc>
        <w:tc>
          <w:tcPr>
            <w:tcW w:w="825" w:type="dxa"/>
            <w:tcBorders>
              <w:top w:val="nil"/>
              <w:left w:val="nil"/>
              <w:bottom w:val="single" w:sz="6" w:space="0" w:color="000000"/>
              <w:right w:val="single" w:sz="6" w:space="0" w:color="000000"/>
            </w:tcBorders>
            <w:tcMar>
              <w:top w:w="0" w:type="dxa"/>
              <w:left w:w="100" w:type="dxa"/>
              <w:bottom w:w="0" w:type="dxa"/>
              <w:right w:w="100" w:type="dxa"/>
            </w:tcMar>
          </w:tcPr>
          <w:p w14:paraId="7B46FBD1" w14:textId="77777777" w:rsidR="000E3D46" w:rsidRDefault="00000000">
            <w:pPr>
              <w:spacing w:before="240"/>
              <w:rPr>
                <w:color w:val="000000" w:themeColor="text1"/>
                <w:lang w:val="en-GB"/>
              </w:rPr>
            </w:pPr>
            <w:r>
              <w:rPr>
                <w:color w:val="000000" w:themeColor="text1"/>
                <w:lang w:val="en-GB"/>
              </w:rPr>
              <w:t>I</w:t>
            </w:r>
          </w:p>
        </w:tc>
        <w:tc>
          <w:tcPr>
            <w:tcW w:w="840" w:type="dxa"/>
            <w:tcBorders>
              <w:top w:val="nil"/>
              <w:left w:val="nil"/>
              <w:bottom w:val="single" w:sz="6" w:space="0" w:color="000000"/>
              <w:right w:val="single" w:sz="6" w:space="0" w:color="000000"/>
            </w:tcBorders>
            <w:tcMar>
              <w:top w:w="0" w:type="dxa"/>
              <w:left w:w="100" w:type="dxa"/>
              <w:bottom w:w="0" w:type="dxa"/>
              <w:right w:w="100" w:type="dxa"/>
            </w:tcMar>
          </w:tcPr>
          <w:p w14:paraId="7B46FBD2" w14:textId="77777777" w:rsidR="000E3D46" w:rsidRDefault="00000000">
            <w:pPr>
              <w:spacing w:before="240"/>
              <w:rPr>
                <w:color w:val="000000" w:themeColor="text1"/>
                <w:lang w:val="en-GB"/>
              </w:rPr>
            </w:pPr>
            <w:r>
              <w:rPr>
                <w:color w:val="000000" w:themeColor="text1"/>
                <w:lang w:val="en-GB"/>
              </w:rPr>
              <w:t>I</w:t>
            </w:r>
          </w:p>
        </w:tc>
        <w:tc>
          <w:tcPr>
            <w:tcW w:w="720" w:type="dxa"/>
            <w:tcBorders>
              <w:top w:val="nil"/>
              <w:left w:val="nil"/>
              <w:bottom w:val="single" w:sz="6" w:space="0" w:color="000000"/>
              <w:right w:val="single" w:sz="6" w:space="0" w:color="000000"/>
            </w:tcBorders>
            <w:tcMar>
              <w:top w:w="0" w:type="dxa"/>
              <w:left w:w="100" w:type="dxa"/>
              <w:bottom w:w="0" w:type="dxa"/>
              <w:right w:w="100" w:type="dxa"/>
            </w:tcMar>
          </w:tcPr>
          <w:p w14:paraId="7B46FBD3" w14:textId="77777777" w:rsidR="000E3D46" w:rsidRDefault="00000000">
            <w:pPr>
              <w:spacing w:before="240"/>
              <w:rPr>
                <w:color w:val="000000" w:themeColor="text1"/>
                <w:lang w:val="en-GB"/>
              </w:rPr>
            </w:pPr>
            <w:r>
              <w:rPr>
                <w:color w:val="000000" w:themeColor="text1"/>
                <w:lang w:val="en-GB"/>
              </w:rPr>
              <w:t>I</w:t>
            </w:r>
          </w:p>
        </w:tc>
      </w:tr>
      <w:tr w:rsidR="000E3D46" w14:paraId="7B46FBE1" w14:textId="77777777">
        <w:trPr>
          <w:trHeight w:val="870"/>
          <w:jc w:val="center"/>
        </w:trPr>
        <w:tc>
          <w:tcPr>
            <w:tcW w:w="100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B46FBD5" w14:textId="77777777" w:rsidR="000E3D46" w:rsidRDefault="00000000">
            <w:pPr>
              <w:spacing w:before="240"/>
              <w:rPr>
                <w:color w:val="000000" w:themeColor="text1"/>
                <w:lang w:val="en-GB"/>
              </w:rPr>
            </w:pPr>
            <w:r>
              <w:rPr>
                <w:color w:val="000000" w:themeColor="text1"/>
                <w:lang w:val="en-GB"/>
              </w:rPr>
              <w:t>Product Testing &amp; Clinical Trials</w:t>
            </w:r>
          </w:p>
        </w:tc>
        <w:tc>
          <w:tcPr>
            <w:tcW w:w="840" w:type="dxa"/>
            <w:tcBorders>
              <w:top w:val="nil"/>
              <w:left w:val="nil"/>
              <w:bottom w:val="single" w:sz="6" w:space="0" w:color="000000"/>
              <w:right w:val="single" w:sz="6" w:space="0" w:color="000000"/>
            </w:tcBorders>
            <w:tcMar>
              <w:top w:w="0" w:type="dxa"/>
              <w:left w:w="100" w:type="dxa"/>
              <w:bottom w:w="0" w:type="dxa"/>
              <w:right w:w="100" w:type="dxa"/>
            </w:tcMar>
          </w:tcPr>
          <w:p w14:paraId="7B46FBD6" w14:textId="77777777" w:rsidR="000E3D46" w:rsidRDefault="00000000">
            <w:pPr>
              <w:spacing w:before="240"/>
              <w:rPr>
                <w:color w:val="000000" w:themeColor="text1"/>
                <w:lang w:val="en-GB"/>
              </w:rPr>
            </w:pPr>
            <w:r>
              <w:rPr>
                <w:color w:val="000000" w:themeColor="text1"/>
                <w:lang w:val="en-GB"/>
              </w:rPr>
              <w:t>A</w:t>
            </w:r>
          </w:p>
        </w:tc>
        <w:tc>
          <w:tcPr>
            <w:tcW w:w="795" w:type="dxa"/>
            <w:tcBorders>
              <w:top w:val="nil"/>
              <w:left w:val="nil"/>
              <w:bottom w:val="single" w:sz="6" w:space="0" w:color="000000"/>
              <w:right w:val="single" w:sz="6" w:space="0" w:color="000000"/>
            </w:tcBorders>
            <w:tcMar>
              <w:top w:w="0" w:type="dxa"/>
              <w:left w:w="100" w:type="dxa"/>
              <w:bottom w:w="0" w:type="dxa"/>
              <w:right w:w="100" w:type="dxa"/>
            </w:tcMar>
          </w:tcPr>
          <w:p w14:paraId="7B46FBD7" w14:textId="77777777" w:rsidR="000E3D46" w:rsidRDefault="00000000">
            <w:pPr>
              <w:spacing w:before="240"/>
              <w:rPr>
                <w:color w:val="000000" w:themeColor="text1"/>
                <w:lang w:val="en-GB"/>
              </w:rPr>
            </w:pPr>
            <w:r>
              <w:rPr>
                <w:color w:val="000000" w:themeColor="text1"/>
                <w:lang w:val="en-GB"/>
              </w:rPr>
              <w:t>R</w:t>
            </w:r>
          </w:p>
        </w:tc>
        <w:tc>
          <w:tcPr>
            <w:tcW w:w="705" w:type="dxa"/>
            <w:tcBorders>
              <w:top w:val="nil"/>
              <w:left w:val="nil"/>
              <w:bottom w:val="single" w:sz="6" w:space="0" w:color="000000"/>
              <w:right w:val="single" w:sz="6" w:space="0" w:color="000000"/>
            </w:tcBorders>
            <w:tcMar>
              <w:top w:w="0" w:type="dxa"/>
              <w:left w:w="100" w:type="dxa"/>
              <w:bottom w:w="0" w:type="dxa"/>
              <w:right w:w="100" w:type="dxa"/>
            </w:tcMar>
          </w:tcPr>
          <w:p w14:paraId="7B46FBD8" w14:textId="77777777" w:rsidR="000E3D46" w:rsidRDefault="00000000">
            <w:pPr>
              <w:spacing w:before="240"/>
              <w:rPr>
                <w:color w:val="000000" w:themeColor="text1"/>
                <w:lang w:val="en-GB"/>
              </w:rPr>
            </w:pPr>
            <w:r>
              <w:rPr>
                <w:color w:val="000000" w:themeColor="text1"/>
                <w:lang w:val="en-GB"/>
              </w:rPr>
              <w:t>C</w:t>
            </w:r>
          </w:p>
        </w:tc>
        <w:tc>
          <w:tcPr>
            <w:tcW w:w="795" w:type="dxa"/>
            <w:tcBorders>
              <w:top w:val="nil"/>
              <w:left w:val="nil"/>
              <w:bottom w:val="single" w:sz="6" w:space="0" w:color="000000"/>
              <w:right w:val="single" w:sz="6" w:space="0" w:color="000000"/>
            </w:tcBorders>
            <w:tcMar>
              <w:top w:w="0" w:type="dxa"/>
              <w:left w:w="100" w:type="dxa"/>
              <w:bottom w:w="0" w:type="dxa"/>
              <w:right w:w="100" w:type="dxa"/>
            </w:tcMar>
          </w:tcPr>
          <w:p w14:paraId="7B46FBD9" w14:textId="77777777" w:rsidR="000E3D46" w:rsidRDefault="00000000">
            <w:pPr>
              <w:spacing w:before="240"/>
              <w:rPr>
                <w:color w:val="000000" w:themeColor="text1"/>
                <w:lang w:val="en-GB"/>
              </w:rPr>
            </w:pPr>
            <w:r>
              <w:rPr>
                <w:color w:val="000000" w:themeColor="text1"/>
                <w:lang w:val="en-GB"/>
              </w:rPr>
              <w:t>R</w:t>
            </w:r>
          </w:p>
        </w:tc>
        <w:tc>
          <w:tcPr>
            <w:tcW w:w="675" w:type="dxa"/>
            <w:tcBorders>
              <w:top w:val="nil"/>
              <w:left w:val="nil"/>
              <w:bottom w:val="single" w:sz="6" w:space="0" w:color="000000"/>
              <w:right w:val="single" w:sz="6" w:space="0" w:color="000000"/>
            </w:tcBorders>
            <w:tcMar>
              <w:top w:w="0" w:type="dxa"/>
              <w:left w:w="100" w:type="dxa"/>
              <w:bottom w:w="0" w:type="dxa"/>
              <w:right w:w="100" w:type="dxa"/>
            </w:tcMar>
          </w:tcPr>
          <w:p w14:paraId="7B46FBDA" w14:textId="77777777" w:rsidR="000E3D46" w:rsidRDefault="00000000">
            <w:pPr>
              <w:spacing w:before="240"/>
              <w:rPr>
                <w:color w:val="000000" w:themeColor="text1"/>
                <w:lang w:val="en-GB"/>
              </w:rPr>
            </w:pPr>
            <w:r>
              <w:rPr>
                <w:color w:val="000000" w:themeColor="text1"/>
                <w:lang w:val="en-GB"/>
              </w:rPr>
              <w:t>I</w:t>
            </w:r>
          </w:p>
        </w:tc>
        <w:tc>
          <w:tcPr>
            <w:tcW w:w="795" w:type="dxa"/>
            <w:tcBorders>
              <w:top w:val="nil"/>
              <w:left w:val="nil"/>
              <w:bottom w:val="single" w:sz="6" w:space="0" w:color="000000"/>
              <w:right w:val="single" w:sz="6" w:space="0" w:color="000000"/>
            </w:tcBorders>
            <w:tcMar>
              <w:top w:w="0" w:type="dxa"/>
              <w:left w:w="100" w:type="dxa"/>
              <w:bottom w:w="0" w:type="dxa"/>
              <w:right w:w="100" w:type="dxa"/>
            </w:tcMar>
          </w:tcPr>
          <w:p w14:paraId="7B46FBDB" w14:textId="77777777" w:rsidR="000E3D46" w:rsidRDefault="00000000">
            <w:pPr>
              <w:spacing w:before="240"/>
              <w:rPr>
                <w:color w:val="000000" w:themeColor="text1"/>
                <w:lang w:val="en-GB"/>
              </w:rPr>
            </w:pPr>
            <w:r>
              <w:rPr>
                <w:color w:val="000000" w:themeColor="text1"/>
                <w:lang w:val="en-GB"/>
              </w:rPr>
              <w:t>I</w:t>
            </w:r>
          </w:p>
        </w:tc>
        <w:tc>
          <w:tcPr>
            <w:tcW w:w="630" w:type="dxa"/>
            <w:tcBorders>
              <w:top w:val="nil"/>
              <w:left w:val="nil"/>
              <w:bottom w:val="single" w:sz="6" w:space="0" w:color="000000"/>
              <w:right w:val="single" w:sz="6" w:space="0" w:color="000000"/>
            </w:tcBorders>
            <w:tcMar>
              <w:top w:w="0" w:type="dxa"/>
              <w:left w:w="100" w:type="dxa"/>
              <w:bottom w:w="0" w:type="dxa"/>
              <w:right w:w="100" w:type="dxa"/>
            </w:tcMar>
          </w:tcPr>
          <w:p w14:paraId="7B46FBDC" w14:textId="77777777" w:rsidR="000E3D46" w:rsidRDefault="00000000">
            <w:pPr>
              <w:spacing w:before="240"/>
              <w:rPr>
                <w:color w:val="000000" w:themeColor="text1"/>
                <w:lang w:val="en-GB"/>
              </w:rPr>
            </w:pPr>
            <w:r>
              <w:rPr>
                <w:color w:val="000000" w:themeColor="text1"/>
                <w:lang w:val="en-GB"/>
              </w:rPr>
              <w:t>C</w:t>
            </w:r>
          </w:p>
        </w:tc>
        <w:tc>
          <w:tcPr>
            <w:tcW w:w="720" w:type="dxa"/>
            <w:tcBorders>
              <w:top w:val="nil"/>
              <w:left w:val="nil"/>
              <w:bottom w:val="single" w:sz="6" w:space="0" w:color="000000"/>
              <w:right w:val="single" w:sz="6" w:space="0" w:color="000000"/>
            </w:tcBorders>
            <w:tcMar>
              <w:top w:w="0" w:type="dxa"/>
              <w:left w:w="100" w:type="dxa"/>
              <w:bottom w:w="0" w:type="dxa"/>
              <w:right w:w="100" w:type="dxa"/>
            </w:tcMar>
          </w:tcPr>
          <w:p w14:paraId="7B46FBDD" w14:textId="77777777" w:rsidR="000E3D46" w:rsidRDefault="00000000">
            <w:pPr>
              <w:spacing w:before="240"/>
              <w:rPr>
                <w:color w:val="000000" w:themeColor="text1"/>
                <w:lang w:val="en-GB"/>
              </w:rPr>
            </w:pPr>
            <w:r>
              <w:rPr>
                <w:color w:val="000000" w:themeColor="text1"/>
                <w:lang w:val="en-GB"/>
              </w:rPr>
              <w:t>I</w:t>
            </w:r>
          </w:p>
        </w:tc>
        <w:tc>
          <w:tcPr>
            <w:tcW w:w="825" w:type="dxa"/>
            <w:tcBorders>
              <w:top w:val="nil"/>
              <w:left w:val="nil"/>
              <w:bottom w:val="single" w:sz="6" w:space="0" w:color="000000"/>
              <w:right w:val="single" w:sz="6" w:space="0" w:color="000000"/>
            </w:tcBorders>
            <w:tcMar>
              <w:top w:w="0" w:type="dxa"/>
              <w:left w:w="100" w:type="dxa"/>
              <w:bottom w:w="0" w:type="dxa"/>
              <w:right w:w="100" w:type="dxa"/>
            </w:tcMar>
          </w:tcPr>
          <w:p w14:paraId="7B46FBDE" w14:textId="77777777" w:rsidR="000E3D46" w:rsidRDefault="00000000">
            <w:pPr>
              <w:spacing w:before="240"/>
              <w:rPr>
                <w:color w:val="000000" w:themeColor="text1"/>
                <w:lang w:val="en-GB"/>
              </w:rPr>
            </w:pPr>
            <w:r>
              <w:rPr>
                <w:color w:val="000000" w:themeColor="text1"/>
                <w:lang w:val="en-GB"/>
              </w:rPr>
              <w:t>C</w:t>
            </w:r>
          </w:p>
        </w:tc>
        <w:tc>
          <w:tcPr>
            <w:tcW w:w="840" w:type="dxa"/>
            <w:tcBorders>
              <w:top w:val="nil"/>
              <w:left w:val="nil"/>
              <w:bottom w:val="single" w:sz="6" w:space="0" w:color="000000"/>
              <w:right w:val="single" w:sz="6" w:space="0" w:color="000000"/>
            </w:tcBorders>
            <w:tcMar>
              <w:top w:w="0" w:type="dxa"/>
              <w:left w:w="100" w:type="dxa"/>
              <w:bottom w:w="0" w:type="dxa"/>
              <w:right w:w="100" w:type="dxa"/>
            </w:tcMar>
          </w:tcPr>
          <w:p w14:paraId="7B46FBDF" w14:textId="77777777" w:rsidR="000E3D46" w:rsidRDefault="00000000">
            <w:pPr>
              <w:spacing w:before="240"/>
              <w:rPr>
                <w:color w:val="000000" w:themeColor="text1"/>
                <w:lang w:val="en-GB"/>
              </w:rPr>
            </w:pPr>
            <w:r>
              <w:rPr>
                <w:color w:val="000000" w:themeColor="text1"/>
                <w:lang w:val="en-GB"/>
              </w:rPr>
              <w:t>C</w:t>
            </w:r>
          </w:p>
        </w:tc>
        <w:tc>
          <w:tcPr>
            <w:tcW w:w="720" w:type="dxa"/>
            <w:tcBorders>
              <w:top w:val="nil"/>
              <w:left w:val="nil"/>
              <w:bottom w:val="single" w:sz="6" w:space="0" w:color="000000"/>
              <w:right w:val="single" w:sz="6" w:space="0" w:color="000000"/>
            </w:tcBorders>
            <w:tcMar>
              <w:top w:w="0" w:type="dxa"/>
              <w:left w:w="100" w:type="dxa"/>
              <w:bottom w:w="0" w:type="dxa"/>
              <w:right w:w="100" w:type="dxa"/>
            </w:tcMar>
          </w:tcPr>
          <w:p w14:paraId="7B46FBE0" w14:textId="77777777" w:rsidR="000E3D46" w:rsidRDefault="00000000">
            <w:pPr>
              <w:spacing w:before="240"/>
              <w:rPr>
                <w:color w:val="000000" w:themeColor="text1"/>
                <w:lang w:val="en-GB"/>
              </w:rPr>
            </w:pPr>
            <w:r>
              <w:rPr>
                <w:color w:val="000000" w:themeColor="text1"/>
                <w:lang w:val="en-GB"/>
              </w:rPr>
              <w:t>I</w:t>
            </w:r>
          </w:p>
        </w:tc>
      </w:tr>
      <w:tr w:rsidR="000E3D46" w14:paraId="7B46FBEE" w14:textId="77777777">
        <w:trPr>
          <w:trHeight w:val="870"/>
          <w:jc w:val="center"/>
        </w:trPr>
        <w:tc>
          <w:tcPr>
            <w:tcW w:w="100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B46FBE2" w14:textId="77777777" w:rsidR="000E3D46" w:rsidRDefault="00000000">
            <w:pPr>
              <w:spacing w:before="240"/>
              <w:rPr>
                <w:color w:val="000000" w:themeColor="text1"/>
                <w:lang w:val="en-GB"/>
              </w:rPr>
            </w:pPr>
            <w:r>
              <w:rPr>
                <w:color w:val="000000" w:themeColor="text1"/>
                <w:lang w:val="en-GB"/>
              </w:rPr>
              <w:lastRenderedPageBreak/>
              <w:t>Regulatory Compliance &amp; Approval</w:t>
            </w:r>
          </w:p>
        </w:tc>
        <w:tc>
          <w:tcPr>
            <w:tcW w:w="840" w:type="dxa"/>
            <w:tcBorders>
              <w:top w:val="nil"/>
              <w:left w:val="nil"/>
              <w:bottom w:val="single" w:sz="6" w:space="0" w:color="000000"/>
              <w:right w:val="single" w:sz="6" w:space="0" w:color="000000"/>
            </w:tcBorders>
            <w:tcMar>
              <w:top w:w="0" w:type="dxa"/>
              <w:left w:w="100" w:type="dxa"/>
              <w:bottom w:w="0" w:type="dxa"/>
              <w:right w:w="100" w:type="dxa"/>
            </w:tcMar>
          </w:tcPr>
          <w:p w14:paraId="7B46FBE3" w14:textId="77777777" w:rsidR="000E3D46" w:rsidRDefault="00000000">
            <w:pPr>
              <w:spacing w:before="240"/>
              <w:rPr>
                <w:color w:val="000000" w:themeColor="text1"/>
                <w:lang w:val="en-GB"/>
              </w:rPr>
            </w:pPr>
            <w:r>
              <w:rPr>
                <w:color w:val="000000" w:themeColor="text1"/>
                <w:lang w:val="en-GB"/>
              </w:rPr>
              <w:t>A</w:t>
            </w:r>
          </w:p>
        </w:tc>
        <w:tc>
          <w:tcPr>
            <w:tcW w:w="795" w:type="dxa"/>
            <w:tcBorders>
              <w:top w:val="nil"/>
              <w:left w:val="nil"/>
              <w:bottom w:val="single" w:sz="6" w:space="0" w:color="000000"/>
              <w:right w:val="single" w:sz="6" w:space="0" w:color="000000"/>
            </w:tcBorders>
            <w:tcMar>
              <w:top w:w="0" w:type="dxa"/>
              <w:left w:w="100" w:type="dxa"/>
              <w:bottom w:w="0" w:type="dxa"/>
              <w:right w:w="100" w:type="dxa"/>
            </w:tcMar>
          </w:tcPr>
          <w:p w14:paraId="7B46FBE4" w14:textId="77777777" w:rsidR="000E3D46" w:rsidRDefault="00000000">
            <w:pPr>
              <w:spacing w:before="240"/>
              <w:rPr>
                <w:color w:val="000000" w:themeColor="text1"/>
                <w:lang w:val="en-GB"/>
              </w:rPr>
            </w:pPr>
            <w:r>
              <w:rPr>
                <w:color w:val="000000" w:themeColor="text1"/>
                <w:lang w:val="en-GB"/>
              </w:rPr>
              <w:t>C</w:t>
            </w:r>
          </w:p>
        </w:tc>
        <w:tc>
          <w:tcPr>
            <w:tcW w:w="705" w:type="dxa"/>
            <w:tcBorders>
              <w:top w:val="nil"/>
              <w:left w:val="nil"/>
              <w:bottom w:val="single" w:sz="6" w:space="0" w:color="000000"/>
              <w:right w:val="single" w:sz="6" w:space="0" w:color="000000"/>
            </w:tcBorders>
            <w:tcMar>
              <w:top w:w="0" w:type="dxa"/>
              <w:left w:w="100" w:type="dxa"/>
              <w:bottom w:w="0" w:type="dxa"/>
              <w:right w:w="100" w:type="dxa"/>
            </w:tcMar>
          </w:tcPr>
          <w:p w14:paraId="7B46FBE5" w14:textId="77777777" w:rsidR="000E3D46" w:rsidRDefault="00000000">
            <w:pPr>
              <w:spacing w:before="240"/>
              <w:rPr>
                <w:color w:val="000000" w:themeColor="text1"/>
                <w:lang w:val="en-GB"/>
              </w:rPr>
            </w:pPr>
            <w:r>
              <w:rPr>
                <w:color w:val="000000" w:themeColor="text1"/>
                <w:lang w:val="en-GB"/>
              </w:rPr>
              <w:t>R</w:t>
            </w:r>
          </w:p>
        </w:tc>
        <w:tc>
          <w:tcPr>
            <w:tcW w:w="795" w:type="dxa"/>
            <w:tcBorders>
              <w:top w:val="nil"/>
              <w:left w:val="nil"/>
              <w:bottom w:val="single" w:sz="6" w:space="0" w:color="000000"/>
              <w:right w:val="single" w:sz="6" w:space="0" w:color="000000"/>
            </w:tcBorders>
            <w:tcMar>
              <w:top w:w="0" w:type="dxa"/>
              <w:left w:w="100" w:type="dxa"/>
              <w:bottom w:w="0" w:type="dxa"/>
              <w:right w:w="100" w:type="dxa"/>
            </w:tcMar>
          </w:tcPr>
          <w:p w14:paraId="7B46FBE6" w14:textId="77777777" w:rsidR="000E3D46" w:rsidRDefault="00000000">
            <w:pPr>
              <w:spacing w:before="240"/>
              <w:rPr>
                <w:color w:val="000000" w:themeColor="text1"/>
                <w:lang w:val="en-GB"/>
              </w:rPr>
            </w:pPr>
            <w:r>
              <w:rPr>
                <w:color w:val="000000" w:themeColor="text1"/>
                <w:lang w:val="en-GB"/>
              </w:rPr>
              <w:t>I</w:t>
            </w:r>
          </w:p>
        </w:tc>
        <w:tc>
          <w:tcPr>
            <w:tcW w:w="675" w:type="dxa"/>
            <w:tcBorders>
              <w:top w:val="nil"/>
              <w:left w:val="nil"/>
              <w:bottom w:val="single" w:sz="6" w:space="0" w:color="000000"/>
              <w:right w:val="single" w:sz="6" w:space="0" w:color="000000"/>
            </w:tcBorders>
            <w:tcMar>
              <w:top w:w="0" w:type="dxa"/>
              <w:left w:w="100" w:type="dxa"/>
              <w:bottom w:w="0" w:type="dxa"/>
              <w:right w:w="100" w:type="dxa"/>
            </w:tcMar>
          </w:tcPr>
          <w:p w14:paraId="7B46FBE7" w14:textId="77777777" w:rsidR="000E3D46" w:rsidRDefault="00000000">
            <w:pPr>
              <w:spacing w:before="240"/>
              <w:rPr>
                <w:color w:val="000000" w:themeColor="text1"/>
                <w:lang w:val="en-GB"/>
              </w:rPr>
            </w:pPr>
            <w:r>
              <w:rPr>
                <w:color w:val="000000" w:themeColor="text1"/>
                <w:lang w:val="en-GB"/>
              </w:rPr>
              <w:t>I</w:t>
            </w:r>
          </w:p>
        </w:tc>
        <w:tc>
          <w:tcPr>
            <w:tcW w:w="795" w:type="dxa"/>
            <w:tcBorders>
              <w:top w:val="nil"/>
              <w:left w:val="nil"/>
              <w:bottom w:val="single" w:sz="6" w:space="0" w:color="000000"/>
              <w:right w:val="single" w:sz="6" w:space="0" w:color="000000"/>
            </w:tcBorders>
            <w:tcMar>
              <w:top w:w="0" w:type="dxa"/>
              <w:left w:w="100" w:type="dxa"/>
              <w:bottom w:w="0" w:type="dxa"/>
              <w:right w:w="100" w:type="dxa"/>
            </w:tcMar>
          </w:tcPr>
          <w:p w14:paraId="7B46FBE8" w14:textId="77777777" w:rsidR="000E3D46" w:rsidRDefault="00000000">
            <w:pPr>
              <w:spacing w:before="240"/>
              <w:rPr>
                <w:color w:val="000000" w:themeColor="text1"/>
                <w:lang w:val="en-GB"/>
              </w:rPr>
            </w:pPr>
            <w:r>
              <w:rPr>
                <w:color w:val="000000" w:themeColor="text1"/>
                <w:lang w:val="en-GB"/>
              </w:rPr>
              <w:t>I</w:t>
            </w:r>
          </w:p>
        </w:tc>
        <w:tc>
          <w:tcPr>
            <w:tcW w:w="630" w:type="dxa"/>
            <w:tcBorders>
              <w:top w:val="nil"/>
              <w:left w:val="nil"/>
              <w:bottom w:val="single" w:sz="6" w:space="0" w:color="000000"/>
              <w:right w:val="single" w:sz="6" w:space="0" w:color="000000"/>
            </w:tcBorders>
            <w:tcMar>
              <w:top w:w="0" w:type="dxa"/>
              <w:left w:w="100" w:type="dxa"/>
              <w:bottom w:w="0" w:type="dxa"/>
              <w:right w:w="100" w:type="dxa"/>
            </w:tcMar>
          </w:tcPr>
          <w:p w14:paraId="7B46FBE9" w14:textId="77777777" w:rsidR="000E3D46" w:rsidRDefault="00000000">
            <w:pPr>
              <w:spacing w:before="240"/>
              <w:rPr>
                <w:color w:val="000000" w:themeColor="text1"/>
                <w:lang w:val="en-GB"/>
              </w:rPr>
            </w:pPr>
            <w:r>
              <w:rPr>
                <w:color w:val="000000" w:themeColor="text1"/>
                <w:lang w:val="en-GB"/>
              </w:rPr>
              <w:t>C</w:t>
            </w:r>
          </w:p>
        </w:tc>
        <w:tc>
          <w:tcPr>
            <w:tcW w:w="720" w:type="dxa"/>
            <w:tcBorders>
              <w:top w:val="nil"/>
              <w:left w:val="nil"/>
              <w:bottom w:val="single" w:sz="6" w:space="0" w:color="000000"/>
              <w:right w:val="single" w:sz="6" w:space="0" w:color="000000"/>
            </w:tcBorders>
            <w:tcMar>
              <w:top w:w="0" w:type="dxa"/>
              <w:left w:w="100" w:type="dxa"/>
              <w:bottom w:w="0" w:type="dxa"/>
              <w:right w:w="100" w:type="dxa"/>
            </w:tcMar>
          </w:tcPr>
          <w:p w14:paraId="7B46FBEA" w14:textId="77777777" w:rsidR="000E3D46" w:rsidRDefault="00000000">
            <w:pPr>
              <w:spacing w:before="240"/>
              <w:rPr>
                <w:color w:val="000000" w:themeColor="text1"/>
                <w:lang w:val="en-GB"/>
              </w:rPr>
            </w:pPr>
            <w:r>
              <w:rPr>
                <w:color w:val="000000" w:themeColor="text1"/>
                <w:lang w:val="en-GB"/>
              </w:rPr>
              <w:t>I</w:t>
            </w:r>
          </w:p>
        </w:tc>
        <w:tc>
          <w:tcPr>
            <w:tcW w:w="825" w:type="dxa"/>
            <w:tcBorders>
              <w:top w:val="nil"/>
              <w:left w:val="nil"/>
              <w:bottom w:val="single" w:sz="6" w:space="0" w:color="000000"/>
              <w:right w:val="single" w:sz="6" w:space="0" w:color="000000"/>
            </w:tcBorders>
            <w:tcMar>
              <w:top w:w="0" w:type="dxa"/>
              <w:left w:w="100" w:type="dxa"/>
              <w:bottom w:w="0" w:type="dxa"/>
              <w:right w:w="100" w:type="dxa"/>
            </w:tcMar>
          </w:tcPr>
          <w:p w14:paraId="7B46FBEB" w14:textId="77777777" w:rsidR="000E3D46" w:rsidRDefault="00000000">
            <w:pPr>
              <w:spacing w:before="240"/>
              <w:rPr>
                <w:color w:val="000000" w:themeColor="text1"/>
                <w:lang w:val="en-GB"/>
              </w:rPr>
            </w:pPr>
            <w:r>
              <w:rPr>
                <w:color w:val="000000" w:themeColor="text1"/>
                <w:lang w:val="en-GB"/>
              </w:rPr>
              <w:t>C</w:t>
            </w:r>
          </w:p>
        </w:tc>
        <w:tc>
          <w:tcPr>
            <w:tcW w:w="840" w:type="dxa"/>
            <w:tcBorders>
              <w:top w:val="nil"/>
              <w:left w:val="nil"/>
              <w:bottom w:val="single" w:sz="6" w:space="0" w:color="000000"/>
              <w:right w:val="single" w:sz="6" w:space="0" w:color="000000"/>
            </w:tcBorders>
            <w:tcMar>
              <w:top w:w="0" w:type="dxa"/>
              <w:left w:w="100" w:type="dxa"/>
              <w:bottom w:w="0" w:type="dxa"/>
              <w:right w:w="100" w:type="dxa"/>
            </w:tcMar>
          </w:tcPr>
          <w:p w14:paraId="7B46FBEC" w14:textId="77777777" w:rsidR="000E3D46" w:rsidRDefault="00000000">
            <w:pPr>
              <w:spacing w:before="240"/>
              <w:rPr>
                <w:color w:val="000000" w:themeColor="text1"/>
                <w:lang w:val="en-GB"/>
              </w:rPr>
            </w:pPr>
            <w:r>
              <w:rPr>
                <w:color w:val="000000" w:themeColor="text1"/>
                <w:lang w:val="en-GB"/>
              </w:rPr>
              <w:t>I</w:t>
            </w:r>
          </w:p>
        </w:tc>
        <w:tc>
          <w:tcPr>
            <w:tcW w:w="720" w:type="dxa"/>
            <w:tcBorders>
              <w:top w:val="nil"/>
              <w:left w:val="nil"/>
              <w:bottom w:val="single" w:sz="6" w:space="0" w:color="000000"/>
              <w:right w:val="single" w:sz="6" w:space="0" w:color="000000"/>
            </w:tcBorders>
            <w:tcMar>
              <w:top w:w="0" w:type="dxa"/>
              <w:left w:w="100" w:type="dxa"/>
              <w:bottom w:w="0" w:type="dxa"/>
              <w:right w:w="100" w:type="dxa"/>
            </w:tcMar>
          </w:tcPr>
          <w:p w14:paraId="7B46FBED" w14:textId="77777777" w:rsidR="000E3D46" w:rsidRDefault="00000000">
            <w:pPr>
              <w:spacing w:before="240"/>
              <w:rPr>
                <w:color w:val="000000" w:themeColor="text1"/>
                <w:lang w:val="en-GB"/>
              </w:rPr>
            </w:pPr>
            <w:r>
              <w:rPr>
                <w:color w:val="000000" w:themeColor="text1"/>
                <w:lang w:val="en-GB"/>
              </w:rPr>
              <w:t>I</w:t>
            </w:r>
          </w:p>
        </w:tc>
      </w:tr>
      <w:tr w:rsidR="000E3D46" w14:paraId="7B46FBFB" w14:textId="77777777">
        <w:trPr>
          <w:trHeight w:val="870"/>
          <w:jc w:val="center"/>
        </w:trPr>
        <w:tc>
          <w:tcPr>
            <w:tcW w:w="100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B46FBEF" w14:textId="77777777" w:rsidR="000E3D46" w:rsidRDefault="00000000">
            <w:pPr>
              <w:spacing w:before="240"/>
              <w:rPr>
                <w:color w:val="000000" w:themeColor="text1"/>
                <w:lang w:val="en-GB"/>
              </w:rPr>
            </w:pPr>
            <w:r>
              <w:rPr>
                <w:color w:val="000000" w:themeColor="text1"/>
                <w:lang w:val="en-GB"/>
              </w:rPr>
              <w:t>Marketing &amp; Launch Strategy</w:t>
            </w:r>
          </w:p>
        </w:tc>
        <w:tc>
          <w:tcPr>
            <w:tcW w:w="840" w:type="dxa"/>
            <w:tcBorders>
              <w:top w:val="nil"/>
              <w:left w:val="nil"/>
              <w:bottom w:val="single" w:sz="6" w:space="0" w:color="000000"/>
              <w:right w:val="single" w:sz="6" w:space="0" w:color="000000"/>
            </w:tcBorders>
            <w:tcMar>
              <w:top w:w="0" w:type="dxa"/>
              <w:left w:w="100" w:type="dxa"/>
              <w:bottom w:w="0" w:type="dxa"/>
              <w:right w:w="100" w:type="dxa"/>
            </w:tcMar>
          </w:tcPr>
          <w:p w14:paraId="7B46FBF0" w14:textId="77777777" w:rsidR="000E3D46" w:rsidRDefault="00000000">
            <w:pPr>
              <w:spacing w:before="240"/>
              <w:rPr>
                <w:color w:val="000000" w:themeColor="text1"/>
                <w:lang w:val="en-GB"/>
              </w:rPr>
            </w:pPr>
            <w:r>
              <w:rPr>
                <w:color w:val="000000" w:themeColor="text1"/>
                <w:lang w:val="en-GB"/>
              </w:rPr>
              <w:t>A</w:t>
            </w:r>
          </w:p>
        </w:tc>
        <w:tc>
          <w:tcPr>
            <w:tcW w:w="795" w:type="dxa"/>
            <w:tcBorders>
              <w:top w:val="nil"/>
              <w:left w:val="nil"/>
              <w:bottom w:val="single" w:sz="6" w:space="0" w:color="000000"/>
              <w:right w:val="single" w:sz="6" w:space="0" w:color="000000"/>
            </w:tcBorders>
            <w:tcMar>
              <w:top w:w="0" w:type="dxa"/>
              <w:left w:w="100" w:type="dxa"/>
              <w:bottom w:w="0" w:type="dxa"/>
              <w:right w:w="100" w:type="dxa"/>
            </w:tcMar>
          </w:tcPr>
          <w:p w14:paraId="7B46FBF1" w14:textId="77777777" w:rsidR="000E3D46" w:rsidRDefault="00000000">
            <w:pPr>
              <w:spacing w:before="240"/>
              <w:rPr>
                <w:color w:val="000000" w:themeColor="text1"/>
                <w:lang w:val="en-GB"/>
              </w:rPr>
            </w:pPr>
            <w:r>
              <w:rPr>
                <w:color w:val="000000" w:themeColor="text1"/>
                <w:lang w:val="en-GB"/>
              </w:rPr>
              <w:t>C</w:t>
            </w:r>
          </w:p>
        </w:tc>
        <w:tc>
          <w:tcPr>
            <w:tcW w:w="705" w:type="dxa"/>
            <w:tcBorders>
              <w:top w:val="nil"/>
              <w:left w:val="nil"/>
              <w:bottom w:val="single" w:sz="6" w:space="0" w:color="000000"/>
              <w:right w:val="single" w:sz="6" w:space="0" w:color="000000"/>
            </w:tcBorders>
            <w:tcMar>
              <w:top w:w="0" w:type="dxa"/>
              <w:left w:w="100" w:type="dxa"/>
              <w:bottom w:w="0" w:type="dxa"/>
              <w:right w:w="100" w:type="dxa"/>
            </w:tcMar>
          </w:tcPr>
          <w:p w14:paraId="7B46FBF2" w14:textId="77777777" w:rsidR="000E3D46" w:rsidRDefault="00000000">
            <w:pPr>
              <w:spacing w:before="240"/>
              <w:rPr>
                <w:color w:val="000000" w:themeColor="text1"/>
                <w:lang w:val="en-GB"/>
              </w:rPr>
            </w:pPr>
            <w:r>
              <w:rPr>
                <w:color w:val="000000" w:themeColor="text1"/>
                <w:lang w:val="en-GB"/>
              </w:rPr>
              <w:t>I</w:t>
            </w:r>
          </w:p>
        </w:tc>
        <w:tc>
          <w:tcPr>
            <w:tcW w:w="795" w:type="dxa"/>
            <w:tcBorders>
              <w:top w:val="nil"/>
              <w:left w:val="nil"/>
              <w:bottom w:val="single" w:sz="6" w:space="0" w:color="000000"/>
              <w:right w:val="single" w:sz="6" w:space="0" w:color="000000"/>
            </w:tcBorders>
            <w:tcMar>
              <w:top w:w="0" w:type="dxa"/>
              <w:left w:w="100" w:type="dxa"/>
              <w:bottom w:w="0" w:type="dxa"/>
              <w:right w:w="100" w:type="dxa"/>
            </w:tcMar>
          </w:tcPr>
          <w:p w14:paraId="7B46FBF3" w14:textId="77777777" w:rsidR="000E3D46" w:rsidRDefault="00000000">
            <w:pPr>
              <w:spacing w:before="240"/>
              <w:rPr>
                <w:color w:val="000000" w:themeColor="text1"/>
                <w:lang w:val="en-GB"/>
              </w:rPr>
            </w:pPr>
            <w:r>
              <w:rPr>
                <w:color w:val="000000" w:themeColor="text1"/>
                <w:lang w:val="en-GB"/>
              </w:rPr>
              <w:t>I</w:t>
            </w:r>
          </w:p>
        </w:tc>
        <w:tc>
          <w:tcPr>
            <w:tcW w:w="675" w:type="dxa"/>
            <w:tcBorders>
              <w:top w:val="nil"/>
              <w:left w:val="nil"/>
              <w:bottom w:val="single" w:sz="6" w:space="0" w:color="000000"/>
              <w:right w:val="single" w:sz="6" w:space="0" w:color="000000"/>
            </w:tcBorders>
            <w:tcMar>
              <w:top w:w="0" w:type="dxa"/>
              <w:left w:w="100" w:type="dxa"/>
              <w:bottom w:w="0" w:type="dxa"/>
              <w:right w:w="100" w:type="dxa"/>
            </w:tcMar>
          </w:tcPr>
          <w:p w14:paraId="7B46FBF4" w14:textId="77777777" w:rsidR="000E3D46" w:rsidRDefault="00000000">
            <w:pPr>
              <w:spacing w:before="240"/>
              <w:rPr>
                <w:color w:val="000000" w:themeColor="text1"/>
                <w:lang w:val="en-GB"/>
              </w:rPr>
            </w:pPr>
            <w:r>
              <w:rPr>
                <w:color w:val="000000" w:themeColor="text1"/>
                <w:lang w:val="en-GB"/>
              </w:rPr>
              <w:t>I</w:t>
            </w:r>
          </w:p>
        </w:tc>
        <w:tc>
          <w:tcPr>
            <w:tcW w:w="795" w:type="dxa"/>
            <w:tcBorders>
              <w:top w:val="nil"/>
              <w:left w:val="nil"/>
              <w:bottom w:val="single" w:sz="6" w:space="0" w:color="000000"/>
              <w:right w:val="single" w:sz="6" w:space="0" w:color="000000"/>
            </w:tcBorders>
            <w:tcMar>
              <w:top w:w="0" w:type="dxa"/>
              <w:left w:w="100" w:type="dxa"/>
              <w:bottom w:w="0" w:type="dxa"/>
              <w:right w:w="100" w:type="dxa"/>
            </w:tcMar>
          </w:tcPr>
          <w:p w14:paraId="7B46FBF5" w14:textId="77777777" w:rsidR="000E3D46" w:rsidRDefault="00000000">
            <w:pPr>
              <w:spacing w:before="240"/>
              <w:rPr>
                <w:color w:val="000000" w:themeColor="text1"/>
                <w:lang w:val="en-GB"/>
              </w:rPr>
            </w:pPr>
            <w:r>
              <w:rPr>
                <w:color w:val="000000" w:themeColor="text1"/>
                <w:lang w:val="en-GB"/>
              </w:rPr>
              <w:t>R</w:t>
            </w:r>
          </w:p>
        </w:tc>
        <w:tc>
          <w:tcPr>
            <w:tcW w:w="630" w:type="dxa"/>
            <w:tcBorders>
              <w:top w:val="nil"/>
              <w:left w:val="nil"/>
              <w:bottom w:val="single" w:sz="6" w:space="0" w:color="000000"/>
              <w:right w:val="single" w:sz="6" w:space="0" w:color="000000"/>
            </w:tcBorders>
            <w:tcMar>
              <w:top w:w="0" w:type="dxa"/>
              <w:left w:w="100" w:type="dxa"/>
              <w:bottom w:w="0" w:type="dxa"/>
              <w:right w:w="100" w:type="dxa"/>
            </w:tcMar>
          </w:tcPr>
          <w:p w14:paraId="7B46FBF6" w14:textId="77777777" w:rsidR="000E3D46" w:rsidRDefault="00000000">
            <w:pPr>
              <w:spacing w:before="240"/>
              <w:rPr>
                <w:color w:val="000000" w:themeColor="text1"/>
                <w:lang w:val="en-GB"/>
              </w:rPr>
            </w:pPr>
            <w:r>
              <w:rPr>
                <w:color w:val="000000" w:themeColor="text1"/>
                <w:lang w:val="en-GB"/>
              </w:rPr>
              <w:t>I</w:t>
            </w:r>
          </w:p>
        </w:tc>
        <w:tc>
          <w:tcPr>
            <w:tcW w:w="720" w:type="dxa"/>
            <w:tcBorders>
              <w:top w:val="nil"/>
              <w:left w:val="nil"/>
              <w:bottom w:val="single" w:sz="6" w:space="0" w:color="000000"/>
              <w:right w:val="single" w:sz="6" w:space="0" w:color="000000"/>
            </w:tcBorders>
            <w:tcMar>
              <w:top w:w="0" w:type="dxa"/>
              <w:left w:w="100" w:type="dxa"/>
              <w:bottom w:w="0" w:type="dxa"/>
              <w:right w:w="100" w:type="dxa"/>
            </w:tcMar>
          </w:tcPr>
          <w:p w14:paraId="7B46FBF7" w14:textId="77777777" w:rsidR="000E3D46" w:rsidRDefault="00000000">
            <w:pPr>
              <w:spacing w:before="240"/>
              <w:rPr>
                <w:color w:val="000000" w:themeColor="text1"/>
                <w:lang w:val="en-GB"/>
              </w:rPr>
            </w:pPr>
            <w:r>
              <w:rPr>
                <w:color w:val="000000" w:themeColor="text1"/>
                <w:lang w:val="en-GB"/>
              </w:rPr>
              <w:t>I</w:t>
            </w:r>
          </w:p>
        </w:tc>
        <w:tc>
          <w:tcPr>
            <w:tcW w:w="825" w:type="dxa"/>
            <w:tcBorders>
              <w:top w:val="nil"/>
              <w:left w:val="nil"/>
              <w:bottom w:val="single" w:sz="6" w:space="0" w:color="000000"/>
              <w:right w:val="single" w:sz="6" w:space="0" w:color="000000"/>
            </w:tcBorders>
            <w:tcMar>
              <w:top w:w="0" w:type="dxa"/>
              <w:left w:w="100" w:type="dxa"/>
              <w:bottom w:w="0" w:type="dxa"/>
              <w:right w:w="100" w:type="dxa"/>
            </w:tcMar>
          </w:tcPr>
          <w:p w14:paraId="7B46FBF8" w14:textId="77777777" w:rsidR="000E3D46" w:rsidRDefault="00000000">
            <w:pPr>
              <w:spacing w:before="240"/>
              <w:rPr>
                <w:color w:val="000000" w:themeColor="text1"/>
                <w:lang w:val="en-GB"/>
              </w:rPr>
            </w:pPr>
            <w:r>
              <w:rPr>
                <w:color w:val="000000" w:themeColor="text1"/>
                <w:lang w:val="en-GB"/>
              </w:rPr>
              <w:t>I</w:t>
            </w:r>
          </w:p>
        </w:tc>
        <w:tc>
          <w:tcPr>
            <w:tcW w:w="840" w:type="dxa"/>
            <w:tcBorders>
              <w:top w:val="nil"/>
              <w:left w:val="nil"/>
              <w:bottom w:val="single" w:sz="6" w:space="0" w:color="000000"/>
              <w:right w:val="single" w:sz="6" w:space="0" w:color="000000"/>
            </w:tcBorders>
            <w:tcMar>
              <w:top w:w="0" w:type="dxa"/>
              <w:left w:w="100" w:type="dxa"/>
              <w:bottom w:w="0" w:type="dxa"/>
              <w:right w:w="100" w:type="dxa"/>
            </w:tcMar>
          </w:tcPr>
          <w:p w14:paraId="7B46FBF9" w14:textId="77777777" w:rsidR="000E3D46" w:rsidRDefault="00000000">
            <w:pPr>
              <w:spacing w:before="240"/>
              <w:rPr>
                <w:color w:val="000000" w:themeColor="text1"/>
                <w:lang w:val="en-GB"/>
              </w:rPr>
            </w:pPr>
            <w:r>
              <w:rPr>
                <w:color w:val="000000" w:themeColor="text1"/>
                <w:lang w:val="en-GB"/>
              </w:rPr>
              <w:t>C</w:t>
            </w:r>
          </w:p>
        </w:tc>
        <w:tc>
          <w:tcPr>
            <w:tcW w:w="720" w:type="dxa"/>
            <w:tcBorders>
              <w:top w:val="nil"/>
              <w:left w:val="nil"/>
              <w:bottom w:val="single" w:sz="6" w:space="0" w:color="000000"/>
              <w:right w:val="single" w:sz="6" w:space="0" w:color="000000"/>
            </w:tcBorders>
            <w:tcMar>
              <w:top w:w="0" w:type="dxa"/>
              <w:left w:w="100" w:type="dxa"/>
              <w:bottom w:w="0" w:type="dxa"/>
              <w:right w:w="100" w:type="dxa"/>
            </w:tcMar>
          </w:tcPr>
          <w:p w14:paraId="7B46FBFA" w14:textId="77777777" w:rsidR="000E3D46" w:rsidRDefault="00000000">
            <w:pPr>
              <w:spacing w:before="240"/>
              <w:rPr>
                <w:color w:val="000000" w:themeColor="text1"/>
                <w:lang w:val="en-GB"/>
              </w:rPr>
            </w:pPr>
            <w:r>
              <w:rPr>
                <w:color w:val="000000" w:themeColor="text1"/>
                <w:lang w:val="en-GB"/>
              </w:rPr>
              <w:t>I</w:t>
            </w:r>
          </w:p>
        </w:tc>
      </w:tr>
      <w:tr w:rsidR="000E3D46" w14:paraId="7B46FC08" w14:textId="77777777">
        <w:trPr>
          <w:trHeight w:val="870"/>
          <w:jc w:val="center"/>
        </w:trPr>
        <w:tc>
          <w:tcPr>
            <w:tcW w:w="100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B46FBFC" w14:textId="77777777" w:rsidR="000E3D46" w:rsidRDefault="00000000">
            <w:pPr>
              <w:spacing w:before="240"/>
              <w:rPr>
                <w:color w:val="000000" w:themeColor="text1"/>
                <w:lang w:val="en-GB"/>
              </w:rPr>
            </w:pPr>
            <w:r>
              <w:rPr>
                <w:color w:val="000000" w:themeColor="text1"/>
                <w:lang w:val="en-GB"/>
              </w:rPr>
              <w:t>Manufacturing &amp; Supply Management</w:t>
            </w:r>
          </w:p>
        </w:tc>
        <w:tc>
          <w:tcPr>
            <w:tcW w:w="840" w:type="dxa"/>
            <w:tcBorders>
              <w:top w:val="nil"/>
              <w:left w:val="nil"/>
              <w:bottom w:val="single" w:sz="6" w:space="0" w:color="000000"/>
              <w:right w:val="single" w:sz="6" w:space="0" w:color="000000"/>
            </w:tcBorders>
            <w:tcMar>
              <w:top w:w="0" w:type="dxa"/>
              <w:left w:w="100" w:type="dxa"/>
              <w:bottom w:w="0" w:type="dxa"/>
              <w:right w:w="100" w:type="dxa"/>
            </w:tcMar>
          </w:tcPr>
          <w:p w14:paraId="7B46FBFD" w14:textId="77777777" w:rsidR="000E3D46" w:rsidRDefault="00000000">
            <w:pPr>
              <w:spacing w:before="240"/>
              <w:rPr>
                <w:color w:val="000000" w:themeColor="text1"/>
                <w:lang w:val="en-GB"/>
              </w:rPr>
            </w:pPr>
            <w:r>
              <w:rPr>
                <w:color w:val="000000" w:themeColor="text1"/>
                <w:lang w:val="en-GB"/>
              </w:rPr>
              <w:t>A</w:t>
            </w:r>
          </w:p>
        </w:tc>
        <w:tc>
          <w:tcPr>
            <w:tcW w:w="795" w:type="dxa"/>
            <w:tcBorders>
              <w:top w:val="nil"/>
              <w:left w:val="nil"/>
              <w:bottom w:val="single" w:sz="6" w:space="0" w:color="000000"/>
              <w:right w:val="single" w:sz="6" w:space="0" w:color="000000"/>
            </w:tcBorders>
            <w:tcMar>
              <w:top w:w="0" w:type="dxa"/>
              <w:left w:w="100" w:type="dxa"/>
              <w:bottom w:w="0" w:type="dxa"/>
              <w:right w:w="100" w:type="dxa"/>
            </w:tcMar>
          </w:tcPr>
          <w:p w14:paraId="7B46FBFE" w14:textId="77777777" w:rsidR="000E3D46" w:rsidRDefault="00000000">
            <w:pPr>
              <w:spacing w:before="240"/>
              <w:rPr>
                <w:color w:val="000000" w:themeColor="text1"/>
                <w:lang w:val="en-GB"/>
              </w:rPr>
            </w:pPr>
            <w:r>
              <w:rPr>
                <w:color w:val="000000" w:themeColor="text1"/>
                <w:lang w:val="en-GB"/>
              </w:rPr>
              <w:t>I</w:t>
            </w:r>
          </w:p>
        </w:tc>
        <w:tc>
          <w:tcPr>
            <w:tcW w:w="705" w:type="dxa"/>
            <w:tcBorders>
              <w:top w:val="nil"/>
              <w:left w:val="nil"/>
              <w:bottom w:val="single" w:sz="6" w:space="0" w:color="000000"/>
              <w:right w:val="single" w:sz="6" w:space="0" w:color="000000"/>
            </w:tcBorders>
            <w:tcMar>
              <w:top w:w="0" w:type="dxa"/>
              <w:left w:w="100" w:type="dxa"/>
              <w:bottom w:w="0" w:type="dxa"/>
              <w:right w:w="100" w:type="dxa"/>
            </w:tcMar>
          </w:tcPr>
          <w:p w14:paraId="7B46FBFF" w14:textId="77777777" w:rsidR="000E3D46" w:rsidRDefault="00000000">
            <w:pPr>
              <w:spacing w:before="240"/>
              <w:rPr>
                <w:color w:val="000000" w:themeColor="text1"/>
                <w:lang w:val="en-GB"/>
              </w:rPr>
            </w:pPr>
            <w:r>
              <w:rPr>
                <w:color w:val="000000" w:themeColor="text1"/>
                <w:lang w:val="en-GB"/>
              </w:rPr>
              <w:t>C</w:t>
            </w:r>
          </w:p>
        </w:tc>
        <w:tc>
          <w:tcPr>
            <w:tcW w:w="795" w:type="dxa"/>
            <w:tcBorders>
              <w:top w:val="nil"/>
              <w:left w:val="nil"/>
              <w:bottom w:val="single" w:sz="6" w:space="0" w:color="000000"/>
              <w:right w:val="single" w:sz="6" w:space="0" w:color="000000"/>
            </w:tcBorders>
            <w:tcMar>
              <w:top w:w="0" w:type="dxa"/>
              <w:left w:w="100" w:type="dxa"/>
              <w:bottom w:w="0" w:type="dxa"/>
              <w:right w:w="100" w:type="dxa"/>
            </w:tcMar>
          </w:tcPr>
          <w:p w14:paraId="7B46FC00" w14:textId="77777777" w:rsidR="000E3D46" w:rsidRDefault="00000000">
            <w:pPr>
              <w:spacing w:before="240"/>
              <w:rPr>
                <w:color w:val="000000" w:themeColor="text1"/>
                <w:lang w:val="en-GB"/>
              </w:rPr>
            </w:pPr>
            <w:r>
              <w:rPr>
                <w:color w:val="000000" w:themeColor="text1"/>
                <w:lang w:val="en-GB"/>
              </w:rPr>
              <w:t>I</w:t>
            </w:r>
          </w:p>
        </w:tc>
        <w:tc>
          <w:tcPr>
            <w:tcW w:w="675" w:type="dxa"/>
            <w:tcBorders>
              <w:top w:val="nil"/>
              <w:left w:val="nil"/>
              <w:bottom w:val="single" w:sz="6" w:space="0" w:color="000000"/>
              <w:right w:val="single" w:sz="6" w:space="0" w:color="000000"/>
            </w:tcBorders>
            <w:tcMar>
              <w:top w:w="0" w:type="dxa"/>
              <w:left w:w="100" w:type="dxa"/>
              <w:bottom w:w="0" w:type="dxa"/>
              <w:right w:w="100" w:type="dxa"/>
            </w:tcMar>
          </w:tcPr>
          <w:p w14:paraId="7B46FC01" w14:textId="77777777" w:rsidR="000E3D46" w:rsidRDefault="00000000">
            <w:pPr>
              <w:spacing w:before="240"/>
              <w:rPr>
                <w:color w:val="000000" w:themeColor="text1"/>
                <w:lang w:val="en-GB"/>
              </w:rPr>
            </w:pPr>
            <w:r>
              <w:rPr>
                <w:color w:val="000000" w:themeColor="text1"/>
                <w:lang w:val="en-GB"/>
              </w:rPr>
              <w:t>R</w:t>
            </w:r>
          </w:p>
        </w:tc>
        <w:tc>
          <w:tcPr>
            <w:tcW w:w="795" w:type="dxa"/>
            <w:tcBorders>
              <w:top w:val="nil"/>
              <w:left w:val="nil"/>
              <w:bottom w:val="single" w:sz="6" w:space="0" w:color="000000"/>
              <w:right w:val="single" w:sz="6" w:space="0" w:color="000000"/>
            </w:tcBorders>
            <w:tcMar>
              <w:top w:w="0" w:type="dxa"/>
              <w:left w:w="100" w:type="dxa"/>
              <w:bottom w:w="0" w:type="dxa"/>
              <w:right w:w="100" w:type="dxa"/>
            </w:tcMar>
          </w:tcPr>
          <w:p w14:paraId="7B46FC02" w14:textId="77777777" w:rsidR="000E3D46" w:rsidRDefault="00000000">
            <w:pPr>
              <w:spacing w:before="240"/>
              <w:rPr>
                <w:color w:val="000000" w:themeColor="text1"/>
                <w:lang w:val="en-GB"/>
              </w:rPr>
            </w:pPr>
            <w:r>
              <w:rPr>
                <w:color w:val="000000" w:themeColor="text1"/>
                <w:lang w:val="en-GB"/>
              </w:rPr>
              <w:t>I</w:t>
            </w:r>
          </w:p>
        </w:tc>
        <w:tc>
          <w:tcPr>
            <w:tcW w:w="630" w:type="dxa"/>
            <w:tcBorders>
              <w:top w:val="nil"/>
              <w:left w:val="nil"/>
              <w:bottom w:val="single" w:sz="6" w:space="0" w:color="000000"/>
              <w:right w:val="single" w:sz="6" w:space="0" w:color="000000"/>
            </w:tcBorders>
            <w:tcMar>
              <w:top w:w="0" w:type="dxa"/>
              <w:left w:w="100" w:type="dxa"/>
              <w:bottom w:w="0" w:type="dxa"/>
              <w:right w:w="100" w:type="dxa"/>
            </w:tcMar>
          </w:tcPr>
          <w:p w14:paraId="7B46FC03" w14:textId="77777777" w:rsidR="000E3D46" w:rsidRDefault="00000000">
            <w:pPr>
              <w:spacing w:before="240"/>
              <w:rPr>
                <w:color w:val="000000" w:themeColor="text1"/>
                <w:lang w:val="en-GB"/>
              </w:rPr>
            </w:pPr>
            <w:r>
              <w:rPr>
                <w:color w:val="000000" w:themeColor="text1"/>
                <w:lang w:val="en-GB"/>
              </w:rPr>
              <w:t>I</w:t>
            </w:r>
          </w:p>
        </w:tc>
        <w:tc>
          <w:tcPr>
            <w:tcW w:w="720" w:type="dxa"/>
            <w:tcBorders>
              <w:top w:val="nil"/>
              <w:left w:val="nil"/>
              <w:bottom w:val="single" w:sz="6" w:space="0" w:color="000000"/>
              <w:right w:val="single" w:sz="6" w:space="0" w:color="000000"/>
            </w:tcBorders>
            <w:tcMar>
              <w:top w:w="0" w:type="dxa"/>
              <w:left w:w="100" w:type="dxa"/>
              <w:bottom w:w="0" w:type="dxa"/>
              <w:right w:w="100" w:type="dxa"/>
            </w:tcMar>
          </w:tcPr>
          <w:p w14:paraId="7B46FC04" w14:textId="77777777" w:rsidR="000E3D46" w:rsidRDefault="00000000">
            <w:pPr>
              <w:spacing w:before="240"/>
              <w:rPr>
                <w:color w:val="000000" w:themeColor="text1"/>
                <w:lang w:val="en-GB"/>
              </w:rPr>
            </w:pPr>
            <w:r>
              <w:rPr>
                <w:color w:val="000000" w:themeColor="text1"/>
                <w:lang w:val="en-GB"/>
              </w:rPr>
              <w:t>R</w:t>
            </w:r>
          </w:p>
        </w:tc>
        <w:tc>
          <w:tcPr>
            <w:tcW w:w="825" w:type="dxa"/>
            <w:tcBorders>
              <w:top w:val="nil"/>
              <w:left w:val="nil"/>
              <w:bottom w:val="single" w:sz="6" w:space="0" w:color="000000"/>
              <w:right w:val="single" w:sz="6" w:space="0" w:color="000000"/>
            </w:tcBorders>
            <w:tcMar>
              <w:top w:w="0" w:type="dxa"/>
              <w:left w:w="100" w:type="dxa"/>
              <w:bottom w:w="0" w:type="dxa"/>
              <w:right w:w="100" w:type="dxa"/>
            </w:tcMar>
          </w:tcPr>
          <w:p w14:paraId="7B46FC05" w14:textId="77777777" w:rsidR="000E3D46" w:rsidRDefault="00000000">
            <w:pPr>
              <w:spacing w:before="240"/>
              <w:rPr>
                <w:color w:val="000000" w:themeColor="text1"/>
                <w:lang w:val="en-GB"/>
              </w:rPr>
            </w:pPr>
            <w:r>
              <w:rPr>
                <w:color w:val="000000" w:themeColor="text1"/>
                <w:lang w:val="en-GB"/>
              </w:rPr>
              <w:t>I</w:t>
            </w:r>
          </w:p>
        </w:tc>
        <w:tc>
          <w:tcPr>
            <w:tcW w:w="840" w:type="dxa"/>
            <w:tcBorders>
              <w:top w:val="nil"/>
              <w:left w:val="nil"/>
              <w:bottom w:val="single" w:sz="6" w:space="0" w:color="000000"/>
              <w:right w:val="single" w:sz="6" w:space="0" w:color="000000"/>
            </w:tcBorders>
            <w:tcMar>
              <w:top w:w="0" w:type="dxa"/>
              <w:left w:w="100" w:type="dxa"/>
              <w:bottom w:w="0" w:type="dxa"/>
              <w:right w:w="100" w:type="dxa"/>
            </w:tcMar>
          </w:tcPr>
          <w:p w14:paraId="7B46FC06" w14:textId="77777777" w:rsidR="000E3D46" w:rsidRDefault="00000000">
            <w:pPr>
              <w:spacing w:before="240"/>
              <w:rPr>
                <w:color w:val="000000" w:themeColor="text1"/>
                <w:lang w:val="en-GB"/>
              </w:rPr>
            </w:pPr>
            <w:r>
              <w:rPr>
                <w:color w:val="000000" w:themeColor="text1"/>
                <w:lang w:val="en-GB"/>
              </w:rPr>
              <w:t>I</w:t>
            </w:r>
          </w:p>
        </w:tc>
        <w:tc>
          <w:tcPr>
            <w:tcW w:w="720" w:type="dxa"/>
            <w:tcBorders>
              <w:top w:val="nil"/>
              <w:left w:val="nil"/>
              <w:bottom w:val="single" w:sz="6" w:space="0" w:color="000000"/>
              <w:right w:val="single" w:sz="6" w:space="0" w:color="000000"/>
            </w:tcBorders>
            <w:tcMar>
              <w:top w:w="0" w:type="dxa"/>
              <w:left w:w="100" w:type="dxa"/>
              <w:bottom w:w="0" w:type="dxa"/>
              <w:right w:w="100" w:type="dxa"/>
            </w:tcMar>
          </w:tcPr>
          <w:p w14:paraId="7B46FC07" w14:textId="77777777" w:rsidR="000E3D46" w:rsidRDefault="00000000">
            <w:pPr>
              <w:spacing w:before="240"/>
              <w:rPr>
                <w:color w:val="000000" w:themeColor="text1"/>
                <w:lang w:val="en-GB"/>
              </w:rPr>
            </w:pPr>
            <w:r>
              <w:rPr>
                <w:color w:val="000000" w:themeColor="text1"/>
                <w:lang w:val="en-GB"/>
              </w:rPr>
              <w:t>I</w:t>
            </w:r>
          </w:p>
        </w:tc>
      </w:tr>
      <w:tr w:rsidR="000E3D46" w14:paraId="7B46FC15" w14:textId="77777777">
        <w:trPr>
          <w:trHeight w:val="870"/>
          <w:jc w:val="center"/>
        </w:trPr>
        <w:tc>
          <w:tcPr>
            <w:tcW w:w="100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B46FC09" w14:textId="77777777" w:rsidR="000E3D46" w:rsidRDefault="00000000">
            <w:pPr>
              <w:spacing w:before="240"/>
              <w:rPr>
                <w:color w:val="000000" w:themeColor="text1"/>
                <w:lang w:val="en-GB"/>
              </w:rPr>
            </w:pPr>
            <w:r>
              <w:rPr>
                <w:color w:val="000000" w:themeColor="text1"/>
                <w:lang w:val="en-GB"/>
              </w:rPr>
              <w:t>Consumer Feedback &amp; Pilot Testing</w:t>
            </w:r>
          </w:p>
        </w:tc>
        <w:tc>
          <w:tcPr>
            <w:tcW w:w="840" w:type="dxa"/>
            <w:tcBorders>
              <w:top w:val="nil"/>
              <w:left w:val="nil"/>
              <w:bottom w:val="single" w:sz="6" w:space="0" w:color="000000"/>
              <w:right w:val="single" w:sz="6" w:space="0" w:color="000000"/>
            </w:tcBorders>
            <w:tcMar>
              <w:top w:w="0" w:type="dxa"/>
              <w:left w:w="100" w:type="dxa"/>
              <w:bottom w:w="0" w:type="dxa"/>
              <w:right w:w="100" w:type="dxa"/>
            </w:tcMar>
          </w:tcPr>
          <w:p w14:paraId="7B46FC0A" w14:textId="77777777" w:rsidR="000E3D46" w:rsidRDefault="00000000">
            <w:pPr>
              <w:spacing w:before="240"/>
              <w:rPr>
                <w:color w:val="000000" w:themeColor="text1"/>
                <w:lang w:val="en-GB"/>
              </w:rPr>
            </w:pPr>
            <w:r>
              <w:rPr>
                <w:color w:val="000000" w:themeColor="text1"/>
                <w:lang w:val="en-GB"/>
              </w:rPr>
              <w:t>A</w:t>
            </w:r>
          </w:p>
        </w:tc>
        <w:tc>
          <w:tcPr>
            <w:tcW w:w="795" w:type="dxa"/>
            <w:tcBorders>
              <w:top w:val="nil"/>
              <w:left w:val="nil"/>
              <w:bottom w:val="single" w:sz="6" w:space="0" w:color="000000"/>
              <w:right w:val="single" w:sz="6" w:space="0" w:color="000000"/>
            </w:tcBorders>
            <w:tcMar>
              <w:top w:w="0" w:type="dxa"/>
              <w:left w:w="100" w:type="dxa"/>
              <w:bottom w:w="0" w:type="dxa"/>
              <w:right w:w="100" w:type="dxa"/>
            </w:tcMar>
          </w:tcPr>
          <w:p w14:paraId="7B46FC0B" w14:textId="77777777" w:rsidR="000E3D46" w:rsidRDefault="00000000">
            <w:pPr>
              <w:spacing w:before="240"/>
              <w:rPr>
                <w:color w:val="000000" w:themeColor="text1"/>
                <w:lang w:val="en-GB"/>
              </w:rPr>
            </w:pPr>
            <w:r>
              <w:rPr>
                <w:color w:val="000000" w:themeColor="text1"/>
                <w:lang w:val="en-GB"/>
              </w:rPr>
              <w:t>C</w:t>
            </w:r>
          </w:p>
        </w:tc>
        <w:tc>
          <w:tcPr>
            <w:tcW w:w="705" w:type="dxa"/>
            <w:tcBorders>
              <w:top w:val="nil"/>
              <w:left w:val="nil"/>
              <w:bottom w:val="single" w:sz="6" w:space="0" w:color="000000"/>
              <w:right w:val="single" w:sz="6" w:space="0" w:color="000000"/>
            </w:tcBorders>
            <w:tcMar>
              <w:top w:w="0" w:type="dxa"/>
              <w:left w:w="100" w:type="dxa"/>
              <w:bottom w:w="0" w:type="dxa"/>
              <w:right w:w="100" w:type="dxa"/>
            </w:tcMar>
          </w:tcPr>
          <w:p w14:paraId="7B46FC0C" w14:textId="77777777" w:rsidR="000E3D46" w:rsidRDefault="00000000">
            <w:pPr>
              <w:spacing w:before="240"/>
              <w:rPr>
                <w:color w:val="000000" w:themeColor="text1"/>
                <w:lang w:val="en-GB"/>
              </w:rPr>
            </w:pPr>
            <w:r>
              <w:rPr>
                <w:color w:val="000000" w:themeColor="text1"/>
                <w:lang w:val="en-GB"/>
              </w:rPr>
              <w:t>I</w:t>
            </w:r>
          </w:p>
        </w:tc>
        <w:tc>
          <w:tcPr>
            <w:tcW w:w="795" w:type="dxa"/>
            <w:tcBorders>
              <w:top w:val="nil"/>
              <w:left w:val="nil"/>
              <w:bottom w:val="single" w:sz="6" w:space="0" w:color="000000"/>
              <w:right w:val="single" w:sz="6" w:space="0" w:color="000000"/>
            </w:tcBorders>
            <w:tcMar>
              <w:top w:w="0" w:type="dxa"/>
              <w:left w:w="100" w:type="dxa"/>
              <w:bottom w:w="0" w:type="dxa"/>
              <w:right w:w="100" w:type="dxa"/>
            </w:tcMar>
          </w:tcPr>
          <w:p w14:paraId="7B46FC0D" w14:textId="77777777" w:rsidR="000E3D46" w:rsidRDefault="00000000">
            <w:pPr>
              <w:spacing w:before="240"/>
              <w:rPr>
                <w:color w:val="000000" w:themeColor="text1"/>
                <w:lang w:val="en-GB"/>
              </w:rPr>
            </w:pPr>
            <w:r>
              <w:rPr>
                <w:color w:val="000000" w:themeColor="text1"/>
                <w:lang w:val="en-GB"/>
              </w:rPr>
              <w:t>R</w:t>
            </w:r>
          </w:p>
        </w:tc>
        <w:tc>
          <w:tcPr>
            <w:tcW w:w="675" w:type="dxa"/>
            <w:tcBorders>
              <w:top w:val="nil"/>
              <w:left w:val="nil"/>
              <w:bottom w:val="single" w:sz="6" w:space="0" w:color="000000"/>
              <w:right w:val="single" w:sz="6" w:space="0" w:color="000000"/>
            </w:tcBorders>
            <w:tcMar>
              <w:top w:w="0" w:type="dxa"/>
              <w:left w:w="100" w:type="dxa"/>
              <w:bottom w:w="0" w:type="dxa"/>
              <w:right w:w="100" w:type="dxa"/>
            </w:tcMar>
          </w:tcPr>
          <w:p w14:paraId="7B46FC0E" w14:textId="77777777" w:rsidR="000E3D46" w:rsidRDefault="00000000">
            <w:pPr>
              <w:spacing w:before="240"/>
              <w:rPr>
                <w:color w:val="000000" w:themeColor="text1"/>
                <w:lang w:val="en-GB"/>
              </w:rPr>
            </w:pPr>
            <w:r>
              <w:rPr>
                <w:color w:val="000000" w:themeColor="text1"/>
                <w:lang w:val="en-GB"/>
              </w:rPr>
              <w:t>I</w:t>
            </w:r>
          </w:p>
        </w:tc>
        <w:tc>
          <w:tcPr>
            <w:tcW w:w="795" w:type="dxa"/>
            <w:tcBorders>
              <w:top w:val="nil"/>
              <w:left w:val="nil"/>
              <w:bottom w:val="single" w:sz="6" w:space="0" w:color="000000"/>
              <w:right w:val="single" w:sz="6" w:space="0" w:color="000000"/>
            </w:tcBorders>
            <w:tcMar>
              <w:top w:w="0" w:type="dxa"/>
              <w:left w:w="100" w:type="dxa"/>
              <w:bottom w:w="0" w:type="dxa"/>
              <w:right w:w="100" w:type="dxa"/>
            </w:tcMar>
          </w:tcPr>
          <w:p w14:paraId="7B46FC0F" w14:textId="77777777" w:rsidR="000E3D46" w:rsidRDefault="00000000">
            <w:pPr>
              <w:spacing w:before="240"/>
              <w:rPr>
                <w:color w:val="000000" w:themeColor="text1"/>
                <w:lang w:val="en-GB"/>
              </w:rPr>
            </w:pPr>
            <w:r>
              <w:rPr>
                <w:color w:val="000000" w:themeColor="text1"/>
                <w:lang w:val="en-GB"/>
              </w:rPr>
              <w:t>C</w:t>
            </w:r>
          </w:p>
        </w:tc>
        <w:tc>
          <w:tcPr>
            <w:tcW w:w="630" w:type="dxa"/>
            <w:tcBorders>
              <w:top w:val="nil"/>
              <w:left w:val="nil"/>
              <w:bottom w:val="single" w:sz="6" w:space="0" w:color="000000"/>
              <w:right w:val="single" w:sz="6" w:space="0" w:color="000000"/>
            </w:tcBorders>
            <w:tcMar>
              <w:top w:w="0" w:type="dxa"/>
              <w:left w:w="100" w:type="dxa"/>
              <w:bottom w:w="0" w:type="dxa"/>
              <w:right w:w="100" w:type="dxa"/>
            </w:tcMar>
          </w:tcPr>
          <w:p w14:paraId="7B46FC10" w14:textId="77777777" w:rsidR="000E3D46" w:rsidRDefault="00000000">
            <w:pPr>
              <w:spacing w:before="240"/>
              <w:rPr>
                <w:color w:val="000000" w:themeColor="text1"/>
                <w:lang w:val="en-GB"/>
              </w:rPr>
            </w:pPr>
            <w:r>
              <w:rPr>
                <w:color w:val="000000" w:themeColor="text1"/>
                <w:lang w:val="en-GB"/>
              </w:rPr>
              <w:t>C</w:t>
            </w:r>
          </w:p>
        </w:tc>
        <w:tc>
          <w:tcPr>
            <w:tcW w:w="720" w:type="dxa"/>
            <w:tcBorders>
              <w:top w:val="nil"/>
              <w:left w:val="nil"/>
              <w:bottom w:val="single" w:sz="6" w:space="0" w:color="000000"/>
              <w:right w:val="single" w:sz="6" w:space="0" w:color="000000"/>
            </w:tcBorders>
            <w:tcMar>
              <w:top w:w="0" w:type="dxa"/>
              <w:left w:w="100" w:type="dxa"/>
              <w:bottom w:w="0" w:type="dxa"/>
              <w:right w:w="100" w:type="dxa"/>
            </w:tcMar>
          </w:tcPr>
          <w:p w14:paraId="7B46FC11" w14:textId="77777777" w:rsidR="000E3D46" w:rsidRDefault="00000000">
            <w:pPr>
              <w:spacing w:before="240"/>
              <w:rPr>
                <w:color w:val="000000" w:themeColor="text1"/>
                <w:lang w:val="en-GB"/>
              </w:rPr>
            </w:pPr>
            <w:r>
              <w:rPr>
                <w:color w:val="000000" w:themeColor="text1"/>
                <w:lang w:val="en-GB"/>
              </w:rPr>
              <w:t>I</w:t>
            </w:r>
          </w:p>
        </w:tc>
        <w:tc>
          <w:tcPr>
            <w:tcW w:w="825" w:type="dxa"/>
            <w:tcBorders>
              <w:top w:val="nil"/>
              <w:left w:val="nil"/>
              <w:bottom w:val="single" w:sz="6" w:space="0" w:color="000000"/>
              <w:right w:val="single" w:sz="6" w:space="0" w:color="000000"/>
            </w:tcBorders>
            <w:tcMar>
              <w:top w:w="0" w:type="dxa"/>
              <w:left w:w="100" w:type="dxa"/>
              <w:bottom w:w="0" w:type="dxa"/>
              <w:right w:w="100" w:type="dxa"/>
            </w:tcMar>
          </w:tcPr>
          <w:p w14:paraId="7B46FC12" w14:textId="77777777" w:rsidR="000E3D46" w:rsidRDefault="00000000">
            <w:pPr>
              <w:spacing w:before="240"/>
              <w:rPr>
                <w:color w:val="000000" w:themeColor="text1"/>
                <w:lang w:val="en-GB"/>
              </w:rPr>
            </w:pPr>
            <w:r>
              <w:rPr>
                <w:color w:val="000000" w:themeColor="text1"/>
                <w:lang w:val="en-GB"/>
              </w:rPr>
              <w:t>C</w:t>
            </w:r>
          </w:p>
        </w:tc>
        <w:tc>
          <w:tcPr>
            <w:tcW w:w="840" w:type="dxa"/>
            <w:tcBorders>
              <w:top w:val="nil"/>
              <w:left w:val="nil"/>
              <w:bottom w:val="single" w:sz="6" w:space="0" w:color="000000"/>
              <w:right w:val="single" w:sz="6" w:space="0" w:color="000000"/>
            </w:tcBorders>
            <w:tcMar>
              <w:top w:w="0" w:type="dxa"/>
              <w:left w:w="100" w:type="dxa"/>
              <w:bottom w:w="0" w:type="dxa"/>
              <w:right w:w="100" w:type="dxa"/>
            </w:tcMar>
          </w:tcPr>
          <w:p w14:paraId="7B46FC13" w14:textId="77777777" w:rsidR="000E3D46" w:rsidRDefault="00000000">
            <w:pPr>
              <w:spacing w:before="240"/>
              <w:rPr>
                <w:color w:val="000000" w:themeColor="text1"/>
                <w:lang w:val="en-GB"/>
              </w:rPr>
            </w:pPr>
            <w:r>
              <w:rPr>
                <w:color w:val="000000" w:themeColor="text1"/>
                <w:lang w:val="en-GB"/>
              </w:rPr>
              <w:t>R</w:t>
            </w:r>
          </w:p>
        </w:tc>
        <w:tc>
          <w:tcPr>
            <w:tcW w:w="720" w:type="dxa"/>
            <w:tcBorders>
              <w:top w:val="nil"/>
              <w:left w:val="nil"/>
              <w:bottom w:val="single" w:sz="6" w:space="0" w:color="000000"/>
              <w:right w:val="single" w:sz="6" w:space="0" w:color="000000"/>
            </w:tcBorders>
            <w:tcMar>
              <w:top w:w="0" w:type="dxa"/>
              <w:left w:w="100" w:type="dxa"/>
              <w:bottom w:w="0" w:type="dxa"/>
              <w:right w:w="100" w:type="dxa"/>
            </w:tcMar>
          </w:tcPr>
          <w:p w14:paraId="7B46FC14" w14:textId="77777777" w:rsidR="000E3D46" w:rsidRDefault="00000000">
            <w:pPr>
              <w:spacing w:before="240"/>
              <w:rPr>
                <w:color w:val="000000" w:themeColor="text1"/>
                <w:lang w:val="en-GB"/>
              </w:rPr>
            </w:pPr>
            <w:r>
              <w:rPr>
                <w:color w:val="000000" w:themeColor="text1"/>
                <w:lang w:val="en-GB"/>
              </w:rPr>
              <w:t>I</w:t>
            </w:r>
          </w:p>
        </w:tc>
      </w:tr>
    </w:tbl>
    <w:p w14:paraId="7B46FC16" w14:textId="77777777" w:rsidR="000E3D46" w:rsidRDefault="00000000">
      <w:pPr>
        <w:ind w:right="140"/>
        <w:jc w:val="center"/>
        <w:rPr>
          <w:b/>
          <w:color w:val="000000" w:themeColor="text1"/>
          <w:lang w:val="en-GB"/>
        </w:rPr>
      </w:pPr>
      <w:r>
        <w:rPr>
          <w:b/>
          <w:color w:val="000000" w:themeColor="text1"/>
          <w:lang w:val="en-GB"/>
        </w:rPr>
        <w:t>Table 1: RACI matrix</w:t>
      </w:r>
    </w:p>
    <w:p w14:paraId="7B46FC17" w14:textId="77777777" w:rsidR="000E3D46" w:rsidRDefault="00000000">
      <w:pPr>
        <w:pStyle w:val="Heading2"/>
        <w:rPr>
          <w:color w:val="000000" w:themeColor="text1"/>
          <w:lang w:val="en-GB"/>
        </w:rPr>
      </w:pPr>
      <w:bookmarkStart w:id="8" w:name="_Toc209869243"/>
      <w:r>
        <w:rPr>
          <w:color w:val="000000" w:themeColor="text1"/>
          <w:lang w:val="en-GB"/>
        </w:rPr>
        <w:t>Internal Stakeholders</w:t>
      </w:r>
      <w:bookmarkEnd w:id="8"/>
    </w:p>
    <w:p w14:paraId="7B46FC18" w14:textId="77777777" w:rsidR="000E3D46" w:rsidRDefault="00000000">
      <w:pPr>
        <w:rPr>
          <w:color w:val="000000" w:themeColor="text1"/>
          <w:lang w:val="en-GB"/>
        </w:rPr>
      </w:pPr>
      <w:r>
        <w:rPr>
          <w:b/>
          <w:i/>
          <w:color w:val="000000" w:themeColor="text1"/>
          <w:lang w:val="en-GB"/>
        </w:rPr>
        <w:t>Executive leadership or Board Members:</w:t>
      </w:r>
      <w:r>
        <w:rPr>
          <w:color w:val="000000" w:themeColor="text1"/>
          <w:lang w:val="en-GB"/>
        </w:rPr>
        <w:t xml:space="preserve"> The leadership and Board structure of Renishaw currently include 2 executive directors, 5 independent non-executive directors, and 3 non-</w:t>
      </w:r>
      <w:r>
        <w:rPr>
          <w:color w:val="000000" w:themeColor="text1"/>
          <w:lang w:val="en-GB"/>
        </w:rPr>
        <w:lastRenderedPageBreak/>
        <w:t xml:space="preserve">executive directors (Renishaw plc, 2025b). This group will set the strategic priorities, approve go-to-market timings and budget, while providing governance as well as compliance oversight. </w:t>
      </w:r>
    </w:p>
    <w:p w14:paraId="7B46FC19" w14:textId="77777777" w:rsidR="000E3D46" w:rsidRDefault="00000000">
      <w:pPr>
        <w:jc w:val="center"/>
        <w:rPr>
          <w:color w:val="000000" w:themeColor="text1"/>
          <w:lang w:val="en-GB"/>
        </w:rPr>
      </w:pPr>
      <w:r>
        <w:rPr>
          <w:noProof/>
          <w:color w:val="000000" w:themeColor="text1"/>
          <w:lang w:val="en-GB"/>
        </w:rPr>
        <w:drawing>
          <wp:inline distT="0" distB="0" distL="0" distR="0" wp14:anchorId="7B46FDA3" wp14:editId="7B46FDA4">
            <wp:extent cx="5731510" cy="2004060"/>
            <wp:effectExtent l="0" t="0" r="0" b="0"/>
            <wp:docPr id="1470915226" name="image4.png"/>
            <wp:cNvGraphicFramePr/>
            <a:graphic xmlns:a="http://schemas.openxmlformats.org/drawingml/2006/main">
              <a:graphicData uri="http://schemas.openxmlformats.org/drawingml/2006/picture">
                <pic:pic xmlns:pic="http://schemas.openxmlformats.org/drawingml/2006/picture">
                  <pic:nvPicPr>
                    <pic:cNvPr id="1470915226" name="image4.png"/>
                    <pic:cNvPicPr preferRelativeResize="0"/>
                  </pic:nvPicPr>
                  <pic:blipFill>
                    <a:blip r:embed="rId10"/>
                    <a:srcRect/>
                    <a:stretch>
                      <a:fillRect/>
                    </a:stretch>
                  </pic:blipFill>
                  <pic:spPr>
                    <a:xfrm>
                      <a:off x="0" y="0"/>
                      <a:ext cx="5731510" cy="2004060"/>
                    </a:xfrm>
                    <a:prstGeom prst="rect">
                      <a:avLst/>
                    </a:prstGeom>
                  </pic:spPr>
                </pic:pic>
              </a:graphicData>
            </a:graphic>
          </wp:inline>
        </w:drawing>
      </w:r>
    </w:p>
    <w:p w14:paraId="7B46FC1A" w14:textId="77777777" w:rsidR="000E3D46" w:rsidRDefault="00000000">
      <w:pPr>
        <w:jc w:val="center"/>
        <w:rPr>
          <w:b/>
          <w:color w:val="000000" w:themeColor="text1"/>
          <w:lang w:val="en-GB"/>
        </w:rPr>
      </w:pPr>
      <w:r>
        <w:rPr>
          <w:b/>
          <w:color w:val="000000" w:themeColor="text1"/>
          <w:lang w:val="en-GB"/>
        </w:rPr>
        <w:t>Figure 2: Some Key Figures from the Executive Board</w:t>
      </w:r>
    </w:p>
    <w:p w14:paraId="7B46FC1B" w14:textId="77777777" w:rsidR="000E3D46" w:rsidRDefault="00000000">
      <w:pPr>
        <w:jc w:val="center"/>
        <w:rPr>
          <w:color w:val="000000" w:themeColor="text1"/>
          <w:lang w:val="en-GB"/>
        </w:rPr>
      </w:pPr>
      <w:r>
        <w:rPr>
          <w:color w:val="000000" w:themeColor="text1"/>
          <w:lang w:val="en-GB"/>
        </w:rPr>
        <w:t>(Source: Renishaw plc, 2025b)</w:t>
      </w:r>
    </w:p>
    <w:p w14:paraId="7B46FC1C" w14:textId="7232A239" w:rsidR="000E3D46" w:rsidRDefault="00000000">
      <w:pPr>
        <w:rPr>
          <w:color w:val="000000" w:themeColor="text1"/>
          <w:lang w:val="en-GB"/>
        </w:rPr>
      </w:pPr>
      <w:r>
        <w:rPr>
          <w:b/>
          <w:i/>
          <w:color w:val="000000" w:themeColor="text1"/>
          <w:lang w:val="en-GB"/>
        </w:rPr>
        <w:t>Product development or R&amp;D Teams:</w:t>
      </w:r>
      <w:r>
        <w:rPr>
          <w:color w:val="000000" w:themeColor="text1"/>
          <w:lang w:val="en-GB"/>
        </w:rPr>
        <w:t xml:space="preserve"> This group is focused on designing, prototyping, and verifying the </w:t>
      </w:r>
      <w:r w:rsidR="006420BE">
        <w:rPr>
          <w:color w:val="000000" w:themeColor="text1"/>
          <w:lang w:val="en-GB"/>
        </w:rPr>
        <w:t>smart watch</w:t>
      </w:r>
      <w:r>
        <w:rPr>
          <w:color w:val="000000" w:themeColor="text1"/>
          <w:lang w:val="en-GB"/>
        </w:rPr>
        <w:t xml:space="preserve"> sensors, mechanical assemblies, and algorithms. They will also run the pre-clinical testing and iterate on designs.</w:t>
      </w:r>
    </w:p>
    <w:p w14:paraId="7B46FC1D" w14:textId="77777777" w:rsidR="000E3D46" w:rsidRDefault="00000000">
      <w:pPr>
        <w:rPr>
          <w:color w:val="000000" w:themeColor="text1"/>
          <w:lang w:val="en-GB"/>
        </w:rPr>
      </w:pPr>
      <w:r>
        <w:rPr>
          <w:b/>
          <w:i/>
          <w:color w:val="000000" w:themeColor="text1"/>
          <w:lang w:val="en-GB"/>
        </w:rPr>
        <w:t>Regulatory and Quality Assurance:</w:t>
      </w:r>
      <w:r>
        <w:rPr>
          <w:color w:val="000000" w:themeColor="text1"/>
          <w:lang w:val="en-GB"/>
        </w:rPr>
        <w:t xml:space="preserve"> The healthcare divisions of Renishaw maintain stringent certificates and quality systems (Renishaw plc, 2025a). This stakeholder group ensures that the newly produced device fulfils the regulations of UK medical devices, manages device registration approaches in compliance with MHRA, intense clinical evaluation, post-market surveillance plans, and risk management. </w:t>
      </w:r>
    </w:p>
    <w:p w14:paraId="7B46FC1E" w14:textId="77777777" w:rsidR="000E3D46" w:rsidRDefault="00000000">
      <w:pPr>
        <w:rPr>
          <w:color w:val="000000" w:themeColor="text1"/>
          <w:lang w:val="en-GB"/>
        </w:rPr>
      </w:pPr>
      <w:r>
        <w:rPr>
          <w:b/>
          <w:i/>
          <w:color w:val="000000" w:themeColor="text1"/>
          <w:lang w:val="en-GB"/>
        </w:rPr>
        <w:t>Software and Data Teams:</w:t>
      </w:r>
      <w:r>
        <w:rPr>
          <w:color w:val="000000" w:themeColor="text1"/>
          <w:lang w:val="en-GB"/>
        </w:rPr>
        <w:t xml:space="preserve"> This team would concentrate on the development of signal-processing, SpO₂ and sleep algorithms, user apps, and secure data storage. This group will also keep their focus on ensuring data privacy and cybersecurity. </w:t>
      </w:r>
    </w:p>
    <w:p w14:paraId="7B46FC1F" w14:textId="77777777" w:rsidR="000E3D46" w:rsidRDefault="00000000">
      <w:pPr>
        <w:rPr>
          <w:color w:val="000000" w:themeColor="text1"/>
          <w:lang w:val="en-GB"/>
        </w:rPr>
      </w:pPr>
      <w:r>
        <w:rPr>
          <w:b/>
          <w:i/>
          <w:color w:val="000000" w:themeColor="text1"/>
          <w:lang w:val="en-GB"/>
        </w:rPr>
        <w:t>Manufacturing and Supply Chain:</w:t>
      </w:r>
      <w:r>
        <w:rPr>
          <w:color w:val="000000" w:themeColor="text1"/>
          <w:lang w:val="en-GB"/>
        </w:rPr>
        <w:t xml:space="preserve"> The emphasis of this group will be on scaling production, sourcing sensor components, managing the supply chain and suppliers. The manufacturers of Renishaw span in Europe, the UK, and India (Renishaw plc, 2025c). The move of this organisation into healthcare and digital solutions needs robust software practices. </w:t>
      </w:r>
    </w:p>
    <w:p w14:paraId="7B46FC20" w14:textId="77777777" w:rsidR="000E3D46" w:rsidRDefault="00000000">
      <w:pPr>
        <w:jc w:val="center"/>
        <w:rPr>
          <w:color w:val="000000" w:themeColor="text1"/>
          <w:lang w:val="en-GB"/>
        </w:rPr>
      </w:pPr>
      <w:r>
        <w:rPr>
          <w:noProof/>
          <w:color w:val="000000" w:themeColor="text1"/>
          <w:lang w:val="en-GB"/>
        </w:rPr>
        <w:lastRenderedPageBreak/>
        <w:drawing>
          <wp:inline distT="0" distB="0" distL="0" distR="0" wp14:anchorId="7B46FDA5" wp14:editId="7B46FDA6">
            <wp:extent cx="5731510" cy="2794000"/>
            <wp:effectExtent l="0" t="0" r="0" b="0"/>
            <wp:docPr id="1470915225" name="image2.png"/>
            <wp:cNvGraphicFramePr/>
            <a:graphic xmlns:a="http://schemas.openxmlformats.org/drawingml/2006/main">
              <a:graphicData uri="http://schemas.openxmlformats.org/drawingml/2006/picture">
                <pic:pic xmlns:pic="http://schemas.openxmlformats.org/drawingml/2006/picture">
                  <pic:nvPicPr>
                    <pic:cNvPr id="1470915225" name="image2.png"/>
                    <pic:cNvPicPr preferRelativeResize="0"/>
                  </pic:nvPicPr>
                  <pic:blipFill>
                    <a:blip r:embed="rId11"/>
                    <a:srcRect/>
                    <a:stretch>
                      <a:fillRect/>
                    </a:stretch>
                  </pic:blipFill>
                  <pic:spPr>
                    <a:xfrm>
                      <a:off x="0" y="0"/>
                      <a:ext cx="5731510" cy="2794000"/>
                    </a:xfrm>
                    <a:prstGeom prst="rect">
                      <a:avLst/>
                    </a:prstGeom>
                  </pic:spPr>
                </pic:pic>
              </a:graphicData>
            </a:graphic>
          </wp:inline>
        </w:drawing>
      </w:r>
    </w:p>
    <w:p w14:paraId="7B46FC21" w14:textId="77777777" w:rsidR="000E3D46" w:rsidRDefault="00000000">
      <w:pPr>
        <w:jc w:val="center"/>
        <w:rPr>
          <w:b/>
          <w:color w:val="000000" w:themeColor="text1"/>
          <w:lang w:val="en-GB"/>
        </w:rPr>
      </w:pPr>
      <w:r>
        <w:rPr>
          <w:b/>
          <w:color w:val="000000" w:themeColor="text1"/>
          <w:lang w:val="en-GB"/>
        </w:rPr>
        <w:t>Figure 3: Global Presence of Renishaw</w:t>
      </w:r>
    </w:p>
    <w:p w14:paraId="7B46FC22" w14:textId="77777777" w:rsidR="000E3D46" w:rsidRDefault="00000000">
      <w:pPr>
        <w:jc w:val="center"/>
        <w:rPr>
          <w:color w:val="000000" w:themeColor="text1"/>
          <w:lang w:val="en-GB"/>
        </w:rPr>
      </w:pPr>
      <w:r>
        <w:rPr>
          <w:color w:val="000000" w:themeColor="text1"/>
          <w:lang w:val="en-GB"/>
        </w:rPr>
        <w:t>(Source: Renishaw plc, 2025c)</w:t>
      </w:r>
    </w:p>
    <w:p w14:paraId="7B46FC23" w14:textId="77777777" w:rsidR="000E3D46" w:rsidRDefault="00000000">
      <w:pPr>
        <w:rPr>
          <w:color w:val="000000" w:themeColor="text1"/>
          <w:lang w:val="en-GB"/>
        </w:rPr>
      </w:pPr>
      <w:r>
        <w:rPr>
          <w:b/>
          <w:i/>
          <w:color w:val="000000" w:themeColor="text1"/>
          <w:lang w:val="en-GB"/>
        </w:rPr>
        <w:t>Marketing, Sales, and Commercial:</w:t>
      </w:r>
      <w:r>
        <w:rPr>
          <w:color w:val="000000" w:themeColor="text1"/>
          <w:lang w:val="en-GB"/>
        </w:rPr>
        <w:t xml:space="preserve"> These stakeholders focus on pricing, market positioning, distribution channels, and launch the campaigns to clinical partners and consumers. The global sales network of Renishaw would provide support to the customer rollout. </w:t>
      </w:r>
    </w:p>
    <w:p w14:paraId="7B46FC24" w14:textId="77777777" w:rsidR="000E3D46" w:rsidRDefault="00000000">
      <w:pPr>
        <w:rPr>
          <w:color w:val="000000" w:themeColor="text1"/>
          <w:lang w:val="en-GB"/>
        </w:rPr>
      </w:pPr>
      <w:r>
        <w:rPr>
          <w:b/>
          <w:i/>
          <w:color w:val="000000" w:themeColor="text1"/>
          <w:lang w:val="en-GB"/>
        </w:rPr>
        <w:t>Clinical Affairs or Medical Advisors:</w:t>
      </w:r>
      <w:r>
        <w:rPr>
          <w:color w:val="000000" w:themeColor="text1"/>
          <w:lang w:val="en-GB"/>
        </w:rPr>
        <w:t xml:space="preserve"> Clinicians who give advice on clinical validity, trial design, and user needs are crucial internal stakeholders (Renishaw plc, 2025d). The healthcare product teams of Renishaw typically involve clinicians. </w:t>
      </w:r>
    </w:p>
    <w:p w14:paraId="7B46FC25" w14:textId="77777777" w:rsidR="000E3D46" w:rsidRDefault="00000000">
      <w:pPr>
        <w:pStyle w:val="Heading2"/>
        <w:rPr>
          <w:color w:val="000000" w:themeColor="text1"/>
          <w:lang w:val="en-GB"/>
        </w:rPr>
      </w:pPr>
      <w:bookmarkStart w:id="9" w:name="_Toc209869244"/>
      <w:r>
        <w:rPr>
          <w:color w:val="000000" w:themeColor="text1"/>
          <w:lang w:val="en-GB"/>
        </w:rPr>
        <w:t>External Stakeholders</w:t>
      </w:r>
      <w:bookmarkEnd w:id="9"/>
    </w:p>
    <w:p w14:paraId="7B46FC26" w14:textId="77777777" w:rsidR="000E3D46" w:rsidRDefault="00000000">
      <w:pPr>
        <w:rPr>
          <w:color w:val="000000" w:themeColor="text1"/>
          <w:lang w:val="en-GB"/>
        </w:rPr>
      </w:pPr>
      <w:r>
        <w:rPr>
          <w:color w:val="000000" w:themeColor="text1"/>
          <w:lang w:val="en-GB"/>
        </w:rPr>
        <w:t xml:space="preserve">Regulatory and Approved Bodies: MHRA oversight for the conformity assessment, post-market surveillance, and registration is necessary. The requirements of the UKCA must be met by Renishaw before sale in Great Britain (UK Government, 2025). </w:t>
      </w:r>
    </w:p>
    <w:p w14:paraId="7B46FC27" w14:textId="77777777" w:rsidR="000E3D46" w:rsidRDefault="00000000">
      <w:pPr>
        <w:rPr>
          <w:color w:val="000000" w:themeColor="text1"/>
          <w:lang w:val="en-GB"/>
        </w:rPr>
      </w:pPr>
      <w:r>
        <w:rPr>
          <w:b/>
          <w:i/>
          <w:color w:val="000000" w:themeColor="text1"/>
          <w:lang w:val="en-GB"/>
        </w:rPr>
        <w:t>Suppliers and Contract Manufacturers:</w:t>
      </w:r>
      <w:r>
        <w:rPr>
          <w:color w:val="000000" w:themeColor="text1"/>
          <w:lang w:val="en-GB"/>
        </w:rPr>
        <w:t xml:space="preserve"> This group includes PCB assemblers, sensor vendors, textile or strap manufacturers, and contract manufacturers. The global manufacturing footprint and supplier base are necessary to scale. </w:t>
      </w:r>
    </w:p>
    <w:p w14:paraId="7B46FC28" w14:textId="77777777" w:rsidR="000E3D46" w:rsidRDefault="00000000">
      <w:pPr>
        <w:rPr>
          <w:color w:val="000000" w:themeColor="text1"/>
          <w:lang w:val="en-GB"/>
        </w:rPr>
      </w:pPr>
      <w:r>
        <w:rPr>
          <w:b/>
          <w:i/>
          <w:color w:val="000000" w:themeColor="text1"/>
          <w:lang w:val="en-GB"/>
        </w:rPr>
        <w:t>Healthcare Providers or NHS Trust and Clinicians:</w:t>
      </w:r>
      <w:r>
        <w:rPr>
          <w:color w:val="000000" w:themeColor="text1"/>
          <w:lang w:val="en-GB"/>
        </w:rPr>
        <w:t xml:space="preserve"> They are potential clinical partners for pilots, validations, and later procurement. </w:t>
      </w:r>
    </w:p>
    <w:p w14:paraId="7B46FC29" w14:textId="77777777" w:rsidR="000E3D46" w:rsidRDefault="00000000">
      <w:pPr>
        <w:rPr>
          <w:color w:val="000000" w:themeColor="text1"/>
          <w:lang w:val="en-GB"/>
        </w:rPr>
      </w:pPr>
      <w:r>
        <w:rPr>
          <w:b/>
          <w:i/>
          <w:color w:val="000000" w:themeColor="text1"/>
          <w:lang w:val="en-GB"/>
        </w:rPr>
        <w:t>Distributors and Retail Partners:</w:t>
      </w:r>
      <w:r>
        <w:rPr>
          <w:color w:val="000000" w:themeColor="text1"/>
          <w:lang w:val="en-GB"/>
        </w:rPr>
        <w:t xml:space="preserve"> Includes e-commerce platforms, consumer retail channels, and medical device distributors. </w:t>
      </w:r>
    </w:p>
    <w:p w14:paraId="7B46FC2A" w14:textId="77777777" w:rsidR="000E3D46" w:rsidRDefault="00000000">
      <w:pPr>
        <w:rPr>
          <w:color w:val="000000" w:themeColor="text1"/>
          <w:lang w:val="en-GB"/>
        </w:rPr>
      </w:pPr>
      <w:r>
        <w:rPr>
          <w:b/>
          <w:i/>
          <w:color w:val="000000" w:themeColor="text1"/>
          <w:lang w:val="en-GB"/>
        </w:rPr>
        <w:lastRenderedPageBreak/>
        <w:t>End Users or Patients or Consumer Groups:</w:t>
      </w:r>
      <w:r>
        <w:rPr>
          <w:color w:val="000000" w:themeColor="text1"/>
          <w:lang w:val="en-GB"/>
        </w:rPr>
        <w:t xml:space="preserve"> This involves device adopters whose product acceptance, usability feedback and consent of data shape product success</w:t>
      </w:r>
    </w:p>
    <w:p w14:paraId="7B46FC2B" w14:textId="77777777" w:rsidR="000E3D46" w:rsidRDefault="00000000">
      <w:pPr>
        <w:rPr>
          <w:color w:val="000000" w:themeColor="text1"/>
          <w:lang w:val="en-GB"/>
        </w:rPr>
      </w:pPr>
      <w:r>
        <w:rPr>
          <w:b/>
          <w:i/>
          <w:color w:val="000000" w:themeColor="text1"/>
          <w:lang w:val="en-GB"/>
        </w:rPr>
        <w:t>Investors and Shareholders:</w:t>
      </w:r>
      <w:r>
        <w:rPr>
          <w:color w:val="000000" w:themeColor="text1"/>
          <w:lang w:val="en-GB"/>
        </w:rPr>
        <w:t xml:space="preserve"> They are interested in commercial viability, ESG compliance, and revenue impact. </w:t>
      </w:r>
    </w:p>
    <w:p w14:paraId="7B46FC2C" w14:textId="77777777" w:rsidR="000E3D46" w:rsidRDefault="00000000">
      <w:pPr>
        <w:pStyle w:val="Heading2"/>
        <w:rPr>
          <w:color w:val="000000" w:themeColor="text1"/>
          <w:lang w:val="en-GB"/>
        </w:rPr>
      </w:pPr>
      <w:bookmarkStart w:id="10" w:name="_Toc209869245"/>
      <w:r>
        <w:rPr>
          <w:color w:val="000000" w:themeColor="text1"/>
          <w:lang w:val="en-GB"/>
        </w:rPr>
        <w:t>Stakeholder Mapping</w:t>
      </w:r>
      <w:bookmarkEnd w:id="10"/>
    </w:p>
    <w:p w14:paraId="7B46FC2D" w14:textId="77777777" w:rsidR="000E3D46" w:rsidRDefault="00000000">
      <w:pPr>
        <w:rPr>
          <w:color w:val="000000" w:themeColor="text1"/>
          <w:lang w:val="en-GB"/>
        </w:rPr>
      </w:pPr>
      <w:r>
        <w:rPr>
          <w:noProof/>
          <w:color w:val="000000" w:themeColor="text1"/>
          <w:lang w:val="en-GB"/>
        </w:rPr>
        <w:drawing>
          <wp:inline distT="0" distB="0" distL="0" distR="0" wp14:anchorId="7B46FDA7" wp14:editId="7B46FDA8">
            <wp:extent cx="5890260" cy="4975860"/>
            <wp:effectExtent l="0" t="0" r="0" b="0"/>
            <wp:docPr id="1470915227" name="image1.png"/>
            <wp:cNvGraphicFramePr/>
            <a:graphic xmlns:a="http://schemas.openxmlformats.org/drawingml/2006/main">
              <a:graphicData uri="http://schemas.openxmlformats.org/drawingml/2006/picture">
                <pic:pic xmlns:pic="http://schemas.openxmlformats.org/drawingml/2006/picture">
                  <pic:nvPicPr>
                    <pic:cNvPr id="1470915227" name="image1.png"/>
                    <pic:cNvPicPr preferRelativeResize="0"/>
                  </pic:nvPicPr>
                  <pic:blipFill>
                    <a:blip r:embed="rId12"/>
                    <a:srcRect/>
                    <a:stretch>
                      <a:fillRect/>
                    </a:stretch>
                  </pic:blipFill>
                  <pic:spPr>
                    <a:xfrm>
                      <a:off x="0" y="0"/>
                      <a:ext cx="5890770" cy="4976291"/>
                    </a:xfrm>
                    <a:prstGeom prst="rect">
                      <a:avLst/>
                    </a:prstGeom>
                  </pic:spPr>
                </pic:pic>
              </a:graphicData>
            </a:graphic>
          </wp:inline>
        </w:drawing>
      </w:r>
    </w:p>
    <w:p w14:paraId="7B46FC2E" w14:textId="77777777" w:rsidR="000E3D46" w:rsidRDefault="00000000">
      <w:pPr>
        <w:jc w:val="center"/>
        <w:rPr>
          <w:b/>
          <w:color w:val="000000" w:themeColor="text1"/>
          <w:lang w:val="en-GB"/>
        </w:rPr>
      </w:pPr>
      <w:r>
        <w:rPr>
          <w:b/>
          <w:color w:val="000000" w:themeColor="text1"/>
          <w:lang w:val="en-GB"/>
        </w:rPr>
        <w:t>Figure 4: Stakeholder Mapping</w:t>
      </w:r>
    </w:p>
    <w:p w14:paraId="7B46FC2F" w14:textId="77777777" w:rsidR="000E3D46" w:rsidRDefault="00000000">
      <w:pPr>
        <w:jc w:val="center"/>
        <w:rPr>
          <w:color w:val="000000" w:themeColor="text1"/>
          <w:lang w:val="en-GB"/>
        </w:rPr>
      </w:pPr>
      <w:r>
        <w:rPr>
          <w:color w:val="000000" w:themeColor="text1"/>
          <w:lang w:val="en-GB"/>
        </w:rPr>
        <w:t>(Source: Self-created)</w:t>
      </w:r>
    </w:p>
    <w:p w14:paraId="7B46FC30" w14:textId="77777777" w:rsidR="000E3D46" w:rsidRDefault="000E3D46">
      <w:pPr>
        <w:rPr>
          <w:color w:val="000000" w:themeColor="text1"/>
          <w:lang w:val="en-GB"/>
        </w:rPr>
      </w:pPr>
    </w:p>
    <w:p w14:paraId="7B46FC31" w14:textId="77777777" w:rsidR="000E3D46" w:rsidRDefault="00000000">
      <w:pPr>
        <w:pStyle w:val="Heading2"/>
        <w:rPr>
          <w:color w:val="000000" w:themeColor="text1"/>
          <w:lang w:val="en-GB"/>
        </w:rPr>
      </w:pPr>
      <w:bookmarkStart w:id="11" w:name="_Toc209869246"/>
      <w:r>
        <w:rPr>
          <w:color w:val="000000" w:themeColor="text1"/>
          <w:lang w:val="en-GB"/>
        </w:rPr>
        <w:lastRenderedPageBreak/>
        <w:t>Power-Interest Matrix</w:t>
      </w:r>
      <w:bookmarkEnd w:id="11"/>
    </w:p>
    <w:tbl>
      <w:tblPr>
        <w:tblStyle w:val="Style41"/>
        <w:tblW w:w="93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755"/>
        <w:gridCol w:w="869"/>
        <w:gridCol w:w="1012"/>
        <w:gridCol w:w="1676"/>
      </w:tblGrid>
      <w:tr w:rsidR="000E3D46" w14:paraId="7B46FC36" w14:textId="77777777">
        <w:tc>
          <w:tcPr>
            <w:tcW w:w="5755" w:type="dxa"/>
          </w:tcPr>
          <w:p w14:paraId="7B46FC32" w14:textId="77777777" w:rsidR="000E3D46" w:rsidRDefault="00000000">
            <w:pPr>
              <w:rPr>
                <w:b/>
                <w:color w:val="000000" w:themeColor="text1"/>
                <w:lang w:val="en-GB"/>
              </w:rPr>
            </w:pPr>
            <w:r>
              <w:rPr>
                <w:b/>
                <w:color w:val="000000" w:themeColor="text1"/>
                <w:lang w:val="en-GB"/>
              </w:rPr>
              <w:t>Stakeholder</w:t>
            </w:r>
          </w:p>
        </w:tc>
        <w:tc>
          <w:tcPr>
            <w:tcW w:w="869" w:type="dxa"/>
          </w:tcPr>
          <w:p w14:paraId="7B46FC33" w14:textId="77777777" w:rsidR="000E3D46" w:rsidRDefault="00000000">
            <w:pPr>
              <w:rPr>
                <w:b/>
                <w:color w:val="000000" w:themeColor="text1"/>
                <w:lang w:val="en-GB"/>
              </w:rPr>
            </w:pPr>
            <w:r>
              <w:rPr>
                <w:b/>
                <w:color w:val="000000" w:themeColor="text1"/>
                <w:lang w:val="en-GB"/>
              </w:rPr>
              <w:t>Power</w:t>
            </w:r>
          </w:p>
        </w:tc>
        <w:tc>
          <w:tcPr>
            <w:tcW w:w="1012" w:type="dxa"/>
          </w:tcPr>
          <w:p w14:paraId="7B46FC34" w14:textId="77777777" w:rsidR="000E3D46" w:rsidRDefault="00000000">
            <w:pPr>
              <w:rPr>
                <w:b/>
                <w:color w:val="000000" w:themeColor="text1"/>
                <w:lang w:val="en-GB"/>
              </w:rPr>
            </w:pPr>
            <w:r>
              <w:rPr>
                <w:b/>
                <w:color w:val="000000" w:themeColor="text1"/>
                <w:lang w:val="en-GB"/>
              </w:rPr>
              <w:t>Interest</w:t>
            </w:r>
          </w:p>
        </w:tc>
        <w:tc>
          <w:tcPr>
            <w:tcW w:w="1676" w:type="dxa"/>
          </w:tcPr>
          <w:p w14:paraId="7B46FC35" w14:textId="77777777" w:rsidR="000E3D46" w:rsidRDefault="00000000">
            <w:pPr>
              <w:rPr>
                <w:b/>
                <w:color w:val="000000" w:themeColor="text1"/>
                <w:lang w:val="en-GB"/>
              </w:rPr>
            </w:pPr>
            <w:r>
              <w:rPr>
                <w:b/>
                <w:color w:val="000000" w:themeColor="text1"/>
                <w:lang w:val="en-GB"/>
              </w:rPr>
              <w:t>Quadrant</w:t>
            </w:r>
          </w:p>
        </w:tc>
      </w:tr>
      <w:tr w:rsidR="000E3D46" w14:paraId="7B46FC3B" w14:textId="77777777">
        <w:tc>
          <w:tcPr>
            <w:tcW w:w="5755" w:type="dxa"/>
          </w:tcPr>
          <w:p w14:paraId="7B46FC37" w14:textId="77777777" w:rsidR="000E3D46" w:rsidRDefault="00000000">
            <w:pPr>
              <w:rPr>
                <w:color w:val="000000" w:themeColor="text1"/>
                <w:lang w:val="en-GB"/>
              </w:rPr>
            </w:pPr>
            <w:r>
              <w:rPr>
                <w:color w:val="000000" w:themeColor="text1"/>
                <w:lang w:val="en-GB"/>
              </w:rPr>
              <w:t>Executive leadership / Board</w:t>
            </w:r>
          </w:p>
        </w:tc>
        <w:tc>
          <w:tcPr>
            <w:tcW w:w="869" w:type="dxa"/>
          </w:tcPr>
          <w:p w14:paraId="7B46FC38" w14:textId="77777777" w:rsidR="000E3D46" w:rsidRDefault="00000000">
            <w:pPr>
              <w:rPr>
                <w:color w:val="000000" w:themeColor="text1"/>
                <w:lang w:val="en-GB"/>
              </w:rPr>
            </w:pPr>
            <w:r>
              <w:rPr>
                <w:color w:val="000000" w:themeColor="text1"/>
                <w:lang w:val="en-GB"/>
              </w:rPr>
              <w:t>High</w:t>
            </w:r>
          </w:p>
        </w:tc>
        <w:tc>
          <w:tcPr>
            <w:tcW w:w="1012" w:type="dxa"/>
          </w:tcPr>
          <w:p w14:paraId="7B46FC39" w14:textId="77777777" w:rsidR="000E3D46" w:rsidRDefault="00000000">
            <w:pPr>
              <w:rPr>
                <w:color w:val="000000" w:themeColor="text1"/>
                <w:lang w:val="en-GB"/>
              </w:rPr>
            </w:pPr>
            <w:r>
              <w:rPr>
                <w:color w:val="000000" w:themeColor="text1"/>
                <w:lang w:val="en-GB"/>
              </w:rPr>
              <w:t>High</w:t>
            </w:r>
          </w:p>
        </w:tc>
        <w:tc>
          <w:tcPr>
            <w:tcW w:w="1676" w:type="dxa"/>
          </w:tcPr>
          <w:p w14:paraId="7B46FC3A" w14:textId="77777777" w:rsidR="000E3D46" w:rsidRDefault="00000000">
            <w:pPr>
              <w:rPr>
                <w:color w:val="000000" w:themeColor="text1"/>
                <w:lang w:val="en-GB"/>
              </w:rPr>
            </w:pPr>
            <w:r>
              <w:rPr>
                <w:color w:val="000000" w:themeColor="text1"/>
                <w:lang w:val="en-GB"/>
              </w:rPr>
              <w:t>Key Players</w:t>
            </w:r>
          </w:p>
        </w:tc>
      </w:tr>
      <w:tr w:rsidR="000E3D46" w14:paraId="7B46FC40" w14:textId="77777777">
        <w:tc>
          <w:tcPr>
            <w:tcW w:w="5755" w:type="dxa"/>
          </w:tcPr>
          <w:p w14:paraId="7B46FC3C" w14:textId="77777777" w:rsidR="000E3D46" w:rsidRDefault="00000000">
            <w:pPr>
              <w:rPr>
                <w:color w:val="000000" w:themeColor="text1"/>
                <w:lang w:val="en-GB"/>
              </w:rPr>
            </w:pPr>
            <w:r>
              <w:rPr>
                <w:color w:val="000000" w:themeColor="text1"/>
                <w:lang w:val="en-GB"/>
              </w:rPr>
              <w:t>Investors &amp; Shareholders</w:t>
            </w:r>
          </w:p>
        </w:tc>
        <w:tc>
          <w:tcPr>
            <w:tcW w:w="869" w:type="dxa"/>
          </w:tcPr>
          <w:p w14:paraId="7B46FC3D" w14:textId="77777777" w:rsidR="000E3D46" w:rsidRDefault="00000000">
            <w:pPr>
              <w:rPr>
                <w:color w:val="000000" w:themeColor="text1"/>
                <w:lang w:val="en-GB"/>
              </w:rPr>
            </w:pPr>
            <w:r>
              <w:rPr>
                <w:color w:val="000000" w:themeColor="text1"/>
                <w:lang w:val="en-GB"/>
              </w:rPr>
              <w:t>High</w:t>
            </w:r>
          </w:p>
        </w:tc>
        <w:tc>
          <w:tcPr>
            <w:tcW w:w="1012" w:type="dxa"/>
          </w:tcPr>
          <w:p w14:paraId="7B46FC3E" w14:textId="77777777" w:rsidR="000E3D46" w:rsidRDefault="00000000">
            <w:pPr>
              <w:rPr>
                <w:color w:val="000000" w:themeColor="text1"/>
                <w:lang w:val="en-GB"/>
              </w:rPr>
            </w:pPr>
            <w:r>
              <w:rPr>
                <w:color w:val="000000" w:themeColor="text1"/>
                <w:lang w:val="en-GB"/>
              </w:rPr>
              <w:t>High</w:t>
            </w:r>
          </w:p>
        </w:tc>
        <w:tc>
          <w:tcPr>
            <w:tcW w:w="1676" w:type="dxa"/>
          </w:tcPr>
          <w:p w14:paraId="7B46FC3F" w14:textId="77777777" w:rsidR="000E3D46" w:rsidRDefault="00000000">
            <w:pPr>
              <w:rPr>
                <w:color w:val="000000" w:themeColor="text1"/>
                <w:lang w:val="en-GB"/>
              </w:rPr>
            </w:pPr>
            <w:r>
              <w:rPr>
                <w:color w:val="000000" w:themeColor="text1"/>
                <w:lang w:val="en-GB"/>
              </w:rPr>
              <w:t>Key Players</w:t>
            </w:r>
          </w:p>
        </w:tc>
      </w:tr>
      <w:tr w:rsidR="000E3D46" w14:paraId="7B46FC45" w14:textId="77777777">
        <w:tc>
          <w:tcPr>
            <w:tcW w:w="5755" w:type="dxa"/>
          </w:tcPr>
          <w:p w14:paraId="7B46FC41" w14:textId="77777777" w:rsidR="000E3D46" w:rsidRDefault="00000000">
            <w:pPr>
              <w:rPr>
                <w:color w:val="000000" w:themeColor="text1"/>
                <w:lang w:val="en-GB"/>
              </w:rPr>
            </w:pPr>
            <w:r>
              <w:rPr>
                <w:color w:val="000000" w:themeColor="text1"/>
                <w:lang w:val="en-GB"/>
              </w:rPr>
              <w:t>Product development / R&amp;D teams</w:t>
            </w:r>
          </w:p>
        </w:tc>
        <w:tc>
          <w:tcPr>
            <w:tcW w:w="869" w:type="dxa"/>
          </w:tcPr>
          <w:p w14:paraId="7B46FC42" w14:textId="77777777" w:rsidR="000E3D46" w:rsidRDefault="00000000">
            <w:pPr>
              <w:rPr>
                <w:color w:val="000000" w:themeColor="text1"/>
                <w:lang w:val="en-GB"/>
              </w:rPr>
            </w:pPr>
            <w:r>
              <w:rPr>
                <w:color w:val="000000" w:themeColor="text1"/>
                <w:lang w:val="en-GB"/>
              </w:rPr>
              <w:t>High</w:t>
            </w:r>
          </w:p>
        </w:tc>
        <w:tc>
          <w:tcPr>
            <w:tcW w:w="1012" w:type="dxa"/>
          </w:tcPr>
          <w:p w14:paraId="7B46FC43" w14:textId="77777777" w:rsidR="000E3D46" w:rsidRDefault="00000000">
            <w:pPr>
              <w:rPr>
                <w:color w:val="000000" w:themeColor="text1"/>
                <w:lang w:val="en-GB"/>
              </w:rPr>
            </w:pPr>
            <w:r>
              <w:rPr>
                <w:color w:val="000000" w:themeColor="text1"/>
                <w:lang w:val="en-GB"/>
              </w:rPr>
              <w:t>High</w:t>
            </w:r>
          </w:p>
        </w:tc>
        <w:tc>
          <w:tcPr>
            <w:tcW w:w="1676" w:type="dxa"/>
          </w:tcPr>
          <w:p w14:paraId="7B46FC44" w14:textId="77777777" w:rsidR="000E3D46" w:rsidRDefault="00000000">
            <w:pPr>
              <w:rPr>
                <w:color w:val="000000" w:themeColor="text1"/>
                <w:lang w:val="en-GB"/>
              </w:rPr>
            </w:pPr>
            <w:r>
              <w:rPr>
                <w:color w:val="000000" w:themeColor="text1"/>
                <w:lang w:val="en-GB"/>
              </w:rPr>
              <w:t>Key Players</w:t>
            </w:r>
          </w:p>
        </w:tc>
      </w:tr>
      <w:tr w:rsidR="000E3D46" w14:paraId="7B46FC4A" w14:textId="77777777">
        <w:tc>
          <w:tcPr>
            <w:tcW w:w="5755" w:type="dxa"/>
          </w:tcPr>
          <w:p w14:paraId="7B46FC46" w14:textId="77777777" w:rsidR="000E3D46" w:rsidRDefault="00000000">
            <w:pPr>
              <w:rPr>
                <w:color w:val="000000" w:themeColor="text1"/>
                <w:lang w:val="en-GB"/>
              </w:rPr>
            </w:pPr>
            <w:r>
              <w:rPr>
                <w:color w:val="000000" w:themeColor="text1"/>
                <w:lang w:val="en-GB"/>
              </w:rPr>
              <w:t>Regulatory &amp; Quality Assurance (internal)</w:t>
            </w:r>
          </w:p>
        </w:tc>
        <w:tc>
          <w:tcPr>
            <w:tcW w:w="869" w:type="dxa"/>
          </w:tcPr>
          <w:p w14:paraId="7B46FC47" w14:textId="77777777" w:rsidR="000E3D46" w:rsidRDefault="00000000">
            <w:pPr>
              <w:rPr>
                <w:color w:val="000000" w:themeColor="text1"/>
                <w:lang w:val="en-GB"/>
              </w:rPr>
            </w:pPr>
            <w:r>
              <w:rPr>
                <w:color w:val="000000" w:themeColor="text1"/>
                <w:lang w:val="en-GB"/>
              </w:rPr>
              <w:t>High</w:t>
            </w:r>
          </w:p>
        </w:tc>
        <w:tc>
          <w:tcPr>
            <w:tcW w:w="1012" w:type="dxa"/>
          </w:tcPr>
          <w:p w14:paraId="7B46FC48" w14:textId="77777777" w:rsidR="000E3D46" w:rsidRDefault="00000000">
            <w:pPr>
              <w:rPr>
                <w:color w:val="000000" w:themeColor="text1"/>
                <w:lang w:val="en-GB"/>
              </w:rPr>
            </w:pPr>
            <w:r>
              <w:rPr>
                <w:color w:val="000000" w:themeColor="text1"/>
                <w:lang w:val="en-GB"/>
              </w:rPr>
              <w:t>High</w:t>
            </w:r>
          </w:p>
        </w:tc>
        <w:tc>
          <w:tcPr>
            <w:tcW w:w="1676" w:type="dxa"/>
          </w:tcPr>
          <w:p w14:paraId="7B46FC49" w14:textId="77777777" w:rsidR="000E3D46" w:rsidRDefault="00000000">
            <w:pPr>
              <w:rPr>
                <w:color w:val="000000" w:themeColor="text1"/>
                <w:lang w:val="en-GB"/>
              </w:rPr>
            </w:pPr>
            <w:r>
              <w:rPr>
                <w:color w:val="000000" w:themeColor="text1"/>
                <w:lang w:val="en-GB"/>
              </w:rPr>
              <w:t>Key Players</w:t>
            </w:r>
          </w:p>
        </w:tc>
      </w:tr>
      <w:tr w:rsidR="000E3D46" w14:paraId="7B46FC4F" w14:textId="77777777">
        <w:tc>
          <w:tcPr>
            <w:tcW w:w="5755" w:type="dxa"/>
          </w:tcPr>
          <w:p w14:paraId="7B46FC4B" w14:textId="77777777" w:rsidR="000E3D46" w:rsidRDefault="00000000">
            <w:pPr>
              <w:rPr>
                <w:color w:val="000000" w:themeColor="text1"/>
                <w:lang w:val="en-GB"/>
              </w:rPr>
            </w:pPr>
            <w:r>
              <w:rPr>
                <w:color w:val="000000" w:themeColor="text1"/>
                <w:lang w:val="en-GB"/>
              </w:rPr>
              <w:t>Software &amp; Data teams</w:t>
            </w:r>
          </w:p>
        </w:tc>
        <w:tc>
          <w:tcPr>
            <w:tcW w:w="869" w:type="dxa"/>
          </w:tcPr>
          <w:p w14:paraId="7B46FC4C" w14:textId="77777777" w:rsidR="000E3D46" w:rsidRDefault="00000000">
            <w:pPr>
              <w:rPr>
                <w:color w:val="000000" w:themeColor="text1"/>
                <w:lang w:val="en-GB"/>
              </w:rPr>
            </w:pPr>
            <w:r>
              <w:rPr>
                <w:color w:val="000000" w:themeColor="text1"/>
                <w:lang w:val="en-GB"/>
              </w:rPr>
              <w:t>High</w:t>
            </w:r>
          </w:p>
        </w:tc>
        <w:tc>
          <w:tcPr>
            <w:tcW w:w="1012" w:type="dxa"/>
          </w:tcPr>
          <w:p w14:paraId="7B46FC4D" w14:textId="77777777" w:rsidR="000E3D46" w:rsidRDefault="00000000">
            <w:pPr>
              <w:rPr>
                <w:color w:val="000000" w:themeColor="text1"/>
                <w:lang w:val="en-GB"/>
              </w:rPr>
            </w:pPr>
            <w:r>
              <w:rPr>
                <w:color w:val="000000" w:themeColor="text1"/>
                <w:lang w:val="en-GB"/>
              </w:rPr>
              <w:t>High</w:t>
            </w:r>
          </w:p>
        </w:tc>
        <w:tc>
          <w:tcPr>
            <w:tcW w:w="1676" w:type="dxa"/>
          </w:tcPr>
          <w:p w14:paraId="7B46FC4E" w14:textId="77777777" w:rsidR="000E3D46" w:rsidRDefault="00000000">
            <w:pPr>
              <w:rPr>
                <w:color w:val="000000" w:themeColor="text1"/>
                <w:lang w:val="en-GB"/>
              </w:rPr>
            </w:pPr>
            <w:r>
              <w:rPr>
                <w:color w:val="000000" w:themeColor="text1"/>
                <w:lang w:val="en-GB"/>
              </w:rPr>
              <w:t>Key Players</w:t>
            </w:r>
          </w:p>
        </w:tc>
      </w:tr>
      <w:tr w:rsidR="000E3D46" w14:paraId="7B46FC54" w14:textId="77777777">
        <w:tc>
          <w:tcPr>
            <w:tcW w:w="5755" w:type="dxa"/>
          </w:tcPr>
          <w:p w14:paraId="7B46FC50" w14:textId="77777777" w:rsidR="000E3D46" w:rsidRDefault="00000000">
            <w:pPr>
              <w:rPr>
                <w:color w:val="000000" w:themeColor="text1"/>
                <w:lang w:val="en-GB"/>
              </w:rPr>
            </w:pPr>
            <w:r>
              <w:rPr>
                <w:color w:val="000000" w:themeColor="text1"/>
                <w:lang w:val="en-GB"/>
              </w:rPr>
              <w:t>Manufacturing &amp; Supply Chain (internal)</w:t>
            </w:r>
          </w:p>
        </w:tc>
        <w:tc>
          <w:tcPr>
            <w:tcW w:w="869" w:type="dxa"/>
          </w:tcPr>
          <w:p w14:paraId="7B46FC51" w14:textId="77777777" w:rsidR="000E3D46" w:rsidRDefault="00000000">
            <w:pPr>
              <w:rPr>
                <w:color w:val="000000" w:themeColor="text1"/>
                <w:lang w:val="en-GB"/>
              </w:rPr>
            </w:pPr>
            <w:r>
              <w:rPr>
                <w:color w:val="000000" w:themeColor="text1"/>
                <w:lang w:val="en-GB"/>
              </w:rPr>
              <w:t>High</w:t>
            </w:r>
          </w:p>
        </w:tc>
        <w:tc>
          <w:tcPr>
            <w:tcW w:w="1012" w:type="dxa"/>
          </w:tcPr>
          <w:p w14:paraId="7B46FC52" w14:textId="77777777" w:rsidR="000E3D46" w:rsidRDefault="00000000">
            <w:pPr>
              <w:rPr>
                <w:color w:val="000000" w:themeColor="text1"/>
                <w:lang w:val="en-GB"/>
              </w:rPr>
            </w:pPr>
            <w:r>
              <w:rPr>
                <w:color w:val="000000" w:themeColor="text1"/>
                <w:lang w:val="en-GB"/>
              </w:rPr>
              <w:t>High</w:t>
            </w:r>
          </w:p>
        </w:tc>
        <w:tc>
          <w:tcPr>
            <w:tcW w:w="1676" w:type="dxa"/>
          </w:tcPr>
          <w:p w14:paraId="7B46FC53" w14:textId="77777777" w:rsidR="000E3D46" w:rsidRDefault="00000000">
            <w:pPr>
              <w:rPr>
                <w:color w:val="000000" w:themeColor="text1"/>
                <w:lang w:val="en-GB"/>
              </w:rPr>
            </w:pPr>
            <w:r>
              <w:rPr>
                <w:color w:val="000000" w:themeColor="text1"/>
                <w:lang w:val="en-GB"/>
              </w:rPr>
              <w:t>Key Players</w:t>
            </w:r>
          </w:p>
        </w:tc>
      </w:tr>
      <w:tr w:rsidR="000E3D46" w14:paraId="7B46FC59" w14:textId="77777777">
        <w:tc>
          <w:tcPr>
            <w:tcW w:w="5755" w:type="dxa"/>
          </w:tcPr>
          <w:p w14:paraId="7B46FC55" w14:textId="77777777" w:rsidR="000E3D46" w:rsidRDefault="00000000">
            <w:pPr>
              <w:rPr>
                <w:color w:val="000000" w:themeColor="text1"/>
                <w:lang w:val="en-GB"/>
              </w:rPr>
            </w:pPr>
            <w:r>
              <w:rPr>
                <w:color w:val="000000" w:themeColor="text1"/>
                <w:lang w:val="en-GB"/>
              </w:rPr>
              <w:t>MHRA (external regulator / approved bodies)</w:t>
            </w:r>
          </w:p>
        </w:tc>
        <w:tc>
          <w:tcPr>
            <w:tcW w:w="869" w:type="dxa"/>
          </w:tcPr>
          <w:p w14:paraId="7B46FC56" w14:textId="77777777" w:rsidR="000E3D46" w:rsidRDefault="00000000">
            <w:pPr>
              <w:rPr>
                <w:color w:val="000000" w:themeColor="text1"/>
                <w:lang w:val="en-GB"/>
              </w:rPr>
            </w:pPr>
            <w:r>
              <w:rPr>
                <w:color w:val="000000" w:themeColor="text1"/>
                <w:lang w:val="en-GB"/>
              </w:rPr>
              <w:t>High</w:t>
            </w:r>
          </w:p>
        </w:tc>
        <w:tc>
          <w:tcPr>
            <w:tcW w:w="1012" w:type="dxa"/>
          </w:tcPr>
          <w:p w14:paraId="7B46FC57" w14:textId="77777777" w:rsidR="000E3D46" w:rsidRDefault="00000000">
            <w:pPr>
              <w:rPr>
                <w:color w:val="000000" w:themeColor="text1"/>
                <w:lang w:val="en-GB"/>
              </w:rPr>
            </w:pPr>
            <w:r>
              <w:rPr>
                <w:color w:val="000000" w:themeColor="text1"/>
                <w:lang w:val="en-GB"/>
              </w:rPr>
              <w:t>Low</w:t>
            </w:r>
          </w:p>
        </w:tc>
        <w:tc>
          <w:tcPr>
            <w:tcW w:w="1676" w:type="dxa"/>
          </w:tcPr>
          <w:p w14:paraId="7B46FC58" w14:textId="77777777" w:rsidR="000E3D46" w:rsidRDefault="00000000">
            <w:pPr>
              <w:rPr>
                <w:color w:val="000000" w:themeColor="text1"/>
                <w:lang w:val="en-GB"/>
              </w:rPr>
            </w:pPr>
            <w:r>
              <w:rPr>
                <w:color w:val="000000" w:themeColor="text1"/>
                <w:lang w:val="en-GB"/>
              </w:rPr>
              <w:t>Keep Satisfied</w:t>
            </w:r>
          </w:p>
        </w:tc>
      </w:tr>
      <w:tr w:rsidR="000E3D46" w14:paraId="7B46FC5E" w14:textId="77777777">
        <w:tc>
          <w:tcPr>
            <w:tcW w:w="5755" w:type="dxa"/>
          </w:tcPr>
          <w:p w14:paraId="7B46FC5A" w14:textId="77777777" w:rsidR="000E3D46" w:rsidRDefault="00000000">
            <w:pPr>
              <w:rPr>
                <w:color w:val="000000" w:themeColor="text1"/>
                <w:lang w:val="en-GB"/>
              </w:rPr>
            </w:pPr>
            <w:r>
              <w:rPr>
                <w:color w:val="000000" w:themeColor="text1"/>
                <w:lang w:val="en-GB"/>
              </w:rPr>
              <w:t>Suppliers &amp; Contract Manufacturers (external)</w:t>
            </w:r>
          </w:p>
        </w:tc>
        <w:tc>
          <w:tcPr>
            <w:tcW w:w="869" w:type="dxa"/>
          </w:tcPr>
          <w:p w14:paraId="7B46FC5B" w14:textId="77777777" w:rsidR="000E3D46" w:rsidRDefault="00000000">
            <w:pPr>
              <w:rPr>
                <w:color w:val="000000" w:themeColor="text1"/>
                <w:lang w:val="en-GB"/>
              </w:rPr>
            </w:pPr>
            <w:r>
              <w:rPr>
                <w:color w:val="000000" w:themeColor="text1"/>
                <w:lang w:val="en-GB"/>
              </w:rPr>
              <w:t>High</w:t>
            </w:r>
          </w:p>
        </w:tc>
        <w:tc>
          <w:tcPr>
            <w:tcW w:w="1012" w:type="dxa"/>
          </w:tcPr>
          <w:p w14:paraId="7B46FC5C" w14:textId="77777777" w:rsidR="000E3D46" w:rsidRDefault="00000000">
            <w:pPr>
              <w:rPr>
                <w:color w:val="000000" w:themeColor="text1"/>
                <w:lang w:val="en-GB"/>
              </w:rPr>
            </w:pPr>
            <w:r>
              <w:rPr>
                <w:color w:val="000000" w:themeColor="text1"/>
                <w:lang w:val="en-GB"/>
              </w:rPr>
              <w:t>Low</w:t>
            </w:r>
          </w:p>
        </w:tc>
        <w:tc>
          <w:tcPr>
            <w:tcW w:w="1676" w:type="dxa"/>
          </w:tcPr>
          <w:p w14:paraId="7B46FC5D" w14:textId="77777777" w:rsidR="000E3D46" w:rsidRDefault="00000000">
            <w:pPr>
              <w:rPr>
                <w:color w:val="000000" w:themeColor="text1"/>
                <w:lang w:val="en-GB"/>
              </w:rPr>
            </w:pPr>
            <w:r>
              <w:rPr>
                <w:color w:val="000000" w:themeColor="text1"/>
                <w:lang w:val="en-GB"/>
              </w:rPr>
              <w:t>Keep Satisfied</w:t>
            </w:r>
          </w:p>
        </w:tc>
      </w:tr>
      <w:tr w:rsidR="000E3D46" w14:paraId="7B46FC63" w14:textId="77777777">
        <w:tc>
          <w:tcPr>
            <w:tcW w:w="5755" w:type="dxa"/>
          </w:tcPr>
          <w:p w14:paraId="7B46FC5F" w14:textId="77777777" w:rsidR="000E3D46" w:rsidRDefault="00000000">
            <w:pPr>
              <w:rPr>
                <w:color w:val="000000" w:themeColor="text1"/>
                <w:lang w:val="en-GB"/>
              </w:rPr>
            </w:pPr>
            <w:r>
              <w:rPr>
                <w:color w:val="000000" w:themeColor="text1"/>
                <w:lang w:val="en-GB"/>
              </w:rPr>
              <w:t>Distributors &amp; Retail partners (external)</w:t>
            </w:r>
          </w:p>
        </w:tc>
        <w:tc>
          <w:tcPr>
            <w:tcW w:w="869" w:type="dxa"/>
          </w:tcPr>
          <w:p w14:paraId="7B46FC60" w14:textId="77777777" w:rsidR="000E3D46" w:rsidRDefault="00000000">
            <w:pPr>
              <w:rPr>
                <w:color w:val="000000" w:themeColor="text1"/>
                <w:lang w:val="en-GB"/>
              </w:rPr>
            </w:pPr>
            <w:r>
              <w:rPr>
                <w:color w:val="000000" w:themeColor="text1"/>
                <w:lang w:val="en-GB"/>
              </w:rPr>
              <w:t>High</w:t>
            </w:r>
          </w:p>
        </w:tc>
        <w:tc>
          <w:tcPr>
            <w:tcW w:w="1012" w:type="dxa"/>
          </w:tcPr>
          <w:p w14:paraId="7B46FC61" w14:textId="77777777" w:rsidR="000E3D46" w:rsidRDefault="00000000">
            <w:pPr>
              <w:rPr>
                <w:color w:val="000000" w:themeColor="text1"/>
                <w:lang w:val="en-GB"/>
              </w:rPr>
            </w:pPr>
            <w:r>
              <w:rPr>
                <w:color w:val="000000" w:themeColor="text1"/>
                <w:lang w:val="en-GB"/>
              </w:rPr>
              <w:t>Low</w:t>
            </w:r>
          </w:p>
        </w:tc>
        <w:tc>
          <w:tcPr>
            <w:tcW w:w="1676" w:type="dxa"/>
          </w:tcPr>
          <w:p w14:paraId="7B46FC62" w14:textId="77777777" w:rsidR="000E3D46" w:rsidRDefault="00000000">
            <w:pPr>
              <w:rPr>
                <w:color w:val="000000" w:themeColor="text1"/>
                <w:lang w:val="en-GB"/>
              </w:rPr>
            </w:pPr>
            <w:r>
              <w:rPr>
                <w:color w:val="000000" w:themeColor="text1"/>
                <w:lang w:val="en-GB"/>
              </w:rPr>
              <w:t>Keep Satisfied</w:t>
            </w:r>
          </w:p>
        </w:tc>
      </w:tr>
      <w:tr w:rsidR="000E3D46" w14:paraId="7B46FC68" w14:textId="77777777">
        <w:tc>
          <w:tcPr>
            <w:tcW w:w="5755" w:type="dxa"/>
          </w:tcPr>
          <w:p w14:paraId="7B46FC64" w14:textId="77777777" w:rsidR="000E3D46" w:rsidRDefault="00000000">
            <w:pPr>
              <w:rPr>
                <w:color w:val="000000" w:themeColor="text1"/>
                <w:lang w:val="en-GB"/>
              </w:rPr>
            </w:pPr>
            <w:r>
              <w:rPr>
                <w:color w:val="000000" w:themeColor="text1"/>
                <w:lang w:val="en-GB"/>
              </w:rPr>
              <w:t>Clinical Affairs / Medical Advisors (internal)</w:t>
            </w:r>
          </w:p>
        </w:tc>
        <w:tc>
          <w:tcPr>
            <w:tcW w:w="869" w:type="dxa"/>
          </w:tcPr>
          <w:p w14:paraId="7B46FC65" w14:textId="77777777" w:rsidR="000E3D46" w:rsidRDefault="00000000">
            <w:pPr>
              <w:rPr>
                <w:color w:val="000000" w:themeColor="text1"/>
                <w:lang w:val="en-GB"/>
              </w:rPr>
            </w:pPr>
            <w:r>
              <w:rPr>
                <w:color w:val="000000" w:themeColor="text1"/>
                <w:lang w:val="en-GB"/>
              </w:rPr>
              <w:t>Low</w:t>
            </w:r>
          </w:p>
        </w:tc>
        <w:tc>
          <w:tcPr>
            <w:tcW w:w="1012" w:type="dxa"/>
          </w:tcPr>
          <w:p w14:paraId="7B46FC66" w14:textId="77777777" w:rsidR="000E3D46" w:rsidRDefault="00000000">
            <w:pPr>
              <w:rPr>
                <w:color w:val="000000" w:themeColor="text1"/>
                <w:lang w:val="en-GB"/>
              </w:rPr>
            </w:pPr>
            <w:r>
              <w:rPr>
                <w:color w:val="000000" w:themeColor="text1"/>
                <w:lang w:val="en-GB"/>
              </w:rPr>
              <w:t>High</w:t>
            </w:r>
          </w:p>
        </w:tc>
        <w:tc>
          <w:tcPr>
            <w:tcW w:w="1676" w:type="dxa"/>
          </w:tcPr>
          <w:p w14:paraId="7B46FC67" w14:textId="77777777" w:rsidR="000E3D46" w:rsidRDefault="00000000">
            <w:pPr>
              <w:rPr>
                <w:color w:val="000000" w:themeColor="text1"/>
                <w:lang w:val="en-GB"/>
              </w:rPr>
            </w:pPr>
            <w:r>
              <w:rPr>
                <w:color w:val="000000" w:themeColor="text1"/>
                <w:lang w:val="en-GB"/>
              </w:rPr>
              <w:t>Keep Informed</w:t>
            </w:r>
          </w:p>
        </w:tc>
      </w:tr>
      <w:tr w:rsidR="000E3D46" w14:paraId="7B46FC6D" w14:textId="77777777">
        <w:tc>
          <w:tcPr>
            <w:tcW w:w="5755" w:type="dxa"/>
          </w:tcPr>
          <w:p w14:paraId="7B46FC69" w14:textId="77777777" w:rsidR="000E3D46" w:rsidRDefault="00000000">
            <w:pPr>
              <w:rPr>
                <w:color w:val="000000" w:themeColor="text1"/>
                <w:lang w:val="en-GB"/>
              </w:rPr>
            </w:pPr>
            <w:r>
              <w:rPr>
                <w:color w:val="000000" w:themeColor="text1"/>
                <w:lang w:val="en-GB"/>
              </w:rPr>
              <w:t>Healthcare providers / NHS Trusts &amp; clinicians (external)</w:t>
            </w:r>
          </w:p>
        </w:tc>
        <w:tc>
          <w:tcPr>
            <w:tcW w:w="869" w:type="dxa"/>
          </w:tcPr>
          <w:p w14:paraId="7B46FC6A" w14:textId="77777777" w:rsidR="000E3D46" w:rsidRDefault="00000000">
            <w:pPr>
              <w:rPr>
                <w:color w:val="000000" w:themeColor="text1"/>
                <w:lang w:val="en-GB"/>
              </w:rPr>
            </w:pPr>
            <w:r>
              <w:rPr>
                <w:color w:val="000000" w:themeColor="text1"/>
                <w:lang w:val="en-GB"/>
              </w:rPr>
              <w:t>Low</w:t>
            </w:r>
          </w:p>
        </w:tc>
        <w:tc>
          <w:tcPr>
            <w:tcW w:w="1012" w:type="dxa"/>
          </w:tcPr>
          <w:p w14:paraId="7B46FC6B" w14:textId="77777777" w:rsidR="000E3D46" w:rsidRDefault="00000000">
            <w:pPr>
              <w:rPr>
                <w:color w:val="000000" w:themeColor="text1"/>
                <w:lang w:val="en-GB"/>
              </w:rPr>
            </w:pPr>
            <w:r>
              <w:rPr>
                <w:color w:val="000000" w:themeColor="text1"/>
                <w:lang w:val="en-GB"/>
              </w:rPr>
              <w:t>High</w:t>
            </w:r>
          </w:p>
        </w:tc>
        <w:tc>
          <w:tcPr>
            <w:tcW w:w="1676" w:type="dxa"/>
          </w:tcPr>
          <w:p w14:paraId="7B46FC6C" w14:textId="77777777" w:rsidR="000E3D46" w:rsidRDefault="00000000">
            <w:pPr>
              <w:rPr>
                <w:color w:val="000000" w:themeColor="text1"/>
                <w:lang w:val="en-GB"/>
              </w:rPr>
            </w:pPr>
            <w:r>
              <w:rPr>
                <w:color w:val="000000" w:themeColor="text1"/>
                <w:lang w:val="en-GB"/>
              </w:rPr>
              <w:t>Keep Informed</w:t>
            </w:r>
          </w:p>
        </w:tc>
      </w:tr>
      <w:tr w:rsidR="000E3D46" w14:paraId="7B46FC72" w14:textId="77777777">
        <w:tc>
          <w:tcPr>
            <w:tcW w:w="5755" w:type="dxa"/>
          </w:tcPr>
          <w:p w14:paraId="7B46FC6E" w14:textId="77777777" w:rsidR="000E3D46" w:rsidRDefault="00000000">
            <w:pPr>
              <w:rPr>
                <w:color w:val="000000" w:themeColor="text1"/>
                <w:lang w:val="en-GB"/>
              </w:rPr>
            </w:pPr>
            <w:r>
              <w:rPr>
                <w:color w:val="000000" w:themeColor="text1"/>
                <w:lang w:val="en-GB"/>
              </w:rPr>
              <w:t>Marketing, Sales &amp; Commercial (internal)</w:t>
            </w:r>
          </w:p>
        </w:tc>
        <w:tc>
          <w:tcPr>
            <w:tcW w:w="869" w:type="dxa"/>
          </w:tcPr>
          <w:p w14:paraId="7B46FC6F" w14:textId="77777777" w:rsidR="000E3D46" w:rsidRDefault="00000000">
            <w:pPr>
              <w:rPr>
                <w:color w:val="000000" w:themeColor="text1"/>
                <w:lang w:val="en-GB"/>
              </w:rPr>
            </w:pPr>
            <w:r>
              <w:rPr>
                <w:color w:val="000000" w:themeColor="text1"/>
                <w:lang w:val="en-GB"/>
              </w:rPr>
              <w:t>Low</w:t>
            </w:r>
          </w:p>
        </w:tc>
        <w:tc>
          <w:tcPr>
            <w:tcW w:w="1012" w:type="dxa"/>
          </w:tcPr>
          <w:p w14:paraId="7B46FC70" w14:textId="77777777" w:rsidR="000E3D46" w:rsidRDefault="00000000">
            <w:pPr>
              <w:rPr>
                <w:color w:val="000000" w:themeColor="text1"/>
                <w:lang w:val="en-GB"/>
              </w:rPr>
            </w:pPr>
            <w:r>
              <w:rPr>
                <w:color w:val="000000" w:themeColor="text1"/>
                <w:lang w:val="en-GB"/>
              </w:rPr>
              <w:t>High</w:t>
            </w:r>
          </w:p>
        </w:tc>
        <w:tc>
          <w:tcPr>
            <w:tcW w:w="1676" w:type="dxa"/>
          </w:tcPr>
          <w:p w14:paraId="7B46FC71" w14:textId="77777777" w:rsidR="000E3D46" w:rsidRDefault="00000000">
            <w:pPr>
              <w:rPr>
                <w:color w:val="000000" w:themeColor="text1"/>
                <w:lang w:val="en-GB"/>
              </w:rPr>
            </w:pPr>
            <w:r>
              <w:rPr>
                <w:color w:val="000000" w:themeColor="text1"/>
                <w:lang w:val="en-GB"/>
              </w:rPr>
              <w:t>Keep Informed</w:t>
            </w:r>
          </w:p>
        </w:tc>
      </w:tr>
      <w:tr w:rsidR="000E3D46" w14:paraId="7B46FC77" w14:textId="77777777">
        <w:tc>
          <w:tcPr>
            <w:tcW w:w="5755" w:type="dxa"/>
          </w:tcPr>
          <w:p w14:paraId="7B46FC73" w14:textId="77777777" w:rsidR="000E3D46" w:rsidRDefault="00000000">
            <w:pPr>
              <w:rPr>
                <w:color w:val="000000" w:themeColor="text1"/>
                <w:lang w:val="en-GB"/>
              </w:rPr>
            </w:pPr>
            <w:r>
              <w:rPr>
                <w:color w:val="000000" w:themeColor="text1"/>
                <w:lang w:val="en-GB"/>
              </w:rPr>
              <w:t>End users / Patients / Consumer groups (external)</w:t>
            </w:r>
          </w:p>
        </w:tc>
        <w:tc>
          <w:tcPr>
            <w:tcW w:w="869" w:type="dxa"/>
          </w:tcPr>
          <w:p w14:paraId="7B46FC74" w14:textId="77777777" w:rsidR="000E3D46" w:rsidRDefault="00000000">
            <w:pPr>
              <w:rPr>
                <w:color w:val="000000" w:themeColor="text1"/>
                <w:lang w:val="en-GB"/>
              </w:rPr>
            </w:pPr>
            <w:r>
              <w:rPr>
                <w:color w:val="000000" w:themeColor="text1"/>
                <w:lang w:val="en-GB"/>
              </w:rPr>
              <w:t>Low</w:t>
            </w:r>
          </w:p>
        </w:tc>
        <w:tc>
          <w:tcPr>
            <w:tcW w:w="1012" w:type="dxa"/>
          </w:tcPr>
          <w:p w14:paraId="7B46FC75" w14:textId="77777777" w:rsidR="000E3D46" w:rsidRDefault="00000000">
            <w:pPr>
              <w:rPr>
                <w:color w:val="000000" w:themeColor="text1"/>
                <w:lang w:val="en-GB"/>
              </w:rPr>
            </w:pPr>
            <w:r>
              <w:rPr>
                <w:color w:val="000000" w:themeColor="text1"/>
                <w:lang w:val="en-GB"/>
              </w:rPr>
              <w:t>High</w:t>
            </w:r>
          </w:p>
        </w:tc>
        <w:tc>
          <w:tcPr>
            <w:tcW w:w="1676" w:type="dxa"/>
          </w:tcPr>
          <w:p w14:paraId="7B46FC76" w14:textId="77777777" w:rsidR="000E3D46" w:rsidRDefault="00000000">
            <w:pPr>
              <w:rPr>
                <w:color w:val="000000" w:themeColor="text1"/>
                <w:lang w:val="en-GB"/>
              </w:rPr>
            </w:pPr>
            <w:r>
              <w:rPr>
                <w:color w:val="000000" w:themeColor="text1"/>
                <w:lang w:val="en-GB"/>
              </w:rPr>
              <w:t>Keep Informed</w:t>
            </w:r>
          </w:p>
        </w:tc>
      </w:tr>
    </w:tbl>
    <w:p w14:paraId="7B46FC78" w14:textId="77777777" w:rsidR="000E3D46" w:rsidRDefault="00000000">
      <w:pPr>
        <w:jc w:val="center"/>
        <w:rPr>
          <w:b/>
          <w:color w:val="000000" w:themeColor="text1"/>
          <w:lang w:val="en-GB"/>
        </w:rPr>
      </w:pPr>
      <w:r>
        <w:rPr>
          <w:b/>
          <w:color w:val="000000" w:themeColor="text1"/>
          <w:lang w:val="en-GB"/>
        </w:rPr>
        <w:t>Table 2: Stakeholder Matrix</w:t>
      </w:r>
    </w:p>
    <w:p w14:paraId="7B46FC79" w14:textId="77777777" w:rsidR="000E3D46" w:rsidRDefault="00000000">
      <w:pPr>
        <w:jc w:val="center"/>
        <w:rPr>
          <w:color w:val="000000" w:themeColor="text1"/>
          <w:lang w:val="en-GB"/>
        </w:rPr>
      </w:pPr>
      <w:r>
        <w:rPr>
          <w:color w:val="000000" w:themeColor="text1"/>
          <w:lang w:val="en-GB"/>
        </w:rPr>
        <w:t>(Source: Self-created)</w:t>
      </w:r>
    </w:p>
    <w:p w14:paraId="7B46FC7A" w14:textId="77777777" w:rsidR="000E3D46" w:rsidRDefault="00000000">
      <w:pPr>
        <w:pStyle w:val="Heading2"/>
        <w:rPr>
          <w:color w:val="000000" w:themeColor="text1"/>
          <w:lang w:val="en-GB"/>
        </w:rPr>
      </w:pPr>
      <w:bookmarkStart w:id="12" w:name="_Toc209869247"/>
      <w:r>
        <w:rPr>
          <w:color w:val="000000" w:themeColor="text1"/>
          <w:lang w:val="en-GB"/>
        </w:rPr>
        <w:t>Engagement Plan</w:t>
      </w:r>
      <w:bookmarkEnd w:id="12"/>
    </w:p>
    <w:p w14:paraId="7B46FC7B" w14:textId="77777777" w:rsidR="000E3D46" w:rsidRDefault="00000000">
      <w:pPr>
        <w:rPr>
          <w:color w:val="000000" w:themeColor="text1"/>
          <w:lang w:val="en-GB"/>
        </w:rPr>
      </w:pPr>
      <w:r>
        <w:rPr>
          <w:b/>
          <w:i/>
          <w:color w:val="000000" w:themeColor="text1"/>
          <w:lang w:val="en-GB"/>
        </w:rPr>
        <w:t>Plan for Internal Stakeholders:</w:t>
      </w:r>
      <w:r>
        <w:rPr>
          <w:color w:val="000000" w:themeColor="text1"/>
          <w:lang w:val="en-GB"/>
        </w:rPr>
        <w:t xml:space="preserve"> The executive leadership or board members of the organisation will receive monthly risk reports and dashboards for guiding strategy. The investors and shareholders will be involved through quarterly briefings on ESG and financial performance alignment. The software, product development or R&amp;D teams will be integrated into agile cycles, with cross-functional workshops and weekly sprints. The workshops will ensure software, design, </w:t>
      </w:r>
      <w:r>
        <w:rPr>
          <w:color w:val="000000" w:themeColor="text1"/>
          <w:lang w:val="en-GB"/>
        </w:rPr>
        <w:lastRenderedPageBreak/>
        <w:t xml:space="preserve">and production alignment. The regulatory and assurance will take part in stage-gate reviews, emphasising safety, MHRA compliance, and post-market planning. </w:t>
      </w:r>
    </w:p>
    <w:p w14:paraId="7B46FC7C" w14:textId="77777777" w:rsidR="000E3D46" w:rsidRDefault="00000000">
      <w:pPr>
        <w:rPr>
          <w:color w:val="000000" w:themeColor="text1"/>
          <w:lang w:val="en-GB"/>
        </w:rPr>
      </w:pPr>
      <w:r>
        <w:rPr>
          <w:b/>
          <w:i/>
          <w:color w:val="000000" w:themeColor="text1"/>
          <w:lang w:val="en-GB"/>
        </w:rPr>
        <w:t>Plan for External Stakeholders:</w:t>
      </w:r>
      <w:r>
        <w:rPr>
          <w:color w:val="000000" w:themeColor="text1"/>
          <w:lang w:val="en-GB"/>
        </w:rPr>
        <w:t xml:space="preserve"> The MHRA will be involved at regulatory milestones through compliance submissions and audits, while the suppliers and contract manufacturers will get the structured KPIs, SLAs, and bi-weekly operational reviews. The distributors and retail partners will be consulted in logistics and sales alignment before launching through commercial forums. Medical advisors or clinical affairs and healthcare providers will be engaged in validation studies, trial designs, and advisory boards to ensure clinical efficacy. Marketing, commercial, and sales teams will positively coordinate in consumer-facing campaigns with frequent updates from the streams of development (Fang </w:t>
      </w:r>
      <w:r>
        <w:rPr>
          <w:i/>
          <w:color w:val="000000" w:themeColor="text1"/>
          <w:lang w:val="en-GB"/>
        </w:rPr>
        <w:t xml:space="preserve">et al., </w:t>
      </w:r>
      <w:r>
        <w:rPr>
          <w:color w:val="000000" w:themeColor="text1"/>
          <w:lang w:val="en-GB"/>
        </w:rPr>
        <w:t xml:space="preserve">2025, p.2). Finally, the consumer groups, end users, and patients will be engaged through surveys, beta testing, and digital outreach for capturing blind trust and usability feedback. </w:t>
      </w:r>
    </w:p>
    <w:p w14:paraId="7B46FC7D" w14:textId="77777777" w:rsidR="000E3D46" w:rsidRDefault="00000000">
      <w:pPr>
        <w:pStyle w:val="Heading2"/>
        <w:rPr>
          <w:color w:val="000000" w:themeColor="text1"/>
          <w:lang w:val="en-GB"/>
        </w:rPr>
      </w:pPr>
      <w:bookmarkStart w:id="13" w:name="_Toc209869248"/>
      <w:r>
        <w:rPr>
          <w:color w:val="000000" w:themeColor="text1"/>
          <w:lang w:val="en-GB"/>
        </w:rPr>
        <w:t>Communication Plan</w:t>
      </w:r>
      <w:bookmarkEnd w:id="13"/>
    </w:p>
    <w:tbl>
      <w:tblPr>
        <w:tblStyle w:val="Style42"/>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686"/>
        <w:gridCol w:w="2586"/>
        <w:gridCol w:w="1526"/>
        <w:gridCol w:w="2552"/>
      </w:tblGrid>
      <w:tr w:rsidR="000E3D46" w14:paraId="7B46FC82" w14:textId="77777777">
        <w:tc>
          <w:tcPr>
            <w:tcW w:w="2686" w:type="dxa"/>
          </w:tcPr>
          <w:p w14:paraId="7B46FC7E" w14:textId="77777777" w:rsidR="000E3D46" w:rsidRDefault="00000000">
            <w:pPr>
              <w:jc w:val="center"/>
              <w:rPr>
                <w:b/>
                <w:color w:val="000000" w:themeColor="text1"/>
                <w:lang w:val="en-GB"/>
              </w:rPr>
            </w:pPr>
            <w:r>
              <w:rPr>
                <w:b/>
                <w:color w:val="000000" w:themeColor="text1"/>
                <w:lang w:val="en-GB"/>
              </w:rPr>
              <w:t>Stakeholder</w:t>
            </w:r>
          </w:p>
        </w:tc>
        <w:tc>
          <w:tcPr>
            <w:tcW w:w="2586" w:type="dxa"/>
          </w:tcPr>
          <w:p w14:paraId="7B46FC7F" w14:textId="77777777" w:rsidR="000E3D46" w:rsidRDefault="00000000">
            <w:pPr>
              <w:jc w:val="center"/>
              <w:rPr>
                <w:b/>
                <w:color w:val="000000" w:themeColor="text1"/>
                <w:lang w:val="en-GB"/>
              </w:rPr>
            </w:pPr>
            <w:r>
              <w:rPr>
                <w:b/>
                <w:color w:val="000000" w:themeColor="text1"/>
                <w:lang w:val="en-GB"/>
              </w:rPr>
              <w:t>Information to Communicate</w:t>
            </w:r>
          </w:p>
        </w:tc>
        <w:tc>
          <w:tcPr>
            <w:tcW w:w="1526" w:type="dxa"/>
          </w:tcPr>
          <w:p w14:paraId="7B46FC80" w14:textId="77777777" w:rsidR="000E3D46" w:rsidRDefault="00000000">
            <w:pPr>
              <w:jc w:val="center"/>
              <w:rPr>
                <w:b/>
                <w:color w:val="000000" w:themeColor="text1"/>
                <w:lang w:val="en-GB"/>
              </w:rPr>
            </w:pPr>
            <w:r>
              <w:rPr>
                <w:b/>
                <w:color w:val="000000" w:themeColor="text1"/>
                <w:lang w:val="en-GB"/>
              </w:rPr>
              <w:t>Frequency</w:t>
            </w:r>
          </w:p>
        </w:tc>
        <w:tc>
          <w:tcPr>
            <w:tcW w:w="2552" w:type="dxa"/>
          </w:tcPr>
          <w:p w14:paraId="7B46FC81" w14:textId="77777777" w:rsidR="000E3D46" w:rsidRDefault="00000000">
            <w:pPr>
              <w:jc w:val="center"/>
              <w:rPr>
                <w:b/>
                <w:color w:val="000000" w:themeColor="text1"/>
                <w:lang w:val="en-GB"/>
              </w:rPr>
            </w:pPr>
            <w:r>
              <w:rPr>
                <w:b/>
                <w:color w:val="000000" w:themeColor="text1"/>
                <w:lang w:val="en-GB"/>
              </w:rPr>
              <w:t>Channel</w:t>
            </w:r>
          </w:p>
        </w:tc>
      </w:tr>
      <w:tr w:rsidR="000E3D46" w14:paraId="7B46FC87" w14:textId="77777777">
        <w:tc>
          <w:tcPr>
            <w:tcW w:w="2686" w:type="dxa"/>
          </w:tcPr>
          <w:p w14:paraId="7B46FC83" w14:textId="77777777" w:rsidR="000E3D46" w:rsidRDefault="00000000">
            <w:pPr>
              <w:rPr>
                <w:color w:val="000000" w:themeColor="text1"/>
                <w:lang w:val="en-GB"/>
              </w:rPr>
            </w:pPr>
            <w:r>
              <w:rPr>
                <w:color w:val="000000" w:themeColor="text1"/>
                <w:lang w:val="en-GB"/>
              </w:rPr>
              <w:t>Executive leadership / Board</w:t>
            </w:r>
          </w:p>
        </w:tc>
        <w:tc>
          <w:tcPr>
            <w:tcW w:w="2586" w:type="dxa"/>
          </w:tcPr>
          <w:p w14:paraId="7B46FC84" w14:textId="77777777" w:rsidR="000E3D46" w:rsidRDefault="00000000">
            <w:pPr>
              <w:rPr>
                <w:color w:val="000000" w:themeColor="text1"/>
                <w:lang w:val="en-GB"/>
              </w:rPr>
            </w:pPr>
            <w:r>
              <w:rPr>
                <w:color w:val="000000" w:themeColor="text1"/>
                <w:lang w:val="en-GB"/>
              </w:rPr>
              <w:t>Strategic progress, risks, KPIs</w:t>
            </w:r>
          </w:p>
        </w:tc>
        <w:tc>
          <w:tcPr>
            <w:tcW w:w="1526" w:type="dxa"/>
          </w:tcPr>
          <w:p w14:paraId="7B46FC85" w14:textId="77777777" w:rsidR="000E3D46" w:rsidRDefault="00000000">
            <w:pPr>
              <w:jc w:val="center"/>
              <w:rPr>
                <w:color w:val="000000" w:themeColor="text1"/>
                <w:lang w:val="en-GB"/>
              </w:rPr>
            </w:pPr>
            <w:r>
              <w:rPr>
                <w:color w:val="000000" w:themeColor="text1"/>
                <w:lang w:val="en-GB"/>
              </w:rPr>
              <w:t>Monthly</w:t>
            </w:r>
          </w:p>
        </w:tc>
        <w:tc>
          <w:tcPr>
            <w:tcW w:w="2552" w:type="dxa"/>
          </w:tcPr>
          <w:p w14:paraId="7B46FC86" w14:textId="77777777" w:rsidR="000E3D46" w:rsidRDefault="00000000">
            <w:pPr>
              <w:rPr>
                <w:color w:val="000000" w:themeColor="text1"/>
                <w:lang w:val="en-GB"/>
              </w:rPr>
            </w:pPr>
            <w:r>
              <w:rPr>
                <w:color w:val="000000" w:themeColor="text1"/>
                <w:lang w:val="en-GB"/>
              </w:rPr>
              <w:t>Board meetings, executive dashboards</w:t>
            </w:r>
          </w:p>
        </w:tc>
      </w:tr>
      <w:tr w:rsidR="000E3D46" w14:paraId="7B46FC8C" w14:textId="77777777">
        <w:tc>
          <w:tcPr>
            <w:tcW w:w="2686" w:type="dxa"/>
          </w:tcPr>
          <w:p w14:paraId="7B46FC88" w14:textId="77777777" w:rsidR="000E3D46" w:rsidRDefault="00000000">
            <w:pPr>
              <w:rPr>
                <w:color w:val="000000" w:themeColor="text1"/>
                <w:lang w:val="en-GB"/>
              </w:rPr>
            </w:pPr>
            <w:r>
              <w:rPr>
                <w:color w:val="000000" w:themeColor="text1"/>
                <w:lang w:val="en-GB"/>
              </w:rPr>
              <w:t>Investors &amp; Shareholders</w:t>
            </w:r>
          </w:p>
        </w:tc>
        <w:tc>
          <w:tcPr>
            <w:tcW w:w="2586" w:type="dxa"/>
          </w:tcPr>
          <w:p w14:paraId="7B46FC89" w14:textId="77777777" w:rsidR="000E3D46" w:rsidRDefault="00000000">
            <w:pPr>
              <w:rPr>
                <w:color w:val="000000" w:themeColor="text1"/>
                <w:lang w:val="en-GB"/>
              </w:rPr>
            </w:pPr>
            <w:r>
              <w:rPr>
                <w:color w:val="000000" w:themeColor="text1"/>
                <w:lang w:val="en-GB"/>
              </w:rPr>
              <w:t>Financial updates, ESG performance</w:t>
            </w:r>
          </w:p>
        </w:tc>
        <w:tc>
          <w:tcPr>
            <w:tcW w:w="1526" w:type="dxa"/>
          </w:tcPr>
          <w:p w14:paraId="7B46FC8A" w14:textId="77777777" w:rsidR="000E3D46" w:rsidRDefault="00000000">
            <w:pPr>
              <w:jc w:val="center"/>
              <w:rPr>
                <w:color w:val="000000" w:themeColor="text1"/>
                <w:lang w:val="en-GB"/>
              </w:rPr>
            </w:pPr>
            <w:r>
              <w:rPr>
                <w:color w:val="000000" w:themeColor="text1"/>
                <w:lang w:val="en-GB"/>
              </w:rPr>
              <w:t>Quarterly</w:t>
            </w:r>
          </w:p>
        </w:tc>
        <w:tc>
          <w:tcPr>
            <w:tcW w:w="2552" w:type="dxa"/>
          </w:tcPr>
          <w:p w14:paraId="7B46FC8B" w14:textId="77777777" w:rsidR="000E3D46" w:rsidRDefault="00000000">
            <w:pPr>
              <w:rPr>
                <w:color w:val="000000" w:themeColor="text1"/>
                <w:lang w:val="en-GB"/>
              </w:rPr>
            </w:pPr>
            <w:r>
              <w:rPr>
                <w:color w:val="000000" w:themeColor="text1"/>
                <w:lang w:val="en-GB"/>
              </w:rPr>
              <w:t>Investor briefings, annual reports</w:t>
            </w:r>
          </w:p>
        </w:tc>
      </w:tr>
      <w:tr w:rsidR="000E3D46" w14:paraId="7B46FC91" w14:textId="77777777">
        <w:tc>
          <w:tcPr>
            <w:tcW w:w="2686" w:type="dxa"/>
          </w:tcPr>
          <w:p w14:paraId="7B46FC8D" w14:textId="77777777" w:rsidR="000E3D46" w:rsidRDefault="00000000">
            <w:pPr>
              <w:rPr>
                <w:color w:val="000000" w:themeColor="text1"/>
                <w:lang w:val="en-GB"/>
              </w:rPr>
            </w:pPr>
            <w:r>
              <w:rPr>
                <w:color w:val="000000" w:themeColor="text1"/>
                <w:lang w:val="en-GB"/>
              </w:rPr>
              <w:t>Product development / R&amp;D teams</w:t>
            </w:r>
          </w:p>
        </w:tc>
        <w:tc>
          <w:tcPr>
            <w:tcW w:w="2586" w:type="dxa"/>
          </w:tcPr>
          <w:p w14:paraId="7B46FC8E" w14:textId="77777777" w:rsidR="000E3D46" w:rsidRDefault="00000000">
            <w:pPr>
              <w:rPr>
                <w:color w:val="000000" w:themeColor="text1"/>
                <w:lang w:val="en-GB"/>
              </w:rPr>
            </w:pPr>
            <w:r>
              <w:rPr>
                <w:color w:val="000000" w:themeColor="text1"/>
                <w:lang w:val="en-GB"/>
              </w:rPr>
              <w:t>Design iterations, sprint updates</w:t>
            </w:r>
          </w:p>
        </w:tc>
        <w:tc>
          <w:tcPr>
            <w:tcW w:w="1526" w:type="dxa"/>
          </w:tcPr>
          <w:p w14:paraId="7B46FC8F" w14:textId="77777777" w:rsidR="000E3D46" w:rsidRDefault="00000000">
            <w:pPr>
              <w:jc w:val="center"/>
              <w:rPr>
                <w:color w:val="000000" w:themeColor="text1"/>
                <w:lang w:val="en-GB"/>
              </w:rPr>
            </w:pPr>
            <w:r>
              <w:rPr>
                <w:color w:val="000000" w:themeColor="text1"/>
                <w:lang w:val="en-GB"/>
              </w:rPr>
              <w:t>Weekly</w:t>
            </w:r>
          </w:p>
        </w:tc>
        <w:tc>
          <w:tcPr>
            <w:tcW w:w="2552" w:type="dxa"/>
          </w:tcPr>
          <w:p w14:paraId="7B46FC90" w14:textId="77777777" w:rsidR="000E3D46" w:rsidRDefault="00000000">
            <w:pPr>
              <w:rPr>
                <w:color w:val="000000" w:themeColor="text1"/>
                <w:lang w:val="en-GB"/>
              </w:rPr>
            </w:pPr>
            <w:r>
              <w:rPr>
                <w:color w:val="000000" w:themeColor="text1"/>
                <w:lang w:val="en-GB"/>
              </w:rPr>
              <w:t>Agile stand-ups, Jira, MS Teams</w:t>
            </w:r>
          </w:p>
        </w:tc>
      </w:tr>
      <w:tr w:rsidR="000E3D46" w14:paraId="7B46FC96" w14:textId="77777777">
        <w:tc>
          <w:tcPr>
            <w:tcW w:w="2686" w:type="dxa"/>
          </w:tcPr>
          <w:p w14:paraId="7B46FC92" w14:textId="77777777" w:rsidR="000E3D46" w:rsidRDefault="00000000">
            <w:pPr>
              <w:rPr>
                <w:color w:val="000000" w:themeColor="text1"/>
                <w:lang w:val="en-GB"/>
              </w:rPr>
            </w:pPr>
            <w:r>
              <w:rPr>
                <w:color w:val="000000" w:themeColor="text1"/>
                <w:lang w:val="en-GB"/>
              </w:rPr>
              <w:t>Regulatory &amp; Quality Assurance</w:t>
            </w:r>
          </w:p>
        </w:tc>
        <w:tc>
          <w:tcPr>
            <w:tcW w:w="2586" w:type="dxa"/>
          </w:tcPr>
          <w:p w14:paraId="7B46FC93" w14:textId="77777777" w:rsidR="000E3D46" w:rsidRDefault="00000000">
            <w:pPr>
              <w:rPr>
                <w:color w:val="000000" w:themeColor="text1"/>
                <w:lang w:val="en-GB"/>
              </w:rPr>
            </w:pPr>
            <w:r>
              <w:rPr>
                <w:color w:val="000000" w:themeColor="text1"/>
                <w:lang w:val="en-GB"/>
              </w:rPr>
              <w:t>Compliance status, risk logs</w:t>
            </w:r>
          </w:p>
        </w:tc>
        <w:tc>
          <w:tcPr>
            <w:tcW w:w="1526" w:type="dxa"/>
          </w:tcPr>
          <w:p w14:paraId="7B46FC94" w14:textId="77777777" w:rsidR="000E3D46" w:rsidRDefault="00000000">
            <w:pPr>
              <w:jc w:val="center"/>
              <w:rPr>
                <w:color w:val="000000" w:themeColor="text1"/>
                <w:lang w:val="en-GB"/>
              </w:rPr>
            </w:pPr>
            <w:r>
              <w:rPr>
                <w:color w:val="000000" w:themeColor="text1"/>
                <w:lang w:val="en-GB"/>
              </w:rPr>
              <w:t>Bi-weekly</w:t>
            </w:r>
          </w:p>
        </w:tc>
        <w:tc>
          <w:tcPr>
            <w:tcW w:w="2552" w:type="dxa"/>
          </w:tcPr>
          <w:p w14:paraId="7B46FC95" w14:textId="77777777" w:rsidR="000E3D46" w:rsidRDefault="00000000">
            <w:pPr>
              <w:rPr>
                <w:color w:val="000000" w:themeColor="text1"/>
                <w:lang w:val="en-GB"/>
              </w:rPr>
            </w:pPr>
            <w:r>
              <w:rPr>
                <w:color w:val="000000" w:themeColor="text1"/>
                <w:lang w:val="en-GB"/>
              </w:rPr>
              <w:t>Stage-gate reviews, compliance reports</w:t>
            </w:r>
          </w:p>
        </w:tc>
      </w:tr>
      <w:tr w:rsidR="000E3D46" w14:paraId="7B46FC9B" w14:textId="77777777">
        <w:tc>
          <w:tcPr>
            <w:tcW w:w="2686" w:type="dxa"/>
          </w:tcPr>
          <w:p w14:paraId="7B46FC97" w14:textId="77777777" w:rsidR="000E3D46" w:rsidRDefault="00000000">
            <w:pPr>
              <w:rPr>
                <w:color w:val="000000" w:themeColor="text1"/>
                <w:lang w:val="en-GB"/>
              </w:rPr>
            </w:pPr>
            <w:r>
              <w:rPr>
                <w:color w:val="000000" w:themeColor="text1"/>
                <w:lang w:val="en-GB"/>
              </w:rPr>
              <w:t>Software &amp; Data teams</w:t>
            </w:r>
          </w:p>
        </w:tc>
        <w:tc>
          <w:tcPr>
            <w:tcW w:w="2586" w:type="dxa"/>
          </w:tcPr>
          <w:p w14:paraId="7B46FC98" w14:textId="77777777" w:rsidR="000E3D46" w:rsidRDefault="00000000">
            <w:pPr>
              <w:rPr>
                <w:color w:val="000000" w:themeColor="text1"/>
                <w:lang w:val="en-GB"/>
              </w:rPr>
            </w:pPr>
            <w:r>
              <w:rPr>
                <w:color w:val="000000" w:themeColor="text1"/>
                <w:lang w:val="en-GB"/>
              </w:rPr>
              <w:t>Algorithm updates, data security</w:t>
            </w:r>
          </w:p>
        </w:tc>
        <w:tc>
          <w:tcPr>
            <w:tcW w:w="1526" w:type="dxa"/>
          </w:tcPr>
          <w:p w14:paraId="7B46FC99" w14:textId="77777777" w:rsidR="000E3D46" w:rsidRDefault="00000000">
            <w:pPr>
              <w:jc w:val="center"/>
              <w:rPr>
                <w:color w:val="000000" w:themeColor="text1"/>
                <w:lang w:val="en-GB"/>
              </w:rPr>
            </w:pPr>
            <w:r>
              <w:rPr>
                <w:color w:val="000000" w:themeColor="text1"/>
                <w:lang w:val="en-GB"/>
              </w:rPr>
              <w:t>Weekly</w:t>
            </w:r>
          </w:p>
        </w:tc>
        <w:tc>
          <w:tcPr>
            <w:tcW w:w="2552" w:type="dxa"/>
          </w:tcPr>
          <w:p w14:paraId="7B46FC9A" w14:textId="77777777" w:rsidR="000E3D46" w:rsidRDefault="00000000">
            <w:pPr>
              <w:rPr>
                <w:color w:val="000000" w:themeColor="text1"/>
                <w:lang w:val="en-GB"/>
              </w:rPr>
            </w:pPr>
            <w:r>
              <w:rPr>
                <w:color w:val="000000" w:themeColor="text1"/>
                <w:lang w:val="en-GB"/>
              </w:rPr>
              <w:t>Technical workshops, project tools</w:t>
            </w:r>
          </w:p>
        </w:tc>
      </w:tr>
      <w:tr w:rsidR="000E3D46" w14:paraId="7B46FCA0" w14:textId="77777777">
        <w:tc>
          <w:tcPr>
            <w:tcW w:w="2686" w:type="dxa"/>
          </w:tcPr>
          <w:p w14:paraId="7B46FC9C" w14:textId="77777777" w:rsidR="000E3D46" w:rsidRDefault="00000000">
            <w:pPr>
              <w:rPr>
                <w:color w:val="000000" w:themeColor="text1"/>
                <w:lang w:val="en-GB"/>
              </w:rPr>
            </w:pPr>
            <w:r>
              <w:rPr>
                <w:color w:val="000000" w:themeColor="text1"/>
                <w:lang w:val="en-GB"/>
              </w:rPr>
              <w:t>Manufacturing &amp; Supply Chain</w:t>
            </w:r>
          </w:p>
        </w:tc>
        <w:tc>
          <w:tcPr>
            <w:tcW w:w="2586" w:type="dxa"/>
          </w:tcPr>
          <w:p w14:paraId="7B46FC9D" w14:textId="77777777" w:rsidR="000E3D46" w:rsidRDefault="00000000">
            <w:pPr>
              <w:rPr>
                <w:color w:val="000000" w:themeColor="text1"/>
                <w:lang w:val="en-GB"/>
              </w:rPr>
            </w:pPr>
            <w:r>
              <w:rPr>
                <w:color w:val="000000" w:themeColor="text1"/>
                <w:lang w:val="en-GB"/>
              </w:rPr>
              <w:t>Production capacity, supplier status</w:t>
            </w:r>
          </w:p>
        </w:tc>
        <w:tc>
          <w:tcPr>
            <w:tcW w:w="1526" w:type="dxa"/>
          </w:tcPr>
          <w:p w14:paraId="7B46FC9E" w14:textId="77777777" w:rsidR="000E3D46" w:rsidRDefault="00000000">
            <w:pPr>
              <w:jc w:val="center"/>
              <w:rPr>
                <w:color w:val="000000" w:themeColor="text1"/>
                <w:lang w:val="en-GB"/>
              </w:rPr>
            </w:pPr>
            <w:r>
              <w:rPr>
                <w:color w:val="000000" w:themeColor="text1"/>
                <w:lang w:val="en-GB"/>
              </w:rPr>
              <w:t>Bi-weekly</w:t>
            </w:r>
          </w:p>
        </w:tc>
        <w:tc>
          <w:tcPr>
            <w:tcW w:w="2552" w:type="dxa"/>
          </w:tcPr>
          <w:p w14:paraId="7B46FC9F" w14:textId="77777777" w:rsidR="000E3D46" w:rsidRDefault="00000000">
            <w:pPr>
              <w:rPr>
                <w:color w:val="000000" w:themeColor="text1"/>
                <w:lang w:val="en-GB"/>
              </w:rPr>
            </w:pPr>
            <w:r>
              <w:rPr>
                <w:color w:val="000000" w:themeColor="text1"/>
                <w:lang w:val="en-GB"/>
              </w:rPr>
              <w:t>Supply chain reports, video calls</w:t>
            </w:r>
          </w:p>
        </w:tc>
      </w:tr>
      <w:tr w:rsidR="000E3D46" w14:paraId="7B46FCA5" w14:textId="77777777">
        <w:tc>
          <w:tcPr>
            <w:tcW w:w="2686" w:type="dxa"/>
          </w:tcPr>
          <w:p w14:paraId="7B46FCA1" w14:textId="77777777" w:rsidR="000E3D46" w:rsidRDefault="00000000">
            <w:pPr>
              <w:rPr>
                <w:color w:val="000000" w:themeColor="text1"/>
                <w:lang w:val="en-GB"/>
              </w:rPr>
            </w:pPr>
            <w:r>
              <w:rPr>
                <w:color w:val="000000" w:themeColor="text1"/>
                <w:lang w:val="en-GB"/>
              </w:rPr>
              <w:t>MHRA (regulator)</w:t>
            </w:r>
          </w:p>
        </w:tc>
        <w:tc>
          <w:tcPr>
            <w:tcW w:w="2586" w:type="dxa"/>
          </w:tcPr>
          <w:p w14:paraId="7B46FCA2" w14:textId="77777777" w:rsidR="000E3D46" w:rsidRDefault="00000000">
            <w:pPr>
              <w:rPr>
                <w:color w:val="000000" w:themeColor="text1"/>
                <w:lang w:val="en-GB"/>
              </w:rPr>
            </w:pPr>
            <w:r>
              <w:rPr>
                <w:color w:val="000000" w:themeColor="text1"/>
                <w:lang w:val="en-GB"/>
              </w:rPr>
              <w:t>Submissions, conformity evidence</w:t>
            </w:r>
          </w:p>
        </w:tc>
        <w:tc>
          <w:tcPr>
            <w:tcW w:w="1526" w:type="dxa"/>
          </w:tcPr>
          <w:p w14:paraId="7B46FCA3" w14:textId="77777777" w:rsidR="000E3D46" w:rsidRDefault="00000000">
            <w:pPr>
              <w:jc w:val="center"/>
              <w:rPr>
                <w:color w:val="000000" w:themeColor="text1"/>
                <w:lang w:val="en-GB"/>
              </w:rPr>
            </w:pPr>
            <w:r>
              <w:rPr>
                <w:color w:val="000000" w:themeColor="text1"/>
                <w:lang w:val="en-GB"/>
              </w:rPr>
              <w:t>Milestone-based</w:t>
            </w:r>
          </w:p>
        </w:tc>
        <w:tc>
          <w:tcPr>
            <w:tcW w:w="2552" w:type="dxa"/>
          </w:tcPr>
          <w:p w14:paraId="7B46FCA4" w14:textId="77777777" w:rsidR="000E3D46" w:rsidRDefault="00000000">
            <w:pPr>
              <w:rPr>
                <w:color w:val="000000" w:themeColor="text1"/>
                <w:lang w:val="en-GB"/>
              </w:rPr>
            </w:pPr>
            <w:r>
              <w:rPr>
                <w:color w:val="000000" w:themeColor="text1"/>
                <w:lang w:val="en-GB"/>
              </w:rPr>
              <w:t>Regulatory dossiers, audits</w:t>
            </w:r>
          </w:p>
        </w:tc>
      </w:tr>
      <w:tr w:rsidR="000E3D46" w14:paraId="7B46FCAA" w14:textId="77777777">
        <w:tc>
          <w:tcPr>
            <w:tcW w:w="2686" w:type="dxa"/>
          </w:tcPr>
          <w:p w14:paraId="7B46FCA6" w14:textId="77777777" w:rsidR="000E3D46" w:rsidRDefault="00000000">
            <w:pPr>
              <w:rPr>
                <w:color w:val="000000" w:themeColor="text1"/>
                <w:lang w:val="en-GB"/>
              </w:rPr>
            </w:pPr>
            <w:r>
              <w:rPr>
                <w:color w:val="000000" w:themeColor="text1"/>
                <w:lang w:val="en-GB"/>
              </w:rPr>
              <w:lastRenderedPageBreak/>
              <w:t>Suppliers &amp; Contract Manufacturers</w:t>
            </w:r>
          </w:p>
        </w:tc>
        <w:tc>
          <w:tcPr>
            <w:tcW w:w="2586" w:type="dxa"/>
          </w:tcPr>
          <w:p w14:paraId="7B46FCA7" w14:textId="77777777" w:rsidR="000E3D46" w:rsidRDefault="00000000">
            <w:pPr>
              <w:rPr>
                <w:color w:val="000000" w:themeColor="text1"/>
                <w:lang w:val="en-GB"/>
              </w:rPr>
            </w:pPr>
            <w:r>
              <w:rPr>
                <w:color w:val="000000" w:themeColor="text1"/>
                <w:lang w:val="en-GB"/>
              </w:rPr>
              <w:t>Orders, KPIs, quality checks</w:t>
            </w:r>
          </w:p>
        </w:tc>
        <w:tc>
          <w:tcPr>
            <w:tcW w:w="1526" w:type="dxa"/>
          </w:tcPr>
          <w:p w14:paraId="7B46FCA8" w14:textId="77777777" w:rsidR="000E3D46" w:rsidRDefault="00000000">
            <w:pPr>
              <w:jc w:val="center"/>
              <w:rPr>
                <w:color w:val="000000" w:themeColor="text1"/>
                <w:lang w:val="en-GB"/>
              </w:rPr>
            </w:pPr>
            <w:r>
              <w:rPr>
                <w:color w:val="000000" w:themeColor="text1"/>
                <w:lang w:val="en-GB"/>
              </w:rPr>
              <w:t>Bi-weekly</w:t>
            </w:r>
          </w:p>
        </w:tc>
        <w:tc>
          <w:tcPr>
            <w:tcW w:w="2552" w:type="dxa"/>
          </w:tcPr>
          <w:p w14:paraId="7B46FCA9" w14:textId="77777777" w:rsidR="000E3D46" w:rsidRDefault="00000000">
            <w:pPr>
              <w:rPr>
                <w:color w:val="000000" w:themeColor="text1"/>
                <w:lang w:val="en-GB"/>
              </w:rPr>
            </w:pPr>
            <w:r>
              <w:rPr>
                <w:color w:val="000000" w:themeColor="text1"/>
                <w:lang w:val="en-GB"/>
              </w:rPr>
              <w:t>SLA reports, email</w:t>
            </w:r>
          </w:p>
        </w:tc>
      </w:tr>
      <w:tr w:rsidR="000E3D46" w14:paraId="7B46FCAF" w14:textId="77777777">
        <w:tc>
          <w:tcPr>
            <w:tcW w:w="2686" w:type="dxa"/>
          </w:tcPr>
          <w:p w14:paraId="7B46FCAB" w14:textId="77777777" w:rsidR="000E3D46" w:rsidRDefault="00000000">
            <w:pPr>
              <w:rPr>
                <w:color w:val="000000" w:themeColor="text1"/>
                <w:lang w:val="en-GB"/>
              </w:rPr>
            </w:pPr>
            <w:r>
              <w:rPr>
                <w:color w:val="000000" w:themeColor="text1"/>
                <w:lang w:val="en-GB"/>
              </w:rPr>
              <w:t>Distributors &amp; Retail partners</w:t>
            </w:r>
          </w:p>
        </w:tc>
        <w:tc>
          <w:tcPr>
            <w:tcW w:w="2586" w:type="dxa"/>
          </w:tcPr>
          <w:p w14:paraId="7B46FCAC" w14:textId="77777777" w:rsidR="000E3D46" w:rsidRDefault="00000000">
            <w:pPr>
              <w:rPr>
                <w:color w:val="000000" w:themeColor="text1"/>
                <w:lang w:val="en-GB"/>
              </w:rPr>
            </w:pPr>
            <w:r>
              <w:rPr>
                <w:color w:val="000000" w:themeColor="text1"/>
                <w:lang w:val="en-GB"/>
              </w:rPr>
              <w:t>Launch timelines, logistics</w:t>
            </w:r>
          </w:p>
        </w:tc>
        <w:tc>
          <w:tcPr>
            <w:tcW w:w="1526" w:type="dxa"/>
          </w:tcPr>
          <w:p w14:paraId="7B46FCAD" w14:textId="77777777" w:rsidR="000E3D46" w:rsidRDefault="00000000">
            <w:pPr>
              <w:jc w:val="center"/>
              <w:rPr>
                <w:color w:val="000000" w:themeColor="text1"/>
                <w:lang w:val="en-GB"/>
              </w:rPr>
            </w:pPr>
            <w:r>
              <w:rPr>
                <w:color w:val="000000" w:themeColor="text1"/>
                <w:lang w:val="en-GB"/>
              </w:rPr>
              <w:t>Monthly</w:t>
            </w:r>
          </w:p>
        </w:tc>
        <w:tc>
          <w:tcPr>
            <w:tcW w:w="2552" w:type="dxa"/>
          </w:tcPr>
          <w:p w14:paraId="7B46FCAE" w14:textId="77777777" w:rsidR="000E3D46" w:rsidRDefault="00000000">
            <w:pPr>
              <w:rPr>
                <w:color w:val="000000" w:themeColor="text1"/>
                <w:lang w:val="en-GB"/>
              </w:rPr>
            </w:pPr>
            <w:r>
              <w:rPr>
                <w:color w:val="000000" w:themeColor="text1"/>
                <w:lang w:val="en-GB"/>
              </w:rPr>
              <w:t>Commercial forums, webinars</w:t>
            </w:r>
          </w:p>
        </w:tc>
      </w:tr>
      <w:tr w:rsidR="000E3D46" w14:paraId="7B46FCB4" w14:textId="77777777">
        <w:tc>
          <w:tcPr>
            <w:tcW w:w="2686" w:type="dxa"/>
          </w:tcPr>
          <w:p w14:paraId="7B46FCB0" w14:textId="77777777" w:rsidR="000E3D46" w:rsidRDefault="00000000">
            <w:pPr>
              <w:rPr>
                <w:color w:val="000000" w:themeColor="text1"/>
                <w:lang w:val="en-GB"/>
              </w:rPr>
            </w:pPr>
            <w:r>
              <w:rPr>
                <w:color w:val="000000" w:themeColor="text1"/>
                <w:lang w:val="en-GB"/>
              </w:rPr>
              <w:t>Clinical Affairs / Medical Advisors</w:t>
            </w:r>
          </w:p>
        </w:tc>
        <w:tc>
          <w:tcPr>
            <w:tcW w:w="2586" w:type="dxa"/>
          </w:tcPr>
          <w:p w14:paraId="7B46FCB1" w14:textId="77777777" w:rsidR="000E3D46" w:rsidRDefault="00000000">
            <w:pPr>
              <w:rPr>
                <w:color w:val="000000" w:themeColor="text1"/>
                <w:lang w:val="en-GB"/>
              </w:rPr>
            </w:pPr>
            <w:r>
              <w:rPr>
                <w:color w:val="000000" w:themeColor="text1"/>
                <w:lang w:val="en-GB"/>
              </w:rPr>
              <w:t>Trial design, usability results</w:t>
            </w:r>
          </w:p>
        </w:tc>
        <w:tc>
          <w:tcPr>
            <w:tcW w:w="1526" w:type="dxa"/>
          </w:tcPr>
          <w:p w14:paraId="7B46FCB2" w14:textId="77777777" w:rsidR="000E3D46" w:rsidRDefault="00000000">
            <w:pPr>
              <w:jc w:val="center"/>
              <w:rPr>
                <w:color w:val="000000" w:themeColor="text1"/>
                <w:lang w:val="en-GB"/>
              </w:rPr>
            </w:pPr>
            <w:r>
              <w:rPr>
                <w:color w:val="000000" w:themeColor="text1"/>
                <w:lang w:val="en-GB"/>
              </w:rPr>
              <w:t>Monthly</w:t>
            </w:r>
          </w:p>
        </w:tc>
        <w:tc>
          <w:tcPr>
            <w:tcW w:w="2552" w:type="dxa"/>
          </w:tcPr>
          <w:p w14:paraId="7B46FCB3" w14:textId="77777777" w:rsidR="000E3D46" w:rsidRDefault="00000000">
            <w:pPr>
              <w:rPr>
                <w:color w:val="000000" w:themeColor="text1"/>
                <w:lang w:val="en-GB"/>
              </w:rPr>
            </w:pPr>
            <w:r>
              <w:rPr>
                <w:color w:val="000000" w:themeColor="text1"/>
                <w:lang w:val="en-GB"/>
              </w:rPr>
              <w:t>Advisory boards, workshops</w:t>
            </w:r>
          </w:p>
        </w:tc>
      </w:tr>
      <w:tr w:rsidR="000E3D46" w14:paraId="7B46FCB9" w14:textId="77777777">
        <w:tc>
          <w:tcPr>
            <w:tcW w:w="2686" w:type="dxa"/>
          </w:tcPr>
          <w:p w14:paraId="7B46FCB5" w14:textId="77777777" w:rsidR="000E3D46" w:rsidRDefault="00000000">
            <w:pPr>
              <w:rPr>
                <w:color w:val="000000" w:themeColor="text1"/>
                <w:lang w:val="en-GB"/>
              </w:rPr>
            </w:pPr>
            <w:r>
              <w:rPr>
                <w:color w:val="000000" w:themeColor="text1"/>
                <w:lang w:val="en-GB"/>
              </w:rPr>
              <w:t>Healthcare providers / NHS clinicians</w:t>
            </w:r>
          </w:p>
        </w:tc>
        <w:tc>
          <w:tcPr>
            <w:tcW w:w="2586" w:type="dxa"/>
          </w:tcPr>
          <w:p w14:paraId="7B46FCB6" w14:textId="77777777" w:rsidR="000E3D46" w:rsidRDefault="00000000">
            <w:pPr>
              <w:rPr>
                <w:color w:val="000000" w:themeColor="text1"/>
                <w:lang w:val="en-GB"/>
              </w:rPr>
            </w:pPr>
            <w:r>
              <w:rPr>
                <w:color w:val="000000" w:themeColor="text1"/>
                <w:lang w:val="en-GB"/>
              </w:rPr>
              <w:t>Pilot results, evidence data</w:t>
            </w:r>
          </w:p>
        </w:tc>
        <w:tc>
          <w:tcPr>
            <w:tcW w:w="1526" w:type="dxa"/>
          </w:tcPr>
          <w:p w14:paraId="7B46FCB7" w14:textId="77777777" w:rsidR="000E3D46" w:rsidRDefault="00000000">
            <w:pPr>
              <w:jc w:val="center"/>
              <w:rPr>
                <w:color w:val="000000" w:themeColor="text1"/>
                <w:lang w:val="en-GB"/>
              </w:rPr>
            </w:pPr>
            <w:r>
              <w:rPr>
                <w:color w:val="000000" w:themeColor="text1"/>
                <w:lang w:val="en-GB"/>
              </w:rPr>
              <w:t>Quarterly</w:t>
            </w:r>
          </w:p>
        </w:tc>
        <w:tc>
          <w:tcPr>
            <w:tcW w:w="2552" w:type="dxa"/>
          </w:tcPr>
          <w:p w14:paraId="7B46FCB8" w14:textId="77777777" w:rsidR="000E3D46" w:rsidRDefault="00000000">
            <w:pPr>
              <w:rPr>
                <w:color w:val="000000" w:themeColor="text1"/>
                <w:lang w:val="en-GB"/>
              </w:rPr>
            </w:pPr>
            <w:r>
              <w:rPr>
                <w:color w:val="000000" w:themeColor="text1"/>
                <w:lang w:val="en-GB"/>
              </w:rPr>
              <w:t>Clinical reports, meetings</w:t>
            </w:r>
          </w:p>
        </w:tc>
      </w:tr>
      <w:tr w:rsidR="000E3D46" w14:paraId="7B46FCBE" w14:textId="77777777">
        <w:tc>
          <w:tcPr>
            <w:tcW w:w="2686" w:type="dxa"/>
          </w:tcPr>
          <w:p w14:paraId="7B46FCBA" w14:textId="77777777" w:rsidR="000E3D46" w:rsidRDefault="00000000">
            <w:pPr>
              <w:rPr>
                <w:color w:val="000000" w:themeColor="text1"/>
                <w:lang w:val="en-GB"/>
              </w:rPr>
            </w:pPr>
            <w:r>
              <w:rPr>
                <w:color w:val="000000" w:themeColor="text1"/>
                <w:lang w:val="en-GB"/>
              </w:rPr>
              <w:t>Marketing, Sales &amp; Commercial</w:t>
            </w:r>
          </w:p>
        </w:tc>
        <w:tc>
          <w:tcPr>
            <w:tcW w:w="2586" w:type="dxa"/>
          </w:tcPr>
          <w:p w14:paraId="7B46FCBB" w14:textId="77777777" w:rsidR="000E3D46" w:rsidRDefault="00000000">
            <w:pPr>
              <w:rPr>
                <w:color w:val="000000" w:themeColor="text1"/>
                <w:lang w:val="en-GB"/>
              </w:rPr>
            </w:pPr>
            <w:r>
              <w:rPr>
                <w:color w:val="000000" w:themeColor="text1"/>
                <w:lang w:val="en-GB"/>
              </w:rPr>
              <w:t>Campaign readiness, rollout plans</w:t>
            </w:r>
          </w:p>
        </w:tc>
        <w:tc>
          <w:tcPr>
            <w:tcW w:w="1526" w:type="dxa"/>
          </w:tcPr>
          <w:p w14:paraId="7B46FCBC" w14:textId="77777777" w:rsidR="000E3D46" w:rsidRDefault="00000000">
            <w:pPr>
              <w:jc w:val="center"/>
              <w:rPr>
                <w:color w:val="000000" w:themeColor="text1"/>
                <w:lang w:val="en-GB"/>
              </w:rPr>
            </w:pPr>
            <w:r>
              <w:rPr>
                <w:color w:val="000000" w:themeColor="text1"/>
                <w:lang w:val="en-GB"/>
              </w:rPr>
              <w:t>Weekly</w:t>
            </w:r>
          </w:p>
        </w:tc>
        <w:tc>
          <w:tcPr>
            <w:tcW w:w="2552" w:type="dxa"/>
          </w:tcPr>
          <w:p w14:paraId="7B46FCBD" w14:textId="77777777" w:rsidR="000E3D46" w:rsidRDefault="00000000">
            <w:pPr>
              <w:rPr>
                <w:color w:val="000000" w:themeColor="text1"/>
                <w:lang w:val="en-GB"/>
              </w:rPr>
            </w:pPr>
            <w:r>
              <w:rPr>
                <w:color w:val="000000" w:themeColor="text1"/>
                <w:lang w:val="en-GB"/>
              </w:rPr>
              <w:t>Marketing meetings, CRM tools</w:t>
            </w:r>
          </w:p>
        </w:tc>
      </w:tr>
      <w:tr w:rsidR="000E3D46" w14:paraId="7B46FCC3" w14:textId="77777777">
        <w:tc>
          <w:tcPr>
            <w:tcW w:w="2686" w:type="dxa"/>
          </w:tcPr>
          <w:p w14:paraId="7B46FCBF" w14:textId="77777777" w:rsidR="000E3D46" w:rsidRDefault="00000000">
            <w:pPr>
              <w:rPr>
                <w:color w:val="000000" w:themeColor="text1"/>
                <w:lang w:val="en-GB"/>
              </w:rPr>
            </w:pPr>
            <w:r>
              <w:rPr>
                <w:color w:val="000000" w:themeColor="text1"/>
                <w:lang w:val="en-GB"/>
              </w:rPr>
              <w:t>End users / Patients / Consumer groups</w:t>
            </w:r>
          </w:p>
        </w:tc>
        <w:tc>
          <w:tcPr>
            <w:tcW w:w="2586" w:type="dxa"/>
          </w:tcPr>
          <w:p w14:paraId="7B46FCC0" w14:textId="77777777" w:rsidR="000E3D46" w:rsidRDefault="00000000">
            <w:pPr>
              <w:rPr>
                <w:color w:val="000000" w:themeColor="text1"/>
                <w:lang w:val="en-GB"/>
              </w:rPr>
            </w:pPr>
            <w:r>
              <w:rPr>
                <w:color w:val="000000" w:themeColor="text1"/>
                <w:lang w:val="en-GB"/>
              </w:rPr>
              <w:t>Beta feedback, product info</w:t>
            </w:r>
          </w:p>
        </w:tc>
        <w:tc>
          <w:tcPr>
            <w:tcW w:w="1526" w:type="dxa"/>
          </w:tcPr>
          <w:p w14:paraId="7B46FCC1" w14:textId="77777777" w:rsidR="000E3D46" w:rsidRDefault="00000000">
            <w:pPr>
              <w:jc w:val="center"/>
              <w:rPr>
                <w:color w:val="000000" w:themeColor="text1"/>
                <w:lang w:val="en-GB"/>
              </w:rPr>
            </w:pPr>
            <w:r>
              <w:rPr>
                <w:color w:val="000000" w:themeColor="text1"/>
                <w:lang w:val="en-GB"/>
              </w:rPr>
              <w:t>Pre/post-launch</w:t>
            </w:r>
          </w:p>
        </w:tc>
        <w:tc>
          <w:tcPr>
            <w:tcW w:w="2552" w:type="dxa"/>
          </w:tcPr>
          <w:p w14:paraId="7B46FCC2" w14:textId="77777777" w:rsidR="000E3D46" w:rsidRDefault="00000000">
            <w:pPr>
              <w:rPr>
                <w:color w:val="000000" w:themeColor="text1"/>
                <w:lang w:val="en-GB"/>
              </w:rPr>
            </w:pPr>
            <w:r>
              <w:rPr>
                <w:color w:val="000000" w:themeColor="text1"/>
                <w:lang w:val="en-GB"/>
              </w:rPr>
              <w:t>Surveys, apps, social media</w:t>
            </w:r>
          </w:p>
        </w:tc>
      </w:tr>
    </w:tbl>
    <w:p w14:paraId="7B46FCC4" w14:textId="77777777" w:rsidR="000E3D46" w:rsidRDefault="00000000">
      <w:pPr>
        <w:jc w:val="center"/>
        <w:rPr>
          <w:b/>
          <w:color w:val="000000" w:themeColor="text1"/>
          <w:lang w:val="en-GB"/>
        </w:rPr>
      </w:pPr>
      <w:r>
        <w:rPr>
          <w:b/>
          <w:color w:val="000000" w:themeColor="text1"/>
          <w:lang w:val="en-GB"/>
        </w:rPr>
        <w:t>Table 3: Stakeholder Communication Plan</w:t>
      </w:r>
    </w:p>
    <w:p w14:paraId="7B46FCC5" w14:textId="77777777" w:rsidR="000E3D46" w:rsidRDefault="00000000">
      <w:pPr>
        <w:jc w:val="center"/>
        <w:rPr>
          <w:color w:val="000000" w:themeColor="text1"/>
          <w:lang w:val="en-GB"/>
        </w:rPr>
      </w:pPr>
      <w:r>
        <w:rPr>
          <w:color w:val="000000" w:themeColor="text1"/>
          <w:lang w:val="en-GB"/>
        </w:rPr>
        <w:t>(Source: Self-created)</w:t>
      </w:r>
    </w:p>
    <w:p w14:paraId="7B46FCC6" w14:textId="77777777" w:rsidR="000E3D46" w:rsidRDefault="00000000">
      <w:pPr>
        <w:pStyle w:val="Heading1"/>
        <w:rPr>
          <w:color w:val="000000" w:themeColor="text1"/>
          <w:lang w:val="en-GB"/>
        </w:rPr>
      </w:pPr>
      <w:bookmarkStart w:id="14" w:name="_Toc209869249"/>
      <w:r>
        <w:rPr>
          <w:color w:val="000000" w:themeColor="text1"/>
          <w:lang w:val="en-GB"/>
        </w:rPr>
        <w:t>4. Roles and responsibilities of the key stakeholders, benefits and challenges stakeholders f</w:t>
      </w:r>
      <w:sdt>
        <w:sdtPr>
          <w:rPr>
            <w:color w:val="000000" w:themeColor="text1"/>
            <w:lang w:val="en-GB"/>
          </w:rPr>
          <w:tag w:val="goog_rdk_7"/>
          <w:id w:val="1417793698"/>
        </w:sdtPr>
        <w:sdtContent/>
      </w:sdt>
      <w:r>
        <w:rPr>
          <w:color w:val="000000" w:themeColor="text1"/>
          <w:lang w:val="en-GB"/>
        </w:rPr>
        <w:t>ace</w:t>
      </w:r>
      <w:bookmarkEnd w:id="14"/>
    </w:p>
    <w:p w14:paraId="7B46FCC7" w14:textId="77777777" w:rsidR="000E3D46" w:rsidRDefault="00000000">
      <w:pPr>
        <w:rPr>
          <w:color w:val="000000" w:themeColor="text1"/>
          <w:lang w:val="en-GB"/>
        </w:rPr>
      </w:pPr>
      <w:r>
        <w:rPr>
          <w:color w:val="000000" w:themeColor="text1"/>
          <w:lang w:val="en-GB"/>
        </w:rPr>
        <w:t>As the project manager for launching the new wearable health device of Renishaw, the key responsibilities include assurance of close engagement of all the internal and external stakeholders. The project manager also needs to ensure that diverse stakeholder groups remain aligned and committed throughout the timeline of the project, which is 6 months. In this project, there will be multiple stakeholder groups with different priorities, which range from executive leadership and R&amp;D teams to NHS partners, regulators, distributors, suppliers, and end users. Considering this complexity, a structured process is essential for stakeholder engagement. To address this positively, the 4Cs model has been applied in the following section. This model includes communication, coordination, cooperation, and collaboration. These combinedly structure both conflict resolution and engagement.</w:t>
      </w:r>
    </w:p>
    <w:p w14:paraId="7B46FCC8" w14:textId="77777777" w:rsidR="000E3D46" w:rsidRDefault="00000000">
      <w:pPr>
        <w:pStyle w:val="Heading2"/>
        <w:rPr>
          <w:color w:val="000000" w:themeColor="text1"/>
          <w:lang w:val="en-GB"/>
        </w:rPr>
      </w:pPr>
      <w:bookmarkStart w:id="15" w:name="_Toc209869250"/>
      <w:r>
        <w:rPr>
          <w:color w:val="000000" w:themeColor="text1"/>
          <w:lang w:val="en-GB"/>
        </w:rPr>
        <w:lastRenderedPageBreak/>
        <w:t>Step 1: Communication</w:t>
      </w:r>
      <w:bookmarkEnd w:id="15"/>
      <w:r>
        <w:rPr>
          <w:color w:val="000000" w:themeColor="text1"/>
          <w:lang w:val="en-GB"/>
        </w:rPr>
        <w:t xml:space="preserve"> </w:t>
      </w:r>
    </w:p>
    <w:p w14:paraId="7B46FCC9" w14:textId="77777777" w:rsidR="000E3D46" w:rsidRDefault="00000000">
      <w:pPr>
        <w:rPr>
          <w:color w:val="000000" w:themeColor="text1"/>
          <w:lang w:val="en-GB"/>
        </w:rPr>
      </w:pPr>
      <w:r>
        <w:rPr>
          <w:b/>
          <w:i/>
          <w:color w:val="000000" w:themeColor="text1"/>
          <w:lang w:val="en-GB"/>
        </w:rPr>
        <w:t>Process of engagement:</w:t>
      </w:r>
      <w:r>
        <w:rPr>
          <w:color w:val="000000" w:themeColor="text1"/>
          <w:lang w:val="en-GB"/>
        </w:rPr>
        <w:t xml:space="preserve"> The practice of communication is the foundation of stakeholder engagement. Therefore, it is necessary to establish a formal plan of communication that can define which individual needs what information through which medium and when. The internal teams, such as software, R&amp;D, and manufacturing, will get frequent updates through stand-ups, agile sprints, and dashboards. The investors and executive leadership will receive monthly reports on project progress with budget forecasts and KPIs (Umana </w:t>
      </w:r>
      <w:r>
        <w:rPr>
          <w:i/>
          <w:color w:val="000000" w:themeColor="text1"/>
          <w:lang w:val="en-GB"/>
        </w:rPr>
        <w:t xml:space="preserve">et al., </w:t>
      </w:r>
      <w:r>
        <w:rPr>
          <w:color w:val="000000" w:themeColor="text1"/>
          <w:lang w:val="en-GB"/>
        </w:rPr>
        <w:t xml:space="preserve">2022, p.46). Therefore, the regulatory authorities, such as the MHRA, will be communicated with through submissions of milestone-based compliance. </w:t>
      </w:r>
    </w:p>
    <w:p w14:paraId="7B46FCCA" w14:textId="77777777" w:rsidR="000E3D46" w:rsidRDefault="00000000">
      <w:pPr>
        <w:rPr>
          <w:color w:val="000000" w:themeColor="text1"/>
          <w:lang w:val="en-GB"/>
        </w:rPr>
      </w:pPr>
      <w:r>
        <w:rPr>
          <w:b/>
          <w:i/>
          <w:color w:val="000000" w:themeColor="text1"/>
          <w:lang w:val="en-GB"/>
        </w:rPr>
        <w:t>Conflict management:</w:t>
      </w:r>
      <w:r>
        <w:rPr>
          <w:color w:val="000000" w:themeColor="text1"/>
          <w:lang w:val="en-GB"/>
        </w:rPr>
        <w:t xml:space="preserve"> Consistent and clear communication can lead to fewer misunderstandings, which are quite common causes of conflict. For instance, if delays in manufacturing threaten deadlines, communicating early with leadership and distributors ensures that expectations are managed early rather than resulting in further disputes (Ellis </w:t>
      </w:r>
      <w:r>
        <w:rPr>
          <w:i/>
          <w:color w:val="000000" w:themeColor="text1"/>
          <w:lang w:val="en-GB"/>
        </w:rPr>
        <w:t xml:space="preserve">et al., </w:t>
      </w:r>
      <w:r>
        <w:rPr>
          <w:color w:val="000000" w:themeColor="text1"/>
          <w:lang w:val="en-GB"/>
        </w:rPr>
        <w:t xml:space="preserve">1991, p.41). It will also be the duty of the project manager to implement two-way channels, such as Q&amp;A forums for user and staff feedback systems, so the flow of communication stays upward as well as downward. </w:t>
      </w:r>
    </w:p>
    <w:p w14:paraId="7B46FCCB" w14:textId="77777777" w:rsidR="000E3D46" w:rsidRDefault="00000000">
      <w:pPr>
        <w:pStyle w:val="Heading2"/>
        <w:rPr>
          <w:color w:val="000000" w:themeColor="text1"/>
          <w:lang w:val="en-GB"/>
        </w:rPr>
      </w:pPr>
      <w:bookmarkStart w:id="16" w:name="_Toc209869251"/>
      <w:r>
        <w:rPr>
          <w:color w:val="000000" w:themeColor="text1"/>
          <w:lang w:val="en-GB"/>
        </w:rPr>
        <w:t>Step 2: Coordination</w:t>
      </w:r>
      <w:bookmarkEnd w:id="16"/>
    </w:p>
    <w:p w14:paraId="7B46FCCC" w14:textId="77777777" w:rsidR="000E3D46" w:rsidRDefault="00000000">
      <w:pPr>
        <w:rPr>
          <w:color w:val="000000" w:themeColor="text1"/>
          <w:lang w:val="en-GB"/>
        </w:rPr>
      </w:pPr>
      <w:r>
        <w:rPr>
          <w:b/>
          <w:i/>
          <w:color w:val="000000" w:themeColor="text1"/>
          <w:lang w:val="en-GB"/>
        </w:rPr>
        <w:t>Process of engagement:</w:t>
      </w:r>
      <w:r>
        <w:rPr>
          <w:color w:val="000000" w:themeColor="text1"/>
          <w:lang w:val="en-GB"/>
        </w:rPr>
        <w:t xml:space="preserve"> Coordination helps align the independent activities across diverse stakeholders. For the internal stakeholder groups, the project management platforms will be leveraged, such as Jira and MS Teams (Pereira </w:t>
      </w:r>
      <w:r>
        <w:rPr>
          <w:i/>
          <w:color w:val="000000" w:themeColor="text1"/>
          <w:lang w:val="en-GB"/>
        </w:rPr>
        <w:t xml:space="preserve">et al., </w:t>
      </w:r>
      <w:r>
        <w:rPr>
          <w:color w:val="000000" w:themeColor="text1"/>
          <w:lang w:val="en-GB"/>
        </w:rPr>
        <w:t xml:space="preserve">2025, p.814). These platforms are significant for integrating software, R&amp;D, and supply chain workflows. It ensures that changes in design are visible instantly to the manufacturing teams, and the marketing team is updated on the estimated time of product launch. </w:t>
      </w:r>
    </w:p>
    <w:p w14:paraId="7B46FCCD" w14:textId="77777777" w:rsidR="000E3D46" w:rsidRDefault="00000000">
      <w:pPr>
        <w:rPr>
          <w:color w:val="000000" w:themeColor="text1"/>
          <w:lang w:val="en-GB"/>
        </w:rPr>
      </w:pPr>
      <w:r>
        <w:rPr>
          <w:b/>
          <w:i/>
          <w:color w:val="000000" w:themeColor="text1"/>
          <w:lang w:val="en-GB"/>
        </w:rPr>
        <w:t>Conflict management:</w:t>
      </w:r>
      <w:r>
        <w:rPr>
          <w:color w:val="000000" w:themeColor="text1"/>
          <w:lang w:val="en-GB"/>
        </w:rPr>
        <w:t xml:space="preserve"> The arrival of conflict in the project team arises when the priorities clash. For instance, if the R&amp;D team pushes for improvement of product design and the supply teams prioritise stability of production, conflict may arise. Therefore, coordination assists through the creation of milestones, shared schedules, and accountability frameworks, such as the RACI matrix. If disputes occur, the project manager can mediate through revisiting the project timeline agreed upon before, maintaining balance between trade-offs, and ensuring transparency. For example, if </w:t>
      </w:r>
      <w:r>
        <w:rPr>
          <w:color w:val="000000" w:themeColor="text1"/>
          <w:lang w:val="en-GB"/>
        </w:rPr>
        <w:lastRenderedPageBreak/>
        <w:t xml:space="preserve">redesigning a sensor can delay production, coordination ensures that leadership understands the trade-off between time-to-market and quality assurance. </w:t>
      </w:r>
    </w:p>
    <w:p w14:paraId="7B46FCCE" w14:textId="77777777" w:rsidR="000E3D46" w:rsidRDefault="00000000">
      <w:pPr>
        <w:pStyle w:val="Heading2"/>
        <w:rPr>
          <w:color w:val="000000" w:themeColor="text1"/>
          <w:lang w:val="en-GB"/>
        </w:rPr>
      </w:pPr>
      <w:bookmarkStart w:id="17" w:name="_Toc209869252"/>
      <w:r>
        <w:rPr>
          <w:color w:val="000000" w:themeColor="text1"/>
          <w:lang w:val="en-GB"/>
        </w:rPr>
        <w:t>Step 3: Cooperation</w:t>
      </w:r>
      <w:bookmarkEnd w:id="17"/>
    </w:p>
    <w:p w14:paraId="7B46FCCF" w14:textId="7C2DDDA7" w:rsidR="000E3D46" w:rsidRDefault="00000000">
      <w:pPr>
        <w:rPr>
          <w:color w:val="000000" w:themeColor="text1"/>
          <w:lang w:val="en-GB"/>
        </w:rPr>
      </w:pPr>
      <w:r>
        <w:rPr>
          <w:b/>
          <w:i/>
          <w:color w:val="000000" w:themeColor="text1"/>
          <w:lang w:val="en-GB"/>
        </w:rPr>
        <w:t>Process of engagement:</w:t>
      </w:r>
      <w:r>
        <w:rPr>
          <w:color w:val="000000" w:themeColor="text1"/>
          <w:lang w:val="en-GB"/>
        </w:rPr>
        <w:t xml:space="preserve"> Cooperation involves ensuring that all the stakeholders are willing to work to achieve shared goals despite differing interests. It is the duty of the project manager to promote cooperation through the clarification of the shared vision of the project proposed by Renishaw. The internal stakeholder groups will be reminded that their joint success can help in determining the credibility of the newly invented </w:t>
      </w:r>
      <w:r w:rsidR="00624E2D">
        <w:rPr>
          <w:color w:val="000000" w:themeColor="text1"/>
          <w:lang w:val="en-GB"/>
        </w:rPr>
        <w:t>smart watch</w:t>
      </w:r>
      <w:r>
        <w:rPr>
          <w:color w:val="000000" w:themeColor="text1"/>
          <w:lang w:val="en-GB"/>
        </w:rPr>
        <w:t xml:space="preserve"> device. Furthermore, the external stakeholders will be engaged through pilot partnerships, cooperative agreements, and aligned incentives like co-branding and long-term contract opportunities. </w:t>
      </w:r>
    </w:p>
    <w:p w14:paraId="7B46FCD0" w14:textId="77777777" w:rsidR="000E3D46" w:rsidRDefault="00000000">
      <w:pPr>
        <w:rPr>
          <w:color w:val="000000" w:themeColor="text1"/>
          <w:lang w:val="en-GB"/>
        </w:rPr>
      </w:pPr>
      <w:r>
        <w:rPr>
          <w:b/>
          <w:i/>
          <w:color w:val="000000" w:themeColor="text1"/>
          <w:lang w:val="en-GB"/>
        </w:rPr>
        <w:t>Conflict management:</w:t>
      </w:r>
      <w:r>
        <w:rPr>
          <w:color w:val="000000" w:themeColor="text1"/>
          <w:lang w:val="en-GB"/>
        </w:rPr>
        <w:t xml:space="preserve"> During the emergence of conflicts, for instance, between higher price demand by suppliers and cost control demand by manufacturers, negotiation should be done in cooperation. Therefore, as the project manager, these will be approached through the identification of mutual benefits. </w:t>
      </w:r>
    </w:p>
    <w:p w14:paraId="7B46FCD1" w14:textId="77777777" w:rsidR="000E3D46" w:rsidRDefault="00000000">
      <w:pPr>
        <w:pStyle w:val="Heading2"/>
        <w:rPr>
          <w:color w:val="000000" w:themeColor="text1"/>
          <w:lang w:val="en-GB"/>
        </w:rPr>
      </w:pPr>
      <w:bookmarkStart w:id="18" w:name="_Toc209869253"/>
      <w:r>
        <w:rPr>
          <w:color w:val="000000" w:themeColor="text1"/>
          <w:lang w:val="en-GB"/>
        </w:rPr>
        <w:t>Step 4: Collaboration</w:t>
      </w:r>
      <w:bookmarkEnd w:id="18"/>
    </w:p>
    <w:p w14:paraId="7B46FCD2" w14:textId="77777777" w:rsidR="000E3D46" w:rsidRDefault="00000000">
      <w:pPr>
        <w:rPr>
          <w:b/>
          <w:i/>
          <w:color w:val="000000" w:themeColor="text1"/>
          <w:lang w:val="en-GB"/>
        </w:rPr>
      </w:pPr>
      <w:r>
        <w:rPr>
          <w:b/>
          <w:i/>
          <w:color w:val="000000" w:themeColor="text1"/>
          <w:lang w:val="en-GB"/>
        </w:rPr>
        <w:t xml:space="preserve">Engagement process: </w:t>
      </w:r>
      <w:r>
        <w:rPr>
          <w:color w:val="000000" w:themeColor="text1"/>
          <w:lang w:val="en-GB"/>
        </w:rPr>
        <w:t xml:space="preserve">Collaboration does not have to be limited to cooperation and coordination by generating joint value. Teamwork should be enabled with the creation of cross-functional teams where the views are combined (Ahmad </w:t>
      </w:r>
      <w:r>
        <w:rPr>
          <w:i/>
          <w:color w:val="000000" w:themeColor="text1"/>
          <w:lang w:val="en-GB"/>
        </w:rPr>
        <w:t>et al.,</w:t>
      </w:r>
      <w:r>
        <w:rPr>
          <w:color w:val="000000" w:themeColor="text1"/>
          <w:lang w:val="en-GB"/>
        </w:rPr>
        <w:t xml:space="preserve"> 2023, p.129). The partnership with the NHS partners in the pilot programs will be able to provide strong evidence to justify the acceptance by the market, as well as the regulatory approval.</w:t>
      </w:r>
      <w:r>
        <w:rPr>
          <w:b/>
          <w:i/>
          <w:color w:val="000000" w:themeColor="text1"/>
          <w:lang w:val="en-GB"/>
        </w:rPr>
        <w:t xml:space="preserve"> </w:t>
      </w:r>
    </w:p>
    <w:p w14:paraId="7B46FCD3" w14:textId="77777777" w:rsidR="000E3D46" w:rsidRDefault="00000000">
      <w:pPr>
        <w:rPr>
          <w:color w:val="000000" w:themeColor="text1"/>
          <w:lang w:val="en-GB"/>
        </w:rPr>
      </w:pPr>
      <w:r>
        <w:rPr>
          <w:b/>
          <w:i/>
          <w:color w:val="000000" w:themeColor="text1"/>
          <w:lang w:val="en-GB"/>
        </w:rPr>
        <w:t xml:space="preserve">Conflict management: </w:t>
      </w:r>
      <w:r>
        <w:rPr>
          <w:color w:val="000000" w:themeColor="text1"/>
          <w:lang w:val="en-GB"/>
        </w:rPr>
        <w:t xml:space="preserve">This is greatly applicable in diffusing the deep-rooted conflicts in which vast differences in the point of view exist. Should there be increased compliance on the part of the regulators, then the project manager can start some collaborative solution-finding sessions with the leadership, the QA and the regulators. </w:t>
      </w:r>
    </w:p>
    <w:p w14:paraId="7B46FCD4" w14:textId="77777777" w:rsidR="000E3D46" w:rsidRDefault="00000000">
      <w:pPr>
        <w:pStyle w:val="Heading2"/>
        <w:rPr>
          <w:color w:val="000000" w:themeColor="text1"/>
          <w:lang w:val="en-GB"/>
        </w:rPr>
      </w:pPr>
      <w:bookmarkStart w:id="19" w:name="_Toc209869254"/>
      <w:r>
        <w:rPr>
          <w:color w:val="000000" w:themeColor="text1"/>
          <w:lang w:val="en-GB"/>
        </w:rPr>
        <w:lastRenderedPageBreak/>
        <w:t>Roles and responsibilities of Internal Stakeholders and challenges</w:t>
      </w:r>
      <w:bookmarkEnd w:id="19"/>
      <w:r>
        <w:rPr>
          <w:color w:val="000000" w:themeColor="text1"/>
          <w:lang w:val="en-GB"/>
        </w:rPr>
        <w:t xml:space="preserve"> </w:t>
      </w:r>
    </w:p>
    <w:tbl>
      <w:tblPr>
        <w:tblStyle w:val="Style38"/>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1872"/>
        <w:gridCol w:w="1872"/>
        <w:gridCol w:w="1872"/>
        <w:gridCol w:w="1872"/>
        <w:gridCol w:w="1872"/>
      </w:tblGrid>
      <w:tr w:rsidR="000E3D46" w14:paraId="7B46FCDA" w14:textId="77777777">
        <w:trPr>
          <w:jc w:val="center"/>
        </w:trPr>
        <w:tc>
          <w:tcPr>
            <w:tcW w:w="1872" w:type="dxa"/>
            <w:tcMar>
              <w:top w:w="100" w:type="dxa"/>
              <w:left w:w="100" w:type="dxa"/>
              <w:bottom w:w="100" w:type="dxa"/>
              <w:right w:w="100" w:type="dxa"/>
            </w:tcMar>
          </w:tcPr>
          <w:p w14:paraId="7B46FCD5" w14:textId="77777777" w:rsidR="000E3D46" w:rsidRDefault="00000000">
            <w:pPr>
              <w:widowControl w:val="0"/>
              <w:jc w:val="center"/>
              <w:rPr>
                <w:b/>
                <w:color w:val="000000" w:themeColor="text1"/>
                <w:lang w:val="en-GB"/>
              </w:rPr>
            </w:pPr>
            <w:r>
              <w:rPr>
                <w:b/>
                <w:color w:val="000000" w:themeColor="text1"/>
                <w:lang w:val="en-GB"/>
              </w:rPr>
              <w:t>Stakeholders</w:t>
            </w:r>
          </w:p>
        </w:tc>
        <w:tc>
          <w:tcPr>
            <w:tcW w:w="1872" w:type="dxa"/>
            <w:tcMar>
              <w:top w:w="100" w:type="dxa"/>
              <w:left w:w="100" w:type="dxa"/>
              <w:bottom w:w="100" w:type="dxa"/>
              <w:right w:w="100" w:type="dxa"/>
            </w:tcMar>
          </w:tcPr>
          <w:p w14:paraId="7B46FCD6" w14:textId="77777777" w:rsidR="000E3D46" w:rsidRDefault="00000000">
            <w:pPr>
              <w:widowControl w:val="0"/>
              <w:jc w:val="center"/>
              <w:rPr>
                <w:b/>
                <w:color w:val="000000" w:themeColor="text1"/>
                <w:lang w:val="en-GB"/>
              </w:rPr>
            </w:pPr>
            <w:r>
              <w:rPr>
                <w:b/>
                <w:color w:val="000000" w:themeColor="text1"/>
                <w:lang w:val="en-GB"/>
              </w:rPr>
              <w:t>Roles</w:t>
            </w:r>
          </w:p>
        </w:tc>
        <w:tc>
          <w:tcPr>
            <w:tcW w:w="1872" w:type="dxa"/>
            <w:tcMar>
              <w:top w:w="100" w:type="dxa"/>
              <w:left w:w="100" w:type="dxa"/>
              <w:bottom w:w="100" w:type="dxa"/>
              <w:right w:w="100" w:type="dxa"/>
            </w:tcMar>
          </w:tcPr>
          <w:p w14:paraId="7B46FCD7" w14:textId="77777777" w:rsidR="000E3D46" w:rsidRDefault="00000000">
            <w:pPr>
              <w:widowControl w:val="0"/>
              <w:jc w:val="center"/>
              <w:rPr>
                <w:b/>
                <w:color w:val="000000" w:themeColor="text1"/>
                <w:lang w:val="en-GB"/>
              </w:rPr>
            </w:pPr>
            <w:r>
              <w:rPr>
                <w:b/>
                <w:color w:val="000000" w:themeColor="text1"/>
                <w:lang w:val="en-GB"/>
              </w:rPr>
              <w:t>Responsibilities</w:t>
            </w:r>
          </w:p>
        </w:tc>
        <w:tc>
          <w:tcPr>
            <w:tcW w:w="1872" w:type="dxa"/>
            <w:tcMar>
              <w:top w:w="100" w:type="dxa"/>
              <w:left w:w="100" w:type="dxa"/>
              <w:bottom w:w="100" w:type="dxa"/>
              <w:right w:w="100" w:type="dxa"/>
            </w:tcMar>
          </w:tcPr>
          <w:p w14:paraId="7B46FCD8" w14:textId="77777777" w:rsidR="000E3D46" w:rsidRDefault="00000000">
            <w:pPr>
              <w:widowControl w:val="0"/>
              <w:jc w:val="center"/>
              <w:rPr>
                <w:b/>
                <w:color w:val="000000" w:themeColor="text1"/>
                <w:lang w:val="en-GB"/>
              </w:rPr>
            </w:pPr>
            <w:r>
              <w:rPr>
                <w:b/>
                <w:color w:val="000000" w:themeColor="text1"/>
                <w:lang w:val="en-GB"/>
              </w:rPr>
              <w:t>Benefits</w:t>
            </w:r>
          </w:p>
        </w:tc>
        <w:tc>
          <w:tcPr>
            <w:tcW w:w="1872" w:type="dxa"/>
            <w:tcMar>
              <w:top w:w="100" w:type="dxa"/>
              <w:left w:w="100" w:type="dxa"/>
              <w:bottom w:w="100" w:type="dxa"/>
              <w:right w:w="100" w:type="dxa"/>
            </w:tcMar>
          </w:tcPr>
          <w:p w14:paraId="7B46FCD9" w14:textId="77777777" w:rsidR="000E3D46" w:rsidRDefault="00000000">
            <w:pPr>
              <w:widowControl w:val="0"/>
              <w:jc w:val="center"/>
              <w:rPr>
                <w:b/>
                <w:color w:val="000000" w:themeColor="text1"/>
                <w:lang w:val="en-GB"/>
              </w:rPr>
            </w:pPr>
            <w:r>
              <w:rPr>
                <w:b/>
                <w:color w:val="000000" w:themeColor="text1"/>
                <w:lang w:val="en-GB"/>
              </w:rPr>
              <w:t>Challenges</w:t>
            </w:r>
          </w:p>
        </w:tc>
      </w:tr>
      <w:tr w:rsidR="000E3D46" w14:paraId="7B46FCE0" w14:textId="77777777">
        <w:trPr>
          <w:jc w:val="center"/>
        </w:trPr>
        <w:tc>
          <w:tcPr>
            <w:tcW w:w="1872" w:type="dxa"/>
            <w:tcMar>
              <w:top w:w="100" w:type="dxa"/>
              <w:left w:w="100" w:type="dxa"/>
              <w:bottom w:w="100" w:type="dxa"/>
              <w:right w:w="100" w:type="dxa"/>
            </w:tcMar>
          </w:tcPr>
          <w:p w14:paraId="7B46FCDB" w14:textId="77777777" w:rsidR="000E3D46" w:rsidRDefault="00000000">
            <w:pPr>
              <w:spacing w:before="240" w:after="240"/>
              <w:rPr>
                <w:color w:val="000000" w:themeColor="text1"/>
                <w:lang w:val="en-GB"/>
              </w:rPr>
            </w:pPr>
            <w:r>
              <w:rPr>
                <w:color w:val="000000" w:themeColor="text1"/>
                <w:lang w:val="en-GB"/>
              </w:rPr>
              <w:t>Executive leadership or Board Members</w:t>
            </w:r>
          </w:p>
        </w:tc>
        <w:tc>
          <w:tcPr>
            <w:tcW w:w="1872" w:type="dxa"/>
            <w:tcMar>
              <w:top w:w="100" w:type="dxa"/>
              <w:left w:w="100" w:type="dxa"/>
              <w:bottom w:w="100" w:type="dxa"/>
              <w:right w:w="100" w:type="dxa"/>
            </w:tcMar>
          </w:tcPr>
          <w:p w14:paraId="7B46FCDC" w14:textId="77777777" w:rsidR="000E3D46" w:rsidRDefault="00000000">
            <w:pPr>
              <w:ind w:right="140"/>
              <w:rPr>
                <w:color w:val="000000" w:themeColor="text1"/>
                <w:lang w:val="en-GB"/>
              </w:rPr>
            </w:pPr>
            <w:r>
              <w:rPr>
                <w:color w:val="000000" w:themeColor="text1"/>
                <w:lang w:val="en-GB"/>
              </w:rPr>
              <w:t xml:space="preserve">Provide a different strategic direction, approving the budget and also ensuring significant alignment with the company's objectives. </w:t>
            </w:r>
          </w:p>
        </w:tc>
        <w:tc>
          <w:tcPr>
            <w:tcW w:w="1872" w:type="dxa"/>
            <w:tcMar>
              <w:top w:w="100" w:type="dxa"/>
              <w:left w:w="100" w:type="dxa"/>
              <w:bottom w:w="100" w:type="dxa"/>
              <w:right w:w="100" w:type="dxa"/>
            </w:tcMar>
          </w:tcPr>
          <w:p w14:paraId="7B46FCDD" w14:textId="77777777" w:rsidR="000E3D46" w:rsidRDefault="00000000">
            <w:pPr>
              <w:ind w:right="140"/>
              <w:rPr>
                <w:color w:val="000000" w:themeColor="text1"/>
                <w:lang w:val="en-GB"/>
              </w:rPr>
            </w:pPr>
            <w:r>
              <w:rPr>
                <w:color w:val="000000" w:themeColor="text1"/>
                <w:lang w:val="en-GB"/>
              </w:rPr>
              <w:t>They are mainly accountable for different outcomes of projects (Ashcroft, 2017).</w:t>
            </w:r>
          </w:p>
        </w:tc>
        <w:tc>
          <w:tcPr>
            <w:tcW w:w="1872" w:type="dxa"/>
            <w:tcMar>
              <w:top w:w="100" w:type="dxa"/>
              <w:left w:w="100" w:type="dxa"/>
              <w:bottom w:w="100" w:type="dxa"/>
              <w:right w:w="100" w:type="dxa"/>
            </w:tcMar>
          </w:tcPr>
          <w:p w14:paraId="7B46FCDE" w14:textId="77777777" w:rsidR="000E3D46" w:rsidRDefault="00000000">
            <w:pPr>
              <w:ind w:right="140"/>
              <w:rPr>
                <w:color w:val="000000" w:themeColor="text1"/>
                <w:lang w:val="en-GB"/>
              </w:rPr>
            </w:pPr>
            <w:r>
              <w:rPr>
                <w:color w:val="000000" w:themeColor="text1"/>
                <w:lang w:val="en-GB"/>
              </w:rPr>
              <w:t>Their engagement ensures organisational support and resource allocation.</w:t>
            </w:r>
          </w:p>
        </w:tc>
        <w:tc>
          <w:tcPr>
            <w:tcW w:w="1872" w:type="dxa"/>
            <w:tcMar>
              <w:top w:w="100" w:type="dxa"/>
              <w:left w:w="100" w:type="dxa"/>
              <w:bottom w:w="100" w:type="dxa"/>
              <w:right w:w="100" w:type="dxa"/>
            </w:tcMar>
          </w:tcPr>
          <w:p w14:paraId="7B46FCDF" w14:textId="77777777" w:rsidR="000E3D46" w:rsidRDefault="00000000">
            <w:pPr>
              <w:ind w:right="140"/>
              <w:rPr>
                <w:color w:val="000000" w:themeColor="text1"/>
                <w:lang w:val="en-GB"/>
              </w:rPr>
            </w:pPr>
            <w:r>
              <w:rPr>
                <w:color w:val="000000" w:themeColor="text1"/>
                <w:lang w:val="en-GB"/>
              </w:rPr>
              <w:t>Challenges include balancing risk, cost and the project scope. Engagement helps in ensuring better organisational support and significant resource allocation.</w:t>
            </w:r>
          </w:p>
        </w:tc>
      </w:tr>
      <w:tr w:rsidR="000E3D46" w14:paraId="7B46FCE6" w14:textId="77777777">
        <w:trPr>
          <w:jc w:val="center"/>
        </w:trPr>
        <w:tc>
          <w:tcPr>
            <w:tcW w:w="1872" w:type="dxa"/>
            <w:tcMar>
              <w:top w:w="100" w:type="dxa"/>
              <w:left w:w="100" w:type="dxa"/>
              <w:bottom w:w="100" w:type="dxa"/>
              <w:right w:w="100" w:type="dxa"/>
            </w:tcMar>
          </w:tcPr>
          <w:p w14:paraId="7B46FCE1" w14:textId="77777777" w:rsidR="000E3D46" w:rsidRDefault="00000000">
            <w:pPr>
              <w:spacing w:before="240" w:after="240"/>
              <w:rPr>
                <w:color w:val="000000" w:themeColor="text1"/>
                <w:lang w:val="en-GB"/>
              </w:rPr>
            </w:pPr>
            <w:r>
              <w:rPr>
                <w:color w:val="000000" w:themeColor="text1"/>
                <w:lang w:val="en-GB"/>
              </w:rPr>
              <w:t>Product development or R&amp;D Teams</w:t>
            </w:r>
          </w:p>
        </w:tc>
        <w:tc>
          <w:tcPr>
            <w:tcW w:w="1872" w:type="dxa"/>
            <w:tcMar>
              <w:top w:w="100" w:type="dxa"/>
              <w:left w:w="100" w:type="dxa"/>
              <w:bottom w:w="100" w:type="dxa"/>
              <w:right w:w="100" w:type="dxa"/>
            </w:tcMar>
          </w:tcPr>
          <w:p w14:paraId="7B46FCE2" w14:textId="77777777" w:rsidR="000E3D46" w:rsidRDefault="00000000">
            <w:pPr>
              <w:ind w:right="140"/>
              <w:rPr>
                <w:color w:val="000000" w:themeColor="text1"/>
                <w:lang w:val="en-GB"/>
              </w:rPr>
            </w:pPr>
            <w:r>
              <w:rPr>
                <w:color w:val="000000" w:themeColor="text1"/>
                <w:lang w:val="en-GB"/>
              </w:rPr>
              <w:t>Responsible for a significant design of the device, functionality and the prototype development.</w:t>
            </w:r>
          </w:p>
        </w:tc>
        <w:tc>
          <w:tcPr>
            <w:tcW w:w="1872" w:type="dxa"/>
            <w:tcMar>
              <w:top w:w="100" w:type="dxa"/>
              <w:left w:w="100" w:type="dxa"/>
              <w:bottom w:w="100" w:type="dxa"/>
              <w:right w:w="100" w:type="dxa"/>
            </w:tcMar>
          </w:tcPr>
          <w:p w14:paraId="7B46FCE3" w14:textId="77777777" w:rsidR="000E3D46" w:rsidRDefault="00000000">
            <w:pPr>
              <w:ind w:right="140"/>
              <w:rPr>
                <w:color w:val="000000" w:themeColor="text1"/>
                <w:lang w:val="en-GB"/>
              </w:rPr>
            </w:pPr>
            <w:r>
              <w:rPr>
                <w:color w:val="000000" w:themeColor="text1"/>
                <w:lang w:val="en-GB"/>
              </w:rPr>
              <w:t xml:space="preserve">They are mainly responsible for ensuring different technical quality and significant innovation (Christopher </w:t>
            </w:r>
            <w:r>
              <w:rPr>
                <w:i/>
                <w:color w:val="000000" w:themeColor="text1"/>
                <w:lang w:val="en-GB"/>
              </w:rPr>
              <w:t xml:space="preserve">et al., </w:t>
            </w:r>
            <w:r>
              <w:rPr>
                <w:color w:val="000000" w:themeColor="text1"/>
                <w:lang w:val="en-GB"/>
              </w:rPr>
              <w:t>2013).</w:t>
            </w:r>
          </w:p>
        </w:tc>
        <w:tc>
          <w:tcPr>
            <w:tcW w:w="1872" w:type="dxa"/>
            <w:tcMar>
              <w:top w:w="100" w:type="dxa"/>
              <w:left w:w="100" w:type="dxa"/>
              <w:bottom w:w="100" w:type="dxa"/>
              <w:right w:w="100" w:type="dxa"/>
            </w:tcMar>
          </w:tcPr>
          <w:p w14:paraId="7B46FCE4" w14:textId="77777777" w:rsidR="000E3D46" w:rsidRDefault="00000000">
            <w:pPr>
              <w:ind w:right="140"/>
              <w:rPr>
                <w:color w:val="000000" w:themeColor="text1"/>
                <w:lang w:val="en-GB"/>
              </w:rPr>
            </w:pPr>
            <w:r>
              <w:rPr>
                <w:color w:val="000000" w:themeColor="text1"/>
                <w:lang w:val="en-GB"/>
              </w:rPr>
              <w:t>Their contributions drive product feasibility and competitiveness.</w:t>
            </w:r>
          </w:p>
        </w:tc>
        <w:tc>
          <w:tcPr>
            <w:tcW w:w="1872" w:type="dxa"/>
            <w:tcMar>
              <w:top w:w="100" w:type="dxa"/>
              <w:left w:w="100" w:type="dxa"/>
              <w:bottom w:w="100" w:type="dxa"/>
              <w:right w:w="100" w:type="dxa"/>
            </w:tcMar>
          </w:tcPr>
          <w:p w14:paraId="7B46FCE5" w14:textId="77777777" w:rsidR="000E3D46" w:rsidRDefault="00000000">
            <w:pPr>
              <w:ind w:right="140"/>
              <w:rPr>
                <w:color w:val="000000" w:themeColor="text1"/>
                <w:lang w:val="en-GB"/>
              </w:rPr>
            </w:pPr>
            <w:r>
              <w:rPr>
                <w:color w:val="000000" w:themeColor="text1"/>
                <w:lang w:val="en-GB"/>
              </w:rPr>
              <w:t xml:space="preserve">Important challenges include meeting the tight deadline and also integrating the multidisciplinary inputs. </w:t>
            </w:r>
          </w:p>
        </w:tc>
      </w:tr>
      <w:tr w:rsidR="000E3D46" w14:paraId="7B46FCEC" w14:textId="77777777">
        <w:trPr>
          <w:jc w:val="center"/>
        </w:trPr>
        <w:tc>
          <w:tcPr>
            <w:tcW w:w="1872" w:type="dxa"/>
            <w:tcMar>
              <w:top w:w="100" w:type="dxa"/>
              <w:left w:w="100" w:type="dxa"/>
              <w:bottom w:w="100" w:type="dxa"/>
              <w:right w:w="100" w:type="dxa"/>
            </w:tcMar>
          </w:tcPr>
          <w:p w14:paraId="7B46FCE7" w14:textId="77777777" w:rsidR="000E3D46" w:rsidRDefault="00000000">
            <w:pPr>
              <w:spacing w:before="240" w:after="240"/>
              <w:rPr>
                <w:color w:val="000000" w:themeColor="text1"/>
                <w:lang w:val="en-GB"/>
              </w:rPr>
            </w:pPr>
            <w:r>
              <w:rPr>
                <w:color w:val="000000" w:themeColor="text1"/>
                <w:lang w:val="en-GB"/>
              </w:rPr>
              <w:lastRenderedPageBreak/>
              <w:t>Regulatory and Quality Assurance</w:t>
            </w:r>
          </w:p>
        </w:tc>
        <w:tc>
          <w:tcPr>
            <w:tcW w:w="1872" w:type="dxa"/>
            <w:tcMar>
              <w:top w:w="100" w:type="dxa"/>
              <w:left w:w="100" w:type="dxa"/>
              <w:bottom w:w="100" w:type="dxa"/>
              <w:right w:w="100" w:type="dxa"/>
            </w:tcMar>
          </w:tcPr>
          <w:p w14:paraId="7B46FCE8" w14:textId="77777777" w:rsidR="000E3D46" w:rsidRDefault="00000000">
            <w:pPr>
              <w:widowControl w:val="0"/>
              <w:rPr>
                <w:color w:val="000000" w:themeColor="text1"/>
                <w:lang w:val="en-GB"/>
              </w:rPr>
            </w:pPr>
            <w:r>
              <w:rPr>
                <w:color w:val="000000" w:themeColor="text1"/>
                <w:lang w:val="en-GB"/>
              </w:rPr>
              <w:t xml:space="preserve">Ensure compliance with UK MHRA and EU medical device regulations and internal quality standards. </w:t>
            </w:r>
          </w:p>
        </w:tc>
        <w:tc>
          <w:tcPr>
            <w:tcW w:w="1872" w:type="dxa"/>
            <w:tcMar>
              <w:top w:w="100" w:type="dxa"/>
              <w:left w:w="100" w:type="dxa"/>
              <w:bottom w:w="100" w:type="dxa"/>
              <w:right w:w="100" w:type="dxa"/>
            </w:tcMar>
          </w:tcPr>
          <w:p w14:paraId="7B46FCE9" w14:textId="77777777" w:rsidR="000E3D46" w:rsidRDefault="00000000">
            <w:pPr>
              <w:widowControl w:val="0"/>
              <w:rPr>
                <w:color w:val="000000" w:themeColor="text1"/>
                <w:lang w:val="en-GB"/>
              </w:rPr>
            </w:pPr>
            <w:r>
              <w:rPr>
                <w:color w:val="000000" w:themeColor="text1"/>
                <w:lang w:val="en-GB"/>
              </w:rPr>
              <w:t>They are consulted throughout the project.</w:t>
            </w:r>
          </w:p>
        </w:tc>
        <w:tc>
          <w:tcPr>
            <w:tcW w:w="1872" w:type="dxa"/>
            <w:tcMar>
              <w:top w:w="100" w:type="dxa"/>
              <w:left w:w="100" w:type="dxa"/>
              <w:bottom w:w="100" w:type="dxa"/>
              <w:right w:w="100" w:type="dxa"/>
            </w:tcMar>
          </w:tcPr>
          <w:p w14:paraId="7B46FCEA" w14:textId="77777777" w:rsidR="000E3D46" w:rsidRDefault="00000000">
            <w:pPr>
              <w:widowControl w:val="0"/>
              <w:rPr>
                <w:color w:val="000000" w:themeColor="text1"/>
                <w:lang w:val="en-GB"/>
              </w:rPr>
            </w:pPr>
            <w:r>
              <w:rPr>
                <w:color w:val="000000" w:themeColor="text1"/>
                <w:lang w:val="en-GB"/>
              </w:rPr>
              <w:t>Their role mitigates legal and reputational risks.</w:t>
            </w:r>
          </w:p>
        </w:tc>
        <w:tc>
          <w:tcPr>
            <w:tcW w:w="1872" w:type="dxa"/>
            <w:tcMar>
              <w:top w:w="100" w:type="dxa"/>
              <w:left w:w="100" w:type="dxa"/>
              <w:bottom w:w="100" w:type="dxa"/>
              <w:right w:w="100" w:type="dxa"/>
            </w:tcMar>
          </w:tcPr>
          <w:p w14:paraId="7B46FCEB" w14:textId="77777777" w:rsidR="000E3D46" w:rsidRDefault="00000000">
            <w:pPr>
              <w:widowControl w:val="0"/>
              <w:rPr>
                <w:color w:val="000000" w:themeColor="text1"/>
                <w:lang w:val="en-GB"/>
              </w:rPr>
            </w:pPr>
            <w:r>
              <w:rPr>
                <w:color w:val="000000" w:themeColor="text1"/>
                <w:lang w:val="en-GB"/>
              </w:rPr>
              <w:t xml:space="preserve">Challenges include navigating evolving regulations and documentation requirements. </w:t>
            </w:r>
          </w:p>
        </w:tc>
      </w:tr>
      <w:tr w:rsidR="000E3D46" w14:paraId="7B46FCF2" w14:textId="77777777">
        <w:trPr>
          <w:jc w:val="center"/>
        </w:trPr>
        <w:tc>
          <w:tcPr>
            <w:tcW w:w="1872" w:type="dxa"/>
            <w:tcMar>
              <w:top w:w="100" w:type="dxa"/>
              <w:left w:w="100" w:type="dxa"/>
              <w:bottom w:w="100" w:type="dxa"/>
              <w:right w:w="100" w:type="dxa"/>
            </w:tcMar>
          </w:tcPr>
          <w:p w14:paraId="7B46FCED" w14:textId="77777777" w:rsidR="000E3D46" w:rsidRDefault="00000000">
            <w:pPr>
              <w:spacing w:before="240" w:after="240"/>
              <w:rPr>
                <w:color w:val="000000" w:themeColor="text1"/>
                <w:lang w:val="en-GB"/>
              </w:rPr>
            </w:pPr>
            <w:r>
              <w:rPr>
                <w:color w:val="000000" w:themeColor="text1"/>
                <w:lang w:val="en-GB"/>
              </w:rPr>
              <w:t>Software and Data Teams</w:t>
            </w:r>
          </w:p>
        </w:tc>
        <w:tc>
          <w:tcPr>
            <w:tcW w:w="1872" w:type="dxa"/>
            <w:tcMar>
              <w:top w:w="100" w:type="dxa"/>
              <w:left w:w="100" w:type="dxa"/>
              <w:bottom w:w="100" w:type="dxa"/>
              <w:right w:w="100" w:type="dxa"/>
            </w:tcMar>
          </w:tcPr>
          <w:p w14:paraId="7B46FCEE" w14:textId="77777777" w:rsidR="000E3D46" w:rsidRDefault="00000000">
            <w:pPr>
              <w:widowControl w:val="0"/>
              <w:rPr>
                <w:color w:val="000000" w:themeColor="text1"/>
                <w:lang w:val="en-GB"/>
              </w:rPr>
            </w:pPr>
            <w:r>
              <w:rPr>
                <w:color w:val="000000" w:themeColor="text1"/>
                <w:lang w:val="en-GB"/>
              </w:rPr>
              <w:t xml:space="preserve">Develop software interfaces, data analytics, and device connectivity. </w:t>
            </w:r>
          </w:p>
        </w:tc>
        <w:tc>
          <w:tcPr>
            <w:tcW w:w="1872" w:type="dxa"/>
            <w:tcMar>
              <w:top w:w="100" w:type="dxa"/>
              <w:left w:w="100" w:type="dxa"/>
              <w:bottom w:w="100" w:type="dxa"/>
              <w:right w:w="100" w:type="dxa"/>
            </w:tcMar>
          </w:tcPr>
          <w:p w14:paraId="7B46FCEF" w14:textId="77777777" w:rsidR="000E3D46" w:rsidRDefault="00000000">
            <w:pPr>
              <w:widowControl w:val="0"/>
              <w:rPr>
                <w:color w:val="000000" w:themeColor="text1"/>
                <w:lang w:val="en-GB"/>
              </w:rPr>
            </w:pPr>
            <w:r>
              <w:rPr>
                <w:color w:val="000000" w:themeColor="text1"/>
                <w:lang w:val="en-GB"/>
              </w:rPr>
              <w:t xml:space="preserve">They are responsible for usability, accuracy, and cybersecurity. </w:t>
            </w:r>
          </w:p>
        </w:tc>
        <w:tc>
          <w:tcPr>
            <w:tcW w:w="1872" w:type="dxa"/>
            <w:tcMar>
              <w:top w:w="100" w:type="dxa"/>
              <w:left w:w="100" w:type="dxa"/>
              <w:bottom w:w="100" w:type="dxa"/>
              <w:right w:w="100" w:type="dxa"/>
            </w:tcMar>
          </w:tcPr>
          <w:p w14:paraId="7B46FCF0" w14:textId="77777777" w:rsidR="000E3D46" w:rsidRDefault="00000000">
            <w:pPr>
              <w:widowControl w:val="0"/>
              <w:rPr>
                <w:color w:val="000000" w:themeColor="text1"/>
                <w:lang w:val="en-GB"/>
              </w:rPr>
            </w:pPr>
            <w:r>
              <w:rPr>
                <w:color w:val="000000" w:themeColor="text1"/>
                <w:lang w:val="en-GB"/>
              </w:rPr>
              <w:t>Benefits include enabling actionable health insights and enhancing user experience.</w:t>
            </w:r>
          </w:p>
        </w:tc>
        <w:tc>
          <w:tcPr>
            <w:tcW w:w="1872" w:type="dxa"/>
            <w:tcMar>
              <w:top w:w="100" w:type="dxa"/>
              <w:left w:w="100" w:type="dxa"/>
              <w:bottom w:w="100" w:type="dxa"/>
              <w:right w:w="100" w:type="dxa"/>
            </w:tcMar>
          </w:tcPr>
          <w:p w14:paraId="7B46FCF1" w14:textId="77777777" w:rsidR="000E3D46" w:rsidRDefault="00000000">
            <w:pPr>
              <w:widowControl w:val="0"/>
              <w:rPr>
                <w:color w:val="000000" w:themeColor="text1"/>
                <w:lang w:val="en-GB"/>
              </w:rPr>
            </w:pPr>
            <w:r>
              <w:rPr>
                <w:color w:val="000000" w:themeColor="text1"/>
                <w:lang w:val="en-GB"/>
              </w:rPr>
              <w:t xml:space="preserve">Challenges include integrating hardware and software systems (Graetsch </w:t>
            </w:r>
            <w:r>
              <w:rPr>
                <w:i/>
                <w:color w:val="000000" w:themeColor="text1"/>
                <w:lang w:val="en-GB"/>
              </w:rPr>
              <w:t xml:space="preserve">et al., </w:t>
            </w:r>
            <w:r>
              <w:rPr>
                <w:color w:val="000000" w:themeColor="text1"/>
                <w:lang w:val="en-GB"/>
              </w:rPr>
              <w:t xml:space="preserve">2023, p.4352). </w:t>
            </w:r>
          </w:p>
        </w:tc>
      </w:tr>
      <w:tr w:rsidR="000E3D46" w14:paraId="7B46FCF8" w14:textId="77777777">
        <w:trPr>
          <w:jc w:val="center"/>
        </w:trPr>
        <w:tc>
          <w:tcPr>
            <w:tcW w:w="1872" w:type="dxa"/>
            <w:tcMar>
              <w:top w:w="100" w:type="dxa"/>
              <w:left w:w="100" w:type="dxa"/>
              <w:bottom w:w="100" w:type="dxa"/>
              <w:right w:w="100" w:type="dxa"/>
            </w:tcMar>
          </w:tcPr>
          <w:p w14:paraId="7B46FCF3" w14:textId="77777777" w:rsidR="000E3D46" w:rsidRDefault="00000000">
            <w:pPr>
              <w:spacing w:before="240" w:after="240"/>
              <w:rPr>
                <w:color w:val="000000" w:themeColor="text1"/>
                <w:lang w:val="en-GB"/>
              </w:rPr>
            </w:pPr>
            <w:r>
              <w:rPr>
                <w:color w:val="000000" w:themeColor="text1"/>
                <w:lang w:val="en-GB"/>
              </w:rPr>
              <w:t>Manufacturing and Supply Chain</w:t>
            </w:r>
          </w:p>
        </w:tc>
        <w:tc>
          <w:tcPr>
            <w:tcW w:w="1872" w:type="dxa"/>
            <w:tcMar>
              <w:top w:w="100" w:type="dxa"/>
              <w:left w:w="100" w:type="dxa"/>
              <w:bottom w:w="100" w:type="dxa"/>
              <w:right w:w="100" w:type="dxa"/>
            </w:tcMar>
          </w:tcPr>
          <w:p w14:paraId="7B46FCF4" w14:textId="77777777" w:rsidR="000E3D46" w:rsidRDefault="00000000">
            <w:pPr>
              <w:widowControl w:val="0"/>
              <w:rPr>
                <w:color w:val="000000" w:themeColor="text1"/>
                <w:lang w:val="en-GB"/>
              </w:rPr>
            </w:pPr>
            <w:r>
              <w:rPr>
                <w:color w:val="000000" w:themeColor="text1"/>
                <w:lang w:val="en-GB"/>
              </w:rPr>
              <w:t xml:space="preserve"> Oversee procurement, production scheduling, and quality control.</w:t>
            </w:r>
          </w:p>
        </w:tc>
        <w:tc>
          <w:tcPr>
            <w:tcW w:w="1872" w:type="dxa"/>
            <w:tcMar>
              <w:top w:w="100" w:type="dxa"/>
              <w:left w:w="100" w:type="dxa"/>
              <w:bottom w:w="100" w:type="dxa"/>
              <w:right w:w="100" w:type="dxa"/>
            </w:tcMar>
          </w:tcPr>
          <w:p w14:paraId="7B46FCF5" w14:textId="77777777" w:rsidR="000E3D46" w:rsidRDefault="00000000">
            <w:pPr>
              <w:widowControl w:val="0"/>
              <w:rPr>
                <w:color w:val="000000" w:themeColor="text1"/>
                <w:lang w:val="en-GB"/>
              </w:rPr>
            </w:pPr>
            <w:r>
              <w:rPr>
                <w:color w:val="000000" w:themeColor="text1"/>
                <w:lang w:val="en-GB"/>
              </w:rPr>
              <w:t xml:space="preserve">They are responsible for timely and efficient production. </w:t>
            </w:r>
          </w:p>
        </w:tc>
        <w:tc>
          <w:tcPr>
            <w:tcW w:w="1872" w:type="dxa"/>
            <w:tcMar>
              <w:top w:w="100" w:type="dxa"/>
              <w:left w:w="100" w:type="dxa"/>
              <w:bottom w:w="100" w:type="dxa"/>
              <w:right w:w="100" w:type="dxa"/>
            </w:tcMar>
          </w:tcPr>
          <w:p w14:paraId="7B46FCF6" w14:textId="77777777" w:rsidR="000E3D46" w:rsidRDefault="00000000">
            <w:pPr>
              <w:widowControl w:val="0"/>
              <w:rPr>
                <w:color w:val="000000" w:themeColor="text1"/>
                <w:lang w:val="en-GB"/>
              </w:rPr>
            </w:pPr>
            <w:r>
              <w:rPr>
                <w:color w:val="000000" w:themeColor="text1"/>
                <w:lang w:val="en-GB"/>
              </w:rPr>
              <w:t>Their engagement ensures operational reliability.</w:t>
            </w:r>
          </w:p>
        </w:tc>
        <w:tc>
          <w:tcPr>
            <w:tcW w:w="1872" w:type="dxa"/>
            <w:tcMar>
              <w:top w:w="100" w:type="dxa"/>
              <w:left w:w="100" w:type="dxa"/>
              <w:bottom w:w="100" w:type="dxa"/>
              <w:right w:w="100" w:type="dxa"/>
            </w:tcMar>
          </w:tcPr>
          <w:p w14:paraId="7B46FCF7" w14:textId="77777777" w:rsidR="000E3D46" w:rsidRDefault="00000000">
            <w:pPr>
              <w:widowControl w:val="0"/>
              <w:rPr>
                <w:color w:val="000000" w:themeColor="text1"/>
                <w:lang w:val="en-GB"/>
              </w:rPr>
            </w:pPr>
            <w:r>
              <w:rPr>
                <w:color w:val="000000" w:themeColor="text1"/>
                <w:lang w:val="en-GB"/>
              </w:rPr>
              <w:t>Challenges include supply chain disruptions and cost management.</w:t>
            </w:r>
          </w:p>
        </w:tc>
      </w:tr>
      <w:tr w:rsidR="000E3D46" w14:paraId="7B46FCFE" w14:textId="77777777">
        <w:trPr>
          <w:jc w:val="center"/>
        </w:trPr>
        <w:tc>
          <w:tcPr>
            <w:tcW w:w="1872" w:type="dxa"/>
            <w:tcMar>
              <w:top w:w="100" w:type="dxa"/>
              <w:left w:w="100" w:type="dxa"/>
              <w:bottom w:w="100" w:type="dxa"/>
              <w:right w:w="100" w:type="dxa"/>
            </w:tcMar>
          </w:tcPr>
          <w:p w14:paraId="7B46FCF9" w14:textId="77777777" w:rsidR="000E3D46" w:rsidRDefault="00000000">
            <w:pPr>
              <w:spacing w:before="240" w:after="240"/>
              <w:rPr>
                <w:color w:val="000000" w:themeColor="text1"/>
                <w:lang w:val="en-GB"/>
              </w:rPr>
            </w:pPr>
            <w:r>
              <w:rPr>
                <w:color w:val="000000" w:themeColor="text1"/>
                <w:lang w:val="en-GB"/>
              </w:rPr>
              <w:t>Marketing, Sales, and Commercial</w:t>
            </w:r>
          </w:p>
        </w:tc>
        <w:tc>
          <w:tcPr>
            <w:tcW w:w="1872" w:type="dxa"/>
            <w:tcMar>
              <w:top w:w="100" w:type="dxa"/>
              <w:left w:w="100" w:type="dxa"/>
              <w:bottom w:w="100" w:type="dxa"/>
              <w:right w:w="100" w:type="dxa"/>
            </w:tcMar>
          </w:tcPr>
          <w:p w14:paraId="7B46FCFA" w14:textId="77777777" w:rsidR="000E3D46" w:rsidRDefault="00000000">
            <w:pPr>
              <w:widowControl w:val="0"/>
              <w:rPr>
                <w:color w:val="000000" w:themeColor="text1"/>
                <w:lang w:val="en-GB"/>
              </w:rPr>
            </w:pPr>
            <w:r>
              <w:rPr>
                <w:color w:val="000000" w:themeColor="text1"/>
                <w:lang w:val="en-GB"/>
              </w:rPr>
              <w:t xml:space="preserve">Develop go-to-market strategies, promotional campaigns, and customer engagement. </w:t>
            </w:r>
          </w:p>
        </w:tc>
        <w:tc>
          <w:tcPr>
            <w:tcW w:w="1872" w:type="dxa"/>
            <w:tcMar>
              <w:top w:w="100" w:type="dxa"/>
              <w:left w:w="100" w:type="dxa"/>
              <w:bottom w:w="100" w:type="dxa"/>
              <w:right w:w="100" w:type="dxa"/>
            </w:tcMar>
          </w:tcPr>
          <w:p w14:paraId="7B46FCFB" w14:textId="77777777" w:rsidR="000E3D46" w:rsidRDefault="00000000">
            <w:pPr>
              <w:widowControl w:val="0"/>
              <w:rPr>
                <w:color w:val="000000" w:themeColor="text1"/>
                <w:lang w:val="en-GB"/>
              </w:rPr>
            </w:pPr>
            <w:r>
              <w:rPr>
                <w:color w:val="000000" w:themeColor="text1"/>
                <w:lang w:val="en-GB"/>
              </w:rPr>
              <w:t>They are responsible for demand generation and brand positioning.</w:t>
            </w:r>
          </w:p>
        </w:tc>
        <w:tc>
          <w:tcPr>
            <w:tcW w:w="1872" w:type="dxa"/>
            <w:tcMar>
              <w:top w:w="100" w:type="dxa"/>
              <w:left w:w="100" w:type="dxa"/>
              <w:bottom w:w="100" w:type="dxa"/>
              <w:right w:w="100" w:type="dxa"/>
            </w:tcMar>
          </w:tcPr>
          <w:p w14:paraId="7B46FCFC" w14:textId="77777777" w:rsidR="000E3D46" w:rsidRDefault="00000000">
            <w:pPr>
              <w:widowControl w:val="0"/>
              <w:rPr>
                <w:color w:val="000000" w:themeColor="text1"/>
                <w:lang w:val="en-GB"/>
              </w:rPr>
            </w:pPr>
            <w:r>
              <w:rPr>
                <w:color w:val="000000" w:themeColor="text1"/>
                <w:lang w:val="en-GB"/>
              </w:rPr>
              <w:t>Benefits include revenue growth and market penetration.</w:t>
            </w:r>
          </w:p>
        </w:tc>
        <w:tc>
          <w:tcPr>
            <w:tcW w:w="1872" w:type="dxa"/>
            <w:tcMar>
              <w:top w:w="100" w:type="dxa"/>
              <w:left w:w="100" w:type="dxa"/>
              <w:bottom w:w="100" w:type="dxa"/>
              <w:right w:w="100" w:type="dxa"/>
            </w:tcMar>
          </w:tcPr>
          <w:p w14:paraId="7B46FCFD" w14:textId="77777777" w:rsidR="000E3D46" w:rsidRDefault="00000000">
            <w:pPr>
              <w:widowControl w:val="0"/>
              <w:rPr>
                <w:color w:val="000000" w:themeColor="text1"/>
                <w:lang w:val="en-GB"/>
              </w:rPr>
            </w:pPr>
            <w:r>
              <w:rPr>
                <w:color w:val="000000" w:themeColor="text1"/>
                <w:lang w:val="en-GB"/>
              </w:rPr>
              <w:t xml:space="preserve">Challenges include competitive differentiation and accurate forecasting. </w:t>
            </w:r>
          </w:p>
        </w:tc>
      </w:tr>
      <w:tr w:rsidR="000E3D46" w14:paraId="7B46FD04" w14:textId="77777777">
        <w:trPr>
          <w:jc w:val="center"/>
        </w:trPr>
        <w:tc>
          <w:tcPr>
            <w:tcW w:w="1872" w:type="dxa"/>
            <w:tcMar>
              <w:top w:w="100" w:type="dxa"/>
              <w:left w:w="100" w:type="dxa"/>
              <w:bottom w:w="100" w:type="dxa"/>
              <w:right w:w="100" w:type="dxa"/>
            </w:tcMar>
          </w:tcPr>
          <w:p w14:paraId="7B46FCFF" w14:textId="77777777" w:rsidR="000E3D46" w:rsidRDefault="00000000">
            <w:pPr>
              <w:spacing w:before="240" w:after="240"/>
              <w:rPr>
                <w:color w:val="000000" w:themeColor="text1"/>
                <w:lang w:val="en-GB"/>
              </w:rPr>
            </w:pPr>
            <w:r>
              <w:rPr>
                <w:color w:val="000000" w:themeColor="text1"/>
                <w:lang w:val="en-GB"/>
              </w:rPr>
              <w:lastRenderedPageBreak/>
              <w:t>Clinical Affairs or Medical Advisors</w:t>
            </w:r>
          </w:p>
        </w:tc>
        <w:tc>
          <w:tcPr>
            <w:tcW w:w="1872" w:type="dxa"/>
            <w:tcMar>
              <w:top w:w="100" w:type="dxa"/>
              <w:left w:w="100" w:type="dxa"/>
              <w:bottom w:w="100" w:type="dxa"/>
              <w:right w:w="100" w:type="dxa"/>
            </w:tcMar>
          </w:tcPr>
          <w:p w14:paraId="7B46FD00" w14:textId="77777777" w:rsidR="000E3D46" w:rsidRDefault="00000000">
            <w:pPr>
              <w:widowControl w:val="0"/>
              <w:rPr>
                <w:color w:val="000000" w:themeColor="text1"/>
                <w:lang w:val="en-GB"/>
              </w:rPr>
            </w:pPr>
            <w:r>
              <w:rPr>
                <w:color w:val="000000" w:themeColor="text1"/>
                <w:lang w:val="en-GB"/>
              </w:rPr>
              <w:t xml:space="preserve">Advise on clinical trial design, safety, and efficacy. </w:t>
            </w:r>
          </w:p>
        </w:tc>
        <w:tc>
          <w:tcPr>
            <w:tcW w:w="1872" w:type="dxa"/>
            <w:tcMar>
              <w:top w:w="100" w:type="dxa"/>
              <w:left w:w="100" w:type="dxa"/>
              <w:bottom w:w="100" w:type="dxa"/>
              <w:right w:w="100" w:type="dxa"/>
            </w:tcMar>
          </w:tcPr>
          <w:p w14:paraId="7B46FD01" w14:textId="77777777" w:rsidR="000E3D46" w:rsidRDefault="00000000">
            <w:pPr>
              <w:widowControl w:val="0"/>
              <w:rPr>
                <w:color w:val="000000" w:themeColor="text1"/>
                <w:lang w:val="en-GB"/>
              </w:rPr>
            </w:pPr>
            <w:r>
              <w:rPr>
                <w:color w:val="000000" w:themeColor="text1"/>
                <w:lang w:val="en-GB"/>
              </w:rPr>
              <w:t xml:space="preserve">They are consulted to ensure medical credibility. </w:t>
            </w:r>
          </w:p>
        </w:tc>
        <w:tc>
          <w:tcPr>
            <w:tcW w:w="1872" w:type="dxa"/>
            <w:tcMar>
              <w:top w:w="100" w:type="dxa"/>
              <w:left w:w="100" w:type="dxa"/>
              <w:bottom w:w="100" w:type="dxa"/>
              <w:right w:w="100" w:type="dxa"/>
            </w:tcMar>
          </w:tcPr>
          <w:p w14:paraId="7B46FD02" w14:textId="77777777" w:rsidR="000E3D46" w:rsidRDefault="00000000">
            <w:pPr>
              <w:widowControl w:val="0"/>
              <w:rPr>
                <w:color w:val="000000" w:themeColor="text1"/>
                <w:lang w:val="en-GB"/>
              </w:rPr>
            </w:pPr>
            <w:r>
              <w:rPr>
                <w:color w:val="000000" w:themeColor="text1"/>
                <w:lang w:val="en-GB"/>
              </w:rPr>
              <w:t xml:space="preserve">Their engagement enhances product credibility and acceptance in healthcare markets (Moorman </w:t>
            </w:r>
            <w:r>
              <w:rPr>
                <w:i/>
                <w:color w:val="000000" w:themeColor="text1"/>
                <w:lang w:val="en-GB"/>
              </w:rPr>
              <w:t xml:space="preserve">et al., </w:t>
            </w:r>
            <w:r>
              <w:rPr>
                <w:color w:val="000000" w:themeColor="text1"/>
                <w:lang w:val="en-GB"/>
              </w:rPr>
              <w:t>2024, p.12).</w:t>
            </w:r>
          </w:p>
        </w:tc>
        <w:tc>
          <w:tcPr>
            <w:tcW w:w="1872" w:type="dxa"/>
            <w:tcMar>
              <w:top w:w="100" w:type="dxa"/>
              <w:left w:w="100" w:type="dxa"/>
              <w:bottom w:w="100" w:type="dxa"/>
              <w:right w:w="100" w:type="dxa"/>
            </w:tcMar>
          </w:tcPr>
          <w:p w14:paraId="7B46FD03" w14:textId="77777777" w:rsidR="000E3D46" w:rsidRDefault="00000000">
            <w:pPr>
              <w:widowControl w:val="0"/>
              <w:rPr>
                <w:color w:val="000000" w:themeColor="text1"/>
                <w:lang w:val="en-GB"/>
              </w:rPr>
            </w:pPr>
            <w:r>
              <w:rPr>
                <w:color w:val="000000" w:themeColor="text1"/>
                <w:lang w:val="en-GB"/>
              </w:rPr>
              <w:t>Challenges include regulatory compliance and clinical validation.</w:t>
            </w:r>
          </w:p>
        </w:tc>
      </w:tr>
    </w:tbl>
    <w:p w14:paraId="7B46FD05" w14:textId="77777777" w:rsidR="000E3D46" w:rsidRDefault="00000000">
      <w:pPr>
        <w:ind w:right="140"/>
        <w:jc w:val="center"/>
        <w:rPr>
          <w:b/>
          <w:color w:val="000000" w:themeColor="text1"/>
          <w:lang w:val="en-GB"/>
        </w:rPr>
      </w:pPr>
      <w:r>
        <w:rPr>
          <w:b/>
          <w:color w:val="000000" w:themeColor="text1"/>
          <w:lang w:val="en-GB"/>
        </w:rPr>
        <w:t>Table 4: Internal stakeholders</w:t>
      </w:r>
    </w:p>
    <w:p w14:paraId="7B46FD06" w14:textId="77777777" w:rsidR="000E3D46" w:rsidRDefault="00000000">
      <w:pPr>
        <w:ind w:right="140"/>
        <w:jc w:val="center"/>
        <w:rPr>
          <w:color w:val="000000" w:themeColor="text1"/>
          <w:lang w:val="en-GB"/>
        </w:rPr>
      </w:pPr>
      <w:r>
        <w:rPr>
          <w:color w:val="000000" w:themeColor="text1"/>
          <w:lang w:val="en-GB"/>
        </w:rPr>
        <w:t>(Source: Self-created)</w:t>
      </w:r>
    </w:p>
    <w:p w14:paraId="7B46FD07" w14:textId="77777777" w:rsidR="000E3D46" w:rsidRDefault="00000000">
      <w:pPr>
        <w:pStyle w:val="Heading2"/>
        <w:rPr>
          <w:color w:val="000000" w:themeColor="text1"/>
          <w:lang w:val="en-GB"/>
        </w:rPr>
      </w:pPr>
      <w:bookmarkStart w:id="20" w:name="_Toc209869255"/>
      <w:r>
        <w:rPr>
          <w:color w:val="000000" w:themeColor="text1"/>
          <w:lang w:val="en-GB"/>
        </w:rPr>
        <w:t>Roles and responsibilities of External Stakeholders and challenges</w:t>
      </w:r>
      <w:bookmarkEnd w:id="20"/>
    </w:p>
    <w:tbl>
      <w:tblPr>
        <w:tblStyle w:val="Style39"/>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1872"/>
        <w:gridCol w:w="1872"/>
        <w:gridCol w:w="1872"/>
        <w:gridCol w:w="1872"/>
        <w:gridCol w:w="1872"/>
      </w:tblGrid>
      <w:tr w:rsidR="000E3D46" w14:paraId="7B46FD0D" w14:textId="77777777">
        <w:trPr>
          <w:jc w:val="center"/>
        </w:trPr>
        <w:tc>
          <w:tcPr>
            <w:tcW w:w="1872" w:type="dxa"/>
            <w:tcMar>
              <w:top w:w="100" w:type="dxa"/>
              <w:left w:w="100" w:type="dxa"/>
              <w:bottom w:w="100" w:type="dxa"/>
              <w:right w:w="100" w:type="dxa"/>
            </w:tcMar>
          </w:tcPr>
          <w:p w14:paraId="7B46FD08" w14:textId="77777777" w:rsidR="000E3D46" w:rsidRDefault="00000000">
            <w:pPr>
              <w:widowControl w:val="0"/>
              <w:jc w:val="center"/>
              <w:rPr>
                <w:b/>
                <w:color w:val="000000" w:themeColor="text1"/>
                <w:lang w:val="en-GB"/>
              </w:rPr>
            </w:pPr>
            <w:r>
              <w:rPr>
                <w:b/>
                <w:color w:val="000000" w:themeColor="text1"/>
                <w:lang w:val="en-GB"/>
              </w:rPr>
              <w:t>Stakeholders</w:t>
            </w:r>
          </w:p>
        </w:tc>
        <w:tc>
          <w:tcPr>
            <w:tcW w:w="1872" w:type="dxa"/>
            <w:tcMar>
              <w:top w:w="100" w:type="dxa"/>
              <w:left w:w="100" w:type="dxa"/>
              <w:bottom w:w="100" w:type="dxa"/>
              <w:right w:w="100" w:type="dxa"/>
            </w:tcMar>
          </w:tcPr>
          <w:p w14:paraId="7B46FD09" w14:textId="77777777" w:rsidR="000E3D46" w:rsidRDefault="00000000">
            <w:pPr>
              <w:widowControl w:val="0"/>
              <w:jc w:val="center"/>
              <w:rPr>
                <w:b/>
                <w:color w:val="000000" w:themeColor="text1"/>
                <w:lang w:val="en-GB"/>
              </w:rPr>
            </w:pPr>
            <w:r>
              <w:rPr>
                <w:b/>
                <w:color w:val="000000" w:themeColor="text1"/>
                <w:lang w:val="en-GB"/>
              </w:rPr>
              <w:t>Roles</w:t>
            </w:r>
          </w:p>
        </w:tc>
        <w:tc>
          <w:tcPr>
            <w:tcW w:w="1872" w:type="dxa"/>
            <w:tcMar>
              <w:top w:w="100" w:type="dxa"/>
              <w:left w:w="100" w:type="dxa"/>
              <w:bottom w:w="100" w:type="dxa"/>
              <w:right w:w="100" w:type="dxa"/>
            </w:tcMar>
          </w:tcPr>
          <w:p w14:paraId="7B46FD0A" w14:textId="77777777" w:rsidR="000E3D46" w:rsidRDefault="00000000">
            <w:pPr>
              <w:widowControl w:val="0"/>
              <w:jc w:val="center"/>
              <w:rPr>
                <w:b/>
                <w:color w:val="000000" w:themeColor="text1"/>
                <w:lang w:val="en-GB"/>
              </w:rPr>
            </w:pPr>
            <w:r>
              <w:rPr>
                <w:b/>
                <w:color w:val="000000" w:themeColor="text1"/>
                <w:lang w:val="en-GB"/>
              </w:rPr>
              <w:t>Responsibilities</w:t>
            </w:r>
          </w:p>
        </w:tc>
        <w:tc>
          <w:tcPr>
            <w:tcW w:w="1872" w:type="dxa"/>
            <w:tcMar>
              <w:top w:w="100" w:type="dxa"/>
              <w:left w:w="100" w:type="dxa"/>
              <w:bottom w:w="100" w:type="dxa"/>
              <w:right w:w="100" w:type="dxa"/>
            </w:tcMar>
          </w:tcPr>
          <w:p w14:paraId="7B46FD0B" w14:textId="77777777" w:rsidR="000E3D46" w:rsidRDefault="00000000">
            <w:pPr>
              <w:widowControl w:val="0"/>
              <w:jc w:val="center"/>
              <w:rPr>
                <w:b/>
                <w:color w:val="000000" w:themeColor="text1"/>
                <w:lang w:val="en-GB"/>
              </w:rPr>
            </w:pPr>
            <w:r>
              <w:rPr>
                <w:b/>
                <w:color w:val="000000" w:themeColor="text1"/>
                <w:lang w:val="en-GB"/>
              </w:rPr>
              <w:t>Benefits</w:t>
            </w:r>
          </w:p>
        </w:tc>
        <w:tc>
          <w:tcPr>
            <w:tcW w:w="1872" w:type="dxa"/>
            <w:tcMar>
              <w:top w:w="100" w:type="dxa"/>
              <w:left w:w="100" w:type="dxa"/>
              <w:bottom w:w="100" w:type="dxa"/>
              <w:right w:w="100" w:type="dxa"/>
            </w:tcMar>
          </w:tcPr>
          <w:p w14:paraId="7B46FD0C" w14:textId="77777777" w:rsidR="000E3D46" w:rsidRDefault="00000000">
            <w:pPr>
              <w:widowControl w:val="0"/>
              <w:jc w:val="center"/>
              <w:rPr>
                <w:b/>
                <w:color w:val="000000" w:themeColor="text1"/>
                <w:lang w:val="en-GB"/>
              </w:rPr>
            </w:pPr>
            <w:r>
              <w:rPr>
                <w:b/>
                <w:color w:val="000000" w:themeColor="text1"/>
                <w:lang w:val="en-GB"/>
              </w:rPr>
              <w:t>Challenges</w:t>
            </w:r>
          </w:p>
        </w:tc>
      </w:tr>
      <w:tr w:rsidR="000E3D46" w14:paraId="7B46FD13" w14:textId="77777777">
        <w:trPr>
          <w:jc w:val="center"/>
        </w:trPr>
        <w:tc>
          <w:tcPr>
            <w:tcW w:w="1872" w:type="dxa"/>
            <w:tcMar>
              <w:top w:w="100" w:type="dxa"/>
              <w:left w:w="100" w:type="dxa"/>
              <w:bottom w:w="100" w:type="dxa"/>
              <w:right w:w="100" w:type="dxa"/>
            </w:tcMar>
          </w:tcPr>
          <w:p w14:paraId="7B46FD0E" w14:textId="77777777" w:rsidR="000E3D46" w:rsidRDefault="00000000">
            <w:pPr>
              <w:widowControl w:val="0"/>
              <w:rPr>
                <w:color w:val="000000" w:themeColor="text1"/>
                <w:lang w:val="en-GB"/>
              </w:rPr>
            </w:pPr>
            <w:r>
              <w:rPr>
                <w:color w:val="000000" w:themeColor="text1"/>
                <w:lang w:val="en-GB"/>
              </w:rPr>
              <w:t>Regulatory and Approved Bodies</w:t>
            </w:r>
          </w:p>
        </w:tc>
        <w:tc>
          <w:tcPr>
            <w:tcW w:w="1872" w:type="dxa"/>
            <w:tcMar>
              <w:top w:w="100" w:type="dxa"/>
              <w:left w:w="100" w:type="dxa"/>
              <w:bottom w:w="100" w:type="dxa"/>
              <w:right w:w="100" w:type="dxa"/>
            </w:tcMar>
          </w:tcPr>
          <w:p w14:paraId="7B46FD0F" w14:textId="77777777" w:rsidR="000E3D46" w:rsidRDefault="00000000">
            <w:pPr>
              <w:widowControl w:val="0"/>
              <w:rPr>
                <w:color w:val="000000" w:themeColor="text1"/>
                <w:lang w:val="en-GB"/>
              </w:rPr>
            </w:pPr>
            <w:r>
              <w:rPr>
                <w:color w:val="000000" w:themeColor="text1"/>
                <w:lang w:val="en-GB"/>
              </w:rPr>
              <w:t>Provide device approvals and certifications.</w:t>
            </w:r>
          </w:p>
        </w:tc>
        <w:tc>
          <w:tcPr>
            <w:tcW w:w="1872" w:type="dxa"/>
            <w:tcMar>
              <w:top w:w="100" w:type="dxa"/>
              <w:left w:w="100" w:type="dxa"/>
              <w:bottom w:w="100" w:type="dxa"/>
              <w:right w:w="100" w:type="dxa"/>
            </w:tcMar>
          </w:tcPr>
          <w:p w14:paraId="7B46FD10" w14:textId="77777777" w:rsidR="000E3D46" w:rsidRDefault="00000000">
            <w:pPr>
              <w:widowControl w:val="0"/>
              <w:rPr>
                <w:color w:val="000000" w:themeColor="text1"/>
                <w:lang w:val="en-GB"/>
              </w:rPr>
            </w:pPr>
            <w:r>
              <w:rPr>
                <w:color w:val="000000" w:themeColor="text1"/>
                <w:lang w:val="en-GB"/>
              </w:rPr>
              <w:t xml:space="preserve">They are consulted to ensure compliance. </w:t>
            </w:r>
          </w:p>
        </w:tc>
        <w:tc>
          <w:tcPr>
            <w:tcW w:w="1872" w:type="dxa"/>
            <w:tcMar>
              <w:top w:w="100" w:type="dxa"/>
              <w:left w:w="100" w:type="dxa"/>
              <w:bottom w:w="100" w:type="dxa"/>
              <w:right w:w="100" w:type="dxa"/>
            </w:tcMar>
          </w:tcPr>
          <w:p w14:paraId="7B46FD11" w14:textId="77777777" w:rsidR="000E3D46" w:rsidRDefault="00000000">
            <w:pPr>
              <w:widowControl w:val="0"/>
              <w:rPr>
                <w:color w:val="000000" w:themeColor="text1"/>
                <w:lang w:val="en-GB"/>
              </w:rPr>
            </w:pPr>
            <w:r>
              <w:rPr>
                <w:color w:val="000000" w:themeColor="text1"/>
                <w:lang w:val="en-GB"/>
              </w:rPr>
              <w:t>Their engagement is critical for legal market entry.</w:t>
            </w:r>
          </w:p>
        </w:tc>
        <w:tc>
          <w:tcPr>
            <w:tcW w:w="1872" w:type="dxa"/>
            <w:tcMar>
              <w:top w:w="100" w:type="dxa"/>
              <w:left w:w="100" w:type="dxa"/>
              <w:bottom w:w="100" w:type="dxa"/>
              <w:right w:w="100" w:type="dxa"/>
            </w:tcMar>
          </w:tcPr>
          <w:p w14:paraId="7B46FD12" w14:textId="77777777" w:rsidR="000E3D46" w:rsidRDefault="00000000">
            <w:pPr>
              <w:widowControl w:val="0"/>
              <w:rPr>
                <w:color w:val="000000" w:themeColor="text1"/>
                <w:lang w:val="en-GB"/>
              </w:rPr>
            </w:pPr>
            <w:r>
              <w:rPr>
                <w:color w:val="000000" w:themeColor="text1"/>
                <w:lang w:val="en-GB"/>
              </w:rPr>
              <w:t xml:space="preserve">Challenges include procedural delays and evolving standards. </w:t>
            </w:r>
          </w:p>
        </w:tc>
      </w:tr>
      <w:tr w:rsidR="000E3D46" w14:paraId="7B46FD19" w14:textId="77777777">
        <w:trPr>
          <w:jc w:val="center"/>
        </w:trPr>
        <w:tc>
          <w:tcPr>
            <w:tcW w:w="1872" w:type="dxa"/>
            <w:tcMar>
              <w:top w:w="100" w:type="dxa"/>
              <w:left w:w="100" w:type="dxa"/>
              <w:bottom w:w="100" w:type="dxa"/>
              <w:right w:w="100" w:type="dxa"/>
            </w:tcMar>
          </w:tcPr>
          <w:p w14:paraId="7B46FD14" w14:textId="77777777" w:rsidR="000E3D46" w:rsidRDefault="00000000">
            <w:pPr>
              <w:widowControl w:val="0"/>
              <w:rPr>
                <w:color w:val="000000" w:themeColor="text1"/>
                <w:lang w:val="en-GB"/>
              </w:rPr>
            </w:pPr>
            <w:r>
              <w:rPr>
                <w:color w:val="000000" w:themeColor="text1"/>
                <w:lang w:val="en-GB"/>
              </w:rPr>
              <w:t>Suppliers and Contract Manufacturers</w:t>
            </w:r>
          </w:p>
        </w:tc>
        <w:tc>
          <w:tcPr>
            <w:tcW w:w="1872" w:type="dxa"/>
            <w:tcMar>
              <w:top w:w="100" w:type="dxa"/>
              <w:left w:w="100" w:type="dxa"/>
              <w:bottom w:w="100" w:type="dxa"/>
              <w:right w:w="100" w:type="dxa"/>
            </w:tcMar>
          </w:tcPr>
          <w:p w14:paraId="7B46FD15" w14:textId="77777777" w:rsidR="000E3D46" w:rsidRDefault="00000000">
            <w:pPr>
              <w:widowControl w:val="0"/>
              <w:rPr>
                <w:color w:val="000000" w:themeColor="text1"/>
                <w:lang w:val="en-GB"/>
              </w:rPr>
            </w:pPr>
            <w:r>
              <w:rPr>
                <w:color w:val="000000" w:themeColor="text1"/>
                <w:lang w:val="en-GB"/>
              </w:rPr>
              <w:t xml:space="preserve">Deliver components and manufacturing services. </w:t>
            </w:r>
          </w:p>
        </w:tc>
        <w:tc>
          <w:tcPr>
            <w:tcW w:w="1872" w:type="dxa"/>
            <w:tcMar>
              <w:top w:w="100" w:type="dxa"/>
              <w:left w:w="100" w:type="dxa"/>
              <w:bottom w:w="100" w:type="dxa"/>
              <w:right w:w="100" w:type="dxa"/>
            </w:tcMar>
          </w:tcPr>
          <w:p w14:paraId="7B46FD16" w14:textId="77777777" w:rsidR="000E3D46" w:rsidRDefault="00000000">
            <w:pPr>
              <w:widowControl w:val="0"/>
              <w:rPr>
                <w:color w:val="000000" w:themeColor="text1"/>
                <w:lang w:val="en-GB"/>
              </w:rPr>
            </w:pPr>
            <w:r>
              <w:rPr>
                <w:color w:val="000000" w:themeColor="text1"/>
                <w:lang w:val="en-GB"/>
              </w:rPr>
              <w:t>They are responsible for quality and timely delivery.</w:t>
            </w:r>
          </w:p>
        </w:tc>
        <w:tc>
          <w:tcPr>
            <w:tcW w:w="1872" w:type="dxa"/>
            <w:tcMar>
              <w:top w:w="100" w:type="dxa"/>
              <w:left w:w="100" w:type="dxa"/>
              <w:bottom w:w="100" w:type="dxa"/>
              <w:right w:w="100" w:type="dxa"/>
            </w:tcMar>
          </w:tcPr>
          <w:p w14:paraId="7B46FD17" w14:textId="77777777" w:rsidR="000E3D46" w:rsidRDefault="00000000">
            <w:pPr>
              <w:widowControl w:val="0"/>
              <w:rPr>
                <w:color w:val="000000" w:themeColor="text1"/>
                <w:lang w:val="en-GB"/>
              </w:rPr>
            </w:pPr>
            <w:r>
              <w:rPr>
                <w:color w:val="000000" w:themeColor="text1"/>
                <w:lang w:val="en-GB"/>
              </w:rPr>
              <w:t>Benefits include scalable production capacity.</w:t>
            </w:r>
          </w:p>
        </w:tc>
        <w:tc>
          <w:tcPr>
            <w:tcW w:w="1872" w:type="dxa"/>
            <w:tcMar>
              <w:top w:w="100" w:type="dxa"/>
              <w:left w:w="100" w:type="dxa"/>
              <w:bottom w:w="100" w:type="dxa"/>
              <w:right w:w="100" w:type="dxa"/>
            </w:tcMar>
          </w:tcPr>
          <w:p w14:paraId="7B46FD18" w14:textId="77777777" w:rsidR="000E3D46" w:rsidRDefault="00000000">
            <w:pPr>
              <w:widowControl w:val="0"/>
              <w:rPr>
                <w:color w:val="000000" w:themeColor="text1"/>
                <w:lang w:val="en-GB"/>
              </w:rPr>
            </w:pPr>
            <w:r>
              <w:rPr>
                <w:color w:val="000000" w:themeColor="text1"/>
                <w:lang w:val="en-GB"/>
              </w:rPr>
              <w:t xml:space="preserve">Challenges include logistics and quality consistency (Ogbuagu </w:t>
            </w:r>
            <w:r>
              <w:rPr>
                <w:i/>
                <w:color w:val="000000" w:themeColor="text1"/>
                <w:lang w:val="en-GB"/>
              </w:rPr>
              <w:t xml:space="preserve">et al., </w:t>
            </w:r>
            <w:r>
              <w:rPr>
                <w:color w:val="000000" w:themeColor="text1"/>
                <w:lang w:val="en-GB"/>
              </w:rPr>
              <w:t>2023, p. 826).</w:t>
            </w:r>
          </w:p>
        </w:tc>
      </w:tr>
      <w:tr w:rsidR="000E3D46" w14:paraId="7B46FD1F" w14:textId="77777777">
        <w:trPr>
          <w:jc w:val="center"/>
        </w:trPr>
        <w:tc>
          <w:tcPr>
            <w:tcW w:w="1872" w:type="dxa"/>
            <w:tcMar>
              <w:top w:w="100" w:type="dxa"/>
              <w:left w:w="100" w:type="dxa"/>
              <w:bottom w:w="100" w:type="dxa"/>
              <w:right w:w="100" w:type="dxa"/>
            </w:tcMar>
          </w:tcPr>
          <w:p w14:paraId="7B46FD1A" w14:textId="77777777" w:rsidR="000E3D46" w:rsidRDefault="00000000">
            <w:pPr>
              <w:widowControl w:val="0"/>
              <w:rPr>
                <w:color w:val="000000" w:themeColor="text1"/>
                <w:lang w:val="en-GB"/>
              </w:rPr>
            </w:pPr>
            <w:r>
              <w:rPr>
                <w:color w:val="000000" w:themeColor="text1"/>
                <w:lang w:val="en-GB"/>
              </w:rPr>
              <w:t xml:space="preserve">Healthcare </w:t>
            </w:r>
            <w:r>
              <w:rPr>
                <w:color w:val="000000" w:themeColor="text1"/>
                <w:lang w:val="en-GB"/>
              </w:rPr>
              <w:lastRenderedPageBreak/>
              <w:t>Providers / NHS Trusts and Clinicians</w:t>
            </w:r>
          </w:p>
        </w:tc>
        <w:tc>
          <w:tcPr>
            <w:tcW w:w="1872" w:type="dxa"/>
            <w:tcMar>
              <w:top w:w="100" w:type="dxa"/>
              <w:left w:w="100" w:type="dxa"/>
              <w:bottom w:w="100" w:type="dxa"/>
              <w:right w:w="100" w:type="dxa"/>
            </w:tcMar>
          </w:tcPr>
          <w:p w14:paraId="7B46FD1B" w14:textId="77777777" w:rsidR="000E3D46" w:rsidRDefault="00000000">
            <w:pPr>
              <w:widowControl w:val="0"/>
              <w:rPr>
                <w:color w:val="000000" w:themeColor="text1"/>
                <w:lang w:val="en-GB"/>
              </w:rPr>
            </w:pPr>
            <w:r>
              <w:rPr>
                <w:color w:val="000000" w:themeColor="text1"/>
                <w:lang w:val="en-GB"/>
              </w:rPr>
              <w:lastRenderedPageBreak/>
              <w:t xml:space="preserve">Offer clinical </w:t>
            </w:r>
            <w:r>
              <w:rPr>
                <w:color w:val="000000" w:themeColor="text1"/>
                <w:lang w:val="en-GB"/>
              </w:rPr>
              <w:lastRenderedPageBreak/>
              <w:t>insights and support trials.</w:t>
            </w:r>
          </w:p>
        </w:tc>
        <w:tc>
          <w:tcPr>
            <w:tcW w:w="1872" w:type="dxa"/>
            <w:tcMar>
              <w:top w:w="100" w:type="dxa"/>
              <w:left w:w="100" w:type="dxa"/>
              <w:bottom w:w="100" w:type="dxa"/>
              <w:right w:w="100" w:type="dxa"/>
            </w:tcMar>
          </w:tcPr>
          <w:p w14:paraId="7B46FD1C" w14:textId="77777777" w:rsidR="000E3D46" w:rsidRDefault="00000000">
            <w:pPr>
              <w:widowControl w:val="0"/>
              <w:rPr>
                <w:color w:val="000000" w:themeColor="text1"/>
                <w:lang w:val="en-GB"/>
              </w:rPr>
            </w:pPr>
            <w:r>
              <w:rPr>
                <w:color w:val="000000" w:themeColor="text1"/>
                <w:lang w:val="en-GB"/>
              </w:rPr>
              <w:lastRenderedPageBreak/>
              <w:t xml:space="preserve">They are </w:t>
            </w:r>
            <w:r>
              <w:rPr>
                <w:color w:val="000000" w:themeColor="text1"/>
                <w:lang w:val="en-GB"/>
              </w:rPr>
              <w:lastRenderedPageBreak/>
              <w:t>consulted to validate safety and effectiveness.</w:t>
            </w:r>
          </w:p>
        </w:tc>
        <w:tc>
          <w:tcPr>
            <w:tcW w:w="1872" w:type="dxa"/>
            <w:tcMar>
              <w:top w:w="100" w:type="dxa"/>
              <w:left w:w="100" w:type="dxa"/>
              <w:bottom w:w="100" w:type="dxa"/>
              <w:right w:w="100" w:type="dxa"/>
            </w:tcMar>
          </w:tcPr>
          <w:p w14:paraId="7B46FD1D" w14:textId="77777777" w:rsidR="000E3D46" w:rsidRDefault="00000000">
            <w:pPr>
              <w:widowControl w:val="0"/>
              <w:rPr>
                <w:color w:val="000000" w:themeColor="text1"/>
                <w:lang w:val="en-GB"/>
              </w:rPr>
            </w:pPr>
            <w:r>
              <w:rPr>
                <w:color w:val="000000" w:themeColor="text1"/>
                <w:lang w:val="en-GB"/>
              </w:rPr>
              <w:lastRenderedPageBreak/>
              <w:t xml:space="preserve">Benefits include </w:t>
            </w:r>
            <w:r>
              <w:rPr>
                <w:color w:val="000000" w:themeColor="text1"/>
                <w:lang w:val="en-GB"/>
              </w:rPr>
              <w:lastRenderedPageBreak/>
              <w:t>improved clinical credibility and adoption.</w:t>
            </w:r>
          </w:p>
        </w:tc>
        <w:tc>
          <w:tcPr>
            <w:tcW w:w="1872" w:type="dxa"/>
            <w:tcMar>
              <w:top w:w="100" w:type="dxa"/>
              <w:left w:w="100" w:type="dxa"/>
              <w:bottom w:w="100" w:type="dxa"/>
              <w:right w:w="100" w:type="dxa"/>
            </w:tcMar>
          </w:tcPr>
          <w:p w14:paraId="7B46FD1E" w14:textId="77777777" w:rsidR="000E3D46" w:rsidRDefault="00000000">
            <w:pPr>
              <w:widowControl w:val="0"/>
              <w:rPr>
                <w:color w:val="000000" w:themeColor="text1"/>
                <w:lang w:val="en-GB"/>
              </w:rPr>
            </w:pPr>
            <w:r>
              <w:rPr>
                <w:color w:val="000000" w:themeColor="text1"/>
                <w:lang w:val="en-GB"/>
              </w:rPr>
              <w:lastRenderedPageBreak/>
              <w:t xml:space="preserve">Challenges </w:t>
            </w:r>
            <w:r>
              <w:rPr>
                <w:color w:val="000000" w:themeColor="text1"/>
                <w:lang w:val="en-GB"/>
              </w:rPr>
              <w:lastRenderedPageBreak/>
              <w:t xml:space="preserve">include scheduling and adherence to protocols. </w:t>
            </w:r>
          </w:p>
        </w:tc>
      </w:tr>
      <w:tr w:rsidR="000E3D46" w14:paraId="7B46FD25" w14:textId="77777777">
        <w:trPr>
          <w:jc w:val="center"/>
        </w:trPr>
        <w:tc>
          <w:tcPr>
            <w:tcW w:w="1872" w:type="dxa"/>
            <w:tcMar>
              <w:top w:w="100" w:type="dxa"/>
              <w:left w:w="100" w:type="dxa"/>
              <w:bottom w:w="100" w:type="dxa"/>
              <w:right w:w="100" w:type="dxa"/>
            </w:tcMar>
          </w:tcPr>
          <w:p w14:paraId="7B46FD20" w14:textId="77777777" w:rsidR="000E3D46" w:rsidRDefault="00000000">
            <w:pPr>
              <w:widowControl w:val="0"/>
              <w:rPr>
                <w:color w:val="000000" w:themeColor="text1"/>
                <w:lang w:val="en-GB"/>
              </w:rPr>
            </w:pPr>
            <w:r>
              <w:rPr>
                <w:color w:val="000000" w:themeColor="text1"/>
                <w:lang w:val="en-GB"/>
              </w:rPr>
              <w:lastRenderedPageBreak/>
              <w:t>Distributors and Retail Partners</w:t>
            </w:r>
          </w:p>
        </w:tc>
        <w:tc>
          <w:tcPr>
            <w:tcW w:w="1872" w:type="dxa"/>
            <w:tcMar>
              <w:top w:w="100" w:type="dxa"/>
              <w:left w:w="100" w:type="dxa"/>
              <w:bottom w:w="100" w:type="dxa"/>
              <w:right w:w="100" w:type="dxa"/>
            </w:tcMar>
          </w:tcPr>
          <w:p w14:paraId="7B46FD21" w14:textId="77777777" w:rsidR="000E3D46" w:rsidRDefault="00000000">
            <w:pPr>
              <w:widowControl w:val="0"/>
              <w:rPr>
                <w:color w:val="000000" w:themeColor="text1"/>
                <w:lang w:val="en-GB"/>
              </w:rPr>
            </w:pPr>
            <w:r>
              <w:rPr>
                <w:color w:val="000000" w:themeColor="text1"/>
                <w:lang w:val="en-GB"/>
              </w:rPr>
              <w:t xml:space="preserve">Facilitate product availability in the market. </w:t>
            </w:r>
          </w:p>
        </w:tc>
        <w:tc>
          <w:tcPr>
            <w:tcW w:w="1872" w:type="dxa"/>
            <w:tcMar>
              <w:top w:w="100" w:type="dxa"/>
              <w:left w:w="100" w:type="dxa"/>
              <w:bottom w:w="100" w:type="dxa"/>
              <w:right w:w="100" w:type="dxa"/>
            </w:tcMar>
          </w:tcPr>
          <w:p w14:paraId="7B46FD22" w14:textId="77777777" w:rsidR="000E3D46" w:rsidRDefault="00000000">
            <w:pPr>
              <w:widowControl w:val="0"/>
              <w:rPr>
                <w:color w:val="000000" w:themeColor="text1"/>
                <w:lang w:val="en-GB"/>
              </w:rPr>
            </w:pPr>
            <w:r>
              <w:rPr>
                <w:color w:val="000000" w:themeColor="text1"/>
                <w:lang w:val="en-GB"/>
              </w:rPr>
              <w:t xml:space="preserve">They are responsible for distribution and sales channels (Czinkota </w:t>
            </w:r>
            <w:r>
              <w:rPr>
                <w:i/>
                <w:color w:val="000000" w:themeColor="text1"/>
                <w:lang w:val="en-GB"/>
              </w:rPr>
              <w:t xml:space="preserve">et al., </w:t>
            </w:r>
            <w:r>
              <w:rPr>
                <w:color w:val="000000" w:themeColor="text1"/>
                <w:lang w:val="en-GB"/>
              </w:rPr>
              <w:t>2021, p.522).</w:t>
            </w:r>
          </w:p>
        </w:tc>
        <w:tc>
          <w:tcPr>
            <w:tcW w:w="1872" w:type="dxa"/>
            <w:tcMar>
              <w:top w:w="100" w:type="dxa"/>
              <w:left w:w="100" w:type="dxa"/>
              <w:bottom w:w="100" w:type="dxa"/>
              <w:right w:w="100" w:type="dxa"/>
            </w:tcMar>
          </w:tcPr>
          <w:p w14:paraId="7B46FD23" w14:textId="77777777" w:rsidR="000E3D46" w:rsidRDefault="00000000">
            <w:pPr>
              <w:widowControl w:val="0"/>
              <w:rPr>
                <w:color w:val="000000" w:themeColor="text1"/>
                <w:lang w:val="en-GB"/>
              </w:rPr>
            </w:pPr>
            <w:r>
              <w:rPr>
                <w:color w:val="000000" w:themeColor="text1"/>
                <w:lang w:val="en-GB"/>
              </w:rPr>
              <w:t>Benefits include expanded reach.</w:t>
            </w:r>
          </w:p>
        </w:tc>
        <w:tc>
          <w:tcPr>
            <w:tcW w:w="1872" w:type="dxa"/>
            <w:tcMar>
              <w:top w:w="100" w:type="dxa"/>
              <w:left w:w="100" w:type="dxa"/>
              <w:bottom w:w="100" w:type="dxa"/>
              <w:right w:w="100" w:type="dxa"/>
            </w:tcMar>
          </w:tcPr>
          <w:p w14:paraId="7B46FD24" w14:textId="77777777" w:rsidR="000E3D46" w:rsidRDefault="00000000">
            <w:pPr>
              <w:widowControl w:val="0"/>
              <w:rPr>
                <w:color w:val="000000" w:themeColor="text1"/>
                <w:lang w:val="en-GB"/>
              </w:rPr>
            </w:pPr>
            <w:r>
              <w:rPr>
                <w:color w:val="000000" w:themeColor="text1"/>
                <w:lang w:val="en-GB"/>
              </w:rPr>
              <w:t>Challenges include inventory management and market coverage.</w:t>
            </w:r>
          </w:p>
        </w:tc>
      </w:tr>
      <w:tr w:rsidR="000E3D46" w14:paraId="7B46FD2B" w14:textId="77777777">
        <w:trPr>
          <w:jc w:val="center"/>
        </w:trPr>
        <w:tc>
          <w:tcPr>
            <w:tcW w:w="1872" w:type="dxa"/>
            <w:tcMar>
              <w:top w:w="100" w:type="dxa"/>
              <w:left w:w="100" w:type="dxa"/>
              <w:bottom w:w="100" w:type="dxa"/>
              <w:right w:w="100" w:type="dxa"/>
            </w:tcMar>
          </w:tcPr>
          <w:p w14:paraId="7B46FD26" w14:textId="77777777" w:rsidR="000E3D46" w:rsidRDefault="00000000">
            <w:pPr>
              <w:widowControl w:val="0"/>
              <w:rPr>
                <w:color w:val="000000" w:themeColor="text1"/>
                <w:lang w:val="en-GB"/>
              </w:rPr>
            </w:pPr>
            <w:r>
              <w:rPr>
                <w:color w:val="000000" w:themeColor="text1"/>
                <w:lang w:val="en-GB"/>
              </w:rPr>
              <w:t>End Users / Patients / Consumer Groups:</w:t>
            </w:r>
          </w:p>
        </w:tc>
        <w:tc>
          <w:tcPr>
            <w:tcW w:w="1872" w:type="dxa"/>
            <w:tcMar>
              <w:top w:w="100" w:type="dxa"/>
              <w:left w:w="100" w:type="dxa"/>
              <w:bottom w:w="100" w:type="dxa"/>
              <w:right w:w="100" w:type="dxa"/>
            </w:tcMar>
          </w:tcPr>
          <w:p w14:paraId="7B46FD27" w14:textId="77777777" w:rsidR="000E3D46" w:rsidRDefault="00000000">
            <w:pPr>
              <w:widowControl w:val="0"/>
              <w:rPr>
                <w:color w:val="000000" w:themeColor="text1"/>
                <w:lang w:val="en-GB"/>
              </w:rPr>
            </w:pPr>
            <w:r>
              <w:rPr>
                <w:color w:val="000000" w:themeColor="text1"/>
                <w:lang w:val="en-GB"/>
              </w:rPr>
              <w:t xml:space="preserve">Provide feedback on usability and satisfaction. </w:t>
            </w:r>
          </w:p>
        </w:tc>
        <w:tc>
          <w:tcPr>
            <w:tcW w:w="1872" w:type="dxa"/>
            <w:tcMar>
              <w:top w:w="100" w:type="dxa"/>
              <w:left w:w="100" w:type="dxa"/>
              <w:bottom w:w="100" w:type="dxa"/>
              <w:right w:w="100" w:type="dxa"/>
            </w:tcMar>
          </w:tcPr>
          <w:p w14:paraId="7B46FD28" w14:textId="77777777" w:rsidR="000E3D46" w:rsidRDefault="00000000">
            <w:pPr>
              <w:widowControl w:val="0"/>
              <w:rPr>
                <w:color w:val="000000" w:themeColor="text1"/>
                <w:lang w:val="en-GB"/>
              </w:rPr>
            </w:pPr>
            <w:r>
              <w:rPr>
                <w:color w:val="000000" w:themeColor="text1"/>
                <w:lang w:val="en-GB"/>
              </w:rPr>
              <w:t xml:space="preserve">They are informed and consulted during pilot testing. </w:t>
            </w:r>
          </w:p>
        </w:tc>
        <w:tc>
          <w:tcPr>
            <w:tcW w:w="1872" w:type="dxa"/>
            <w:tcMar>
              <w:top w:w="100" w:type="dxa"/>
              <w:left w:w="100" w:type="dxa"/>
              <w:bottom w:w="100" w:type="dxa"/>
              <w:right w:w="100" w:type="dxa"/>
            </w:tcMar>
          </w:tcPr>
          <w:p w14:paraId="7B46FD29" w14:textId="77777777" w:rsidR="000E3D46" w:rsidRDefault="00000000">
            <w:pPr>
              <w:widowControl w:val="0"/>
              <w:rPr>
                <w:color w:val="000000" w:themeColor="text1"/>
                <w:lang w:val="en-GB"/>
              </w:rPr>
            </w:pPr>
            <w:r>
              <w:rPr>
                <w:color w:val="000000" w:themeColor="text1"/>
                <w:lang w:val="en-GB"/>
              </w:rPr>
              <w:t>Benefits include product refinement and user trust.</w:t>
            </w:r>
          </w:p>
        </w:tc>
        <w:tc>
          <w:tcPr>
            <w:tcW w:w="1872" w:type="dxa"/>
            <w:tcMar>
              <w:top w:w="100" w:type="dxa"/>
              <w:left w:w="100" w:type="dxa"/>
              <w:bottom w:w="100" w:type="dxa"/>
              <w:right w:w="100" w:type="dxa"/>
            </w:tcMar>
          </w:tcPr>
          <w:p w14:paraId="7B46FD2A" w14:textId="77777777" w:rsidR="000E3D46" w:rsidRDefault="00000000">
            <w:pPr>
              <w:widowControl w:val="0"/>
              <w:rPr>
                <w:color w:val="000000" w:themeColor="text1"/>
                <w:lang w:val="en-GB"/>
              </w:rPr>
            </w:pPr>
            <w:r>
              <w:rPr>
                <w:color w:val="000000" w:themeColor="text1"/>
                <w:lang w:val="en-GB"/>
              </w:rPr>
              <w:t>Challenges include adoption barriers and correct usage.</w:t>
            </w:r>
          </w:p>
        </w:tc>
      </w:tr>
      <w:tr w:rsidR="000E3D46" w14:paraId="7B46FD31" w14:textId="77777777">
        <w:trPr>
          <w:jc w:val="center"/>
        </w:trPr>
        <w:tc>
          <w:tcPr>
            <w:tcW w:w="1872" w:type="dxa"/>
            <w:tcMar>
              <w:top w:w="100" w:type="dxa"/>
              <w:left w:w="100" w:type="dxa"/>
              <w:bottom w:w="100" w:type="dxa"/>
              <w:right w:w="100" w:type="dxa"/>
            </w:tcMar>
          </w:tcPr>
          <w:p w14:paraId="7B46FD2C" w14:textId="77777777" w:rsidR="000E3D46" w:rsidRDefault="00000000">
            <w:pPr>
              <w:widowControl w:val="0"/>
              <w:rPr>
                <w:color w:val="000000" w:themeColor="text1"/>
                <w:lang w:val="en-GB"/>
              </w:rPr>
            </w:pPr>
            <w:r>
              <w:rPr>
                <w:color w:val="000000" w:themeColor="text1"/>
                <w:lang w:val="en-GB"/>
              </w:rPr>
              <w:t>Investors and Shareholders</w:t>
            </w:r>
          </w:p>
        </w:tc>
        <w:tc>
          <w:tcPr>
            <w:tcW w:w="1872" w:type="dxa"/>
            <w:tcMar>
              <w:top w:w="100" w:type="dxa"/>
              <w:left w:w="100" w:type="dxa"/>
              <w:bottom w:w="100" w:type="dxa"/>
              <w:right w:w="100" w:type="dxa"/>
            </w:tcMar>
          </w:tcPr>
          <w:p w14:paraId="7B46FD2D" w14:textId="77777777" w:rsidR="000E3D46" w:rsidRDefault="00000000">
            <w:pPr>
              <w:widowControl w:val="0"/>
              <w:rPr>
                <w:color w:val="000000" w:themeColor="text1"/>
                <w:lang w:val="en-GB"/>
              </w:rPr>
            </w:pPr>
            <w:r>
              <w:rPr>
                <w:color w:val="000000" w:themeColor="text1"/>
                <w:lang w:val="en-GB"/>
              </w:rPr>
              <w:t xml:space="preserve">Provide capital and oversight. </w:t>
            </w:r>
          </w:p>
        </w:tc>
        <w:tc>
          <w:tcPr>
            <w:tcW w:w="1872" w:type="dxa"/>
            <w:tcMar>
              <w:top w:w="100" w:type="dxa"/>
              <w:left w:w="100" w:type="dxa"/>
              <w:bottom w:w="100" w:type="dxa"/>
              <w:right w:w="100" w:type="dxa"/>
            </w:tcMar>
          </w:tcPr>
          <w:p w14:paraId="7B46FD2E" w14:textId="77777777" w:rsidR="000E3D46" w:rsidRDefault="00000000">
            <w:pPr>
              <w:widowControl w:val="0"/>
              <w:rPr>
                <w:color w:val="000000" w:themeColor="text1"/>
                <w:lang w:val="en-GB"/>
              </w:rPr>
            </w:pPr>
            <w:r>
              <w:rPr>
                <w:color w:val="000000" w:themeColor="text1"/>
                <w:lang w:val="en-GB"/>
              </w:rPr>
              <w:t>They are informed about project milestones.</w:t>
            </w:r>
          </w:p>
        </w:tc>
        <w:tc>
          <w:tcPr>
            <w:tcW w:w="1872" w:type="dxa"/>
            <w:tcMar>
              <w:top w:w="100" w:type="dxa"/>
              <w:left w:w="100" w:type="dxa"/>
              <w:bottom w:w="100" w:type="dxa"/>
              <w:right w:w="100" w:type="dxa"/>
            </w:tcMar>
          </w:tcPr>
          <w:p w14:paraId="7B46FD2F" w14:textId="77777777" w:rsidR="000E3D46" w:rsidRDefault="00000000">
            <w:pPr>
              <w:widowControl w:val="0"/>
              <w:rPr>
                <w:color w:val="000000" w:themeColor="text1"/>
                <w:lang w:val="en-GB"/>
              </w:rPr>
            </w:pPr>
            <w:r>
              <w:rPr>
                <w:color w:val="000000" w:themeColor="text1"/>
                <w:lang w:val="en-GB"/>
              </w:rPr>
              <w:t>Benefits include financial support and strategic input.</w:t>
            </w:r>
          </w:p>
        </w:tc>
        <w:tc>
          <w:tcPr>
            <w:tcW w:w="1872" w:type="dxa"/>
            <w:tcMar>
              <w:top w:w="100" w:type="dxa"/>
              <w:left w:w="100" w:type="dxa"/>
              <w:bottom w:w="100" w:type="dxa"/>
              <w:right w:w="100" w:type="dxa"/>
            </w:tcMar>
          </w:tcPr>
          <w:p w14:paraId="7B46FD30" w14:textId="77777777" w:rsidR="000E3D46" w:rsidRDefault="00000000">
            <w:pPr>
              <w:widowControl w:val="0"/>
              <w:rPr>
                <w:color w:val="000000" w:themeColor="text1"/>
                <w:lang w:val="en-GB"/>
              </w:rPr>
            </w:pPr>
            <w:r>
              <w:rPr>
                <w:color w:val="000000" w:themeColor="text1"/>
                <w:lang w:val="en-GB"/>
              </w:rPr>
              <w:t xml:space="preserve">Challenges include managing expectations. </w:t>
            </w:r>
          </w:p>
        </w:tc>
      </w:tr>
    </w:tbl>
    <w:p w14:paraId="7B46FD32" w14:textId="77777777" w:rsidR="000E3D46" w:rsidRDefault="00000000">
      <w:pPr>
        <w:ind w:right="140"/>
        <w:jc w:val="center"/>
        <w:rPr>
          <w:b/>
          <w:color w:val="000000" w:themeColor="text1"/>
          <w:lang w:val="en-GB"/>
        </w:rPr>
      </w:pPr>
      <w:r>
        <w:rPr>
          <w:b/>
          <w:color w:val="000000" w:themeColor="text1"/>
          <w:lang w:val="en-GB"/>
        </w:rPr>
        <w:t>Table 5: External stakeholders</w:t>
      </w:r>
    </w:p>
    <w:p w14:paraId="7B46FD33" w14:textId="77777777" w:rsidR="000E3D46" w:rsidRDefault="00000000">
      <w:pPr>
        <w:ind w:right="140"/>
        <w:jc w:val="center"/>
        <w:rPr>
          <w:color w:val="000000" w:themeColor="text1"/>
          <w:lang w:val="en-GB"/>
        </w:rPr>
      </w:pPr>
      <w:r>
        <w:rPr>
          <w:color w:val="000000" w:themeColor="text1"/>
          <w:lang w:val="en-GB"/>
        </w:rPr>
        <w:t>(Source: Self-created)</w:t>
      </w:r>
    </w:p>
    <w:p w14:paraId="7B46FD34" w14:textId="77777777" w:rsidR="000E3D46" w:rsidRDefault="00000000">
      <w:pPr>
        <w:ind w:right="140"/>
        <w:jc w:val="center"/>
        <w:rPr>
          <w:color w:val="000000" w:themeColor="text1"/>
          <w:lang w:val="en-GB"/>
        </w:rPr>
      </w:pPr>
      <w:r>
        <w:rPr>
          <w:color w:val="000000" w:themeColor="text1"/>
          <w:lang w:val="en-GB"/>
        </w:rPr>
        <w:t xml:space="preserve"> (Source: Self-created)</w:t>
      </w:r>
    </w:p>
    <w:bookmarkStart w:id="21" w:name="_Toc209869256"/>
    <w:p w14:paraId="7B46FD35" w14:textId="77777777" w:rsidR="000E3D46" w:rsidRDefault="00000000">
      <w:pPr>
        <w:pStyle w:val="Heading1"/>
        <w:rPr>
          <w:color w:val="000000" w:themeColor="text1"/>
          <w:lang w:val="en-GB"/>
        </w:rPr>
      </w:pPr>
      <w:sdt>
        <w:sdtPr>
          <w:rPr>
            <w:color w:val="000000" w:themeColor="text1"/>
            <w:lang w:val="en-GB"/>
          </w:rPr>
          <w:tag w:val="goog_rdk_10"/>
          <w:id w:val="-1480455901"/>
        </w:sdtPr>
        <w:sdtContent/>
      </w:sdt>
      <w:r>
        <w:rPr>
          <w:color w:val="000000" w:themeColor="text1"/>
          <w:lang w:val="en-GB"/>
        </w:rPr>
        <w:t>7. Impact of Stakeholder Engagement on Business Performance</w:t>
      </w:r>
      <w:bookmarkEnd w:id="21"/>
    </w:p>
    <w:p w14:paraId="7B46FD36" w14:textId="145341B1" w:rsidR="000E3D46" w:rsidRDefault="00000000">
      <w:pPr>
        <w:rPr>
          <w:color w:val="000000" w:themeColor="text1"/>
          <w:lang w:val="en-GB"/>
        </w:rPr>
      </w:pPr>
      <w:r>
        <w:rPr>
          <w:color w:val="000000" w:themeColor="text1"/>
          <w:lang w:val="en-GB"/>
        </w:rPr>
        <w:t xml:space="preserve">The stakeholder engagement is one of the primary concerns of business performance since it predetermines the extent to which a project can be driven to balance between technical innovation, market readiness, regulatory requirements, and user adoption. In the case of the healthcare </w:t>
      </w:r>
      <w:r w:rsidR="00C37FE9">
        <w:rPr>
          <w:color w:val="000000" w:themeColor="text1"/>
          <w:lang w:val="en-GB"/>
        </w:rPr>
        <w:t>smart watch</w:t>
      </w:r>
      <w:r>
        <w:rPr>
          <w:color w:val="000000" w:themeColor="text1"/>
          <w:lang w:val="en-GB"/>
        </w:rPr>
        <w:t xml:space="preserve"> project of Renishaw, excellent interaction between the internal and external parties will </w:t>
      </w:r>
      <w:r>
        <w:rPr>
          <w:color w:val="000000" w:themeColor="text1"/>
          <w:lang w:val="en-GB"/>
        </w:rPr>
        <w:lastRenderedPageBreak/>
        <w:t xml:space="preserve">guarantee that the product has been developed, produced, and released to the market successfully in the highly competitive market of med-tech. </w:t>
      </w:r>
    </w:p>
    <w:p w14:paraId="7B46FD37" w14:textId="77777777" w:rsidR="000E3D46" w:rsidRDefault="00000000">
      <w:pPr>
        <w:pStyle w:val="Heading2"/>
        <w:rPr>
          <w:color w:val="000000" w:themeColor="text1"/>
          <w:lang w:val="en-GB"/>
        </w:rPr>
      </w:pPr>
      <w:bookmarkStart w:id="22" w:name="_Toc209869257"/>
      <w:r>
        <w:rPr>
          <w:color w:val="000000" w:themeColor="text1"/>
          <w:lang w:val="en-GB"/>
        </w:rPr>
        <w:t>Key Impacts of Engagement</w:t>
      </w:r>
      <w:bookmarkEnd w:id="22"/>
    </w:p>
    <w:p w14:paraId="7B46FD38" w14:textId="77777777" w:rsidR="000E3D46" w:rsidRDefault="00000000">
      <w:pPr>
        <w:rPr>
          <w:b/>
          <w:color w:val="000000" w:themeColor="text1"/>
          <w:lang w:val="en-GB"/>
        </w:rPr>
      </w:pPr>
      <w:r>
        <w:rPr>
          <w:b/>
          <w:color w:val="000000" w:themeColor="text1"/>
          <w:lang w:val="en-GB"/>
        </w:rPr>
        <w:t xml:space="preserve">Strategic alignment and leadership support: </w:t>
      </w:r>
    </w:p>
    <w:p w14:paraId="7B46FD39" w14:textId="77777777" w:rsidR="000E3D46" w:rsidRDefault="00000000">
      <w:pPr>
        <w:rPr>
          <w:color w:val="000000" w:themeColor="text1"/>
          <w:lang w:val="en-GB"/>
        </w:rPr>
      </w:pPr>
      <w:r>
        <w:rPr>
          <w:i/>
          <w:color w:val="000000" w:themeColor="text1"/>
          <w:u w:val="single"/>
          <w:lang w:val="en-GB"/>
        </w:rPr>
        <w:t>Impact:</w:t>
      </w:r>
      <w:r>
        <w:rPr>
          <w:color w:val="000000" w:themeColor="text1"/>
          <w:lang w:val="en-GB"/>
        </w:rPr>
        <w:t xml:space="preserve"> Close engagement with the executive leadership and board members leaves a direct impact on governance, strategic alignment, and financial stability. Support from this stakeholder group ensures seamless approvals of project budgets, prioritisation of resources, and alignment with the long-term healthcare strategy (Kehinde, 2024, p. 140). In the absence of this alignment, the project risks misdirection and delays. </w:t>
      </w:r>
    </w:p>
    <w:p w14:paraId="7B46FD3A" w14:textId="77777777" w:rsidR="000E3D46" w:rsidRDefault="00000000">
      <w:pPr>
        <w:rPr>
          <w:color w:val="000000" w:themeColor="text1"/>
          <w:lang w:val="en-GB"/>
        </w:rPr>
      </w:pPr>
      <w:r>
        <w:rPr>
          <w:i/>
          <w:color w:val="000000" w:themeColor="text1"/>
          <w:u w:val="single"/>
          <w:lang w:val="en-GB"/>
        </w:rPr>
        <w:t>Business performance outcome:</w:t>
      </w:r>
      <w:r>
        <w:rPr>
          <w:color w:val="000000" w:themeColor="text1"/>
          <w:lang w:val="en-GB"/>
        </w:rPr>
        <w:t xml:space="preserve"> Improves financial performance, builds investor confidence, and ensures oversight of risk in the healthcare diversification approach. </w:t>
      </w:r>
    </w:p>
    <w:p w14:paraId="7B46FD3B" w14:textId="77777777" w:rsidR="000E3D46" w:rsidRDefault="00000000">
      <w:pPr>
        <w:rPr>
          <w:b/>
          <w:color w:val="000000" w:themeColor="text1"/>
          <w:lang w:val="en-GB"/>
        </w:rPr>
      </w:pPr>
      <w:r>
        <w:rPr>
          <w:b/>
          <w:color w:val="000000" w:themeColor="text1"/>
          <w:lang w:val="en-GB"/>
        </w:rPr>
        <w:t xml:space="preserve">Innovation and product development: </w:t>
      </w:r>
    </w:p>
    <w:p w14:paraId="7B46FD3C" w14:textId="77777777" w:rsidR="000E3D46" w:rsidRDefault="00000000">
      <w:pPr>
        <w:rPr>
          <w:color w:val="000000" w:themeColor="text1"/>
          <w:lang w:val="en-GB"/>
        </w:rPr>
      </w:pPr>
      <w:r>
        <w:rPr>
          <w:i/>
          <w:color w:val="000000" w:themeColor="text1"/>
          <w:u w:val="single"/>
          <w:lang w:val="en-GB"/>
        </w:rPr>
        <w:t>Impact:</w:t>
      </w:r>
      <w:r>
        <w:rPr>
          <w:color w:val="000000" w:themeColor="text1"/>
          <w:lang w:val="en-GB"/>
        </w:rPr>
        <w:t xml:space="preserve"> Software, R&amp;D, and data teams benefit from engagement that promotes idea-sharing, collaboration, and user-centred design (Fasola and Abimbola, 2023, p. 39) Through the involvement of end users and clinicians at an early stage, the product is more likely to fulfil consumer and medical requirements. </w:t>
      </w:r>
    </w:p>
    <w:p w14:paraId="7B46FD3D" w14:textId="77777777" w:rsidR="000E3D46" w:rsidRDefault="00000000">
      <w:pPr>
        <w:rPr>
          <w:color w:val="000000" w:themeColor="text1"/>
          <w:lang w:val="en-GB"/>
        </w:rPr>
      </w:pPr>
      <w:r>
        <w:rPr>
          <w:i/>
          <w:color w:val="000000" w:themeColor="text1"/>
          <w:u w:val="single"/>
          <w:lang w:val="en-GB"/>
        </w:rPr>
        <w:t>Business performance outcome:</w:t>
      </w:r>
      <w:r>
        <w:rPr>
          <w:color w:val="000000" w:themeColor="text1"/>
          <w:lang w:val="en-GB"/>
        </w:rPr>
        <w:t xml:space="preserve"> Faster time-to-market, higher capacity for innovation, and improved usability. These result in greater adoption rates along with revenue potential. </w:t>
      </w:r>
    </w:p>
    <w:p w14:paraId="7B46FD3E" w14:textId="77777777" w:rsidR="000E3D46" w:rsidRDefault="00000000">
      <w:pPr>
        <w:rPr>
          <w:b/>
          <w:color w:val="000000" w:themeColor="text1"/>
          <w:lang w:val="en-GB"/>
        </w:rPr>
      </w:pPr>
      <w:r>
        <w:rPr>
          <w:b/>
          <w:color w:val="000000" w:themeColor="text1"/>
          <w:lang w:val="en-GB"/>
        </w:rPr>
        <w:t>Operational efficiency and stable supply chain:</w:t>
      </w:r>
    </w:p>
    <w:p w14:paraId="7B46FD3F" w14:textId="77777777" w:rsidR="000E3D46" w:rsidRDefault="00000000">
      <w:pPr>
        <w:rPr>
          <w:color w:val="000000" w:themeColor="text1"/>
          <w:lang w:val="en-GB"/>
        </w:rPr>
      </w:pPr>
      <w:r>
        <w:rPr>
          <w:i/>
          <w:color w:val="000000" w:themeColor="text1"/>
          <w:u w:val="single"/>
          <w:lang w:val="en-GB"/>
        </w:rPr>
        <w:t>Impact:</w:t>
      </w:r>
      <w:r>
        <w:rPr>
          <w:color w:val="000000" w:themeColor="text1"/>
          <w:lang w:val="en-GB"/>
        </w:rPr>
        <w:t xml:space="preserve"> Proactive engagement with the supply chain and manufacturing teams, including contract manufacturers and external suppliers, ensures ethical material sourcing, production scaling, and logistics management are resilient and efficient (Kim and Chae, 2022, p.891). </w:t>
      </w:r>
    </w:p>
    <w:p w14:paraId="7B46FD40" w14:textId="77777777" w:rsidR="000E3D46" w:rsidRDefault="00000000">
      <w:pPr>
        <w:rPr>
          <w:color w:val="000000" w:themeColor="text1"/>
          <w:lang w:val="en-GB"/>
        </w:rPr>
      </w:pPr>
      <w:r>
        <w:rPr>
          <w:i/>
          <w:color w:val="000000" w:themeColor="text1"/>
          <w:u w:val="single"/>
          <w:lang w:val="en-GB"/>
        </w:rPr>
        <w:t>Business performance outcome:</w:t>
      </w:r>
      <w:r>
        <w:rPr>
          <w:color w:val="000000" w:themeColor="text1"/>
          <w:lang w:val="en-GB"/>
        </w:rPr>
        <w:t xml:space="preserve"> It maintains continuity of production, reduces costs, and improves delivery performance, which are key drivers of customer satisfaction and profitability. </w:t>
      </w:r>
    </w:p>
    <w:p w14:paraId="7B46FD41" w14:textId="77777777" w:rsidR="000E3D46" w:rsidRDefault="00000000">
      <w:pPr>
        <w:rPr>
          <w:b/>
          <w:color w:val="000000" w:themeColor="text1"/>
          <w:lang w:val="en-GB"/>
        </w:rPr>
      </w:pPr>
      <w:r>
        <w:rPr>
          <w:b/>
          <w:color w:val="000000" w:themeColor="text1"/>
          <w:lang w:val="en-GB"/>
        </w:rPr>
        <w:t xml:space="preserve">Compliance and risk management: </w:t>
      </w:r>
    </w:p>
    <w:p w14:paraId="7B46FD42" w14:textId="77777777" w:rsidR="000E3D46" w:rsidRDefault="00000000">
      <w:pPr>
        <w:rPr>
          <w:color w:val="000000" w:themeColor="text1"/>
          <w:lang w:val="en-GB"/>
        </w:rPr>
      </w:pPr>
      <w:r>
        <w:rPr>
          <w:i/>
          <w:color w:val="000000" w:themeColor="text1"/>
          <w:u w:val="single"/>
          <w:lang w:val="en-GB"/>
        </w:rPr>
        <w:t>Impact:</w:t>
      </w:r>
      <w:r>
        <w:rPr>
          <w:color w:val="000000" w:themeColor="text1"/>
          <w:lang w:val="en-GB"/>
        </w:rPr>
        <w:t xml:space="preserve"> The internal quality assurance and regulatory teams, besides external regulatory bodies such as MHRA, need effective engagement. Clear communication can ensure that clinical evaluations, certifications, and processes of risk management are followed without any bottlenecks (Yamgar and Thakur, 2024, p. 165) </w:t>
      </w:r>
    </w:p>
    <w:p w14:paraId="7B46FD43" w14:textId="77777777" w:rsidR="000E3D46" w:rsidRDefault="00000000">
      <w:pPr>
        <w:rPr>
          <w:color w:val="000000" w:themeColor="text1"/>
          <w:lang w:val="en-GB"/>
        </w:rPr>
      </w:pPr>
      <w:r>
        <w:rPr>
          <w:i/>
          <w:color w:val="000000" w:themeColor="text1"/>
          <w:u w:val="single"/>
          <w:lang w:val="en-GB"/>
        </w:rPr>
        <w:lastRenderedPageBreak/>
        <w:t>Business performance outcome:</w:t>
      </w:r>
      <w:r>
        <w:rPr>
          <w:color w:val="000000" w:themeColor="text1"/>
          <w:lang w:val="en-GB"/>
        </w:rPr>
        <w:t xml:space="preserve"> Such engagement can minimise compliance risk, avoid product recalls or costly delays, and protect the reputation of Renishaw in the healthcare industry. </w:t>
      </w:r>
    </w:p>
    <w:p w14:paraId="7B46FD44" w14:textId="77777777" w:rsidR="000E3D46" w:rsidRDefault="00000000">
      <w:pPr>
        <w:rPr>
          <w:b/>
          <w:color w:val="000000" w:themeColor="text1"/>
          <w:lang w:val="en-GB"/>
        </w:rPr>
      </w:pPr>
      <w:r>
        <w:rPr>
          <w:b/>
          <w:color w:val="000000" w:themeColor="text1"/>
          <w:lang w:val="en-GB"/>
        </w:rPr>
        <w:t xml:space="preserve">Market reach and commercial success: </w:t>
      </w:r>
    </w:p>
    <w:p w14:paraId="7B46FD45" w14:textId="77777777" w:rsidR="000E3D46" w:rsidRDefault="00000000">
      <w:pPr>
        <w:rPr>
          <w:color w:val="000000" w:themeColor="text1"/>
          <w:lang w:val="en-GB"/>
        </w:rPr>
      </w:pPr>
      <w:r>
        <w:rPr>
          <w:i/>
          <w:color w:val="000000" w:themeColor="text1"/>
          <w:u w:val="single"/>
          <w:lang w:val="en-GB"/>
        </w:rPr>
        <w:t>Impact:</w:t>
      </w:r>
      <w:r>
        <w:rPr>
          <w:color w:val="000000" w:themeColor="text1"/>
          <w:lang w:val="en-GB"/>
        </w:rPr>
        <w:t xml:space="preserve"> Timely engagement with sales, marketing, distributors, and retail partners directly influences the market positioning, consumer awareness, and distribution coverage of the newly produced device (Amajuoyi </w:t>
      </w:r>
      <w:r>
        <w:rPr>
          <w:i/>
          <w:color w:val="000000" w:themeColor="text1"/>
          <w:lang w:val="en-GB"/>
        </w:rPr>
        <w:t xml:space="preserve">et al., </w:t>
      </w:r>
      <w:r>
        <w:rPr>
          <w:color w:val="000000" w:themeColor="text1"/>
          <w:lang w:val="en-GB"/>
        </w:rPr>
        <w:t xml:space="preserve">2024, p. 250). Collaboration allows for clear messaging and consistent branding of the product value. </w:t>
      </w:r>
    </w:p>
    <w:p w14:paraId="7B46FD46" w14:textId="77777777" w:rsidR="000E3D46" w:rsidRDefault="00000000">
      <w:pPr>
        <w:rPr>
          <w:color w:val="000000" w:themeColor="text1"/>
          <w:lang w:val="en-GB"/>
        </w:rPr>
      </w:pPr>
      <w:r>
        <w:rPr>
          <w:i/>
          <w:color w:val="000000" w:themeColor="text1"/>
          <w:u w:val="single"/>
          <w:lang w:val="en-GB"/>
        </w:rPr>
        <w:t>Business performance outcome:</w:t>
      </w:r>
      <w:r>
        <w:rPr>
          <w:color w:val="000000" w:themeColor="text1"/>
          <w:lang w:val="en-GB"/>
        </w:rPr>
        <w:t xml:space="preserve"> This engagement impact can strengthen competitive position, accelerate growth of revenue, and ensure wider product availability in both consumer and clinical markets. </w:t>
      </w:r>
    </w:p>
    <w:p w14:paraId="7B46FD47" w14:textId="77777777" w:rsidR="000E3D46" w:rsidRDefault="00000000">
      <w:pPr>
        <w:rPr>
          <w:b/>
          <w:color w:val="000000" w:themeColor="text1"/>
          <w:lang w:val="en-GB"/>
        </w:rPr>
      </w:pPr>
      <w:r>
        <w:rPr>
          <w:b/>
          <w:color w:val="000000" w:themeColor="text1"/>
          <w:lang w:val="en-GB"/>
        </w:rPr>
        <w:t xml:space="preserve">Clinical validation and trust: </w:t>
      </w:r>
    </w:p>
    <w:p w14:paraId="7B46FD48" w14:textId="77777777" w:rsidR="000E3D46" w:rsidRDefault="00000000">
      <w:pPr>
        <w:rPr>
          <w:color w:val="000000" w:themeColor="text1"/>
          <w:lang w:val="en-GB"/>
        </w:rPr>
      </w:pPr>
      <w:r>
        <w:rPr>
          <w:i/>
          <w:color w:val="000000" w:themeColor="text1"/>
          <w:u w:val="single"/>
          <w:lang w:val="en-GB"/>
        </w:rPr>
        <w:t>Impact:</w:t>
      </w:r>
      <w:r>
        <w:rPr>
          <w:color w:val="000000" w:themeColor="text1"/>
          <w:lang w:val="en-GB"/>
        </w:rPr>
        <w:t xml:space="preserve"> Maintaining close engagement with NHS trust, clinical affairs, and healthcare providers supports validation that is backed by evidence. Their involvement can improve product credibility, while their feedback helps refine product design for clinical use. </w:t>
      </w:r>
    </w:p>
    <w:p w14:paraId="7B46FD49" w14:textId="77777777" w:rsidR="000E3D46" w:rsidRDefault="00000000">
      <w:pPr>
        <w:rPr>
          <w:color w:val="000000" w:themeColor="text1"/>
          <w:lang w:val="en-GB"/>
        </w:rPr>
      </w:pPr>
      <w:r>
        <w:rPr>
          <w:i/>
          <w:color w:val="000000" w:themeColor="text1"/>
          <w:u w:val="single"/>
          <w:lang w:val="en-GB"/>
        </w:rPr>
        <w:t>Business performance outcome:</w:t>
      </w:r>
      <w:r>
        <w:rPr>
          <w:color w:val="000000" w:themeColor="text1"/>
          <w:lang w:val="en-GB"/>
        </w:rPr>
        <w:t xml:space="preserve"> This engagement accelerates procurement, builds trust among clinicians, and presents Renishaw as the provider of a credible medical technology. </w:t>
      </w:r>
    </w:p>
    <w:p w14:paraId="7B46FD4A" w14:textId="77777777" w:rsidR="000E3D46" w:rsidRDefault="00000000">
      <w:pPr>
        <w:rPr>
          <w:b/>
          <w:color w:val="000000" w:themeColor="text1"/>
          <w:lang w:val="en-GB"/>
        </w:rPr>
      </w:pPr>
      <w:r>
        <w:rPr>
          <w:b/>
          <w:color w:val="000000" w:themeColor="text1"/>
          <w:lang w:val="en-GB"/>
        </w:rPr>
        <w:t xml:space="preserve">End user adoption and satisfaction: </w:t>
      </w:r>
    </w:p>
    <w:p w14:paraId="7B46FD4B" w14:textId="77777777" w:rsidR="000E3D46" w:rsidRDefault="00000000">
      <w:pPr>
        <w:rPr>
          <w:color w:val="000000" w:themeColor="text1"/>
          <w:lang w:val="en-GB"/>
        </w:rPr>
      </w:pPr>
      <w:r>
        <w:rPr>
          <w:i/>
          <w:color w:val="000000" w:themeColor="text1"/>
          <w:u w:val="single"/>
          <w:lang w:val="en-GB"/>
        </w:rPr>
        <w:t>Impact:</w:t>
      </w:r>
      <w:r>
        <w:rPr>
          <w:color w:val="000000" w:themeColor="text1"/>
          <w:lang w:val="en-GB"/>
        </w:rPr>
        <w:t xml:space="preserve"> The engagement of Renishaw with consumers and end users ensures that comfort, usability, and affordability are prioritised. Collecting feedback through early trials and pilots can improve adoption rates and product design (Kırmızı and Kocaoglu, 2022, p. 1332) </w:t>
      </w:r>
    </w:p>
    <w:p w14:paraId="7B46FD4C" w14:textId="77777777" w:rsidR="000E3D46" w:rsidRDefault="00000000">
      <w:pPr>
        <w:rPr>
          <w:color w:val="000000" w:themeColor="text1"/>
          <w:lang w:val="en-GB"/>
        </w:rPr>
      </w:pPr>
      <w:r>
        <w:rPr>
          <w:i/>
          <w:color w:val="000000" w:themeColor="text1"/>
          <w:u w:val="single"/>
          <w:lang w:val="en-GB"/>
        </w:rPr>
        <w:t>Business performance outcome:</w:t>
      </w:r>
      <w:r>
        <w:rPr>
          <w:color w:val="000000" w:themeColor="text1"/>
          <w:lang w:val="en-GB"/>
        </w:rPr>
        <w:t xml:space="preserve"> This can increase sales volumes, improve brand loyalty, and generate positive word-of-mouth. Acceptance among patient groups is considered the ultimate test of commercial success. </w:t>
      </w:r>
    </w:p>
    <w:p w14:paraId="7B46FD4D" w14:textId="77777777" w:rsidR="000E3D46" w:rsidRDefault="00000000">
      <w:pPr>
        <w:rPr>
          <w:b/>
          <w:color w:val="000000" w:themeColor="text1"/>
          <w:lang w:val="en-GB"/>
        </w:rPr>
      </w:pPr>
      <w:r>
        <w:rPr>
          <w:b/>
          <w:color w:val="000000" w:themeColor="text1"/>
          <w:lang w:val="en-GB"/>
        </w:rPr>
        <w:t xml:space="preserve">Investor and shareholder confidence: </w:t>
      </w:r>
    </w:p>
    <w:p w14:paraId="7B46FD4E" w14:textId="727ED695" w:rsidR="000E3D46" w:rsidRDefault="00000000">
      <w:pPr>
        <w:rPr>
          <w:color w:val="000000" w:themeColor="text1"/>
          <w:lang w:val="en-GB"/>
        </w:rPr>
      </w:pPr>
      <w:r>
        <w:rPr>
          <w:i/>
          <w:color w:val="000000" w:themeColor="text1"/>
          <w:u w:val="single"/>
          <w:lang w:val="en-GB"/>
        </w:rPr>
        <w:t>Impact:</w:t>
      </w:r>
      <w:r>
        <w:rPr>
          <w:color w:val="000000" w:themeColor="text1"/>
          <w:lang w:val="en-GB"/>
        </w:rPr>
        <w:t xml:space="preserve"> Maintaining transparent engagement with investors ensures that confidence is high in the ESG alignment, commercial viability, and revenue prospects of the healthcare </w:t>
      </w:r>
      <w:r w:rsidR="00D05E86">
        <w:rPr>
          <w:color w:val="000000" w:themeColor="text1"/>
          <w:lang w:val="en-GB"/>
        </w:rPr>
        <w:t>smart watch</w:t>
      </w:r>
      <w:r>
        <w:rPr>
          <w:color w:val="000000" w:themeColor="text1"/>
          <w:lang w:val="en-GB"/>
        </w:rPr>
        <w:t xml:space="preserve"> device (Rosário and Cruz, 2025, p. 81). Updates on a regular basis, focusing on regulatory approvals, risks, and market reception, foster trust. </w:t>
      </w:r>
    </w:p>
    <w:p w14:paraId="7B46FD4F" w14:textId="77777777" w:rsidR="000E3D46" w:rsidRDefault="00000000">
      <w:pPr>
        <w:rPr>
          <w:color w:val="000000" w:themeColor="text1"/>
          <w:lang w:val="en-GB"/>
        </w:rPr>
      </w:pPr>
      <w:r>
        <w:rPr>
          <w:i/>
          <w:color w:val="000000" w:themeColor="text1"/>
          <w:u w:val="single"/>
          <w:lang w:val="en-GB"/>
        </w:rPr>
        <w:t>Business performance outcome:</w:t>
      </w:r>
      <w:r>
        <w:rPr>
          <w:color w:val="000000" w:themeColor="text1"/>
          <w:lang w:val="en-GB"/>
        </w:rPr>
        <w:t xml:space="preserve"> Through this engagement, strong share performance will be maintained. In addition, this supports capital raising when required, besides improving the reputation of Renishaw as one of the diversified med-tech innovators. </w:t>
      </w:r>
    </w:p>
    <w:p w14:paraId="7B46FD50" w14:textId="77777777" w:rsidR="000E3D46" w:rsidRDefault="00000000">
      <w:pPr>
        <w:pStyle w:val="Heading2"/>
        <w:rPr>
          <w:color w:val="000000" w:themeColor="text1"/>
          <w:lang w:val="en-GB"/>
        </w:rPr>
      </w:pPr>
      <w:bookmarkStart w:id="23" w:name="_Toc209869258"/>
      <w:r>
        <w:rPr>
          <w:color w:val="000000" w:themeColor="text1"/>
          <w:lang w:val="en-GB"/>
        </w:rPr>
        <w:lastRenderedPageBreak/>
        <w:t>Recommendations for Future Stakeholder Engagement</w:t>
      </w:r>
      <w:bookmarkEnd w:id="23"/>
    </w:p>
    <w:p w14:paraId="7B46FD51" w14:textId="77777777" w:rsidR="000E3D46" w:rsidRDefault="00000000">
      <w:pPr>
        <w:numPr>
          <w:ilvl w:val="0"/>
          <w:numId w:val="2"/>
        </w:numPr>
        <w:spacing w:line="480" w:lineRule="auto"/>
        <w:rPr>
          <w:b/>
          <w:i/>
          <w:color w:val="000000" w:themeColor="text1"/>
          <w:lang w:val="en-GB"/>
        </w:rPr>
      </w:pPr>
      <w:r>
        <w:rPr>
          <w:b/>
          <w:i/>
          <w:color w:val="000000" w:themeColor="text1"/>
          <w:lang w:val="en-GB"/>
        </w:rPr>
        <w:t>Structured feedback loops</w:t>
      </w:r>
    </w:p>
    <w:p w14:paraId="7B46FD52" w14:textId="77777777" w:rsidR="000E3D46" w:rsidRDefault="00000000">
      <w:pPr>
        <w:rPr>
          <w:color w:val="000000" w:themeColor="text1"/>
          <w:lang w:val="en-GB"/>
        </w:rPr>
      </w:pPr>
      <w:r>
        <w:rPr>
          <w:color w:val="000000" w:themeColor="text1"/>
          <w:lang w:val="en-GB"/>
        </w:rPr>
        <w:t xml:space="preserve">Renishaw can establish platforms for continuous digital feedback for end users, clinicians, and distributors to recognise the issues at an early stage. Product features can be adapted fast with regular updates (Amajuoyi </w:t>
      </w:r>
      <w:r>
        <w:rPr>
          <w:i/>
          <w:color w:val="000000" w:themeColor="text1"/>
          <w:lang w:val="en-GB"/>
        </w:rPr>
        <w:t xml:space="preserve">et al., </w:t>
      </w:r>
      <w:r>
        <w:rPr>
          <w:color w:val="000000" w:themeColor="text1"/>
          <w:lang w:val="en-GB"/>
        </w:rPr>
        <w:t xml:space="preserve">2024, p. 250). This helps align with evolving user requirements. </w:t>
      </w:r>
    </w:p>
    <w:p w14:paraId="7B46FD53" w14:textId="77777777" w:rsidR="000E3D46" w:rsidRDefault="00000000">
      <w:pPr>
        <w:numPr>
          <w:ilvl w:val="0"/>
          <w:numId w:val="2"/>
        </w:numPr>
        <w:spacing w:line="480" w:lineRule="auto"/>
        <w:rPr>
          <w:b/>
          <w:i/>
          <w:color w:val="000000" w:themeColor="text1"/>
          <w:lang w:val="en-GB"/>
        </w:rPr>
      </w:pPr>
      <w:r>
        <w:rPr>
          <w:b/>
          <w:i/>
          <w:color w:val="000000" w:themeColor="text1"/>
          <w:lang w:val="en-GB"/>
        </w:rPr>
        <w:t>Deeper clinical partnerships</w:t>
      </w:r>
    </w:p>
    <w:p w14:paraId="7B46FD54" w14:textId="77777777" w:rsidR="000E3D46" w:rsidRDefault="00000000">
      <w:pPr>
        <w:rPr>
          <w:color w:val="000000" w:themeColor="text1"/>
          <w:lang w:val="en-GB"/>
        </w:rPr>
      </w:pPr>
      <w:r>
        <w:rPr>
          <w:color w:val="000000" w:themeColor="text1"/>
          <w:lang w:val="en-GB"/>
        </w:rPr>
        <w:t xml:space="preserve">The organisation can expand collaborations with private healthcare providers and NHS Trusts to strengthen credibility and accelerate market penetration. </w:t>
      </w:r>
    </w:p>
    <w:p w14:paraId="7B46FD55" w14:textId="77777777" w:rsidR="000E3D46" w:rsidRDefault="00000000">
      <w:pPr>
        <w:numPr>
          <w:ilvl w:val="0"/>
          <w:numId w:val="2"/>
        </w:numPr>
        <w:spacing w:line="480" w:lineRule="auto"/>
        <w:rPr>
          <w:b/>
          <w:i/>
          <w:color w:val="000000" w:themeColor="text1"/>
          <w:lang w:val="en-GB"/>
        </w:rPr>
      </w:pPr>
      <w:r>
        <w:rPr>
          <w:b/>
          <w:i/>
          <w:color w:val="000000" w:themeColor="text1"/>
          <w:lang w:val="en-GB"/>
        </w:rPr>
        <w:t>Investor transparency</w:t>
      </w:r>
    </w:p>
    <w:p w14:paraId="7B46FD56" w14:textId="77777777" w:rsidR="000E3D46" w:rsidRDefault="00000000">
      <w:pPr>
        <w:rPr>
          <w:color w:val="000000" w:themeColor="text1"/>
          <w:lang w:val="en-GB"/>
        </w:rPr>
      </w:pPr>
      <w:r>
        <w:rPr>
          <w:color w:val="000000" w:themeColor="text1"/>
          <w:lang w:val="en-GB"/>
        </w:rPr>
        <w:t xml:space="preserve">Renishaw needs to provide daily impact reporting and regular ESG performance data to demonstrate the contribution of Renishaw toward sustainable innovation in healthcare. </w:t>
      </w:r>
    </w:p>
    <w:p w14:paraId="7B46FD57" w14:textId="77777777" w:rsidR="000E3D46" w:rsidRDefault="00000000">
      <w:pPr>
        <w:numPr>
          <w:ilvl w:val="0"/>
          <w:numId w:val="2"/>
        </w:numPr>
        <w:spacing w:line="480" w:lineRule="auto"/>
        <w:rPr>
          <w:b/>
          <w:i/>
          <w:color w:val="000000" w:themeColor="text1"/>
          <w:lang w:val="en-GB"/>
        </w:rPr>
      </w:pPr>
      <w:r>
        <w:rPr>
          <w:b/>
          <w:i/>
          <w:color w:val="000000" w:themeColor="text1"/>
          <w:lang w:val="en-GB"/>
        </w:rPr>
        <w:t>Stronger supply chain resilience</w:t>
      </w:r>
    </w:p>
    <w:p w14:paraId="7B46FD58" w14:textId="77777777" w:rsidR="000E3D46" w:rsidRDefault="00000000">
      <w:pPr>
        <w:rPr>
          <w:color w:val="000000" w:themeColor="text1"/>
          <w:lang w:val="en-GB"/>
        </w:rPr>
      </w:pPr>
      <w:r>
        <w:rPr>
          <w:color w:val="000000" w:themeColor="text1"/>
          <w:lang w:val="en-GB"/>
        </w:rPr>
        <w:t xml:space="preserve">The healthcare device producing organisation must develop dual sourcing strategies as well as long-term contracts with the suppliers to prevent disruptions. </w:t>
      </w:r>
    </w:p>
    <w:p w14:paraId="7B46FD59" w14:textId="77777777" w:rsidR="000E3D46" w:rsidRDefault="00000000">
      <w:pPr>
        <w:pStyle w:val="Heading1"/>
        <w:rPr>
          <w:color w:val="000000" w:themeColor="text1"/>
          <w:lang w:val="en-GB"/>
        </w:rPr>
      </w:pPr>
      <w:bookmarkStart w:id="24" w:name="_Toc209869259"/>
      <w:r>
        <w:rPr>
          <w:color w:val="000000" w:themeColor="text1"/>
          <w:lang w:val="en-GB"/>
        </w:rPr>
        <w:t>5. Conclusion</w:t>
      </w:r>
      <w:bookmarkEnd w:id="24"/>
    </w:p>
    <w:p w14:paraId="7B46FD5A" w14:textId="2EFE491E" w:rsidR="000E3D46" w:rsidRDefault="00000000">
      <w:pPr>
        <w:rPr>
          <w:color w:val="000000" w:themeColor="text1"/>
          <w:lang w:val="en-GB"/>
        </w:rPr>
      </w:pPr>
      <w:r>
        <w:rPr>
          <w:color w:val="000000" w:themeColor="text1"/>
          <w:lang w:val="en-GB"/>
        </w:rPr>
        <w:t xml:space="preserve">The central priority of this report was to examine the critical role of stakeholder engagement in successfully developing and launching the healthcare </w:t>
      </w:r>
      <w:r w:rsidR="00A21228">
        <w:rPr>
          <w:color w:val="000000" w:themeColor="text1"/>
          <w:lang w:val="en-GB"/>
        </w:rPr>
        <w:t>smart watch</w:t>
      </w:r>
      <w:r>
        <w:rPr>
          <w:color w:val="000000" w:themeColor="text1"/>
          <w:lang w:val="en-GB"/>
        </w:rPr>
        <w:t xml:space="preserve"> device of Renishaw. From the outset, it has been established that the key stakeholders, both external and internal, shape each stage of the project, from product innovation and regulatory compliance to management of the supply chain, marketing, and consumer adoption. The internal stakeholders, like R&amp;D teams, executive leadership, manufacturing, regulatory assurance, and commercial divisions, seem to have offered the foundation for product quality, strategic alignment, market positioning, and operational efficiency. Through the application of strategic frameworks like the engagement plan, stakeholder matrix, RACI matrix, and communication plan, it is clarified how these stakeholder groups differ from each other in terms of power and interest, while highlighting the personalised approaches for managing these stakeholders effectively. In addition, the utilisation of the 4Cs model offered a clear and structured approach for enhancing engagement and resolving conflicts. </w:t>
      </w:r>
      <w:r>
        <w:rPr>
          <w:color w:val="000000" w:themeColor="text1"/>
          <w:lang w:val="en-GB"/>
        </w:rPr>
        <w:lastRenderedPageBreak/>
        <w:t xml:space="preserve">This ensures stronger project outcomes under shared accountability. Evaluating the impact of stakeholder engagement showed that it directly influences strategic alignment, innovation quality, compliance, financial performance, and brand trust. The analysis also underlined the importance of transparent leadership, resilient supply chains, user-centred innovation, and clinical validation in driving both short-term and long-term business performance. Recommendations were made to strengthen future engagement through feedback loops, deeper clinical partnerships, investor transparency, and integrated communication systems. In conclusion, stakeholder engagement is not simply a supporting function but a strategic driver of the performance of Renishaw in the healthcare sector. </w:t>
      </w:r>
    </w:p>
    <w:p w14:paraId="7B46FD5B" w14:textId="77777777" w:rsidR="000E3D46" w:rsidRDefault="000E3D46">
      <w:pPr>
        <w:rPr>
          <w:color w:val="000000" w:themeColor="text1"/>
          <w:lang w:val="en-GB"/>
        </w:rPr>
      </w:pPr>
    </w:p>
    <w:p w14:paraId="7B46FD5C" w14:textId="77777777" w:rsidR="000E3D46" w:rsidRDefault="000E3D46">
      <w:pPr>
        <w:rPr>
          <w:color w:val="000000" w:themeColor="text1"/>
          <w:lang w:val="en-GB"/>
        </w:rPr>
      </w:pPr>
    </w:p>
    <w:p w14:paraId="7B46FD5D" w14:textId="77777777" w:rsidR="000E3D46" w:rsidRDefault="000E3D46">
      <w:pPr>
        <w:rPr>
          <w:color w:val="000000" w:themeColor="text1"/>
          <w:lang w:val="en-GB"/>
        </w:rPr>
      </w:pPr>
    </w:p>
    <w:p w14:paraId="7B46FD5E" w14:textId="77777777" w:rsidR="000E3D46" w:rsidRDefault="000E3D46">
      <w:pPr>
        <w:rPr>
          <w:color w:val="000000" w:themeColor="text1"/>
          <w:lang w:val="en-GB"/>
        </w:rPr>
      </w:pPr>
    </w:p>
    <w:p w14:paraId="7B46FD5F" w14:textId="77777777" w:rsidR="000E3D46" w:rsidRDefault="000E3D46">
      <w:pPr>
        <w:rPr>
          <w:color w:val="000000" w:themeColor="text1"/>
          <w:lang w:val="en-GB"/>
        </w:rPr>
      </w:pPr>
    </w:p>
    <w:p w14:paraId="7B46FD60" w14:textId="77777777" w:rsidR="000E3D46" w:rsidRDefault="000E3D46">
      <w:pPr>
        <w:rPr>
          <w:color w:val="000000" w:themeColor="text1"/>
          <w:lang w:val="en-GB"/>
        </w:rPr>
      </w:pPr>
    </w:p>
    <w:p w14:paraId="7B46FD61" w14:textId="77777777" w:rsidR="000E3D46" w:rsidRDefault="000E3D46">
      <w:pPr>
        <w:rPr>
          <w:color w:val="000000" w:themeColor="text1"/>
          <w:lang w:val="en-GB"/>
        </w:rPr>
      </w:pPr>
    </w:p>
    <w:p w14:paraId="7B46FD62" w14:textId="77777777" w:rsidR="000E3D46" w:rsidRDefault="000E3D46">
      <w:pPr>
        <w:rPr>
          <w:color w:val="000000" w:themeColor="text1"/>
          <w:lang w:val="en-GB"/>
        </w:rPr>
      </w:pPr>
    </w:p>
    <w:p w14:paraId="7B46FD63" w14:textId="77777777" w:rsidR="000E3D46" w:rsidRDefault="000E3D46">
      <w:pPr>
        <w:rPr>
          <w:color w:val="000000" w:themeColor="text1"/>
          <w:lang w:val="en-GB"/>
        </w:rPr>
      </w:pPr>
    </w:p>
    <w:p w14:paraId="7B46FD64" w14:textId="77777777" w:rsidR="000E3D46" w:rsidRDefault="000E3D46">
      <w:pPr>
        <w:rPr>
          <w:color w:val="000000" w:themeColor="text1"/>
          <w:lang w:val="en-GB"/>
        </w:rPr>
      </w:pPr>
    </w:p>
    <w:p w14:paraId="7B46FD65" w14:textId="77777777" w:rsidR="000E3D46" w:rsidRDefault="000E3D46">
      <w:pPr>
        <w:rPr>
          <w:color w:val="000000" w:themeColor="text1"/>
          <w:lang w:val="en-GB"/>
        </w:rPr>
      </w:pPr>
    </w:p>
    <w:p w14:paraId="7B46FD66" w14:textId="77777777" w:rsidR="000E3D46" w:rsidRDefault="000E3D46">
      <w:pPr>
        <w:rPr>
          <w:color w:val="000000" w:themeColor="text1"/>
          <w:lang w:val="en-GB"/>
        </w:rPr>
      </w:pPr>
    </w:p>
    <w:p w14:paraId="7B46FD67" w14:textId="77777777" w:rsidR="000E3D46" w:rsidRDefault="000E3D46">
      <w:pPr>
        <w:rPr>
          <w:color w:val="000000" w:themeColor="text1"/>
          <w:lang w:val="en-GB"/>
        </w:rPr>
      </w:pPr>
    </w:p>
    <w:p w14:paraId="7B46FD68" w14:textId="77777777" w:rsidR="000E3D46" w:rsidRDefault="000E3D46">
      <w:pPr>
        <w:rPr>
          <w:color w:val="000000" w:themeColor="text1"/>
          <w:lang w:val="en-GB"/>
        </w:rPr>
      </w:pPr>
    </w:p>
    <w:p w14:paraId="7B46FD69" w14:textId="77777777" w:rsidR="000E3D46" w:rsidRDefault="00000000">
      <w:pPr>
        <w:pStyle w:val="Heading1"/>
        <w:rPr>
          <w:color w:val="000000" w:themeColor="text1"/>
          <w:lang w:val="en-GB"/>
        </w:rPr>
      </w:pPr>
      <w:bookmarkStart w:id="25" w:name="_Toc209869260"/>
      <w:r>
        <w:rPr>
          <w:color w:val="000000" w:themeColor="text1"/>
          <w:lang w:val="en-GB"/>
        </w:rPr>
        <w:t>References</w:t>
      </w:r>
      <w:bookmarkEnd w:id="25"/>
      <w:r>
        <w:rPr>
          <w:color w:val="000000" w:themeColor="text1"/>
          <w:lang w:val="en-GB"/>
        </w:rPr>
        <w:t xml:space="preserve"> </w:t>
      </w:r>
    </w:p>
    <w:p w14:paraId="7B46FD6A" w14:textId="77777777" w:rsidR="000E3D46" w:rsidRDefault="00000000">
      <w:pPr>
        <w:pStyle w:val="NormalWeb"/>
      </w:pPr>
      <w:r>
        <w:t xml:space="preserve">Ahmad, T., Boit, J. and Aakula, A. (2023). ‘The role of cross-functional collaboration in digital transformation.’ </w:t>
      </w:r>
      <w:r>
        <w:rPr>
          <w:rStyle w:val="Emphasis"/>
        </w:rPr>
        <w:t>Journal of Computational Intelligence and Robotics,</w:t>
      </w:r>
      <w:r>
        <w:t xml:space="preserve"> 3(1), pp.1-209.</w:t>
      </w:r>
    </w:p>
    <w:p w14:paraId="7B46FD6B" w14:textId="77777777" w:rsidR="000E3D46" w:rsidRDefault="00000000">
      <w:pPr>
        <w:pStyle w:val="NormalWeb"/>
      </w:pPr>
      <w:r>
        <w:t xml:space="preserve">Amajuoyi, P., Benjamin, L.B. and Adeusi, K.B. (2024). Agile methodologies: Adapting product management to rapidly changing market conditions. </w:t>
      </w:r>
      <w:r>
        <w:rPr>
          <w:rStyle w:val="Emphasis"/>
        </w:rPr>
        <w:t>GSC Advanced Research and Reviews,</w:t>
      </w:r>
      <w:r>
        <w:t xml:space="preserve"> 19(2), pp.249-267.</w:t>
      </w:r>
    </w:p>
    <w:p w14:paraId="7B46FD6C" w14:textId="77777777" w:rsidR="000E3D46" w:rsidRDefault="00000000">
      <w:pPr>
        <w:pStyle w:val="NormalWeb"/>
      </w:pPr>
      <w:r>
        <w:lastRenderedPageBreak/>
        <w:t xml:space="preserve">Ashcroft, J. (2017). </w:t>
      </w:r>
      <w:r>
        <w:rPr>
          <w:rStyle w:val="Emphasis"/>
        </w:rPr>
        <w:t>The relational lens: understanding, measuring, and managing stakeholder relationships.</w:t>
      </w:r>
      <w:r>
        <w:t xml:space="preserve"> Cambridge: Cambridge University Press.</w:t>
      </w:r>
    </w:p>
    <w:p w14:paraId="7B46FD6D" w14:textId="77777777" w:rsidR="000E3D46" w:rsidRDefault="00000000">
      <w:pPr>
        <w:pStyle w:val="NormalWeb"/>
      </w:pPr>
      <w:r>
        <w:t xml:space="preserve">Capurro, R., Fiorentino, R., Garzella, S. and Giudici, A. (2022). ‘Big data analytics in innovation processes: which forms of dynamic capabilities should be developed and how to embrace digitization?.’ </w:t>
      </w:r>
      <w:r>
        <w:rPr>
          <w:rStyle w:val="Emphasis"/>
        </w:rPr>
        <w:t>European Journal of Innovation Management,</w:t>
      </w:r>
      <w:r>
        <w:t xml:space="preserve"> 25(6), pp.273-294.</w:t>
      </w:r>
    </w:p>
    <w:p w14:paraId="7B46FD6E" w14:textId="77777777" w:rsidR="000E3D46" w:rsidRDefault="00000000">
      <w:pPr>
        <w:pStyle w:val="NormalWeb"/>
      </w:pPr>
      <w:r>
        <w:t xml:space="preserve">Christopher, M., Payne, A., and Ballantyne, D. (2013). </w:t>
      </w:r>
      <w:r>
        <w:rPr>
          <w:rStyle w:val="Emphasis"/>
        </w:rPr>
        <w:t>Relationship Marketing: Creating Stakeholder Value.</w:t>
      </w:r>
      <w:r>
        <w:t xml:space="preserve"> Saint Louis: Taylor and Francis.</w:t>
      </w:r>
    </w:p>
    <w:p w14:paraId="7B46FD6F" w14:textId="77777777" w:rsidR="000E3D46" w:rsidRDefault="00000000">
      <w:pPr>
        <w:pStyle w:val="NormalWeb"/>
      </w:pPr>
      <w:r>
        <w:t xml:space="preserve">Czinkota, M.R., Kotabe, M., Vrontis, D. and Shams, S.R. (2021). ‘Distribution and supply chain management.’ In </w:t>
      </w:r>
      <w:r>
        <w:rPr>
          <w:rStyle w:val="Emphasis"/>
        </w:rPr>
        <w:t>Marketing management: Past, present and future</w:t>
      </w:r>
      <w:r>
        <w:t xml:space="preserve"> (pp. 499-552). Cham: Springer International Publishing.</w:t>
      </w:r>
    </w:p>
    <w:p w14:paraId="7B46FD70" w14:textId="77777777" w:rsidR="000E3D46" w:rsidRDefault="000E3D46">
      <w:pPr>
        <w:pStyle w:val="NormalWeb"/>
      </w:pPr>
      <w:hyperlink r:id="rId13" w:tgtFrame="_new" w:history="1">
        <w:r>
          <w:rPr>
            <w:rStyle w:val="Hyperlink"/>
          </w:rPr>
          <w:t>Deloitte (2024) Digital consumer trends 2024.</w:t>
        </w:r>
      </w:hyperlink>
      <w:r>
        <w:t xml:space="preserve"> (Accessed: 22 Sep 2025)</w:t>
      </w:r>
    </w:p>
    <w:p w14:paraId="7B46FD71" w14:textId="77777777" w:rsidR="000E3D46" w:rsidRDefault="00000000">
      <w:pPr>
        <w:pStyle w:val="NormalWeb"/>
      </w:pPr>
      <w:r>
        <w:t xml:space="preserve">Ellis, C.A., Gibbs, S.J. and Rein, G.L. (1991). ‘Groupware: Some issues and experiences.’ </w:t>
      </w:r>
      <w:r>
        <w:rPr>
          <w:rStyle w:val="Emphasis"/>
        </w:rPr>
        <w:t>Communications of the ACM,</w:t>
      </w:r>
      <w:r>
        <w:t xml:space="preserve"> 34(1), pp.38–58.</w:t>
      </w:r>
    </w:p>
    <w:p w14:paraId="7B46FD72" w14:textId="77777777" w:rsidR="000E3D46" w:rsidRDefault="00000000">
      <w:pPr>
        <w:pStyle w:val="NormalWeb"/>
      </w:pPr>
      <w:r>
        <w:t xml:space="preserve">Fang, C.Y., Chang, Y.P., Yang, T.N. and Lo, Y.C. (2025). ‘Using the Elaboration Likelihood Model to Identify the Optimum Facebook Video Marketing Strategy for Travel Agencies.’ </w:t>
      </w:r>
      <w:r>
        <w:rPr>
          <w:rStyle w:val="Emphasis"/>
        </w:rPr>
        <w:t>SAGE Open,</w:t>
      </w:r>
      <w:r>
        <w:t xml:space="preserve"> 15(3), pp.1-2.</w:t>
      </w:r>
    </w:p>
    <w:p w14:paraId="7B46FD73" w14:textId="77777777" w:rsidR="000E3D46" w:rsidRDefault="00000000">
      <w:pPr>
        <w:pStyle w:val="NormalWeb"/>
      </w:pPr>
      <w:r>
        <w:t xml:space="preserve">Fasola, O.S. and Abimbola, M.O. (2023). ‘Collaborative technology for information sharing, knowledge creation and management in libraries.’ </w:t>
      </w:r>
      <w:r>
        <w:rPr>
          <w:rStyle w:val="Emphasis"/>
        </w:rPr>
        <w:t>Gateway Information Journal,</w:t>
      </w:r>
      <w:r>
        <w:t xml:space="preserve"> 24(1 &amp; 2), pp.33-46.</w:t>
      </w:r>
    </w:p>
    <w:p w14:paraId="7B46FD74" w14:textId="77777777" w:rsidR="000E3D46" w:rsidRDefault="00000000">
      <w:pPr>
        <w:pStyle w:val="NormalWeb"/>
      </w:pPr>
      <w:r>
        <w:t xml:space="preserve">George, A.H., Shahul, A. and George, A.S. (2023). ‘Wearable sensors: A new way to track health and wellness.’ </w:t>
      </w:r>
      <w:r>
        <w:rPr>
          <w:rStyle w:val="Emphasis"/>
        </w:rPr>
        <w:t>Partners Universal International Innovation Journal,</w:t>
      </w:r>
      <w:r>
        <w:t xml:space="preserve"> 1(4), pp.15-34.</w:t>
      </w:r>
    </w:p>
    <w:p w14:paraId="7B46FD75" w14:textId="77777777" w:rsidR="000E3D46" w:rsidRDefault="00000000">
      <w:pPr>
        <w:pStyle w:val="NormalWeb"/>
      </w:pPr>
      <w:r>
        <w:t xml:space="preserve">Graetsch, U.M., Khalajzadeh, H., Shahin, M., Hoda, R. and Grundy, J. (2023). ‘Dealing with data challenges when delivering data-intensive software solutions.’ </w:t>
      </w:r>
      <w:r>
        <w:rPr>
          <w:rStyle w:val="Emphasis"/>
        </w:rPr>
        <w:t>IEEE Transactions on Software Engineering,</w:t>
      </w:r>
      <w:r>
        <w:t xml:space="preserve"> 49(9), pp.4349-4370.</w:t>
      </w:r>
    </w:p>
    <w:p w14:paraId="7B46FD76" w14:textId="77777777" w:rsidR="000E3D46" w:rsidRDefault="00000000">
      <w:pPr>
        <w:pStyle w:val="NormalWeb"/>
      </w:pPr>
      <w:r>
        <w:t xml:space="preserve">Kehinde, O. (2024). ‘Achieving strategic excellence in healthcare projects: Leveraging benefit realization management framework.’ </w:t>
      </w:r>
      <w:r>
        <w:rPr>
          <w:rStyle w:val="Emphasis"/>
        </w:rPr>
        <w:t>World Journal of Advanced Research and Reviews,</w:t>
      </w:r>
      <w:r>
        <w:t xml:space="preserve"> 21(01), pp.2925-50.</w:t>
      </w:r>
    </w:p>
    <w:p w14:paraId="7B46FD77" w14:textId="77777777" w:rsidR="000E3D46" w:rsidRDefault="00000000">
      <w:pPr>
        <w:pStyle w:val="NormalWeb"/>
      </w:pPr>
      <w:r>
        <w:t xml:space="preserve">Kim, S. and Chae, S. (2022). ‘Shareholder value effects of ethical sourcing: comparing reactive and proactive initiatives.’ </w:t>
      </w:r>
      <w:r>
        <w:rPr>
          <w:rStyle w:val="Emphasis"/>
        </w:rPr>
        <w:t>Journal of Business Ethics,</w:t>
      </w:r>
      <w:r>
        <w:t xml:space="preserve"> 179(3), pp.887-906.</w:t>
      </w:r>
    </w:p>
    <w:p w14:paraId="7B46FD78" w14:textId="77777777" w:rsidR="000E3D46" w:rsidRDefault="00000000">
      <w:pPr>
        <w:pStyle w:val="NormalWeb"/>
      </w:pPr>
      <w:r>
        <w:t xml:space="preserve">Kırmızı, M. and Kocaoglu, B. (2022). ‘Digital transformation maturity model development framework based on design science: case studies in manufacturing industry.’ </w:t>
      </w:r>
      <w:r>
        <w:rPr>
          <w:rStyle w:val="Emphasis"/>
        </w:rPr>
        <w:t>Journal of Manufacturing Technology Management,</w:t>
      </w:r>
      <w:r>
        <w:t xml:space="preserve"> 33(7), pp.1319-1346.</w:t>
      </w:r>
    </w:p>
    <w:p w14:paraId="7B46FD79" w14:textId="77777777" w:rsidR="000E3D46" w:rsidRDefault="00000000">
      <w:pPr>
        <w:pStyle w:val="NormalWeb"/>
      </w:pPr>
      <w:r>
        <w:lastRenderedPageBreak/>
        <w:t xml:space="preserve">Moorman, C., van Heerde, H.J., Moreau, C.P. and Palmatier, R.W. (2024). ‘Marketing in the health care sector: disrupted exchanges and new research directions.’ </w:t>
      </w:r>
      <w:r>
        <w:rPr>
          <w:rStyle w:val="Emphasis"/>
        </w:rPr>
        <w:t>Journal of Marketing,</w:t>
      </w:r>
      <w:r>
        <w:t xml:space="preserve"> 88(1), pp.1-14.</w:t>
      </w:r>
    </w:p>
    <w:p w14:paraId="7B46FD7A" w14:textId="77777777" w:rsidR="000E3D46" w:rsidRDefault="000E3D46">
      <w:pPr>
        <w:pStyle w:val="NormalWeb"/>
      </w:pPr>
      <w:hyperlink r:id="rId14" w:tgtFrame="_new" w:history="1">
        <w:r>
          <w:rPr>
            <w:rStyle w:val="Hyperlink"/>
          </w:rPr>
          <w:t>Office for National Statistics (ONS) (2024) Consumer price inflation, UK: August 2024.</w:t>
        </w:r>
      </w:hyperlink>
      <w:r>
        <w:t xml:space="preserve"> (Accessed: 22 Sep 2025)</w:t>
      </w:r>
    </w:p>
    <w:p w14:paraId="7B46FD7B" w14:textId="77777777" w:rsidR="000E3D46" w:rsidRDefault="00000000">
      <w:pPr>
        <w:pStyle w:val="NormalWeb"/>
      </w:pPr>
      <w:r>
        <w:t xml:space="preserve">Ogbuagu, O.O., Mbata, A.O., Balogun, O.D., Oladapo, O., Ojo, O.O. and Muonde, M. (2023). ‘Quality assurance in pharmaceutical manufacturing: Bridging the gap between regulations, supply chain, and innovations.’ </w:t>
      </w:r>
      <w:r>
        <w:rPr>
          <w:rStyle w:val="Emphasis"/>
        </w:rPr>
        <w:t>International Journal of Multidisciplinary Research and Growth Evaluation,</w:t>
      </w:r>
      <w:r>
        <w:t xml:space="preserve"> 4(1), pp.823-831.</w:t>
      </w:r>
    </w:p>
    <w:p w14:paraId="7B46FD7C" w14:textId="77777777" w:rsidR="000E3D46" w:rsidRDefault="00000000">
      <w:pPr>
        <w:pStyle w:val="NormalWeb"/>
      </w:pPr>
      <w:r>
        <w:t xml:space="preserve">Pereira, M., Souza, P. and Oliveira, M. (2025). ‘The Impact of Team Changes on Software Project Management.’ </w:t>
      </w:r>
      <w:r>
        <w:rPr>
          <w:rStyle w:val="Emphasis"/>
        </w:rPr>
        <w:t>Procedia Computer Science,</w:t>
      </w:r>
      <w:r>
        <w:t xml:space="preserve"> 263, pp.813-820.</w:t>
      </w:r>
    </w:p>
    <w:p w14:paraId="7B46FD7D" w14:textId="77777777" w:rsidR="000E3D46" w:rsidRDefault="00000000">
      <w:pPr>
        <w:pStyle w:val="NormalWeb"/>
      </w:pPr>
      <w:r>
        <w:t xml:space="preserve">Rahmani, H., Shetty, D., Wagih, M., Ghasempour, Y., Palazzi, V., Carvalho, N.B., Correia, R., Costanzo, A., Vital, D., Alimenti, F. and Kettle, J. (2023). ‘Next-generation IoT devices: Sustainable eco-friendly manufacturing, energy harvesting, and wireless connectivity.’ </w:t>
      </w:r>
      <w:r>
        <w:rPr>
          <w:rStyle w:val="Emphasis"/>
        </w:rPr>
        <w:t>IEEE Journal of Microwaves,</w:t>
      </w:r>
      <w:r>
        <w:t xml:space="preserve"> 3(1), pp.237-255.</w:t>
      </w:r>
    </w:p>
    <w:p w14:paraId="7B46FD7E" w14:textId="77777777" w:rsidR="000E3D46" w:rsidRDefault="00000000">
      <w:pPr>
        <w:pStyle w:val="NormalWeb"/>
      </w:pPr>
      <w:r>
        <w:t xml:space="preserve">Renishaw plc (2025a). </w:t>
      </w:r>
      <w:r>
        <w:rPr>
          <w:rStyle w:val="Emphasis"/>
        </w:rPr>
        <w:t>About Renishaw.</w:t>
      </w:r>
      <w:r>
        <w:t xml:space="preserve"> (Accessed: 22 Sep 2025)</w:t>
      </w:r>
    </w:p>
    <w:p w14:paraId="7B46FD7F" w14:textId="77777777" w:rsidR="000E3D46" w:rsidRDefault="000E3D46">
      <w:pPr>
        <w:pStyle w:val="NormalWeb"/>
      </w:pPr>
      <w:hyperlink r:id="rId15" w:tgtFrame="_new" w:history="1">
        <w:r>
          <w:rPr>
            <w:rStyle w:val="Hyperlink"/>
          </w:rPr>
          <w:t>Renishaw plc (2025b). Leadership team.</w:t>
        </w:r>
      </w:hyperlink>
      <w:r>
        <w:t xml:space="preserve"> (Accessed: 22 Sep 2025)</w:t>
      </w:r>
    </w:p>
    <w:p w14:paraId="7B46FD80" w14:textId="77777777" w:rsidR="000E3D46" w:rsidRDefault="000E3D46">
      <w:pPr>
        <w:pStyle w:val="NormalWeb"/>
      </w:pPr>
      <w:hyperlink r:id="rId16" w:tgtFrame="_new" w:history="1">
        <w:r>
          <w:rPr>
            <w:rStyle w:val="Hyperlink"/>
          </w:rPr>
          <w:t>Renishaw plc (2025c). Where we operate.</w:t>
        </w:r>
      </w:hyperlink>
      <w:r>
        <w:t xml:space="preserve"> (Accessed: 22 Sep 2025)</w:t>
      </w:r>
    </w:p>
    <w:p w14:paraId="7B46FD81" w14:textId="77777777" w:rsidR="000E3D46" w:rsidRDefault="000E3D46">
      <w:pPr>
        <w:pStyle w:val="NormalWeb"/>
      </w:pPr>
      <w:hyperlink r:id="rId17" w:tgtFrame="_new" w:history="1">
        <w:r>
          <w:rPr>
            <w:rStyle w:val="Hyperlink"/>
          </w:rPr>
          <w:t>Renishaw plc (2025d). Medical and healthcare.</w:t>
        </w:r>
      </w:hyperlink>
      <w:r>
        <w:t xml:space="preserve"> (Accessed: 22 Sep 2025)</w:t>
      </w:r>
    </w:p>
    <w:p w14:paraId="7B46FD82" w14:textId="77777777" w:rsidR="000E3D46" w:rsidRDefault="00000000">
      <w:pPr>
        <w:pStyle w:val="NormalWeb"/>
      </w:pPr>
      <w:r>
        <w:t xml:space="preserve">Rosário, A.T. and Cruz, R.N. (2025). ‘Environment, Social, and Governance Business: Challenges and Opportunities.’ </w:t>
      </w:r>
      <w:r>
        <w:rPr>
          <w:rStyle w:val="Emphasis"/>
        </w:rPr>
        <w:t>Environmental, Social, Governance and Digital Transformation in Organizations,</w:t>
      </w:r>
      <w:r>
        <w:t xml:space="preserve"> pp.73-102.</w:t>
      </w:r>
    </w:p>
    <w:p w14:paraId="7B46FD83" w14:textId="77777777" w:rsidR="000E3D46" w:rsidRDefault="000E3D46">
      <w:pPr>
        <w:pStyle w:val="NormalWeb"/>
      </w:pPr>
      <w:hyperlink r:id="rId18" w:tgtFrame="_new" w:history="1">
        <w:r>
          <w:rPr>
            <w:rStyle w:val="Hyperlink"/>
          </w:rPr>
          <w:t>Statista (2024) Healthcare technology – United Kingdom: Market forecast 2024–2028.</w:t>
        </w:r>
      </w:hyperlink>
      <w:r>
        <w:t xml:space="preserve"> (Accessed: 22 Sep 2025)</w:t>
      </w:r>
    </w:p>
    <w:p w14:paraId="7B46FD84" w14:textId="77777777" w:rsidR="000E3D46" w:rsidRDefault="000E3D46">
      <w:pPr>
        <w:pStyle w:val="NormalWeb"/>
      </w:pPr>
      <w:hyperlink r:id="rId19" w:tgtFrame="_new" w:history="1">
        <w:r>
          <w:rPr>
            <w:rStyle w:val="Hyperlink"/>
          </w:rPr>
          <w:t>UK Government (2025). Regulating medical devices in the UK.</w:t>
        </w:r>
      </w:hyperlink>
      <w:r>
        <w:t xml:space="preserve"> (Accessed: 22 Sep 2025)</w:t>
      </w:r>
    </w:p>
    <w:p w14:paraId="7B46FD85" w14:textId="77777777" w:rsidR="000E3D46" w:rsidRDefault="00000000">
      <w:pPr>
        <w:pStyle w:val="NormalWeb"/>
      </w:pPr>
      <w:r>
        <w:t xml:space="preserve">Umana, A.U., Afrihyia, E., Appoh, M., Frempong, D., Akinboboye, O., Okoli, I., Umar, M.O. and Omolayo, O. (2022). ‘Data-driven project monitoring: Leveraging dashboards and KPIs to track performance in technology implementation projects.’ </w:t>
      </w:r>
      <w:r>
        <w:rPr>
          <w:rStyle w:val="Emphasis"/>
        </w:rPr>
        <w:t>Journal of Frontiers in Multidisciplinary Research,</w:t>
      </w:r>
      <w:r>
        <w:t xml:space="preserve"> 3(2), pp.35-48.</w:t>
      </w:r>
    </w:p>
    <w:p w14:paraId="7B46FD9A" w14:textId="1F2899C4" w:rsidR="000E3D46" w:rsidRPr="008935C2" w:rsidRDefault="00000000" w:rsidP="008935C2">
      <w:pPr>
        <w:pStyle w:val="NormalWeb"/>
      </w:pPr>
      <w:r>
        <w:t xml:space="preserve">Yamgar, S.S. and Thakur, S.H. (2024). ‘Oral oncology quality risk management: Tools and strategies to reduce risk.’ </w:t>
      </w:r>
      <w:r>
        <w:rPr>
          <w:rStyle w:val="Emphasis"/>
        </w:rPr>
        <w:t>Oral Oncology Reports,</w:t>
      </w:r>
      <w:r>
        <w:t xml:space="preserve"> 12, pp.1-671.</w:t>
      </w:r>
      <w:bookmarkStart w:id="26" w:name="_heading=h.pskrsfap853h" w:colFirst="0" w:colLast="0"/>
      <w:bookmarkStart w:id="27" w:name="_heading=h.j9b4eys1hwk3" w:colFirst="0" w:colLast="0"/>
      <w:bookmarkStart w:id="28" w:name="_heading=h.kb23hlq1p03m" w:colFirst="0" w:colLast="0"/>
      <w:bookmarkEnd w:id="26"/>
      <w:bookmarkEnd w:id="27"/>
      <w:bookmarkEnd w:id="28"/>
    </w:p>
    <w:p w14:paraId="7B46FD9B" w14:textId="77777777" w:rsidR="000E3D46" w:rsidRDefault="000E3D46">
      <w:pPr>
        <w:rPr>
          <w:color w:val="000000" w:themeColor="text1"/>
          <w:lang w:val="en-GB"/>
        </w:rPr>
      </w:pPr>
    </w:p>
    <w:p w14:paraId="7B46FD9C" w14:textId="77777777" w:rsidR="000E3D46" w:rsidRDefault="000E3D46">
      <w:pPr>
        <w:spacing w:after="380"/>
        <w:ind w:right="240"/>
        <w:rPr>
          <w:color w:val="000000" w:themeColor="text1"/>
          <w:lang w:val="en-GB"/>
        </w:rPr>
      </w:pPr>
    </w:p>
    <w:p w14:paraId="7B46FD9D" w14:textId="77777777" w:rsidR="000E3D46" w:rsidRDefault="000E3D46">
      <w:pPr>
        <w:spacing w:after="380"/>
        <w:ind w:right="240"/>
        <w:rPr>
          <w:color w:val="000000" w:themeColor="text1"/>
          <w:lang w:val="en-GB"/>
        </w:rPr>
      </w:pPr>
    </w:p>
    <w:p w14:paraId="7B46FD9E" w14:textId="77777777" w:rsidR="000E3D46" w:rsidRDefault="000E3D46">
      <w:pPr>
        <w:rPr>
          <w:color w:val="000000" w:themeColor="text1"/>
          <w:lang w:val="en-GB"/>
        </w:rPr>
      </w:pPr>
    </w:p>
    <w:sectPr w:rsidR="000E3D46">
      <w:footerReference w:type="default" r:id="rId2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49CED9" w14:textId="77777777" w:rsidR="00001B07" w:rsidRDefault="00001B07">
      <w:pPr>
        <w:spacing w:line="240" w:lineRule="auto"/>
      </w:pPr>
      <w:r>
        <w:separator/>
      </w:r>
    </w:p>
  </w:endnote>
  <w:endnote w:type="continuationSeparator" w:id="0">
    <w:p w14:paraId="1683EF48" w14:textId="77777777" w:rsidR="00001B07" w:rsidRDefault="00001B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46FDAD" w14:textId="77777777" w:rsidR="000E3D46" w:rsidRDefault="00000000">
    <w:pP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t>27</w:t>
    </w:r>
    <w:r>
      <w:rPr>
        <w:color w:val="000000"/>
      </w:rPr>
      <w:fldChar w:fldCharType="end"/>
    </w:r>
  </w:p>
  <w:p w14:paraId="7B46FDAE" w14:textId="77777777" w:rsidR="000E3D46" w:rsidRDefault="000E3D46">
    <w:pP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08FFA3" w14:textId="77777777" w:rsidR="00001B07" w:rsidRDefault="00001B07">
      <w:r>
        <w:separator/>
      </w:r>
    </w:p>
  </w:footnote>
  <w:footnote w:type="continuationSeparator" w:id="0">
    <w:p w14:paraId="42BF208B" w14:textId="77777777" w:rsidR="00001B07" w:rsidRDefault="00001B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CD4E4C"/>
    <w:multiLevelType w:val="multilevel"/>
    <w:tmpl w:val="10CD4E4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40525A2D"/>
    <w:multiLevelType w:val="multilevel"/>
    <w:tmpl w:val="40525A2D"/>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429275093">
    <w:abstractNumId w:val="0"/>
  </w:num>
  <w:num w:numId="2" w16cid:durableId="12667637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74AF"/>
    <w:rsid w:val="00001B07"/>
    <w:rsid w:val="000374AF"/>
    <w:rsid w:val="000E3D46"/>
    <w:rsid w:val="00112222"/>
    <w:rsid w:val="00125E04"/>
    <w:rsid w:val="00277694"/>
    <w:rsid w:val="002834C7"/>
    <w:rsid w:val="002A347E"/>
    <w:rsid w:val="002A51A7"/>
    <w:rsid w:val="002E5439"/>
    <w:rsid w:val="00300562"/>
    <w:rsid w:val="003336BC"/>
    <w:rsid w:val="00351F3F"/>
    <w:rsid w:val="003B3470"/>
    <w:rsid w:val="003B4DD2"/>
    <w:rsid w:val="003E5E5A"/>
    <w:rsid w:val="004D5530"/>
    <w:rsid w:val="004D7772"/>
    <w:rsid w:val="00540215"/>
    <w:rsid w:val="005712DD"/>
    <w:rsid w:val="00591740"/>
    <w:rsid w:val="005D3D4F"/>
    <w:rsid w:val="00624E2D"/>
    <w:rsid w:val="006420BE"/>
    <w:rsid w:val="00654B6C"/>
    <w:rsid w:val="0067481D"/>
    <w:rsid w:val="0067642F"/>
    <w:rsid w:val="006E26E6"/>
    <w:rsid w:val="00724883"/>
    <w:rsid w:val="0078566A"/>
    <w:rsid w:val="00792D46"/>
    <w:rsid w:val="00805B3C"/>
    <w:rsid w:val="00835235"/>
    <w:rsid w:val="008935C2"/>
    <w:rsid w:val="009A5D06"/>
    <w:rsid w:val="009D022B"/>
    <w:rsid w:val="00A13667"/>
    <w:rsid w:val="00A21228"/>
    <w:rsid w:val="00AD51C8"/>
    <w:rsid w:val="00AE5502"/>
    <w:rsid w:val="00B55041"/>
    <w:rsid w:val="00B72087"/>
    <w:rsid w:val="00BC4533"/>
    <w:rsid w:val="00C37FE9"/>
    <w:rsid w:val="00C56DCA"/>
    <w:rsid w:val="00CB4DE8"/>
    <w:rsid w:val="00D05E86"/>
    <w:rsid w:val="00D47470"/>
    <w:rsid w:val="00D62538"/>
    <w:rsid w:val="00D839B3"/>
    <w:rsid w:val="00EA1FFE"/>
    <w:rsid w:val="00ED179E"/>
    <w:rsid w:val="00EF0154"/>
    <w:rsid w:val="75F972DB"/>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6FB6D"/>
  <w15:docId w15:val="{8B3B8385-F29A-40EC-8B74-D005D73E8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lsdException w:name="heading 1" w:uiPriority="0"/>
    <w:lsdException w:name="heading 2" w:uiPriority="0"/>
    <w:lsdException w:name="heading 3" w:uiPriority="0"/>
    <w:lsdException w:name="heading 4" w:uiPriority="0"/>
    <w:lsdException w:name="heading 5" w:uiPriority="0"/>
    <w:lsdException w:name="heading 6" w:uiPriority="0"/>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spacing w:line="360" w:lineRule="auto"/>
      <w:jc w:val="both"/>
    </w:pPr>
    <w:rPr>
      <w:rFonts w:eastAsia="Times New Roman"/>
      <w:sz w:val="24"/>
      <w:szCs w:val="24"/>
      <w:lang w:val="en-IN" w:eastAsia="en-IN"/>
    </w:rPr>
  </w:style>
  <w:style w:type="paragraph" w:styleId="Heading1">
    <w:name w:val="heading 1"/>
    <w:basedOn w:val="Normal"/>
    <w:next w:val="Normal"/>
    <w:pPr>
      <w:keepNext/>
      <w:keepLines/>
      <w:spacing w:before="400" w:after="120" w:line="480" w:lineRule="auto"/>
      <w:outlineLvl w:val="0"/>
    </w:pPr>
    <w:rPr>
      <w:b/>
      <w:color w:val="000000"/>
      <w:sz w:val="28"/>
      <w:szCs w:val="28"/>
    </w:rPr>
  </w:style>
  <w:style w:type="paragraph" w:styleId="Heading2">
    <w:name w:val="heading 2"/>
    <w:basedOn w:val="Normal"/>
    <w:next w:val="Normal"/>
    <w:pPr>
      <w:keepNext/>
      <w:keepLines/>
      <w:spacing w:before="360" w:after="120" w:line="480" w:lineRule="auto"/>
      <w:outlineLvl w:val="1"/>
    </w:pPr>
    <w:rPr>
      <w:b/>
      <w:color w:val="000000"/>
      <w:sz w:val="26"/>
      <w:szCs w:val="26"/>
    </w:rPr>
  </w:style>
  <w:style w:type="paragraph" w:styleId="Heading3">
    <w:name w:val="heading 3"/>
    <w:basedOn w:val="Normal"/>
    <w:next w:val="Normal"/>
    <w:pPr>
      <w:keepNext/>
      <w:keepLines/>
      <w:spacing w:before="320" w:after="80" w:line="276" w:lineRule="auto"/>
      <w:jc w:val="left"/>
      <w:outlineLvl w:val="2"/>
    </w:pPr>
    <w:rPr>
      <w:rFonts w:ascii="Arial" w:eastAsia="Arial" w:hAnsi="Arial" w:cs="Arial"/>
      <w:color w:val="434343"/>
      <w:sz w:val="28"/>
      <w:szCs w:val="28"/>
    </w:rPr>
  </w:style>
  <w:style w:type="paragraph" w:styleId="Heading4">
    <w:name w:val="heading 4"/>
    <w:basedOn w:val="Normal"/>
    <w:next w:val="Normal"/>
    <w:pPr>
      <w:keepNext/>
      <w:keepLines/>
      <w:spacing w:before="280" w:after="80" w:line="276" w:lineRule="auto"/>
      <w:jc w:val="left"/>
      <w:outlineLvl w:val="3"/>
    </w:pPr>
    <w:rPr>
      <w:rFonts w:ascii="Arial" w:eastAsia="Arial" w:hAnsi="Arial" w:cs="Arial"/>
      <w:color w:val="666666"/>
    </w:rPr>
  </w:style>
  <w:style w:type="paragraph" w:styleId="Heading5">
    <w:name w:val="heading 5"/>
    <w:basedOn w:val="Normal"/>
    <w:next w:val="Normal"/>
    <w:pPr>
      <w:keepNext/>
      <w:keepLines/>
      <w:spacing w:before="240" w:after="80" w:line="276" w:lineRule="auto"/>
      <w:jc w:val="left"/>
      <w:outlineLvl w:val="4"/>
    </w:pPr>
    <w:rPr>
      <w:rFonts w:ascii="Arial" w:eastAsia="Arial" w:hAnsi="Arial" w:cs="Arial"/>
      <w:color w:val="666666"/>
      <w:sz w:val="22"/>
      <w:szCs w:val="22"/>
    </w:rPr>
  </w:style>
  <w:style w:type="paragraph" w:styleId="Heading6">
    <w:name w:val="heading 6"/>
    <w:basedOn w:val="Normal"/>
    <w:next w:val="Normal"/>
    <w:pPr>
      <w:keepNext/>
      <w:keepLines/>
      <w:spacing w:before="240" w:after="80" w:line="276" w:lineRule="auto"/>
      <w:jc w:val="left"/>
      <w:outlineLvl w:val="5"/>
    </w:pPr>
    <w:rPr>
      <w:rFonts w:ascii="Arial" w:eastAsia="Arial" w:hAnsi="Arial" w:cs="Arial"/>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line="240" w:lineRule="auto"/>
    </w:pPr>
    <w:rPr>
      <w:rFonts w:ascii="Tahoma" w:hAnsi="Tahoma" w:cs="Tahoma"/>
      <w:sz w:val="16"/>
      <w:szCs w:val="16"/>
    </w:rPr>
  </w:style>
  <w:style w:type="character" w:styleId="CommentReference">
    <w:name w:val="annotation reference"/>
    <w:basedOn w:val="DefaultParagraphFont"/>
    <w:uiPriority w:val="99"/>
    <w:semiHidden/>
    <w:unhideWhenUsed/>
    <w:rPr>
      <w:sz w:val="16"/>
      <w:szCs w:val="16"/>
    </w:rPr>
  </w:style>
  <w:style w:type="paragraph" w:styleId="CommentText">
    <w:name w:val="annotation text"/>
    <w:basedOn w:val="Normal"/>
    <w:link w:val="CommentTextChar"/>
    <w:uiPriority w:val="99"/>
    <w:unhideWhenUsed/>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styleId="Emphasis">
    <w:name w:val="Emphasis"/>
    <w:basedOn w:val="DefaultParagraphFont"/>
    <w:uiPriority w:val="20"/>
    <w:qFormat/>
    <w:rPr>
      <w:i/>
      <w:iCs/>
    </w:rPr>
  </w:style>
  <w:style w:type="character" w:styleId="FollowedHyperlink">
    <w:name w:val="FollowedHyperlink"/>
    <w:basedOn w:val="DefaultParagraphFont"/>
    <w:uiPriority w:val="99"/>
    <w:semiHidden/>
    <w:unhideWhenUsed/>
    <w:rPr>
      <w:color w:val="800080" w:themeColor="followedHyperlink"/>
      <w:u w:val="single"/>
    </w:rPr>
  </w:style>
  <w:style w:type="paragraph" w:styleId="Footer">
    <w:name w:val="footer"/>
    <w:basedOn w:val="Normal"/>
    <w:link w:val="FooterChar"/>
    <w:uiPriority w:val="99"/>
    <w:unhideWhenUsed/>
    <w:pPr>
      <w:tabs>
        <w:tab w:val="center" w:pos="4680"/>
        <w:tab w:val="right" w:pos="9360"/>
      </w:tabs>
      <w:spacing w:line="240" w:lineRule="auto"/>
    </w:pPr>
  </w:style>
  <w:style w:type="paragraph" w:styleId="Header">
    <w:name w:val="header"/>
    <w:basedOn w:val="Normal"/>
    <w:link w:val="HeaderChar"/>
    <w:uiPriority w:val="99"/>
    <w:semiHidden/>
    <w:unhideWhenUsed/>
    <w:pPr>
      <w:tabs>
        <w:tab w:val="center" w:pos="4680"/>
        <w:tab w:val="right" w:pos="9360"/>
      </w:tabs>
      <w:spacing w:line="240" w:lineRule="auto"/>
    </w:pPr>
  </w:style>
  <w:style w:type="character" w:styleId="Hyperlink">
    <w:name w:val="Hyperlink"/>
    <w:basedOn w:val="DefaultParagraphFont"/>
    <w:uiPriority w:val="99"/>
    <w:unhideWhenUsed/>
    <w:rPr>
      <w:color w:val="0000FF"/>
      <w:u w:val="single"/>
    </w:rPr>
  </w:style>
  <w:style w:type="paragraph" w:styleId="NormalWeb">
    <w:name w:val="Normal (Web)"/>
    <w:basedOn w:val="Normal"/>
    <w:uiPriority w:val="99"/>
    <w:unhideWhenUsed/>
    <w:pPr>
      <w:spacing w:before="100" w:beforeAutospacing="1" w:after="100" w:afterAutospacing="1" w:line="240" w:lineRule="auto"/>
      <w:jc w:val="left"/>
    </w:pPr>
    <w:rPr>
      <w:lang w:val="en-US"/>
    </w:rPr>
  </w:style>
  <w:style w:type="character" w:styleId="Strong">
    <w:name w:val="Strong"/>
    <w:basedOn w:val="DefaultParagraphFont"/>
    <w:uiPriority w:val="22"/>
    <w:qFormat/>
    <w:rPr>
      <w:b/>
      <w:bCs/>
    </w:rPr>
  </w:style>
  <w:style w:type="paragraph" w:styleId="Subtitle">
    <w:name w:val="Subtitle"/>
    <w:basedOn w:val="Normal"/>
    <w:next w:val="Normal"/>
    <w:pPr>
      <w:keepNext/>
      <w:keepLines/>
      <w:spacing w:after="320" w:line="276" w:lineRule="auto"/>
      <w:jc w:val="left"/>
    </w:pPr>
    <w:rPr>
      <w:rFonts w:ascii="Arial" w:eastAsia="Arial" w:hAnsi="Arial" w:cs="Arial"/>
      <w:color w:val="666666"/>
      <w:sz w:val="30"/>
      <w:szCs w:val="30"/>
    </w:rPr>
  </w:style>
  <w:style w:type="table" w:styleId="TableGrid">
    <w:name w:val="Table Grid"/>
    <w:basedOn w:val="TableNormal"/>
    <w:uiPriority w:val="39"/>
    <w:rPr>
      <w:rFonts w:asciiTheme="minorHAnsi" w:hAnsiTheme="minorHAnsi" w:cstheme="minorBidi"/>
      <w:kern w:val="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pPr>
      <w:keepNext/>
      <w:keepLines/>
      <w:spacing w:after="60" w:line="276" w:lineRule="auto"/>
      <w:jc w:val="left"/>
    </w:pPr>
    <w:rPr>
      <w:rFonts w:ascii="Arial" w:eastAsia="Arial" w:hAnsi="Arial" w:cs="Arial"/>
      <w:color w:val="000000"/>
      <w:sz w:val="52"/>
      <w:szCs w:val="52"/>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40"/>
    </w:pPr>
  </w:style>
  <w:style w:type="table" w:customStyle="1" w:styleId="TableNormal0">
    <w:name w:val="TableNormal"/>
    <w:tblPr>
      <w:tblCellMar>
        <w:top w:w="100" w:type="dxa"/>
        <w:left w:w="100" w:type="dxa"/>
        <w:bottom w:w="100" w:type="dxa"/>
        <w:right w:w="100" w:type="dxa"/>
      </w:tblCellMar>
    </w:tblPr>
  </w:style>
  <w:style w:type="table" w:customStyle="1" w:styleId="TableNormal00">
    <w:name w:val="TableNormal_0"/>
    <w:tblPr>
      <w:tblCellMar>
        <w:top w:w="100" w:type="dxa"/>
        <w:left w:w="100" w:type="dxa"/>
        <w:bottom w:w="100" w:type="dxa"/>
        <w:right w:w="100" w:type="dxa"/>
      </w:tblCellMar>
    </w:tblPr>
  </w:style>
  <w:style w:type="paragraph" w:customStyle="1" w:styleId="Normal1">
    <w:name w:val="Normal1"/>
    <w:pPr>
      <w:spacing w:line="360" w:lineRule="auto"/>
      <w:jc w:val="both"/>
    </w:pPr>
    <w:rPr>
      <w:rFonts w:eastAsia="Times New Roman"/>
      <w:sz w:val="24"/>
      <w:szCs w:val="24"/>
      <w:lang w:val="en-IN" w:eastAsia="en-IN"/>
    </w:rPr>
  </w:style>
  <w:style w:type="table" w:customStyle="1" w:styleId="a">
    <w:name w:val="a"/>
    <w:basedOn w:val="TableNormal00"/>
    <w:tblPr/>
  </w:style>
  <w:style w:type="table" w:customStyle="1" w:styleId="a0">
    <w:name w:val="a0"/>
    <w:basedOn w:val="TableNormal00"/>
    <w:tblPr/>
  </w:style>
  <w:style w:type="table" w:customStyle="1" w:styleId="a1">
    <w:name w:val="a1"/>
    <w:basedOn w:val="TableNormal00"/>
    <w:tblPr/>
  </w:style>
  <w:style w:type="character" w:customStyle="1" w:styleId="HeaderChar">
    <w:name w:val="Header Char"/>
    <w:basedOn w:val="DefaultParagraphFont"/>
    <w:link w:val="Header"/>
    <w:uiPriority w:val="99"/>
    <w:semiHidden/>
    <w:rPr>
      <w:rFonts w:ascii="Times New Roman" w:hAnsi="Times New Roman"/>
      <w:sz w:val="24"/>
    </w:rPr>
  </w:style>
  <w:style w:type="character" w:customStyle="1" w:styleId="FooterChar">
    <w:name w:val="Footer Char"/>
    <w:basedOn w:val="DefaultParagraphFont"/>
    <w:link w:val="Footer"/>
    <w:uiPriority w:val="99"/>
    <w:rPr>
      <w:rFonts w:ascii="Times New Roman" w:hAnsi="Times New Roman"/>
      <w:sz w:val="24"/>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customStyle="1" w:styleId="TOCHeading1">
    <w:name w:val="TOC Heading1"/>
    <w:basedOn w:val="Heading1"/>
    <w:next w:val="Normal"/>
    <w:uiPriority w:val="39"/>
    <w:semiHidden/>
    <w:unhideWhenUsed/>
    <w:qFormat/>
    <w:pPr>
      <w:spacing w:before="480" w:after="0" w:line="276" w:lineRule="auto"/>
      <w:jc w:val="left"/>
      <w:outlineLvl w:val="9"/>
    </w:pPr>
    <w:rPr>
      <w:rFonts w:asciiTheme="majorHAnsi" w:eastAsiaTheme="majorEastAsia" w:hAnsiTheme="majorHAnsi" w:cstheme="majorBidi"/>
      <w:bCs/>
      <w:color w:val="365F91" w:themeColor="accent1" w:themeShade="BF"/>
      <w:lang w:val="en-US"/>
    </w:rPr>
  </w:style>
  <w:style w:type="paragraph" w:styleId="ListParagraph">
    <w:name w:val="List Paragraph"/>
    <w:basedOn w:val="Normal"/>
    <w:uiPriority w:val="34"/>
    <w:qFormat/>
    <w:pPr>
      <w:spacing w:line="480" w:lineRule="auto"/>
      <w:ind w:left="720"/>
      <w:contextualSpacing/>
    </w:pPr>
    <w:rPr>
      <w:szCs w:val="20"/>
      <w:lang w:val="en-GB"/>
    </w:rPr>
  </w:style>
  <w:style w:type="table" w:customStyle="1" w:styleId="a2">
    <w:name w:val="a2"/>
    <w:basedOn w:val="TableNormal"/>
    <w:tblPr/>
  </w:style>
  <w:style w:type="table" w:customStyle="1" w:styleId="a3">
    <w:name w:val="a3"/>
    <w:basedOn w:val="TableNormal"/>
    <w:tblPr/>
  </w:style>
  <w:style w:type="table" w:customStyle="1" w:styleId="a4">
    <w:name w:val="a4"/>
    <w:basedOn w:val="TableNormal"/>
    <w:tblPr>
      <w:tblCellMar>
        <w:top w:w="100" w:type="dxa"/>
        <w:left w:w="100" w:type="dxa"/>
        <w:bottom w:w="100" w:type="dxa"/>
        <w:right w:w="100" w:type="dxa"/>
      </w:tblCellMar>
    </w:tblPr>
  </w:style>
  <w:style w:type="table" w:customStyle="1" w:styleId="a5">
    <w:name w:val="a5"/>
    <w:basedOn w:val="TableNormal"/>
    <w:rPr>
      <w:rFonts w:ascii="Cambria" w:eastAsia="Cambria" w:hAnsi="Cambria" w:cs="Cambria"/>
    </w:rPr>
    <w:tblPr/>
  </w:style>
  <w:style w:type="table" w:customStyle="1" w:styleId="a6">
    <w:name w:val="a6"/>
    <w:basedOn w:val="TableNormal"/>
    <w:rPr>
      <w:rFonts w:ascii="Cambria" w:eastAsia="Cambria" w:hAnsi="Cambria" w:cs="Cambria"/>
    </w:rPr>
    <w:tblPr/>
  </w:style>
  <w:style w:type="table" w:customStyle="1" w:styleId="Style38">
    <w:name w:val="_Style 38"/>
    <w:basedOn w:val="TableNormal"/>
    <w:tblPr/>
  </w:style>
  <w:style w:type="table" w:customStyle="1" w:styleId="Style39">
    <w:name w:val="_Style 39"/>
    <w:basedOn w:val="TableNormal"/>
    <w:tblPr/>
  </w:style>
  <w:style w:type="table" w:customStyle="1" w:styleId="Style40">
    <w:name w:val="_Style 40"/>
    <w:basedOn w:val="TableNormal"/>
    <w:tblPr>
      <w:tblCellMar>
        <w:top w:w="100" w:type="dxa"/>
        <w:left w:w="100" w:type="dxa"/>
        <w:bottom w:w="100" w:type="dxa"/>
        <w:right w:w="100" w:type="dxa"/>
      </w:tblCellMar>
    </w:tblPr>
  </w:style>
  <w:style w:type="table" w:customStyle="1" w:styleId="Style41">
    <w:name w:val="_Style 41"/>
    <w:basedOn w:val="TableNormal"/>
    <w:rPr>
      <w:rFonts w:ascii="Cambria" w:eastAsia="Cambria" w:hAnsi="Cambria" w:cs="Cambria"/>
    </w:rPr>
    <w:tblPr/>
  </w:style>
  <w:style w:type="table" w:customStyle="1" w:styleId="Style42">
    <w:name w:val="_Style 42"/>
    <w:basedOn w:val="TableNormal"/>
    <w:rPr>
      <w:rFonts w:ascii="Cambria" w:eastAsia="Cambria" w:hAnsi="Cambria" w:cs="Cambria"/>
    </w:rPr>
    <w:tblPr/>
  </w:style>
  <w:style w:type="character" w:customStyle="1" w:styleId="CommentTextChar">
    <w:name w:val="Comment Text Char"/>
    <w:basedOn w:val="DefaultParagraphFont"/>
    <w:link w:val="CommentText"/>
    <w:uiPriority w:val="99"/>
    <w:rPr>
      <w:sz w:val="20"/>
      <w:szCs w:val="20"/>
    </w:rPr>
  </w:style>
  <w:style w:type="character" w:customStyle="1" w:styleId="CommentSubjectChar">
    <w:name w:val="Comment Subject Char"/>
    <w:basedOn w:val="CommentTextChar"/>
    <w:link w:val="CommentSubject"/>
    <w:uiPriority w:val="99"/>
    <w:semiHidden/>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eloitte.com/uk/en/insights/industry/technology/digital-consumer-trends.html" TargetMode="External"/><Relationship Id="rId18" Type="http://schemas.openxmlformats.org/officeDocument/2006/relationships/hyperlink" Target="https://www.statista.com/outlook/hmo/health-markets/healthcare-technology/united-kingdo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renishaw.com/en/medical-and-healthcare--32082?srsltid=AfmBOoryssZGusv7Oi4liaWEeQUCe1DFyoep0Sjz7D5QzUYKleKQkOpC" TargetMode="External"/><Relationship Id="rId2" Type="http://schemas.openxmlformats.org/officeDocument/2006/relationships/numbering" Target="numbering.xml"/><Relationship Id="rId16" Type="http://schemas.openxmlformats.org/officeDocument/2006/relationships/hyperlink" Target="https://www.renishaw.com/en/where-we-operate--22526?srsltid=AfmBOop2IEXheBACTejhSvbt8DzCdB2L45ftQEq4ZmsSGTsKEtg2rBSc"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renishaw.com/en/leadership-team--21969?srsltid=AfmBOoqB_PcXDptLtr7wjbg0AsA_Wrv-J-qcHgrPK8ufiXKDQ3ILXGRE" TargetMode="External"/><Relationship Id="rId10" Type="http://schemas.openxmlformats.org/officeDocument/2006/relationships/image" Target="media/image3.png"/><Relationship Id="rId19" Type="http://schemas.openxmlformats.org/officeDocument/2006/relationships/hyperlink" Target="https://www.gov.uk/guidance/regulating-medical-devices-in-the-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ons.gov.uk/economy/inflationandpriceindic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j5nYMiRuL6U35sMeYGeM/0u6umg==">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28</Pages>
  <Words>6288</Words>
  <Characters>35842</Characters>
  <Application>Microsoft Office Word</Application>
  <DocSecurity>0</DocSecurity>
  <Lines>298</Lines>
  <Paragraphs>84</Paragraphs>
  <ScaleCrop>false</ScaleCrop>
  <Company/>
  <LinksUpToDate>false</LinksUpToDate>
  <CharactersWithSpaces>42046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George Burlui</cp:lastModifiedBy>
  <cp:revision>19</cp:revision>
  <dcterms:created xsi:type="dcterms:W3CDTF">2025-09-27T07:29:00Z</dcterms:created>
  <dcterms:modified xsi:type="dcterms:W3CDTF">2025-11-07T15:29:00Z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2057-12.2.0.22549</vt:lpwstr>
  </property>
  <property fmtid="{D5CDD505-2E9C-101B-9397-08002B2CF9AE}" pid="3" name="ICV">
    <vt:lpwstr>824BB082963240B3A076C7B6E556AFE3_12</vt:lpwstr>
  </property>
</Properties>
</file>