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9CEE11" w14:textId="76EBC975" w:rsidR="5FB2552C" w:rsidRDefault="2BF2870E" w:rsidP="2BF2870E">
      <w:pPr>
        <w:spacing w:line="360" w:lineRule="auto"/>
        <w:rPr>
          <w:rFonts w:ascii="Arial" w:eastAsia="Arial" w:hAnsi="Arial" w:cs="Arial"/>
          <w:sz w:val="24"/>
          <w:szCs w:val="24"/>
        </w:rPr>
      </w:pPr>
      <w:bookmarkStart w:id="0" w:name="_GoBack"/>
      <w:bookmarkEnd w:id="0"/>
      <w:r w:rsidRPr="2BF2870E">
        <w:rPr>
          <w:rFonts w:ascii="Arial" w:eastAsia="Arial" w:hAnsi="Arial" w:cs="Arial"/>
          <w:sz w:val="24"/>
          <w:szCs w:val="24"/>
        </w:rPr>
        <w:t xml:space="preserve">This reflective critique outlines the information taken from a simulated counselling session. It will outline the observations found within the recording simulation between a counsellor and a client from the perspective of the counsellor and the strategies used, highlighting and discussing the importance of Carol Rogers counselling methods where relevant, focusing on how it shapes the way a relationship is built. The importance and value that these counselling and communication skills have in the nursing and health care environment will be evaluated. </w:t>
      </w:r>
    </w:p>
    <w:p w14:paraId="656FDFA6" w14:textId="44FC3387" w:rsidR="65B4EBA3" w:rsidRDefault="284BBEFA" w:rsidP="284BBEFA">
      <w:pPr>
        <w:spacing w:line="360" w:lineRule="auto"/>
        <w:rPr>
          <w:rFonts w:ascii="Arial" w:eastAsia="Arial" w:hAnsi="Arial" w:cs="Arial"/>
          <w:sz w:val="24"/>
          <w:szCs w:val="24"/>
        </w:rPr>
      </w:pPr>
      <w:r w:rsidRPr="284BBEFA">
        <w:rPr>
          <w:rFonts w:ascii="Arial" w:eastAsia="Arial" w:hAnsi="Arial" w:cs="Arial"/>
          <w:sz w:val="24"/>
          <w:szCs w:val="24"/>
        </w:rPr>
        <w:t>Rogers had six conditions and that are “necessary and sufficient in a counselling relationship” (Midwinter and Dickson, 2015, p.13). They also express that there are three core conditions that are required for successful counsellor client relationships to exist. These are congruence or genuineness, unconditional positive regard or acceptance and empathy. From the work that Rogers established, there is a belief that congruence or genuineness should consist of, not being false but that the psychotherapist openly portrays what they are feeling at the moment (Rogers, 2004).</w:t>
      </w:r>
    </w:p>
    <w:p w14:paraId="2B17ACD9" w14:textId="35BBE7E9" w:rsidR="65B4EBA3" w:rsidRDefault="2BF2870E" w:rsidP="2BF2870E">
      <w:pPr>
        <w:spacing w:line="360" w:lineRule="auto"/>
        <w:rPr>
          <w:rFonts w:ascii="Arial" w:eastAsia="Arial" w:hAnsi="Arial" w:cs="Arial"/>
          <w:sz w:val="24"/>
          <w:szCs w:val="24"/>
        </w:rPr>
      </w:pPr>
      <w:r w:rsidRPr="2BF2870E">
        <w:rPr>
          <w:rFonts w:ascii="Arial" w:eastAsia="Arial" w:hAnsi="Arial" w:cs="Arial"/>
          <w:sz w:val="24"/>
          <w:szCs w:val="24"/>
        </w:rPr>
        <w:t xml:space="preserve">It is evident the client is uncomfortable in the situation, as they sit with their legs crossed and their hands clenched on their lap. This shows that their body language and gestures are closed at this point and they are not open to a counselling relationship. A counselling relationship should show a willingness to be open and to be genuine with the client and show characteristics of an empathic bond, only when these elements are present can the client grow or self actualise. This is further supported by Mearns and Thorne (2007) as they explain that the counsellor is in a familiar environment and the client is not, the counsellor knows the processes and functions of counselling a client, the client may not have been within a therapy situation before. This would need to be addressed within a person-centered approach by developing a counselling relationship where the client feels safe and are able to discuss their issues without judgement and therefore a feeling of acceptance. Rogers highlighted that a “Helping relationship” (Rogers,1967. p39) is evident when both the counsellor and client are equal within a counselling relationship and it is believed that client is in fact the expert within the relationship and not the counsellor. The relationship becomes more relaxed, their body language becomes more open which allows the client to feel that they are can open up </w:t>
      </w:r>
      <w:r w:rsidRPr="2BF2870E">
        <w:rPr>
          <w:rFonts w:ascii="Arial" w:eastAsia="Arial" w:hAnsi="Arial" w:cs="Arial"/>
          <w:sz w:val="24"/>
          <w:szCs w:val="24"/>
        </w:rPr>
        <w:lastRenderedPageBreak/>
        <w:t xml:space="preserve">more because they are not fearing judgement and that the client and counsellor are equal. This furthers engenders a feeling of safety that allows the client to focus on the inner feeling without fear or inhibition (Thorne, 1998). It is important as a healthcare professional to provide these characteristics when encountering both patients and their relatives. It is vital to give a feeling of empathy, acceptance and genuineness as this develops the ability to build a positive and caring relationship. This concept of care and to be caring has become a fundamental aspect of the healthcare profession. The 6cs is a framework for nursing. (NHS, 2015) This framework pinpoints that compassion, alongside care, competence, communication, courage, and commitment are essential elements. A narrow definition is provided by Goetz et al (2010) as the desire to help when seeing someone else suffering, however the Department of Health broadens this to encompass empathy, sympathy and dignity. </w:t>
      </w:r>
    </w:p>
    <w:p w14:paraId="28B3065B" w14:textId="37A8A0FF" w:rsidR="0FF669AE" w:rsidRDefault="7D5AD49A" w:rsidP="7D5AD49A">
      <w:pPr>
        <w:spacing w:line="360" w:lineRule="auto"/>
        <w:rPr>
          <w:rFonts w:ascii="Arial" w:eastAsia="Arial" w:hAnsi="Arial" w:cs="Arial"/>
          <w:sz w:val="24"/>
          <w:szCs w:val="24"/>
        </w:rPr>
      </w:pPr>
      <w:r w:rsidRPr="7D5AD49A">
        <w:rPr>
          <w:rFonts w:ascii="Arial" w:eastAsia="Arial" w:hAnsi="Arial" w:cs="Arial"/>
          <w:sz w:val="24"/>
          <w:szCs w:val="24"/>
        </w:rPr>
        <w:t xml:space="preserve">From the video simulation the counsellor uses a substantial amount of non-verbal empathy responses. Within the counselling relationship, the counsellor listens attentively to the client without interruption. This allows the client to continue with her train of thought. Rogers’s work states that “simply listening to a client, very attentively” (Rogers, 1980.p137) can be a vital way to help them. This gives the client the opportunity to hear the concerns aloud and then reflect on them.  Also, the client and the counsellor mirror each other’s body language, therefore the counsellor is continuing to show empathetic responses towards the client. Midwinter and Dickson (2015) define these subtle responses as eye contact, mirroring of body language and shared laughter. These non-verbal empathetic responses can be seen throughout the video simulation and this would be consistent with Rogers’ notion that empathy is a core condition to establish within a counselling relationship. It could also be suggested that these non-verbal empathetic responses are also relevant to the healthcare profession as it enables care givers to better understand and relate to the personal and health requirements of that patient (Nursing and Midwifery Council, 2015) </w:t>
      </w:r>
    </w:p>
    <w:p w14:paraId="018C18E5" w14:textId="572E1262" w:rsidR="0FF669AE" w:rsidRDefault="2BF2870E" w:rsidP="2BF2870E">
      <w:pPr>
        <w:spacing w:line="360" w:lineRule="auto"/>
        <w:rPr>
          <w:rFonts w:ascii="Arial" w:eastAsia="Arial" w:hAnsi="Arial" w:cs="Arial"/>
          <w:color w:val="333333"/>
          <w:sz w:val="24"/>
          <w:szCs w:val="24"/>
        </w:rPr>
      </w:pPr>
      <w:r w:rsidRPr="2BF2870E">
        <w:rPr>
          <w:rFonts w:ascii="Arial" w:eastAsia="Arial" w:hAnsi="Arial" w:cs="Arial"/>
          <w:color w:val="333333"/>
          <w:sz w:val="24"/>
          <w:szCs w:val="24"/>
        </w:rPr>
        <w:t xml:space="preserve">When viewing the video, the client is asked to describe the feeling of stressful, the client reveals she would like a more balanced lifestyle. The counsellor then asks, “how do you feel you are balancing that feeling you describe?” and the client then expresses a </w:t>
      </w:r>
      <w:r w:rsidRPr="2BF2870E">
        <w:rPr>
          <w:rFonts w:ascii="Arial" w:eastAsia="Arial" w:hAnsi="Arial" w:cs="Arial"/>
          <w:color w:val="333333"/>
          <w:sz w:val="24"/>
          <w:szCs w:val="24"/>
        </w:rPr>
        <w:lastRenderedPageBreak/>
        <w:t xml:space="preserve">dominant feeling of worry. It could be argued that questioning a client, is not the approach that Rogers would have used. Rogers firmly believed that every client has the power to do this for themselves. Rogers described that experiencing feeling in a safe relationship with unconditional positive regard would lead to the client accepting themselves and “feeling more confident in their own abilities to cope” (Hough,1998. p103). However it could be argued that the counsellor is trying to lead the client through the questioning and highlighting what they have already started to do for themselves and the use of practical solutions such as a diary which the client was using. </w:t>
      </w:r>
    </w:p>
    <w:p w14:paraId="415447D2" w14:textId="7AA64906" w:rsidR="0FF669AE" w:rsidRDefault="7D5AD49A" w:rsidP="7D5AD49A">
      <w:pPr>
        <w:spacing w:line="360" w:lineRule="auto"/>
        <w:rPr>
          <w:rFonts w:ascii="Arial" w:eastAsia="Arial" w:hAnsi="Arial" w:cs="Arial"/>
          <w:color w:val="000000" w:themeColor="text1"/>
          <w:sz w:val="24"/>
          <w:szCs w:val="24"/>
          <w:lang w:val="en-GB"/>
        </w:rPr>
      </w:pPr>
      <w:r w:rsidRPr="7D5AD49A">
        <w:rPr>
          <w:rFonts w:ascii="Arial" w:eastAsia="Arial" w:hAnsi="Arial" w:cs="Arial"/>
          <w:color w:val="000000" w:themeColor="text1"/>
          <w:sz w:val="24"/>
          <w:szCs w:val="24"/>
          <w:lang w:val="en-GB"/>
        </w:rPr>
        <w:t xml:space="preserve">During the simulation, the counsellor enables the client to reflect. This is evident because the councillor reflects and paraphrases back the clients verbal and non-verbal cues. This enables reflection and gives the client a sense that they have been heard and are listened to, this continues to build a trusted helping relationship. Hough (1998) states that paraphrasing and reflection are both important strategies in building a positive counselling relationship. Wilkins (2010) further states the importance of councillors demonstrating an understanding of what the client is experiencing and therefore illustrating their unconditional positive regard. </w:t>
      </w:r>
    </w:p>
    <w:p w14:paraId="7DBC1456" w14:textId="37F99106" w:rsidR="0FF669AE" w:rsidRDefault="7D5AD49A" w:rsidP="7D5AD49A">
      <w:pPr>
        <w:spacing w:line="360" w:lineRule="auto"/>
        <w:rPr>
          <w:rFonts w:ascii="Arial" w:eastAsia="Arial" w:hAnsi="Arial" w:cs="Arial"/>
          <w:color w:val="000000" w:themeColor="text1"/>
          <w:sz w:val="24"/>
          <w:szCs w:val="24"/>
          <w:lang w:val="en-GB"/>
        </w:rPr>
      </w:pPr>
      <w:r w:rsidRPr="7D5AD49A">
        <w:rPr>
          <w:rFonts w:ascii="Arial" w:eastAsia="Arial" w:hAnsi="Arial" w:cs="Arial"/>
          <w:color w:val="000000" w:themeColor="text1"/>
          <w:sz w:val="24"/>
          <w:szCs w:val="24"/>
          <w:lang w:val="en-GB"/>
        </w:rPr>
        <w:t xml:space="preserve">It is evident the client's previous negative experiences at university are creating a fear response towards her current studies. A fear of repeating failure is preventing the client from taking further risks. However, Midwinter and Dickson (2015) suggest that risks are necessary in order to learn from them. It could be argued that this is the role of the counsellor to use the strategies outlined through Rogers core conditions and the client centred style of counselling, to create a notion of self-actualising with the client. </w:t>
      </w:r>
    </w:p>
    <w:p w14:paraId="166F8E71" w14:textId="43F79A4D" w:rsidR="0D6EFF31" w:rsidRDefault="2BF2870E" w:rsidP="2BF2870E">
      <w:pPr>
        <w:spacing w:line="360" w:lineRule="auto"/>
        <w:rPr>
          <w:rFonts w:ascii="Arial" w:eastAsia="Arial" w:hAnsi="Arial" w:cs="Arial"/>
          <w:color w:val="000000" w:themeColor="text1"/>
          <w:sz w:val="24"/>
          <w:szCs w:val="24"/>
          <w:lang w:val="en-GB"/>
        </w:rPr>
      </w:pPr>
      <w:r w:rsidRPr="2BF2870E">
        <w:rPr>
          <w:rFonts w:ascii="Arial" w:eastAsia="Arial" w:hAnsi="Arial" w:cs="Arial"/>
          <w:color w:val="000000" w:themeColor="text1"/>
          <w:sz w:val="24"/>
          <w:szCs w:val="24"/>
          <w:lang w:val="en-GB"/>
        </w:rPr>
        <w:t>During the video, the client has a revolutionary moment and pours out her feelings to the councillor. The client highlights several feelings such as being isolated, lost and lonely and a feeling of needing to do this “right” or “wrong”. This illustrates Rogers premise that individuals are motivated to achieve their own potential. (Rogers, 1959)</w:t>
      </w:r>
    </w:p>
    <w:p w14:paraId="11B46F68" w14:textId="109D145B" w:rsidR="0D6EFF31" w:rsidRDefault="2BF2870E" w:rsidP="2BF2870E">
      <w:pPr>
        <w:spacing w:line="360" w:lineRule="auto"/>
        <w:rPr>
          <w:rFonts w:ascii="Arial" w:eastAsia="Arial" w:hAnsi="Arial" w:cs="Arial"/>
          <w:sz w:val="24"/>
          <w:szCs w:val="24"/>
        </w:rPr>
      </w:pPr>
      <w:r w:rsidRPr="2BF2870E">
        <w:rPr>
          <w:rFonts w:ascii="Arial" w:eastAsia="Arial" w:hAnsi="Arial" w:cs="Arial"/>
          <w:sz w:val="24"/>
          <w:szCs w:val="24"/>
        </w:rPr>
        <w:t>Therefore, to conclude, the work of Rogers and his client centered approach to counselling, it is evident that while the counsellor has not fully adhered to all the principles of Rogers work, there is a point where the counsellor is leading the client through questioning. This is strictly the way in which Rogers would have held a counselling session, however, it could be suggested that the client was not completely self actualise for themselves and fundamentally being led by the counsellor.  Many of the key points that Rogers highlights in his work such as being genuine within the counselling relationship and creating a relationship where the client is able to feel safe enough to share their experiences that they had had during a previous event in their life have been demonstrated and the client feels secure enough to share the experiences. The counsellor shows significant empathy for the client and this promotes the development of the “helping relationship” as outlined by Rogers. It is important to understand that theses counselling skills can be transferred to a health care setting to build a trusting and sporting relationship with a patient.</w:t>
      </w:r>
    </w:p>
    <w:p w14:paraId="27EBB719" w14:textId="4AA5007B" w:rsidR="0D6EFF31" w:rsidRDefault="0D6EFF31" w:rsidP="2AD8E573">
      <w:pPr>
        <w:spacing w:line="360" w:lineRule="auto"/>
        <w:rPr>
          <w:rFonts w:ascii="Arial" w:eastAsia="Arial" w:hAnsi="Arial" w:cs="Arial"/>
          <w:sz w:val="24"/>
          <w:szCs w:val="24"/>
        </w:rPr>
      </w:pPr>
    </w:p>
    <w:p w14:paraId="27A48536" w14:textId="296523EA" w:rsidR="0D6EFF31" w:rsidRDefault="0D6EFF31" w:rsidP="2AD8E573">
      <w:pPr>
        <w:spacing w:line="360" w:lineRule="auto"/>
        <w:rPr>
          <w:rFonts w:ascii="Arial" w:eastAsia="Arial" w:hAnsi="Arial" w:cs="Arial"/>
          <w:sz w:val="24"/>
          <w:szCs w:val="24"/>
        </w:rPr>
      </w:pPr>
    </w:p>
    <w:p w14:paraId="778BFEE7" w14:textId="7AC1245A" w:rsidR="2AD8E573" w:rsidRDefault="2AD8E573" w:rsidP="2AD8E573">
      <w:pPr>
        <w:spacing w:line="360" w:lineRule="auto"/>
        <w:rPr>
          <w:rFonts w:ascii="Arial" w:eastAsia="Arial" w:hAnsi="Arial" w:cs="Arial"/>
          <w:sz w:val="24"/>
          <w:szCs w:val="24"/>
        </w:rPr>
      </w:pPr>
    </w:p>
    <w:p w14:paraId="314BA3DE" w14:textId="249FFBEC" w:rsidR="2AD8E573" w:rsidRDefault="2AD8E573" w:rsidP="61CAEA46">
      <w:pPr>
        <w:spacing w:line="360" w:lineRule="auto"/>
        <w:rPr>
          <w:rFonts w:ascii="Arial" w:eastAsia="Arial" w:hAnsi="Arial" w:cs="Arial"/>
          <w:sz w:val="24"/>
          <w:szCs w:val="24"/>
        </w:rPr>
      </w:pPr>
    </w:p>
    <w:p w14:paraId="7524627E" w14:textId="56742C05" w:rsidR="61CAEA46" w:rsidRDefault="61CAEA46" w:rsidP="61CAEA46">
      <w:pPr>
        <w:spacing w:line="360" w:lineRule="auto"/>
        <w:rPr>
          <w:rFonts w:ascii="Arial" w:eastAsia="Arial" w:hAnsi="Arial" w:cs="Arial"/>
          <w:sz w:val="24"/>
          <w:szCs w:val="24"/>
        </w:rPr>
      </w:pPr>
    </w:p>
    <w:p w14:paraId="5344EA17" w14:textId="02832E54" w:rsidR="61CAEA46" w:rsidRDefault="61CAEA46" w:rsidP="61CAEA46">
      <w:pPr>
        <w:spacing w:line="360" w:lineRule="auto"/>
        <w:rPr>
          <w:rFonts w:ascii="Arial" w:eastAsia="Arial" w:hAnsi="Arial" w:cs="Arial"/>
          <w:sz w:val="24"/>
          <w:szCs w:val="24"/>
        </w:rPr>
      </w:pPr>
    </w:p>
    <w:p w14:paraId="5984FFD3" w14:textId="425B3A8A" w:rsidR="61CAEA46" w:rsidRDefault="61CAEA46" w:rsidP="61CAEA46">
      <w:pPr>
        <w:spacing w:line="360" w:lineRule="auto"/>
        <w:rPr>
          <w:rFonts w:ascii="Arial" w:eastAsia="Arial" w:hAnsi="Arial" w:cs="Arial"/>
          <w:sz w:val="24"/>
          <w:szCs w:val="24"/>
        </w:rPr>
      </w:pPr>
    </w:p>
    <w:p w14:paraId="4ACDA6B8" w14:textId="44103006" w:rsidR="61CAEA46" w:rsidRDefault="61CAEA46" w:rsidP="61CAEA46">
      <w:pPr>
        <w:spacing w:line="360" w:lineRule="auto"/>
        <w:rPr>
          <w:rFonts w:ascii="Arial" w:eastAsia="Arial" w:hAnsi="Arial" w:cs="Arial"/>
          <w:sz w:val="24"/>
          <w:szCs w:val="24"/>
        </w:rPr>
      </w:pPr>
    </w:p>
    <w:p w14:paraId="5B20E94B" w14:textId="2149F705" w:rsidR="61CAEA46" w:rsidRDefault="61CAEA46" w:rsidP="61CAEA46">
      <w:pPr>
        <w:spacing w:line="360" w:lineRule="auto"/>
        <w:rPr>
          <w:rFonts w:ascii="Arial" w:eastAsia="Arial" w:hAnsi="Arial" w:cs="Arial"/>
          <w:sz w:val="24"/>
          <w:szCs w:val="24"/>
        </w:rPr>
      </w:pPr>
    </w:p>
    <w:p w14:paraId="50645F2A" w14:textId="748FABB7" w:rsidR="61CAEA46" w:rsidRDefault="61CAEA46" w:rsidP="61CAEA46">
      <w:pPr>
        <w:spacing w:line="360" w:lineRule="auto"/>
        <w:rPr>
          <w:rFonts w:ascii="Arial" w:eastAsia="Arial" w:hAnsi="Arial" w:cs="Arial"/>
          <w:sz w:val="24"/>
          <w:szCs w:val="24"/>
        </w:rPr>
      </w:pPr>
    </w:p>
    <w:p w14:paraId="477ECE6E" w14:textId="036B5BD9" w:rsidR="61CAEA46" w:rsidRDefault="61CAEA46" w:rsidP="61CAEA46">
      <w:pPr>
        <w:spacing w:line="360" w:lineRule="auto"/>
        <w:rPr>
          <w:rFonts w:ascii="Arial" w:eastAsia="Arial" w:hAnsi="Arial" w:cs="Arial"/>
          <w:sz w:val="24"/>
          <w:szCs w:val="24"/>
        </w:rPr>
      </w:pPr>
    </w:p>
    <w:p w14:paraId="59FB2C24" w14:textId="181B3DA6" w:rsidR="61CAEA46" w:rsidRDefault="61CAEA46" w:rsidP="61CAEA46">
      <w:pPr>
        <w:spacing w:line="360" w:lineRule="auto"/>
        <w:rPr>
          <w:rFonts w:ascii="Arial" w:eastAsia="Arial" w:hAnsi="Arial" w:cs="Arial"/>
          <w:sz w:val="24"/>
          <w:szCs w:val="24"/>
        </w:rPr>
      </w:pPr>
    </w:p>
    <w:p w14:paraId="45B4E27F" w14:textId="77EF6A12" w:rsidR="0D6EFF31" w:rsidRDefault="0D6EFF31" w:rsidP="621BBB17">
      <w:pPr>
        <w:spacing w:line="360" w:lineRule="auto"/>
        <w:rPr>
          <w:rFonts w:ascii="Arial" w:eastAsia="Arial" w:hAnsi="Arial" w:cs="Arial"/>
          <w:sz w:val="24"/>
          <w:szCs w:val="24"/>
        </w:rPr>
      </w:pPr>
    </w:p>
    <w:p w14:paraId="32C20BFF" w14:textId="3FF9AA03" w:rsidR="2AD8E573" w:rsidRDefault="2AD8E573" w:rsidP="2AD8E573">
      <w:pPr>
        <w:spacing w:line="360" w:lineRule="auto"/>
        <w:rPr>
          <w:rFonts w:ascii="Calibri Light" w:eastAsia="Calibri Light" w:hAnsi="Calibri Light" w:cs="Calibri Light"/>
          <w:sz w:val="24"/>
          <w:szCs w:val="24"/>
          <w:u w:val="single"/>
        </w:rPr>
      </w:pPr>
    </w:p>
    <w:p w14:paraId="422DC6B7" w14:textId="110968EA" w:rsidR="7D5AD49A" w:rsidRDefault="7D5AD49A" w:rsidP="2BF2870E">
      <w:pPr>
        <w:spacing w:line="360" w:lineRule="auto"/>
        <w:rPr>
          <w:rFonts w:ascii="Calibri Light" w:eastAsia="Calibri Light" w:hAnsi="Calibri Light" w:cs="Calibri Light"/>
          <w:sz w:val="24"/>
          <w:szCs w:val="24"/>
          <w:u w:val="single"/>
        </w:rPr>
      </w:pPr>
    </w:p>
    <w:p w14:paraId="153887B0" w14:textId="6083B241" w:rsidR="0D6EFF31" w:rsidRDefault="2BF2870E" w:rsidP="2BF2870E">
      <w:pPr>
        <w:spacing w:line="360" w:lineRule="auto"/>
        <w:rPr>
          <w:rFonts w:ascii="Calibri Light" w:eastAsia="Calibri Light" w:hAnsi="Calibri Light" w:cs="Calibri Light"/>
          <w:sz w:val="24"/>
          <w:szCs w:val="24"/>
        </w:rPr>
      </w:pPr>
      <w:r w:rsidRPr="2BF2870E">
        <w:rPr>
          <w:rFonts w:ascii="Calibri Light" w:eastAsia="Calibri Light" w:hAnsi="Calibri Light" w:cs="Calibri Light"/>
          <w:sz w:val="24"/>
          <w:szCs w:val="24"/>
          <w:u w:val="single"/>
        </w:rPr>
        <w:t>References</w:t>
      </w:r>
    </w:p>
    <w:p w14:paraId="1E265B4F" w14:textId="49E6B193" w:rsidR="0D6EFF31" w:rsidRDefault="2BF2870E" w:rsidP="2BF2870E">
      <w:pPr>
        <w:spacing w:line="360" w:lineRule="auto"/>
        <w:rPr>
          <w:rFonts w:ascii="Calibri Light" w:eastAsia="Calibri Light" w:hAnsi="Calibri Light" w:cs="Calibri Light"/>
          <w:sz w:val="24"/>
          <w:szCs w:val="24"/>
        </w:rPr>
      </w:pPr>
      <w:r w:rsidRPr="2BF2870E">
        <w:rPr>
          <w:rFonts w:ascii="Calibri Light" w:eastAsia="Calibri Light" w:hAnsi="Calibri Light" w:cs="Calibri Light"/>
          <w:sz w:val="24"/>
          <w:szCs w:val="24"/>
        </w:rPr>
        <w:t xml:space="preserve"> Department of Health (2012) Winterbourne View Hospital: Department of Health review and response. Gateway reference 18348. Available at: https://www.gov.uk/government/publications/winterbourne-view-hospital-department-ofhealth-review-and-response (Accessed 16</w:t>
      </w:r>
      <w:r w:rsidRPr="2BF2870E">
        <w:rPr>
          <w:rFonts w:ascii="Calibri Light" w:eastAsia="Calibri Light" w:hAnsi="Calibri Light" w:cs="Calibri Light"/>
          <w:sz w:val="24"/>
          <w:szCs w:val="24"/>
          <w:vertAlign w:val="superscript"/>
        </w:rPr>
        <w:t>th</w:t>
      </w:r>
      <w:r w:rsidRPr="2BF2870E">
        <w:rPr>
          <w:rFonts w:ascii="Calibri Light" w:eastAsia="Calibri Light" w:hAnsi="Calibri Light" w:cs="Calibri Light"/>
          <w:sz w:val="24"/>
          <w:szCs w:val="24"/>
        </w:rPr>
        <w:t xml:space="preserve"> November 2018) </w:t>
      </w:r>
    </w:p>
    <w:p w14:paraId="614B41CC" w14:textId="4B30F4F4" w:rsidR="0D6EFF31" w:rsidRDefault="2BF2870E" w:rsidP="2BF2870E">
      <w:pPr>
        <w:spacing w:line="360" w:lineRule="auto"/>
        <w:rPr>
          <w:rFonts w:ascii="Calibri Light" w:eastAsia="Calibri Light" w:hAnsi="Calibri Light" w:cs="Calibri Light"/>
          <w:sz w:val="24"/>
          <w:szCs w:val="24"/>
        </w:rPr>
      </w:pPr>
      <w:r w:rsidRPr="2BF2870E">
        <w:rPr>
          <w:rFonts w:ascii="Calibri Light" w:eastAsia="Calibri Light" w:hAnsi="Calibri Light" w:cs="Calibri Light"/>
          <w:sz w:val="24"/>
          <w:szCs w:val="24"/>
        </w:rPr>
        <w:t>Goetz JL, Keltner D, Simon-Thomas E. (2010)</w:t>
      </w:r>
      <w:r w:rsidRPr="2BF2870E">
        <w:rPr>
          <w:rFonts w:ascii="Calibri Light" w:eastAsia="Calibri Light" w:hAnsi="Calibri Light" w:cs="Calibri Light"/>
          <w:i/>
          <w:iCs/>
          <w:sz w:val="24"/>
          <w:szCs w:val="24"/>
        </w:rPr>
        <w:t xml:space="preserve"> Compassion: An Evolutionary Analysis and Empirical Rewiew</w:t>
      </w:r>
      <w:r w:rsidRPr="2BF2870E">
        <w:rPr>
          <w:rFonts w:ascii="Calibri Light" w:eastAsia="Calibri Light" w:hAnsi="Calibri Light" w:cs="Calibri Light"/>
          <w:sz w:val="24"/>
          <w:szCs w:val="24"/>
        </w:rPr>
        <w:t xml:space="preserve">. Psychological Bulletin 136(3): 351-374 </w:t>
      </w:r>
    </w:p>
    <w:p w14:paraId="010BCA09" w14:textId="407FCC34" w:rsidR="0D6EFF31" w:rsidRDefault="0D6EFF31" w:rsidP="0D6EFF31">
      <w:pPr>
        <w:spacing w:line="360" w:lineRule="auto"/>
        <w:rPr>
          <w:rFonts w:ascii="Calibri Light" w:eastAsia="Calibri Light" w:hAnsi="Calibri Light" w:cs="Calibri Light"/>
          <w:sz w:val="24"/>
          <w:szCs w:val="24"/>
        </w:rPr>
      </w:pPr>
      <w:r w:rsidRPr="0D6EFF31">
        <w:rPr>
          <w:rFonts w:ascii="Calibri Light" w:eastAsia="Calibri Light" w:hAnsi="Calibri Light" w:cs="Calibri Light"/>
          <w:sz w:val="24"/>
          <w:szCs w:val="24"/>
        </w:rPr>
        <w:t xml:space="preserve">Hough, M. (1998) </w:t>
      </w:r>
      <w:r w:rsidRPr="0D6EFF31">
        <w:rPr>
          <w:rFonts w:ascii="Calibri Light" w:eastAsia="Calibri Light" w:hAnsi="Calibri Light" w:cs="Calibri Light"/>
          <w:i/>
          <w:iCs/>
          <w:sz w:val="24"/>
          <w:szCs w:val="24"/>
        </w:rPr>
        <w:t>Counselling Skills and Theory</w:t>
      </w:r>
      <w:r w:rsidRPr="0D6EFF31">
        <w:rPr>
          <w:rFonts w:ascii="Calibri Light" w:eastAsia="Calibri Light" w:hAnsi="Calibri Light" w:cs="Calibri Light"/>
          <w:sz w:val="24"/>
          <w:szCs w:val="24"/>
        </w:rPr>
        <w:t xml:space="preserve">. London: Hodder and Stoughton </w:t>
      </w:r>
    </w:p>
    <w:p w14:paraId="50DA9E6D" w14:textId="4B7C785C" w:rsidR="5D30D80C" w:rsidRDefault="0D6EFF31" w:rsidP="0D6EFF31">
      <w:pPr>
        <w:spacing w:line="360" w:lineRule="auto"/>
        <w:rPr>
          <w:rFonts w:ascii="Calibri Light" w:eastAsia="Calibri Light" w:hAnsi="Calibri Light" w:cs="Calibri Light"/>
          <w:sz w:val="24"/>
          <w:szCs w:val="24"/>
        </w:rPr>
      </w:pPr>
      <w:r w:rsidRPr="0D6EFF31">
        <w:rPr>
          <w:rFonts w:ascii="Calibri Light" w:eastAsia="Calibri Light" w:hAnsi="Calibri Light" w:cs="Calibri Light"/>
          <w:sz w:val="24"/>
          <w:szCs w:val="24"/>
        </w:rPr>
        <w:t>Mearns, D. and Thorne, B. (2007)</w:t>
      </w:r>
      <w:r w:rsidRPr="0D6EFF31">
        <w:rPr>
          <w:rFonts w:ascii="Calibri Light" w:eastAsia="Calibri Light" w:hAnsi="Calibri Light" w:cs="Calibri Light"/>
          <w:i/>
          <w:iCs/>
          <w:sz w:val="24"/>
          <w:szCs w:val="24"/>
        </w:rPr>
        <w:t xml:space="preserve"> Person-Centered Counselling in Action. 3</w:t>
      </w:r>
      <w:r w:rsidRPr="0D6EFF31">
        <w:rPr>
          <w:rFonts w:ascii="Calibri Light" w:eastAsia="Calibri Light" w:hAnsi="Calibri Light" w:cs="Calibri Light"/>
          <w:i/>
          <w:iCs/>
          <w:sz w:val="24"/>
          <w:szCs w:val="24"/>
          <w:vertAlign w:val="superscript"/>
        </w:rPr>
        <w:t>rd</w:t>
      </w:r>
      <w:r w:rsidRPr="0D6EFF31">
        <w:rPr>
          <w:rFonts w:ascii="Calibri Light" w:eastAsia="Calibri Light" w:hAnsi="Calibri Light" w:cs="Calibri Light"/>
          <w:i/>
          <w:iCs/>
          <w:sz w:val="24"/>
          <w:szCs w:val="24"/>
        </w:rPr>
        <w:t xml:space="preserve"> ed. </w:t>
      </w:r>
      <w:r w:rsidRPr="0D6EFF31">
        <w:rPr>
          <w:rFonts w:ascii="Calibri Light" w:eastAsia="Calibri Light" w:hAnsi="Calibri Light" w:cs="Calibri Light"/>
          <w:sz w:val="24"/>
          <w:szCs w:val="24"/>
        </w:rPr>
        <w:t>London: Sage</w:t>
      </w:r>
    </w:p>
    <w:p w14:paraId="6541DBC2" w14:textId="00A755B5" w:rsidR="10B4DDA8" w:rsidRDefault="6FAFB5F8" w:rsidP="6FAFB5F8">
      <w:pPr>
        <w:spacing w:line="360" w:lineRule="auto"/>
        <w:rPr>
          <w:rFonts w:ascii="Calibri Light" w:eastAsia="Calibri Light" w:hAnsi="Calibri Light" w:cs="Calibri Light"/>
          <w:sz w:val="24"/>
          <w:szCs w:val="24"/>
        </w:rPr>
      </w:pPr>
      <w:r w:rsidRPr="6FAFB5F8">
        <w:rPr>
          <w:rFonts w:ascii="Calibri Light" w:eastAsia="Calibri Light" w:hAnsi="Calibri Light" w:cs="Calibri Light"/>
          <w:sz w:val="24"/>
          <w:szCs w:val="24"/>
        </w:rPr>
        <w:t xml:space="preserve">Midwinter,R. And Dickson, J. (2015) </w:t>
      </w:r>
      <w:r w:rsidRPr="6FAFB5F8">
        <w:rPr>
          <w:rFonts w:ascii="Calibri Light" w:eastAsia="Calibri Light" w:hAnsi="Calibri Light" w:cs="Calibri Light"/>
          <w:i/>
          <w:iCs/>
          <w:sz w:val="24"/>
          <w:szCs w:val="24"/>
        </w:rPr>
        <w:t>Embedding Counselling and Communication Skill.</w:t>
      </w:r>
      <w:r w:rsidRPr="6FAFB5F8">
        <w:rPr>
          <w:rFonts w:ascii="Calibri Light" w:eastAsia="Calibri Light" w:hAnsi="Calibri Light" w:cs="Calibri Light"/>
          <w:sz w:val="24"/>
          <w:szCs w:val="24"/>
        </w:rPr>
        <w:t xml:space="preserve"> East Sussex: Routledge </w:t>
      </w:r>
    </w:p>
    <w:p w14:paraId="4A157C2C" w14:textId="3D96D3FD" w:rsidR="10B4DDA8" w:rsidRDefault="2BF2870E" w:rsidP="2BF2870E">
      <w:pPr>
        <w:spacing w:line="360" w:lineRule="auto"/>
        <w:rPr>
          <w:rFonts w:ascii="Calibri Light" w:eastAsia="Calibri Light" w:hAnsi="Calibri Light" w:cs="Calibri Light"/>
          <w:sz w:val="24"/>
          <w:szCs w:val="24"/>
        </w:rPr>
      </w:pPr>
      <w:r w:rsidRPr="2BF2870E">
        <w:rPr>
          <w:rFonts w:ascii="Calibri Light" w:eastAsia="Calibri Light" w:hAnsi="Calibri Light" w:cs="Calibri Light"/>
          <w:sz w:val="24"/>
          <w:szCs w:val="24"/>
        </w:rPr>
        <w:t xml:space="preserve">Nursing and Midwifery Council (2015) </w:t>
      </w:r>
      <w:r w:rsidRPr="2BF2870E">
        <w:rPr>
          <w:rFonts w:ascii="Calibri Light" w:eastAsia="Calibri Light" w:hAnsi="Calibri Light" w:cs="Calibri Light"/>
          <w:i/>
          <w:iCs/>
          <w:sz w:val="24"/>
          <w:szCs w:val="24"/>
        </w:rPr>
        <w:t>The Code Prossesional Standards of Practice and Behaviour for Nurse and Midwives</w:t>
      </w:r>
      <w:r w:rsidRPr="2BF2870E">
        <w:rPr>
          <w:rFonts w:ascii="Calibri Light" w:eastAsia="Calibri Light" w:hAnsi="Calibri Light" w:cs="Calibri Light"/>
          <w:sz w:val="24"/>
          <w:szCs w:val="24"/>
        </w:rPr>
        <w:t>. Available at http://www.nmc.org.uk  (accessed: 16</w:t>
      </w:r>
      <w:r w:rsidRPr="2BF2870E">
        <w:rPr>
          <w:rFonts w:ascii="Calibri Light" w:eastAsia="Calibri Light" w:hAnsi="Calibri Light" w:cs="Calibri Light"/>
          <w:sz w:val="24"/>
          <w:szCs w:val="24"/>
          <w:vertAlign w:val="superscript"/>
        </w:rPr>
        <w:t>th</w:t>
      </w:r>
      <w:r w:rsidRPr="2BF2870E">
        <w:rPr>
          <w:rFonts w:ascii="Calibri Light" w:eastAsia="Calibri Light" w:hAnsi="Calibri Light" w:cs="Calibri Light"/>
          <w:sz w:val="24"/>
          <w:szCs w:val="24"/>
        </w:rPr>
        <w:t xml:space="preserve">  November 2018) </w:t>
      </w:r>
    </w:p>
    <w:p w14:paraId="0AD13BFF" w14:textId="00C7240B" w:rsidR="3C896A50" w:rsidRDefault="0D6EFF31" w:rsidP="3C896A50">
      <w:pPr>
        <w:spacing w:line="360" w:lineRule="auto"/>
        <w:rPr>
          <w:rFonts w:ascii="Calibri Light" w:eastAsia="Calibri Light" w:hAnsi="Calibri Light" w:cs="Calibri Light"/>
          <w:sz w:val="24"/>
          <w:szCs w:val="24"/>
        </w:rPr>
      </w:pPr>
      <w:r w:rsidRPr="0D6EFF31">
        <w:rPr>
          <w:rFonts w:ascii="Calibri Light" w:eastAsia="Calibri Light" w:hAnsi="Calibri Light" w:cs="Calibri Light"/>
          <w:sz w:val="24"/>
          <w:szCs w:val="24"/>
        </w:rPr>
        <w:t xml:space="preserve">Rogers, C.R (1990) </w:t>
      </w:r>
      <w:r w:rsidRPr="0D6EFF31">
        <w:rPr>
          <w:rFonts w:ascii="Calibri Light" w:eastAsia="Calibri Light" w:hAnsi="Calibri Light" w:cs="Calibri Light"/>
          <w:i/>
          <w:iCs/>
          <w:sz w:val="24"/>
          <w:szCs w:val="24"/>
        </w:rPr>
        <w:t>The Carol Rogers Reader</w:t>
      </w:r>
      <w:r w:rsidRPr="0D6EFF31">
        <w:rPr>
          <w:rFonts w:ascii="Calibri Light" w:eastAsia="Calibri Light" w:hAnsi="Calibri Light" w:cs="Calibri Light"/>
          <w:sz w:val="24"/>
          <w:szCs w:val="24"/>
        </w:rPr>
        <w:t>. London: Constable</w:t>
      </w:r>
    </w:p>
    <w:p w14:paraId="60808993" w14:textId="04D0340F" w:rsidR="0D6EFF31" w:rsidRDefault="0D6EFF31" w:rsidP="0D6EFF31">
      <w:pPr>
        <w:spacing w:line="360" w:lineRule="auto"/>
        <w:rPr>
          <w:rFonts w:ascii="Calibri Light" w:eastAsia="Calibri Light" w:hAnsi="Calibri Light" w:cs="Calibri Light"/>
          <w:sz w:val="24"/>
          <w:szCs w:val="24"/>
        </w:rPr>
      </w:pPr>
      <w:r w:rsidRPr="0D6EFF31">
        <w:rPr>
          <w:rFonts w:ascii="Calibri Light" w:eastAsia="Calibri Light" w:hAnsi="Calibri Light" w:cs="Calibri Light"/>
          <w:sz w:val="24"/>
          <w:szCs w:val="24"/>
        </w:rPr>
        <w:t xml:space="preserve">Rogers, C. and Koch, S. (1959). </w:t>
      </w:r>
      <w:r w:rsidRPr="0D6EFF31">
        <w:rPr>
          <w:rFonts w:ascii="Calibri Light" w:eastAsia="Calibri Light" w:hAnsi="Calibri Light" w:cs="Calibri Light"/>
          <w:i/>
          <w:iCs/>
          <w:sz w:val="24"/>
          <w:szCs w:val="24"/>
        </w:rPr>
        <w:t>A Theory of Therapy, personality, and interpersonal Relationships</w:t>
      </w:r>
      <w:r w:rsidRPr="0D6EFF31">
        <w:rPr>
          <w:rFonts w:ascii="Calibri Light" w:eastAsia="Calibri Light" w:hAnsi="Calibri Light" w:cs="Calibri Light"/>
          <w:sz w:val="24"/>
          <w:szCs w:val="24"/>
        </w:rPr>
        <w:t>. New York: McGraw-Hill.</w:t>
      </w:r>
    </w:p>
    <w:p w14:paraId="42229CAF" w14:textId="2D257D6B" w:rsidR="1A0AC34C" w:rsidRDefault="0D6EFF31" w:rsidP="1A0AC34C">
      <w:pPr>
        <w:spacing w:line="360" w:lineRule="auto"/>
        <w:rPr>
          <w:rFonts w:ascii="Calibri Light" w:eastAsia="Calibri Light" w:hAnsi="Calibri Light" w:cs="Calibri Light"/>
          <w:sz w:val="24"/>
          <w:szCs w:val="24"/>
        </w:rPr>
      </w:pPr>
      <w:r w:rsidRPr="0D6EFF31">
        <w:rPr>
          <w:rFonts w:ascii="Calibri Light" w:eastAsia="Calibri Light" w:hAnsi="Calibri Light" w:cs="Calibri Light"/>
          <w:sz w:val="24"/>
          <w:szCs w:val="24"/>
        </w:rPr>
        <w:t xml:space="preserve">Rogers, C.R. (2004) </w:t>
      </w:r>
      <w:r w:rsidRPr="0D6EFF31">
        <w:rPr>
          <w:rFonts w:ascii="Calibri Light" w:eastAsia="Calibri Light" w:hAnsi="Calibri Light" w:cs="Calibri Light"/>
          <w:i/>
          <w:iCs/>
          <w:sz w:val="24"/>
          <w:szCs w:val="24"/>
        </w:rPr>
        <w:t xml:space="preserve">A Therapist’s View of Psychotherapy on Becoming A Person. </w:t>
      </w:r>
      <w:r w:rsidRPr="0D6EFF31">
        <w:rPr>
          <w:rFonts w:ascii="Calibri Light" w:eastAsia="Calibri Light" w:hAnsi="Calibri Light" w:cs="Calibri Light"/>
          <w:sz w:val="24"/>
          <w:szCs w:val="24"/>
        </w:rPr>
        <w:t xml:space="preserve">London: Constable and Robinson </w:t>
      </w:r>
    </w:p>
    <w:p w14:paraId="67785BC1" w14:textId="2D81DFBD" w:rsidR="1FA5028D" w:rsidRDefault="0D6EFF31" w:rsidP="0D6EFF31">
      <w:pPr>
        <w:spacing w:line="360" w:lineRule="auto"/>
        <w:rPr>
          <w:rFonts w:ascii="Calibri Light" w:eastAsia="Calibri Light" w:hAnsi="Calibri Light" w:cs="Calibri Light"/>
          <w:sz w:val="24"/>
          <w:szCs w:val="24"/>
        </w:rPr>
      </w:pPr>
      <w:r w:rsidRPr="0D6EFF31">
        <w:rPr>
          <w:rFonts w:ascii="Calibri Light" w:eastAsia="Calibri Light" w:hAnsi="Calibri Light" w:cs="Calibri Light"/>
          <w:sz w:val="24"/>
          <w:szCs w:val="24"/>
        </w:rPr>
        <w:t xml:space="preserve">Thorne, B. (1998) </w:t>
      </w:r>
      <w:r w:rsidRPr="0D6EFF31">
        <w:rPr>
          <w:rFonts w:ascii="Calibri Light" w:eastAsia="Calibri Light" w:hAnsi="Calibri Light" w:cs="Calibri Light"/>
          <w:i/>
          <w:iCs/>
          <w:sz w:val="24"/>
          <w:szCs w:val="24"/>
        </w:rPr>
        <w:t>Person- Centered Counselling Therapeutic &amp; spiritual Dimensions</w:t>
      </w:r>
      <w:r w:rsidRPr="0D6EFF31">
        <w:rPr>
          <w:rFonts w:ascii="Calibri Light" w:eastAsia="Calibri Light" w:hAnsi="Calibri Light" w:cs="Calibri Light"/>
          <w:sz w:val="24"/>
          <w:szCs w:val="24"/>
        </w:rPr>
        <w:t>. London: Whurr Publishers</w:t>
      </w:r>
    </w:p>
    <w:p w14:paraId="6BD6CC5A" w14:textId="5A78B9F3" w:rsidR="5FB2552C" w:rsidRDefault="2BF2870E" w:rsidP="2BF2870E">
      <w:pPr>
        <w:spacing w:line="360" w:lineRule="auto"/>
        <w:rPr>
          <w:rFonts w:ascii="Calibri Light" w:eastAsia="Calibri Light" w:hAnsi="Calibri Light" w:cs="Calibri Light"/>
          <w:sz w:val="24"/>
          <w:szCs w:val="24"/>
        </w:rPr>
      </w:pPr>
      <w:r w:rsidRPr="2BF2870E">
        <w:rPr>
          <w:rFonts w:ascii="Calibri Light" w:eastAsia="Calibri Light" w:hAnsi="Calibri Light" w:cs="Calibri Light"/>
          <w:sz w:val="24"/>
          <w:szCs w:val="24"/>
        </w:rPr>
        <w:t xml:space="preserve">Wilkins, P. (2010) </w:t>
      </w:r>
      <w:r w:rsidRPr="2BF2870E">
        <w:rPr>
          <w:rFonts w:ascii="Calibri Light" w:eastAsia="Calibri Light" w:hAnsi="Calibri Light" w:cs="Calibri Light"/>
          <w:i/>
          <w:iCs/>
          <w:sz w:val="24"/>
          <w:szCs w:val="24"/>
        </w:rPr>
        <w:t>Person Centered Therapy 100 Key Points</w:t>
      </w:r>
      <w:r w:rsidRPr="2BF2870E">
        <w:rPr>
          <w:rFonts w:ascii="Calibri Light" w:eastAsia="Calibri Light" w:hAnsi="Calibri Light" w:cs="Calibri Light"/>
          <w:sz w:val="24"/>
          <w:szCs w:val="24"/>
        </w:rPr>
        <w:t>. Hove: Routledge</w:t>
      </w:r>
    </w:p>
    <w:sectPr w:rsidR="5FB2552C">
      <w:headerReference w:type="default" r:id="rId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4E6211" w14:textId="77777777" w:rsidR="00462AE1" w:rsidRDefault="00462AE1">
      <w:pPr>
        <w:spacing w:after="0" w:line="240" w:lineRule="auto"/>
      </w:pPr>
      <w:r>
        <w:separator/>
      </w:r>
    </w:p>
  </w:endnote>
  <w:endnote w:type="continuationSeparator" w:id="0">
    <w:p w14:paraId="2E862CF0" w14:textId="77777777" w:rsidR="00462AE1" w:rsidRDefault="00462A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39BD4A91" w14:paraId="580AB63B" w14:textId="77777777" w:rsidTr="22355626">
      <w:tc>
        <w:tcPr>
          <w:tcW w:w="3120" w:type="dxa"/>
        </w:tcPr>
        <w:p w14:paraId="09FAC26B" w14:textId="2DC6A417" w:rsidR="39BD4A91" w:rsidRDefault="22355626" w:rsidP="39BD4A91">
          <w:pPr>
            <w:pStyle w:val="Header"/>
            <w:ind w:left="-115"/>
          </w:pPr>
          <w:r>
            <w:t xml:space="preserve"> </w:t>
          </w:r>
        </w:p>
      </w:tc>
      <w:tc>
        <w:tcPr>
          <w:tcW w:w="3120" w:type="dxa"/>
        </w:tcPr>
        <w:p w14:paraId="028D6FC5" w14:textId="44235272" w:rsidR="39BD4A91" w:rsidRDefault="39BD4A91" w:rsidP="39BD4A91">
          <w:pPr>
            <w:pStyle w:val="Header"/>
            <w:jc w:val="center"/>
          </w:pPr>
        </w:p>
      </w:tc>
      <w:tc>
        <w:tcPr>
          <w:tcW w:w="3120" w:type="dxa"/>
        </w:tcPr>
        <w:p w14:paraId="547C38C4" w14:textId="590D56C8" w:rsidR="39BD4A91" w:rsidRDefault="39BD4A91" w:rsidP="39BD4A91">
          <w:pPr>
            <w:pStyle w:val="Header"/>
            <w:ind w:right="-115"/>
            <w:jc w:val="right"/>
          </w:pPr>
          <w:r>
            <w:fldChar w:fldCharType="begin"/>
          </w:r>
          <w:r>
            <w:instrText>PAGE</w:instrText>
          </w:r>
          <w:r w:rsidR="00CF1224">
            <w:fldChar w:fldCharType="separate"/>
          </w:r>
          <w:r w:rsidR="00CF1224">
            <w:rPr>
              <w:noProof/>
            </w:rPr>
            <w:t>1</w:t>
          </w:r>
          <w:r>
            <w:fldChar w:fldCharType="end"/>
          </w:r>
        </w:p>
      </w:tc>
    </w:tr>
  </w:tbl>
  <w:p w14:paraId="5B181CD3" w14:textId="6072C684" w:rsidR="39BD4A91" w:rsidRDefault="39BD4A91" w:rsidP="39BD4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EF0E9C" w14:textId="77777777" w:rsidR="00462AE1" w:rsidRDefault="00462AE1">
      <w:pPr>
        <w:spacing w:after="0" w:line="240" w:lineRule="auto"/>
      </w:pPr>
      <w:r>
        <w:separator/>
      </w:r>
    </w:p>
  </w:footnote>
  <w:footnote w:type="continuationSeparator" w:id="0">
    <w:p w14:paraId="0CEDDA49" w14:textId="77777777" w:rsidR="00462AE1" w:rsidRDefault="00462A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39BD4A91" w14:paraId="4C00E29F" w14:textId="77777777" w:rsidTr="39BD4A91">
      <w:tc>
        <w:tcPr>
          <w:tcW w:w="3120" w:type="dxa"/>
        </w:tcPr>
        <w:p w14:paraId="0FD4DDB5" w14:textId="30B6C326" w:rsidR="39BD4A91" w:rsidRDefault="39BD4A91" w:rsidP="39BD4A91">
          <w:pPr>
            <w:pStyle w:val="Header"/>
            <w:ind w:left="-115"/>
          </w:pPr>
          <w:r>
            <w:t>Danielle Gwynn</w:t>
          </w:r>
        </w:p>
      </w:tc>
      <w:tc>
        <w:tcPr>
          <w:tcW w:w="3120" w:type="dxa"/>
        </w:tcPr>
        <w:p w14:paraId="7CD1302C" w14:textId="6758E7DD" w:rsidR="39BD4A91" w:rsidRDefault="39BD4A91" w:rsidP="39BD4A91">
          <w:pPr>
            <w:pStyle w:val="Header"/>
            <w:jc w:val="center"/>
          </w:pPr>
        </w:p>
      </w:tc>
      <w:tc>
        <w:tcPr>
          <w:tcW w:w="3120" w:type="dxa"/>
        </w:tcPr>
        <w:p w14:paraId="15D4DF16" w14:textId="49F48892" w:rsidR="39BD4A91" w:rsidRDefault="39BD4A91" w:rsidP="39BD4A91">
          <w:pPr>
            <w:pStyle w:val="Header"/>
            <w:ind w:right="-115"/>
            <w:jc w:val="right"/>
          </w:pPr>
          <w:r>
            <w:t>1804288</w:t>
          </w:r>
        </w:p>
      </w:tc>
    </w:tr>
  </w:tbl>
  <w:p w14:paraId="415B2CC8" w14:textId="14DE5FA7" w:rsidR="39BD4A91" w:rsidRDefault="39BD4A91" w:rsidP="39BD4A9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58C8564"/>
    <w:rsid w:val="00462AE1"/>
    <w:rsid w:val="00CF1224"/>
    <w:rsid w:val="061E7CAB"/>
    <w:rsid w:val="0D6EFF31"/>
    <w:rsid w:val="0FF669AE"/>
    <w:rsid w:val="10B4DDA8"/>
    <w:rsid w:val="1A0AC34C"/>
    <w:rsid w:val="1BBC71D2"/>
    <w:rsid w:val="1FA5028D"/>
    <w:rsid w:val="1FD48EE5"/>
    <w:rsid w:val="22355626"/>
    <w:rsid w:val="284BBEFA"/>
    <w:rsid w:val="2AD8E573"/>
    <w:rsid w:val="2BF2870E"/>
    <w:rsid w:val="39BD4A91"/>
    <w:rsid w:val="3C896A50"/>
    <w:rsid w:val="3CBAC548"/>
    <w:rsid w:val="42A3D066"/>
    <w:rsid w:val="458C8564"/>
    <w:rsid w:val="5D30D80C"/>
    <w:rsid w:val="5FB2552C"/>
    <w:rsid w:val="61CAEA46"/>
    <w:rsid w:val="621BBB17"/>
    <w:rsid w:val="65B4EBA3"/>
    <w:rsid w:val="6FAFB5F8"/>
    <w:rsid w:val="7D5AD4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C8564"/>
  <w15:chartTrackingRefBased/>
  <w15:docId w15:val="{C8E0FAE2-4602-4C75-A7B3-659705F88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1462</Words>
  <Characters>8336</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Gwynn (1804288)</dc:creator>
  <cp:keywords/>
  <dc:description/>
  <cp:lastModifiedBy>Danielle Gwynn (1804288)</cp:lastModifiedBy>
  <cp:revision>2</cp:revision>
  <dcterms:created xsi:type="dcterms:W3CDTF">2018-12-11T13:57:00Z</dcterms:created>
  <dcterms:modified xsi:type="dcterms:W3CDTF">2018-12-11T13:57:00Z</dcterms:modified>
</cp:coreProperties>
</file>