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7E4CA" w14:textId="6BBC9E08" w:rsidR="00283556" w:rsidRDefault="0017108C" w:rsidP="00543D43">
      <w:r>
        <w:rPr>
          <w:noProof/>
        </w:rPr>
        <w:drawing>
          <wp:inline distT="0" distB="0" distL="0" distR="0" wp14:anchorId="773F5BE2" wp14:editId="2CCA6620">
            <wp:extent cx="2143125" cy="2143125"/>
            <wp:effectExtent l="0" t="0" r="9525" b="9525"/>
            <wp:docPr id="1434247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p>
    <w:p w14:paraId="64632F58" w14:textId="77777777" w:rsidR="00543D43" w:rsidRDefault="00543D43" w:rsidP="00543D43"/>
    <w:p w14:paraId="6D7E8363" w14:textId="0F3A685D" w:rsidR="00543D43" w:rsidRPr="001340EC" w:rsidRDefault="00543D43" w:rsidP="001340EC">
      <w:pPr>
        <w:spacing w:line="360" w:lineRule="auto"/>
        <w:jc w:val="center"/>
        <w:rPr>
          <w:rFonts w:ascii="Arial" w:hAnsi="Arial" w:cs="Arial"/>
          <w:sz w:val="24"/>
          <w:szCs w:val="24"/>
        </w:rPr>
      </w:pPr>
      <w:r w:rsidRPr="001340EC">
        <w:rPr>
          <w:rFonts w:ascii="Arial" w:hAnsi="Arial" w:cs="Arial"/>
          <w:sz w:val="24"/>
          <w:szCs w:val="24"/>
        </w:rPr>
        <w:t>Angela Szomolai</w:t>
      </w:r>
    </w:p>
    <w:p w14:paraId="05DFBED1" w14:textId="5E6F3319" w:rsidR="00543D43" w:rsidRPr="001340EC" w:rsidRDefault="00F5324F" w:rsidP="001340EC">
      <w:pPr>
        <w:spacing w:line="360" w:lineRule="auto"/>
        <w:jc w:val="center"/>
        <w:rPr>
          <w:rFonts w:ascii="Arial" w:hAnsi="Arial" w:cs="Arial"/>
          <w:sz w:val="24"/>
          <w:szCs w:val="24"/>
        </w:rPr>
      </w:pPr>
      <w:r w:rsidRPr="001340EC">
        <w:rPr>
          <w:rFonts w:ascii="Arial" w:hAnsi="Arial" w:cs="Arial"/>
          <w:sz w:val="24"/>
          <w:szCs w:val="24"/>
        </w:rPr>
        <w:t>Financial Management</w:t>
      </w:r>
    </w:p>
    <w:p w14:paraId="0EF5B52C" w14:textId="618363F2" w:rsidR="00543D43" w:rsidRPr="001340EC" w:rsidRDefault="00543D43" w:rsidP="001340EC">
      <w:pPr>
        <w:spacing w:line="360" w:lineRule="auto"/>
        <w:jc w:val="center"/>
        <w:rPr>
          <w:rFonts w:ascii="Arial" w:hAnsi="Arial" w:cs="Arial"/>
          <w:sz w:val="24"/>
          <w:szCs w:val="24"/>
        </w:rPr>
      </w:pPr>
      <w:r w:rsidRPr="001340EC">
        <w:rPr>
          <w:rFonts w:ascii="Arial" w:hAnsi="Arial" w:cs="Arial"/>
          <w:sz w:val="24"/>
          <w:szCs w:val="24"/>
        </w:rPr>
        <w:t>Student Id: 2325190</w:t>
      </w:r>
    </w:p>
    <w:p w14:paraId="38ADDDD1" w14:textId="216419D1" w:rsidR="00543D43" w:rsidRPr="001340EC" w:rsidRDefault="00543D43" w:rsidP="001340EC">
      <w:pPr>
        <w:spacing w:line="360" w:lineRule="auto"/>
        <w:jc w:val="center"/>
        <w:rPr>
          <w:rFonts w:ascii="Arial" w:hAnsi="Arial" w:cs="Arial"/>
          <w:sz w:val="24"/>
          <w:szCs w:val="24"/>
        </w:rPr>
      </w:pPr>
      <w:r w:rsidRPr="001340EC">
        <w:rPr>
          <w:rFonts w:ascii="Arial" w:hAnsi="Arial" w:cs="Arial"/>
          <w:sz w:val="24"/>
          <w:szCs w:val="24"/>
        </w:rPr>
        <w:t>Module Code:</w:t>
      </w:r>
      <w:r w:rsidR="00F5324F" w:rsidRPr="001340EC">
        <w:rPr>
          <w:rFonts w:ascii="Arial" w:hAnsi="Arial" w:cs="Arial"/>
          <w:sz w:val="24"/>
          <w:szCs w:val="24"/>
        </w:rPr>
        <w:t xml:space="preserve"> LCMB7002</w:t>
      </w:r>
    </w:p>
    <w:p w14:paraId="7621AC0E" w14:textId="6B288234" w:rsidR="00543D43" w:rsidRPr="001340EC" w:rsidRDefault="00543D43" w:rsidP="001340EC">
      <w:pPr>
        <w:spacing w:line="360" w:lineRule="auto"/>
        <w:jc w:val="center"/>
        <w:rPr>
          <w:rFonts w:ascii="Arial" w:hAnsi="Arial" w:cs="Arial"/>
          <w:sz w:val="24"/>
          <w:szCs w:val="24"/>
        </w:rPr>
      </w:pPr>
      <w:r w:rsidRPr="001340EC">
        <w:rPr>
          <w:rFonts w:ascii="Arial" w:hAnsi="Arial" w:cs="Arial"/>
          <w:sz w:val="24"/>
          <w:szCs w:val="24"/>
        </w:rPr>
        <w:t>Module Name:</w:t>
      </w:r>
      <w:r w:rsidR="00F5324F" w:rsidRPr="001340EC">
        <w:rPr>
          <w:rFonts w:ascii="Arial" w:hAnsi="Arial" w:cs="Arial"/>
          <w:sz w:val="24"/>
          <w:szCs w:val="24"/>
        </w:rPr>
        <w:t xml:space="preserve"> Financial Management</w:t>
      </w:r>
    </w:p>
    <w:p w14:paraId="42FCAEB6" w14:textId="7E10EA46" w:rsidR="00543D43" w:rsidRPr="001340EC" w:rsidRDefault="00543D43" w:rsidP="001340EC">
      <w:pPr>
        <w:spacing w:line="360" w:lineRule="auto"/>
        <w:jc w:val="center"/>
        <w:rPr>
          <w:rFonts w:ascii="Arial" w:hAnsi="Arial" w:cs="Arial"/>
          <w:sz w:val="24"/>
          <w:szCs w:val="24"/>
        </w:rPr>
      </w:pPr>
      <w:r w:rsidRPr="001340EC">
        <w:rPr>
          <w:rFonts w:ascii="Arial" w:hAnsi="Arial" w:cs="Arial"/>
          <w:sz w:val="24"/>
          <w:szCs w:val="24"/>
        </w:rPr>
        <w:t>Lecturer:</w:t>
      </w:r>
      <w:r w:rsidR="00F5324F" w:rsidRPr="001340EC">
        <w:rPr>
          <w:rFonts w:ascii="Arial" w:hAnsi="Arial" w:cs="Arial"/>
          <w:sz w:val="24"/>
          <w:szCs w:val="24"/>
        </w:rPr>
        <w:t xml:space="preserve"> David Coker</w:t>
      </w:r>
    </w:p>
    <w:p w14:paraId="518874B6" w14:textId="77777777" w:rsidR="00543D43" w:rsidRDefault="00543D43" w:rsidP="00543D43">
      <w:pPr>
        <w:jc w:val="center"/>
      </w:pPr>
    </w:p>
    <w:p w14:paraId="3D67A5AF" w14:textId="58DE189A" w:rsidR="00543D43" w:rsidRDefault="00543D43" w:rsidP="00543D43">
      <w:pPr>
        <w:jc w:val="center"/>
      </w:pPr>
      <w:r>
        <w:t>Submitted on:</w:t>
      </w:r>
    </w:p>
    <w:p w14:paraId="303AD7B9" w14:textId="77777777" w:rsidR="00F5324F" w:rsidRDefault="00F5324F" w:rsidP="00543D43">
      <w:pPr>
        <w:jc w:val="center"/>
      </w:pPr>
    </w:p>
    <w:p w14:paraId="35863FCD" w14:textId="77777777" w:rsidR="00F5324F" w:rsidRDefault="00F5324F" w:rsidP="00543D43">
      <w:pPr>
        <w:jc w:val="center"/>
      </w:pPr>
    </w:p>
    <w:p w14:paraId="14277F63" w14:textId="77777777" w:rsidR="00F5324F" w:rsidRDefault="00F5324F" w:rsidP="00543D43">
      <w:pPr>
        <w:jc w:val="center"/>
      </w:pPr>
    </w:p>
    <w:p w14:paraId="4728FD80" w14:textId="77777777" w:rsidR="00F5324F" w:rsidRDefault="00F5324F" w:rsidP="00543D43">
      <w:pPr>
        <w:jc w:val="center"/>
      </w:pPr>
    </w:p>
    <w:p w14:paraId="19C80098" w14:textId="77777777" w:rsidR="00F5324F" w:rsidRDefault="00F5324F" w:rsidP="00543D43">
      <w:pPr>
        <w:jc w:val="center"/>
      </w:pPr>
    </w:p>
    <w:p w14:paraId="223D042E" w14:textId="77777777" w:rsidR="00F5324F" w:rsidRDefault="00F5324F" w:rsidP="00543D43">
      <w:pPr>
        <w:jc w:val="center"/>
      </w:pPr>
    </w:p>
    <w:p w14:paraId="48BD2423" w14:textId="77777777" w:rsidR="00F5324F" w:rsidRDefault="00F5324F" w:rsidP="00543D43">
      <w:pPr>
        <w:jc w:val="center"/>
      </w:pPr>
    </w:p>
    <w:p w14:paraId="3C5FD500" w14:textId="77777777" w:rsidR="00F5324F" w:rsidRDefault="00F5324F" w:rsidP="00543D43">
      <w:pPr>
        <w:jc w:val="center"/>
      </w:pPr>
    </w:p>
    <w:p w14:paraId="08A255C4" w14:textId="77777777" w:rsidR="00F5324F" w:rsidRDefault="00F5324F" w:rsidP="001340EC"/>
    <w:p w14:paraId="31F55135" w14:textId="77777777" w:rsidR="001340EC" w:rsidRDefault="001340EC" w:rsidP="001340EC"/>
    <w:p w14:paraId="42263955" w14:textId="77777777" w:rsidR="00F5324F" w:rsidRDefault="00F5324F" w:rsidP="00543D43">
      <w:pPr>
        <w:jc w:val="center"/>
      </w:pPr>
    </w:p>
    <w:sdt>
      <w:sdtPr>
        <w:rPr>
          <w:rFonts w:asciiTheme="minorHAnsi" w:eastAsiaTheme="minorHAnsi" w:hAnsiTheme="minorHAnsi" w:cstheme="minorBidi"/>
          <w:color w:val="auto"/>
          <w:kern w:val="2"/>
          <w:sz w:val="22"/>
          <w:szCs w:val="22"/>
          <w:lang w:eastAsia="en-US"/>
          <w14:ligatures w14:val="standardContextual"/>
        </w:rPr>
        <w:id w:val="1090357018"/>
        <w:docPartObj>
          <w:docPartGallery w:val="Table of Contents"/>
          <w:docPartUnique/>
        </w:docPartObj>
      </w:sdtPr>
      <w:sdtEndPr>
        <w:rPr>
          <w:b/>
          <w:bCs/>
        </w:rPr>
      </w:sdtEndPr>
      <w:sdtContent>
        <w:p w14:paraId="5F723157" w14:textId="79C89EBF" w:rsidR="00193CD1" w:rsidRDefault="00193CD1">
          <w:pPr>
            <w:pStyle w:val="TOCHeading"/>
          </w:pPr>
          <w:r>
            <w:t>Table of Contents</w:t>
          </w:r>
        </w:p>
        <w:p w14:paraId="4C7D4A26" w14:textId="77777777" w:rsidR="001340EC" w:rsidRPr="001340EC" w:rsidRDefault="001340EC" w:rsidP="001340EC">
          <w:pPr>
            <w:rPr>
              <w:lang w:eastAsia="en-GB"/>
            </w:rPr>
          </w:pPr>
        </w:p>
        <w:p w14:paraId="2B77A744" w14:textId="1CECE6DB" w:rsidR="00C85A73" w:rsidRDefault="00193CD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4624820" w:history="1">
            <w:r w:rsidR="00C85A73" w:rsidRPr="00A17636">
              <w:rPr>
                <w:rStyle w:val="Hyperlink"/>
                <w:noProof/>
              </w:rPr>
              <w:t>Introduction</w:t>
            </w:r>
            <w:r w:rsidR="00C85A73">
              <w:rPr>
                <w:noProof/>
                <w:webHidden/>
              </w:rPr>
              <w:tab/>
            </w:r>
            <w:r w:rsidR="00C85A73">
              <w:rPr>
                <w:noProof/>
                <w:webHidden/>
              </w:rPr>
              <w:fldChar w:fldCharType="begin"/>
            </w:r>
            <w:r w:rsidR="00C85A73">
              <w:rPr>
                <w:noProof/>
                <w:webHidden/>
              </w:rPr>
              <w:instrText xml:space="preserve"> PAGEREF _Toc164624820 \h </w:instrText>
            </w:r>
            <w:r w:rsidR="00C85A73">
              <w:rPr>
                <w:noProof/>
                <w:webHidden/>
              </w:rPr>
            </w:r>
            <w:r w:rsidR="00C85A73">
              <w:rPr>
                <w:noProof/>
                <w:webHidden/>
              </w:rPr>
              <w:fldChar w:fldCharType="separate"/>
            </w:r>
            <w:r w:rsidR="00C85A73">
              <w:rPr>
                <w:noProof/>
                <w:webHidden/>
              </w:rPr>
              <w:t>3</w:t>
            </w:r>
            <w:r w:rsidR="00C85A73">
              <w:rPr>
                <w:noProof/>
                <w:webHidden/>
              </w:rPr>
              <w:fldChar w:fldCharType="end"/>
            </w:r>
          </w:hyperlink>
        </w:p>
        <w:p w14:paraId="2858B0AC" w14:textId="6ACB22C4" w:rsidR="00C85A73" w:rsidRDefault="00C85A73">
          <w:pPr>
            <w:pStyle w:val="TOC1"/>
            <w:tabs>
              <w:tab w:val="right" w:leader="dot" w:pos="9016"/>
            </w:tabs>
            <w:rPr>
              <w:rFonts w:eastAsiaTheme="minorEastAsia"/>
              <w:noProof/>
              <w:lang w:eastAsia="en-GB"/>
            </w:rPr>
          </w:pPr>
          <w:hyperlink w:anchor="_Toc164624821" w:history="1">
            <w:r w:rsidRPr="00A17636">
              <w:rPr>
                <w:rStyle w:val="Hyperlink"/>
                <w:noProof/>
              </w:rPr>
              <w:t>Part A – History of Ford and major events</w:t>
            </w:r>
            <w:r>
              <w:rPr>
                <w:noProof/>
                <w:webHidden/>
              </w:rPr>
              <w:tab/>
            </w:r>
            <w:r>
              <w:rPr>
                <w:noProof/>
                <w:webHidden/>
              </w:rPr>
              <w:fldChar w:fldCharType="begin"/>
            </w:r>
            <w:r>
              <w:rPr>
                <w:noProof/>
                <w:webHidden/>
              </w:rPr>
              <w:instrText xml:space="preserve"> PAGEREF _Toc164624821 \h </w:instrText>
            </w:r>
            <w:r>
              <w:rPr>
                <w:noProof/>
                <w:webHidden/>
              </w:rPr>
            </w:r>
            <w:r>
              <w:rPr>
                <w:noProof/>
                <w:webHidden/>
              </w:rPr>
              <w:fldChar w:fldCharType="separate"/>
            </w:r>
            <w:r>
              <w:rPr>
                <w:noProof/>
                <w:webHidden/>
              </w:rPr>
              <w:t>3</w:t>
            </w:r>
            <w:r>
              <w:rPr>
                <w:noProof/>
                <w:webHidden/>
              </w:rPr>
              <w:fldChar w:fldCharType="end"/>
            </w:r>
          </w:hyperlink>
        </w:p>
        <w:p w14:paraId="6D7E8F92" w14:textId="05787848" w:rsidR="00C85A73" w:rsidRDefault="00C85A73">
          <w:pPr>
            <w:pStyle w:val="TOC2"/>
            <w:tabs>
              <w:tab w:val="right" w:leader="dot" w:pos="9016"/>
            </w:tabs>
            <w:rPr>
              <w:rFonts w:eastAsiaTheme="minorEastAsia"/>
              <w:noProof/>
              <w:lang w:eastAsia="en-GB"/>
            </w:rPr>
          </w:pPr>
          <w:hyperlink w:anchor="_Toc164624822" w:history="1">
            <w:r w:rsidRPr="00A17636">
              <w:rPr>
                <w:rStyle w:val="Hyperlink"/>
                <w:noProof/>
              </w:rPr>
              <w:t>Events</w:t>
            </w:r>
            <w:r>
              <w:rPr>
                <w:noProof/>
                <w:webHidden/>
              </w:rPr>
              <w:tab/>
            </w:r>
            <w:r>
              <w:rPr>
                <w:noProof/>
                <w:webHidden/>
              </w:rPr>
              <w:fldChar w:fldCharType="begin"/>
            </w:r>
            <w:r>
              <w:rPr>
                <w:noProof/>
                <w:webHidden/>
              </w:rPr>
              <w:instrText xml:space="preserve"> PAGEREF _Toc164624822 \h </w:instrText>
            </w:r>
            <w:r>
              <w:rPr>
                <w:noProof/>
                <w:webHidden/>
              </w:rPr>
            </w:r>
            <w:r>
              <w:rPr>
                <w:noProof/>
                <w:webHidden/>
              </w:rPr>
              <w:fldChar w:fldCharType="separate"/>
            </w:r>
            <w:r>
              <w:rPr>
                <w:noProof/>
                <w:webHidden/>
              </w:rPr>
              <w:t>6</w:t>
            </w:r>
            <w:r>
              <w:rPr>
                <w:noProof/>
                <w:webHidden/>
              </w:rPr>
              <w:fldChar w:fldCharType="end"/>
            </w:r>
          </w:hyperlink>
        </w:p>
        <w:p w14:paraId="2B56D31E" w14:textId="25C88E56" w:rsidR="00C85A73" w:rsidRDefault="00C85A73">
          <w:pPr>
            <w:pStyle w:val="TOC3"/>
            <w:tabs>
              <w:tab w:val="right" w:leader="dot" w:pos="9016"/>
            </w:tabs>
            <w:rPr>
              <w:rFonts w:eastAsiaTheme="minorEastAsia"/>
              <w:noProof/>
              <w:lang w:eastAsia="en-GB"/>
            </w:rPr>
          </w:pPr>
          <w:hyperlink w:anchor="_Toc164624823" w:history="1">
            <w:r w:rsidRPr="00A17636">
              <w:rPr>
                <w:rStyle w:val="Hyperlink"/>
                <w:noProof/>
              </w:rPr>
              <w:t>Covid -19</w:t>
            </w:r>
            <w:r>
              <w:rPr>
                <w:noProof/>
                <w:webHidden/>
              </w:rPr>
              <w:tab/>
            </w:r>
            <w:r>
              <w:rPr>
                <w:noProof/>
                <w:webHidden/>
              </w:rPr>
              <w:fldChar w:fldCharType="begin"/>
            </w:r>
            <w:r>
              <w:rPr>
                <w:noProof/>
                <w:webHidden/>
              </w:rPr>
              <w:instrText xml:space="preserve"> PAGEREF _Toc164624823 \h </w:instrText>
            </w:r>
            <w:r>
              <w:rPr>
                <w:noProof/>
                <w:webHidden/>
              </w:rPr>
            </w:r>
            <w:r>
              <w:rPr>
                <w:noProof/>
                <w:webHidden/>
              </w:rPr>
              <w:fldChar w:fldCharType="separate"/>
            </w:r>
            <w:r>
              <w:rPr>
                <w:noProof/>
                <w:webHidden/>
              </w:rPr>
              <w:t>6</w:t>
            </w:r>
            <w:r>
              <w:rPr>
                <w:noProof/>
                <w:webHidden/>
              </w:rPr>
              <w:fldChar w:fldCharType="end"/>
            </w:r>
          </w:hyperlink>
        </w:p>
        <w:p w14:paraId="3CEE0223" w14:textId="5E45C397" w:rsidR="00C85A73" w:rsidRDefault="00C85A73">
          <w:pPr>
            <w:pStyle w:val="TOC3"/>
            <w:tabs>
              <w:tab w:val="right" w:leader="dot" w:pos="9016"/>
            </w:tabs>
            <w:rPr>
              <w:rFonts w:eastAsiaTheme="minorEastAsia"/>
              <w:noProof/>
              <w:lang w:eastAsia="en-GB"/>
            </w:rPr>
          </w:pPr>
          <w:hyperlink w:anchor="_Toc164624824" w:history="1">
            <w:r w:rsidRPr="00A17636">
              <w:rPr>
                <w:rStyle w:val="Hyperlink"/>
                <w:noProof/>
              </w:rPr>
              <w:t>Acquisition</w:t>
            </w:r>
            <w:r>
              <w:rPr>
                <w:noProof/>
                <w:webHidden/>
              </w:rPr>
              <w:tab/>
            </w:r>
            <w:r>
              <w:rPr>
                <w:noProof/>
                <w:webHidden/>
              </w:rPr>
              <w:fldChar w:fldCharType="begin"/>
            </w:r>
            <w:r>
              <w:rPr>
                <w:noProof/>
                <w:webHidden/>
              </w:rPr>
              <w:instrText xml:space="preserve"> PAGEREF _Toc164624824 \h </w:instrText>
            </w:r>
            <w:r>
              <w:rPr>
                <w:noProof/>
                <w:webHidden/>
              </w:rPr>
            </w:r>
            <w:r>
              <w:rPr>
                <w:noProof/>
                <w:webHidden/>
              </w:rPr>
              <w:fldChar w:fldCharType="separate"/>
            </w:r>
            <w:r>
              <w:rPr>
                <w:noProof/>
                <w:webHidden/>
              </w:rPr>
              <w:t>6</w:t>
            </w:r>
            <w:r>
              <w:rPr>
                <w:noProof/>
                <w:webHidden/>
              </w:rPr>
              <w:fldChar w:fldCharType="end"/>
            </w:r>
          </w:hyperlink>
        </w:p>
        <w:p w14:paraId="11D4C332" w14:textId="4C60F1C1" w:rsidR="00C85A73" w:rsidRDefault="00C85A73">
          <w:pPr>
            <w:pStyle w:val="TOC3"/>
            <w:tabs>
              <w:tab w:val="right" w:leader="dot" w:pos="9016"/>
            </w:tabs>
            <w:rPr>
              <w:rFonts w:eastAsiaTheme="minorEastAsia"/>
              <w:noProof/>
              <w:lang w:eastAsia="en-GB"/>
            </w:rPr>
          </w:pPr>
          <w:hyperlink w:anchor="_Toc164624825" w:history="1">
            <w:r w:rsidRPr="00A17636">
              <w:rPr>
                <w:rStyle w:val="Hyperlink"/>
                <w:noProof/>
              </w:rPr>
              <w:t>New appointment</w:t>
            </w:r>
            <w:r>
              <w:rPr>
                <w:noProof/>
                <w:webHidden/>
              </w:rPr>
              <w:tab/>
            </w:r>
            <w:r>
              <w:rPr>
                <w:noProof/>
                <w:webHidden/>
              </w:rPr>
              <w:fldChar w:fldCharType="begin"/>
            </w:r>
            <w:r>
              <w:rPr>
                <w:noProof/>
                <w:webHidden/>
              </w:rPr>
              <w:instrText xml:space="preserve"> PAGEREF _Toc164624825 \h </w:instrText>
            </w:r>
            <w:r>
              <w:rPr>
                <w:noProof/>
                <w:webHidden/>
              </w:rPr>
            </w:r>
            <w:r>
              <w:rPr>
                <w:noProof/>
                <w:webHidden/>
              </w:rPr>
              <w:fldChar w:fldCharType="separate"/>
            </w:r>
            <w:r>
              <w:rPr>
                <w:noProof/>
                <w:webHidden/>
              </w:rPr>
              <w:t>7</w:t>
            </w:r>
            <w:r>
              <w:rPr>
                <w:noProof/>
                <w:webHidden/>
              </w:rPr>
              <w:fldChar w:fldCharType="end"/>
            </w:r>
          </w:hyperlink>
        </w:p>
        <w:p w14:paraId="2A511DC5" w14:textId="7E2CAC08" w:rsidR="00C85A73" w:rsidRDefault="00C85A73">
          <w:pPr>
            <w:pStyle w:val="TOC3"/>
            <w:tabs>
              <w:tab w:val="right" w:leader="dot" w:pos="9016"/>
            </w:tabs>
            <w:rPr>
              <w:rFonts w:eastAsiaTheme="minorEastAsia"/>
              <w:noProof/>
              <w:lang w:eastAsia="en-GB"/>
            </w:rPr>
          </w:pPr>
          <w:hyperlink w:anchor="_Toc164624826" w:history="1">
            <w:r w:rsidRPr="00A17636">
              <w:rPr>
                <w:rStyle w:val="Hyperlink"/>
                <w:noProof/>
              </w:rPr>
              <w:t>New Strategy</w:t>
            </w:r>
            <w:r>
              <w:rPr>
                <w:noProof/>
                <w:webHidden/>
              </w:rPr>
              <w:tab/>
            </w:r>
            <w:r>
              <w:rPr>
                <w:noProof/>
                <w:webHidden/>
              </w:rPr>
              <w:fldChar w:fldCharType="begin"/>
            </w:r>
            <w:r>
              <w:rPr>
                <w:noProof/>
                <w:webHidden/>
              </w:rPr>
              <w:instrText xml:space="preserve"> PAGEREF _Toc164624826 \h </w:instrText>
            </w:r>
            <w:r>
              <w:rPr>
                <w:noProof/>
                <w:webHidden/>
              </w:rPr>
            </w:r>
            <w:r>
              <w:rPr>
                <w:noProof/>
                <w:webHidden/>
              </w:rPr>
              <w:fldChar w:fldCharType="separate"/>
            </w:r>
            <w:r>
              <w:rPr>
                <w:noProof/>
                <w:webHidden/>
              </w:rPr>
              <w:t>7</w:t>
            </w:r>
            <w:r>
              <w:rPr>
                <w:noProof/>
                <w:webHidden/>
              </w:rPr>
              <w:fldChar w:fldCharType="end"/>
            </w:r>
          </w:hyperlink>
        </w:p>
        <w:p w14:paraId="04EFE8C9" w14:textId="654BF08F" w:rsidR="00C85A73" w:rsidRDefault="00C85A73">
          <w:pPr>
            <w:pStyle w:val="TOC3"/>
            <w:tabs>
              <w:tab w:val="right" w:leader="dot" w:pos="9016"/>
            </w:tabs>
            <w:rPr>
              <w:rFonts w:eastAsiaTheme="minorEastAsia"/>
              <w:noProof/>
              <w:lang w:eastAsia="en-GB"/>
            </w:rPr>
          </w:pPr>
          <w:hyperlink w:anchor="_Toc164624827" w:history="1">
            <w:r w:rsidRPr="00A17636">
              <w:rPr>
                <w:rStyle w:val="Hyperlink"/>
                <w:noProof/>
              </w:rPr>
              <w:t>Profit Warning</w:t>
            </w:r>
            <w:r>
              <w:rPr>
                <w:noProof/>
                <w:webHidden/>
              </w:rPr>
              <w:tab/>
            </w:r>
            <w:r>
              <w:rPr>
                <w:noProof/>
                <w:webHidden/>
              </w:rPr>
              <w:fldChar w:fldCharType="begin"/>
            </w:r>
            <w:r>
              <w:rPr>
                <w:noProof/>
                <w:webHidden/>
              </w:rPr>
              <w:instrText xml:space="preserve"> PAGEREF _Toc164624827 \h </w:instrText>
            </w:r>
            <w:r>
              <w:rPr>
                <w:noProof/>
                <w:webHidden/>
              </w:rPr>
            </w:r>
            <w:r>
              <w:rPr>
                <w:noProof/>
                <w:webHidden/>
              </w:rPr>
              <w:fldChar w:fldCharType="separate"/>
            </w:r>
            <w:r>
              <w:rPr>
                <w:noProof/>
                <w:webHidden/>
              </w:rPr>
              <w:t>7</w:t>
            </w:r>
            <w:r>
              <w:rPr>
                <w:noProof/>
                <w:webHidden/>
              </w:rPr>
              <w:fldChar w:fldCharType="end"/>
            </w:r>
          </w:hyperlink>
        </w:p>
        <w:p w14:paraId="02C20ECF" w14:textId="7029C5AD" w:rsidR="00C85A73" w:rsidRDefault="00C85A73">
          <w:pPr>
            <w:pStyle w:val="TOC3"/>
            <w:tabs>
              <w:tab w:val="right" w:leader="dot" w:pos="9016"/>
            </w:tabs>
            <w:rPr>
              <w:rFonts w:eastAsiaTheme="minorEastAsia"/>
              <w:noProof/>
              <w:lang w:eastAsia="en-GB"/>
            </w:rPr>
          </w:pPr>
          <w:hyperlink w:anchor="_Toc164624828" w:history="1">
            <w:r w:rsidRPr="00A17636">
              <w:rPr>
                <w:rStyle w:val="Hyperlink"/>
                <w:noProof/>
              </w:rPr>
              <w:t>Regulatory Challenges</w:t>
            </w:r>
            <w:r>
              <w:rPr>
                <w:noProof/>
                <w:webHidden/>
              </w:rPr>
              <w:tab/>
            </w:r>
            <w:r>
              <w:rPr>
                <w:noProof/>
                <w:webHidden/>
              </w:rPr>
              <w:fldChar w:fldCharType="begin"/>
            </w:r>
            <w:r>
              <w:rPr>
                <w:noProof/>
                <w:webHidden/>
              </w:rPr>
              <w:instrText xml:space="preserve"> PAGEREF _Toc164624828 \h </w:instrText>
            </w:r>
            <w:r>
              <w:rPr>
                <w:noProof/>
                <w:webHidden/>
              </w:rPr>
            </w:r>
            <w:r>
              <w:rPr>
                <w:noProof/>
                <w:webHidden/>
              </w:rPr>
              <w:fldChar w:fldCharType="separate"/>
            </w:r>
            <w:r>
              <w:rPr>
                <w:noProof/>
                <w:webHidden/>
              </w:rPr>
              <w:t>7</w:t>
            </w:r>
            <w:r>
              <w:rPr>
                <w:noProof/>
                <w:webHidden/>
              </w:rPr>
              <w:fldChar w:fldCharType="end"/>
            </w:r>
          </w:hyperlink>
        </w:p>
        <w:p w14:paraId="69BEDFFB" w14:textId="107F0EF9" w:rsidR="00C85A73" w:rsidRDefault="00C85A73">
          <w:pPr>
            <w:pStyle w:val="TOC1"/>
            <w:tabs>
              <w:tab w:val="right" w:leader="dot" w:pos="9016"/>
            </w:tabs>
            <w:rPr>
              <w:rFonts w:eastAsiaTheme="minorEastAsia"/>
              <w:noProof/>
              <w:lang w:eastAsia="en-GB"/>
            </w:rPr>
          </w:pPr>
          <w:hyperlink w:anchor="_Toc164624829" w:history="1">
            <w:r w:rsidRPr="00A17636">
              <w:rPr>
                <w:rStyle w:val="Hyperlink"/>
                <w:noProof/>
              </w:rPr>
              <w:t>Part B – Ford`s financial performances</w:t>
            </w:r>
            <w:r>
              <w:rPr>
                <w:noProof/>
                <w:webHidden/>
              </w:rPr>
              <w:tab/>
            </w:r>
            <w:r>
              <w:rPr>
                <w:noProof/>
                <w:webHidden/>
              </w:rPr>
              <w:fldChar w:fldCharType="begin"/>
            </w:r>
            <w:r>
              <w:rPr>
                <w:noProof/>
                <w:webHidden/>
              </w:rPr>
              <w:instrText xml:space="preserve"> PAGEREF _Toc164624829 \h </w:instrText>
            </w:r>
            <w:r>
              <w:rPr>
                <w:noProof/>
                <w:webHidden/>
              </w:rPr>
            </w:r>
            <w:r>
              <w:rPr>
                <w:noProof/>
                <w:webHidden/>
              </w:rPr>
              <w:fldChar w:fldCharType="separate"/>
            </w:r>
            <w:r>
              <w:rPr>
                <w:noProof/>
                <w:webHidden/>
              </w:rPr>
              <w:t>8</w:t>
            </w:r>
            <w:r>
              <w:rPr>
                <w:noProof/>
                <w:webHidden/>
              </w:rPr>
              <w:fldChar w:fldCharType="end"/>
            </w:r>
          </w:hyperlink>
        </w:p>
        <w:p w14:paraId="5AA396A5" w14:textId="6E4ABBEE" w:rsidR="00C85A73" w:rsidRDefault="00C85A73">
          <w:pPr>
            <w:pStyle w:val="TOC2"/>
            <w:tabs>
              <w:tab w:val="left" w:pos="660"/>
              <w:tab w:val="right" w:leader="dot" w:pos="9016"/>
            </w:tabs>
            <w:rPr>
              <w:rFonts w:eastAsiaTheme="minorEastAsia"/>
              <w:noProof/>
              <w:lang w:eastAsia="en-GB"/>
            </w:rPr>
          </w:pPr>
          <w:hyperlink w:anchor="_Toc164624830" w:history="1">
            <w:r w:rsidRPr="00A17636">
              <w:rPr>
                <w:rStyle w:val="Hyperlink"/>
                <w:noProof/>
              </w:rPr>
              <w:t>I)</w:t>
            </w:r>
            <w:r>
              <w:rPr>
                <w:rFonts w:eastAsiaTheme="minorEastAsia"/>
                <w:noProof/>
                <w:lang w:eastAsia="en-GB"/>
              </w:rPr>
              <w:tab/>
            </w:r>
            <w:r w:rsidRPr="00A17636">
              <w:rPr>
                <w:rStyle w:val="Hyperlink"/>
                <w:noProof/>
              </w:rPr>
              <w:t>Calculation of financial ratios</w:t>
            </w:r>
            <w:r>
              <w:rPr>
                <w:noProof/>
                <w:webHidden/>
              </w:rPr>
              <w:tab/>
            </w:r>
            <w:r>
              <w:rPr>
                <w:noProof/>
                <w:webHidden/>
              </w:rPr>
              <w:fldChar w:fldCharType="begin"/>
            </w:r>
            <w:r>
              <w:rPr>
                <w:noProof/>
                <w:webHidden/>
              </w:rPr>
              <w:instrText xml:space="preserve"> PAGEREF _Toc164624830 \h </w:instrText>
            </w:r>
            <w:r>
              <w:rPr>
                <w:noProof/>
                <w:webHidden/>
              </w:rPr>
            </w:r>
            <w:r>
              <w:rPr>
                <w:noProof/>
                <w:webHidden/>
              </w:rPr>
              <w:fldChar w:fldCharType="separate"/>
            </w:r>
            <w:r>
              <w:rPr>
                <w:noProof/>
                <w:webHidden/>
              </w:rPr>
              <w:t>8</w:t>
            </w:r>
            <w:r>
              <w:rPr>
                <w:noProof/>
                <w:webHidden/>
              </w:rPr>
              <w:fldChar w:fldCharType="end"/>
            </w:r>
          </w:hyperlink>
        </w:p>
        <w:p w14:paraId="50D72F74" w14:textId="1F943515" w:rsidR="00C85A73" w:rsidRDefault="00C85A73">
          <w:pPr>
            <w:pStyle w:val="TOC3"/>
            <w:tabs>
              <w:tab w:val="right" w:leader="dot" w:pos="9016"/>
            </w:tabs>
            <w:rPr>
              <w:rFonts w:eastAsiaTheme="minorEastAsia"/>
              <w:noProof/>
              <w:lang w:eastAsia="en-GB"/>
            </w:rPr>
          </w:pPr>
          <w:hyperlink w:anchor="_Toc164624831" w:history="1">
            <w:r w:rsidRPr="00A17636">
              <w:rPr>
                <w:rStyle w:val="Hyperlink"/>
                <w:noProof/>
              </w:rPr>
              <w:t>Profitability</w:t>
            </w:r>
            <w:r>
              <w:rPr>
                <w:noProof/>
                <w:webHidden/>
              </w:rPr>
              <w:tab/>
            </w:r>
            <w:r>
              <w:rPr>
                <w:noProof/>
                <w:webHidden/>
              </w:rPr>
              <w:fldChar w:fldCharType="begin"/>
            </w:r>
            <w:r>
              <w:rPr>
                <w:noProof/>
                <w:webHidden/>
              </w:rPr>
              <w:instrText xml:space="preserve"> PAGEREF _Toc164624831 \h </w:instrText>
            </w:r>
            <w:r>
              <w:rPr>
                <w:noProof/>
                <w:webHidden/>
              </w:rPr>
            </w:r>
            <w:r>
              <w:rPr>
                <w:noProof/>
                <w:webHidden/>
              </w:rPr>
              <w:fldChar w:fldCharType="separate"/>
            </w:r>
            <w:r>
              <w:rPr>
                <w:noProof/>
                <w:webHidden/>
              </w:rPr>
              <w:t>8</w:t>
            </w:r>
            <w:r>
              <w:rPr>
                <w:noProof/>
                <w:webHidden/>
              </w:rPr>
              <w:fldChar w:fldCharType="end"/>
            </w:r>
          </w:hyperlink>
        </w:p>
        <w:p w14:paraId="6A44441D" w14:textId="0C4DF1C4" w:rsidR="00C85A73" w:rsidRDefault="00C85A73">
          <w:pPr>
            <w:pStyle w:val="TOC3"/>
            <w:tabs>
              <w:tab w:val="right" w:leader="dot" w:pos="9016"/>
            </w:tabs>
            <w:rPr>
              <w:rFonts w:eastAsiaTheme="minorEastAsia"/>
              <w:noProof/>
              <w:lang w:eastAsia="en-GB"/>
            </w:rPr>
          </w:pPr>
          <w:hyperlink w:anchor="_Toc164624832" w:history="1">
            <w:r w:rsidRPr="00A17636">
              <w:rPr>
                <w:rStyle w:val="Hyperlink"/>
                <w:noProof/>
              </w:rPr>
              <w:t>Liquidity</w:t>
            </w:r>
            <w:r>
              <w:rPr>
                <w:noProof/>
                <w:webHidden/>
              </w:rPr>
              <w:tab/>
            </w:r>
            <w:r>
              <w:rPr>
                <w:noProof/>
                <w:webHidden/>
              </w:rPr>
              <w:fldChar w:fldCharType="begin"/>
            </w:r>
            <w:r>
              <w:rPr>
                <w:noProof/>
                <w:webHidden/>
              </w:rPr>
              <w:instrText xml:space="preserve"> PAGEREF _Toc164624832 \h </w:instrText>
            </w:r>
            <w:r>
              <w:rPr>
                <w:noProof/>
                <w:webHidden/>
              </w:rPr>
            </w:r>
            <w:r>
              <w:rPr>
                <w:noProof/>
                <w:webHidden/>
              </w:rPr>
              <w:fldChar w:fldCharType="separate"/>
            </w:r>
            <w:r>
              <w:rPr>
                <w:noProof/>
                <w:webHidden/>
              </w:rPr>
              <w:t>10</w:t>
            </w:r>
            <w:r>
              <w:rPr>
                <w:noProof/>
                <w:webHidden/>
              </w:rPr>
              <w:fldChar w:fldCharType="end"/>
            </w:r>
          </w:hyperlink>
        </w:p>
        <w:p w14:paraId="57F5F79B" w14:textId="682616E0" w:rsidR="00C85A73" w:rsidRDefault="00C85A73">
          <w:pPr>
            <w:pStyle w:val="TOC3"/>
            <w:tabs>
              <w:tab w:val="right" w:leader="dot" w:pos="9016"/>
            </w:tabs>
            <w:rPr>
              <w:rFonts w:eastAsiaTheme="minorEastAsia"/>
              <w:noProof/>
              <w:lang w:eastAsia="en-GB"/>
            </w:rPr>
          </w:pPr>
          <w:hyperlink w:anchor="_Toc164624833" w:history="1">
            <w:r w:rsidRPr="00A17636">
              <w:rPr>
                <w:rStyle w:val="Hyperlink"/>
                <w:noProof/>
              </w:rPr>
              <w:t>Gearing Ratio:</w:t>
            </w:r>
            <w:r>
              <w:rPr>
                <w:noProof/>
                <w:webHidden/>
              </w:rPr>
              <w:tab/>
            </w:r>
            <w:r>
              <w:rPr>
                <w:noProof/>
                <w:webHidden/>
              </w:rPr>
              <w:fldChar w:fldCharType="begin"/>
            </w:r>
            <w:r>
              <w:rPr>
                <w:noProof/>
                <w:webHidden/>
              </w:rPr>
              <w:instrText xml:space="preserve"> PAGEREF _Toc164624833 \h </w:instrText>
            </w:r>
            <w:r>
              <w:rPr>
                <w:noProof/>
                <w:webHidden/>
              </w:rPr>
            </w:r>
            <w:r>
              <w:rPr>
                <w:noProof/>
                <w:webHidden/>
              </w:rPr>
              <w:fldChar w:fldCharType="separate"/>
            </w:r>
            <w:r>
              <w:rPr>
                <w:noProof/>
                <w:webHidden/>
              </w:rPr>
              <w:t>11</w:t>
            </w:r>
            <w:r>
              <w:rPr>
                <w:noProof/>
                <w:webHidden/>
              </w:rPr>
              <w:fldChar w:fldCharType="end"/>
            </w:r>
          </w:hyperlink>
        </w:p>
        <w:p w14:paraId="1228E4CE" w14:textId="27C4BCFB" w:rsidR="00C85A73" w:rsidRDefault="00C85A73">
          <w:pPr>
            <w:pStyle w:val="TOC3"/>
            <w:tabs>
              <w:tab w:val="right" w:leader="dot" w:pos="9016"/>
            </w:tabs>
            <w:rPr>
              <w:rFonts w:eastAsiaTheme="minorEastAsia"/>
              <w:noProof/>
              <w:lang w:eastAsia="en-GB"/>
            </w:rPr>
          </w:pPr>
          <w:hyperlink w:anchor="_Toc164624834" w:history="1">
            <w:r w:rsidRPr="00A17636">
              <w:rPr>
                <w:rStyle w:val="Hyperlink"/>
                <w:noProof/>
              </w:rPr>
              <w:t>Efficiency:</w:t>
            </w:r>
            <w:r>
              <w:rPr>
                <w:noProof/>
                <w:webHidden/>
              </w:rPr>
              <w:tab/>
            </w:r>
            <w:r>
              <w:rPr>
                <w:noProof/>
                <w:webHidden/>
              </w:rPr>
              <w:fldChar w:fldCharType="begin"/>
            </w:r>
            <w:r>
              <w:rPr>
                <w:noProof/>
                <w:webHidden/>
              </w:rPr>
              <w:instrText xml:space="preserve"> PAGEREF _Toc164624834 \h </w:instrText>
            </w:r>
            <w:r>
              <w:rPr>
                <w:noProof/>
                <w:webHidden/>
              </w:rPr>
            </w:r>
            <w:r>
              <w:rPr>
                <w:noProof/>
                <w:webHidden/>
              </w:rPr>
              <w:fldChar w:fldCharType="separate"/>
            </w:r>
            <w:r>
              <w:rPr>
                <w:noProof/>
                <w:webHidden/>
              </w:rPr>
              <w:t>14</w:t>
            </w:r>
            <w:r>
              <w:rPr>
                <w:noProof/>
                <w:webHidden/>
              </w:rPr>
              <w:fldChar w:fldCharType="end"/>
            </w:r>
          </w:hyperlink>
        </w:p>
        <w:p w14:paraId="45DE711A" w14:textId="6D6EBA0F" w:rsidR="00C85A73" w:rsidRDefault="00C85A73">
          <w:pPr>
            <w:pStyle w:val="TOC2"/>
            <w:tabs>
              <w:tab w:val="left" w:pos="660"/>
              <w:tab w:val="right" w:leader="dot" w:pos="9016"/>
            </w:tabs>
            <w:rPr>
              <w:rFonts w:eastAsiaTheme="minorEastAsia"/>
              <w:noProof/>
              <w:lang w:eastAsia="en-GB"/>
            </w:rPr>
          </w:pPr>
          <w:hyperlink w:anchor="_Toc164624835" w:history="1">
            <w:r w:rsidRPr="00A17636">
              <w:rPr>
                <w:rStyle w:val="Hyperlink"/>
                <w:noProof/>
              </w:rPr>
              <w:t>II)</w:t>
            </w:r>
            <w:r>
              <w:rPr>
                <w:rFonts w:eastAsiaTheme="minorEastAsia"/>
                <w:noProof/>
                <w:lang w:eastAsia="en-GB"/>
              </w:rPr>
              <w:tab/>
            </w:r>
            <w:r w:rsidRPr="00A17636">
              <w:rPr>
                <w:rStyle w:val="Hyperlink"/>
                <w:noProof/>
              </w:rPr>
              <w:t>Critically evaluate the calculated ratios</w:t>
            </w:r>
            <w:r>
              <w:rPr>
                <w:noProof/>
                <w:webHidden/>
              </w:rPr>
              <w:tab/>
            </w:r>
            <w:r>
              <w:rPr>
                <w:noProof/>
                <w:webHidden/>
              </w:rPr>
              <w:fldChar w:fldCharType="begin"/>
            </w:r>
            <w:r>
              <w:rPr>
                <w:noProof/>
                <w:webHidden/>
              </w:rPr>
              <w:instrText xml:space="preserve"> PAGEREF _Toc164624835 \h </w:instrText>
            </w:r>
            <w:r>
              <w:rPr>
                <w:noProof/>
                <w:webHidden/>
              </w:rPr>
            </w:r>
            <w:r>
              <w:rPr>
                <w:noProof/>
                <w:webHidden/>
              </w:rPr>
              <w:fldChar w:fldCharType="separate"/>
            </w:r>
            <w:r>
              <w:rPr>
                <w:noProof/>
                <w:webHidden/>
              </w:rPr>
              <w:t>15</w:t>
            </w:r>
            <w:r>
              <w:rPr>
                <w:noProof/>
                <w:webHidden/>
              </w:rPr>
              <w:fldChar w:fldCharType="end"/>
            </w:r>
          </w:hyperlink>
        </w:p>
        <w:p w14:paraId="01A5CA1E" w14:textId="0876E43C" w:rsidR="00C85A73" w:rsidRDefault="00C85A73">
          <w:pPr>
            <w:pStyle w:val="TOC2"/>
            <w:tabs>
              <w:tab w:val="left" w:pos="880"/>
              <w:tab w:val="right" w:leader="dot" w:pos="9016"/>
            </w:tabs>
            <w:rPr>
              <w:rFonts w:eastAsiaTheme="minorEastAsia"/>
              <w:noProof/>
              <w:lang w:eastAsia="en-GB"/>
            </w:rPr>
          </w:pPr>
          <w:hyperlink w:anchor="_Toc164624836" w:history="1">
            <w:r w:rsidRPr="00A17636">
              <w:rPr>
                <w:rStyle w:val="Hyperlink"/>
                <w:noProof/>
              </w:rPr>
              <w:t>III)</w:t>
            </w:r>
            <w:r>
              <w:rPr>
                <w:rFonts w:eastAsiaTheme="minorEastAsia"/>
                <w:noProof/>
                <w:lang w:eastAsia="en-GB"/>
              </w:rPr>
              <w:tab/>
            </w:r>
            <w:r w:rsidRPr="00A17636">
              <w:rPr>
                <w:rStyle w:val="Hyperlink"/>
                <w:noProof/>
              </w:rPr>
              <w:t>Ford and major competitors’ comparison based on the calculated ratios.</w:t>
            </w:r>
            <w:r>
              <w:rPr>
                <w:noProof/>
                <w:webHidden/>
              </w:rPr>
              <w:tab/>
            </w:r>
            <w:r>
              <w:rPr>
                <w:noProof/>
                <w:webHidden/>
              </w:rPr>
              <w:fldChar w:fldCharType="begin"/>
            </w:r>
            <w:r>
              <w:rPr>
                <w:noProof/>
                <w:webHidden/>
              </w:rPr>
              <w:instrText xml:space="preserve"> PAGEREF _Toc164624836 \h </w:instrText>
            </w:r>
            <w:r>
              <w:rPr>
                <w:noProof/>
                <w:webHidden/>
              </w:rPr>
            </w:r>
            <w:r>
              <w:rPr>
                <w:noProof/>
                <w:webHidden/>
              </w:rPr>
              <w:fldChar w:fldCharType="separate"/>
            </w:r>
            <w:r>
              <w:rPr>
                <w:noProof/>
                <w:webHidden/>
              </w:rPr>
              <w:t>19</w:t>
            </w:r>
            <w:r>
              <w:rPr>
                <w:noProof/>
                <w:webHidden/>
              </w:rPr>
              <w:fldChar w:fldCharType="end"/>
            </w:r>
          </w:hyperlink>
        </w:p>
        <w:p w14:paraId="504781F1" w14:textId="610E2BAC" w:rsidR="00C85A73" w:rsidRDefault="00C85A73">
          <w:pPr>
            <w:pStyle w:val="TOC2"/>
            <w:tabs>
              <w:tab w:val="left" w:pos="880"/>
              <w:tab w:val="right" w:leader="dot" w:pos="9016"/>
            </w:tabs>
            <w:rPr>
              <w:rFonts w:eastAsiaTheme="minorEastAsia"/>
              <w:noProof/>
              <w:lang w:eastAsia="en-GB"/>
            </w:rPr>
          </w:pPr>
          <w:hyperlink w:anchor="_Toc164624837" w:history="1">
            <w:r w:rsidRPr="00A17636">
              <w:rPr>
                <w:rStyle w:val="Hyperlink"/>
                <w:noProof/>
              </w:rPr>
              <w:t>IV)</w:t>
            </w:r>
            <w:r>
              <w:rPr>
                <w:rFonts w:eastAsiaTheme="minorEastAsia"/>
                <w:noProof/>
                <w:lang w:eastAsia="en-GB"/>
              </w:rPr>
              <w:tab/>
            </w:r>
            <w:r w:rsidRPr="00A17636">
              <w:rPr>
                <w:rStyle w:val="Hyperlink"/>
                <w:noProof/>
              </w:rPr>
              <w:t>Recommendations on improving the financial management.</w:t>
            </w:r>
            <w:r>
              <w:rPr>
                <w:noProof/>
                <w:webHidden/>
              </w:rPr>
              <w:tab/>
            </w:r>
            <w:r>
              <w:rPr>
                <w:noProof/>
                <w:webHidden/>
              </w:rPr>
              <w:fldChar w:fldCharType="begin"/>
            </w:r>
            <w:r>
              <w:rPr>
                <w:noProof/>
                <w:webHidden/>
              </w:rPr>
              <w:instrText xml:space="preserve"> PAGEREF _Toc164624837 \h </w:instrText>
            </w:r>
            <w:r>
              <w:rPr>
                <w:noProof/>
                <w:webHidden/>
              </w:rPr>
            </w:r>
            <w:r>
              <w:rPr>
                <w:noProof/>
                <w:webHidden/>
              </w:rPr>
              <w:fldChar w:fldCharType="separate"/>
            </w:r>
            <w:r>
              <w:rPr>
                <w:noProof/>
                <w:webHidden/>
              </w:rPr>
              <w:t>21</w:t>
            </w:r>
            <w:r>
              <w:rPr>
                <w:noProof/>
                <w:webHidden/>
              </w:rPr>
              <w:fldChar w:fldCharType="end"/>
            </w:r>
          </w:hyperlink>
        </w:p>
        <w:p w14:paraId="6250D85C" w14:textId="758C7F4A" w:rsidR="00C85A73" w:rsidRDefault="00C85A73">
          <w:pPr>
            <w:pStyle w:val="TOC1"/>
            <w:tabs>
              <w:tab w:val="right" w:leader="dot" w:pos="9016"/>
            </w:tabs>
            <w:rPr>
              <w:rFonts w:eastAsiaTheme="minorEastAsia"/>
              <w:noProof/>
              <w:lang w:eastAsia="en-GB"/>
            </w:rPr>
          </w:pPr>
          <w:hyperlink w:anchor="_Toc164624838" w:history="1">
            <w:r w:rsidRPr="00A17636">
              <w:rPr>
                <w:rStyle w:val="Hyperlink"/>
                <w:noProof/>
              </w:rPr>
              <w:t>Part C</w:t>
            </w:r>
            <w:r>
              <w:rPr>
                <w:noProof/>
                <w:webHidden/>
              </w:rPr>
              <w:tab/>
            </w:r>
            <w:r>
              <w:rPr>
                <w:noProof/>
                <w:webHidden/>
              </w:rPr>
              <w:fldChar w:fldCharType="begin"/>
            </w:r>
            <w:r>
              <w:rPr>
                <w:noProof/>
                <w:webHidden/>
              </w:rPr>
              <w:instrText xml:space="preserve"> PAGEREF _Toc164624838 \h </w:instrText>
            </w:r>
            <w:r>
              <w:rPr>
                <w:noProof/>
                <w:webHidden/>
              </w:rPr>
            </w:r>
            <w:r>
              <w:rPr>
                <w:noProof/>
                <w:webHidden/>
              </w:rPr>
              <w:fldChar w:fldCharType="separate"/>
            </w:r>
            <w:r>
              <w:rPr>
                <w:noProof/>
                <w:webHidden/>
              </w:rPr>
              <w:t>22</w:t>
            </w:r>
            <w:r>
              <w:rPr>
                <w:noProof/>
                <w:webHidden/>
              </w:rPr>
              <w:fldChar w:fldCharType="end"/>
            </w:r>
          </w:hyperlink>
        </w:p>
        <w:p w14:paraId="5289369C" w14:textId="2EB9028C" w:rsidR="00C85A73" w:rsidRDefault="00C85A73">
          <w:pPr>
            <w:pStyle w:val="TOC2"/>
            <w:tabs>
              <w:tab w:val="right" w:leader="dot" w:pos="9016"/>
            </w:tabs>
            <w:rPr>
              <w:rFonts w:eastAsiaTheme="minorEastAsia"/>
              <w:noProof/>
              <w:lang w:eastAsia="en-GB"/>
            </w:rPr>
          </w:pPr>
          <w:hyperlink w:anchor="_Toc164624839" w:history="1">
            <w:r w:rsidRPr="00A17636">
              <w:rPr>
                <w:rStyle w:val="Hyperlink"/>
                <w:noProof/>
              </w:rPr>
              <w:t>1 PBP, ARR, NPV</w:t>
            </w:r>
            <w:r>
              <w:rPr>
                <w:noProof/>
                <w:webHidden/>
              </w:rPr>
              <w:tab/>
            </w:r>
            <w:r>
              <w:rPr>
                <w:noProof/>
                <w:webHidden/>
              </w:rPr>
              <w:fldChar w:fldCharType="begin"/>
            </w:r>
            <w:r>
              <w:rPr>
                <w:noProof/>
                <w:webHidden/>
              </w:rPr>
              <w:instrText xml:space="preserve"> PAGEREF _Toc164624839 \h </w:instrText>
            </w:r>
            <w:r>
              <w:rPr>
                <w:noProof/>
                <w:webHidden/>
              </w:rPr>
            </w:r>
            <w:r>
              <w:rPr>
                <w:noProof/>
                <w:webHidden/>
              </w:rPr>
              <w:fldChar w:fldCharType="separate"/>
            </w:r>
            <w:r>
              <w:rPr>
                <w:noProof/>
                <w:webHidden/>
              </w:rPr>
              <w:t>22</w:t>
            </w:r>
            <w:r>
              <w:rPr>
                <w:noProof/>
                <w:webHidden/>
              </w:rPr>
              <w:fldChar w:fldCharType="end"/>
            </w:r>
          </w:hyperlink>
        </w:p>
        <w:p w14:paraId="7500DBCE" w14:textId="7EF25809" w:rsidR="00C85A73" w:rsidRDefault="00C85A73">
          <w:pPr>
            <w:pStyle w:val="TOC3"/>
            <w:tabs>
              <w:tab w:val="right" w:leader="dot" w:pos="9016"/>
            </w:tabs>
            <w:rPr>
              <w:rFonts w:eastAsiaTheme="minorEastAsia"/>
              <w:noProof/>
              <w:lang w:eastAsia="en-GB"/>
            </w:rPr>
          </w:pPr>
          <w:hyperlink w:anchor="_Toc164624840" w:history="1">
            <w:r w:rsidRPr="00A17636">
              <w:rPr>
                <w:rStyle w:val="Hyperlink"/>
                <w:noProof/>
              </w:rPr>
              <w:t>Payback Period (PBP)</w:t>
            </w:r>
            <w:r>
              <w:rPr>
                <w:noProof/>
                <w:webHidden/>
              </w:rPr>
              <w:tab/>
            </w:r>
            <w:r>
              <w:rPr>
                <w:noProof/>
                <w:webHidden/>
              </w:rPr>
              <w:fldChar w:fldCharType="begin"/>
            </w:r>
            <w:r>
              <w:rPr>
                <w:noProof/>
                <w:webHidden/>
              </w:rPr>
              <w:instrText xml:space="preserve"> PAGEREF _Toc164624840 \h </w:instrText>
            </w:r>
            <w:r>
              <w:rPr>
                <w:noProof/>
                <w:webHidden/>
              </w:rPr>
            </w:r>
            <w:r>
              <w:rPr>
                <w:noProof/>
                <w:webHidden/>
              </w:rPr>
              <w:fldChar w:fldCharType="separate"/>
            </w:r>
            <w:r>
              <w:rPr>
                <w:noProof/>
                <w:webHidden/>
              </w:rPr>
              <w:t>22</w:t>
            </w:r>
            <w:r>
              <w:rPr>
                <w:noProof/>
                <w:webHidden/>
              </w:rPr>
              <w:fldChar w:fldCharType="end"/>
            </w:r>
          </w:hyperlink>
        </w:p>
        <w:p w14:paraId="3CFD6592" w14:textId="611584F3" w:rsidR="00C85A73" w:rsidRDefault="00C85A73">
          <w:pPr>
            <w:pStyle w:val="TOC3"/>
            <w:tabs>
              <w:tab w:val="right" w:leader="dot" w:pos="9016"/>
            </w:tabs>
            <w:rPr>
              <w:rFonts w:eastAsiaTheme="minorEastAsia"/>
              <w:noProof/>
              <w:lang w:eastAsia="en-GB"/>
            </w:rPr>
          </w:pPr>
          <w:hyperlink w:anchor="_Toc164624841" w:history="1">
            <w:r w:rsidRPr="00A17636">
              <w:rPr>
                <w:rStyle w:val="Hyperlink"/>
                <w:noProof/>
              </w:rPr>
              <w:t>Accounting Rate of Return (ARR)</w:t>
            </w:r>
            <w:r>
              <w:rPr>
                <w:noProof/>
                <w:webHidden/>
              </w:rPr>
              <w:tab/>
            </w:r>
            <w:r>
              <w:rPr>
                <w:noProof/>
                <w:webHidden/>
              </w:rPr>
              <w:fldChar w:fldCharType="begin"/>
            </w:r>
            <w:r>
              <w:rPr>
                <w:noProof/>
                <w:webHidden/>
              </w:rPr>
              <w:instrText xml:space="preserve"> PAGEREF _Toc164624841 \h </w:instrText>
            </w:r>
            <w:r>
              <w:rPr>
                <w:noProof/>
                <w:webHidden/>
              </w:rPr>
            </w:r>
            <w:r>
              <w:rPr>
                <w:noProof/>
                <w:webHidden/>
              </w:rPr>
              <w:fldChar w:fldCharType="separate"/>
            </w:r>
            <w:r>
              <w:rPr>
                <w:noProof/>
                <w:webHidden/>
              </w:rPr>
              <w:t>23</w:t>
            </w:r>
            <w:r>
              <w:rPr>
                <w:noProof/>
                <w:webHidden/>
              </w:rPr>
              <w:fldChar w:fldCharType="end"/>
            </w:r>
          </w:hyperlink>
        </w:p>
        <w:p w14:paraId="602E7611" w14:textId="089A8CCB" w:rsidR="00C85A73" w:rsidRDefault="00C85A73">
          <w:pPr>
            <w:pStyle w:val="TOC3"/>
            <w:tabs>
              <w:tab w:val="right" w:leader="dot" w:pos="9016"/>
            </w:tabs>
            <w:rPr>
              <w:rFonts w:eastAsiaTheme="minorEastAsia"/>
              <w:noProof/>
              <w:lang w:eastAsia="en-GB"/>
            </w:rPr>
          </w:pPr>
          <w:hyperlink w:anchor="_Toc164624842" w:history="1">
            <w:r w:rsidRPr="00A17636">
              <w:rPr>
                <w:rStyle w:val="Hyperlink"/>
                <w:noProof/>
              </w:rPr>
              <w:t>Net Present Value (NPV)</w:t>
            </w:r>
            <w:r>
              <w:rPr>
                <w:noProof/>
                <w:webHidden/>
              </w:rPr>
              <w:tab/>
            </w:r>
            <w:r>
              <w:rPr>
                <w:noProof/>
                <w:webHidden/>
              </w:rPr>
              <w:fldChar w:fldCharType="begin"/>
            </w:r>
            <w:r>
              <w:rPr>
                <w:noProof/>
                <w:webHidden/>
              </w:rPr>
              <w:instrText xml:space="preserve"> PAGEREF _Toc164624842 \h </w:instrText>
            </w:r>
            <w:r>
              <w:rPr>
                <w:noProof/>
                <w:webHidden/>
              </w:rPr>
            </w:r>
            <w:r>
              <w:rPr>
                <w:noProof/>
                <w:webHidden/>
              </w:rPr>
              <w:fldChar w:fldCharType="separate"/>
            </w:r>
            <w:r>
              <w:rPr>
                <w:noProof/>
                <w:webHidden/>
              </w:rPr>
              <w:t>24</w:t>
            </w:r>
            <w:r>
              <w:rPr>
                <w:noProof/>
                <w:webHidden/>
              </w:rPr>
              <w:fldChar w:fldCharType="end"/>
            </w:r>
          </w:hyperlink>
        </w:p>
        <w:p w14:paraId="717456D2" w14:textId="1216984E" w:rsidR="00C85A73" w:rsidRDefault="00C85A73">
          <w:pPr>
            <w:pStyle w:val="TOC3"/>
            <w:tabs>
              <w:tab w:val="right" w:leader="dot" w:pos="9016"/>
            </w:tabs>
            <w:rPr>
              <w:rFonts w:eastAsiaTheme="minorEastAsia"/>
              <w:noProof/>
              <w:lang w:eastAsia="en-GB"/>
            </w:rPr>
          </w:pPr>
          <w:hyperlink w:anchor="_Toc164624843" w:history="1">
            <w:r w:rsidRPr="00A17636">
              <w:rPr>
                <w:rStyle w:val="Hyperlink"/>
                <w:noProof/>
              </w:rPr>
              <w:t>Analysis:</w:t>
            </w:r>
            <w:r>
              <w:rPr>
                <w:noProof/>
                <w:webHidden/>
              </w:rPr>
              <w:tab/>
            </w:r>
            <w:r>
              <w:rPr>
                <w:noProof/>
                <w:webHidden/>
              </w:rPr>
              <w:fldChar w:fldCharType="begin"/>
            </w:r>
            <w:r>
              <w:rPr>
                <w:noProof/>
                <w:webHidden/>
              </w:rPr>
              <w:instrText xml:space="preserve"> PAGEREF _Toc164624843 \h </w:instrText>
            </w:r>
            <w:r>
              <w:rPr>
                <w:noProof/>
                <w:webHidden/>
              </w:rPr>
            </w:r>
            <w:r>
              <w:rPr>
                <w:noProof/>
                <w:webHidden/>
              </w:rPr>
              <w:fldChar w:fldCharType="separate"/>
            </w:r>
            <w:r>
              <w:rPr>
                <w:noProof/>
                <w:webHidden/>
              </w:rPr>
              <w:t>26</w:t>
            </w:r>
            <w:r>
              <w:rPr>
                <w:noProof/>
                <w:webHidden/>
              </w:rPr>
              <w:fldChar w:fldCharType="end"/>
            </w:r>
          </w:hyperlink>
        </w:p>
        <w:p w14:paraId="17339EAB" w14:textId="788EE781" w:rsidR="00C85A73" w:rsidRDefault="00C85A73">
          <w:pPr>
            <w:pStyle w:val="TOC2"/>
            <w:tabs>
              <w:tab w:val="right" w:leader="dot" w:pos="9016"/>
            </w:tabs>
            <w:rPr>
              <w:rFonts w:eastAsiaTheme="minorEastAsia"/>
              <w:noProof/>
              <w:lang w:eastAsia="en-GB"/>
            </w:rPr>
          </w:pPr>
          <w:hyperlink w:anchor="_Toc164624844" w:history="1">
            <w:r w:rsidRPr="00A17636">
              <w:rPr>
                <w:rStyle w:val="Hyperlink"/>
                <w:noProof/>
              </w:rPr>
              <w:t>2 Recalculate NPV</w:t>
            </w:r>
            <w:r>
              <w:rPr>
                <w:noProof/>
                <w:webHidden/>
              </w:rPr>
              <w:tab/>
            </w:r>
            <w:r>
              <w:rPr>
                <w:noProof/>
                <w:webHidden/>
              </w:rPr>
              <w:fldChar w:fldCharType="begin"/>
            </w:r>
            <w:r>
              <w:rPr>
                <w:noProof/>
                <w:webHidden/>
              </w:rPr>
              <w:instrText xml:space="preserve"> PAGEREF _Toc164624844 \h </w:instrText>
            </w:r>
            <w:r>
              <w:rPr>
                <w:noProof/>
                <w:webHidden/>
              </w:rPr>
            </w:r>
            <w:r>
              <w:rPr>
                <w:noProof/>
                <w:webHidden/>
              </w:rPr>
              <w:fldChar w:fldCharType="separate"/>
            </w:r>
            <w:r>
              <w:rPr>
                <w:noProof/>
                <w:webHidden/>
              </w:rPr>
              <w:t>27</w:t>
            </w:r>
            <w:r>
              <w:rPr>
                <w:noProof/>
                <w:webHidden/>
              </w:rPr>
              <w:fldChar w:fldCharType="end"/>
            </w:r>
          </w:hyperlink>
        </w:p>
        <w:p w14:paraId="325ABAA6" w14:textId="0338FFBB" w:rsidR="00C85A73" w:rsidRDefault="00C85A73">
          <w:pPr>
            <w:pStyle w:val="TOC3"/>
            <w:tabs>
              <w:tab w:val="right" w:leader="dot" w:pos="9016"/>
            </w:tabs>
            <w:rPr>
              <w:rFonts w:eastAsiaTheme="minorEastAsia"/>
              <w:noProof/>
              <w:lang w:eastAsia="en-GB"/>
            </w:rPr>
          </w:pPr>
          <w:hyperlink w:anchor="_Toc164624845" w:history="1">
            <w:r w:rsidRPr="00A17636">
              <w:rPr>
                <w:rStyle w:val="Hyperlink"/>
                <w:noProof/>
              </w:rPr>
              <w:t>Recalculation`s analysis</w:t>
            </w:r>
            <w:r>
              <w:rPr>
                <w:noProof/>
                <w:webHidden/>
              </w:rPr>
              <w:tab/>
            </w:r>
            <w:r>
              <w:rPr>
                <w:noProof/>
                <w:webHidden/>
              </w:rPr>
              <w:fldChar w:fldCharType="begin"/>
            </w:r>
            <w:r>
              <w:rPr>
                <w:noProof/>
                <w:webHidden/>
              </w:rPr>
              <w:instrText xml:space="preserve"> PAGEREF _Toc164624845 \h </w:instrText>
            </w:r>
            <w:r>
              <w:rPr>
                <w:noProof/>
                <w:webHidden/>
              </w:rPr>
            </w:r>
            <w:r>
              <w:rPr>
                <w:noProof/>
                <w:webHidden/>
              </w:rPr>
              <w:fldChar w:fldCharType="separate"/>
            </w:r>
            <w:r>
              <w:rPr>
                <w:noProof/>
                <w:webHidden/>
              </w:rPr>
              <w:t>28</w:t>
            </w:r>
            <w:r>
              <w:rPr>
                <w:noProof/>
                <w:webHidden/>
              </w:rPr>
              <w:fldChar w:fldCharType="end"/>
            </w:r>
          </w:hyperlink>
        </w:p>
        <w:p w14:paraId="5DB73271" w14:textId="5882ECD9" w:rsidR="00C85A73" w:rsidRDefault="00C85A73">
          <w:pPr>
            <w:pStyle w:val="TOC2"/>
            <w:tabs>
              <w:tab w:val="right" w:leader="dot" w:pos="9016"/>
            </w:tabs>
            <w:rPr>
              <w:rFonts w:eastAsiaTheme="minorEastAsia"/>
              <w:noProof/>
              <w:lang w:eastAsia="en-GB"/>
            </w:rPr>
          </w:pPr>
          <w:hyperlink w:anchor="_Toc164624846" w:history="1">
            <w:r w:rsidRPr="00A17636">
              <w:rPr>
                <w:rStyle w:val="Hyperlink"/>
                <w:noProof/>
              </w:rPr>
              <w:t>3 Critically discuss the advantages and shortcomings.</w:t>
            </w:r>
            <w:r>
              <w:rPr>
                <w:noProof/>
                <w:webHidden/>
              </w:rPr>
              <w:tab/>
            </w:r>
            <w:r>
              <w:rPr>
                <w:noProof/>
                <w:webHidden/>
              </w:rPr>
              <w:fldChar w:fldCharType="begin"/>
            </w:r>
            <w:r>
              <w:rPr>
                <w:noProof/>
                <w:webHidden/>
              </w:rPr>
              <w:instrText xml:space="preserve"> PAGEREF _Toc164624846 \h </w:instrText>
            </w:r>
            <w:r>
              <w:rPr>
                <w:noProof/>
                <w:webHidden/>
              </w:rPr>
            </w:r>
            <w:r>
              <w:rPr>
                <w:noProof/>
                <w:webHidden/>
              </w:rPr>
              <w:fldChar w:fldCharType="separate"/>
            </w:r>
            <w:r>
              <w:rPr>
                <w:noProof/>
                <w:webHidden/>
              </w:rPr>
              <w:t>29</w:t>
            </w:r>
            <w:r>
              <w:rPr>
                <w:noProof/>
                <w:webHidden/>
              </w:rPr>
              <w:fldChar w:fldCharType="end"/>
            </w:r>
          </w:hyperlink>
        </w:p>
        <w:p w14:paraId="58170579" w14:textId="324423C6" w:rsidR="00C85A73" w:rsidRDefault="00C85A73">
          <w:pPr>
            <w:pStyle w:val="TOC2"/>
            <w:tabs>
              <w:tab w:val="right" w:leader="dot" w:pos="9016"/>
            </w:tabs>
            <w:rPr>
              <w:rFonts w:eastAsiaTheme="minorEastAsia"/>
              <w:noProof/>
              <w:lang w:eastAsia="en-GB"/>
            </w:rPr>
          </w:pPr>
          <w:hyperlink w:anchor="_Toc164624847" w:history="1">
            <w:r w:rsidRPr="00A17636">
              <w:rPr>
                <w:rStyle w:val="Hyperlink"/>
                <w:noProof/>
              </w:rPr>
              <w:t>4 Non-financial factors</w:t>
            </w:r>
            <w:r>
              <w:rPr>
                <w:noProof/>
                <w:webHidden/>
              </w:rPr>
              <w:tab/>
            </w:r>
            <w:r>
              <w:rPr>
                <w:noProof/>
                <w:webHidden/>
              </w:rPr>
              <w:fldChar w:fldCharType="begin"/>
            </w:r>
            <w:r>
              <w:rPr>
                <w:noProof/>
                <w:webHidden/>
              </w:rPr>
              <w:instrText xml:space="preserve"> PAGEREF _Toc164624847 \h </w:instrText>
            </w:r>
            <w:r>
              <w:rPr>
                <w:noProof/>
                <w:webHidden/>
              </w:rPr>
            </w:r>
            <w:r>
              <w:rPr>
                <w:noProof/>
                <w:webHidden/>
              </w:rPr>
              <w:fldChar w:fldCharType="separate"/>
            </w:r>
            <w:r>
              <w:rPr>
                <w:noProof/>
                <w:webHidden/>
              </w:rPr>
              <w:t>30</w:t>
            </w:r>
            <w:r>
              <w:rPr>
                <w:noProof/>
                <w:webHidden/>
              </w:rPr>
              <w:fldChar w:fldCharType="end"/>
            </w:r>
          </w:hyperlink>
        </w:p>
        <w:p w14:paraId="0639C66E" w14:textId="5DE9C2BF" w:rsidR="00C85A73" w:rsidRDefault="00C85A73">
          <w:pPr>
            <w:pStyle w:val="TOC1"/>
            <w:tabs>
              <w:tab w:val="right" w:leader="dot" w:pos="9016"/>
            </w:tabs>
            <w:rPr>
              <w:rFonts w:eastAsiaTheme="minorEastAsia"/>
              <w:noProof/>
              <w:lang w:eastAsia="en-GB"/>
            </w:rPr>
          </w:pPr>
          <w:hyperlink w:anchor="_Toc164624848" w:history="1">
            <w:r w:rsidRPr="00A17636">
              <w:rPr>
                <w:rStyle w:val="Hyperlink"/>
                <w:noProof/>
              </w:rPr>
              <w:t>Conclusion</w:t>
            </w:r>
            <w:r>
              <w:rPr>
                <w:noProof/>
                <w:webHidden/>
              </w:rPr>
              <w:tab/>
            </w:r>
            <w:r>
              <w:rPr>
                <w:noProof/>
                <w:webHidden/>
              </w:rPr>
              <w:fldChar w:fldCharType="begin"/>
            </w:r>
            <w:r>
              <w:rPr>
                <w:noProof/>
                <w:webHidden/>
              </w:rPr>
              <w:instrText xml:space="preserve"> PAGEREF _Toc164624848 \h </w:instrText>
            </w:r>
            <w:r>
              <w:rPr>
                <w:noProof/>
                <w:webHidden/>
              </w:rPr>
            </w:r>
            <w:r>
              <w:rPr>
                <w:noProof/>
                <w:webHidden/>
              </w:rPr>
              <w:fldChar w:fldCharType="separate"/>
            </w:r>
            <w:r>
              <w:rPr>
                <w:noProof/>
                <w:webHidden/>
              </w:rPr>
              <w:t>31</w:t>
            </w:r>
            <w:r>
              <w:rPr>
                <w:noProof/>
                <w:webHidden/>
              </w:rPr>
              <w:fldChar w:fldCharType="end"/>
            </w:r>
          </w:hyperlink>
        </w:p>
        <w:p w14:paraId="717E2AC5" w14:textId="3E89906C" w:rsidR="00C85A73" w:rsidRDefault="00C85A73">
          <w:pPr>
            <w:pStyle w:val="TOC1"/>
            <w:tabs>
              <w:tab w:val="right" w:leader="dot" w:pos="9016"/>
            </w:tabs>
            <w:rPr>
              <w:rFonts w:eastAsiaTheme="minorEastAsia"/>
              <w:noProof/>
              <w:lang w:eastAsia="en-GB"/>
            </w:rPr>
          </w:pPr>
          <w:hyperlink w:anchor="_Toc164624849" w:history="1">
            <w:r w:rsidRPr="00A17636">
              <w:rPr>
                <w:rStyle w:val="Hyperlink"/>
                <w:noProof/>
              </w:rPr>
              <w:t>References</w:t>
            </w:r>
            <w:r>
              <w:rPr>
                <w:noProof/>
                <w:webHidden/>
              </w:rPr>
              <w:tab/>
            </w:r>
            <w:r>
              <w:rPr>
                <w:noProof/>
                <w:webHidden/>
              </w:rPr>
              <w:fldChar w:fldCharType="begin"/>
            </w:r>
            <w:r>
              <w:rPr>
                <w:noProof/>
                <w:webHidden/>
              </w:rPr>
              <w:instrText xml:space="preserve"> PAGEREF _Toc164624849 \h </w:instrText>
            </w:r>
            <w:r>
              <w:rPr>
                <w:noProof/>
                <w:webHidden/>
              </w:rPr>
            </w:r>
            <w:r>
              <w:rPr>
                <w:noProof/>
                <w:webHidden/>
              </w:rPr>
              <w:fldChar w:fldCharType="separate"/>
            </w:r>
            <w:r>
              <w:rPr>
                <w:noProof/>
                <w:webHidden/>
              </w:rPr>
              <w:t>32</w:t>
            </w:r>
            <w:r>
              <w:rPr>
                <w:noProof/>
                <w:webHidden/>
              </w:rPr>
              <w:fldChar w:fldCharType="end"/>
            </w:r>
          </w:hyperlink>
        </w:p>
        <w:p w14:paraId="5DED1F8D" w14:textId="103BCC58" w:rsidR="001340EC" w:rsidRDefault="00193CD1" w:rsidP="00723E48">
          <w:r>
            <w:rPr>
              <w:b/>
              <w:bCs/>
            </w:rPr>
            <w:fldChar w:fldCharType="end"/>
          </w:r>
        </w:p>
      </w:sdtContent>
    </w:sdt>
    <w:p w14:paraId="05EEEAA9" w14:textId="2E27C461" w:rsidR="00F5324F" w:rsidRDefault="00F5324F" w:rsidP="00193CD1">
      <w:pPr>
        <w:pStyle w:val="Heading1"/>
      </w:pPr>
      <w:bookmarkStart w:id="0" w:name="_Toc164624820"/>
      <w:r>
        <w:lastRenderedPageBreak/>
        <w:t>Introduction</w:t>
      </w:r>
      <w:bookmarkEnd w:id="0"/>
    </w:p>
    <w:p w14:paraId="083BD85B" w14:textId="77777777" w:rsidR="008B209F" w:rsidRDefault="008B209F" w:rsidP="00F5324F"/>
    <w:p w14:paraId="37B67761" w14:textId="7406772C" w:rsidR="007C07A9" w:rsidRPr="001340EC" w:rsidRDefault="009C079A" w:rsidP="001340EC">
      <w:pPr>
        <w:spacing w:line="360" w:lineRule="auto"/>
        <w:jc w:val="both"/>
        <w:rPr>
          <w:rFonts w:ascii="Arial" w:hAnsi="Arial" w:cs="Arial"/>
          <w:sz w:val="24"/>
          <w:szCs w:val="24"/>
        </w:rPr>
      </w:pPr>
      <w:r w:rsidRPr="009C079A">
        <w:rPr>
          <w:rFonts w:ascii="Arial" w:hAnsi="Arial" w:cs="Arial"/>
          <w:sz w:val="24"/>
          <w:szCs w:val="24"/>
        </w:rPr>
        <w:t xml:space="preserve">Financial management </w:t>
      </w:r>
      <w:r w:rsidR="00D42861" w:rsidRPr="009C079A">
        <w:rPr>
          <w:rFonts w:ascii="Arial" w:hAnsi="Arial" w:cs="Arial"/>
          <w:sz w:val="24"/>
          <w:szCs w:val="24"/>
        </w:rPr>
        <w:t>embraces</w:t>
      </w:r>
      <w:r w:rsidRPr="009C079A">
        <w:rPr>
          <w:rFonts w:ascii="Arial" w:hAnsi="Arial" w:cs="Arial"/>
          <w:sz w:val="24"/>
          <w:szCs w:val="24"/>
        </w:rPr>
        <w:t xml:space="preserve"> the </w:t>
      </w:r>
      <w:r w:rsidR="00E03B01" w:rsidRPr="009C079A">
        <w:rPr>
          <w:rFonts w:ascii="Arial" w:hAnsi="Arial" w:cs="Arial"/>
          <w:sz w:val="24"/>
          <w:szCs w:val="24"/>
        </w:rPr>
        <w:t>intentional</w:t>
      </w:r>
      <w:r w:rsidRPr="009C079A">
        <w:rPr>
          <w:rFonts w:ascii="Arial" w:hAnsi="Arial" w:cs="Arial"/>
          <w:sz w:val="24"/>
          <w:szCs w:val="24"/>
        </w:rPr>
        <w:t xml:space="preserve"> and </w:t>
      </w:r>
      <w:r w:rsidR="00E03B01" w:rsidRPr="009C079A">
        <w:rPr>
          <w:rFonts w:ascii="Arial" w:hAnsi="Arial" w:cs="Arial"/>
          <w:sz w:val="24"/>
          <w:szCs w:val="24"/>
        </w:rPr>
        <w:t>methodical</w:t>
      </w:r>
      <w:r w:rsidRPr="009C079A">
        <w:rPr>
          <w:rFonts w:ascii="Arial" w:hAnsi="Arial" w:cs="Arial"/>
          <w:sz w:val="24"/>
          <w:szCs w:val="24"/>
        </w:rPr>
        <w:t xml:space="preserve"> </w:t>
      </w:r>
      <w:r w:rsidR="00E03B01" w:rsidRPr="009C079A">
        <w:rPr>
          <w:rFonts w:ascii="Arial" w:hAnsi="Arial" w:cs="Arial"/>
          <w:sz w:val="24"/>
          <w:szCs w:val="24"/>
        </w:rPr>
        <w:t>procedure</w:t>
      </w:r>
      <w:r w:rsidRPr="009C079A">
        <w:rPr>
          <w:rFonts w:ascii="Arial" w:hAnsi="Arial" w:cs="Arial"/>
          <w:sz w:val="24"/>
          <w:szCs w:val="24"/>
        </w:rPr>
        <w:t xml:space="preserve"> of </w:t>
      </w:r>
      <w:r w:rsidR="00E03B01" w:rsidRPr="009C079A">
        <w:rPr>
          <w:rFonts w:ascii="Arial" w:hAnsi="Arial" w:cs="Arial"/>
          <w:sz w:val="24"/>
          <w:szCs w:val="24"/>
        </w:rPr>
        <w:t>projection</w:t>
      </w:r>
      <w:r w:rsidRPr="009C079A">
        <w:rPr>
          <w:rFonts w:ascii="Arial" w:hAnsi="Arial" w:cs="Arial"/>
          <w:sz w:val="24"/>
          <w:szCs w:val="24"/>
        </w:rPr>
        <w:t xml:space="preserve">, </w:t>
      </w:r>
      <w:r w:rsidR="00E03B01" w:rsidRPr="009C079A">
        <w:rPr>
          <w:rFonts w:ascii="Arial" w:hAnsi="Arial" w:cs="Arial"/>
          <w:sz w:val="24"/>
          <w:szCs w:val="24"/>
        </w:rPr>
        <w:t>systematising</w:t>
      </w:r>
      <w:r w:rsidRPr="009C079A">
        <w:rPr>
          <w:rFonts w:ascii="Arial" w:hAnsi="Arial" w:cs="Arial"/>
          <w:sz w:val="24"/>
          <w:szCs w:val="24"/>
        </w:rPr>
        <w:t xml:space="preserve">, directing, </w:t>
      </w:r>
      <w:r w:rsidR="00E03B01" w:rsidRPr="009C079A">
        <w:rPr>
          <w:rFonts w:ascii="Arial" w:hAnsi="Arial" w:cs="Arial"/>
          <w:sz w:val="24"/>
          <w:szCs w:val="24"/>
        </w:rPr>
        <w:t>then</w:t>
      </w:r>
      <w:r w:rsidRPr="009C079A">
        <w:rPr>
          <w:rFonts w:ascii="Arial" w:hAnsi="Arial" w:cs="Arial"/>
          <w:sz w:val="24"/>
          <w:szCs w:val="24"/>
        </w:rPr>
        <w:t xml:space="preserve"> </w:t>
      </w:r>
      <w:r w:rsidR="00E03B01" w:rsidRPr="009C079A">
        <w:rPr>
          <w:rFonts w:ascii="Arial" w:hAnsi="Arial" w:cs="Arial"/>
          <w:sz w:val="24"/>
          <w:szCs w:val="24"/>
        </w:rPr>
        <w:t>standardizing</w:t>
      </w:r>
      <w:r w:rsidRPr="009C079A">
        <w:rPr>
          <w:rFonts w:ascii="Arial" w:hAnsi="Arial" w:cs="Arial"/>
          <w:sz w:val="24"/>
          <w:szCs w:val="24"/>
        </w:rPr>
        <w:t xml:space="preserve"> </w:t>
      </w:r>
      <w:r w:rsidR="00E03B01" w:rsidRPr="009C079A">
        <w:rPr>
          <w:rFonts w:ascii="Arial" w:hAnsi="Arial" w:cs="Arial"/>
          <w:sz w:val="24"/>
          <w:szCs w:val="24"/>
        </w:rPr>
        <w:t>fiscal</w:t>
      </w:r>
      <w:r w:rsidRPr="009C079A">
        <w:rPr>
          <w:rFonts w:ascii="Arial" w:hAnsi="Arial" w:cs="Arial"/>
          <w:sz w:val="24"/>
          <w:szCs w:val="24"/>
        </w:rPr>
        <w:t xml:space="preserve"> activities within an </w:t>
      </w:r>
      <w:r w:rsidR="005B7A0C" w:rsidRPr="009C079A">
        <w:rPr>
          <w:rFonts w:ascii="Arial" w:hAnsi="Arial" w:cs="Arial"/>
          <w:sz w:val="24"/>
          <w:szCs w:val="24"/>
        </w:rPr>
        <w:t>establishment</w:t>
      </w:r>
      <w:r w:rsidRPr="009C079A">
        <w:rPr>
          <w:rFonts w:ascii="Arial" w:hAnsi="Arial" w:cs="Arial"/>
          <w:sz w:val="24"/>
          <w:szCs w:val="24"/>
        </w:rPr>
        <w:t xml:space="preserve"> or </w:t>
      </w:r>
      <w:r w:rsidR="005346B8" w:rsidRPr="009C079A">
        <w:rPr>
          <w:rFonts w:ascii="Arial" w:hAnsi="Arial" w:cs="Arial"/>
          <w:sz w:val="24"/>
          <w:szCs w:val="24"/>
        </w:rPr>
        <w:t>association</w:t>
      </w:r>
      <w:r w:rsidRPr="009C079A">
        <w:rPr>
          <w:rFonts w:ascii="Arial" w:hAnsi="Arial" w:cs="Arial"/>
          <w:sz w:val="24"/>
          <w:szCs w:val="24"/>
        </w:rPr>
        <w:t xml:space="preserve">. It </w:t>
      </w:r>
      <w:r w:rsidR="005346B8" w:rsidRPr="009C079A">
        <w:rPr>
          <w:rFonts w:ascii="Arial" w:hAnsi="Arial" w:cs="Arial"/>
          <w:sz w:val="24"/>
          <w:szCs w:val="24"/>
        </w:rPr>
        <w:t>implies</w:t>
      </w:r>
      <w:r w:rsidRPr="009C079A">
        <w:rPr>
          <w:rFonts w:ascii="Arial" w:hAnsi="Arial" w:cs="Arial"/>
          <w:sz w:val="24"/>
          <w:szCs w:val="24"/>
        </w:rPr>
        <w:t xml:space="preserve"> the application of management </w:t>
      </w:r>
      <w:r w:rsidR="00E33669" w:rsidRPr="009C079A">
        <w:rPr>
          <w:rFonts w:ascii="Arial" w:hAnsi="Arial" w:cs="Arial"/>
          <w:sz w:val="24"/>
          <w:szCs w:val="24"/>
        </w:rPr>
        <w:t>values</w:t>
      </w:r>
      <w:r w:rsidRPr="009C079A">
        <w:rPr>
          <w:rFonts w:ascii="Arial" w:hAnsi="Arial" w:cs="Arial"/>
          <w:sz w:val="24"/>
          <w:szCs w:val="24"/>
        </w:rPr>
        <w:t xml:space="preserve"> to the </w:t>
      </w:r>
      <w:r w:rsidR="00E33669" w:rsidRPr="009C079A">
        <w:rPr>
          <w:rFonts w:ascii="Arial" w:hAnsi="Arial" w:cs="Arial"/>
          <w:sz w:val="24"/>
          <w:szCs w:val="24"/>
        </w:rPr>
        <w:t>fiscal</w:t>
      </w:r>
      <w:r w:rsidRPr="009C079A">
        <w:rPr>
          <w:rFonts w:ascii="Arial" w:hAnsi="Arial" w:cs="Arial"/>
          <w:sz w:val="24"/>
          <w:szCs w:val="24"/>
        </w:rPr>
        <w:t xml:space="preserve"> assets of an </w:t>
      </w:r>
      <w:r w:rsidR="00F339D0" w:rsidRPr="009C079A">
        <w:rPr>
          <w:rFonts w:ascii="Arial" w:hAnsi="Arial" w:cs="Arial"/>
          <w:sz w:val="24"/>
          <w:szCs w:val="24"/>
        </w:rPr>
        <w:t>establishment</w:t>
      </w:r>
      <w:r w:rsidRPr="009C079A">
        <w:rPr>
          <w:rFonts w:ascii="Arial" w:hAnsi="Arial" w:cs="Arial"/>
          <w:sz w:val="24"/>
          <w:szCs w:val="24"/>
        </w:rPr>
        <w:t xml:space="preserve">, </w:t>
      </w:r>
      <w:r w:rsidR="00F339D0" w:rsidRPr="009C079A">
        <w:rPr>
          <w:rFonts w:ascii="Arial" w:hAnsi="Arial" w:cs="Arial"/>
          <w:sz w:val="24"/>
          <w:szCs w:val="24"/>
        </w:rPr>
        <w:t>although</w:t>
      </w:r>
      <w:r w:rsidRPr="009C079A">
        <w:rPr>
          <w:rFonts w:ascii="Arial" w:hAnsi="Arial" w:cs="Arial"/>
          <w:sz w:val="24"/>
          <w:szCs w:val="24"/>
        </w:rPr>
        <w:t xml:space="preserve"> </w:t>
      </w:r>
      <w:r w:rsidR="00F339D0" w:rsidRPr="009C079A">
        <w:rPr>
          <w:rFonts w:ascii="Arial" w:hAnsi="Arial" w:cs="Arial"/>
          <w:sz w:val="24"/>
          <w:szCs w:val="24"/>
        </w:rPr>
        <w:t>additionally</w:t>
      </w:r>
      <w:r w:rsidRPr="009C079A">
        <w:rPr>
          <w:rFonts w:ascii="Arial" w:hAnsi="Arial" w:cs="Arial"/>
          <w:sz w:val="24"/>
          <w:szCs w:val="24"/>
        </w:rPr>
        <w:t xml:space="preserve"> playing a crucial role in fiscal management</w:t>
      </w:r>
      <w:r w:rsidR="007C07A9" w:rsidRPr="001340EC">
        <w:rPr>
          <w:rFonts w:ascii="Arial" w:hAnsi="Arial" w:cs="Arial"/>
          <w:sz w:val="24"/>
          <w:szCs w:val="24"/>
        </w:rPr>
        <w:t>.</w:t>
      </w:r>
      <w:r w:rsidR="00B36A33" w:rsidRPr="001340EC">
        <w:rPr>
          <w:rFonts w:ascii="Arial" w:hAnsi="Arial" w:cs="Arial"/>
          <w:sz w:val="24"/>
          <w:szCs w:val="24"/>
        </w:rPr>
        <w:t xml:space="preserve"> (Ms. Jagriti Gupta et al., 2023)</w:t>
      </w:r>
    </w:p>
    <w:p w14:paraId="37AA4549" w14:textId="29A570B2" w:rsidR="00DC1C2F" w:rsidRPr="001340EC" w:rsidRDefault="00C53FFD" w:rsidP="001340EC">
      <w:pPr>
        <w:spacing w:line="360" w:lineRule="auto"/>
        <w:jc w:val="both"/>
        <w:rPr>
          <w:rFonts w:ascii="Arial" w:hAnsi="Arial" w:cs="Arial"/>
          <w:sz w:val="24"/>
          <w:szCs w:val="24"/>
        </w:rPr>
      </w:pPr>
      <w:r w:rsidRPr="00C53FFD">
        <w:rPr>
          <w:rFonts w:ascii="Arial" w:hAnsi="Arial" w:cs="Arial"/>
          <w:sz w:val="24"/>
          <w:szCs w:val="24"/>
        </w:rPr>
        <w:t>Effective financial management is crucial to corporate success. Businesses often go bankrupt without proper budgetary management. Tracking expenses, avoiding overspending, and managing money helps organisations expand and generate profits. Company owners can stay afloat in changing economic situations by following financial management best practices including cash flow predictions. Sound financial management reduces risk, maximises profits, improves decision-making, creates financial independence, provides emergency funds, and sustains growth. Its importance in business is obvious.</w:t>
      </w:r>
      <w:r w:rsidR="00503EDD" w:rsidRPr="001340EC">
        <w:rPr>
          <w:rFonts w:ascii="Arial" w:hAnsi="Arial" w:cs="Arial"/>
          <w:sz w:val="24"/>
          <w:szCs w:val="24"/>
        </w:rPr>
        <w:t xml:space="preserve"> (Turner, 2011)</w:t>
      </w:r>
    </w:p>
    <w:p w14:paraId="2A5E2A45" w14:textId="0EF0D3B7" w:rsidR="008B209F" w:rsidRDefault="00E571A1" w:rsidP="00E571A1">
      <w:pPr>
        <w:spacing w:line="360" w:lineRule="auto"/>
        <w:jc w:val="both"/>
        <w:rPr>
          <w:rFonts w:ascii="Arial" w:hAnsi="Arial" w:cs="Arial"/>
          <w:sz w:val="24"/>
          <w:szCs w:val="24"/>
        </w:rPr>
      </w:pPr>
      <w:r w:rsidRPr="00E571A1">
        <w:rPr>
          <w:rFonts w:ascii="Arial" w:hAnsi="Arial" w:cs="Arial"/>
          <w:sz w:val="24"/>
          <w:szCs w:val="24"/>
        </w:rPr>
        <w:t xml:space="preserve">This study will analyse Ford's financial performance and then calculate the Payback Period (PBP), Accounting Rate of Return (ARR), and Net Present Value (NPV) of the project under consideration. Additionally, the research will address non-financial aspects that management should </w:t>
      </w:r>
      <w:proofErr w:type="gramStart"/>
      <w:r w:rsidRPr="00E571A1">
        <w:rPr>
          <w:rFonts w:ascii="Arial" w:hAnsi="Arial" w:cs="Arial"/>
          <w:sz w:val="24"/>
          <w:szCs w:val="24"/>
        </w:rPr>
        <w:t>take into account</w:t>
      </w:r>
      <w:proofErr w:type="gramEnd"/>
      <w:r w:rsidRPr="00E571A1">
        <w:rPr>
          <w:rFonts w:ascii="Arial" w:hAnsi="Arial" w:cs="Arial"/>
          <w:sz w:val="24"/>
          <w:szCs w:val="24"/>
        </w:rPr>
        <w:t>.</w:t>
      </w:r>
    </w:p>
    <w:p w14:paraId="1C252C34" w14:textId="77777777" w:rsidR="008A7D93" w:rsidRPr="00E571A1" w:rsidRDefault="008A7D93" w:rsidP="00E571A1">
      <w:pPr>
        <w:spacing w:line="360" w:lineRule="auto"/>
        <w:jc w:val="both"/>
        <w:rPr>
          <w:rFonts w:ascii="Arial" w:hAnsi="Arial" w:cs="Arial"/>
          <w:sz w:val="24"/>
          <w:szCs w:val="24"/>
        </w:rPr>
      </w:pPr>
    </w:p>
    <w:p w14:paraId="00EC9422" w14:textId="384E6AF6" w:rsidR="008B209F" w:rsidRDefault="008B209F" w:rsidP="00193CD1">
      <w:pPr>
        <w:pStyle w:val="Heading1"/>
      </w:pPr>
      <w:bookmarkStart w:id="1" w:name="_Toc164624821"/>
      <w:r>
        <w:t xml:space="preserve">Part </w:t>
      </w:r>
      <w:r w:rsidR="0032373B">
        <w:t>A</w:t>
      </w:r>
      <w:r w:rsidR="00D86ABC">
        <w:t xml:space="preserve"> – History of Ford and major events</w:t>
      </w:r>
      <w:bookmarkEnd w:id="1"/>
    </w:p>
    <w:p w14:paraId="0FECEBF2" w14:textId="77777777" w:rsidR="00787AD4" w:rsidRPr="00787AD4" w:rsidRDefault="00787AD4" w:rsidP="00787AD4"/>
    <w:p w14:paraId="2A23B683" w14:textId="680CD9CC" w:rsidR="008B209F" w:rsidRPr="001340EC" w:rsidRDefault="00A62E25" w:rsidP="001340EC">
      <w:pPr>
        <w:spacing w:line="360" w:lineRule="auto"/>
        <w:jc w:val="both"/>
        <w:rPr>
          <w:rFonts w:ascii="Arial" w:hAnsi="Arial" w:cs="Arial"/>
          <w:sz w:val="24"/>
          <w:szCs w:val="24"/>
        </w:rPr>
      </w:pPr>
      <w:r w:rsidRPr="00A62E25">
        <w:rPr>
          <w:rFonts w:ascii="Arial" w:hAnsi="Arial" w:cs="Arial"/>
          <w:sz w:val="24"/>
          <w:szCs w:val="24"/>
        </w:rPr>
        <w:t>Ford Motor Company is an</w:t>
      </w:r>
      <w:r w:rsidR="008C46F5">
        <w:rPr>
          <w:rFonts w:ascii="Arial" w:hAnsi="Arial" w:cs="Arial"/>
          <w:sz w:val="24"/>
          <w:szCs w:val="24"/>
        </w:rPr>
        <w:t xml:space="preserve"> American</w:t>
      </w:r>
      <w:r w:rsidRPr="00A62E25">
        <w:rPr>
          <w:rFonts w:ascii="Arial" w:hAnsi="Arial" w:cs="Arial"/>
          <w:sz w:val="24"/>
          <w:szCs w:val="24"/>
        </w:rPr>
        <w:t xml:space="preserve"> </w:t>
      </w:r>
      <w:r w:rsidR="008C46F5" w:rsidRPr="00A62E25">
        <w:rPr>
          <w:rFonts w:ascii="Arial" w:hAnsi="Arial" w:cs="Arial"/>
          <w:sz w:val="24"/>
          <w:szCs w:val="24"/>
        </w:rPr>
        <w:t>carmaker</w:t>
      </w:r>
      <w:r w:rsidRPr="00A62E25">
        <w:rPr>
          <w:rFonts w:ascii="Arial" w:hAnsi="Arial" w:cs="Arial"/>
          <w:sz w:val="24"/>
          <w:szCs w:val="24"/>
        </w:rPr>
        <w:t xml:space="preserve"> based in Dearborn, Michigan, a suburb of Detroit. Henry Ford </w:t>
      </w:r>
      <w:r w:rsidR="005C3E76" w:rsidRPr="00A62E25">
        <w:rPr>
          <w:rFonts w:ascii="Arial" w:hAnsi="Arial" w:cs="Arial"/>
          <w:sz w:val="24"/>
          <w:szCs w:val="24"/>
        </w:rPr>
        <w:t>established</w:t>
      </w:r>
      <w:r w:rsidRPr="00A62E25">
        <w:rPr>
          <w:rFonts w:ascii="Arial" w:hAnsi="Arial" w:cs="Arial"/>
          <w:sz w:val="24"/>
          <w:szCs w:val="24"/>
        </w:rPr>
        <w:t xml:space="preserve"> the Ford Motor Company</w:t>
      </w:r>
      <w:r w:rsidR="005C3E76">
        <w:rPr>
          <w:rFonts w:ascii="Arial" w:hAnsi="Arial" w:cs="Arial"/>
          <w:sz w:val="24"/>
          <w:szCs w:val="24"/>
        </w:rPr>
        <w:t xml:space="preserve"> o</w:t>
      </w:r>
      <w:r w:rsidR="005C3E76" w:rsidRPr="005C3E76">
        <w:rPr>
          <w:rFonts w:ascii="Arial" w:hAnsi="Arial" w:cs="Arial"/>
          <w:sz w:val="24"/>
          <w:szCs w:val="24"/>
        </w:rPr>
        <w:t xml:space="preserve">n June 16, 1903, </w:t>
      </w:r>
      <w:r w:rsidRPr="00A62E25">
        <w:rPr>
          <w:rFonts w:ascii="Arial" w:hAnsi="Arial" w:cs="Arial"/>
          <w:sz w:val="24"/>
          <w:szCs w:val="24"/>
        </w:rPr>
        <w:t xml:space="preserve">which </w:t>
      </w:r>
      <w:r w:rsidR="00046103" w:rsidRPr="00A62E25">
        <w:rPr>
          <w:rFonts w:ascii="Arial" w:hAnsi="Arial" w:cs="Arial"/>
          <w:sz w:val="24"/>
          <w:szCs w:val="24"/>
        </w:rPr>
        <w:t>originates</w:t>
      </w:r>
      <w:r w:rsidRPr="00A62E25">
        <w:rPr>
          <w:rFonts w:ascii="Arial" w:hAnsi="Arial" w:cs="Arial"/>
          <w:sz w:val="24"/>
          <w:szCs w:val="24"/>
        </w:rPr>
        <w:t xml:space="preserve">, manufactures, finances, markets, and services cars, trucks, SUVs, </w:t>
      </w:r>
      <w:r w:rsidR="00046103" w:rsidRPr="00A62E25">
        <w:rPr>
          <w:rFonts w:ascii="Arial" w:hAnsi="Arial" w:cs="Arial"/>
          <w:sz w:val="24"/>
          <w:szCs w:val="24"/>
        </w:rPr>
        <w:t>plus</w:t>
      </w:r>
      <w:r w:rsidRPr="00A62E25">
        <w:rPr>
          <w:rFonts w:ascii="Arial" w:hAnsi="Arial" w:cs="Arial"/>
          <w:sz w:val="24"/>
          <w:szCs w:val="24"/>
        </w:rPr>
        <w:t xml:space="preserve"> luxury vehicles. The corporation makes and sells Ford and Lincoln automobiles on six continents. Ford operates mainly in North America, South America,</w:t>
      </w:r>
      <w:r w:rsidR="003F5386">
        <w:rPr>
          <w:rFonts w:ascii="Arial" w:hAnsi="Arial" w:cs="Arial"/>
          <w:sz w:val="24"/>
          <w:szCs w:val="24"/>
        </w:rPr>
        <w:t xml:space="preserve"> Europa</w:t>
      </w:r>
      <w:r w:rsidRPr="00A62E25">
        <w:rPr>
          <w:rFonts w:ascii="Arial" w:hAnsi="Arial" w:cs="Arial"/>
          <w:sz w:val="24"/>
          <w:szCs w:val="24"/>
        </w:rPr>
        <w:t xml:space="preserve"> Middle East</w:t>
      </w:r>
      <w:r w:rsidR="003F5386">
        <w:rPr>
          <w:rFonts w:ascii="Arial" w:hAnsi="Arial" w:cs="Arial"/>
          <w:sz w:val="24"/>
          <w:szCs w:val="24"/>
        </w:rPr>
        <w:t xml:space="preserve">, </w:t>
      </w:r>
      <w:r w:rsidR="003F5386" w:rsidRPr="003F5386">
        <w:rPr>
          <w:rFonts w:ascii="Arial" w:hAnsi="Arial" w:cs="Arial"/>
          <w:sz w:val="24"/>
          <w:szCs w:val="24"/>
        </w:rPr>
        <w:t>Asia Pacific</w:t>
      </w:r>
      <w:r w:rsidR="003F5386">
        <w:rPr>
          <w:rFonts w:ascii="Arial" w:hAnsi="Arial" w:cs="Arial"/>
          <w:sz w:val="24"/>
          <w:szCs w:val="24"/>
        </w:rPr>
        <w:t>,</w:t>
      </w:r>
      <w:r w:rsidRPr="00A62E25">
        <w:rPr>
          <w:rFonts w:ascii="Arial" w:hAnsi="Arial" w:cs="Arial"/>
          <w:sz w:val="24"/>
          <w:szCs w:val="24"/>
        </w:rPr>
        <w:t xml:space="preserve"> and Africa</w:t>
      </w:r>
      <w:bookmarkStart w:id="2" w:name="_Hlk164592173"/>
      <w:r w:rsidRPr="00A62E25">
        <w:rPr>
          <w:rFonts w:ascii="Arial" w:hAnsi="Arial" w:cs="Arial"/>
          <w:sz w:val="24"/>
          <w:szCs w:val="24"/>
        </w:rPr>
        <w:t xml:space="preserve">. </w:t>
      </w:r>
      <w:bookmarkEnd w:id="2"/>
      <w:r w:rsidRPr="00A62E25">
        <w:rPr>
          <w:rFonts w:ascii="Arial" w:hAnsi="Arial" w:cs="Arial"/>
          <w:sz w:val="24"/>
          <w:szCs w:val="24"/>
        </w:rPr>
        <w:t>In 2023, Ford sold 6,607,000 wholesale automobiles worldwide</w:t>
      </w:r>
      <w:r w:rsidR="00B4360F">
        <w:rPr>
          <w:rFonts w:ascii="Arial" w:hAnsi="Arial" w:cs="Arial"/>
          <w:sz w:val="24"/>
          <w:szCs w:val="24"/>
        </w:rPr>
        <w:t xml:space="preserve"> (Figure </w:t>
      </w:r>
      <w:r w:rsidR="009C3879">
        <w:rPr>
          <w:rFonts w:ascii="Arial" w:hAnsi="Arial" w:cs="Arial"/>
          <w:sz w:val="24"/>
          <w:szCs w:val="24"/>
        </w:rPr>
        <w:t>1 and Figure 2)</w:t>
      </w:r>
      <w:r w:rsidRPr="00A62E25">
        <w:rPr>
          <w:rFonts w:ascii="Arial" w:hAnsi="Arial" w:cs="Arial"/>
          <w:sz w:val="24"/>
          <w:szCs w:val="24"/>
        </w:rPr>
        <w:t>, mostly to dealerships.</w:t>
      </w:r>
      <w:r w:rsidR="0006091A" w:rsidRPr="001340EC">
        <w:rPr>
          <w:rFonts w:ascii="Arial" w:hAnsi="Arial" w:cs="Arial"/>
          <w:sz w:val="24"/>
          <w:szCs w:val="24"/>
        </w:rPr>
        <w:t xml:space="preserve"> (Ford, 2023)</w:t>
      </w:r>
    </w:p>
    <w:p w14:paraId="0AA8918B" w14:textId="77777777" w:rsidR="00DE5B29" w:rsidRDefault="00DE5B29" w:rsidP="005F1AF9"/>
    <w:p w14:paraId="2B63AA65" w14:textId="77777777" w:rsidR="007F1760" w:rsidRDefault="00DE5B29" w:rsidP="007F1760">
      <w:pPr>
        <w:keepNext/>
      </w:pPr>
      <w:r>
        <w:rPr>
          <w:noProof/>
        </w:rPr>
        <w:lastRenderedPageBreak/>
        <w:drawing>
          <wp:inline distT="0" distB="0" distL="0" distR="0" wp14:anchorId="25B10674" wp14:editId="32218023">
            <wp:extent cx="5486400" cy="3200400"/>
            <wp:effectExtent l="0" t="0" r="0" b="0"/>
            <wp:docPr id="12802790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F4A17B7" w14:textId="3025860B" w:rsidR="00DE5B29" w:rsidRPr="00793CC6" w:rsidRDefault="007F1760" w:rsidP="003A0237">
      <w:pPr>
        <w:pStyle w:val="Caption"/>
        <w:jc w:val="center"/>
        <w:rPr>
          <w:rFonts w:ascii="Arial" w:hAnsi="Arial" w:cs="Arial"/>
          <w:sz w:val="24"/>
          <w:szCs w:val="24"/>
        </w:rPr>
      </w:pPr>
      <w:r w:rsidRPr="00793CC6">
        <w:rPr>
          <w:rFonts w:ascii="Arial" w:hAnsi="Arial" w:cs="Arial"/>
          <w:sz w:val="24"/>
          <w:szCs w:val="24"/>
        </w:rPr>
        <w:t xml:space="preserve">Figure </w:t>
      </w:r>
      <w:r w:rsidRPr="00793CC6">
        <w:rPr>
          <w:rFonts w:ascii="Arial" w:hAnsi="Arial" w:cs="Arial"/>
          <w:sz w:val="24"/>
          <w:szCs w:val="24"/>
        </w:rPr>
        <w:fldChar w:fldCharType="begin"/>
      </w:r>
      <w:r w:rsidRPr="00793CC6">
        <w:rPr>
          <w:rFonts w:ascii="Arial" w:hAnsi="Arial" w:cs="Arial"/>
          <w:sz w:val="24"/>
          <w:szCs w:val="24"/>
        </w:rPr>
        <w:instrText xml:space="preserve"> SEQ Figure \* ARABIC </w:instrText>
      </w:r>
      <w:r w:rsidRPr="00793CC6">
        <w:rPr>
          <w:rFonts w:ascii="Arial" w:hAnsi="Arial" w:cs="Arial"/>
          <w:sz w:val="24"/>
          <w:szCs w:val="24"/>
        </w:rPr>
        <w:fldChar w:fldCharType="separate"/>
      </w:r>
      <w:r w:rsidR="001E1868" w:rsidRPr="00793CC6">
        <w:rPr>
          <w:rFonts w:ascii="Arial" w:hAnsi="Arial" w:cs="Arial"/>
          <w:noProof/>
          <w:sz w:val="24"/>
          <w:szCs w:val="24"/>
        </w:rPr>
        <w:t>1</w:t>
      </w:r>
      <w:r w:rsidRPr="00793CC6">
        <w:rPr>
          <w:rFonts w:ascii="Arial" w:hAnsi="Arial" w:cs="Arial"/>
          <w:sz w:val="24"/>
          <w:szCs w:val="24"/>
        </w:rPr>
        <w:fldChar w:fldCharType="end"/>
      </w:r>
      <w:r w:rsidRPr="00793CC6">
        <w:rPr>
          <w:rFonts w:ascii="Arial" w:hAnsi="Arial" w:cs="Arial"/>
          <w:sz w:val="24"/>
          <w:szCs w:val="24"/>
        </w:rPr>
        <w:t xml:space="preserve"> - Wholesales by region in 2023 (in thousands of units)</w:t>
      </w:r>
    </w:p>
    <w:p w14:paraId="5C873803" w14:textId="39C6FD4F" w:rsidR="003A0237" w:rsidRPr="003A0237" w:rsidRDefault="003A0237" w:rsidP="003A0237">
      <w:pPr>
        <w:jc w:val="center"/>
        <w:rPr>
          <w:sz w:val="18"/>
          <w:szCs w:val="18"/>
        </w:rPr>
      </w:pPr>
      <w:r w:rsidRPr="003A0237">
        <w:rPr>
          <w:sz w:val="18"/>
          <w:szCs w:val="18"/>
        </w:rPr>
        <w:t>Source: Ford’s 2023 Annual Report</w:t>
      </w:r>
    </w:p>
    <w:p w14:paraId="0BB7FAA3" w14:textId="77777777" w:rsidR="007F1760" w:rsidRDefault="007F1760" w:rsidP="005F1AF9"/>
    <w:p w14:paraId="6BA8A73E" w14:textId="77777777" w:rsidR="00711724" w:rsidRDefault="00852B9B" w:rsidP="00711724">
      <w:pPr>
        <w:keepNext/>
      </w:pPr>
      <w:r w:rsidRPr="00852B9B">
        <w:rPr>
          <w:noProof/>
        </w:rPr>
        <w:drawing>
          <wp:inline distT="0" distB="0" distL="0" distR="0" wp14:anchorId="65337CAA" wp14:editId="3D70B085">
            <wp:extent cx="5731510" cy="1941195"/>
            <wp:effectExtent l="0" t="0" r="2540" b="1905"/>
            <wp:docPr id="7120405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040598" name="Picture 1" descr="A screenshot of a computer&#10;&#10;Description automatically generated"/>
                    <pic:cNvPicPr/>
                  </pic:nvPicPr>
                  <pic:blipFill>
                    <a:blip r:embed="rId10"/>
                    <a:stretch>
                      <a:fillRect/>
                    </a:stretch>
                  </pic:blipFill>
                  <pic:spPr>
                    <a:xfrm>
                      <a:off x="0" y="0"/>
                      <a:ext cx="5731510" cy="1941195"/>
                    </a:xfrm>
                    <a:prstGeom prst="rect">
                      <a:avLst/>
                    </a:prstGeom>
                  </pic:spPr>
                </pic:pic>
              </a:graphicData>
            </a:graphic>
          </wp:inline>
        </w:drawing>
      </w:r>
    </w:p>
    <w:p w14:paraId="0882F54D" w14:textId="284EF3EB" w:rsidR="007F1760" w:rsidRPr="00793CC6" w:rsidRDefault="00711724" w:rsidP="00CE420F">
      <w:pPr>
        <w:pStyle w:val="Caption"/>
        <w:jc w:val="center"/>
        <w:rPr>
          <w:rFonts w:ascii="Arial" w:hAnsi="Arial" w:cs="Arial"/>
          <w:sz w:val="24"/>
          <w:szCs w:val="24"/>
        </w:rPr>
      </w:pPr>
      <w:r w:rsidRPr="00793CC6">
        <w:rPr>
          <w:rFonts w:ascii="Arial" w:hAnsi="Arial" w:cs="Arial"/>
          <w:sz w:val="24"/>
          <w:szCs w:val="24"/>
        </w:rPr>
        <w:t xml:space="preserve">Figure </w:t>
      </w:r>
      <w:r w:rsidRPr="00793CC6">
        <w:rPr>
          <w:rFonts w:ascii="Arial" w:hAnsi="Arial" w:cs="Arial"/>
          <w:sz w:val="24"/>
          <w:szCs w:val="24"/>
        </w:rPr>
        <w:fldChar w:fldCharType="begin"/>
      </w:r>
      <w:r w:rsidRPr="00793CC6">
        <w:rPr>
          <w:rFonts w:ascii="Arial" w:hAnsi="Arial" w:cs="Arial"/>
          <w:sz w:val="24"/>
          <w:szCs w:val="24"/>
        </w:rPr>
        <w:instrText xml:space="preserve"> SEQ Figure \* ARABIC </w:instrText>
      </w:r>
      <w:r w:rsidRPr="00793CC6">
        <w:rPr>
          <w:rFonts w:ascii="Arial" w:hAnsi="Arial" w:cs="Arial"/>
          <w:sz w:val="24"/>
          <w:szCs w:val="24"/>
        </w:rPr>
        <w:fldChar w:fldCharType="separate"/>
      </w:r>
      <w:r w:rsidR="001E1868" w:rsidRPr="00793CC6">
        <w:rPr>
          <w:rFonts w:ascii="Arial" w:hAnsi="Arial" w:cs="Arial"/>
          <w:noProof/>
          <w:sz w:val="24"/>
          <w:szCs w:val="24"/>
        </w:rPr>
        <w:t>2</w:t>
      </w:r>
      <w:r w:rsidRPr="00793CC6">
        <w:rPr>
          <w:rFonts w:ascii="Arial" w:hAnsi="Arial" w:cs="Arial"/>
          <w:sz w:val="24"/>
          <w:szCs w:val="24"/>
        </w:rPr>
        <w:fldChar w:fldCharType="end"/>
      </w:r>
      <w:r w:rsidRPr="00793CC6">
        <w:rPr>
          <w:rFonts w:ascii="Arial" w:hAnsi="Arial" w:cs="Arial"/>
          <w:sz w:val="24"/>
          <w:szCs w:val="24"/>
        </w:rPr>
        <w:t xml:space="preserve"> –</w:t>
      </w:r>
      <w:r w:rsidR="00CE420F" w:rsidRPr="00793CC6">
        <w:rPr>
          <w:rFonts w:ascii="Arial" w:hAnsi="Arial" w:cs="Arial"/>
          <w:sz w:val="24"/>
          <w:szCs w:val="24"/>
        </w:rPr>
        <w:t xml:space="preserve"> Wholesales in </w:t>
      </w:r>
      <w:r w:rsidR="00661029" w:rsidRPr="00793CC6">
        <w:rPr>
          <w:rFonts w:ascii="Arial" w:hAnsi="Arial" w:cs="Arial"/>
          <w:sz w:val="24"/>
          <w:szCs w:val="24"/>
        </w:rPr>
        <w:t>particular</w:t>
      </w:r>
      <w:r w:rsidR="00CE420F" w:rsidRPr="00793CC6">
        <w:rPr>
          <w:rFonts w:ascii="Arial" w:hAnsi="Arial" w:cs="Arial"/>
          <w:sz w:val="24"/>
          <w:szCs w:val="24"/>
        </w:rPr>
        <w:t xml:space="preserve"> </w:t>
      </w:r>
      <w:r w:rsidR="00621AE7" w:rsidRPr="00793CC6">
        <w:rPr>
          <w:rFonts w:ascii="Arial" w:hAnsi="Arial" w:cs="Arial"/>
          <w:sz w:val="24"/>
          <w:szCs w:val="24"/>
        </w:rPr>
        <w:t>major</w:t>
      </w:r>
      <w:r w:rsidR="00CE420F" w:rsidRPr="00793CC6">
        <w:rPr>
          <w:rFonts w:ascii="Arial" w:hAnsi="Arial" w:cs="Arial"/>
          <w:sz w:val="24"/>
          <w:szCs w:val="24"/>
        </w:rPr>
        <w:t xml:space="preserve"> markets during the past three years</w:t>
      </w:r>
      <w:r w:rsidR="00793CC6">
        <w:rPr>
          <w:rFonts w:ascii="Arial" w:hAnsi="Arial" w:cs="Arial"/>
          <w:sz w:val="24"/>
          <w:szCs w:val="24"/>
        </w:rPr>
        <w:t>.</w:t>
      </w:r>
    </w:p>
    <w:p w14:paraId="4245D0B4" w14:textId="3F54005A" w:rsidR="00CE420F" w:rsidRDefault="00CE420F" w:rsidP="00CE420F">
      <w:pPr>
        <w:jc w:val="center"/>
      </w:pPr>
      <w:r>
        <w:t xml:space="preserve">Sources: </w:t>
      </w:r>
      <w:r w:rsidRPr="00CE420F">
        <w:t>Ford’s 2023 Annual Report</w:t>
      </w:r>
    </w:p>
    <w:p w14:paraId="0DB6F134" w14:textId="77777777" w:rsidR="0091226F" w:rsidRDefault="0091226F" w:rsidP="00CE420F">
      <w:pPr>
        <w:jc w:val="center"/>
      </w:pPr>
    </w:p>
    <w:p w14:paraId="36AF29B2" w14:textId="77777777" w:rsidR="00373847" w:rsidRDefault="00373847" w:rsidP="00CE420F">
      <w:pPr>
        <w:jc w:val="center"/>
      </w:pPr>
    </w:p>
    <w:p w14:paraId="2C93D7E7" w14:textId="55580002" w:rsidR="00373847" w:rsidRPr="00373847" w:rsidRDefault="00ED2702" w:rsidP="00373847">
      <w:pPr>
        <w:spacing w:line="360" w:lineRule="auto"/>
        <w:jc w:val="both"/>
        <w:rPr>
          <w:rFonts w:ascii="Arial" w:hAnsi="Arial" w:cs="Arial"/>
          <w:sz w:val="24"/>
          <w:szCs w:val="24"/>
        </w:rPr>
      </w:pPr>
      <w:r w:rsidRPr="00ED2702">
        <w:rPr>
          <w:rFonts w:ascii="Arial" w:hAnsi="Arial" w:cs="Arial"/>
          <w:sz w:val="24"/>
          <w:szCs w:val="24"/>
        </w:rPr>
        <w:t xml:space="preserve">Ford stock is listed on the New York Stock Exchange in the United States. </w:t>
      </w:r>
      <w:r w:rsidR="00373847" w:rsidRPr="00373847">
        <w:rPr>
          <w:rFonts w:ascii="Arial" w:hAnsi="Arial" w:cs="Arial"/>
          <w:sz w:val="24"/>
          <w:szCs w:val="24"/>
        </w:rPr>
        <w:t>(Figure 3 and Figure 4)</w:t>
      </w:r>
    </w:p>
    <w:p w14:paraId="5E4F8F7D" w14:textId="77777777" w:rsidR="001131F5" w:rsidRDefault="001131F5" w:rsidP="001131F5">
      <w:pPr>
        <w:keepNext/>
        <w:jc w:val="center"/>
      </w:pPr>
      <w:r>
        <w:rPr>
          <w:noProof/>
        </w:rPr>
        <w:lastRenderedPageBreak/>
        <w:drawing>
          <wp:inline distT="0" distB="0" distL="0" distR="0" wp14:anchorId="3671CAFD" wp14:editId="531F713B">
            <wp:extent cx="5730875" cy="2792095"/>
            <wp:effectExtent l="0" t="0" r="3175" b="8255"/>
            <wp:docPr id="3853935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792095"/>
                    </a:xfrm>
                    <a:prstGeom prst="rect">
                      <a:avLst/>
                    </a:prstGeom>
                    <a:noFill/>
                  </pic:spPr>
                </pic:pic>
              </a:graphicData>
            </a:graphic>
          </wp:inline>
        </w:drawing>
      </w:r>
    </w:p>
    <w:p w14:paraId="710ABD00" w14:textId="1002F957" w:rsidR="004C29E3" w:rsidRPr="00EA6353" w:rsidRDefault="001131F5" w:rsidP="001131F5">
      <w:pPr>
        <w:pStyle w:val="Caption"/>
        <w:jc w:val="center"/>
        <w:rPr>
          <w:rFonts w:ascii="Arial" w:hAnsi="Arial" w:cs="Arial"/>
          <w:sz w:val="24"/>
          <w:szCs w:val="24"/>
        </w:rPr>
      </w:pPr>
      <w:r w:rsidRPr="00EA6353">
        <w:rPr>
          <w:rFonts w:ascii="Arial" w:hAnsi="Arial" w:cs="Arial"/>
          <w:sz w:val="24"/>
          <w:szCs w:val="24"/>
        </w:rPr>
        <w:t xml:space="preserve">Figure </w:t>
      </w:r>
      <w:r w:rsidRPr="00EA6353">
        <w:rPr>
          <w:rFonts w:ascii="Arial" w:hAnsi="Arial" w:cs="Arial"/>
          <w:sz w:val="24"/>
          <w:szCs w:val="24"/>
        </w:rPr>
        <w:fldChar w:fldCharType="begin"/>
      </w:r>
      <w:r w:rsidRPr="00EA6353">
        <w:rPr>
          <w:rFonts w:ascii="Arial" w:hAnsi="Arial" w:cs="Arial"/>
          <w:sz w:val="24"/>
          <w:szCs w:val="24"/>
        </w:rPr>
        <w:instrText xml:space="preserve"> SEQ Figure \* ARABIC </w:instrText>
      </w:r>
      <w:r w:rsidRPr="00EA6353">
        <w:rPr>
          <w:rFonts w:ascii="Arial" w:hAnsi="Arial" w:cs="Arial"/>
          <w:sz w:val="24"/>
          <w:szCs w:val="24"/>
        </w:rPr>
        <w:fldChar w:fldCharType="separate"/>
      </w:r>
      <w:r w:rsidR="001E1868" w:rsidRPr="00EA6353">
        <w:rPr>
          <w:rFonts w:ascii="Arial" w:hAnsi="Arial" w:cs="Arial"/>
          <w:noProof/>
          <w:sz w:val="24"/>
          <w:szCs w:val="24"/>
        </w:rPr>
        <w:t>3</w:t>
      </w:r>
      <w:r w:rsidRPr="00EA6353">
        <w:rPr>
          <w:rFonts w:ascii="Arial" w:hAnsi="Arial" w:cs="Arial"/>
          <w:sz w:val="24"/>
          <w:szCs w:val="24"/>
        </w:rPr>
        <w:fldChar w:fldCharType="end"/>
      </w:r>
      <w:r w:rsidR="00882437" w:rsidRPr="00EA6353">
        <w:rPr>
          <w:rFonts w:ascii="Arial" w:hAnsi="Arial" w:cs="Arial"/>
          <w:sz w:val="24"/>
          <w:szCs w:val="24"/>
        </w:rPr>
        <w:t xml:space="preserve"> – Ford`s stock information on New </w:t>
      </w:r>
      <w:r w:rsidR="00CA6A5D" w:rsidRPr="00EA6353">
        <w:rPr>
          <w:rFonts w:ascii="Arial" w:hAnsi="Arial" w:cs="Arial"/>
          <w:sz w:val="24"/>
          <w:szCs w:val="24"/>
        </w:rPr>
        <w:t>York Stock Exchange</w:t>
      </w:r>
    </w:p>
    <w:p w14:paraId="6FA3F9D3" w14:textId="61C791CB" w:rsidR="00CA6A5D" w:rsidRDefault="00CA6A5D" w:rsidP="00894F31">
      <w:pPr>
        <w:jc w:val="center"/>
      </w:pPr>
      <w:r>
        <w:t>Source: N</w:t>
      </w:r>
      <w:r w:rsidR="00BC1371">
        <w:t xml:space="preserve">ew York </w:t>
      </w:r>
      <w:r w:rsidR="00C267D2">
        <w:t>S</w:t>
      </w:r>
      <w:r w:rsidR="00BC1371">
        <w:t xml:space="preserve">tock Exchange and Ford </w:t>
      </w:r>
      <w:r w:rsidR="00FB58CC">
        <w:t xml:space="preserve">Investor online: </w:t>
      </w:r>
      <w:hyperlink r:id="rId12" w:history="1">
        <w:r w:rsidR="00FB58CC" w:rsidRPr="00A06CEA">
          <w:rPr>
            <w:rStyle w:val="Hyperlink"/>
          </w:rPr>
          <w:t>https://shareholder.ford.com/Investors/Information/stock/default.aspx</w:t>
        </w:r>
      </w:hyperlink>
    </w:p>
    <w:p w14:paraId="53C05C9D" w14:textId="77777777" w:rsidR="002A0C45" w:rsidRDefault="002A0C45" w:rsidP="00CA6A5D"/>
    <w:p w14:paraId="4547F180" w14:textId="77777777" w:rsidR="002A0C45" w:rsidRDefault="002A0C45" w:rsidP="002A0C45">
      <w:pPr>
        <w:keepNext/>
      </w:pPr>
      <w:r>
        <w:rPr>
          <w:noProof/>
        </w:rPr>
        <w:drawing>
          <wp:inline distT="0" distB="0" distL="0" distR="0" wp14:anchorId="0F753652" wp14:editId="7D5EA8B9">
            <wp:extent cx="6456045" cy="2859405"/>
            <wp:effectExtent l="0" t="0" r="1905" b="0"/>
            <wp:docPr id="7323878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56045" cy="2859405"/>
                    </a:xfrm>
                    <a:prstGeom prst="rect">
                      <a:avLst/>
                    </a:prstGeom>
                    <a:noFill/>
                  </pic:spPr>
                </pic:pic>
              </a:graphicData>
            </a:graphic>
          </wp:inline>
        </w:drawing>
      </w:r>
    </w:p>
    <w:p w14:paraId="482C1873" w14:textId="64DF8834" w:rsidR="002A0C45" w:rsidRPr="00EA6353" w:rsidRDefault="002A0C45" w:rsidP="00894F31">
      <w:pPr>
        <w:pStyle w:val="Caption"/>
        <w:jc w:val="center"/>
        <w:rPr>
          <w:rFonts w:ascii="Arial" w:hAnsi="Arial" w:cs="Arial"/>
          <w:sz w:val="24"/>
          <w:szCs w:val="24"/>
        </w:rPr>
      </w:pPr>
      <w:r w:rsidRPr="00EA6353">
        <w:rPr>
          <w:rFonts w:ascii="Arial" w:hAnsi="Arial" w:cs="Arial"/>
          <w:sz w:val="24"/>
          <w:szCs w:val="24"/>
        </w:rPr>
        <w:t xml:space="preserve">Figure </w:t>
      </w:r>
      <w:r w:rsidRPr="00EA6353">
        <w:rPr>
          <w:rFonts w:ascii="Arial" w:hAnsi="Arial" w:cs="Arial"/>
          <w:sz w:val="24"/>
          <w:szCs w:val="24"/>
        </w:rPr>
        <w:fldChar w:fldCharType="begin"/>
      </w:r>
      <w:r w:rsidRPr="00EA6353">
        <w:rPr>
          <w:rFonts w:ascii="Arial" w:hAnsi="Arial" w:cs="Arial"/>
          <w:sz w:val="24"/>
          <w:szCs w:val="24"/>
        </w:rPr>
        <w:instrText xml:space="preserve"> SEQ Figure \* ARABIC </w:instrText>
      </w:r>
      <w:r w:rsidRPr="00EA6353">
        <w:rPr>
          <w:rFonts w:ascii="Arial" w:hAnsi="Arial" w:cs="Arial"/>
          <w:sz w:val="24"/>
          <w:szCs w:val="24"/>
        </w:rPr>
        <w:fldChar w:fldCharType="separate"/>
      </w:r>
      <w:r w:rsidR="001E1868" w:rsidRPr="00EA6353">
        <w:rPr>
          <w:rFonts w:ascii="Arial" w:hAnsi="Arial" w:cs="Arial"/>
          <w:noProof/>
          <w:sz w:val="24"/>
          <w:szCs w:val="24"/>
        </w:rPr>
        <w:t>4</w:t>
      </w:r>
      <w:r w:rsidRPr="00EA6353">
        <w:rPr>
          <w:rFonts w:ascii="Arial" w:hAnsi="Arial" w:cs="Arial"/>
          <w:sz w:val="24"/>
          <w:szCs w:val="24"/>
        </w:rPr>
        <w:fldChar w:fldCharType="end"/>
      </w:r>
      <w:r w:rsidRPr="00EA6353">
        <w:rPr>
          <w:rFonts w:ascii="Arial" w:hAnsi="Arial" w:cs="Arial"/>
          <w:sz w:val="24"/>
          <w:szCs w:val="24"/>
        </w:rPr>
        <w:t xml:space="preserve"> – </w:t>
      </w:r>
      <w:r w:rsidR="00E1215B" w:rsidRPr="00EA6353">
        <w:rPr>
          <w:rFonts w:ascii="Arial" w:hAnsi="Arial" w:cs="Arial"/>
          <w:sz w:val="24"/>
          <w:szCs w:val="24"/>
        </w:rPr>
        <w:t>Stock</w:t>
      </w:r>
      <w:r w:rsidRPr="00EA6353">
        <w:rPr>
          <w:rFonts w:ascii="Arial" w:hAnsi="Arial" w:cs="Arial"/>
          <w:sz w:val="24"/>
          <w:szCs w:val="24"/>
        </w:rPr>
        <w:t xml:space="preserve"> </w:t>
      </w:r>
      <w:r w:rsidR="008E5703" w:rsidRPr="00EA6353">
        <w:rPr>
          <w:rFonts w:ascii="Arial" w:hAnsi="Arial" w:cs="Arial"/>
          <w:sz w:val="24"/>
          <w:szCs w:val="24"/>
        </w:rPr>
        <w:t xml:space="preserve">Price </w:t>
      </w:r>
      <w:r w:rsidR="00E1215B" w:rsidRPr="00EA6353">
        <w:rPr>
          <w:rFonts w:ascii="Arial" w:hAnsi="Arial" w:cs="Arial"/>
          <w:sz w:val="24"/>
          <w:szCs w:val="24"/>
        </w:rPr>
        <w:t>performance.</w:t>
      </w:r>
    </w:p>
    <w:p w14:paraId="704CF82B" w14:textId="1B6C7BBE" w:rsidR="00C267D2" w:rsidRPr="00C267D2" w:rsidRDefault="00C267D2" w:rsidP="00894F31">
      <w:pPr>
        <w:jc w:val="center"/>
      </w:pPr>
      <w:r>
        <w:t xml:space="preserve">Source: </w:t>
      </w:r>
      <w:r w:rsidRPr="00C267D2">
        <w:t xml:space="preserve">New York </w:t>
      </w:r>
      <w:r>
        <w:t>S</w:t>
      </w:r>
      <w:r w:rsidRPr="00C267D2">
        <w:t>tock Exchange</w:t>
      </w:r>
    </w:p>
    <w:p w14:paraId="743EA378" w14:textId="77777777" w:rsidR="002A0C45" w:rsidRPr="002A0C45" w:rsidRDefault="002A0C45" w:rsidP="002A0C45"/>
    <w:p w14:paraId="50A0EE74" w14:textId="35AEE0A5" w:rsidR="003B6A15" w:rsidRDefault="00A93475" w:rsidP="00147908">
      <w:pPr>
        <w:spacing w:line="360" w:lineRule="auto"/>
        <w:jc w:val="both"/>
        <w:rPr>
          <w:rFonts w:ascii="Arial" w:hAnsi="Arial" w:cs="Arial"/>
          <w:sz w:val="24"/>
          <w:szCs w:val="24"/>
        </w:rPr>
      </w:pPr>
      <w:r w:rsidRPr="00A93475">
        <w:rPr>
          <w:rFonts w:ascii="Arial" w:hAnsi="Arial" w:cs="Arial"/>
          <w:sz w:val="24"/>
          <w:szCs w:val="24"/>
        </w:rPr>
        <w:t xml:space="preserve">The company's operational activities are </w:t>
      </w:r>
      <w:r w:rsidR="00A01C5D" w:rsidRPr="00A93475">
        <w:rPr>
          <w:rFonts w:ascii="Arial" w:hAnsi="Arial" w:cs="Arial"/>
          <w:sz w:val="24"/>
          <w:szCs w:val="24"/>
        </w:rPr>
        <w:t>segregated</w:t>
      </w:r>
      <w:r w:rsidRPr="00A93475">
        <w:rPr>
          <w:rFonts w:ascii="Arial" w:hAnsi="Arial" w:cs="Arial"/>
          <w:sz w:val="24"/>
          <w:szCs w:val="24"/>
        </w:rPr>
        <w:t xml:space="preserve"> into four </w:t>
      </w:r>
      <w:r w:rsidR="00A01C5D" w:rsidRPr="00A93475">
        <w:rPr>
          <w:rFonts w:ascii="Arial" w:hAnsi="Arial" w:cs="Arial"/>
          <w:sz w:val="24"/>
          <w:szCs w:val="24"/>
        </w:rPr>
        <w:t>subdivisions</w:t>
      </w:r>
      <w:r w:rsidRPr="00A93475">
        <w:rPr>
          <w:rFonts w:ascii="Arial" w:hAnsi="Arial" w:cs="Arial"/>
          <w:sz w:val="24"/>
          <w:szCs w:val="24"/>
        </w:rPr>
        <w:t>: Ford Smart Mobility LLC</w:t>
      </w:r>
      <w:r>
        <w:rPr>
          <w:rFonts w:ascii="Arial" w:hAnsi="Arial" w:cs="Arial"/>
          <w:sz w:val="24"/>
          <w:szCs w:val="24"/>
        </w:rPr>
        <w:t xml:space="preserve">, </w:t>
      </w:r>
      <w:r w:rsidRPr="00A93475">
        <w:rPr>
          <w:rFonts w:ascii="Arial" w:hAnsi="Arial" w:cs="Arial"/>
          <w:sz w:val="24"/>
          <w:szCs w:val="24"/>
        </w:rPr>
        <w:t>Automotive, Central Treasury Operations</w:t>
      </w:r>
      <w:r>
        <w:rPr>
          <w:rFonts w:ascii="Arial" w:hAnsi="Arial" w:cs="Arial"/>
          <w:sz w:val="24"/>
          <w:szCs w:val="24"/>
        </w:rPr>
        <w:t xml:space="preserve"> and </w:t>
      </w:r>
      <w:r w:rsidRPr="00A93475">
        <w:rPr>
          <w:rFonts w:ascii="Arial" w:hAnsi="Arial" w:cs="Arial"/>
          <w:sz w:val="24"/>
          <w:szCs w:val="24"/>
        </w:rPr>
        <w:t>Financial Services</w:t>
      </w:r>
      <w:r>
        <w:rPr>
          <w:rFonts w:ascii="Arial" w:hAnsi="Arial" w:cs="Arial"/>
          <w:sz w:val="24"/>
          <w:szCs w:val="24"/>
        </w:rPr>
        <w:t xml:space="preserve">. </w:t>
      </w:r>
      <w:r w:rsidRPr="00A93475">
        <w:rPr>
          <w:rFonts w:ascii="Arial" w:hAnsi="Arial" w:cs="Arial"/>
          <w:sz w:val="24"/>
          <w:szCs w:val="24"/>
        </w:rPr>
        <w:t xml:space="preserve">The Automotive business include the activities of marketing, developing, </w:t>
      </w:r>
      <w:r w:rsidR="002779AA" w:rsidRPr="00A93475">
        <w:rPr>
          <w:rFonts w:ascii="Arial" w:hAnsi="Arial" w:cs="Arial"/>
          <w:sz w:val="24"/>
          <w:szCs w:val="24"/>
        </w:rPr>
        <w:t>engineering</w:t>
      </w:r>
      <w:r w:rsidRPr="00A93475">
        <w:rPr>
          <w:rFonts w:ascii="Arial" w:hAnsi="Arial" w:cs="Arial"/>
          <w:sz w:val="24"/>
          <w:szCs w:val="24"/>
        </w:rPr>
        <w:t xml:space="preserve">, </w:t>
      </w:r>
      <w:r w:rsidR="00474654" w:rsidRPr="00A93475">
        <w:rPr>
          <w:rFonts w:ascii="Arial" w:hAnsi="Arial" w:cs="Arial"/>
          <w:sz w:val="24"/>
          <w:szCs w:val="24"/>
        </w:rPr>
        <w:t>constructing</w:t>
      </w:r>
      <w:r w:rsidRPr="00A93475">
        <w:rPr>
          <w:rFonts w:ascii="Arial" w:hAnsi="Arial" w:cs="Arial"/>
          <w:sz w:val="24"/>
          <w:szCs w:val="24"/>
        </w:rPr>
        <w:t xml:space="preserve">, and distributing Ford and Lincoln brand vehicles, together with their </w:t>
      </w:r>
      <w:r w:rsidRPr="00A93475">
        <w:rPr>
          <w:rFonts w:ascii="Arial" w:hAnsi="Arial" w:cs="Arial"/>
          <w:sz w:val="24"/>
          <w:szCs w:val="24"/>
        </w:rPr>
        <w:lastRenderedPageBreak/>
        <w:t xml:space="preserve">accessories and </w:t>
      </w:r>
      <w:r w:rsidR="006D764F" w:rsidRPr="00A93475">
        <w:rPr>
          <w:rFonts w:ascii="Arial" w:hAnsi="Arial" w:cs="Arial"/>
          <w:sz w:val="24"/>
          <w:szCs w:val="24"/>
        </w:rPr>
        <w:t>repairing</w:t>
      </w:r>
      <w:r w:rsidRPr="00A93475">
        <w:rPr>
          <w:rFonts w:ascii="Arial" w:hAnsi="Arial" w:cs="Arial"/>
          <w:sz w:val="24"/>
          <w:szCs w:val="24"/>
        </w:rPr>
        <w:t xml:space="preserve"> parts.</w:t>
      </w:r>
      <w:r w:rsidR="0071674E">
        <w:rPr>
          <w:rFonts w:ascii="Arial" w:hAnsi="Arial" w:cs="Arial"/>
          <w:sz w:val="24"/>
          <w:szCs w:val="24"/>
        </w:rPr>
        <w:t xml:space="preserve"> </w:t>
      </w:r>
      <w:r w:rsidR="00317D80" w:rsidRPr="00317D80">
        <w:rPr>
          <w:rFonts w:ascii="Arial" w:hAnsi="Arial" w:cs="Arial"/>
          <w:sz w:val="24"/>
          <w:szCs w:val="24"/>
        </w:rPr>
        <w:t xml:space="preserve">Ford Motor Company wants to make the most trusted cars that reduce congestion, accidents, and pollutants. Ford is spending extensively in technology to modernise the firm for the future. </w:t>
      </w:r>
      <w:r w:rsidR="00986E6F">
        <w:rPr>
          <w:rFonts w:ascii="Arial" w:hAnsi="Arial" w:cs="Arial"/>
          <w:sz w:val="24"/>
          <w:szCs w:val="24"/>
        </w:rPr>
        <w:t xml:space="preserve"> (Ford, 2023)</w:t>
      </w:r>
    </w:p>
    <w:p w14:paraId="57C60921" w14:textId="39CFFB59" w:rsidR="0071674E" w:rsidRPr="00147908" w:rsidRDefault="0071674E" w:rsidP="00147908">
      <w:pPr>
        <w:spacing w:line="360" w:lineRule="auto"/>
        <w:jc w:val="both"/>
        <w:rPr>
          <w:rFonts w:ascii="Arial" w:hAnsi="Arial" w:cs="Arial"/>
          <w:sz w:val="24"/>
          <w:szCs w:val="24"/>
        </w:rPr>
      </w:pPr>
      <w:r w:rsidRPr="0071674E">
        <w:rPr>
          <w:rFonts w:ascii="Arial" w:hAnsi="Arial" w:cs="Arial"/>
          <w:sz w:val="24"/>
          <w:szCs w:val="24"/>
        </w:rPr>
        <w:t>In the ever-changing realm of the automobile sector, intense rivalry prevails, and the impetus for progress lies in the pursuit of innovation. Ford Motor Company, a pioneering force in the field of automobiles, has faced a multitude of rivals and alternatives that have played a role in shaping the constantly changing landscape of the business. Ford's primary rivals encompass Toyota, Volkswagen, Honda, Nissan, BMW, Tesla, and other car manufacturers.</w:t>
      </w:r>
    </w:p>
    <w:p w14:paraId="596FF91A" w14:textId="77777777" w:rsidR="003B6A15" w:rsidRDefault="003B6A15" w:rsidP="00147908">
      <w:pPr>
        <w:spacing w:line="360" w:lineRule="auto"/>
        <w:jc w:val="both"/>
        <w:rPr>
          <w:rFonts w:ascii="Arial" w:hAnsi="Arial" w:cs="Arial"/>
          <w:sz w:val="24"/>
          <w:szCs w:val="24"/>
        </w:rPr>
      </w:pPr>
    </w:p>
    <w:p w14:paraId="083C1F1A" w14:textId="6363CDA8" w:rsidR="003B6A15" w:rsidRDefault="0091226F" w:rsidP="003B6A15">
      <w:pPr>
        <w:pStyle w:val="Heading2"/>
      </w:pPr>
      <w:bookmarkStart w:id="3" w:name="_Toc164624822"/>
      <w:r>
        <w:t>E</w:t>
      </w:r>
      <w:r w:rsidR="003B6A15">
        <w:t>vents</w:t>
      </w:r>
      <w:bookmarkEnd w:id="3"/>
    </w:p>
    <w:p w14:paraId="17D09FFD" w14:textId="77777777" w:rsidR="003B6A15" w:rsidRDefault="003B6A15" w:rsidP="003B6A15"/>
    <w:p w14:paraId="43D87132" w14:textId="2602EB82" w:rsidR="008E17C9" w:rsidRPr="003B6A15" w:rsidRDefault="008E17C9" w:rsidP="008E17C9">
      <w:pPr>
        <w:pStyle w:val="Heading3"/>
      </w:pPr>
      <w:bookmarkStart w:id="4" w:name="_Toc164624823"/>
      <w:r>
        <w:t>Covid -19</w:t>
      </w:r>
      <w:bookmarkEnd w:id="4"/>
    </w:p>
    <w:p w14:paraId="20072DD8" w14:textId="389BBAD1" w:rsidR="006B1AAE" w:rsidRDefault="008E17C9" w:rsidP="00147908">
      <w:pPr>
        <w:spacing w:line="360" w:lineRule="auto"/>
        <w:jc w:val="both"/>
        <w:rPr>
          <w:rFonts w:ascii="Arial" w:hAnsi="Arial" w:cs="Arial"/>
          <w:sz w:val="24"/>
          <w:szCs w:val="24"/>
        </w:rPr>
      </w:pPr>
      <w:r w:rsidRPr="008E17C9">
        <w:rPr>
          <w:rFonts w:ascii="Arial" w:hAnsi="Arial" w:cs="Arial"/>
          <w:sz w:val="24"/>
          <w:szCs w:val="24"/>
        </w:rPr>
        <w:t xml:space="preserve">Due to COVID-19, COVID-19 sales dropped from $155900 in 2019 to $127144 in 2020. The market downturn has also affected car production. Its 2020 </w:t>
      </w:r>
      <w:r w:rsidR="006B1AAE">
        <w:rPr>
          <w:rFonts w:ascii="Arial" w:hAnsi="Arial" w:cs="Arial"/>
          <w:sz w:val="24"/>
          <w:szCs w:val="24"/>
        </w:rPr>
        <w:t>Cost of Goods Sale (</w:t>
      </w:r>
      <w:r w:rsidRPr="008E17C9">
        <w:rPr>
          <w:rFonts w:ascii="Arial" w:hAnsi="Arial" w:cs="Arial"/>
          <w:sz w:val="24"/>
          <w:szCs w:val="24"/>
        </w:rPr>
        <w:t>COGS</w:t>
      </w:r>
      <w:r w:rsidR="006B1AAE">
        <w:rPr>
          <w:rFonts w:ascii="Arial" w:hAnsi="Arial" w:cs="Arial"/>
          <w:sz w:val="24"/>
          <w:szCs w:val="24"/>
        </w:rPr>
        <w:t>)</w:t>
      </w:r>
      <w:r w:rsidRPr="008E17C9">
        <w:rPr>
          <w:rFonts w:ascii="Arial" w:hAnsi="Arial" w:cs="Arial"/>
          <w:sz w:val="24"/>
          <w:szCs w:val="24"/>
        </w:rPr>
        <w:t xml:space="preserve"> was $121336, down from $143405 in 2019. The company's 2020 net income declined drastically to $1279 due to real economy fixed operational costs. Changes in 2021.In 2021, Ford Motor Co.'s financial position improved after responding to COVID19. The company's total sales have climbed to </w:t>
      </w:r>
      <w:proofErr w:type="gramStart"/>
      <w:r w:rsidRPr="008E17C9">
        <w:rPr>
          <w:rFonts w:ascii="Arial" w:hAnsi="Arial" w:cs="Arial"/>
          <w:sz w:val="24"/>
          <w:szCs w:val="24"/>
        </w:rPr>
        <w:t>US $136341,</w:t>
      </w:r>
      <w:proofErr w:type="gramEnd"/>
      <w:r w:rsidRPr="008E17C9">
        <w:rPr>
          <w:rFonts w:ascii="Arial" w:hAnsi="Arial" w:cs="Arial"/>
          <w:sz w:val="24"/>
          <w:szCs w:val="24"/>
        </w:rPr>
        <w:t xml:space="preserve"> COGS has decreased to US $119903, and net income has changed from loss to profit of $17937. </w:t>
      </w:r>
      <w:r w:rsidR="008F1DD0" w:rsidRPr="00147908">
        <w:rPr>
          <w:rFonts w:ascii="Arial" w:hAnsi="Arial" w:cs="Arial"/>
          <w:sz w:val="24"/>
          <w:szCs w:val="24"/>
        </w:rPr>
        <w:t xml:space="preserve"> (Ford </w:t>
      </w:r>
      <w:r w:rsidR="00C75FBB" w:rsidRPr="00147908">
        <w:rPr>
          <w:rFonts w:ascii="Arial" w:hAnsi="Arial" w:cs="Arial"/>
          <w:sz w:val="24"/>
          <w:szCs w:val="24"/>
        </w:rPr>
        <w:t>annual reports)</w:t>
      </w:r>
    </w:p>
    <w:p w14:paraId="3AB8A828" w14:textId="77777777" w:rsidR="002834BD" w:rsidRDefault="002834BD" w:rsidP="00147908">
      <w:pPr>
        <w:spacing w:line="360" w:lineRule="auto"/>
        <w:jc w:val="both"/>
        <w:rPr>
          <w:rFonts w:ascii="Arial" w:hAnsi="Arial" w:cs="Arial"/>
          <w:sz w:val="24"/>
          <w:szCs w:val="24"/>
        </w:rPr>
      </w:pPr>
    </w:p>
    <w:p w14:paraId="3394EDAF" w14:textId="5E21F6A3" w:rsidR="006B1AAE" w:rsidRPr="00147908" w:rsidRDefault="006B1AAE" w:rsidP="0087203E">
      <w:pPr>
        <w:pStyle w:val="Heading3"/>
      </w:pPr>
      <w:bookmarkStart w:id="5" w:name="_Toc164624824"/>
      <w:r>
        <w:t>A</w:t>
      </w:r>
      <w:r w:rsidR="002A31EE">
        <w:t>c</w:t>
      </w:r>
      <w:r>
        <w:t>quisi</w:t>
      </w:r>
      <w:r w:rsidR="0087203E">
        <w:t>tion</w:t>
      </w:r>
      <w:bookmarkEnd w:id="5"/>
    </w:p>
    <w:p w14:paraId="17D862B6" w14:textId="5AFE40BB" w:rsidR="0087203E" w:rsidRDefault="000F2C77" w:rsidP="00147908">
      <w:pPr>
        <w:spacing w:line="360" w:lineRule="auto"/>
        <w:jc w:val="both"/>
        <w:rPr>
          <w:rFonts w:ascii="Arial" w:hAnsi="Arial" w:cs="Arial"/>
          <w:sz w:val="24"/>
          <w:szCs w:val="24"/>
        </w:rPr>
      </w:pPr>
      <w:r w:rsidRPr="000F2C77">
        <w:rPr>
          <w:rFonts w:ascii="Arial" w:hAnsi="Arial" w:cs="Arial"/>
          <w:sz w:val="24"/>
          <w:szCs w:val="24"/>
        </w:rPr>
        <w:t xml:space="preserve">In 2019, Ford declared the procurement of the electric scooter company, Spin, as a component of its endeavours to expand into mobility solutions. Ford's acquisition of Spin is a recent strategic manoeuvre in the field of mobility, aimed at expanding the company's portfolio </w:t>
      </w:r>
      <w:proofErr w:type="gramStart"/>
      <w:r w:rsidRPr="000F2C77">
        <w:rPr>
          <w:rFonts w:ascii="Arial" w:hAnsi="Arial" w:cs="Arial"/>
          <w:sz w:val="24"/>
          <w:szCs w:val="24"/>
        </w:rPr>
        <w:t>in order to</w:t>
      </w:r>
      <w:proofErr w:type="gramEnd"/>
      <w:r w:rsidRPr="000F2C77">
        <w:rPr>
          <w:rFonts w:ascii="Arial" w:hAnsi="Arial" w:cs="Arial"/>
          <w:sz w:val="24"/>
          <w:szCs w:val="24"/>
        </w:rPr>
        <w:t xml:space="preserve"> provide customers with more convenient, efficient, and cost-effective transportation options.</w:t>
      </w:r>
      <w:r w:rsidR="0069248E">
        <w:rPr>
          <w:rFonts w:ascii="Arial" w:hAnsi="Arial" w:cs="Arial"/>
          <w:sz w:val="24"/>
          <w:szCs w:val="24"/>
        </w:rPr>
        <w:t xml:space="preserve"> (Ford, 2019)</w:t>
      </w:r>
    </w:p>
    <w:p w14:paraId="6B72576A" w14:textId="77777777" w:rsidR="000F2C77" w:rsidRDefault="000F2C77" w:rsidP="00147908">
      <w:pPr>
        <w:spacing w:line="360" w:lineRule="auto"/>
        <w:jc w:val="both"/>
        <w:rPr>
          <w:rFonts w:ascii="Arial" w:hAnsi="Arial" w:cs="Arial"/>
          <w:sz w:val="24"/>
          <w:szCs w:val="24"/>
        </w:rPr>
      </w:pPr>
    </w:p>
    <w:p w14:paraId="02FCF06F" w14:textId="18595EC6" w:rsidR="0087203E" w:rsidRPr="00147908" w:rsidRDefault="0087203E" w:rsidP="008115CD">
      <w:pPr>
        <w:pStyle w:val="Heading3"/>
      </w:pPr>
      <w:bookmarkStart w:id="6" w:name="_Toc164624825"/>
      <w:r>
        <w:lastRenderedPageBreak/>
        <w:t>New appoin</w:t>
      </w:r>
      <w:r w:rsidR="008115CD">
        <w:t>tment</w:t>
      </w:r>
      <w:bookmarkEnd w:id="6"/>
    </w:p>
    <w:p w14:paraId="66F5CDC8" w14:textId="6C34DB77" w:rsidR="002834BD" w:rsidRPr="002834BD" w:rsidRDefault="002834BD" w:rsidP="002834BD">
      <w:pPr>
        <w:spacing w:line="360" w:lineRule="auto"/>
        <w:jc w:val="both"/>
        <w:rPr>
          <w:rFonts w:ascii="Arial" w:hAnsi="Arial" w:cs="Arial"/>
          <w:sz w:val="24"/>
          <w:szCs w:val="24"/>
        </w:rPr>
      </w:pPr>
      <w:r w:rsidRPr="002834BD">
        <w:rPr>
          <w:rFonts w:ascii="Arial" w:hAnsi="Arial" w:cs="Arial"/>
          <w:sz w:val="24"/>
          <w:szCs w:val="24"/>
        </w:rPr>
        <w:t>Jim Farley became Ford's CEO in October 2020, inheriting a firm with structural concerns like inefficiency and quality control. In a CNBC story, Farley voiced disappointment with the company's 2022 fiscal performance and slow growth. Ford's US market share fell from 14.1% in 2020 to 13.4% in 2021 under Farley, illustrating the company's troubles.</w:t>
      </w:r>
      <w:r w:rsidR="0069248E">
        <w:rPr>
          <w:rFonts w:ascii="Arial" w:hAnsi="Arial" w:cs="Arial"/>
          <w:sz w:val="24"/>
          <w:szCs w:val="24"/>
        </w:rPr>
        <w:t xml:space="preserve"> (Ford</w:t>
      </w:r>
      <w:r w:rsidR="006942CA">
        <w:rPr>
          <w:rFonts w:ascii="Arial" w:hAnsi="Arial" w:cs="Arial"/>
          <w:sz w:val="24"/>
          <w:szCs w:val="24"/>
        </w:rPr>
        <w:t>, 2020)</w:t>
      </w:r>
    </w:p>
    <w:p w14:paraId="50AE4F32" w14:textId="77777777" w:rsidR="00147908" w:rsidRDefault="00147908" w:rsidP="00147908"/>
    <w:p w14:paraId="6B4089C8" w14:textId="33241A0A" w:rsidR="00E37094" w:rsidRPr="00147908" w:rsidRDefault="00E37094" w:rsidP="00E37094">
      <w:pPr>
        <w:pStyle w:val="Heading3"/>
      </w:pPr>
      <w:bookmarkStart w:id="7" w:name="_Toc164624826"/>
      <w:r>
        <w:t>New Strategy</w:t>
      </w:r>
      <w:bookmarkEnd w:id="7"/>
    </w:p>
    <w:p w14:paraId="2E9C6BD5" w14:textId="77777777" w:rsidR="000E0006" w:rsidRPr="000E0006" w:rsidRDefault="000E0006" w:rsidP="000E0006">
      <w:pPr>
        <w:spacing w:line="360" w:lineRule="auto"/>
        <w:jc w:val="both"/>
        <w:rPr>
          <w:rFonts w:ascii="Arial" w:hAnsi="Arial" w:cs="Arial"/>
          <w:sz w:val="24"/>
          <w:szCs w:val="24"/>
        </w:rPr>
      </w:pPr>
      <w:r w:rsidRPr="000E0006">
        <w:rPr>
          <w:rFonts w:ascii="Arial" w:hAnsi="Arial" w:cs="Arial"/>
          <w:sz w:val="24"/>
          <w:szCs w:val="24"/>
        </w:rPr>
        <w:t>In 2020, Ford Motor Company revealed The Plan, their corporate plan. The corporation wants to revive and flourish after the 2008 financial crisis and COVID-19 pandemic. The Plan prioritises electric car conversion, environmental goals, and automotive safety.</w:t>
      </w:r>
    </w:p>
    <w:p w14:paraId="48CE7BCE" w14:textId="0CE93F4B" w:rsidR="002557DC" w:rsidRDefault="000E0006" w:rsidP="000E0006">
      <w:pPr>
        <w:spacing w:line="360" w:lineRule="auto"/>
        <w:jc w:val="both"/>
        <w:rPr>
          <w:rFonts w:ascii="Arial" w:hAnsi="Arial" w:cs="Arial"/>
          <w:sz w:val="24"/>
          <w:szCs w:val="24"/>
        </w:rPr>
      </w:pPr>
      <w:r w:rsidRPr="000E0006">
        <w:rPr>
          <w:rFonts w:ascii="Arial" w:hAnsi="Arial" w:cs="Arial"/>
          <w:sz w:val="24"/>
          <w:szCs w:val="24"/>
        </w:rPr>
        <w:t>In May 2021, Ford introduced the F-150 Lightning, an electric truck. This was a major electrification milestone for Ford and garnered automotive industry attention. Ford invested heavily in electric car infrastructure, including charging network expansion and consumer acceptance campaigns.</w:t>
      </w:r>
      <w:r w:rsidR="006942CA">
        <w:rPr>
          <w:rFonts w:ascii="Arial" w:hAnsi="Arial" w:cs="Arial"/>
          <w:sz w:val="24"/>
          <w:szCs w:val="24"/>
        </w:rPr>
        <w:t xml:space="preserve"> (Ford, 2021)</w:t>
      </w:r>
    </w:p>
    <w:p w14:paraId="037DC497" w14:textId="77777777" w:rsidR="000E0006" w:rsidRDefault="000E0006" w:rsidP="000E0006">
      <w:pPr>
        <w:spacing w:line="360" w:lineRule="auto"/>
        <w:jc w:val="both"/>
        <w:rPr>
          <w:rFonts w:ascii="Arial" w:hAnsi="Arial" w:cs="Arial"/>
          <w:sz w:val="24"/>
          <w:szCs w:val="24"/>
        </w:rPr>
      </w:pPr>
    </w:p>
    <w:p w14:paraId="40028705" w14:textId="4C2CD2AC" w:rsidR="002557DC" w:rsidRPr="00147908" w:rsidRDefault="002557DC" w:rsidP="002557DC">
      <w:pPr>
        <w:pStyle w:val="Heading3"/>
      </w:pPr>
      <w:bookmarkStart w:id="8" w:name="_Toc164624827"/>
      <w:r>
        <w:t>Profit Warning</w:t>
      </w:r>
      <w:bookmarkEnd w:id="8"/>
    </w:p>
    <w:p w14:paraId="1672E6D3" w14:textId="245EC0A1" w:rsidR="00332741" w:rsidRPr="00332741" w:rsidRDefault="00332741" w:rsidP="00332741">
      <w:pPr>
        <w:spacing w:line="360" w:lineRule="auto"/>
        <w:jc w:val="both"/>
        <w:rPr>
          <w:rFonts w:ascii="Arial" w:hAnsi="Arial" w:cs="Arial"/>
          <w:sz w:val="24"/>
          <w:szCs w:val="24"/>
        </w:rPr>
      </w:pPr>
      <w:r w:rsidRPr="00332741">
        <w:rPr>
          <w:rFonts w:ascii="Arial" w:hAnsi="Arial" w:cs="Arial"/>
          <w:sz w:val="24"/>
          <w:szCs w:val="24"/>
        </w:rPr>
        <w:t>Ford's profit warning indicates that the truck business is robust in 2022. Electric vehicles (EVs) have the potential to improve the situation. During the initial half of 2022, Ford has successfully sold over 2 million automobiles and disclosed an adjusted operating profit of around $6 billion. The average cost per vehicle is $3,000. If Ford's electric vehicles prove to be more lucrative than their lower-priced gasoline-powered counterparts, then Ford's operating profit has the potential to increase due to the influence of product mix.</w:t>
      </w:r>
      <w:r w:rsidR="008A51EA">
        <w:rPr>
          <w:rFonts w:ascii="Arial" w:hAnsi="Arial" w:cs="Arial"/>
          <w:sz w:val="24"/>
          <w:szCs w:val="24"/>
        </w:rPr>
        <w:t xml:space="preserve"> (Ford, 2022)</w:t>
      </w:r>
    </w:p>
    <w:p w14:paraId="11B40E76" w14:textId="77777777" w:rsidR="002557DC" w:rsidRPr="00147908" w:rsidRDefault="002557DC" w:rsidP="00147908">
      <w:pPr>
        <w:spacing w:line="360" w:lineRule="auto"/>
        <w:jc w:val="both"/>
        <w:rPr>
          <w:rFonts w:ascii="Arial" w:hAnsi="Arial" w:cs="Arial"/>
          <w:sz w:val="24"/>
          <w:szCs w:val="24"/>
        </w:rPr>
      </w:pPr>
    </w:p>
    <w:p w14:paraId="6CC80CCB" w14:textId="71CA6531" w:rsidR="008C4BDF" w:rsidRDefault="002557DC" w:rsidP="002557DC">
      <w:pPr>
        <w:pStyle w:val="Heading3"/>
      </w:pPr>
      <w:bookmarkStart w:id="9" w:name="_Toc164624828"/>
      <w:r>
        <w:t>Regulatory Challenges</w:t>
      </w:r>
      <w:bookmarkEnd w:id="9"/>
    </w:p>
    <w:p w14:paraId="08B8C6B3" w14:textId="40513254" w:rsidR="00B53D32" w:rsidRPr="00B53D32" w:rsidRDefault="00B53D32" w:rsidP="00B53D32">
      <w:pPr>
        <w:spacing w:line="360" w:lineRule="auto"/>
        <w:jc w:val="both"/>
        <w:rPr>
          <w:rFonts w:ascii="Arial" w:hAnsi="Arial" w:cs="Arial"/>
          <w:sz w:val="24"/>
          <w:szCs w:val="24"/>
        </w:rPr>
      </w:pPr>
      <w:r w:rsidRPr="00B53D32">
        <w:rPr>
          <w:rFonts w:ascii="Arial" w:hAnsi="Arial" w:cs="Arial"/>
          <w:sz w:val="24"/>
          <w:szCs w:val="24"/>
        </w:rPr>
        <w:t xml:space="preserve">In 2023, Ford encountered legal and regulatory obstacles </w:t>
      </w:r>
      <w:proofErr w:type="gramStart"/>
      <w:r w:rsidRPr="00B53D32">
        <w:rPr>
          <w:rFonts w:ascii="Arial" w:hAnsi="Arial" w:cs="Arial"/>
          <w:sz w:val="24"/>
          <w:szCs w:val="24"/>
        </w:rPr>
        <w:t>as a result of</w:t>
      </w:r>
      <w:proofErr w:type="gramEnd"/>
      <w:r w:rsidRPr="00B53D32">
        <w:rPr>
          <w:rFonts w:ascii="Arial" w:hAnsi="Arial" w:cs="Arial"/>
          <w:sz w:val="24"/>
          <w:szCs w:val="24"/>
        </w:rPr>
        <w:t xml:space="preserve"> non-compliance with emission standards. The expenses associated with adhering to government laws on </w:t>
      </w:r>
      <w:r w:rsidR="00C44AEC" w:rsidRPr="00B53D32">
        <w:rPr>
          <w:rFonts w:ascii="Arial" w:hAnsi="Arial" w:cs="Arial"/>
          <w:sz w:val="24"/>
          <w:szCs w:val="24"/>
        </w:rPr>
        <w:t>newfound</w:t>
      </w:r>
      <w:r w:rsidRPr="00B53D32">
        <w:rPr>
          <w:rFonts w:ascii="Arial" w:hAnsi="Arial" w:cs="Arial"/>
          <w:sz w:val="24"/>
          <w:szCs w:val="24"/>
        </w:rPr>
        <w:t xml:space="preserve"> vehicle </w:t>
      </w:r>
      <w:r w:rsidR="00C44AEC" w:rsidRPr="00B53D32">
        <w:rPr>
          <w:rFonts w:ascii="Arial" w:hAnsi="Arial" w:cs="Arial"/>
          <w:sz w:val="24"/>
          <w:szCs w:val="24"/>
        </w:rPr>
        <w:t>requirements</w:t>
      </w:r>
      <w:r w:rsidRPr="00B53D32">
        <w:rPr>
          <w:rFonts w:ascii="Arial" w:hAnsi="Arial" w:cs="Arial"/>
          <w:sz w:val="24"/>
          <w:szCs w:val="24"/>
        </w:rPr>
        <w:t xml:space="preserve"> and in-use vehicle </w:t>
      </w:r>
      <w:r w:rsidR="00866AD4" w:rsidRPr="00B53D32">
        <w:rPr>
          <w:rFonts w:ascii="Arial" w:hAnsi="Arial" w:cs="Arial"/>
          <w:sz w:val="24"/>
          <w:szCs w:val="24"/>
        </w:rPr>
        <w:t>necessities</w:t>
      </w:r>
      <w:r w:rsidRPr="00B53D32">
        <w:rPr>
          <w:rFonts w:ascii="Arial" w:hAnsi="Arial" w:cs="Arial"/>
          <w:sz w:val="24"/>
          <w:szCs w:val="24"/>
        </w:rPr>
        <w:t>, which also include field service actions, are significant.</w:t>
      </w:r>
      <w:r w:rsidR="008A51EA">
        <w:rPr>
          <w:rFonts w:ascii="Arial" w:hAnsi="Arial" w:cs="Arial"/>
          <w:sz w:val="24"/>
          <w:szCs w:val="24"/>
        </w:rPr>
        <w:t xml:space="preserve"> (Ford, 2023)</w:t>
      </w:r>
    </w:p>
    <w:p w14:paraId="0318B639" w14:textId="72FD9468" w:rsidR="008B209F" w:rsidRDefault="008B209F" w:rsidP="00193CD1">
      <w:pPr>
        <w:pStyle w:val="Heading1"/>
      </w:pPr>
      <w:bookmarkStart w:id="10" w:name="_Toc164624829"/>
      <w:r>
        <w:lastRenderedPageBreak/>
        <w:t xml:space="preserve">Part </w:t>
      </w:r>
      <w:r w:rsidR="0032373B">
        <w:t>B</w:t>
      </w:r>
      <w:r w:rsidR="00E918B0">
        <w:t xml:space="preserve"> </w:t>
      </w:r>
      <w:r w:rsidR="00681E99">
        <w:t>–</w:t>
      </w:r>
      <w:r w:rsidR="00E918B0">
        <w:t xml:space="preserve"> </w:t>
      </w:r>
      <w:r w:rsidR="00681E99">
        <w:t>Ford`s</w:t>
      </w:r>
      <w:r w:rsidR="00681E99" w:rsidRPr="00681E99">
        <w:t xml:space="preserve"> financial performances</w:t>
      </w:r>
      <w:bookmarkEnd w:id="10"/>
    </w:p>
    <w:p w14:paraId="5DDF3078" w14:textId="77777777" w:rsidR="006D3510" w:rsidRPr="006D3510" w:rsidRDefault="006D3510" w:rsidP="006D3510"/>
    <w:p w14:paraId="4446A1B4" w14:textId="024E1C2F" w:rsidR="00681E99" w:rsidRDefault="00577E01" w:rsidP="00775550">
      <w:pPr>
        <w:pStyle w:val="Heading2"/>
        <w:numPr>
          <w:ilvl w:val="0"/>
          <w:numId w:val="4"/>
        </w:numPr>
      </w:pPr>
      <w:bookmarkStart w:id="11" w:name="_Toc164624830"/>
      <w:r w:rsidRPr="00577E01">
        <w:t>Calculation of financial ratios</w:t>
      </w:r>
      <w:bookmarkEnd w:id="11"/>
    </w:p>
    <w:p w14:paraId="3C6F501D" w14:textId="77777777" w:rsidR="00EE4BCF" w:rsidRDefault="00EE4BCF" w:rsidP="00EE4BCF"/>
    <w:p w14:paraId="12B84716" w14:textId="390F79FA" w:rsidR="00EE4BCF" w:rsidRDefault="00651002" w:rsidP="00840989">
      <w:pPr>
        <w:spacing w:line="360" w:lineRule="auto"/>
        <w:jc w:val="both"/>
        <w:rPr>
          <w:rFonts w:ascii="Arial" w:hAnsi="Arial" w:cs="Arial"/>
          <w:sz w:val="24"/>
          <w:szCs w:val="24"/>
        </w:rPr>
      </w:pPr>
      <w:r w:rsidRPr="00840989">
        <w:rPr>
          <w:rFonts w:ascii="Arial" w:hAnsi="Arial" w:cs="Arial"/>
          <w:sz w:val="24"/>
          <w:szCs w:val="24"/>
        </w:rPr>
        <w:t>According to Palmer (2018)</w:t>
      </w:r>
      <w:r w:rsidR="00BA05BA" w:rsidRPr="00840989">
        <w:rPr>
          <w:rFonts w:ascii="Arial" w:hAnsi="Arial" w:cs="Arial"/>
          <w:sz w:val="24"/>
          <w:szCs w:val="24"/>
        </w:rPr>
        <w:t xml:space="preserve"> a ratio is employed as a benchmark to assess the </w:t>
      </w:r>
      <w:r w:rsidR="006A5903" w:rsidRPr="00840989">
        <w:rPr>
          <w:rFonts w:ascii="Arial" w:hAnsi="Arial" w:cs="Arial"/>
          <w:sz w:val="24"/>
          <w:szCs w:val="24"/>
        </w:rPr>
        <w:t>fiscal</w:t>
      </w:r>
      <w:r w:rsidR="00BA05BA" w:rsidRPr="00840989">
        <w:rPr>
          <w:rFonts w:ascii="Arial" w:hAnsi="Arial" w:cs="Arial"/>
          <w:sz w:val="24"/>
          <w:szCs w:val="24"/>
        </w:rPr>
        <w:t xml:space="preserve"> status and performance of a company. It enables analysts to provide a quantitative assessment of the firm's financial status and performance. It utilises financial reports and data to evaluate financial performance by summarising the important relationships. </w:t>
      </w:r>
      <w:r w:rsidR="00840989" w:rsidRPr="00840989">
        <w:rPr>
          <w:rFonts w:ascii="Arial" w:hAnsi="Arial" w:cs="Arial"/>
          <w:sz w:val="24"/>
          <w:szCs w:val="24"/>
        </w:rPr>
        <w:t xml:space="preserve">Ratio analysis can comprehensively x-ray a business unit's economic and financial status. The ratios are a useful approach to summarise vast amounts of financial data and compare corporate performance. </w:t>
      </w:r>
      <w:r w:rsidR="001876B7" w:rsidRPr="00840989">
        <w:rPr>
          <w:rFonts w:ascii="Arial" w:hAnsi="Arial" w:cs="Arial"/>
          <w:sz w:val="24"/>
          <w:szCs w:val="24"/>
        </w:rPr>
        <w:t>(Goel, 2016)</w:t>
      </w:r>
    </w:p>
    <w:p w14:paraId="1D280DA8" w14:textId="77777777" w:rsidR="0019351D" w:rsidRPr="00840989" w:rsidRDefault="0019351D" w:rsidP="00840989">
      <w:pPr>
        <w:spacing w:line="360" w:lineRule="auto"/>
        <w:jc w:val="both"/>
        <w:rPr>
          <w:rFonts w:ascii="Arial" w:hAnsi="Arial" w:cs="Arial"/>
          <w:sz w:val="24"/>
          <w:szCs w:val="24"/>
        </w:rPr>
      </w:pPr>
    </w:p>
    <w:p w14:paraId="53C0E350" w14:textId="77777777" w:rsidR="006D3510" w:rsidRPr="006D3510" w:rsidRDefault="006D3510" w:rsidP="006D3510"/>
    <w:p w14:paraId="0029D386" w14:textId="2B7A5496" w:rsidR="00775550" w:rsidRDefault="006D3510" w:rsidP="006D3510">
      <w:pPr>
        <w:pStyle w:val="Heading3"/>
      </w:pPr>
      <w:bookmarkStart w:id="12" w:name="_Toc164624831"/>
      <w:r>
        <w:t>Profitability</w:t>
      </w:r>
      <w:bookmarkEnd w:id="12"/>
    </w:p>
    <w:p w14:paraId="5DFF18AC" w14:textId="77777777" w:rsidR="00C53C4E" w:rsidRDefault="00C53C4E" w:rsidP="00C53C4E"/>
    <w:p w14:paraId="441B88E7" w14:textId="2B6852D1" w:rsidR="004F794C" w:rsidRDefault="00C53C4E" w:rsidP="00272853">
      <w:pPr>
        <w:spacing w:line="360" w:lineRule="auto"/>
        <w:jc w:val="both"/>
        <w:rPr>
          <w:rFonts w:ascii="Arial" w:hAnsi="Arial" w:cs="Arial"/>
          <w:sz w:val="24"/>
          <w:szCs w:val="24"/>
        </w:rPr>
      </w:pPr>
      <w:r w:rsidRPr="00C53C4E">
        <w:rPr>
          <w:rFonts w:ascii="Arial" w:hAnsi="Arial" w:cs="Arial"/>
          <w:sz w:val="24"/>
          <w:szCs w:val="24"/>
        </w:rPr>
        <w:t xml:space="preserve">Profitability ratios employ historical data to </w:t>
      </w:r>
      <w:r w:rsidR="00F77A81" w:rsidRPr="00C53C4E">
        <w:rPr>
          <w:rFonts w:ascii="Arial" w:hAnsi="Arial" w:cs="Arial"/>
          <w:sz w:val="24"/>
          <w:szCs w:val="24"/>
        </w:rPr>
        <w:t>calculate</w:t>
      </w:r>
      <w:r w:rsidRPr="00C53C4E">
        <w:rPr>
          <w:rFonts w:ascii="Arial" w:hAnsi="Arial" w:cs="Arial"/>
          <w:sz w:val="24"/>
          <w:szCs w:val="24"/>
        </w:rPr>
        <w:t xml:space="preserve"> a </w:t>
      </w:r>
      <w:r w:rsidR="00F77A81" w:rsidRPr="00C53C4E">
        <w:rPr>
          <w:rFonts w:ascii="Arial" w:hAnsi="Arial" w:cs="Arial"/>
          <w:sz w:val="24"/>
          <w:szCs w:val="24"/>
        </w:rPr>
        <w:t>firm's</w:t>
      </w:r>
      <w:r w:rsidRPr="00C53C4E">
        <w:rPr>
          <w:rFonts w:ascii="Arial" w:hAnsi="Arial" w:cs="Arial"/>
          <w:sz w:val="24"/>
          <w:szCs w:val="24"/>
        </w:rPr>
        <w:t xml:space="preserve"> </w:t>
      </w:r>
      <w:r w:rsidR="00F77A81" w:rsidRPr="00C53C4E">
        <w:rPr>
          <w:rFonts w:ascii="Arial" w:hAnsi="Arial" w:cs="Arial"/>
          <w:sz w:val="24"/>
          <w:szCs w:val="24"/>
        </w:rPr>
        <w:t>capability</w:t>
      </w:r>
      <w:r w:rsidRPr="00C53C4E">
        <w:rPr>
          <w:rFonts w:ascii="Arial" w:hAnsi="Arial" w:cs="Arial"/>
          <w:sz w:val="24"/>
          <w:szCs w:val="24"/>
        </w:rPr>
        <w:t xml:space="preserve"> to create earnings relative to its sales,</w:t>
      </w:r>
      <w:r w:rsidR="004B7D9B" w:rsidRPr="004B7D9B">
        <w:t xml:space="preserve"> </w:t>
      </w:r>
      <w:r w:rsidR="004B7D9B" w:rsidRPr="004B7D9B">
        <w:rPr>
          <w:rFonts w:ascii="Arial" w:hAnsi="Arial" w:cs="Arial"/>
          <w:sz w:val="24"/>
          <w:szCs w:val="24"/>
        </w:rPr>
        <w:t>balance sheet assets</w:t>
      </w:r>
      <w:r w:rsidR="004B7D9B">
        <w:rPr>
          <w:rFonts w:ascii="Arial" w:hAnsi="Arial" w:cs="Arial"/>
          <w:sz w:val="24"/>
          <w:szCs w:val="24"/>
        </w:rPr>
        <w:t>,</w:t>
      </w:r>
      <w:r w:rsidRPr="00C53C4E">
        <w:rPr>
          <w:rFonts w:ascii="Arial" w:hAnsi="Arial" w:cs="Arial"/>
          <w:sz w:val="24"/>
          <w:szCs w:val="24"/>
        </w:rPr>
        <w:t xml:space="preserve"> operational costs, or </w:t>
      </w:r>
      <w:r w:rsidR="0014777B" w:rsidRPr="00C53C4E">
        <w:rPr>
          <w:rFonts w:ascii="Arial" w:hAnsi="Arial" w:cs="Arial"/>
          <w:sz w:val="24"/>
          <w:szCs w:val="24"/>
        </w:rPr>
        <w:t>investors'</w:t>
      </w:r>
      <w:r w:rsidRPr="00C53C4E">
        <w:rPr>
          <w:rFonts w:ascii="Arial" w:hAnsi="Arial" w:cs="Arial"/>
          <w:sz w:val="24"/>
          <w:szCs w:val="24"/>
        </w:rPr>
        <w:t xml:space="preserve"> equity. Most organisations </w:t>
      </w:r>
      <w:r w:rsidR="0014777B" w:rsidRPr="00C53C4E">
        <w:rPr>
          <w:rFonts w:ascii="Arial" w:hAnsi="Arial" w:cs="Arial"/>
          <w:sz w:val="24"/>
          <w:szCs w:val="24"/>
        </w:rPr>
        <w:t>desire</w:t>
      </w:r>
      <w:r w:rsidRPr="00C53C4E">
        <w:rPr>
          <w:rFonts w:ascii="Arial" w:hAnsi="Arial" w:cs="Arial"/>
          <w:sz w:val="24"/>
          <w:szCs w:val="24"/>
        </w:rPr>
        <w:t xml:space="preserve"> a greater ratio or value since it </w:t>
      </w:r>
      <w:r w:rsidR="0014777B" w:rsidRPr="00C53C4E">
        <w:rPr>
          <w:rFonts w:ascii="Arial" w:hAnsi="Arial" w:cs="Arial"/>
          <w:sz w:val="24"/>
          <w:szCs w:val="24"/>
        </w:rPr>
        <w:t>implies</w:t>
      </w:r>
      <w:r w:rsidRPr="00C53C4E">
        <w:rPr>
          <w:rFonts w:ascii="Arial" w:hAnsi="Arial" w:cs="Arial"/>
          <w:sz w:val="24"/>
          <w:szCs w:val="24"/>
        </w:rPr>
        <w:t xml:space="preserve"> </w:t>
      </w:r>
      <w:r w:rsidR="0014777B" w:rsidRPr="00C53C4E">
        <w:rPr>
          <w:rFonts w:ascii="Arial" w:hAnsi="Arial" w:cs="Arial"/>
          <w:sz w:val="24"/>
          <w:szCs w:val="24"/>
        </w:rPr>
        <w:t>satisfactory</w:t>
      </w:r>
      <w:r w:rsidRPr="00C53C4E">
        <w:rPr>
          <w:rFonts w:ascii="Arial" w:hAnsi="Arial" w:cs="Arial"/>
          <w:sz w:val="24"/>
          <w:szCs w:val="24"/>
        </w:rPr>
        <w:t xml:space="preserve"> </w:t>
      </w:r>
      <w:r w:rsidR="0014777B" w:rsidRPr="00C53C4E">
        <w:rPr>
          <w:rFonts w:ascii="Arial" w:hAnsi="Arial" w:cs="Arial"/>
          <w:sz w:val="24"/>
          <w:szCs w:val="24"/>
        </w:rPr>
        <w:t>income</w:t>
      </w:r>
      <w:r w:rsidRPr="00C53C4E">
        <w:rPr>
          <w:rFonts w:ascii="Arial" w:hAnsi="Arial" w:cs="Arial"/>
          <w:sz w:val="24"/>
          <w:szCs w:val="24"/>
        </w:rPr>
        <w:t xml:space="preserve">, </w:t>
      </w:r>
      <w:r w:rsidR="003479C0">
        <w:rPr>
          <w:rFonts w:ascii="Arial" w:hAnsi="Arial" w:cs="Arial"/>
          <w:sz w:val="24"/>
          <w:szCs w:val="24"/>
        </w:rPr>
        <w:t xml:space="preserve">cash flow, and </w:t>
      </w:r>
      <w:r w:rsidRPr="00C53C4E">
        <w:rPr>
          <w:rFonts w:ascii="Arial" w:hAnsi="Arial" w:cs="Arial"/>
          <w:sz w:val="24"/>
          <w:szCs w:val="24"/>
        </w:rPr>
        <w:t xml:space="preserve">profit. </w:t>
      </w:r>
      <w:r w:rsidR="0061448D" w:rsidRPr="00C53C4E">
        <w:rPr>
          <w:rFonts w:ascii="Arial" w:hAnsi="Arial" w:cs="Arial"/>
          <w:sz w:val="24"/>
          <w:szCs w:val="24"/>
        </w:rPr>
        <w:t>Linking</w:t>
      </w:r>
      <w:r w:rsidRPr="00C53C4E">
        <w:rPr>
          <w:rFonts w:ascii="Arial" w:hAnsi="Arial" w:cs="Arial"/>
          <w:sz w:val="24"/>
          <w:szCs w:val="24"/>
        </w:rPr>
        <w:t xml:space="preserve"> ratios to </w:t>
      </w:r>
      <w:r w:rsidR="0061448D" w:rsidRPr="00C53C4E">
        <w:rPr>
          <w:rFonts w:ascii="Arial" w:hAnsi="Arial" w:cs="Arial"/>
          <w:sz w:val="24"/>
          <w:szCs w:val="24"/>
        </w:rPr>
        <w:t>related</w:t>
      </w:r>
      <w:r w:rsidRPr="00C53C4E">
        <w:rPr>
          <w:rFonts w:ascii="Arial" w:hAnsi="Arial" w:cs="Arial"/>
          <w:sz w:val="24"/>
          <w:szCs w:val="24"/>
        </w:rPr>
        <w:t xml:space="preserve"> </w:t>
      </w:r>
      <w:r w:rsidR="0061448D" w:rsidRPr="00C53C4E">
        <w:rPr>
          <w:rFonts w:ascii="Arial" w:hAnsi="Arial" w:cs="Arial"/>
          <w:sz w:val="24"/>
          <w:szCs w:val="24"/>
        </w:rPr>
        <w:t>firms</w:t>
      </w:r>
      <w:r w:rsidRPr="00C53C4E">
        <w:rPr>
          <w:rFonts w:ascii="Arial" w:hAnsi="Arial" w:cs="Arial"/>
          <w:sz w:val="24"/>
          <w:szCs w:val="24"/>
        </w:rPr>
        <w:t xml:space="preserve"> or past times is most informative.</w:t>
      </w:r>
      <w:r w:rsidR="00F212B5" w:rsidRPr="00272853">
        <w:rPr>
          <w:rFonts w:ascii="Arial" w:hAnsi="Arial" w:cs="Arial"/>
          <w:sz w:val="24"/>
          <w:szCs w:val="24"/>
        </w:rPr>
        <w:t xml:space="preserve"> (</w:t>
      </w:r>
      <w:bookmarkStart w:id="13" w:name="_Hlk164609645"/>
      <w:r w:rsidR="00F212B5" w:rsidRPr="00272853">
        <w:rPr>
          <w:rFonts w:ascii="Arial" w:hAnsi="Arial" w:cs="Arial"/>
          <w:sz w:val="24"/>
          <w:szCs w:val="24"/>
        </w:rPr>
        <w:t>Sven Erik Johansson, 1998</w:t>
      </w:r>
      <w:bookmarkEnd w:id="13"/>
      <w:r w:rsidR="00F212B5" w:rsidRPr="00272853">
        <w:rPr>
          <w:rFonts w:ascii="Arial" w:hAnsi="Arial" w:cs="Arial"/>
          <w:sz w:val="24"/>
          <w:szCs w:val="24"/>
        </w:rPr>
        <w:t>).</w:t>
      </w:r>
      <w:r w:rsidRPr="00C53C4E">
        <w:rPr>
          <w:rFonts w:ascii="Arial" w:hAnsi="Arial" w:cs="Arial"/>
          <w:sz w:val="24"/>
          <w:szCs w:val="24"/>
        </w:rPr>
        <w:t xml:space="preserve"> Common examples of the two profitability ratios are:</w:t>
      </w:r>
      <w:bookmarkStart w:id="14" w:name="_Hlk164597253"/>
    </w:p>
    <w:p w14:paraId="03A918EE" w14:textId="77777777" w:rsidR="0019351D" w:rsidRPr="00272853" w:rsidRDefault="0019351D" w:rsidP="00272853">
      <w:pPr>
        <w:spacing w:line="360" w:lineRule="auto"/>
        <w:jc w:val="both"/>
        <w:rPr>
          <w:rFonts w:ascii="Arial" w:hAnsi="Arial" w:cs="Arial"/>
          <w:sz w:val="24"/>
          <w:szCs w:val="24"/>
        </w:rPr>
      </w:pPr>
    </w:p>
    <w:bookmarkEnd w:id="14"/>
    <w:p w14:paraId="4D067C6A" w14:textId="19E40E53" w:rsidR="004F794C" w:rsidRPr="00272853" w:rsidRDefault="004F794C" w:rsidP="00092B6D">
      <w:pPr>
        <w:pStyle w:val="ListParagraph"/>
        <w:numPr>
          <w:ilvl w:val="0"/>
          <w:numId w:val="5"/>
        </w:numPr>
        <w:spacing w:line="360" w:lineRule="auto"/>
        <w:ind w:left="714" w:hanging="357"/>
        <w:jc w:val="both"/>
        <w:rPr>
          <w:rFonts w:ascii="Arial" w:hAnsi="Arial" w:cs="Arial"/>
          <w:sz w:val="24"/>
          <w:szCs w:val="24"/>
        </w:rPr>
      </w:pPr>
      <w:r w:rsidRPr="00272853">
        <w:rPr>
          <w:rFonts w:ascii="Arial" w:hAnsi="Arial" w:cs="Arial"/>
          <w:sz w:val="24"/>
          <w:szCs w:val="24"/>
        </w:rPr>
        <w:t>Operating margin</w:t>
      </w:r>
    </w:p>
    <w:p w14:paraId="3F03DE53" w14:textId="7B2C0E62" w:rsidR="00F212B5" w:rsidRPr="00272853" w:rsidRDefault="00F212B5" w:rsidP="00092B6D">
      <w:pPr>
        <w:pStyle w:val="ListParagraph"/>
        <w:numPr>
          <w:ilvl w:val="0"/>
          <w:numId w:val="5"/>
        </w:numPr>
        <w:spacing w:line="360" w:lineRule="auto"/>
        <w:ind w:left="714" w:hanging="357"/>
        <w:jc w:val="both"/>
        <w:rPr>
          <w:rFonts w:ascii="Arial" w:hAnsi="Arial" w:cs="Arial"/>
          <w:sz w:val="24"/>
          <w:szCs w:val="24"/>
        </w:rPr>
      </w:pPr>
      <w:r w:rsidRPr="00272853">
        <w:rPr>
          <w:rFonts w:ascii="Arial" w:hAnsi="Arial" w:cs="Arial"/>
          <w:sz w:val="24"/>
          <w:szCs w:val="24"/>
        </w:rPr>
        <w:t>Gross margin</w:t>
      </w:r>
    </w:p>
    <w:p w14:paraId="00830B18" w14:textId="78B0BFEF" w:rsidR="004F794C" w:rsidRPr="00272853" w:rsidRDefault="004F794C" w:rsidP="00092B6D">
      <w:pPr>
        <w:pStyle w:val="ListParagraph"/>
        <w:numPr>
          <w:ilvl w:val="0"/>
          <w:numId w:val="5"/>
        </w:numPr>
        <w:spacing w:line="360" w:lineRule="auto"/>
        <w:ind w:left="714" w:hanging="357"/>
        <w:jc w:val="both"/>
        <w:rPr>
          <w:rFonts w:ascii="Arial" w:hAnsi="Arial" w:cs="Arial"/>
          <w:sz w:val="24"/>
          <w:szCs w:val="24"/>
        </w:rPr>
      </w:pPr>
      <w:r w:rsidRPr="00272853">
        <w:rPr>
          <w:rFonts w:ascii="Arial" w:hAnsi="Arial" w:cs="Arial"/>
          <w:sz w:val="24"/>
          <w:szCs w:val="24"/>
        </w:rPr>
        <w:t>Cash flow margin</w:t>
      </w:r>
      <w:r w:rsidR="00F212B5" w:rsidRPr="00272853">
        <w:rPr>
          <w:rFonts w:ascii="Arial" w:hAnsi="Arial" w:cs="Arial"/>
          <w:sz w:val="24"/>
          <w:szCs w:val="24"/>
        </w:rPr>
        <w:t>,</w:t>
      </w:r>
    </w:p>
    <w:p w14:paraId="6ADA595D" w14:textId="35C0950C" w:rsidR="00745B8C" w:rsidRDefault="004F794C" w:rsidP="00092B6D">
      <w:pPr>
        <w:pStyle w:val="ListParagraph"/>
        <w:numPr>
          <w:ilvl w:val="0"/>
          <w:numId w:val="5"/>
        </w:numPr>
        <w:spacing w:line="360" w:lineRule="auto"/>
        <w:ind w:left="714" w:hanging="357"/>
        <w:jc w:val="both"/>
        <w:rPr>
          <w:rFonts w:ascii="Arial" w:hAnsi="Arial" w:cs="Arial"/>
          <w:sz w:val="24"/>
          <w:szCs w:val="24"/>
        </w:rPr>
      </w:pPr>
      <w:r w:rsidRPr="00272853">
        <w:rPr>
          <w:rFonts w:ascii="Arial" w:hAnsi="Arial" w:cs="Arial"/>
          <w:sz w:val="24"/>
          <w:szCs w:val="24"/>
        </w:rPr>
        <w:t>Return on equity (ROE)</w:t>
      </w:r>
    </w:p>
    <w:p w14:paraId="460989AD" w14:textId="57BB36F6" w:rsidR="00092B6D" w:rsidRPr="00092B6D" w:rsidRDefault="00092B6D" w:rsidP="00092B6D">
      <w:pPr>
        <w:pStyle w:val="ListParagraph"/>
        <w:numPr>
          <w:ilvl w:val="0"/>
          <w:numId w:val="5"/>
        </w:numPr>
        <w:spacing w:line="360" w:lineRule="auto"/>
        <w:jc w:val="both"/>
        <w:rPr>
          <w:rFonts w:ascii="Arial" w:hAnsi="Arial" w:cs="Arial"/>
          <w:sz w:val="24"/>
          <w:szCs w:val="24"/>
        </w:rPr>
      </w:pPr>
      <w:r w:rsidRPr="00092B6D">
        <w:rPr>
          <w:rFonts w:ascii="Arial" w:hAnsi="Arial" w:cs="Arial"/>
          <w:sz w:val="24"/>
          <w:szCs w:val="24"/>
        </w:rPr>
        <w:t>Net profit margin</w:t>
      </w:r>
    </w:p>
    <w:p w14:paraId="3B571E91" w14:textId="4F2905AF" w:rsidR="00F212B5" w:rsidRDefault="00F212B5" w:rsidP="00092B6D">
      <w:pPr>
        <w:pStyle w:val="ListParagraph"/>
        <w:numPr>
          <w:ilvl w:val="0"/>
          <w:numId w:val="5"/>
        </w:numPr>
        <w:spacing w:line="360" w:lineRule="auto"/>
        <w:ind w:left="714" w:hanging="357"/>
        <w:jc w:val="both"/>
        <w:rPr>
          <w:rFonts w:ascii="Arial" w:hAnsi="Arial" w:cs="Arial"/>
          <w:sz w:val="24"/>
          <w:szCs w:val="24"/>
        </w:rPr>
      </w:pPr>
      <w:r w:rsidRPr="00272853">
        <w:rPr>
          <w:rFonts w:ascii="Arial" w:hAnsi="Arial" w:cs="Arial"/>
          <w:sz w:val="24"/>
          <w:szCs w:val="24"/>
        </w:rPr>
        <w:t>Return on assets (ROA)</w:t>
      </w:r>
    </w:p>
    <w:p w14:paraId="61739B28" w14:textId="77777777" w:rsidR="00272853" w:rsidRPr="00272853" w:rsidRDefault="00272853" w:rsidP="00272853">
      <w:pPr>
        <w:spacing w:line="360" w:lineRule="auto"/>
        <w:jc w:val="both"/>
        <w:rPr>
          <w:rFonts w:ascii="Arial" w:hAnsi="Arial" w:cs="Arial"/>
          <w:sz w:val="24"/>
          <w:szCs w:val="24"/>
        </w:rPr>
      </w:pPr>
    </w:p>
    <w:p w14:paraId="2A8D305D" w14:textId="77777777" w:rsidR="00B939EF" w:rsidRDefault="00B939EF" w:rsidP="00745B8C"/>
    <w:p w14:paraId="6FBDC079" w14:textId="74524424" w:rsidR="00DD227D" w:rsidRPr="00B939EF" w:rsidRDefault="00DD227D" w:rsidP="00B939EF">
      <w:pPr>
        <w:pStyle w:val="Subtitle"/>
        <w:rPr>
          <w:color w:val="45B0E1" w:themeColor="accent1" w:themeTint="99"/>
        </w:rPr>
      </w:pPr>
      <w:r w:rsidRPr="00B939EF">
        <w:rPr>
          <w:color w:val="45B0E1" w:themeColor="accent1" w:themeTint="99"/>
        </w:rPr>
        <w:lastRenderedPageBreak/>
        <w:t>Gross Margin</w:t>
      </w:r>
    </w:p>
    <w:p w14:paraId="17D48F14" w14:textId="1C23AB8A" w:rsidR="00573BE2" w:rsidRPr="009A5763" w:rsidRDefault="009A5763" w:rsidP="009A5763">
      <w:pPr>
        <w:spacing w:line="360" w:lineRule="auto"/>
        <w:jc w:val="both"/>
        <w:rPr>
          <w:rFonts w:ascii="Arial" w:hAnsi="Arial" w:cs="Arial"/>
          <w:sz w:val="24"/>
          <w:szCs w:val="24"/>
        </w:rPr>
      </w:pPr>
      <w:r w:rsidRPr="009A5763">
        <w:rPr>
          <w:rFonts w:ascii="Arial" w:hAnsi="Arial" w:cs="Arial"/>
          <w:sz w:val="24"/>
          <w:szCs w:val="24"/>
        </w:rPr>
        <w:t>Gross margin compares a company's gross profit to product or service costs. A financial ratio shows how successfully a product creates value for its creation and marketing expenditures. High-margin products are more profitable. Gross margin lets business leaders analyse product profitability at different pricing.</w:t>
      </w:r>
      <w:r w:rsidR="00F77D6C">
        <w:rPr>
          <w:rFonts w:ascii="Arial" w:hAnsi="Arial" w:cs="Arial"/>
          <w:sz w:val="24"/>
          <w:szCs w:val="24"/>
        </w:rPr>
        <w:t xml:space="preserve"> </w:t>
      </w:r>
      <w:bookmarkStart w:id="15" w:name="_Hlk164598340"/>
      <w:r w:rsidR="00F77D6C" w:rsidRPr="00F77D6C">
        <w:rPr>
          <w:rFonts w:ascii="Arial" w:hAnsi="Arial" w:cs="Arial"/>
          <w:sz w:val="24"/>
          <w:szCs w:val="24"/>
        </w:rPr>
        <w:t>(Tracy and Tracy, 2004)</w:t>
      </w:r>
      <w:bookmarkEnd w:id="15"/>
    </w:p>
    <w:p w14:paraId="5EE456A8" w14:textId="77777777" w:rsidR="009A5763" w:rsidRDefault="009A5763" w:rsidP="00DD227D">
      <w:pPr>
        <w:rPr>
          <w:b/>
          <w:bCs/>
        </w:rPr>
      </w:pPr>
    </w:p>
    <w:p w14:paraId="0FC27D24" w14:textId="7D9B9A56" w:rsidR="00D87413" w:rsidRPr="007A30F8" w:rsidRDefault="007A30F8" w:rsidP="007A30F8">
      <w:pPr>
        <w:spacing w:line="360" w:lineRule="auto"/>
        <w:jc w:val="both"/>
        <w:rPr>
          <w:rFonts w:ascii="Arial" w:hAnsi="Arial" w:cs="Arial"/>
          <w:sz w:val="24"/>
          <w:szCs w:val="24"/>
        </w:rPr>
      </w:pPr>
      <w:r w:rsidRPr="007A30F8">
        <w:rPr>
          <w:rFonts w:ascii="Arial" w:hAnsi="Arial" w:cs="Arial"/>
          <w:sz w:val="24"/>
          <w:szCs w:val="24"/>
        </w:rPr>
        <w:t>F</w:t>
      </w:r>
      <w:r w:rsidR="00D87413" w:rsidRPr="007A30F8">
        <w:rPr>
          <w:rFonts w:ascii="Arial" w:hAnsi="Arial" w:cs="Arial"/>
          <w:sz w:val="24"/>
          <w:szCs w:val="24"/>
        </w:rPr>
        <w:t>ormula</w:t>
      </w:r>
      <w:r w:rsidR="00F7281C" w:rsidRPr="007A30F8">
        <w:rPr>
          <w:rFonts w:ascii="Arial" w:hAnsi="Arial" w:cs="Arial"/>
          <w:sz w:val="24"/>
          <w:szCs w:val="24"/>
        </w:rPr>
        <w:t xml:space="preserve">: </w:t>
      </w:r>
    </w:p>
    <w:p w14:paraId="4A641E8D" w14:textId="5D236A62" w:rsidR="00F7281C" w:rsidRDefault="00F7281C" w:rsidP="00F7281C">
      <w:pPr>
        <w:jc w:val="center"/>
      </w:pPr>
      <w:r>
        <w:rPr>
          <w:noProof/>
        </w:rPr>
        <w:drawing>
          <wp:inline distT="0" distB="0" distL="0" distR="0" wp14:anchorId="67C7059F" wp14:editId="4CDD3412">
            <wp:extent cx="4239260" cy="1038225"/>
            <wp:effectExtent l="0" t="0" r="8890" b="9525"/>
            <wp:docPr id="12739199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39260" cy="1038225"/>
                    </a:xfrm>
                    <a:prstGeom prst="rect">
                      <a:avLst/>
                    </a:prstGeom>
                    <a:noFill/>
                  </pic:spPr>
                </pic:pic>
              </a:graphicData>
            </a:graphic>
          </wp:inline>
        </w:drawing>
      </w:r>
    </w:p>
    <w:p w14:paraId="477EEF31" w14:textId="7550AAA6" w:rsidR="00F84DB9" w:rsidRPr="00F84DB9" w:rsidRDefault="00F84DB9" w:rsidP="00D0738B">
      <w:pPr>
        <w:spacing w:line="360" w:lineRule="auto"/>
        <w:jc w:val="both"/>
        <w:rPr>
          <w:rFonts w:ascii="Arial" w:hAnsi="Arial" w:cs="Arial"/>
          <w:sz w:val="24"/>
          <w:szCs w:val="24"/>
        </w:rPr>
      </w:pPr>
      <w:r w:rsidRPr="00F84DB9">
        <w:rPr>
          <w:rFonts w:ascii="Arial" w:hAnsi="Arial" w:cs="Arial"/>
          <w:b/>
          <w:bCs/>
          <w:sz w:val="24"/>
          <w:szCs w:val="24"/>
        </w:rPr>
        <w:t>Gross profit</w:t>
      </w:r>
      <w:r w:rsidRPr="00F84DB9">
        <w:rPr>
          <w:rFonts w:ascii="Arial" w:hAnsi="Arial" w:cs="Arial"/>
          <w:sz w:val="24"/>
          <w:szCs w:val="24"/>
        </w:rPr>
        <w:t xml:space="preserve"> is a company's profit after deducting manufacturing and sales costs.</w:t>
      </w:r>
      <w:r w:rsidRPr="00F84DB9">
        <w:rPr>
          <w:rFonts w:ascii="Arial" w:hAnsi="Arial" w:cs="Arial"/>
          <w:sz w:val="24"/>
          <w:szCs w:val="24"/>
        </w:rPr>
        <w:br/>
      </w:r>
      <w:r w:rsidRPr="00F84DB9">
        <w:rPr>
          <w:rFonts w:ascii="Arial" w:hAnsi="Arial" w:cs="Arial"/>
          <w:sz w:val="24"/>
          <w:szCs w:val="24"/>
        </w:rPr>
        <w:br/>
        <w:t>Companies recognise</w:t>
      </w:r>
      <w:r w:rsidRPr="00F84DB9">
        <w:rPr>
          <w:rFonts w:ascii="Arial" w:hAnsi="Arial" w:cs="Arial"/>
          <w:b/>
          <w:bCs/>
          <w:sz w:val="24"/>
          <w:szCs w:val="24"/>
        </w:rPr>
        <w:t xml:space="preserve"> revenue</w:t>
      </w:r>
      <w:r w:rsidRPr="00F84DB9">
        <w:rPr>
          <w:rFonts w:ascii="Arial" w:hAnsi="Arial" w:cs="Arial"/>
          <w:sz w:val="24"/>
          <w:szCs w:val="24"/>
        </w:rPr>
        <w:t xml:space="preserve"> from all sales of goods and services in a period. Revenue (sometimes called</w:t>
      </w:r>
      <w:r w:rsidR="00A63201" w:rsidRPr="00D0738B">
        <w:rPr>
          <w:rFonts w:ascii="Arial" w:hAnsi="Arial" w:cs="Arial"/>
          <w:sz w:val="24"/>
          <w:szCs w:val="24"/>
        </w:rPr>
        <w:t xml:space="preserve"> Income or</w:t>
      </w:r>
      <w:r w:rsidRPr="00F84DB9">
        <w:rPr>
          <w:rFonts w:ascii="Arial" w:hAnsi="Arial" w:cs="Arial"/>
          <w:sz w:val="24"/>
          <w:szCs w:val="24"/>
        </w:rPr>
        <w:t xml:space="preserve"> Sales</w:t>
      </w:r>
      <w:r w:rsidR="00A63201" w:rsidRPr="00D0738B">
        <w:rPr>
          <w:rFonts w:ascii="Arial" w:hAnsi="Arial" w:cs="Arial"/>
          <w:sz w:val="24"/>
          <w:szCs w:val="24"/>
        </w:rPr>
        <w:t>)</w:t>
      </w:r>
      <w:r w:rsidRPr="00F84DB9">
        <w:rPr>
          <w:rFonts w:ascii="Arial" w:hAnsi="Arial" w:cs="Arial"/>
          <w:sz w:val="24"/>
          <w:szCs w:val="24"/>
        </w:rPr>
        <w:t xml:space="preserve"> starts a company's income statement and is often called its "Top Line". A </w:t>
      </w:r>
      <w:r w:rsidR="008C36EF" w:rsidRPr="00F84DB9">
        <w:rPr>
          <w:rFonts w:ascii="Arial" w:hAnsi="Arial" w:cs="Arial"/>
          <w:sz w:val="24"/>
          <w:szCs w:val="24"/>
        </w:rPr>
        <w:t>firm's</w:t>
      </w:r>
      <w:r w:rsidRPr="00F84DB9">
        <w:rPr>
          <w:rFonts w:ascii="Arial" w:hAnsi="Arial" w:cs="Arial"/>
          <w:sz w:val="24"/>
          <w:szCs w:val="24"/>
        </w:rPr>
        <w:t xml:space="preserve"> Profit or Net Income is </w:t>
      </w:r>
      <w:r w:rsidR="008C36EF" w:rsidRPr="00F84DB9">
        <w:rPr>
          <w:rFonts w:ascii="Arial" w:hAnsi="Arial" w:cs="Arial"/>
          <w:sz w:val="24"/>
          <w:szCs w:val="24"/>
        </w:rPr>
        <w:t>evaluated</w:t>
      </w:r>
      <w:r w:rsidRPr="00F84DB9">
        <w:rPr>
          <w:rFonts w:ascii="Arial" w:hAnsi="Arial" w:cs="Arial"/>
          <w:sz w:val="24"/>
          <w:szCs w:val="24"/>
        </w:rPr>
        <w:t xml:space="preserve"> by subtracting expenses from revenue.</w:t>
      </w:r>
    </w:p>
    <w:p w14:paraId="0088B40E" w14:textId="77777777" w:rsidR="00EC587D" w:rsidRPr="00EC587D" w:rsidRDefault="00EC587D" w:rsidP="004F2AD1"/>
    <w:p w14:paraId="1EEBC3A1" w14:textId="77777777" w:rsidR="00EC587D" w:rsidRDefault="00EC587D" w:rsidP="004F2AD1">
      <w:pPr>
        <w:rPr>
          <w:b/>
          <w:bCs/>
        </w:rPr>
      </w:pPr>
    </w:p>
    <w:p w14:paraId="20EF9618" w14:textId="614DCB9A" w:rsidR="00DE78B4" w:rsidRPr="00FD24BA" w:rsidRDefault="00611804" w:rsidP="00FD24BA">
      <w:pPr>
        <w:spacing w:line="360" w:lineRule="auto"/>
        <w:jc w:val="both"/>
        <w:rPr>
          <w:rFonts w:ascii="Arial" w:hAnsi="Arial" w:cs="Arial"/>
          <w:b/>
          <w:bCs/>
          <w:sz w:val="24"/>
          <w:szCs w:val="24"/>
        </w:rPr>
      </w:pPr>
      <w:r w:rsidRPr="00FD24BA">
        <w:rPr>
          <w:rFonts w:ascii="Arial" w:hAnsi="Arial" w:cs="Arial"/>
          <w:b/>
          <w:bCs/>
          <w:sz w:val="24"/>
          <w:szCs w:val="24"/>
        </w:rPr>
        <w:t>Ford`s gross margin calculation</w:t>
      </w:r>
      <w:r w:rsidR="00FC3405" w:rsidRPr="00FD24BA">
        <w:rPr>
          <w:rFonts w:ascii="Arial" w:hAnsi="Arial" w:cs="Arial"/>
          <w:b/>
          <w:bCs/>
          <w:sz w:val="24"/>
          <w:szCs w:val="24"/>
        </w:rPr>
        <w:t>:</w:t>
      </w:r>
      <w:r w:rsidR="00796CBC" w:rsidRPr="00FD24BA">
        <w:rPr>
          <w:rFonts w:ascii="Arial" w:hAnsi="Arial" w:cs="Arial"/>
          <w:b/>
          <w:bCs/>
          <w:sz w:val="24"/>
          <w:szCs w:val="24"/>
        </w:rPr>
        <w:t xml:space="preserve"> </w:t>
      </w:r>
      <w:r w:rsidR="00796CBC" w:rsidRPr="00FD24BA">
        <w:rPr>
          <w:rFonts w:ascii="Arial" w:hAnsi="Arial" w:cs="Arial"/>
          <w:sz w:val="24"/>
          <w:szCs w:val="24"/>
        </w:rPr>
        <w:t>(</w:t>
      </w:r>
      <w:r w:rsidR="00FC3405" w:rsidRPr="00FD24BA">
        <w:rPr>
          <w:rFonts w:ascii="Arial" w:hAnsi="Arial" w:cs="Arial"/>
          <w:sz w:val="24"/>
          <w:szCs w:val="24"/>
        </w:rPr>
        <w:t>data</w:t>
      </w:r>
      <w:r w:rsidR="00796CBC" w:rsidRPr="00FD24BA">
        <w:rPr>
          <w:rFonts w:ascii="Arial" w:hAnsi="Arial" w:cs="Arial"/>
          <w:sz w:val="24"/>
          <w:szCs w:val="24"/>
        </w:rPr>
        <w:t xml:space="preserve"> </w:t>
      </w:r>
      <w:r w:rsidR="00FC3405" w:rsidRPr="00FD24BA">
        <w:rPr>
          <w:rFonts w:ascii="Arial" w:hAnsi="Arial" w:cs="Arial"/>
          <w:sz w:val="24"/>
          <w:szCs w:val="24"/>
        </w:rPr>
        <w:t>collected</w:t>
      </w:r>
      <w:r w:rsidR="00796CBC" w:rsidRPr="00FD24BA">
        <w:rPr>
          <w:rFonts w:ascii="Arial" w:hAnsi="Arial" w:cs="Arial"/>
          <w:sz w:val="24"/>
          <w:szCs w:val="24"/>
        </w:rPr>
        <w:t xml:space="preserve"> from the </w:t>
      </w:r>
      <w:r w:rsidR="00FC3405" w:rsidRPr="00FD24BA">
        <w:rPr>
          <w:rFonts w:ascii="Arial" w:hAnsi="Arial" w:cs="Arial"/>
          <w:sz w:val="24"/>
          <w:szCs w:val="24"/>
        </w:rPr>
        <w:t>Annual report 2023)</w:t>
      </w:r>
    </w:p>
    <w:p w14:paraId="1FD99771" w14:textId="0BE9C2AC" w:rsidR="00D87413" w:rsidRDefault="009F0186" w:rsidP="00DD227D">
      <w:r>
        <w:t xml:space="preserve">                                      </w:t>
      </w:r>
    </w:p>
    <w:p w14:paraId="2D4E72AB" w14:textId="5EC374A8" w:rsidR="00D87413" w:rsidRPr="00303AC8" w:rsidRDefault="008D65B5" w:rsidP="00A0727A">
      <w:pPr>
        <w:rPr>
          <w:rFonts w:ascii="Arial" w:eastAsiaTheme="minorEastAsia" w:hAnsi="Arial" w:cs="Arial"/>
          <w:sz w:val="24"/>
          <w:szCs w:val="24"/>
        </w:rPr>
      </w:pPr>
      <m:oMathPara>
        <m:oMath>
          <m:r>
            <w:rPr>
              <w:rFonts w:ascii="Cambria Math" w:hAnsi="Cambria Math" w:cs="Arial"/>
              <w:sz w:val="24"/>
              <w:szCs w:val="24"/>
            </w:rPr>
            <m:t>Gross Margin=</m:t>
          </m:r>
          <m:f>
            <m:fPr>
              <m:ctrlPr>
                <w:rPr>
                  <w:rFonts w:ascii="Cambria Math" w:hAnsi="Cambria Math" w:cs="Arial"/>
                  <w:i/>
                  <w:sz w:val="24"/>
                  <w:szCs w:val="24"/>
                </w:rPr>
              </m:ctrlPr>
            </m:fPr>
            <m:num>
              <m:r>
                <m:rPr>
                  <m:sty m:val="bi"/>
                </m:rPr>
                <w:rPr>
                  <w:rFonts w:ascii="Cambria Math" w:hAnsi="Cambria Math" w:cs="Arial"/>
                  <w:sz w:val="24"/>
                  <w:szCs w:val="24"/>
                </w:rPr>
                <m:t>$25.64 B</m:t>
              </m:r>
              <m:r>
                <w:rPr>
                  <w:rFonts w:ascii="Cambria Math" w:hAnsi="Cambria Math" w:cs="Arial"/>
                  <w:sz w:val="24"/>
                  <w:szCs w:val="24"/>
                </w:rPr>
                <m:t xml:space="preserve"> (Gross Profit)</m:t>
              </m:r>
            </m:num>
            <m:den>
              <m:r>
                <m:rPr>
                  <m:sty m:val="bi"/>
                </m:rPr>
                <w:rPr>
                  <w:rFonts w:ascii="Cambria Math" w:hAnsi="Cambria Math" w:cs="Arial"/>
                  <w:sz w:val="24"/>
                  <w:szCs w:val="24"/>
                </w:rPr>
                <m:t>$176.19 B</m:t>
              </m:r>
              <m:r>
                <w:rPr>
                  <w:rFonts w:ascii="Cambria Math" w:hAnsi="Cambria Math" w:cs="Arial"/>
                  <w:sz w:val="24"/>
                  <w:szCs w:val="24"/>
                </w:rPr>
                <m:t xml:space="preserve"> (Revenue)</m:t>
              </m:r>
            </m:den>
          </m:f>
        </m:oMath>
      </m:oMathPara>
    </w:p>
    <w:p w14:paraId="5912B689" w14:textId="79241684" w:rsidR="00303AC8" w:rsidRPr="004F794C" w:rsidRDefault="00303AC8" w:rsidP="00A0727A">
      <w:pPr>
        <w:rPr>
          <w:rFonts w:ascii="Arial" w:eastAsiaTheme="minorEastAsia" w:hAnsi="Arial" w:cs="Arial"/>
          <w:sz w:val="24"/>
          <w:szCs w:val="24"/>
        </w:rPr>
      </w:pPr>
      <m:oMathPara>
        <m:oMath>
          <m:r>
            <w:rPr>
              <w:rFonts w:ascii="Cambria Math" w:hAnsi="Cambria Math" w:cs="Arial"/>
              <w:sz w:val="24"/>
              <w:szCs w:val="24"/>
            </w:rPr>
            <m:t>Gross Margin=</m:t>
          </m:r>
          <m:r>
            <m:rPr>
              <m:sty m:val="bi"/>
            </m:rPr>
            <w:rPr>
              <w:rFonts w:ascii="Cambria Math" w:hAnsi="Cambria Math" w:cs="Arial"/>
              <w:sz w:val="24"/>
              <w:szCs w:val="24"/>
            </w:rPr>
            <m:t>14.55 %</m:t>
          </m:r>
        </m:oMath>
      </m:oMathPara>
    </w:p>
    <w:p w14:paraId="3F35FFC1" w14:textId="77777777" w:rsidR="004F794C" w:rsidRDefault="004F794C" w:rsidP="00A0727A">
      <w:pPr>
        <w:rPr>
          <w:rFonts w:ascii="Arial" w:eastAsiaTheme="minorEastAsia" w:hAnsi="Arial" w:cs="Arial"/>
          <w:sz w:val="24"/>
          <w:szCs w:val="24"/>
        </w:rPr>
      </w:pPr>
    </w:p>
    <w:p w14:paraId="5DC4C607" w14:textId="15554A16" w:rsidR="00DD5C0C" w:rsidRPr="0049651F" w:rsidRDefault="00B8275D" w:rsidP="0049651F">
      <w:pPr>
        <w:spacing w:line="360" w:lineRule="auto"/>
        <w:jc w:val="both"/>
        <w:rPr>
          <w:rFonts w:ascii="Arial" w:eastAsiaTheme="minorEastAsia" w:hAnsi="Arial" w:cs="Arial"/>
          <w:sz w:val="24"/>
          <w:szCs w:val="24"/>
        </w:rPr>
      </w:pPr>
      <w:r w:rsidRPr="0049651F">
        <w:rPr>
          <w:rFonts w:ascii="Arial" w:eastAsiaTheme="minorEastAsia" w:hAnsi="Arial" w:cs="Arial"/>
          <w:b/>
          <w:bCs/>
          <w:sz w:val="24"/>
          <w:szCs w:val="24"/>
        </w:rPr>
        <w:t>Discussion</w:t>
      </w:r>
      <w:r w:rsidR="0084095E" w:rsidRPr="0049651F">
        <w:rPr>
          <w:rFonts w:ascii="Arial" w:eastAsiaTheme="minorEastAsia" w:hAnsi="Arial" w:cs="Arial"/>
          <w:b/>
          <w:bCs/>
          <w:sz w:val="24"/>
          <w:szCs w:val="24"/>
        </w:rPr>
        <w:t>:</w:t>
      </w:r>
      <w:r w:rsidR="00CA1E3C" w:rsidRPr="0049651F">
        <w:rPr>
          <w:rFonts w:ascii="Arial" w:eastAsiaTheme="minorEastAsia" w:hAnsi="Arial" w:cs="Arial"/>
          <w:sz w:val="24"/>
          <w:szCs w:val="24"/>
        </w:rPr>
        <w:t xml:space="preserve"> </w:t>
      </w:r>
      <w:r w:rsidR="00007737" w:rsidRPr="0049651F">
        <w:rPr>
          <w:rFonts w:ascii="Arial" w:eastAsiaTheme="minorEastAsia" w:hAnsi="Arial" w:cs="Arial"/>
          <w:sz w:val="24"/>
          <w:szCs w:val="24"/>
        </w:rPr>
        <w:t>An established guideline states that a favourable operating profit margin falls between the range of 10-20%. This indicates that the business generates a profit of 20 cents for every dollar of revenue after subtracting operating expenses. Nevertheless, this can differ depending on the specific sector.</w:t>
      </w:r>
      <w:r w:rsidR="0049651F" w:rsidRPr="0049651F">
        <w:rPr>
          <w:rFonts w:ascii="Arial" w:eastAsiaTheme="minorEastAsia" w:hAnsi="Arial" w:cs="Arial"/>
          <w:sz w:val="24"/>
          <w:szCs w:val="24"/>
        </w:rPr>
        <w:t xml:space="preserve"> (Tracy and Tracy, 2004)</w:t>
      </w:r>
    </w:p>
    <w:p w14:paraId="0E5189BA" w14:textId="11FFCBBE" w:rsidR="00D42734" w:rsidRDefault="00BE1219" w:rsidP="00BE1219">
      <w:pPr>
        <w:pStyle w:val="Heading3"/>
      </w:pPr>
      <w:bookmarkStart w:id="16" w:name="_Toc164624832"/>
      <w:r w:rsidRPr="007B04D0">
        <w:lastRenderedPageBreak/>
        <w:t>Liquidity</w:t>
      </w:r>
      <w:bookmarkEnd w:id="16"/>
    </w:p>
    <w:p w14:paraId="7F762E66" w14:textId="77777777" w:rsidR="0067085F" w:rsidRPr="0067085F" w:rsidRDefault="0067085F" w:rsidP="0067085F"/>
    <w:p w14:paraId="6ADDD7B5" w14:textId="66EF8411" w:rsidR="00A461E8" w:rsidRPr="00A461E8" w:rsidRDefault="00AD7772" w:rsidP="007B04D0">
      <w:pPr>
        <w:spacing w:line="360" w:lineRule="auto"/>
        <w:jc w:val="both"/>
        <w:rPr>
          <w:rFonts w:ascii="Arial" w:hAnsi="Arial" w:cs="Arial"/>
          <w:sz w:val="24"/>
          <w:szCs w:val="24"/>
        </w:rPr>
      </w:pPr>
      <w:r w:rsidRPr="007B04D0">
        <w:rPr>
          <w:rFonts w:ascii="Arial" w:hAnsi="Arial" w:cs="Arial"/>
          <w:sz w:val="24"/>
          <w:szCs w:val="24"/>
        </w:rPr>
        <w:t>According to</w:t>
      </w:r>
      <w:r w:rsidRPr="007B04D0">
        <w:rPr>
          <w:rFonts w:ascii="Arial" w:eastAsia="Times New Roman" w:hAnsi="Arial" w:cs="Arial"/>
          <w:kern w:val="0"/>
          <w:sz w:val="24"/>
          <w:szCs w:val="24"/>
          <w:lang w:eastAsia="en-GB"/>
          <w14:ligatures w14:val="none"/>
        </w:rPr>
        <w:t xml:space="preserve"> </w:t>
      </w:r>
      <w:r w:rsidRPr="007B04D0">
        <w:rPr>
          <w:rFonts w:ascii="Arial" w:hAnsi="Arial" w:cs="Arial"/>
          <w:sz w:val="24"/>
          <w:szCs w:val="24"/>
        </w:rPr>
        <w:t xml:space="preserve">Schindeldecker (2017) </w:t>
      </w:r>
      <w:r w:rsidR="00A461E8" w:rsidRPr="00A461E8">
        <w:rPr>
          <w:rFonts w:ascii="Arial" w:hAnsi="Arial" w:cs="Arial"/>
          <w:sz w:val="24"/>
          <w:szCs w:val="24"/>
        </w:rPr>
        <w:t xml:space="preserve">Liquidity ratios measure a </w:t>
      </w:r>
      <w:r w:rsidR="00A50570" w:rsidRPr="00A461E8">
        <w:rPr>
          <w:rFonts w:ascii="Arial" w:hAnsi="Arial" w:cs="Arial"/>
          <w:sz w:val="24"/>
          <w:szCs w:val="24"/>
        </w:rPr>
        <w:t>firm's</w:t>
      </w:r>
      <w:r w:rsidR="00A461E8" w:rsidRPr="00A461E8">
        <w:rPr>
          <w:rFonts w:ascii="Arial" w:hAnsi="Arial" w:cs="Arial"/>
          <w:sz w:val="24"/>
          <w:szCs w:val="24"/>
        </w:rPr>
        <w:t xml:space="preserve"> </w:t>
      </w:r>
      <w:r w:rsidR="00A50570" w:rsidRPr="00A461E8">
        <w:rPr>
          <w:rFonts w:ascii="Arial" w:hAnsi="Arial" w:cs="Arial"/>
          <w:sz w:val="24"/>
          <w:szCs w:val="24"/>
        </w:rPr>
        <w:t>capability</w:t>
      </w:r>
      <w:r w:rsidR="00A461E8" w:rsidRPr="00A461E8">
        <w:rPr>
          <w:rFonts w:ascii="Arial" w:hAnsi="Arial" w:cs="Arial"/>
          <w:sz w:val="24"/>
          <w:szCs w:val="24"/>
        </w:rPr>
        <w:t xml:space="preserve"> to pay short-term debt. The statistic shows if</w:t>
      </w:r>
      <w:r w:rsidR="00B54FE2">
        <w:rPr>
          <w:rFonts w:ascii="Arial" w:hAnsi="Arial" w:cs="Arial"/>
          <w:sz w:val="24"/>
          <w:szCs w:val="24"/>
        </w:rPr>
        <w:t xml:space="preserve"> the</w:t>
      </w:r>
      <w:r w:rsidR="00A461E8" w:rsidRPr="00A461E8">
        <w:rPr>
          <w:rFonts w:ascii="Arial" w:hAnsi="Arial" w:cs="Arial"/>
          <w:sz w:val="24"/>
          <w:szCs w:val="24"/>
        </w:rPr>
        <w:t xml:space="preserve"> </w:t>
      </w:r>
      <w:r w:rsidR="00B54FE2" w:rsidRPr="00A461E8">
        <w:rPr>
          <w:rFonts w:ascii="Arial" w:hAnsi="Arial" w:cs="Arial"/>
          <w:sz w:val="24"/>
          <w:szCs w:val="24"/>
        </w:rPr>
        <w:t>firm</w:t>
      </w:r>
      <w:r w:rsidR="00A461E8" w:rsidRPr="00A461E8">
        <w:rPr>
          <w:rFonts w:ascii="Arial" w:hAnsi="Arial" w:cs="Arial"/>
          <w:sz w:val="24"/>
          <w:szCs w:val="24"/>
        </w:rPr>
        <w:t xml:space="preserve"> has enough liquid assets to satisfy its present liabilities. Liquidity ratios measure a </w:t>
      </w:r>
      <w:r w:rsidR="006A78E8" w:rsidRPr="00A461E8">
        <w:rPr>
          <w:rFonts w:ascii="Arial" w:hAnsi="Arial" w:cs="Arial"/>
          <w:sz w:val="24"/>
          <w:szCs w:val="24"/>
        </w:rPr>
        <w:t>firm's</w:t>
      </w:r>
      <w:r w:rsidR="00A461E8" w:rsidRPr="00A461E8">
        <w:rPr>
          <w:rFonts w:ascii="Arial" w:hAnsi="Arial" w:cs="Arial"/>
          <w:sz w:val="24"/>
          <w:szCs w:val="24"/>
        </w:rPr>
        <w:t xml:space="preserve"> </w:t>
      </w:r>
      <w:r w:rsidR="006A78E8" w:rsidRPr="00A461E8">
        <w:rPr>
          <w:rFonts w:ascii="Arial" w:hAnsi="Arial" w:cs="Arial"/>
          <w:sz w:val="24"/>
          <w:szCs w:val="24"/>
        </w:rPr>
        <w:t>capability</w:t>
      </w:r>
      <w:r w:rsidR="00A461E8" w:rsidRPr="00A461E8">
        <w:rPr>
          <w:rFonts w:ascii="Arial" w:hAnsi="Arial" w:cs="Arial"/>
          <w:sz w:val="24"/>
          <w:szCs w:val="24"/>
        </w:rPr>
        <w:t xml:space="preserve"> to pay short-term debt. The statistic shows if </w:t>
      </w:r>
      <w:r w:rsidR="006A78E8">
        <w:rPr>
          <w:rFonts w:ascii="Arial" w:hAnsi="Arial" w:cs="Arial"/>
          <w:sz w:val="24"/>
          <w:szCs w:val="24"/>
        </w:rPr>
        <w:t xml:space="preserve">the </w:t>
      </w:r>
      <w:r w:rsidR="006A78E8" w:rsidRPr="00A461E8">
        <w:rPr>
          <w:rFonts w:ascii="Arial" w:hAnsi="Arial" w:cs="Arial"/>
          <w:sz w:val="24"/>
          <w:szCs w:val="24"/>
        </w:rPr>
        <w:t>firm</w:t>
      </w:r>
      <w:r w:rsidR="00A461E8" w:rsidRPr="00A461E8">
        <w:rPr>
          <w:rFonts w:ascii="Arial" w:hAnsi="Arial" w:cs="Arial"/>
          <w:sz w:val="24"/>
          <w:szCs w:val="24"/>
        </w:rPr>
        <w:t xml:space="preserve"> has enough liquid assets to satisfy its present liabilities. Current, quick, and cash ratios are </w:t>
      </w:r>
      <w:r w:rsidR="00D24561" w:rsidRPr="00A461E8">
        <w:rPr>
          <w:rFonts w:ascii="Arial" w:hAnsi="Arial" w:cs="Arial"/>
          <w:sz w:val="24"/>
          <w:szCs w:val="24"/>
        </w:rPr>
        <w:t>conventional</w:t>
      </w:r>
      <w:r w:rsidR="00A461E8" w:rsidRPr="00A461E8">
        <w:rPr>
          <w:rFonts w:ascii="Arial" w:hAnsi="Arial" w:cs="Arial"/>
          <w:sz w:val="24"/>
          <w:szCs w:val="24"/>
        </w:rPr>
        <w:t xml:space="preserve"> liquidity ratios. Current liabilities are in the denominator and liquid assets in the numerator of </w:t>
      </w:r>
      <w:r w:rsidR="002D7199" w:rsidRPr="00A461E8">
        <w:rPr>
          <w:rFonts w:ascii="Arial" w:hAnsi="Arial" w:cs="Arial"/>
          <w:sz w:val="24"/>
          <w:szCs w:val="24"/>
        </w:rPr>
        <w:t>all</w:t>
      </w:r>
      <w:r w:rsidR="00A461E8" w:rsidRPr="00A461E8">
        <w:rPr>
          <w:rFonts w:ascii="Arial" w:hAnsi="Arial" w:cs="Arial"/>
          <w:sz w:val="24"/>
          <w:szCs w:val="24"/>
        </w:rPr>
        <w:t xml:space="preserve"> liquidity ratio.</w:t>
      </w:r>
    </w:p>
    <w:p w14:paraId="128EBBEA" w14:textId="77777777" w:rsidR="00C82C14" w:rsidRDefault="00C82C14" w:rsidP="00F5324F"/>
    <w:p w14:paraId="1D444BC8" w14:textId="72E47D8E" w:rsidR="00C24F98" w:rsidRPr="005A6D22" w:rsidRDefault="00C24F98" w:rsidP="007B04D0">
      <w:pPr>
        <w:pStyle w:val="Subtitle"/>
        <w:rPr>
          <w:color w:val="215E99" w:themeColor="text2" w:themeTint="BF"/>
        </w:rPr>
      </w:pPr>
      <w:r w:rsidRPr="005A6D22">
        <w:rPr>
          <w:color w:val="215E99" w:themeColor="text2" w:themeTint="BF"/>
        </w:rPr>
        <w:t>Current Ratio</w:t>
      </w:r>
    </w:p>
    <w:p w14:paraId="0BCAF58A" w14:textId="0DEACF4C" w:rsidR="00C82C14" w:rsidRDefault="008D4412" w:rsidP="008A5499">
      <w:pPr>
        <w:spacing w:line="360" w:lineRule="auto"/>
        <w:jc w:val="both"/>
        <w:rPr>
          <w:rFonts w:ascii="Arial" w:hAnsi="Arial" w:cs="Arial"/>
        </w:rPr>
      </w:pPr>
      <w:r w:rsidRPr="008A5499">
        <w:rPr>
          <w:rFonts w:ascii="Arial" w:hAnsi="Arial" w:cs="Arial"/>
        </w:rPr>
        <w:t>Working capital ratio, or current ratio, evaluates a</w:t>
      </w:r>
      <w:r w:rsidR="00DA1178">
        <w:rPr>
          <w:rFonts w:ascii="Arial" w:hAnsi="Arial" w:cs="Arial"/>
        </w:rPr>
        <w:t>n</w:t>
      </w:r>
      <w:r w:rsidRPr="008A5499">
        <w:rPr>
          <w:rFonts w:ascii="Arial" w:hAnsi="Arial" w:cs="Arial"/>
        </w:rPr>
        <w:t xml:space="preserve"> </w:t>
      </w:r>
      <w:r w:rsidR="005D12DE" w:rsidRPr="008A5499">
        <w:rPr>
          <w:rFonts w:ascii="Arial" w:hAnsi="Arial" w:cs="Arial"/>
        </w:rPr>
        <w:t>enterprise's</w:t>
      </w:r>
      <w:r w:rsidRPr="008A5499">
        <w:rPr>
          <w:rFonts w:ascii="Arial" w:hAnsi="Arial" w:cs="Arial"/>
        </w:rPr>
        <w:t xml:space="preserve"> </w:t>
      </w:r>
      <w:r w:rsidR="005D12DE" w:rsidRPr="008A5499">
        <w:rPr>
          <w:rFonts w:ascii="Arial" w:hAnsi="Arial" w:cs="Arial"/>
        </w:rPr>
        <w:t>capability</w:t>
      </w:r>
      <w:r w:rsidRPr="008A5499">
        <w:rPr>
          <w:rFonts w:ascii="Arial" w:hAnsi="Arial" w:cs="Arial"/>
        </w:rPr>
        <w:t xml:space="preserve"> to </w:t>
      </w:r>
      <w:r w:rsidR="00D11BAC" w:rsidRPr="008A5499">
        <w:rPr>
          <w:rFonts w:ascii="Arial" w:hAnsi="Arial" w:cs="Arial"/>
        </w:rPr>
        <w:t>fulfil</w:t>
      </w:r>
      <w:r w:rsidRPr="008A5499">
        <w:rPr>
          <w:rFonts w:ascii="Arial" w:hAnsi="Arial" w:cs="Arial"/>
        </w:rPr>
        <w:t xml:space="preserve"> its short-term obligations within a year. </w:t>
      </w:r>
      <w:r w:rsidR="00D70E27">
        <w:rPr>
          <w:rFonts w:ascii="Arial" w:hAnsi="Arial" w:cs="Arial"/>
        </w:rPr>
        <w:t xml:space="preserve">Liabilities and </w:t>
      </w:r>
      <w:r w:rsidRPr="008A5499">
        <w:rPr>
          <w:rFonts w:ascii="Arial" w:hAnsi="Arial" w:cs="Arial"/>
        </w:rPr>
        <w:t xml:space="preserve">Current assets are </w:t>
      </w:r>
      <w:r w:rsidR="00D70E27" w:rsidRPr="008A5499">
        <w:rPr>
          <w:rFonts w:ascii="Arial" w:hAnsi="Arial" w:cs="Arial"/>
        </w:rPr>
        <w:t>considered</w:t>
      </w:r>
      <w:r w:rsidRPr="008A5499">
        <w:rPr>
          <w:rFonts w:ascii="Arial" w:hAnsi="Arial" w:cs="Arial"/>
        </w:rPr>
        <w:t xml:space="preserve"> in the ratio. It </w:t>
      </w:r>
      <w:r w:rsidR="00E46939" w:rsidRPr="008A5499">
        <w:rPr>
          <w:rFonts w:ascii="Arial" w:hAnsi="Arial" w:cs="Arial"/>
        </w:rPr>
        <w:t>indicates</w:t>
      </w:r>
      <w:r w:rsidRPr="008A5499">
        <w:rPr>
          <w:rFonts w:ascii="Arial" w:hAnsi="Arial" w:cs="Arial"/>
        </w:rPr>
        <w:t xml:space="preserve"> a </w:t>
      </w:r>
      <w:r w:rsidR="00E46939" w:rsidRPr="008A5499">
        <w:rPr>
          <w:rFonts w:ascii="Arial" w:hAnsi="Arial" w:cs="Arial"/>
        </w:rPr>
        <w:t>firm's</w:t>
      </w:r>
      <w:r w:rsidRPr="008A5499">
        <w:rPr>
          <w:rFonts w:ascii="Arial" w:hAnsi="Arial" w:cs="Arial"/>
        </w:rPr>
        <w:t xml:space="preserve"> </w:t>
      </w:r>
      <w:r w:rsidR="00E46939" w:rsidRPr="008A5499">
        <w:rPr>
          <w:rFonts w:ascii="Arial" w:hAnsi="Arial" w:cs="Arial"/>
        </w:rPr>
        <w:t>fiscal</w:t>
      </w:r>
      <w:r w:rsidRPr="008A5499">
        <w:rPr>
          <w:rFonts w:ascii="Arial" w:hAnsi="Arial" w:cs="Arial"/>
        </w:rPr>
        <w:t xml:space="preserve"> </w:t>
      </w:r>
      <w:r w:rsidR="00E46939" w:rsidRPr="008A5499">
        <w:rPr>
          <w:rFonts w:ascii="Arial" w:hAnsi="Arial" w:cs="Arial"/>
        </w:rPr>
        <w:t>condition</w:t>
      </w:r>
      <w:r w:rsidRPr="008A5499">
        <w:rPr>
          <w:rFonts w:ascii="Arial" w:hAnsi="Arial" w:cs="Arial"/>
        </w:rPr>
        <w:t xml:space="preserve"> and how to </w:t>
      </w:r>
      <w:r w:rsidR="00DA1178" w:rsidRPr="008A5499">
        <w:rPr>
          <w:rFonts w:ascii="Arial" w:hAnsi="Arial" w:cs="Arial"/>
        </w:rPr>
        <w:t>expand</w:t>
      </w:r>
      <w:r w:rsidRPr="008A5499">
        <w:rPr>
          <w:rFonts w:ascii="Arial" w:hAnsi="Arial" w:cs="Arial"/>
        </w:rPr>
        <w:t xml:space="preserve"> current asset liquidity to </w:t>
      </w:r>
      <w:r w:rsidR="00DA1178" w:rsidRPr="008A5499">
        <w:rPr>
          <w:rFonts w:ascii="Arial" w:hAnsi="Arial" w:cs="Arial"/>
        </w:rPr>
        <w:t>recompense</w:t>
      </w:r>
      <w:r w:rsidRPr="008A5499">
        <w:rPr>
          <w:rFonts w:ascii="Arial" w:hAnsi="Arial" w:cs="Arial"/>
        </w:rPr>
        <w:t xml:space="preserve"> debt and payables.</w:t>
      </w:r>
      <w:r w:rsidR="00B1462F">
        <w:rPr>
          <w:rFonts w:ascii="Arial" w:hAnsi="Arial" w:cs="Arial"/>
        </w:rPr>
        <w:t xml:space="preserve"> Firm's</w:t>
      </w:r>
      <w:r w:rsidRPr="008A5499">
        <w:rPr>
          <w:rFonts w:ascii="Arial" w:hAnsi="Arial" w:cs="Arial"/>
        </w:rPr>
        <w:t xml:space="preserve"> liquidity can be </w:t>
      </w:r>
      <w:r w:rsidR="00B1462F" w:rsidRPr="008A5499">
        <w:rPr>
          <w:rFonts w:ascii="Arial" w:hAnsi="Arial" w:cs="Arial"/>
        </w:rPr>
        <w:t>determined</w:t>
      </w:r>
      <w:r w:rsidRPr="008A5499">
        <w:rPr>
          <w:rFonts w:ascii="Arial" w:hAnsi="Arial" w:cs="Arial"/>
        </w:rPr>
        <w:t xml:space="preserve"> </w:t>
      </w:r>
      <w:r w:rsidR="00B1462F" w:rsidRPr="008A5499">
        <w:rPr>
          <w:rFonts w:ascii="Arial" w:hAnsi="Arial" w:cs="Arial"/>
        </w:rPr>
        <w:t>undoubtedly</w:t>
      </w:r>
      <w:r w:rsidRPr="008A5499">
        <w:rPr>
          <w:rFonts w:ascii="Arial" w:hAnsi="Arial" w:cs="Arial"/>
        </w:rPr>
        <w:t xml:space="preserve"> </w:t>
      </w:r>
      <w:r w:rsidR="004E30D6" w:rsidRPr="008A5499">
        <w:rPr>
          <w:rFonts w:ascii="Arial" w:hAnsi="Arial" w:cs="Arial"/>
        </w:rPr>
        <w:t>utilizing</w:t>
      </w:r>
      <w:r w:rsidRPr="008A5499">
        <w:rPr>
          <w:rFonts w:ascii="Arial" w:hAnsi="Arial" w:cs="Arial"/>
        </w:rPr>
        <w:t xml:space="preserve"> the current ratio formula.</w:t>
      </w:r>
      <w:r w:rsidR="00BE362F" w:rsidRPr="008A5499">
        <w:rPr>
          <w:rFonts w:ascii="Arial" w:hAnsi="Arial" w:cs="Arial"/>
        </w:rPr>
        <w:t xml:space="preserve"> (Schindeldecker, 2017)</w:t>
      </w:r>
    </w:p>
    <w:p w14:paraId="3EB2C968" w14:textId="77777777" w:rsidR="008A5499" w:rsidRPr="008A5499" w:rsidRDefault="008A5499" w:rsidP="008A5499">
      <w:pPr>
        <w:spacing w:line="360" w:lineRule="auto"/>
        <w:jc w:val="both"/>
        <w:rPr>
          <w:rFonts w:ascii="Arial" w:hAnsi="Arial" w:cs="Arial"/>
        </w:rPr>
      </w:pPr>
    </w:p>
    <w:p w14:paraId="57769948" w14:textId="61589AD8" w:rsidR="001C68C1" w:rsidRPr="008A5499" w:rsidRDefault="00405265" w:rsidP="008A5499">
      <w:pPr>
        <w:spacing w:line="360" w:lineRule="auto"/>
        <w:jc w:val="both"/>
        <w:rPr>
          <w:rFonts w:ascii="Arial" w:hAnsi="Arial" w:cs="Arial"/>
          <w:sz w:val="24"/>
          <w:szCs w:val="24"/>
        </w:rPr>
      </w:pPr>
      <w:r w:rsidRPr="008A5499">
        <w:rPr>
          <w:rFonts w:ascii="Arial" w:hAnsi="Arial" w:cs="Arial"/>
          <w:sz w:val="24"/>
          <w:szCs w:val="24"/>
        </w:rPr>
        <w:t>F</w:t>
      </w:r>
      <w:r w:rsidR="00124DDD" w:rsidRPr="008A5499">
        <w:rPr>
          <w:rFonts w:ascii="Arial" w:hAnsi="Arial" w:cs="Arial"/>
          <w:sz w:val="24"/>
          <w:szCs w:val="24"/>
        </w:rPr>
        <w:t xml:space="preserve">ormula: </w:t>
      </w:r>
    </w:p>
    <w:p w14:paraId="2EDC9A84" w14:textId="7C6C6C79" w:rsidR="002830C1" w:rsidRDefault="002830C1" w:rsidP="002830C1">
      <w:pPr>
        <w:jc w:val="center"/>
      </w:pPr>
      <w:r w:rsidRPr="002830C1">
        <w:rPr>
          <w:noProof/>
        </w:rPr>
        <w:drawing>
          <wp:inline distT="0" distB="0" distL="0" distR="0" wp14:anchorId="668A4A14" wp14:editId="6248BF4D">
            <wp:extent cx="4534533" cy="1028844"/>
            <wp:effectExtent l="0" t="0" r="0" b="0"/>
            <wp:docPr id="69860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60581" name=""/>
                    <pic:cNvPicPr/>
                  </pic:nvPicPr>
                  <pic:blipFill>
                    <a:blip r:embed="rId15"/>
                    <a:stretch>
                      <a:fillRect/>
                    </a:stretch>
                  </pic:blipFill>
                  <pic:spPr>
                    <a:xfrm>
                      <a:off x="0" y="0"/>
                      <a:ext cx="4534533" cy="1028844"/>
                    </a:xfrm>
                    <a:prstGeom prst="rect">
                      <a:avLst/>
                    </a:prstGeom>
                  </pic:spPr>
                </pic:pic>
              </a:graphicData>
            </a:graphic>
          </wp:inline>
        </w:drawing>
      </w:r>
    </w:p>
    <w:p w14:paraId="6750315E" w14:textId="77777777" w:rsidR="00D71F35" w:rsidRDefault="00D71F35" w:rsidP="002830C1">
      <w:pPr>
        <w:jc w:val="center"/>
      </w:pPr>
    </w:p>
    <w:p w14:paraId="49AFA6AB" w14:textId="6105BD55" w:rsidR="0067085F" w:rsidRDefault="00BA4558" w:rsidP="00406387">
      <w:pPr>
        <w:spacing w:line="360" w:lineRule="auto"/>
        <w:jc w:val="both"/>
        <w:rPr>
          <w:rFonts w:ascii="Arial" w:hAnsi="Arial" w:cs="Arial"/>
          <w:sz w:val="24"/>
          <w:szCs w:val="24"/>
        </w:rPr>
      </w:pPr>
      <w:r w:rsidRPr="00BA4558">
        <w:rPr>
          <w:rFonts w:ascii="Arial" w:hAnsi="Arial" w:cs="Arial"/>
          <w:b/>
          <w:bCs/>
          <w:sz w:val="24"/>
          <w:szCs w:val="24"/>
        </w:rPr>
        <w:t>Current assets</w:t>
      </w:r>
      <w:r w:rsidRPr="00BA4558">
        <w:rPr>
          <w:rFonts w:ascii="Arial" w:hAnsi="Arial" w:cs="Arial"/>
          <w:sz w:val="24"/>
          <w:szCs w:val="24"/>
        </w:rPr>
        <w:t xml:space="preserve"> are </w:t>
      </w:r>
      <w:r w:rsidR="00742F6B" w:rsidRPr="00BA4558">
        <w:rPr>
          <w:rFonts w:ascii="Arial" w:hAnsi="Arial" w:cs="Arial"/>
          <w:sz w:val="24"/>
          <w:szCs w:val="24"/>
        </w:rPr>
        <w:t>entirety</w:t>
      </w:r>
      <w:r w:rsidRPr="00BA4558">
        <w:rPr>
          <w:rFonts w:ascii="Arial" w:hAnsi="Arial" w:cs="Arial"/>
          <w:sz w:val="24"/>
          <w:szCs w:val="24"/>
        </w:rPr>
        <w:t xml:space="preserve"> assets a </w:t>
      </w:r>
      <w:proofErr w:type="gramStart"/>
      <w:r w:rsidRPr="00BA4558">
        <w:rPr>
          <w:rFonts w:ascii="Arial" w:hAnsi="Arial" w:cs="Arial"/>
          <w:sz w:val="24"/>
          <w:szCs w:val="24"/>
        </w:rPr>
        <w:t>firm plans</w:t>
      </w:r>
      <w:proofErr w:type="gramEnd"/>
      <w:r w:rsidRPr="00BA4558">
        <w:rPr>
          <w:rFonts w:ascii="Arial" w:hAnsi="Arial" w:cs="Arial"/>
          <w:sz w:val="24"/>
          <w:szCs w:val="24"/>
        </w:rPr>
        <w:t xml:space="preserve"> to </w:t>
      </w:r>
      <w:r w:rsidR="00F61D68" w:rsidRPr="00BA4558">
        <w:rPr>
          <w:rFonts w:ascii="Arial" w:hAnsi="Arial" w:cs="Arial"/>
          <w:sz w:val="24"/>
          <w:szCs w:val="24"/>
        </w:rPr>
        <w:t>transform</w:t>
      </w:r>
      <w:r w:rsidRPr="00BA4558">
        <w:rPr>
          <w:rFonts w:ascii="Arial" w:hAnsi="Arial" w:cs="Arial"/>
          <w:sz w:val="24"/>
          <w:szCs w:val="24"/>
        </w:rPr>
        <w:t xml:space="preserve"> to cash </w:t>
      </w:r>
      <w:r w:rsidR="006815B2" w:rsidRPr="00BA4558">
        <w:rPr>
          <w:rFonts w:ascii="Arial" w:hAnsi="Arial" w:cs="Arial"/>
          <w:sz w:val="24"/>
          <w:szCs w:val="24"/>
        </w:rPr>
        <w:t>in</w:t>
      </w:r>
      <w:r w:rsidRPr="00BA4558">
        <w:rPr>
          <w:rFonts w:ascii="Arial" w:hAnsi="Arial" w:cs="Arial"/>
          <w:sz w:val="24"/>
          <w:szCs w:val="24"/>
        </w:rPr>
        <w:t xml:space="preserve"> a year. Company liquidity is often measured with them. Balance sheets divide assets into current and non-current (capital assets). Cash,</w:t>
      </w:r>
      <w:r w:rsidR="00017EB4" w:rsidRPr="00017EB4">
        <w:t xml:space="preserve"> </w:t>
      </w:r>
      <w:r w:rsidR="00017EB4" w:rsidRPr="00017EB4">
        <w:rPr>
          <w:rFonts w:ascii="Arial" w:hAnsi="Arial" w:cs="Arial"/>
          <w:sz w:val="24"/>
          <w:szCs w:val="24"/>
        </w:rPr>
        <w:t>accounts receivable</w:t>
      </w:r>
      <w:r w:rsidR="00017EB4">
        <w:rPr>
          <w:rFonts w:ascii="Arial" w:hAnsi="Arial" w:cs="Arial"/>
          <w:sz w:val="24"/>
          <w:szCs w:val="24"/>
        </w:rPr>
        <w:t>.</w:t>
      </w:r>
      <w:r w:rsidRPr="00BA4558">
        <w:rPr>
          <w:rFonts w:ascii="Arial" w:hAnsi="Arial" w:cs="Arial"/>
          <w:sz w:val="24"/>
          <w:szCs w:val="24"/>
        </w:rPr>
        <w:t xml:space="preserve"> cash equivalents, inventories, </w:t>
      </w:r>
      <w:r w:rsidR="00FD303E" w:rsidRPr="00FD303E">
        <w:rPr>
          <w:rFonts w:ascii="Arial" w:hAnsi="Arial" w:cs="Arial"/>
          <w:sz w:val="24"/>
          <w:szCs w:val="24"/>
        </w:rPr>
        <w:t>notes receivable</w:t>
      </w:r>
      <w:r w:rsidR="00FD303E">
        <w:rPr>
          <w:rFonts w:ascii="Arial" w:hAnsi="Arial" w:cs="Arial"/>
          <w:sz w:val="24"/>
          <w:szCs w:val="24"/>
        </w:rPr>
        <w:t xml:space="preserve">, </w:t>
      </w:r>
      <w:r w:rsidRPr="00BA4558">
        <w:rPr>
          <w:rFonts w:ascii="Arial" w:hAnsi="Arial" w:cs="Arial"/>
          <w:sz w:val="24"/>
          <w:szCs w:val="24"/>
        </w:rPr>
        <w:t xml:space="preserve">short-term investments, prepaid </w:t>
      </w:r>
      <w:r w:rsidR="00A4038C" w:rsidRPr="00BA4558">
        <w:rPr>
          <w:rFonts w:ascii="Arial" w:hAnsi="Arial" w:cs="Arial"/>
          <w:sz w:val="24"/>
          <w:szCs w:val="24"/>
        </w:rPr>
        <w:t>payment</w:t>
      </w:r>
      <w:r w:rsidRPr="00BA4558">
        <w:rPr>
          <w:rFonts w:ascii="Arial" w:hAnsi="Arial" w:cs="Arial"/>
          <w:sz w:val="24"/>
          <w:szCs w:val="24"/>
        </w:rPr>
        <w:t xml:space="preserve"> (e.g., unpaid insurance </w:t>
      </w:r>
      <w:r w:rsidR="00E4682A" w:rsidRPr="00BA4558">
        <w:rPr>
          <w:rFonts w:ascii="Arial" w:hAnsi="Arial" w:cs="Arial"/>
          <w:sz w:val="24"/>
          <w:szCs w:val="24"/>
        </w:rPr>
        <w:t>bonuses</w:t>
      </w:r>
      <w:r w:rsidRPr="00BA4558">
        <w:rPr>
          <w:rFonts w:ascii="Arial" w:hAnsi="Arial" w:cs="Arial"/>
          <w:sz w:val="24"/>
          <w:szCs w:val="24"/>
        </w:rPr>
        <w:t xml:space="preserve">), and marketable securities are current assets. Long-term assets, or capital assets, are harder to </w:t>
      </w:r>
      <w:r w:rsidR="00E4682A" w:rsidRPr="00BA4558">
        <w:rPr>
          <w:rFonts w:ascii="Arial" w:hAnsi="Arial" w:cs="Arial"/>
          <w:sz w:val="24"/>
          <w:szCs w:val="24"/>
        </w:rPr>
        <w:t>transform</w:t>
      </w:r>
      <w:r w:rsidRPr="00BA4558">
        <w:rPr>
          <w:rFonts w:ascii="Arial" w:hAnsi="Arial" w:cs="Arial"/>
          <w:sz w:val="24"/>
          <w:szCs w:val="24"/>
        </w:rPr>
        <w:t xml:space="preserve"> into cash. </w:t>
      </w:r>
      <w:r w:rsidR="00A418EE" w:rsidRPr="00BA4558">
        <w:rPr>
          <w:rFonts w:ascii="Arial" w:hAnsi="Arial" w:cs="Arial"/>
          <w:sz w:val="24"/>
          <w:szCs w:val="24"/>
        </w:rPr>
        <w:t>Estate</w:t>
      </w:r>
      <w:r w:rsidRPr="00BA4558">
        <w:rPr>
          <w:rFonts w:ascii="Arial" w:hAnsi="Arial" w:cs="Arial"/>
          <w:sz w:val="24"/>
          <w:szCs w:val="24"/>
        </w:rPr>
        <w:t xml:space="preserve">, </w:t>
      </w:r>
      <w:r w:rsidR="00A418EE" w:rsidRPr="00A418EE">
        <w:rPr>
          <w:rFonts w:ascii="Arial" w:hAnsi="Arial" w:cs="Arial"/>
          <w:sz w:val="24"/>
          <w:szCs w:val="24"/>
        </w:rPr>
        <w:t>equipment</w:t>
      </w:r>
      <w:r w:rsidR="00A418EE" w:rsidRPr="00A418EE">
        <w:rPr>
          <w:rFonts w:ascii="Arial" w:hAnsi="Arial" w:cs="Arial"/>
          <w:sz w:val="24"/>
          <w:szCs w:val="24"/>
        </w:rPr>
        <w:t xml:space="preserve"> </w:t>
      </w:r>
      <w:r w:rsidR="00A418EE">
        <w:rPr>
          <w:rFonts w:ascii="Arial" w:hAnsi="Arial" w:cs="Arial"/>
          <w:sz w:val="24"/>
          <w:szCs w:val="24"/>
        </w:rPr>
        <w:t xml:space="preserve">and </w:t>
      </w:r>
      <w:r w:rsidRPr="00BA4558">
        <w:rPr>
          <w:rFonts w:ascii="Arial" w:hAnsi="Arial" w:cs="Arial"/>
          <w:sz w:val="24"/>
          <w:szCs w:val="24"/>
        </w:rPr>
        <w:t xml:space="preserve">plant, long-term investments, </w:t>
      </w:r>
      <w:r w:rsidR="00E744C9" w:rsidRPr="00BA4558">
        <w:rPr>
          <w:rFonts w:ascii="Arial" w:hAnsi="Arial" w:cs="Arial"/>
          <w:sz w:val="24"/>
          <w:szCs w:val="24"/>
        </w:rPr>
        <w:t>nonphysical</w:t>
      </w:r>
      <w:r w:rsidRPr="00BA4558">
        <w:rPr>
          <w:rFonts w:ascii="Arial" w:hAnsi="Arial" w:cs="Arial"/>
          <w:sz w:val="24"/>
          <w:szCs w:val="24"/>
        </w:rPr>
        <w:t xml:space="preserve"> assets (</w:t>
      </w:r>
      <w:r w:rsidR="003F1BE4">
        <w:rPr>
          <w:rFonts w:ascii="Arial" w:hAnsi="Arial" w:cs="Arial"/>
          <w:sz w:val="24"/>
          <w:szCs w:val="24"/>
        </w:rPr>
        <w:t>patents</w:t>
      </w:r>
      <w:r w:rsidR="00254300">
        <w:rPr>
          <w:rFonts w:ascii="Arial" w:hAnsi="Arial" w:cs="Arial"/>
          <w:sz w:val="24"/>
          <w:szCs w:val="24"/>
        </w:rPr>
        <w:t xml:space="preserve">, </w:t>
      </w:r>
      <w:r w:rsidRPr="00BA4558">
        <w:rPr>
          <w:rFonts w:ascii="Arial" w:hAnsi="Arial" w:cs="Arial"/>
          <w:sz w:val="24"/>
          <w:szCs w:val="24"/>
        </w:rPr>
        <w:t xml:space="preserve">trademarks), and </w:t>
      </w:r>
      <w:r w:rsidR="00254300" w:rsidRPr="00BA4558">
        <w:rPr>
          <w:rFonts w:ascii="Arial" w:hAnsi="Arial" w:cs="Arial"/>
          <w:sz w:val="24"/>
          <w:szCs w:val="24"/>
        </w:rPr>
        <w:t>delayed</w:t>
      </w:r>
      <w:r w:rsidRPr="00BA4558">
        <w:rPr>
          <w:rFonts w:ascii="Arial" w:hAnsi="Arial" w:cs="Arial"/>
          <w:sz w:val="24"/>
          <w:szCs w:val="24"/>
        </w:rPr>
        <w:t xml:space="preserve"> charges are non-current assets.</w:t>
      </w:r>
      <w:r w:rsidR="0001018D">
        <w:rPr>
          <w:rFonts w:ascii="Arial" w:hAnsi="Arial" w:cs="Arial"/>
          <w:sz w:val="24"/>
          <w:szCs w:val="24"/>
        </w:rPr>
        <w:t xml:space="preserve"> (</w:t>
      </w:r>
      <w:r w:rsidR="0001018D" w:rsidRPr="0001018D">
        <w:rPr>
          <w:rFonts w:ascii="Arial" w:hAnsi="Arial" w:cs="Arial"/>
          <w:sz w:val="24"/>
          <w:szCs w:val="24"/>
        </w:rPr>
        <w:t>Schindeldecker</w:t>
      </w:r>
      <w:r w:rsidR="0001018D">
        <w:rPr>
          <w:rFonts w:ascii="Arial" w:hAnsi="Arial" w:cs="Arial"/>
          <w:sz w:val="24"/>
          <w:szCs w:val="24"/>
        </w:rPr>
        <w:t xml:space="preserve">, </w:t>
      </w:r>
      <w:r w:rsidR="0001018D" w:rsidRPr="0001018D">
        <w:rPr>
          <w:rFonts w:ascii="Arial" w:hAnsi="Arial" w:cs="Arial"/>
          <w:sz w:val="24"/>
          <w:szCs w:val="24"/>
        </w:rPr>
        <w:t>2017)</w:t>
      </w:r>
    </w:p>
    <w:p w14:paraId="6E339999" w14:textId="4FAD62AF" w:rsidR="008B1708" w:rsidRDefault="0001018D" w:rsidP="00406387">
      <w:pPr>
        <w:spacing w:line="360" w:lineRule="auto"/>
        <w:jc w:val="both"/>
        <w:rPr>
          <w:rFonts w:ascii="Arial" w:hAnsi="Arial" w:cs="Arial"/>
          <w:sz w:val="24"/>
          <w:szCs w:val="24"/>
        </w:rPr>
      </w:pPr>
      <w:r>
        <w:rPr>
          <w:rFonts w:ascii="Arial" w:hAnsi="Arial" w:cs="Arial"/>
          <w:sz w:val="24"/>
          <w:szCs w:val="24"/>
        </w:rPr>
        <w:lastRenderedPageBreak/>
        <w:t xml:space="preserve">According to </w:t>
      </w:r>
      <w:r w:rsidRPr="0001018D">
        <w:rPr>
          <w:rFonts w:ascii="Arial" w:hAnsi="Arial" w:cs="Arial"/>
          <w:sz w:val="24"/>
          <w:szCs w:val="24"/>
        </w:rPr>
        <w:t>Schindeldecker (2017)</w:t>
      </w:r>
      <w:r>
        <w:rPr>
          <w:rFonts w:ascii="Arial" w:hAnsi="Arial" w:cs="Arial"/>
          <w:sz w:val="24"/>
          <w:szCs w:val="24"/>
        </w:rPr>
        <w:t xml:space="preserve"> </w:t>
      </w:r>
      <w:r w:rsidRPr="0001018D">
        <w:rPr>
          <w:rFonts w:ascii="Arial" w:hAnsi="Arial" w:cs="Arial"/>
          <w:b/>
          <w:bCs/>
          <w:sz w:val="24"/>
          <w:szCs w:val="24"/>
        </w:rPr>
        <w:t>c</w:t>
      </w:r>
      <w:r w:rsidR="00406387" w:rsidRPr="0001018D">
        <w:rPr>
          <w:rFonts w:ascii="Arial" w:hAnsi="Arial" w:cs="Arial"/>
          <w:b/>
          <w:bCs/>
          <w:sz w:val="24"/>
          <w:szCs w:val="24"/>
        </w:rPr>
        <w:t>urrent liabilities</w:t>
      </w:r>
      <w:r w:rsidR="00406387" w:rsidRPr="00406387">
        <w:rPr>
          <w:rFonts w:ascii="Arial" w:hAnsi="Arial" w:cs="Arial"/>
          <w:sz w:val="24"/>
          <w:szCs w:val="24"/>
        </w:rPr>
        <w:t xml:space="preserve"> refer to the financial obligations of a company entity that must be paid within a period of one year. A liability arises when a corporation has engaged in a transaction that has created an anticipation for a forthcoming depletion of cash or other economic resources.</w:t>
      </w:r>
    </w:p>
    <w:p w14:paraId="0F296F61" w14:textId="77777777" w:rsidR="00406387" w:rsidRPr="00406387" w:rsidRDefault="00406387" w:rsidP="00406387">
      <w:pPr>
        <w:spacing w:line="360" w:lineRule="auto"/>
        <w:jc w:val="both"/>
        <w:rPr>
          <w:rFonts w:ascii="Arial" w:hAnsi="Arial" w:cs="Arial"/>
          <w:sz w:val="24"/>
          <w:szCs w:val="24"/>
        </w:rPr>
      </w:pPr>
    </w:p>
    <w:p w14:paraId="47B8867B" w14:textId="3BA619AB" w:rsidR="002830C1" w:rsidRDefault="002830C1" w:rsidP="00406387">
      <w:pPr>
        <w:spacing w:line="360" w:lineRule="auto"/>
        <w:jc w:val="both"/>
        <w:rPr>
          <w:rFonts w:ascii="Arial" w:hAnsi="Arial" w:cs="Arial"/>
          <w:b/>
          <w:bCs/>
          <w:sz w:val="24"/>
          <w:szCs w:val="24"/>
        </w:rPr>
      </w:pPr>
      <w:r w:rsidRPr="00406387">
        <w:rPr>
          <w:rFonts w:ascii="Arial" w:hAnsi="Arial" w:cs="Arial"/>
          <w:b/>
          <w:bCs/>
          <w:sz w:val="24"/>
          <w:szCs w:val="24"/>
        </w:rPr>
        <w:t xml:space="preserve">Ford`s </w:t>
      </w:r>
      <w:r w:rsidR="00633C05" w:rsidRPr="00406387">
        <w:rPr>
          <w:rFonts w:ascii="Arial" w:hAnsi="Arial" w:cs="Arial"/>
          <w:b/>
          <w:bCs/>
          <w:sz w:val="24"/>
          <w:szCs w:val="24"/>
        </w:rPr>
        <w:t>Current Ratio in 2023:</w:t>
      </w:r>
    </w:p>
    <w:p w14:paraId="0C259117" w14:textId="77777777" w:rsidR="00406387" w:rsidRPr="00406387" w:rsidRDefault="00406387" w:rsidP="00406387">
      <w:pPr>
        <w:spacing w:line="360" w:lineRule="auto"/>
        <w:jc w:val="both"/>
        <w:rPr>
          <w:rFonts w:ascii="Arial" w:hAnsi="Arial" w:cs="Arial"/>
          <w:b/>
          <w:bCs/>
          <w:sz w:val="24"/>
          <w:szCs w:val="24"/>
        </w:rPr>
      </w:pPr>
    </w:p>
    <w:p w14:paraId="53CBADD6" w14:textId="4032E04E" w:rsidR="00633C05" w:rsidRPr="00D91789" w:rsidRDefault="00A9603E" w:rsidP="002830C1">
      <w:pPr>
        <w:rPr>
          <w:rFonts w:eastAsiaTheme="minorEastAsia"/>
        </w:rPr>
      </w:pPr>
      <m:oMathPara>
        <m:oMath>
          <m:r>
            <w:rPr>
              <w:rFonts w:ascii="Cambria Math" w:hAnsi="Cambria Math"/>
            </w:rPr>
            <m:t>Current Ratio=</m:t>
          </m:r>
          <m:f>
            <m:fPr>
              <m:ctrlPr>
                <w:rPr>
                  <w:rFonts w:ascii="Cambria Math" w:hAnsi="Cambria Math"/>
                  <w:i/>
                </w:rPr>
              </m:ctrlPr>
            </m:fPr>
            <m:num>
              <m:r>
                <m:rPr>
                  <m:sty m:val="bi"/>
                </m:rPr>
                <w:rPr>
                  <w:rFonts w:ascii="Cambria Math" w:hAnsi="Cambria Math"/>
                </w:rPr>
                <m:t>$121,48 B</m:t>
              </m:r>
              <m:r>
                <w:rPr>
                  <w:rFonts w:ascii="Cambria Math" w:hAnsi="Cambria Math"/>
                </w:rPr>
                <m:t xml:space="preserve"> (Current Assets)</m:t>
              </m:r>
            </m:num>
            <m:den>
              <m:r>
                <m:rPr>
                  <m:sty m:val="bi"/>
                </m:rPr>
                <w:rPr>
                  <w:rFonts w:ascii="Cambria Math" w:hAnsi="Cambria Math"/>
                </w:rPr>
                <m:t>$101.53 B</m:t>
              </m:r>
              <m:r>
                <w:rPr>
                  <w:rFonts w:ascii="Cambria Math" w:hAnsi="Cambria Math"/>
                </w:rPr>
                <m:t xml:space="preserve"> (Current Liabilities)</m:t>
              </m:r>
            </m:den>
          </m:f>
        </m:oMath>
      </m:oMathPara>
    </w:p>
    <w:p w14:paraId="0C5C675A" w14:textId="2FF0C4D4" w:rsidR="00D91789" w:rsidRPr="003E310B" w:rsidRDefault="00D91789" w:rsidP="002830C1">
      <w:pPr>
        <w:rPr>
          <w:rFonts w:eastAsiaTheme="minorEastAsia"/>
          <w:b/>
          <w:bCs/>
        </w:rPr>
      </w:pPr>
      <m:oMathPara>
        <m:oMath>
          <m:r>
            <w:rPr>
              <w:rFonts w:ascii="Cambria Math" w:eastAsiaTheme="minorEastAsia" w:hAnsi="Cambria Math"/>
            </w:rPr>
            <m:t>Current Ratio=</m:t>
          </m:r>
          <m:r>
            <m:rPr>
              <m:sty m:val="bi"/>
            </m:rPr>
            <w:rPr>
              <w:rFonts w:ascii="Cambria Math" w:eastAsiaTheme="minorEastAsia" w:hAnsi="Cambria Math"/>
            </w:rPr>
            <m:t>1.20</m:t>
          </m:r>
        </m:oMath>
      </m:oMathPara>
    </w:p>
    <w:p w14:paraId="073B4C2E" w14:textId="77777777" w:rsidR="003E310B" w:rsidRPr="00D91789" w:rsidRDefault="003E310B" w:rsidP="002830C1">
      <w:pPr>
        <w:rPr>
          <w:rFonts w:eastAsiaTheme="minorEastAsia"/>
        </w:rPr>
      </w:pPr>
    </w:p>
    <w:p w14:paraId="34A01FCF" w14:textId="527FD5D0" w:rsidR="00D91789" w:rsidRPr="0001018D" w:rsidRDefault="00B8275D" w:rsidP="0001018D">
      <w:pPr>
        <w:spacing w:line="360" w:lineRule="auto"/>
        <w:jc w:val="both"/>
        <w:rPr>
          <w:rFonts w:ascii="Arial" w:eastAsiaTheme="minorEastAsia" w:hAnsi="Arial" w:cs="Arial"/>
          <w:sz w:val="24"/>
          <w:szCs w:val="24"/>
        </w:rPr>
      </w:pPr>
      <w:r w:rsidRPr="0001018D">
        <w:rPr>
          <w:rFonts w:ascii="Arial" w:eastAsiaTheme="minorEastAsia" w:hAnsi="Arial" w:cs="Arial"/>
          <w:b/>
          <w:bCs/>
          <w:sz w:val="24"/>
          <w:szCs w:val="24"/>
        </w:rPr>
        <w:t>Discussion</w:t>
      </w:r>
      <w:r w:rsidR="0050605F" w:rsidRPr="0001018D">
        <w:rPr>
          <w:rFonts w:ascii="Arial" w:eastAsiaTheme="minorEastAsia" w:hAnsi="Arial" w:cs="Arial"/>
          <w:sz w:val="24"/>
          <w:szCs w:val="24"/>
        </w:rPr>
        <w:t>:</w:t>
      </w:r>
      <w:r w:rsidR="003E310B" w:rsidRPr="0001018D">
        <w:rPr>
          <w:rFonts w:ascii="Arial" w:eastAsiaTheme="minorEastAsia" w:hAnsi="Arial" w:cs="Arial"/>
          <w:sz w:val="24"/>
          <w:szCs w:val="24"/>
        </w:rPr>
        <w:t xml:space="preserve"> </w:t>
      </w:r>
      <w:r w:rsidR="003F39C5" w:rsidRPr="0001018D">
        <w:rPr>
          <w:rFonts w:ascii="Arial" w:eastAsiaTheme="minorEastAsia" w:hAnsi="Arial" w:cs="Arial"/>
          <w:sz w:val="24"/>
          <w:szCs w:val="24"/>
        </w:rPr>
        <w:t xml:space="preserve">Current ratio of 1.20 signifies that the current assets exceed the current liabilities by a factor of 1.20. The </w:t>
      </w:r>
      <w:r w:rsidR="0089737D" w:rsidRPr="0001018D">
        <w:rPr>
          <w:rFonts w:ascii="Arial" w:eastAsiaTheme="minorEastAsia" w:hAnsi="Arial" w:cs="Arial"/>
          <w:sz w:val="24"/>
          <w:szCs w:val="24"/>
        </w:rPr>
        <w:t>enterprise's</w:t>
      </w:r>
      <w:r w:rsidR="003F39C5" w:rsidRPr="0001018D">
        <w:rPr>
          <w:rFonts w:ascii="Arial" w:eastAsiaTheme="minorEastAsia" w:hAnsi="Arial" w:cs="Arial"/>
          <w:sz w:val="24"/>
          <w:szCs w:val="24"/>
        </w:rPr>
        <w:t xml:space="preserve"> current assets exceed its current liabilities, indicating a favourable liquidity position.</w:t>
      </w:r>
    </w:p>
    <w:p w14:paraId="3145CC95" w14:textId="77777777" w:rsidR="003E310B" w:rsidRDefault="003E310B" w:rsidP="00807070"/>
    <w:p w14:paraId="1CDDEE3D" w14:textId="544BD88B" w:rsidR="008E2E77" w:rsidRDefault="00DA26B3" w:rsidP="005523FB">
      <w:pPr>
        <w:pStyle w:val="Heading3"/>
      </w:pPr>
      <w:bookmarkStart w:id="17" w:name="_Toc164624833"/>
      <w:r w:rsidRPr="00723E48">
        <w:t>Gearing Ratio:</w:t>
      </w:r>
      <w:bookmarkEnd w:id="17"/>
    </w:p>
    <w:p w14:paraId="183C215C" w14:textId="77777777" w:rsidR="003E310B" w:rsidRPr="003E310B" w:rsidRDefault="003E310B" w:rsidP="003E310B"/>
    <w:p w14:paraId="5B96A5BA" w14:textId="27E94B9D" w:rsidR="00994399" w:rsidRPr="00457D7D" w:rsidRDefault="002C76C9" w:rsidP="00994399">
      <w:pPr>
        <w:spacing w:line="360" w:lineRule="auto"/>
        <w:jc w:val="both"/>
        <w:rPr>
          <w:rFonts w:ascii="Arial" w:hAnsi="Arial" w:cs="Arial"/>
          <w:sz w:val="24"/>
          <w:szCs w:val="24"/>
        </w:rPr>
      </w:pPr>
      <w:r w:rsidRPr="00457D7D">
        <w:rPr>
          <w:rFonts w:ascii="Arial" w:hAnsi="Arial" w:cs="Arial"/>
          <w:sz w:val="24"/>
          <w:szCs w:val="24"/>
        </w:rPr>
        <w:t xml:space="preserve">According to </w:t>
      </w:r>
      <w:r w:rsidR="00457D7D" w:rsidRPr="00457D7D">
        <w:rPr>
          <w:rFonts w:ascii="Arial" w:hAnsi="Arial" w:cs="Arial"/>
          <w:sz w:val="24"/>
          <w:szCs w:val="24"/>
        </w:rPr>
        <w:t>Bull (2008) g</w:t>
      </w:r>
      <w:r w:rsidRPr="00457D7D">
        <w:rPr>
          <w:rFonts w:ascii="Arial" w:hAnsi="Arial" w:cs="Arial"/>
          <w:sz w:val="24"/>
          <w:szCs w:val="24"/>
        </w:rPr>
        <w:t>earing refers to the ratio of debt</w:t>
      </w:r>
      <w:r w:rsidR="00627160">
        <w:rPr>
          <w:rFonts w:ascii="Arial" w:hAnsi="Arial" w:cs="Arial"/>
          <w:sz w:val="24"/>
          <w:szCs w:val="24"/>
        </w:rPr>
        <w:t>-</w:t>
      </w:r>
      <w:r w:rsidRPr="00457D7D">
        <w:rPr>
          <w:rFonts w:ascii="Arial" w:hAnsi="Arial" w:cs="Arial"/>
          <w:sz w:val="24"/>
          <w:szCs w:val="24"/>
        </w:rPr>
        <w:t>to</w:t>
      </w:r>
      <w:r w:rsidR="00627160">
        <w:rPr>
          <w:rFonts w:ascii="Arial" w:hAnsi="Arial" w:cs="Arial"/>
          <w:sz w:val="24"/>
          <w:szCs w:val="24"/>
        </w:rPr>
        <w:t>-</w:t>
      </w:r>
      <w:r w:rsidRPr="00457D7D">
        <w:rPr>
          <w:rFonts w:ascii="Arial" w:hAnsi="Arial" w:cs="Arial"/>
          <w:sz w:val="24"/>
          <w:szCs w:val="24"/>
        </w:rPr>
        <w:t xml:space="preserve">equity capital that a </w:t>
      </w:r>
      <w:r w:rsidR="00F870AD" w:rsidRPr="00457D7D">
        <w:rPr>
          <w:rFonts w:ascii="Arial" w:hAnsi="Arial" w:cs="Arial"/>
          <w:sz w:val="24"/>
          <w:szCs w:val="24"/>
        </w:rPr>
        <w:t>corporation</w:t>
      </w:r>
      <w:r w:rsidRPr="00457D7D">
        <w:rPr>
          <w:rFonts w:ascii="Arial" w:hAnsi="Arial" w:cs="Arial"/>
          <w:sz w:val="24"/>
          <w:szCs w:val="24"/>
        </w:rPr>
        <w:t xml:space="preserve"> </w:t>
      </w:r>
      <w:r w:rsidR="00F870AD" w:rsidRPr="00457D7D">
        <w:rPr>
          <w:rFonts w:ascii="Arial" w:hAnsi="Arial" w:cs="Arial"/>
          <w:sz w:val="24"/>
          <w:szCs w:val="24"/>
        </w:rPr>
        <w:t>exploits</w:t>
      </w:r>
      <w:r w:rsidRPr="00457D7D">
        <w:rPr>
          <w:rFonts w:ascii="Arial" w:hAnsi="Arial" w:cs="Arial"/>
          <w:sz w:val="24"/>
          <w:szCs w:val="24"/>
        </w:rPr>
        <w:t xml:space="preserve"> to finance its operations. </w:t>
      </w:r>
      <w:r w:rsidR="003F63D2">
        <w:rPr>
          <w:rFonts w:ascii="Arial" w:hAnsi="Arial" w:cs="Arial"/>
          <w:sz w:val="24"/>
          <w:szCs w:val="24"/>
        </w:rPr>
        <w:t>F</w:t>
      </w:r>
      <w:r w:rsidR="003F63D2" w:rsidRPr="00457D7D">
        <w:rPr>
          <w:rFonts w:ascii="Arial" w:hAnsi="Arial" w:cs="Arial"/>
          <w:sz w:val="24"/>
          <w:szCs w:val="24"/>
        </w:rPr>
        <w:t>irm</w:t>
      </w:r>
      <w:r w:rsidRPr="00457D7D">
        <w:rPr>
          <w:rFonts w:ascii="Arial" w:hAnsi="Arial" w:cs="Arial"/>
          <w:sz w:val="24"/>
          <w:szCs w:val="24"/>
        </w:rPr>
        <w:t xml:space="preserve"> with </w:t>
      </w:r>
      <w:proofErr w:type="gramStart"/>
      <w:r w:rsidRPr="00457D7D">
        <w:rPr>
          <w:rFonts w:ascii="Arial" w:hAnsi="Arial" w:cs="Arial"/>
          <w:sz w:val="24"/>
          <w:szCs w:val="24"/>
        </w:rPr>
        <w:t>a</w:t>
      </w:r>
      <w:proofErr w:type="gramEnd"/>
      <w:r w:rsidRPr="00457D7D">
        <w:rPr>
          <w:rFonts w:ascii="Arial" w:hAnsi="Arial" w:cs="Arial"/>
          <w:sz w:val="24"/>
          <w:szCs w:val="24"/>
        </w:rPr>
        <w:t xml:space="preserve"> </w:t>
      </w:r>
      <w:r w:rsidR="003F63D2" w:rsidRPr="00457D7D">
        <w:rPr>
          <w:rFonts w:ascii="Arial" w:hAnsi="Arial" w:cs="Arial"/>
          <w:sz w:val="24"/>
          <w:szCs w:val="24"/>
        </w:rPr>
        <w:t>elevated</w:t>
      </w:r>
      <w:r w:rsidRPr="00457D7D">
        <w:rPr>
          <w:rFonts w:ascii="Arial" w:hAnsi="Arial" w:cs="Arial"/>
          <w:sz w:val="24"/>
          <w:szCs w:val="24"/>
        </w:rPr>
        <w:t xml:space="preserve"> gearing ratio has a</w:t>
      </w:r>
      <w:r w:rsidR="009C51DF">
        <w:rPr>
          <w:rFonts w:ascii="Arial" w:hAnsi="Arial" w:cs="Arial"/>
          <w:sz w:val="24"/>
          <w:szCs w:val="24"/>
        </w:rPr>
        <w:t>n</w:t>
      </w:r>
      <w:r w:rsidRPr="00457D7D">
        <w:rPr>
          <w:rFonts w:ascii="Arial" w:hAnsi="Arial" w:cs="Arial"/>
          <w:sz w:val="24"/>
          <w:szCs w:val="24"/>
        </w:rPr>
        <w:t xml:space="preserve"> </w:t>
      </w:r>
      <w:r w:rsidR="003F63D2" w:rsidRPr="00457D7D">
        <w:rPr>
          <w:rFonts w:ascii="Arial" w:hAnsi="Arial" w:cs="Arial"/>
          <w:sz w:val="24"/>
          <w:szCs w:val="24"/>
        </w:rPr>
        <w:t>excessive</w:t>
      </w:r>
      <w:r w:rsidRPr="00457D7D">
        <w:rPr>
          <w:rFonts w:ascii="Arial" w:hAnsi="Arial" w:cs="Arial"/>
          <w:sz w:val="24"/>
          <w:szCs w:val="24"/>
        </w:rPr>
        <w:t xml:space="preserve"> debt to equity ratio, which might potentially raise the </w:t>
      </w:r>
      <w:r w:rsidR="009C51DF" w:rsidRPr="00457D7D">
        <w:rPr>
          <w:rFonts w:ascii="Arial" w:hAnsi="Arial" w:cs="Arial"/>
          <w:sz w:val="24"/>
          <w:szCs w:val="24"/>
        </w:rPr>
        <w:t>threat</w:t>
      </w:r>
      <w:r w:rsidRPr="00457D7D">
        <w:rPr>
          <w:rFonts w:ascii="Arial" w:hAnsi="Arial" w:cs="Arial"/>
          <w:sz w:val="24"/>
          <w:szCs w:val="24"/>
        </w:rPr>
        <w:t xml:space="preserve"> of </w:t>
      </w:r>
      <w:r w:rsidR="009C51DF" w:rsidRPr="00457D7D">
        <w:rPr>
          <w:rFonts w:ascii="Arial" w:hAnsi="Arial" w:cs="Arial"/>
          <w:sz w:val="24"/>
          <w:szCs w:val="24"/>
        </w:rPr>
        <w:t>fiscal</w:t>
      </w:r>
      <w:r w:rsidRPr="00457D7D">
        <w:rPr>
          <w:rFonts w:ascii="Arial" w:hAnsi="Arial" w:cs="Arial"/>
          <w:sz w:val="24"/>
          <w:szCs w:val="24"/>
        </w:rPr>
        <w:t xml:space="preserve"> disaster for the business.</w:t>
      </w:r>
    </w:p>
    <w:p w14:paraId="5837B2E0" w14:textId="77777777" w:rsidR="00CA3B12" w:rsidRDefault="00513FBB" w:rsidP="007215F8">
      <w:pPr>
        <w:keepNext/>
        <w:jc w:val="center"/>
      </w:pPr>
      <w:r>
        <w:rPr>
          <w:noProof/>
        </w:rPr>
        <w:drawing>
          <wp:inline distT="0" distB="0" distL="0" distR="0" wp14:anchorId="43531A21" wp14:editId="7F47BB71">
            <wp:extent cx="4620895" cy="1641463"/>
            <wp:effectExtent l="0" t="0" r="0" b="0"/>
            <wp:docPr id="10886338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52523" cy="1652698"/>
                    </a:xfrm>
                    <a:prstGeom prst="rect">
                      <a:avLst/>
                    </a:prstGeom>
                    <a:noFill/>
                  </pic:spPr>
                </pic:pic>
              </a:graphicData>
            </a:graphic>
          </wp:inline>
        </w:drawing>
      </w:r>
    </w:p>
    <w:p w14:paraId="4BA24FEA" w14:textId="377280EE" w:rsidR="00513FBB" w:rsidRPr="00994399" w:rsidRDefault="00CA3B12" w:rsidP="00994399">
      <w:pPr>
        <w:pStyle w:val="Caption"/>
        <w:spacing w:line="360" w:lineRule="auto"/>
        <w:jc w:val="center"/>
        <w:rPr>
          <w:rFonts w:ascii="Arial" w:hAnsi="Arial" w:cs="Arial"/>
          <w:sz w:val="24"/>
          <w:szCs w:val="24"/>
        </w:rPr>
      </w:pPr>
      <w:r w:rsidRPr="00994399">
        <w:rPr>
          <w:rFonts w:ascii="Arial" w:hAnsi="Arial" w:cs="Arial"/>
          <w:sz w:val="24"/>
          <w:szCs w:val="24"/>
        </w:rPr>
        <w:t xml:space="preserve">Figure </w:t>
      </w:r>
      <w:r w:rsidRPr="00994399">
        <w:rPr>
          <w:rFonts w:ascii="Arial" w:hAnsi="Arial" w:cs="Arial"/>
          <w:sz w:val="24"/>
          <w:szCs w:val="24"/>
        </w:rPr>
        <w:fldChar w:fldCharType="begin"/>
      </w:r>
      <w:r w:rsidRPr="00994399">
        <w:rPr>
          <w:rFonts w:ascii="Arial" w:hAnsi="Arial" w:cs="Arial"/>
          <w:sz w:val="24"/>
          <w:szCs w:val="24"/>
        </w:rPr>
        <w:instrText xml:space="preserve"> SEQ Figure \* ARABIC </w:instrText>
      </w:r>
      <w:r w:rsidRPr="00994399">
        <w:rPr>
          <w:rFonts w:ascii="Arial" w:hAnsi="Arial" w:cs="Arial"/>
          <w:sz w:val="24"/>
          <w:szCs w:val="24"/>
        </w:rPr>
        <w:fldChar w:fldCharType="separate"/>
      </w:r>
      <w:r w:rsidR="001E1868" w:rsidRPr="00994399">
        <w:rPr>
          <w:rFonts w:ascii="Arial" w:hAnsi="Arial" w:cs="Arial"/>
          <w:noProof/>
          <w:sz w:val="24"/>
          <w:szCs w:val="24"/>
        </w:rPr>
        <w:t>5</w:t>
      </w:r>
      <w:r w:rsidRPr="00994399">
        <w:rPr>
          <w:rFonts w:ascii="Arial" w:hAnsi="Arial" w:cs="Arial"/>
          <w:sz w:val="24"/>
          <w:szCs w:val="24"/>
        </w:rPr>
        <w:fldChar w:fldCharType="end"/>
      </w:r>
      <w:r w:rsidR="00AD1CFA" w:rsidRPr="00994399">
        <w:rPr>
          <w:rFonts w:ascii="Arial" w:hAnsi="Arial" w:cs="Arial"/>
          <w:sz w:val="24"/>
          <w:szCs w:val="24"/>
        </w:rPr>
        <w:t xml:space="preserve"> – </w:t>
      </w:r>
      <w:proofErr w:type="gramStart"/>
      <w:r w:rsidR="00AD1CFA" w:rsidRPr="00994399">
        <w:rPr>
          <w:rFonts w:ascii="Arial" w:hAnsi="Arial" w:cs="Arial"/>
          <w:sz w:val="24"/>
          <w:szCs w:val="24"/>
        </w:rPr>
        <w:t>Gearing</w:t>
      </w:r>
      <w:proofErr w:type="gramEnd"/>
    </w:p>
    <w:p w14:paraId="395154AD" w14:textId="476D40ED" w:rsidR="00AD1CFA" w:rsidRDefault="00AD1CFA" w:rsidP="004B0741">
      <w:pPr>
        <w:jc w:val="center"/>
      </w:pPr>
      <w:r>
        <w:t>Sources: Corporate Finance Institut</w:t>
      </w:r>
      <w:r w:rsidR="004B0741">
        <w:t xml:space="preserve">e. Online: </w:t>
      </w:r>
      <w:hyperlink r:id="rId17" w:history="1">
        <w:r w:rsidR="004B0741" w:rsidRPr="00C12017">
          <w:rPr>
            <w:rStyle w:val="Hyperlink"/>
          </w:rPr>
          <w:t>https://corporatefinanceinstitute.com/resources/accounting/gearing/</w:t>
        </w:r>
      </w:hyperlink>
    </w:p>
    <w:p w14:paraId="27A045F7" w14:textId="6A5F7C30" w:rsidR="004B0741" w:rsidRPr="00423245" w:rsidRDefault="00537045" w:rsidP="00423245">
      <w:pPr>
        <w:spacing w:line="360" w:lineRule="auto"/>
        <w:jc w:val="both"/>
        <w:rPr>
          <w:rFonts w:ascii="Arial" w:hAnsi="Arial" w:cs="Arial"/>
          <w:sz w:val="24"/>
          <w:szCs w:val="24"/>
        </w:rPr>
      </w:pPr>
      <w:r w:rsidRPr="00423245">
        <w:rPr>
          <w:rFonts w:ascii="Arial" w:hAnsi="Arial" w:cs="Arial"/>
          <w:sz w:val="24"/>
          <w:szCs w:val="24"/>
        </w:rPr>
        <w:lastRenderedPageBreak/>
        <w:t xml:space="preserve">Gearing is a metric that quantifies the proportion of a </w:t>
      </w:r>
      <w:r w:rsidR="00D90E39">
        <w:rPr>
          <w:rFonts w:ascii="Arial" w:hAnsi="Arial" w:cs="Arial"/>
          <w:sz w:val="24"/>
          <w:szCs w:val="24"/>
        </w:rPr>
        <w:t>firm`</w:t>
      </w:r>
      <w:r w:rsidR="00A56680">
        <w:rPr>
          <w:rFonts w:ascii="Arial" w:hAnsi="Arial" w:cs="Arial"/>
          <w:sz w:val="24"/>
          <w:szCs w:val="24"/>
        </w:rPr>
        <w:t>s</w:t>
      </w:r>
      <w:r w:rsidRPr="00423245">
        <w:rPr>
          <w:rFonts w:ascii="Arial" w:hAnsi="Arial" w:cs="Arial"/>
          <w:sz w:val="24"/>
          <w:szCs w:val="24"/>
        </w:rPr>
        <w:t xml:space="preserve"> funding that comes from borrowed money </w:t>
      </w:r>
      <w:r w:rsidR="00D90E39" w:rsidRPr="00423245">
        <w:rPr>
          <w:rFonts w:ascii="Arial" w:hAnsi="Arial" w:cs="Arial"/>
          <w:sz w:val="24"/>
          <w:szCs w:val="24"/>
        </w:rPr>
        <w:t>contrasted</w:t>
      </w:r>
      <w:r w:rsidRPr="00423245">
        <w:rPr>
          <w:rFonts w:ascii="Arial" w:hAnsi="Arial" w:cs="Arial"/>
          <w:sz w:val="24"/>
          <w:szCs w:val="24"/>
        </w:rPr>
        <w:t xml:space="preserve"> to money provided by shareholders. The optimal level of leverage is contingent upon the specific industry in which a company is engaged. Hence, it is crucial to examine </w:t>
      </w:r>
      <w:proofErr w:type="spellStart"/>
      <w:proofErr w:type="gramStart"/>
      <w:r w:rsidRPr="00423245">
        <w:rPr>
          <w:rFonts w:ascii="Arial" w:hAnsi="Arial" w:cs="Arial"/>
          <w:sz w:val="24"/>
          <w:szCs w:val="24"/>
        </w:rPr>
        <w:t>a</w:t>
      </w:r>
      <w:proofErr w:type="spellEnd"/>
      <w:proofErr w:type="gramEnd"/>
      <w:r w:rsidRPr="00423245">
        <w:rPr>
          <w:rFonts w:ascii="Arial" w:hAnsi="Arial" w:cs="Arial"/>
          <w:sz w:val="24"/>
          <w:szCs w:val="24"/>
        </w:rPr>
        <w:t xml:space="preserve"> </w:t>
      </w:r>
      <w:r w:rsidR="00B54385">
        <w:rPr>
          <w:rFonts w:ascii="Arial" w:hAnsi="Arial" w:cs="Arial"/>
          <w:sz w:val="24"/>
          <w:szCs w:val="24"/>
        </w:rPr>
        <w:t>enterprise</w:t>
      </w:r>
      <w:r w:rsidRPr="00423245">
        <w:rPr>
          <w:rFonts w:ascii="Arial" w:hAnsi="Arial" w:cs="Arial"/>
          <w:sz w:val="24"/>
          <w:szCs w:val="24"/>
        </w:rPr>
        <w:t>'s gearing ratio in comparison to that of similar organisations.</w:t>
      </w:r>
      <w:r w:rsidR="00423245" w:rsidRPr="00423245">
        <w:rPr>
          <w:rFonts w:ascii="Arial" w:hAnsi="Arial" w:cs="Arial"/>
          <w:sz w:val="24"/>
          <w:szCs w:val="24"/>
        </w:rPr>
        <w:t xml:space="preserve"> (Bull, 2008)</w:t>
      </w:r>
    </w:p>
    <w:p w14:paraId="57687626" w14:textId="3EF6DF78" w:rsidR="00537045" w:rsidRPr="00425532" w:rsidRDefault="00425532" w:rsidP="00425532">
      <w:pPr>
        <w:spacing w:line="360" w:lineRule="auto"/>
        <w:jc w:val="both"/>
        <w:rPr>
          <w:rFonts w:ascii="Arial" w:hAnsi="Arial" w:cs="Arial"/>
          <w:sz w:val="24"/>
          <w:szCs w:val="24"/>
        </w:rPr>
      </w:pPr>
      <w:r w:rsidRPr="00425532">
        <w:rPr>
          <w:rFonts w:ascii="Arial" w:hAnsi="Arial" w:cs="Arial"/>
          <w:sz w:val="24"/>
          <w:szCs w:val="24"/>
        </w:rPr>
        <w:t>Multiple gearing ratios are available to assess the relationship between a company's owner's equity and borrowed capital. Gearing ratios quantify the extent of financial risk associated with a corporation. Some of the most widely recognised gearing ratios are:</w:t>
      </w:r>
    </w:p>
    <w:p w14:paraId="5FBC92A8" w14:textId="77777777" w:rsidR="006251C3" w:rsidRDefault="006251C3" w:rsidP="006251C3">
      <w:pPr>
        <w:keepNext/>
      </w:pPr>
      <w:r>
        <w:rPr>
          <w:noProof/>
        </w:rPr>
        <w:drawing>
          <wp:inline distT="0" distB="0" distL="0" distR="0" wp14:anchorId="6F05085C" wp14:editId="5B2E4A5C">
            <wp:extent cx="5466517" cy="2235008"/>
            <wp:effectExtent l="0" t="0" r="1270" b="0"/>
            <wp:docPr id="11961543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09839" cy="2252721"/>
                    </a:xfrm>
                    <a:prstGeom prst="rect">
                      <a:avLst/>
                    </a:prstGeom>
                    <a:noFill/>
                  </pic:spPr>
                </pic:pic>
              </a:graphicData>
            </a:graphic>
          </wp:inline>
        </w:drawing>
      </w:r>
    </w:p>
    <w:p w14:paraId="1110957D" w14:textId="77B27C58" w:rsidR="006251C3" w:rsidRPr="007D5D7E" w:rsidRDefault="006251C3" w:rsidP="007D5D7E">
      <w:pPr>
        <w:pStyle w:val="Caption"/>
        <w:spacing w:line="360" w:lineRule="auto"/>
        <w:jc w:val="center"/>
        <w:rPr>
          <w:rFonts w:ascii="Arial" w:hAnsi="Arial" w:cs="Arial"/>
          <w:sz w:val="24"/>
          <w:szCs w:val="24"/>
        </w:rPr>
      </w:pPr>
      <w:r w:rsidRPr="007D5D7E">
        <w:rPr>
          <w:rFonts w:ascii="Arial" w:hAnsi="Arial" w:cs="Arial"/>
          <w:sz w:val="24"/>
          <w:szCs w:val="24"/>
        </w:rPr>
        <w:t xml:space="preserve">Figure </w:t>
      </w:r>
      <w:r w:rsidRPr="007D5D7E">
        <w:rPr>
          <w:rFonts w:ascii="Arial" w:hAnsi="Arial" w:cs="Arial"/>
          <w:sz w:val="24"/>
          <w:szCs w:val="24"/>
        </w:rPr>
        <w:fldChar w:fldCharType="begin"/>
      </w:r>
      <w:r w:rsidRPr="007D5D7E">
        <w:rPr>
          <w:rFonts w:ascii="Arial" w:hAnsi="Arial" w:cs="Arial"/>
          <w:sz w:val="24"/>
          <w:szCs w:val="24"/>
        </w:rPr>
        <w:instrText xml:space="preserve"> SEQ Figure \* ARABIC </w:instrText>
      </w:r>
      <w:r w:rsidRPr="007D5D7E">
        <w:rPr>
          <w:rFonts w:ascii="Arial" w:hAnsi="Arial" w:cs="Arial"/>
          <w:sz w:val="24"/>
          <w:szCs w:val="24"/>
        </w:rPr>
        <w:fldChar w:fldCharType="separate"/>
      </w:r>
      <w:r w:rsidR="001E1868" w:rsidRPr="007D5D7E">
        <w:rPr>
          <w:rFonts w:ascii="Arial" w:hAnsi="Arial" w:cs="Arial"/>
          <w:noProof/>
          <w:sz w:val="24"/>
          <w:szCs w:val="24"/>
        </w:rPr>
        <w:t>6</w:t>
      </w:r>
      <w:r w:rsidRPr="007D5D7E">
        <w:rPr>
          <w:rFonts w:ascii="Arial" w:hAnsi="Arial" w:cs="Arial"/>
          <w:sz w:val="24"/>
          <w:szCs w:val="24"/>
        </w:rPr>
        <w:fldChar w:fldCharType="end"/>
      </w:r>
      <w:r w:rsidRPr="007D5D7E">
        <w:rPr>
          <w:rFonts w:ascii="Arial" w:hAnsi="Arial" w:cs="Arial"/>
          <w:sz w:val="24"/>
          <w:szCs w:val="24"/>
        </w:rPr>
        <w:t xml:space="preserve"> </w:t>
      </w:r>
      <w:r w:rsidR="003C08CF" w:rsidRPr="007D5D7E">
        <w:rPr>
          <w:rFonts w:ascii="Arial" w:hAnsi="Arial" w:cs="Arial"/>
          <w:sz w:val="24"/>
          <w:szCs w:val="24"/>
        </w:rPr>
        <w:t>–</w:t>
      </w:r>
      <w:r w:rsidRPr="007D5D7E">
        <w:rPr>
          <w:rFonts w:ascii="Arial" w:hAnsi="Arial" w:cs="Arial"/>
          <w:sz w:val="24"/>
          <w:szCs w:val="24"/>
        </w:rPr>
        <w:t xml:space="preserve"> Gea</w:t>
      </w:r>
      <w:r w:rsidR="003C08CF" w:rsidRPr="007D5D7E">
        <w:rPr>
          <w:rFonts w:ascii="Arial" w:hAnsi="Arial" w:cs="Arial"/>
          <w:sz w:val="24"/>
          <w:szCs w:val="24"/>
        </w:rPr>
        <w:t>ring Ratios</w:t>
      </w:r>
    </w:p>
    <w:p w14:paraId="52656CFF" w14:textId="265AE193" w:rsidR="003C08CF" w:rsidRPr="007D1738" w:rsidRDefault="003C08CF" w:rsidP="003C08CF">
      <w:pPr>
        <w:jc w:val="center"/>
        <w:rPr>
          <w:sz w:val="20"/>
          <w:szCs w:val="20"/>
        </w:rPr>
      </w:pPr>
      <w:r w:rsidRPr="007D1738">
        <w:rPr>
          <w:sz w:val="20"/>
          <w:szCs w:val="20"/>
        </w:rPr>
        <w:t xml:space="preserve">Sources: Wall Street Prep. Online: </w:t>
      </w:r>
      <w:hyperlink r:id="rId19" w:history="1">
        <w:r w:rsidRPr="007D1738">
          <w:rPr>
            <w:rStyle w:val="Hyperlink"/>
            <w:sz w:val="20"/>
            <w:szCs w:val="20"/>
          </w:rPr>
          <w:t>https://www.wallstreetprep.com/knowledge/gearing-ratio/</w:t>
        </w:r>
      </w:hyperlink>
    </w:p>
    <w:p w14:paraId="1F806483" w14:textId="77777777" w:rsidR="00B57E99" w:rsidRDefault="00B57E99" w:rsidP="00DA26B3"/>
    <w:p w14:paraId="331777C1" w14:textId="008FC711" w:rsidR="007D1738" w:rsidRDefault="007D1738" w:rsidP="007D1738">
      <w:pPr>
        <w:spacing w:line="360" w:lineRule="auto"/>
        <w:jc w:val="both"/>
        <w:rPr>
          <w:rFonts w:ascii="Arial" w:hAnsi="Arial" w:cs="Arial"/>
          <w:sz w:val="24"/>
          <w:szCs w:val="24"/>
        </w:rPr>
      </w:pPr>
      <w:r w:rsidRPr="007D1738">
        <w:rPr>
          <w:rFonts w:ascii="Arial" w:hAnsi="Arial" w:cs="Arial"/>
          <w:sz w:val="24"/>
          <w:szCs w:val="24"/>
        </w:rPr>
        <w:t xml:space="preserve">A high gearing ratio in a firm shows that the company has a high level of leverage. Therefore, it is </w:t>
      </w:r>
      <w:r w:rsidR="003C13E0" w:rsidRPr="007D1738">
        <w:rPr>
          <w:rFonts w:ascii="Arial" w:hAnsi="Arial" w:cs="Arial"/>
          <w:sz w:val="24"/>
          <w:szCs w:val="24"/>
        </w:rPr>
        <w:t>farther</w:t>
      </w:r>
      <w:r w:rsidRPr="007D1738">
        <w:rPr>
          <w:rFonts w:ascii="Arial" w:hAnsi="Arial" w:cs="Arial"/>
          <w:sz w:val="24"/>
          <w:szCs w:val="24"/>
        </w:rPr>
        <w:t xml:space="preserve"> </w:t>
      </w:r>
      <w:r w:rsidR="003C13E0" w:rsidRPr="007D1738">
        <w:rPr>
          <w:rFonts w:ascii="Arial" w:hAnsi="Arial" w:cs="Arial"/>
          <w:sz w:val="24"/>
          <w:szCs w:val="24"/>
        </w:rPr>
        <w:t>exposed</w:t>
      </w:r>
      <w:r w:rsidRPr="007D1738">
        <w:rPr>
          <w:rFonts w:ascii="Arial" w:hAnsi="Arial" w:cs="Arial"/>
          <w:sz w:val="24"/>
          <w:szCs w:val="24"/>
        </w:rPr>
        <w:t xml:space="preserve"> to any economic </w:t>
      </w:r>
      <w:r w:rsidR="003C13E0" w:rsidRPr="007D1738">
        <w:rPr>
          <w:rFonts w:ascii="Arial" w:hAnsi="Arial" w:cs="Arial"/>
          <w:sz w:val="24"/>
          <w:szCs w:val="24"/>
        </w:rPr>
        <w:t>recessions</w:t>
      </w:r>
      <w:r w:rsidRPr="007D1738">
        <w:rPr>
          <w:rFonts w:ascii="Arial" w:hAnsi="Arial" w:cs="Arial"/>
          <w:sz w:val="24"/>
          <w:szCs w:val="24"/>
        </w:rPr>
        <w:t xml:space="preserve"> that </w:t>
      </w:r>
      <w:r w:rsidR="003C13E0" w:rsidRPr="007D1738">
        <w:rPr>
          <w:rFonts w:ascii="Arial" w:hAnsi="Arial" w:cs="Arial"/>
          <w:sz w:val="24"/>
          <w:szCs w:val="24"/>
        </w:rPr>
        <w:t>might</w:t>
      </w:r>
      <w:r w:rsidRPr="007D1738">
        <w:rPr>
          <w:rFonts w:ascii="Arial" w:hAnsi="Arial" w:cs="Arial"/>
          <w:sz w:val="24"/>
          <w:szCs w:val="24"/>
        </w:rPr>
        <w:t xml:space="preserve"> </w:t>
      </w:r>
      <w:r w:rsidR="003C13E0" w:rsidRPr="007D1738">
        <w:rPr>
          <w:rFonts w:ascii="Arial" w:hAnsi="Arial" w:cs="Arial"/>
          <w:sz w:val="24"/>
          <w:szCs w:val="24"/>
        </w:rPr>
        <w:t>occur</w:t>
      </w:r>
      <w:r w:rsidRPr="007D1738">
        <w:rPr>
          <w:rFonts w:ascii="Arial" w:hAnsi="Arial" w:cs="Arial"/>
          <w:sz w:val="24"/>
          <w:szCs w:val="24"/>
        </w:rPr>
        <w:t>. A</w:t>
      </w:r>
      <w:r w:rsidR="004B2690">
        <w:rPr>
          <w:rFonts w:ascii="Arial" w:hAnsi="Arial" w:cs="Arial"/>
          <w:sz w:val="24"/>
          <w:szCs w:val="24"/>
        </w:rPr>
        <w:t xml:space="preserve">n </w:t>
      </w:r>
      <w:r w:rsidR="004B2690" w:rsidRPr="007D1738">
        <w:rPr>
          <w:rFonts w:ascii="Arial" w:hAnsi="Arial" w:cs="Arial"/>
          <w:sz w:val="24"/>
          <w:szCs w:val="24"/>
        </w:rPr>
        <w:t>organisation</w:t>
      </w:r>
      <w:r w:rsidRPr="007D1738">
        <w:rPr>
          <w:rFonts w:ascii="Arial" w:hAnsi="Arial" w:cs="Arial"/>
          <w:sz w:val="24"/>
          <w:szCs w:val="24"/>
        </w:rPr>
        <w:t xml:space="preserve"> with a low gearing ratio is </w:t>
      </w:r>
      <w:r w:rsidR="004B2690" w:rsidRPr="007D1738">
        <w:rPr>
          <w:rFonts w:ascii="Arial" w:hAnsi="Arial" w:cs="Arial"/>
          <w:sz w:val="24"/>
          <w:szCs w:val="24"/>
        </w:rPr>
        <w:t>predictably</w:t>
      </w:r>
      <w:r w:rsidRPr="007D1738">
        <w:rPr>
          <w:rFonts w:ascii="Arial" w:hAnsi="Arial" w:cs="Arial"/>
          <w:sz w:val="24"/>
          <w:szCs w:val="24"/>
        </w:rPr>
        <w:t xml:space="preserve"> </w:t>
      </w:r>
      <w:r w:rsidR="004B2690" w:rsidRPr="007D1738">
        <w:rPr>
          <w:rFonts w:ascii="Arial" w:hAnsi="Arial" w:cs="Arial"/>
          <w:sz w:val="24"/>
          <w:szCs w:val="24"/>
        </w:rPr>
        <w:t>deemed</w:t>
      </w:r>
      <w:r w:rsidRPr="007D1738">
        <w:rPr>
          <w:rFonts w:ascii="Arial" w:hAnsi="Arial" w:cs="Arial"/>
          <w:sz w:val="24"/>
          <w:szCs w:val="24"/>
        </w:rPr>
        <w:t xml:space="preserve"> as more </w:t>
      </w:r>
      <w:r w:rsidR="004B2690" w:rsidRPr="007D1738">
        <w:rPr>
          <w:rFonts w:ascii="Arial" w:hAnsi="Arial" w:cs="Arial"/>
          <w:sz w:val="24"/>
          <w:szCs w:val="24"/>
        </w:rPr>
        <w:t>monetarily</w:t>
      </w:r>
      <w:r w:rsidRPr="007D1738">
        <w:rPr>
          <w:rFonts w:ascii="Arial" w:hAnsi="Arial" w:cs="Arial"/>
          <w:sz w:val="24"/>
          <w:szCs w:val="24"/>
        </w:rPr>
        <w:t xml:space="preserve"> stable.</w:t>
      </w:r>
      <w:r>
        <w:rPr>
          <w:rFonts w:ascii="Arial" w:hAnsi="Arial" w:cs="Arial"/>
          <w:sz w:val="24"/>
          <w:szCs w:val="24"/>
        </w:rPr>
        <w:t xml:space="preserve"> </w:t>
      </w:r>
      <w:r w:rsidRPr="007D1738">
        <w:rPr>
          <w:rFonts w:ascii="Arial" w:hAnsi="Arial" w:cs="Arial"/>
          <w:sz w:val="24"/>
          <w:szCs w:val="24"/>
        </w:rPr>
        <w:t>(Bull, 2008)</w:t>
      </w:r>
    </w:p>
    <w:p w14:paraId="6A4124E9" w14:textId="77777777" w:rsidR="007D1738" w:rsidRPr="007D1738" w:rsidRDefault="007D1738" w:rsidP="007D1738">
      <w:pPr>
        <w:spacing w:line="360" w:lineRule="auto"/>
        <w:jc w:val="both"/>
        <w:rPr>
          <w:rFonts w:ascii="Arial" w:hAnsi="Arial" w:cs="Arial"/>
          <w:sz w:val="24"/>
          <w:szCs w:val="24"/>
        </w:rPr>
      </w:pPr>
    </w:p>
    <w:p w14:paraId="5586E02F" w14:textId="0021062C" w:rsidR="004C1653" w:rsidRPr="007D1738" w:rsidRDefault="004C1653" w:rsidP="007D1738">
      <w:pPr>
        <w:pStyle w:val="Subtitle"/>
        <w:rPr>
          <w:color w:val="4C94D8" w:themeColor="text2" w:themeTint="80"/>
        </w:rPr>
      </w:pPr>
      <w:r w:rsidRPr="007D1738">
        <w:rPr>
          <w:color w:val="4C94D8" w:themeColor="text2" w:themeTint="80"/>
        </w:rPr>
        <w:t xml:space="preserve">Dept to Equity Ratio: </w:t>
      </w:r>
    </w:p>
    <w:p w14:paraId="37F58ACD" w14:textId="77777777" w:rsidR="00B57E99" w:rsidRPr="00B57E99" w:rsidRDefault="00B57E99" w:rsidP="00B57E99"/>
    <w:p w14:paraId="19D6B34F" w14:textId="70CD1D4A" w:rsidR="003149FF" w:rsidRPr="004D1153" w:rsidRDefault="004D1153" w:rsidP="004D1153">
      <w:pPr>
        <w:spacing w:line="360" w:lineRule="auto"/>
        <w:jc w:val="both"/>
        <w:rPr>
          <w:rFonts w:ascii="Arial" w:hAnsi="Arial" w:cs="Arial"/>
          <w:sz w:val="24"/>
          <w:szCs w:val="24"/>
        </w:rPr>
      </w:pPr>
      <w:r w:rsidRPr="004D1153">
        <w:rPr>
          <w:rFonts w:ascii="Arial" w:hAnsi="Arial" w:cs="Arial"/>
          <w:sz w:val="24"/>
          <w:szCs w:val="24"/>
        </w:rPr>
        <w:t>Leverage ratios like the Debt-to-Equity</w:t>
      </w:r>
      <w:r w:rsidR="00E83752">
        <w:rPr>
          <w:rFonts w:ascii="Arial" w:hAnsi="Arial" w:cs="Arial"/>
          <w:sz w:val="24"/>
          <w:szCs w:val="24"/>
        </w:rPr>
        <w:t xml:space="preserve"> (D</w:t>
      </w:r>
      <w:r w:rsidR="00BF27B4">
        <w:rPr>
          <w:rFonts w:ascii="Arial" w:hAnsi="Arial" w:cs="Arial"/>
          <w:sz w:val="24"/>
          <w:szCs w:val="24"/>
        </w:rPr>
        <w:t>/E)</w:t>
      </w:r>
      <w:r w:rsidRPr="004D1153">
        <w:rPr>
          <w:rFonts w:ascii="Arial" w:hAnsi="Arial" w:cs="Arial"/>
          <w:sz w:val="24"/>
          <w:szCs w:val="24"/>
        </w:rPr>
        <w:t xml:space="preserve"> ratio assess </w:t>
      </w:r>
      <w:r w:rsidR="00A06AEE" w:rsidRPr="004D1153">
        <w:rPr>
          <w:rFonts w:ascii="Arial" w:hAnsi="Arial" w:cs="Arial"/>
          <w:sz w:val="24"/>
          <w:szCs w:val="24"/>
        </w:rPr>
        <w:t>entire</w:t>
      </w:r>
      <w:r w:rsidRPr="004D1153">
        <w:rPr>
          <w:rFonts w:ascii="Arial" w:hAnsi="Arial" w:cs="Arial"/>
          <w:sz w:val="24"/>
          <w:szCs w:val="24"/>
        </w:rPr>
        <w:t xml:space="preserve"> debt and </w:t>
      </w:r>
      <w:r w:rsidR="00A06AEE" w:rsidRPr="004D1153">
        <w:rPr>
          <w:rFonts w:ascii="Arial" w:hAnsi="Arial" w:cs="Arial"/>
          <w:sz w:val="24"/>
          <w:szCs w:val="24"/>
        </w:rPr>
        <w:t>fiscal</w:t>
      </w:r>
      <w:r w:rsidRPr="004D1153">
        <w:rPr>
          <w:rFonts w:ascii="Arial" w:hAnsi="Arial" w:cs="Arial"/>
          <w:sz w:val="24"/>
          <w:szCs w:val="24"/>
        </w:rPr>
        <w:t xml:space="preserve"> liabilities against </w:t>
      </w:r>
      <w:r w:rsidR="005455C1" w:rsidRPr="004D1153">
        <w:rPr>
          <w:rFonts w:ascii="Arial" w:hAnsi="Arial" w:cs="Arial"/>
          <w:sz w:val="24"/>
          <w:szCs w:val="24"/>
        </w:rPr>
        <w:t>whole</w:t>
      </w:r>
      <w:r w:rsidRPr="004D1153">
        <w:rPr>
          <w:rFonts w:ascii="Arial" w:hAnsi="Arial" w:cs="Arial"/>
          <w:sz w:val="24"/>
          <w:szCs w:val="24"/>
        </w:rPr>
        <w:t xml:space="preserve"> shareholders' equity. The D/E Ratio </w:t>
      </w:r>
      <w:r w:rsidR="005455C1" w:rsidRPr="004D1153">
        <w:rPr>
          <w:rFonts w:ascii="Arial" w:hAnsi="Arial" w:cs="Arial"/>
          <w:sz w:val="24"/>
          <w:szCs w:val="24"/>
        </w:rPr>
        <w:t>utilizes</w:t>
      </w:r>
      <w:r w:rsidRPr="004D1153">
        <w:rPr>
          <w:rFonts w:ascii="Arial" w:hAnsi="Arial" w:cs="Arial"/>
          <w:sz w:val="24"/>
          <w:szCs w:val="24"/>
        </w:rPr>
        <w:t xml:space="preserve"> equity instead of assets, </w:t>
      </w:r>
      <w:r w:rsidR="00E9471B" w:rsidRPr="004D1153">
        <w:rPr>
          <w:rFonts w:ascii="Arial" w:hAnsi="Arial" w:cs="Arial"/>
          <w:sz w:val="24"/>
          <w:szCs w:val="24"/>
        </w:rPr>
        <w:t>contrasting</w:t>
      </w:r>
      <w:r w:rsidRPr="004D1153">
        <w:rPr>
          <w:rFonts w:ascii="Arial" w:hAnsi="Arial" w:cs="Arial"/>
          <w:sz w:val="24"/>
          <w:szCs w:val="24"/>
        </w:rPr>
        <w:t xml:space="preserve"> the debt-assets ratio. This ratio shows how a </w:t>
      </w:r>
      <w:r w:rsidR="00E9471B" w:rsidRPr="004D1153">
        <w:rPr>
          <w:rFonts w:ascii="Arial" w:hAnsi="Arial" w:cs="Arial"/>
          <w:sz w:val="24"/>
          <w:szCs w:val="24"/>
        </w:rPr>
        <w:t>firm's</w:t>
      </w:r>
      <w:r w:rsidRPr="004D1153">
        <w:rPr>
          <w:rFonts w:ascii="Arial" w:hAnsi="Arial" w:cs="Arial"/>
          <w:sz w:val="24"/>
          <w:szCs w:val="24"/>
        </w:rPr>
        <w:t xml:space="preserve"> capital structure favours debt or equity. (Bull, 2008)</w:t>
      </w:r>
    </w:p>
    <w:p w14:paraId="6AAE2CA3" w14:textId="7226A265" w:rsidR="003149FF" w:rsidRPr="00E555CD" w:rsidRDefault="003149FF" w:rsidP="00E555CD">
      <w:pPr>
        <w:spacing w:line="360" w:lineRule="auto"/>
        <w:rPr>
          <w:rFonts w:ascii="Arial" w:hAnsi="Arial" w:cs="Arial"/>
          <w:sz w:val="24"/>
          <w:szCs w:val="24"/>
        </w:rPr>
      </w:pPr>
      <w:r w:rsidRPr="004D1153">
        <w:rPr>
          <w:rFonts w:ascii="Arial" w:hAnsi="Arial" w:cs="Arial"/>
          <w:sz w:val="24"/>
          <w:szCs w:val="24"/>
        </w:rPr>
        <w:lastRenderedPageBreak/>
        <w:t>Formula:</w:t>
      </w:r>
    </w:p>
    <w:p w14:paraId="12963449" w14:textId="05A6FEB7" w:rsidR="00E555CD" w:rsidRDefault="00E555CD" w:rsidP="003149FF">
      <w:pPr>
        <w:jc w:val="center"/>
      </w:pPr>
      <w:r w:rsidRPr="00E555CD">
        <w:rPr>
          <w:noProof/>
        </w:rPr>
        <w:drawing>
          <wp:inline distT="0" distB="0" distL="0" distR="0" wp14:anchorId="46A77260" wp14:editId="5A4434B6">
            <wp:extent cx="4395122" cy="923925"/>
            <wp:effectExtent l="0" t="0" r="5715" b="0"/>
            <wp:docPr id="2039972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972880" name=""/>
                    <pic:cNvPicPr/>
                  </pic:nvPicPr>
                  <pic:blipFill>
                    <a:blip r:embed="rId20"/>
                    <a:stretch>
                      <a:fillRect/>
                    </a:stretch>
                  </pic:blipFill>
                  <pic:spPr>
                    <a:xfrm>
                      <a:off x="0" y="0"/>
                      <a:ext cx="4404556" cy="925908"/>
                    </a:xfrm>
                    <a:prstGeom prst="rect">
                      <a:avLst/>
                    </a:prstGeom>
                  </pic:spPr>
                </pic:pic>
              </a:graphicData>
            </a:graphic>
          </wp:inline>
        </w:drawing>
      </w:r>
    </w:p>
    <w:p w14:paraId="47B8A943" w14:textId="77777777" w:rsidR="00E555CD" w:rsidRDefault="00E555CD" w:rsidP="003149FF">
      <w:pPr>
        <w:jc w:val="center"/>
      </w:pPr>
    </w:p>
    <w:p w14:paraId="38E6059F" w14:textId="7E1ED48B" w:rsidR="00B8275D" w:rsidRPr="00250147" w:rsidRDefault="00B8275D" w:rsidP="00250147">
      <w:pPr>
        <w:spacing w:line="360" w:lineRule="auto"/>
        <w:jc w:val="both"/>
        <w:rPr>
          <w:rFonts w:ascii="Arial" w:hAnsi="Arial" w:cs="Arial"/>
          <w:sz w:val="24"/>
          <w:szCs w:val="24"/>
        </w:rPr>
      </w:pPr>
      <w:r w:rsidRPr="00250147">
        <w:rPr>
          <w:rFonts w:ascii="Arial" w:hAnsi="Arial" w:cs="Arial"/>
          <w:b/>
          <w:bCs/>
          <w:sz w:val="24"/>
          <w:szCs w:val="24"/>
        </w:rPr>
        <w:t>Total Debt:</w:t>
      </w:r>
      <w:r w:rsidRPr="00250147">
        <w:rPr>
          <w:rFonts w:ascii="Arial" w:hAnsi="Arial" w:cs="Arial"/>
          <w:sz w:val="24"/>
          <w:szCs w:val="24"/>
        </w:rPr>
        <w:t xml:space="preserve"> </w:t>
      </w:r>
      <w:r w:rsidR="00A46655" w:rsidRPr="00250147">
        <w:rPr>
          <w:rFonts w:ascii="Arial" w:hAnsi="Arial" w:cs="Arial"/>
          <w:sz w:val="24"/>
          <w:szCs w:val="24"/>
        </w:rPr>
        <w:t xml:space="preserve">The overall debt of a firm includes its long-term, </w:t>
      </w:r>
      <w:r w:rsidR="00CE14F3">
        <w:rPr>
          <w:rFonts w:ascii="Arial" w:hAnsi="Arial" w:cs="Arial"/>
          <w:sz w:val="24"/>
          <w:szCs w:val="24"/>
        </w:rPr>
        <w:t xml:space="preserve">short-term, </w:t>
      </w:r>
      <w:r w:rsidR="00A46655" w:rsidRPr="00250147">
        <w:rPr>
          <w:rFonts w:ascii="Arial" w:hAnsi="Arial" w:cs="Arial"/>
          <w:sz w:val="24"/>
          <w:szCs w:val="24"/>
        </w:rPr>
        <w:t xml:space="preserve">and fixed payment </w:t>
      </w:r>
      <w:r w:rsidR="001C3C51" w:rsidRPr="00250147">
        <w:rPr>
          <w:rFonts w:ascii="Arial" w:hAnsi="Arial" w:cs="Arial"/>
          <w:sz w:val="24"/>
          <w:szCs w:val="24"/>
        </w:rPr>
        <w:t>responsibilities</w:t>
      </w:r>
      <w:r w:rsidR="00A46655" w:rsidRPr="00250147">
        <w:rPr>
          <w:rFonts w:ascii="Arial" w:hAnsi="Arial" w:cs="Arial"/>
          <w:sz w:val="24"/>
          <w:szCs w:val="24"/>
        </w:rPr>
        <w:t xml:space="preserve"> (such as capital leases) accrued during regular operational </w:t>
      </w:r>
      <w:r w:rsidR="00B16ED1" w:rsidRPr="00250147">
        <w:rPr>
          <w:rFonts w:ascii="Arial" w:hAnsi="Arial" w:cs="Arial"/>
          <w:sz w:val="24"/>
          <w:szCs w:val="24"/>
        </w:rPr>
        <w:t>phases</w:t>
      </w:r>
      <w:r w:rsidR="00A46655" w:rsidRPr="00250147">
        <w:rPr>
          <w:rFonts w:ascii="Arial" w:hAnsi="Arial" w:cs="Arial"/>
          <w:sz w:val="24"/>
          <w:szCs w:val="24"/>
        </w:rPr>
        <w:t>. The debt schedule divides liabilities into precise components.</w:t>
      </w:r>
      <w:r w:rsidR="00BF27B4">
        <w:rPr>
          <w:rFonts w:ascii="Arial" w:hAnsi="Arial" w:cs="Arial"/>
          <w:sz w:val="24"/>
          <w:szCs w:val="24"/>
        </w:rPr>
        <w:t xml:space="preserve"> (Bull, 2018)</w:t>
      </w:r>
    </w:p>
    <w:p w14:paraId="334911B1" w14:textId="77777777" w:rsidR="00B8275D" w:rsidRDefault="00B8275D" w:rsidP="00B8275D"/>
    <w:p w14:paraId="08EC1FDD" w14:textId="6158C1DF" w:rsidR="006A0983" w:rsidRPr="00250147" w:rsidRDefault="00B8275D" w:rsidP="00250147">
      <w:pPr>
        <w:spacing w:line="360" w:lineRule="auto"/>
        <w:jc w:val="both"/>
        <w:rPr>
          <w:rFonts w:ascii="Arial" w:hAnsi="Arial" w:cs="Arial"/>
          <w:b/>
          <w:bCs/>
          <w:sz w:val="24"/>
          <w:szCs w:val="24"/>
        </w:rPr>
      </w:pPr>
      <w:r w:rsidRPr="00250147">
        <w:rPr>
          <w:rFonts w:ascii="Arial" w:hAnsi="Arial" w:cs="Arial"/>
          <w:b/>
          <w:bCs/>
          <w:sz w:val="24"/>
          <w:szCs w:val="24"/>
        </w:rPr>
        <w:t xml:space="preserve">Total </w:t>
      </w:r>
      <w:proofErr w:type="spellStart"/>
      <w:r w:rsidRPr="00250147">
        <w:rPr>
          <w:rFonts w:ascii="Arial" w:hAnsi="Arial" w:cs="Arial"/>
          <w:b/>
          <w:bCs/>
          <w:sz w:val="24"/>
          <w:szCs w:val="24"/>
        </w:rPr>
        <w:t>Shareholders</w:t>
      </w:r>
      <w:proofErr w:type="spellEnd"/>
      <w:r w:rsidRPr="00250147">
        <w:rPr>
          <w:rFonts w:ascii="Arial" w:hAnsi="Arial" w:cs="Arial"/>
          <w:b/>
          <w:bCs/>
          <w:sz w:val="24"/>
          <w:szCs w:val="24"/>
        </w:rPr>
        <w:t xml:space="preserve"> Equity: </w:t>
      </w:r>
      <w:r w:rsidR="00E83752">
        <w:rPr>
          <w:rFonts w:ascii="Arial" w:hAnsi="Arial" w:cs="Arial"/>
          <w:b/>
          <w:bCs/>
          <w:sz w:val="24"/>
          <w:szCs w:val="24"/>
        </w:rPr>
        <w:t xml:space="preserve"> </w:t>
      </w:r>
      <w:r w:rsidR="00E83752" w:rsidRPr="00E83752">
        <w:rPr>
          <w:rFonts w:ascii="Arial" w:hAnsi="Arial" w:cs="Arial"/>
          <w:sz w:val="24"/>
          <w:szCs w:val="24"/>
        </w:rPr>
        <w:t>According to Bull (2018)</w:t>
      </w:r>
      <w:r w:rsidR="00E83752">
        <w:rPr>
          <w:rFonts w:ascii="Arial" w:hAnsi="Arial" w:cs="Arial"/>
          <w:sz w:val="24"/>
          <w:szCs w:val="24"/>
        </w:rPr>
        <w:t xml:space="preserve"> </w:t>
      </w:r>
      <w:r w:rsidR="006A0983" w:rsidRPr="00250147">
        <w:rPr>
          <w:rFonts w:ascii="Arial" w:hAnsi="Arial" w:cs="Arial"/>
          <w:sz w:val="24"/>
          <w:szCs w:val="24"/>
        </w:rPr>
        <w:t>Shareholder equity (SE) is a</w:t>
      </w:r>
      <w:r w:rsidR="0026676B">
        <w:rPr>
          <w:rFonts w:ascii="Arial" w:hAnsi="Arial" w:cs="Arial"/>
          <w:sz w:val="24"/>
          <w:szCs w:val="24"/>
        </w:rPr>
        <w:t>n</w:t>
      </w:r>
      <w:r w:rsidR="006A0983" w:rsidRPr="00250147">
        <w:rPr>
          <w:rFonts w:ascii="Arial" w:hAnsi="Arial" w:cs="Arial"/>
          <w:sz w:val="24"/>
          <w:szCs w:val="24"/>
        </w:rPr>
        <w:t xml:space="preserve"> </w:t>
      </w:r>
      <w:r w:rsidR="00B16ED1">
        <w:rPr>
          <w:rFonts w:ascii="Arial" w:hAnsi="Arial" w:cs="Arial"/>
          <w:sz w:val="24"/>
          <w:szCs w:val="24"/>
        </w:rPr>
        <w:t>enterprise</w:t>
      </w:r>
      <w:r w:rsidR="006A0983" w:rsidRPr="00250147">
        <w:rPr>
          <w:rFonts w:ascii="Arial" w:hAnsi="Arial" w:cs="Arial"/>
          <w:sz w:val="24"/>
          <w:szCs w:val="24"/>
        </w:rPr>
        <w:t xml:space="preserve">'s net </w:t>
      </w:r>
      <w:r w:rsidR="0026676B" w:rsidRPr="00250147">
        <w:rPr>
          <w:rFonts w:ascii="Arial" w:hAnsi="Arial" w:cs="Arial"/>
          <w:sz w:val="24"/>
          <w:szCs w:val="24"/>
        </w:rPr>
        <w:t>capital</w:t>
      </w:r>
      <w:r w:rsidR="006A0983" w:rsidRPr="00250147">
        <w:rPr>
          <w:rFonts w:ascii="Arial" w:hAnsi="Arial" w:cs="Arial"/>
          <w:sz w:val="24"/>
          <w:szCs w:val="24"/>
        </w:rPr>
        <w:t xml:space="preserve"> and the amount </w:t>
      </w:r>
      <w:r w:rsidR="007C7D74" w:rsidRPr="00250147">
        <w:rPr>
          <w:rFonts w:ascii="Arial" w:hAnsi="Arial" w:cs="Arial"/>
          <w:sz w:val="24"/>
          <w:szCs w:val="24"/>
        </w:rPr>
        <w:t>restored</w:t>
      </w:r>
      <w:r w:rsidR="006A0983" w:rsidRPr="00250147">
        <w:rPr>
          <w:rFonts w:ascii="Arial" w:hAnsi="Arial" w:cs="Arial"/>
          <w:sz w:val="24"/>
          <w:szCs w:val="24"/>
        </w:rPr>
        <w:t xml:space="preserve"> to shareholders if it is liquidated and </w:t>
      </w:r>
      <w:proofErr w:type="gramStart"/>
      <w:r w:rsidR="007C7D74" w:rsidRPr="00250147">
        <w:rPr>
          <w:rFonts w:ascii="Arial" w:hAnsi="Arial" w:cs="Arial"/>
          <w:sz w:val="24"/>
          <w:szCs w:val="24"/>
        </w:rPr>
        <w:t>every</w:t>
      </w:r>
      <w:proofErr w:type="gramEnd"/>
      <w:r w:rsidR="006A0983" w:rsidRPr="00250147">
        <w:rPr>
          <w:rFonts w:ascii="Arial" w:hAnsi="Arial" w:cs="Arial"/>
          <w:sz w:val="24"/>
          <w:szCs w:val="24"/>
        </w:rPr>
        <w:t xml:space="preserve"> obligations are paid. So, shareholder equity </w:t>
      </w:r>
      <w:r w:rsidR="0045397C" w:rsidRPr="00250147">
        <w:rPr>
          <w:rFonts w:ascii="Arial" w:hAnsi="Arial" w:cs="Arial"/>
          <w:sz w:val="24"/>
          <w:szCs w:val="24"/>
        </w:rPr>
        <w:t>counterparts</w:t>
      </w:r>
      <w:r w:rsidR="006A0983" w:rsidRPr="00250147">
        <w:rPr>
          <w:rFonts w:ascii="Arial" w:hAnsi="Arial" w:cs="Arial"/>
          <w:sz w:val="24"/>
          <w:szCs w:val="24"/>
        </w:rPr>
        <w:t xml:space="preserve"> a company's assets less its liabilities.</w:t>
      </w:r>
    </w:p>
    <w:p w14:paraId="46F4AAA1" w14:textId="25302D11" w:rsidR="00B8275D" w:rsidRPr="00BF27B4" w:rsidRDefault="00BF27B4" w:rsidP="00BF27B4">
      <w:pPr>
        <w:spacing w:line="360" w:lineRule="auto"/>
        <w:jc w:val="both"/>
        <w:rPr>
          <w:rFonts w:ascii="Arial" w:hAnsi="Arial" w:cs="Arial"/>
          <w:sz w:val="24"/>
          <w:szCs w:val="24"/>
        </w:rPr>
      </w:pPr>
      <w:r w:rsidRPr="00BF27B4">
        <w:rPr>
          <w:rFonts w:ascii="Arial" w:hAnsi="Arial" w:cs="Arial"/>
          <w:b/>
          <w:bCs/>
          <w:sz w:val="24"/>
          <w:szCs w:val="24"/>
        </w:rPr>
        <w:t>F</w:t>
      </w:r>
      <w:r w:rsidR="006A0983" w:rsidRPr="00BF27B4">
        <w:rPr>
          <w:rFonts w:ascii="Arial" w:hAnsi="Arial" w:cs="Arial"/>
          <w:b/>
          <w:bCs/>
          <w:sz w:val="24"/>
          <w:szCs w:val="24"/>
        </w:rPr>
        <w:t>ormula:</w:t>
      </w:r>
    </w:p>
    <w:p w14:paraId="22C15EBD" w14:textId="6DE41A42" w:rsidR="00B8275D" w:rsidRDefault="00B8275D" w:rsidP="00B8275D">
      <w:pPr>
        <w:jc w:val="center"/>
        <w:rPr>
          <w:b/>
          <w:bCs/>
        </w:rPr>
      </w:pPr>
      <w:r w:rsidRPr="00B8275D">
        <w:rPr>
          <w:b/>
          <w:bCs/>
          <w:noProof/>
        </w:rPr>
        <w:drawing>
          <wp:inline distT="0" distB="0" distL="0" distR="0" wp14:anchorId="62D055A7" wp14:editId="6B7A7111">
            <wp:extent cx="4359575" cy="417002"/>
            <wp:effectExtent l="0" t="0" r="3175" b="2540"/>
            <wp:docPr id="614688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88201" name=""/>
                    <pic:cNvPicPr/>
                  </pic:nvPicPr>
                  <pic:blipFill>
                    <a:blip r:embed="rId21"/>
                    <a:stretch>
                      <a:fillRect/>
                    </a:stretch>
                  </pic:blipFill>
                  <pic:spPr>
                    <a:xfrm>
                      <a:off x="0" y="0"/>
                      <a:ext cx="4506733" cy="431078"/>
                    </a:xfrm>
                    <a:prstGeom prst="rect">
                      <a:avLst/>
                    </a:prstGeom>
                  </pic:spPr>
                </pic:pic>
              </a:graphicData>
            </a:graphic>
          </wp:inline>
        </w:drawing>
      </w:r>
    </w:p>
    <w:p w14:paraId="20542A4E" w14:textId="77777777" w:rsidR="00B8275D" w:rsidRPr="00B8275D" w:rsidRDefault="00B8275D" w:rsidP="00B8275D">
      <w:pPr>
        <w:rPr>
          <w:b/>
          <w:bCs/>
        </w:rPr>
      </w:pPr>
    </w:p>
    <w:p w14:paraId="3D3FD2E7" w14:textId="776808FB" w:rsidR="003149FF" w:rsidRDefault="003149FF" w:rsidP="00BF27B4">
      <w:pPr>
        <w:spacing w:line="360" w:lineRule="auto"/>
        <w:jc w:val="both"/>
        <w:rPr>
          <w:rFonts w:ascii="Arial" w:hAnsi="Arial" w:cs="Arial"/>
          <w:b/>
          <w:bCs/>
          <w:sz w:val="24"/>
          <w:szCs w:val="24"/>
        </w:rPr>
      </w:pPr>
      <w:r w:rsidRPr="00BF27B4">
        <w:rPr>
          <w:rFonts w:ascii="Arial" w:hAnsi="Arial" w:cs="Arial"/>
          <w:b/>
          <w:bCs/>
          <w:sz w:val="24"/>
          <w:szCs w:val="24"/>
        </w:rPr>
        <w:t xml:space="preserve">Ford`s </w:t>
      </w:r>
      <w:r w:rsidR="00E02F9D" w:rsidRPr="00BF27B4">
        <w:rPr>
          <w:rFonts w:ascii="Arial" w:hAnsi="Arial" w:cs="Arial"/>
          <w:b/>
          <w:bCs/>
          <w:sz w:val="24"/>
          <w:szCs w:val="24"/>
        </w:rPr>
        <w:t>Dept</w:t>
      </w:r>
      <w:r w:rsidR="00263DCB" w:rsidRPr="00BF27B4">
        <w:rPr>
          <w:rFonts w:ascii="Arial" w:hAnsi="Arial" w:cs="Arial"/>
          <w:b/>
          <w:bCs/>
          <w:sz w:val="24"/>
          <w:szCs w:val="24"/>
        </w:rPr>
        <w:t>-</w:t>
      </w:r>
      <w:r w:rsidR="00E02F9D" w:rsidRPr="00BF27B4">
        <w:rPr>
          <w:rFonts w:ascii="Arial" w:hAnsi="Arial" w:cs="Arial"/>
          <w:b/>
          <w:bCs/>
          <w:sz w:val="24"/>
          <w:szCs w:val="24"/>
        </w:rPr>
        <w:t>to</w:t>
      </w:r>
      <w:r w:rsidR="00263DCB" w:rsidRPr="00BF27B4">
        <w:rPr>
          <w:rFonts w:ascii="Arial" w:hAnsi="Arial" w:cs="Arial"/>
          <w:b/>
          <w:bCs/>
          <w:sz w:val="24"/>
          <w:szCs w:val="24"/>
        </w:rPr>
        <w:t>-</w:t>
      </w:r>
      <w:r w:rsidR="00E02F9D" w:rsidRPr="00BF27B4">
        <w:rPr>
          <w:rFonts w:ascii="Arial" w:hAnsi="Arial" w:cs="Arial"/>
          <w:b/>
          <w:bCs/>
          <w:sz w:val="24"/>
          <w:szCs w:val="24"/>
        </w:rPr>
        <w:t>equity Ratio calculation:</w:t>
      </w:r>
    </w:p>
    <w:p w14:paraId="04BE2611" w14:textId="77777777" w:rsidR="007215F8" w:rsidRPr="00BF27B4" w:rsidRDefault="007215F8" w:rsidP="00BF27B4">
      <w:pPr>
        <w:spacing w:line="360" w:lineRule="auto"/>
        <w:jc w:val="both"/>
        <w:rPr>
          <w:rFonts w:ascii="Arial" w:hAnsi="Arial" w:cs="Arial"/>
          <w:b/>
          <w:bCs/>
          <w:sz w:val="24"/>
          <w:szCs w:val="24"/>
        </w:rPr>
      </w:pPr>
    </w:p>
    <w:p w14:paraId="423838E5" w14:textId="77777777" w:rsidR="00405265" w:rsidRPr="00405265" w:rsidRDefault="00405265" w:rsidP="00E02F9D">
      <w:pPr>
        <w:rPr>
          <w:b/>
          <w:bCs/>
        </w:rPr>
      </w:pPr>
    </w:p>
    <w:p w14:paraId="68DFC3C5" w14:textId="0393C745" w:rsidR="00E02F9D" w:rsidRPr="001C0FF0" w:rsidRDefault="001C0FF0" w:rsidP="00E02F9D">
      <w:pPr>
        <w:rPr>
          <w:rFonts w:eastAsiaTheme="minorEastAsia"/>
        </w:rPr>
      </w:pPr>
      <m:oMathPara>
        <m:oMath>
          <m:r>
            <w:rPr>
              <w:rFonts w:ascii="Cambria Math" w:hAnsi="Cambria Math"/>
            </w:rPr>
            <m:t>Debt to Equity=</m:t>
          </m:r>
          <m:f>
            <m:fPr>
              <m:ctrlPr>
                <w:rPr>
                  <w:rFonts w:ascii="Cambria Math" w:hAnsi="Cambria Math"/>
                  <w:i/>
                </w:rPr>
              </m:ctrlPr>
            </m:fPr>
            <m:num>
              <m:r>
                <m:rPr>
                  <m:sty m:val="b"/>
                </m:rPr>
                <w:rPr>
                  <w:rFonts w:ascii="Cambria Math" w:hAnsi="Cambria Math"/>
                </w:rPr>
                <m:t>$149.2 B</m:t>
              </m:r>
              <m:r>
                <w:rPr>
                  <w:rFonts w:ascii="Cambria Math" w:hAnsi="Cambria Math"/>
                </w:rPr>
                <m:t xml:space="preserve"> (Total Debt)</m:t>
              </m:r>
            </m:num>
            <m:den>
              <m:r>
                <m:rPr>
                  <m:sty m:val="bi"/>
                </m:rPr>
                <w:rPr>
                  <w:rFonts w:ascii="Cambria Math" w:hAnsi="Cambria Math"/>
                </w:rPr>
                <m:t>£ 42.79 B</m:t>
              </m:r>
              <m:r>
                <w:rPr>
                  <w:rFonts w:ascii="Cambria Math" w:hAnsi="Cambria Math"/>
                </w:rPr>
                <m:t xml:space="preserve"> (Total Shareholder Equity)</m:t>
              </m:r>
            </m:den>
          </m:f>
        </m:oMath>
      </m:oMathPara>
    </w:p>
    <w:p w14:paraId="4A2890B5" w14:textId="47C53AFB" w:rsidR="001C0FF0" w:rsidRDefault="001C0FF0" w:rsidP="00405265">
      <w:pPr>
        <w:jc w:val="center"/>
        <w:rPr>
          <w:rFonts w:eastAsiaTheme="minorEastAsia"/>
        </w:rPr>
      </w:pPr>
      <m:oMath>
        <m:r>
          <w:rPr>
            <w:rFonts w:ascii="Cambria Math" w:eastAsiaTheme="minorEastAsia" w:hAnsi="Cambria Math"/>
          </w:rPr>
          <m:t xml:space="preserve">Debt to Equity= </m:t>
        </m:r>
      </m:oMath>
      <w:r w:rsidR="00405265">
        <w:rPr>
          <w:rFonts w:eastAsiaTheme="minorEastAsia"/>
        </w:rPr>
        <w:t>3.49</w:t>
      </w:r>
    </w:p>
    <w:p w14:paraId="5201BC37" w14:textId="77777777" w:rsidR="007215F8" w:rsidRDefault="007215F8" w:rsidP="00405265">
      <w:pPr>
        <w:jc w:val="center"/>
        <w:rPr>
          <w:rFonts w:eastAsiaTheme="minorEastAsia"/>
        </w:rPr>
      </w:pPr>
    </w:p>
    <w:p w14:paraId="09F4D40B" w14:textId="77777777" w:rsidR="006938A2" w:rsidRPr="001C0FF0" w:rsidRDefault="006938A2" w:rsidP="00405265">
      <w:pPr>
        <w:jc w:val="center"/>
        <w:rPr>
          <w:rFonts w:eastAsiaTheme="minorEastAsia"/>
        </w:rPr>
      </w:pPr>
    </w:p>
    <w:p w14:paraId="131E2EE2" w14:textId="63CEED6E" w:rsidR="001C0FF0" w:rsidRPr="007777D1" w:rsidRDefault="00F413EC" w:rsidP="007777D1">
      <w:pPr>
        <w:spacing w:line="360" w:lineRule="auto"/>
        <w:jc w:val="both"/>
        <w:rPr>
          <w:rFonts w:ascii="Arial" w:eastAsiaTheme="minorEastAsia" w:hAnsi="Arial" w:cs="Arial"/>
          <w:sz w:val="24"/>
          <w:szCs w:val="24"/>
        </w:rPr>
      </w:pPr>
      <w:r w:rsidRPr="007777D1">
        <w:rPr>
          <w:rFonts w:ascii="Arial" w:eastAsiaTheme="minorEastAsia" w:hAnsi="Arial" w:cs="Arial"/>
          <w:b/>
          <w:bCs/>
          <w:sz w:val="24"/>
          <w:szCs w:val="24"/>
        </w:rPr>
        <w:t>Discussion</w:t>
      </w:r>
      <w:r w:rsidR="00405265" w:rsidRPr="007777D1">
        <w:rPr>
          <w:rFonts w:ascii="Arial" w:eastAsiaTheme="minorEastAsia" w:hAnsi="Arial" w:cs="Arial"/>
          <w:b/>
          <w:bCs/>
          <w:sz w:val="24"/>
          <w:szCs w:val="24"/>
        </w:rPr>
        <w:t>:</w:t>
      </w:r>
      <w:r w:rsidR="006938A2" w:rsidRPr="007777D1">
        <w:rPr>
          <w:rFonts w:ascii="Arial" w:eastAsiaTheme="minorEastAsia" w:hAnsi="Arial" w:cs="Arial"/>
          <w:sz w:val="24"/>
          <w:szCs w:val="24"/>
        </w:rPr>
        <w:t xml:space="preserve"> </w:t>
      </w:r>
      <w:r w:rsidR="003D1335" w:rsidRPr="007777D1">
        <w:rPr>
          <w:rFonts w:ascii="Arial" w:eastAsiaTheme="minorEastAsia" w:hAnsi="Arial" w:cs="Arial"/>
          <w:sz w:val="24"/>
          <w:szCs w:val="24"/>
        </w:rPr>
        <w:t xml:space="preserve">A high debt-to-equity ratio results in a fast escalation in both borrowing costs and equity costs. Furthermore, the </w:t>
      </w:r>
      <w:r w:rsidR="007D184A" w:rsidRPr="007777D1">
        <w:rPr>
          <w:rFonts w:ascii="Arial" w:eastAsiaTheme="minorEastAsia" w:hAnsi="Arial" w:cs="Arial"/>
          <w:sz w:val="24"/>
          <w:szCs w:val="24"/>
        </w:rPr>
        <w:t>corps'</w:t>
      </w:r>
      <w:r w:rsidR="003D1335" w:rsidRPr="007777D1">
        <w:rPr>
          <w:rFonts w:ascii="Arial" w:eastAsiaTheme="minorEastAsia" w:hAnsi="Arial" w:cs="Arial"/>
          <w:sz w:val="24"/>
          <w:szCs w:val="24"/>
        </w:rPr>
        <w:t xml:space="preserve"> weighted average cost of capital (WACC) will </w:t>
      </w:r>
      <w:r w:rsidR="00415C53" w:rsidRPr="007777D1">
        <w:rPr>
          <w:rFonts w:ascii="Arial" w:eastAsiaTheme="minorEastAsia" w:hAnsi="Arial" w:cs="Arial"/>
          <w:sz w:val="24"/>
          <w:szCs w:val="24"/>
        </w:rPr>
        <w:t>enhance</w:t>
      </w:r>
      <w:r w:rsidR="003D1335" w:rsidRPr="007777D1">
        <w:rPr>
          <w:rFonts w:ascii="Arial" w:eastAsiaTheme="minorEastAsia" w:hAnsi="Arial" w:cs="Arial"/>
          <w:sz w:val="24"/>
          <w:szCs w:val="24"/>
        </w:rPr>
        <w:t xml:space="preserve"> significantly, leading to a decline in its share price.</w:t>
      </w:r>
      <w:r w:rsidR="007777D1" w:rsidRPr="007777D1">
        <w:rPr>
          <w:rFonts w:ascii="Arial" w:eastAsiaTheme="minorEastAsia" w:hAnsi="Arial" w:cs="Arial"/>
          <w:sz w:val="24"/>
          <w:szCs w:val="24"/>
        </w:rPr>
        <w:t xml:space="preserve"> (Bull, 2018)</w:t>
      </w:r>
    </w:p>
    <w:p w14:paraId="6B51F24E" w14:textId="77777777" w:rsidR="007777D1" w:rsidRPr="00E85EB1" w:rsidRDefault="007777D1" w:rsidP="00E85EB1"/>
    <w:p w14:paraId="7AF14E79" w14:textId="566522D8" w:rsidR="00DA26B3" w:rsidRDefault="00DA26B3" w:rsidP="005523FB">
      <w:pPr>
        <w:pStyle w:val="Heading3"/>
      </w:pPr>
      <w:bookmarkStart w:id="18" w:name="_Toc164624834"/>
      <w:r w:rsidRPr="00DA26B3">
        <w:lastRenderedPageBreak/>
        <w:t>Efficiency:</w:t>
      </w:r>
      <w:bookmarkEnd w:id="18"/>
    </w:p>
    <w:p w14:paraId="7A520619" w14:textId="77777777" w:rsidR="00367701" w:rsidRPr="00367701" w:rsidRDefault="00367701" w:rsidP="00367701"/>
    <w:p w14:paraId="24B6C564" w14:textId="73BEA054" w:rsidR="00DA26B3" w:rsidRDefault="00367701" w:rsidP="00367701">
      <w:pPr>
        <w:spacing w:line="360" w:lineRule="auto"/>
        <w:jc w:val="both"/>
        <w:rPr>
          <w:rFonts w:ascii="Arial" w:hAnsi="Arial" w:cs="Arial"/>
          <w:sz w:val="24"/>
          <w:szCs w:val="24"/>
        </w:rPr>
      </w:pPr>
      <w:r w:rsidRPr="00367701">
        <w:rPr>
          <w:rFonts w:ascii="Arial" w:hAnsi="Arial" w:cs="Arial"/>
          <w:sz w:val="24"/>
          <w:szCs w:val="24"/>
        </w:rPr>
        <w:t xml:space="preserve">Efficiency ratios </w:t>
      </w:r>
      <w:r w:rsidR="00415C53" w:rsidRPr="00367701">
        <w:rPr>
          <w:rFonts w:ascii="Arial" w:hAnsi="Arial" w:cs="Arial"/>
          <w:sz w:val="24"/>
          <w:szCs w:val="24"/>
        </w:rPr>
        <w:t>determine</w:t>
      </w:r>
      <w:r w:rsidRPr="00367701">
        <w:rPr>
          <w:rFonts w:ascii="Arial" w:hAnsi="Arial" w:cs="Arial"/>
          <w:sz w:val="24"/>
          <w:szCs w:val="24"/>
        </w:rPr>
        <w:t xml:space="preserve"> a</w:t>
      </w:r>
      <w:r w:rsidR="00415C53">
        <w:rPr>
          <w:rFonts w:ascii="Arial" w:hAnsi="Arial" w:cs="Arial"/>
          <w:sz w:val="24"/>
          <w:szCs w:val="24"/>
        </w:rPr>
        <w:t>n</w:t>
      </w:r>
      <w:r w:rsidRPr="00367701">
        <w:rPr>
          <w:rFonts w:ascii="Arial" w:hAnsi="Arial" w:cs="Arial"/>
          <w:sz w:val="24"/>
          <w:szCs w:val="24"/>
        </w:rPr>
        <w:t xml:space="preserve"> </w:t>
      </w:r>
      <w:r w:rsidR="00415C53" w:rsidRPr="00367701">
        <w:rPr>
          <w:rFonts w:ascii="Arial" w:hAnsi="Arial" w:cs="Arial"/>
          <w:sz w:val="24"/>
          <w:szCs w:val="24"/>
        </w:rPr>
        <w:t>enterprise's</w:t>
      </w:r>
      <w:r w:rsidRPr="00367701">
        <w:rPr>
          <w:rFonts w:ascii="Arial" w:hAnsi="Arial" w:cs="Arial"/>
          <w:sz w:val="24"/>
          <w:szCs w:val="24"/>
        </w:rPr>
        <w:t xml:space="preserve"> </w:t>
      </w:r>
      <w:r w:rsidR="00415C53" w:rsidRPr="00367701">
        <w:rPr>
          <w:rFonts w:ascii="Arial" w:hAnsi="Arial" w:cs="Arial"/>
          <w:sz w:val="24"/>
          <w:szCs w:val="24"/>
        </w:rPr>
        <w:t>capability</w:t>
      </w:r>
      <w:r w:rsidRPr="00367701">
        <w:rPr>
          <w:rFonts w:ascii="Arial" w:hAnsi="Arial" w:cs="Arial"/>
          <w:sz w:val="24"/>
          <w:szCs w:val="24"/>
        </w:rPr>
        <w:t xml:space="preserve"> to </w:t>
      </w:r>
      <w:r w:rsidR="00415C53" w:rsidRPr="00367701">
        <w:rPr>
          <w:rFonts w:ascii="Arial" w:hAnsi="Arial" w:cs="Arial"/>
          <w:sz w:val="24"/>
          <w:szCs w:val="24"/>
        </w:rPr>
        <w:t>employ</w:t>
      </w:r>
      <w:r w:rsidRPr="00367701">
        <w:rPr>
          <w:rFonts w:ascii="Arial" w:hAnsi="Arial" w:cs="Arial"/>
          <w:sz w:val="24"/>
          <w:szCs w:val="24"/>
        </w:rPr>
        <w:t xml:space="preserve"> capital and assets to </w:t>
      </w:r>
      <w:r w:rsidR="00415C53" w:rsidRPr="00367701">
        <w:rPr>
          <w:rFonts w:ascii="Arial" w:hAnsi="Arial" w:cs="Arial"/>
          <w:sz w:val="24"/>
          <w:szCs w:val="24"/>
        </w:rPr>
        <w:t>create</w:t>
      </w:r>
      <w:r w:rsidRPr="00367701">
        <w:rPr>
          <w:rFonts w:ascii="Arial" w:hAnsi="Arial" w:cs="Arial"/>
          <w:sz w:val="24"/>
          <w:szCs w:val="24"/>
        </w:rPr>
        <w:t xml:space="preserve"> </w:t>
      </w:r>
      <w:r w:rsidR="00415C53" w:rsidRPr="00367701">
        <w:rPr>
          <w:rFonts w:ascii="Arial" w:hAnsi="Arial" w:cs="Arial"/>
          <w:sz w:val="24"/>
          <w:szCs w:val="24"/>
        </w:rPr>
        <w:t>revenues</w:t>
      </w:r>
      <w:r w:rsidRPr="00367701">
        <w:rPr>
          <w:rFonts w:ascii="Arial" w:hAnsi="Arial" w:cs="Arial"/>
          <w:sz w:val="24"/>
          <w:szCs w:val="24"/>
        </w:rPr>
        <w:t xml:space="preserve">. The ratios </w:t>
      </w:r>
      <w:r w:rsidR="00585693" w:rsidRPr="00367701">
        <w:rPr>
          <w:rFonts w:ascii="Arial" w:hAnsi="Arial" w:cs="Arial"/>
          <w:sz w:val="24"/>
          <w:szCs w:val="24"/>
        </w:rPr>
        <w:t>contrast</w:t>
      </w:r>
      <w:r w:rsidRPr="00367701">
        <w:rPr>
          <w:rFonts w:ascii="Arial" w:hAnsi="Arial" w:cs="Arial"/>
          <w:sz w:val="24"/>
          <w:szCs w:val="24"/>
        </w:rPr>
        <w:t xml:space="preserve"> expenses to </w:t>
      </w:r>
      <w:r w:rsidR="00585693" w:rsidRPr="00367701">
        <w:rPr>
          <w:rFonts w:ascii="Arial" w:hAnsi="Arial" w:cs="Arial"/>
          <w:sz w:val="24"/>
          <w:szCs w:val="24"/>
        </w:rPr>
        <w:t>profits</w:t>
      </w:r>
      <w:r w:rsidRPr="00367701">
        <w:rPr>
          <w:rFonts w:ascii="Arial" w:hAnsi="Arial" w:cs="Arial"/>
          <w:sz w:val="24"/>
          <w:szCs w:val="24"/>
        </w:rPr>
        <w:t xml:space="preserve"> to </w:t>
      </w:r>
      <w:r w:rsidR="00585693" w:rsidRPr="00367701">
        <w:rPr>
          <w:rFonts w:ascii="Arial" w:hAnsi="Arial" w:cs="Arial"/>
          <w:sz w:val="24"/>
          <w:szCs w:val="24"/>
        </w:rPr>
        <w:t>illustrate</w:t>
      </w:r>
      <w:r w:rsidRPr="00367701">
        <w:rPr>
          <w:rFonts w:ascii="Arial" w:hAnsi="Arial" w:cs="Arial"/>
          <w:sz w:val="24"/>
          <w:szCs w:val="24"/>
        </w:rPr>
        <w:t xml:space="preserve"> how much a </w:t>
      </w:r>
      <w:r w:rsidR="009A6DBB" w:rsidRPr="00367701">
        <w:rPr>
          <w:rFonts w:ascii="Arial" w:hAnsi="Arial" w:cs="Arial"/>
          <w:sz w:val="24"/>
          <w:szCs w:val="24"/>
        </w:rPr>
        <w:t>co</w:t>
      </w:r>
      <w:r w:rsidR="009B2B08">
        <w:rPr>
          <w:rFonts w:ascii="Arial" w:hAnsi="Arial" w:cs="Arial"/>
          <w:sz w:val="24"/>
          <w:szCs w:val="24"/>
        </w:rPr>
        <w:t>mpany</w:t>
      </w:r>
      <w:r w:rsidRPr="00367701">
        <w:rPr>
          <w:rFonts w:ascii="Arial" w:hAnsi="Arial" w:cs="Arial"/>
          <w:sz w:val="24"/>
          <w:szCs w:val="24"/>
        </w:rPr>
        <w:t xml:space="preserve"> </w:t>
      </w:r>
      <w:r w:rsidR="009A6DBB">
        <w:rPr>
          <w:rFonts w:ascii="Arial" w:hAnsi="Arial" w:cs="Arial"/>
          <w:sz w:val="24"/>
          <w:szCs w:val="24"/>
        </w:rPr>
        <w:t>able to</w:t>
      </w:r>
      <w:r w:rsidRPr="00367701">
        <w:rPr>
          <w:rFonts w:ascii="Arial" w:hAnsi="Arial" w:cs="Arial"/>
          <w:sz w:val="24"/>
          <w:szCs w:val="24"/>
        </w:rPr>
        <w:t xml:space="preserve"> </w:t>
      </w:r>
      <w:r w:rsidR="009A6DBB" w:rsidRPr="00367701">
        <w:rPr>
          <w:rFonts w:ascii="Arial" w:hAnsi="Arial" w:cs="Arial"/>
          <w:sz w:val="24"/>
          <w:szCs w:val="24"/>
        </w:rPr>
        <w:t>obtain</w:t>
      </w:r>
      <w:r w:rsidRPr="00367701">
        <w:rPr>
          <w:rFonts w:ascii="Arial" w:hAnsi="Arial" w:cs="Arial"/>
          <w:sz w:val="24"/>
          <w:szCs w:val="24"/>
        </w:rPr>
        <w:t xml:space="preserve"> from its operating costs.</w:t>
      </w:r>
      <w:r w:rsidR="00E31C20">
        <w:rPr>
          <w:rFonts w:ascii="Arial" w:hAnsi="Arial" w:cs="Arial"/>
          <w:sz w:val="24"/>
          <w:szCs w:val="24"/>
        </w:rPr>
        <w:t xml:space="preserve"> (Bull, 2018)</w:t>
      </w:r>
    </w:p>
    <w:p w14:paraId="1F62EEE8" w14:textId="77777777" w:rsidR="00E31C20" w:rsidRPr="00367701" w:rsidRDefault="00E31C20" w:rsidP="00367701">
      <w:pPr>
        <w:spacing w:line="360" w:lineRule="auto"/>
        <w:jc w:val="both"/>
        <w:rPr>
          <w:rFonts w:ascii="Arial" w:hAnsi="Arial" w:cs="Arial"/>
          <w:sz w:val="24"/>
          <w:szCs w:val="24"/>
        </w:rPr>
      </w:pPr>
    </w:p>
    <w:p w14:paraId="1BE71A32" w14:textId="77777777" w:rsidR="004A5E07" w:rsidRDefault="008A3ECE" w:rsidP="004A5E07">
      <w:pPr>
        <w:keepNext/>
      </w:pPr>
      <w:r>
        <w:rPr>
          <w:noProof/>
        </w:rPr>
        <w:drawing>
          <wp:inline distT="0" distB="0" distL="0" distR="0" wp14:anchorId="60EFF55A" wp14:editId="1D7519FD">
            <wp:extent cx="5563796" cy="1931035"/>
            <wp:effectExtent l="0" t="0" r="0" b="0"/>
            <wp:docPr id="10016369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588988" cy="1939778"/>
                    </a:xfrm>
                    <a:prstGeom prst="rect">
                      <a:avLst/>
                    </a:prstGeom>
                    <a:noFill/>
                  </pic:spPr>
                </pic:pic>
              </a:graphicData>
            </a:graphic>
          </wp:inline>
        </w:drawing>
      </w:r>
    </w:p>
    <w:p w14:paraId="4F736181" w14:textId="23828362" w:rsidR="00DA26B3" w:rsidRPr="009308EF" w:rsidRDefault="004A5E07" w:rsidP="009308EF">
      <w:pPr>
        <w:pStyle w:val="Caption"/>
        <w:spacing w:line="360" w:lineRule="auto"/>
        <w:jc w:val="center"/>
        <w:rPr>
          <w:rFonts w:ascii="Arial" w:hAnsi="Arial" w:cs="Arial"/>
          <w:sz w:val="24"/>
          <w:szCs w:val="24"/>
        </w:rPr>
      </w:pPr>
      <w:r w:rsidRPr="009308EF">
        <w:rPr>
          <w:rFonts w:ascii="Arial" w:hAnsi="Arial" w:cs="Arial"/>
          <w:sz w:val="24"/>
          <w:szCs w:val="24"/>
        </w:rPr>
        <w:t xml:space="preserve">Figure </w:t>
      </w:r>
      <w:r w:rsidRPr="009308EF">
        <w:rPr>
          <w:rFonts w:ascii="Arial" w:hAnsi="Arial" w:cs="Arial"/>
          <w:sz w:val="24"/>
          <w:szCs w:val="24"/>
        </w:rPr>
        <w:fldChar w:fldCharType="begin"/>
      </w:r>
      <w:r w:rsidRPr="009308EF">
        <w:rPr>
          <w:rFonts w:ascii="Arial" w:hAnsi="Arial" w:cs="Arial"/>
          <w:sz w:val="24"/>
          <w:szCs w:val="24"/>
        </w:rPr>
        <w:instrText xml:space="preserve"> SEQ Figure \* ARABIC </w:instrText>
      </w:r>
      <w:r w:rsidRPr="009308EF">
        <w:rPr>
          <w:rFonts w:ascii="Arial" w:hAnsi="Arial" w:cs="Arial"/>
          <w:sz w:val="24"/>
          <w:szCs w:val="24"/>
        </w:rPr>
        <w:fldChar w:fldCharType="separate"/>
      </w:r>
      <w:r w:rsidR="001E1868" w:rsidRPr="009308EF">
        <w:rPr>
          <w:rFonts w:ascii="Arial" w:hAnsi="Arial" w:cs="Arial"/>
          <w:noProof/>
          <w:sz w:val="24"/>
          <w:szCs w:val="24"/>
        </w:rPr>
        <w:t>7</w:t>
      </w:r>
      <w:r w:rsidRPr="009308EF">
        <w:rPr>
          <w:rFonts w:ascii="Arial" w:hAnsi="Arial" w:cs="Arial"/>
          <w:sz w:val="24"/>
          <w:szCs w:val="24"/>
        </w:rPr>
        <w:fldChar w:fldCharType="end"/>
      </w:r>
      <w:r w:rsidRPr="009308EF">
        <w:rPr>
          <w:rFonts w:ascii="Arial" w:hAnsi="Arial" w:cs="Arial"/>
          <w:sz w:val="24"/>
          <w:szCs w:val="24"/>
        </w:rPr>
        <w:t xml:space="preserve"> – Efficiency Ratio</w:t>
      </w:r>
    </w:p>
    <w:p w14:paraId="1FF99D43" w14:textId="2457C3E9" w:rsidR="004A5E07" w:rsidRDefault="004A5E07" w:rsidP="0079036F">
      <w:pPr>
        <w:jc w:val="center"/>
        <w:rPr>
          <w:rStyle w:val="Hyperlink"/>
          <w:sz w:val="18"/>
          <w:szCs w:val="18"/>
        </w:rPr>
      </w:pPr>
      <w:r w:rsidRPr="0079036F">
        <w:rPr>
          <w:sz w:val="18"/>
          <w:szCs w:val="18"/>
        </w:rPr>
        <w:t xml:space="preserve">Sources: </w:t>
      </w:r>
      <w:r w:rsidR="00322BC4" w:rsidRPr="0079036F">
        <w:rPr>
          <w:sz w:val="18"/>
          <w:szCs w:val="18"/>
        </w:rPr>
        <w:t>Corporate Finance Institu</w:t>
      </w:r>
      <w:r w:rsidR="002C1B87" w:rsidRPr="0079036F">
        <w:rPr>
          <w:sz w:val="18"/>
          <w:szCs w:val="18"/>
        </w:rPr>
        <w:t xml:space="preserve">te. Online: </w:t>
      </w:r>
      <w:hyperlink r:id="rId23" w:history="1">
        <w:r w:rsidR="002C1B87" w:rsidRPr="0079036F">
          <w:rPr>
            <w:rStyle w:val="Hyperlink"/>
            <w:sz w:val="18"/>
            <w:szCs w:val="18"/>
          </w:rPr>
          <w:t>https://corporatefinanceinstitute.com/resources/accounting/efficiency-ratios/</w:t>
        </w:r>
      </w:hyperlink>
    </w:p>
    <w:p w14:paraId="7E5946B4" w14:textId="77777777" w:rsidR="009308EF" w:rsidRPr="0079036F" w:rsidRDefault="009308EF" w:rsidP="0079036F">
      <w:pPr>
        <w:jc w:val="center"/>
        <w:rPr>
          <w:sz w:val="18"/>
          <w:szCs w:val="18"/>
        </w:rPr>
      </w:pPr>
    </w:p>
    <w:p w14:paraId="1527902A" w14:textId="77777777" w:rsidR="0079036F" w:rsidRDefault="0079036F" w:rsidP="0079036F">
      <w:pPr>
        <w:pStyle w:val="Heading4"/>
      </w:pPr>
    </w:p>
    <w:p w14:paraId="062432BC" w14:textId="1FA84338" w:rsidR="002C1B87" w:rsidRPr="008437B6" w:rsidRDefault="002C1B87" w:rsidP="008437B6">
      <w:pPr>
        <w:pStyle w:val="Subtitle"/>
        <w:rPr>
          <w:color w:val="45B0E1" w:themeColor="accent1" w:themeTint="99"/>
        </w:rPr>
      </w:pPr>
      <w:r w:rsidRPr="008437B6">
        <w:rPr>
          <w:color w:val="45B0E1" w:themeColor="accent1" w:themeTint="99"/>
        </w:rPr>
        <w:t xml:space="preserve">Inventory </w:t>
      </w:r>
      <w:r w:rsidR="0079036F" w:rsidRPr="008437B6">
        <w:rPr>
          <w:color w:val="45B0E1" w:themeColor="accent1" w:themeTint="99"/>
        </w:rPr>
        <w:t>Turnover Ratio:</w:t>
      </w:r>
    </w:p>
    <w:p w14:paraId="6D95E4EB" w14:textId="1013A1E7" w:rsidR="008437B6" w:rsidRDefault="00234293" w:rsidP="00234293">
      <w:pPr>
        <w:spacing w:line="360" w:lineRule="auto"/>
        <w:jc w:val="both"/>
        <w:rPr>
          <w:rFonts w:ascii="Arial" w:hAnsi="Arial" w:cs="Arial"/>
          <w:sz w:val="24"/>
          <w:szCs w:val="24"/>
        </w:rPr>
      </w:pPr>
      <w:r w:rsidRPr="00234293">
        <w:rPr>
          <w:rFonts w:ascii="Arial" w:hAnsi="Arial" w:cs="Arial"/>
          <w:sz w:val="24"/>
          <w:szCs w:val="24"/>
        </w:rPr>
        <w:t xml:space="preserve">Inventory turnover ratio, </w:t>
      </w:r>
      <w:r w:rsidR="00540B4A" w:rsidRPr="00234293">
        <w:rPr>
          <w:rFonts w:ascii="Arial" w:hAnsi="Arial" w:cs="Arial"/>
          <w:sz w:val="24"/>
          <w:szCs w:val="24"/>
        </w:rPr>
        <w:t>similarly,</w:t>
      </w:r>
      <w:r w:rsidRPr="00234293">
        <w:rPr>
          <w:rFonts w:ascii="Arial" w:hAnsi="Arial" w:cs="Arial"/>
          <w:sz w:val="24"/>
          <w:szCs w:val="24"/>
        </w:rPr>
        <w:t xml:space="preserve"> </w:t>
      </w:r>
      <w:r w:rsidR="003F4F14" w:rsidRPr="00234293">
        <w:rPr>
          <w:rFonts w:ascii="Arial" w:hAnsi="Arial" w:cs="Arial"/>
          <w:sz w:val="24"/>
          <w:szCs w:val="24"/>
        </w:rPr>
        <w:t>recognised</w:t>
      </w:r>
      <w:r w:rsidRPr="00234293">
        <w:rPr>
          <w:rFonts w:ascii="Arial" w:hAnsi="Arial" w:cs="Arial"/>
          <w:sz w:val="24"/>
          <w:szCs w:val="24"/>
        </w:rPr>
        <w:t xml:space="preserve"> as stock turnover ratio, assesses inventory management efficiency. To </w:t>
      </w:r>
      <w:r w:rsidR="00540B4A" w:rsidRPr="00234293">
        <w:rPr>
          <w:rFonts w:ascii="Arial" w:hAnsi="Arial" w:cs="Arial"/>
          <w:sz w:val="24"/>
          <w:szCs w:val="24"/>
        </w:rPr>
        <w:t>work out</w:t>
      </w:r>
      <w:r w:rsidRPr="00234293">
        <w:rPr>
          <w:rFonts w:ascii="Arial" w:hAnsi="Arial" w:cs="Arial"/>
          <w:sz w:val="24"/>
          <w:szCs w:val="24"/>
        </w:rPr>
        <w:t xml:space="preserve"> how </w:t>
      </w:r>
      <w:r w:rsidR="00540B4A" w:rsidRPr="00234293">
        <w:rPr>
          <w:rFonts w:ascii="Arial" w:hAnsi="Arial" w:cs="Arial"/>
          <w:sz w:val="24"/>
          <w:szCs w:val="24"/>
        </w:rPr>
        <w:t>repeatedly</w:t>
      </w:r>
      <w:r w:rsidRPr="00234293">
        <w:rPr>
          <w:rFonts w:ascii="Arial" w:hAnsi="Arial" w:cs="Arial"/>
          <w:sz w:val="24"/>
          <w:szCs w:val="24"/>
        </w:rPr>
        <w:t xml:space="preserve"> inventory is "turned" or </w:t>
      </w:r>
      <w:r w:rsidR="0044215C" w:rsidRPr="00234293">
        <w:rPr>
          <w:rFonts w:ascii="Arial" w:hAnsi="Arial" w:cs="Arial"/>
          <w:sz w:val="24"/>
          <w:szCs w:val="24"/>
        </w:rPr>
        <w:t>traded</w:t>
      </w:r>
      <w:r w:rsidRPr="00234293">
        <w:rPr>
          <w:rFonts w:ascii="Arial" w:hAnsi="Arial" w:cs="Arial"/>
          <w:sz w:val="24"/>
          <w:szCs w:val="24"/>
        </w:rPr>
        <w:t xml:space="preserve">, </w:t>
      </w:r>
      <w:r w:rsidR="0044215C" w:rsidRPr="00234293">
        <w:rPr>
          <w:rFonts w:ascii="Arial" w:hAnsi="Arial" w:cs="Arial"/>
          <w:sz w:val="24"/>
          <w:szCs w:val="24"/>
        </w:rPr>
        <w:t>partition</w:t>
      </w:r>
      <w:r w:rsidRPr="00234293">
        <w:rPr>
          <w:rFonts w:ascii="Arial" w:hAnsi="Arial" w:cs="Arial"/>
          <w:sz w:val="24"/>
          <w:szCs w:val="24"/>
        </w:rPr>
        <w:t xml:space="preserve"> the cost of products sold by total or average inventory. The ratio can indicate </w:t>
      </w:r>
      <w:r w:rsidR="00455DF9" w:rsidRPr="00234293">
        <w:rPr>
          <w:rFonts w:ascii="Arial" w:hAnsi="Arial" w:cs="Arial"/>
          <w:sz w:val="24"/>
          <w:szCs w:val="24"/>
        </w:rPr>
        <w:t>too much</w:t>
      </w:r>
      <w:r w:rsidRPr="00234293">
        <w:rPr>
          <w:rFonts w:ascii="Arial" w:hAnsi="Arial" w:cs="Arial"/>
          <w:sz w:val="24"/>
          <w:szCs w:val="24"/>
        </w:rPr>
        <w:t xml:space="preserve"> inventory </w:t>
      </w:r>
      <w:r w:rsidR="00BC785A" w:rsidRPr="00234293">
        <w:rPr>
          <w:rFonts w:ascii="Arial" w:hAnsi="Arial" w:cs="Arial"/>
          <w:sz w:val="24"/>
          <w:szCs w:val="24"/>
        </w:rPr>
        <w:t>associated</w:t>
      </w:r>
      <w:r w:rsidRPr="00234293">
        <w:rPr>
          <w:rFonts w:ascii="Arial" w:hAnsi="Arial" w:cs="Arial"/>
          <w:sz w:val="24"/>
          <w:szCs w:val="24"/>
        </w:rPr>
        <w:t xml:space="preserve"> to sales.</w:t>
      </w:r>
      <w:r w:rsidR="00096F5F">
        <w:rPr>
          <w:rFonts w:ascii="Arial" w:hAnsi="Arial" w:cs="Arial"/>
          <w:sz w:val="24"/>
          <w:szCs w:val="24"/>
        </w:rPr>
        <w:t xml:space="preserve"> </w:t>
      </w:r>
      <w:r w:rsidR="00096F5F" w:rsidRPr="00096F5F">
        <w:rPr>
          <w:rFonts w:ascii="Arial" w:hAnsi="Arial" w:cs="Arial"/>
          <w:sz w:val="24"/>
          <w:szCs w:val="24"/>
        </w:rPr>
        <w:t>(Bragg, 2017)</w:t>
      </w:r>
    </w:p>
    <w:p w14:paraId="0278ABA4" w14:textId="77777777" w:rsidR="007215F8" w:rsidRPr="00234293" w:rsidRDefault="007215F8" w:rsidP="00234293">
      <w:pPr>
        <w:spacing w:line="360" w:lineRule="auto"/>
        <w:jc w:val="both"/>
        <w:rPr>
          <w:rFonts w:ascii="Arial" w:hAnsi="Arial" w:cs="Arial"/>
          <w:sz w:val="24"/>
          <w:szCs w:val="24"/>
        </w:rPr>
      </w:pPr>
    </w:p>
    <w:p w14:paraId="305C5434" w14:textId="1145E25C" w:rsidR="004904B8" w:rsidRPr="00096F5F" w:rsidRDefault="004904B8" w:rsidP="00096F5F">
      <w:pPr>
        <w:spacing w:line="360" w:lineRule="auto"/>
        <w:jc w:val="both"/>
        <w:rPr>
          <w:rFonts w:ascii="Arial" w:hAnsi="Arial" w:cs="Arial"/>
          <w:sz w:val="24"/>
          <w:szCs w:val="24"/>
        </w:rPr>
      </w:pPr>
      <w:r w:rsidRPr="00096F5F">
        <w:rPr>
          <w:rFonts w:ascii="Arial" w:hAnsi="Arial" w:cs="Arial"/>
          <w:sz w:val="24"/>
          <w:szCs w:val="24"/>
        </w:rPr>
        <w:t>Formula:</w:t>
      </w:r>
    </w:p>
    <w:p w14:paraId="28C37DA8" w14:textId="13B369DF" w:rsidR="004904B8" w:rsidRDefault="004135A9" w:rsidP="004904B8">
      <w:r>
        <w:rPr>
          <w:noProof/>
        </w:rPr>
        <w:drawing>
          <wp:inline distT="0" distB="0" distL="0" distR="0" wp14:anchorId="5DF77AA3" wp14:editId="0AB9EA68">
            <wp:extent cx="5480050" cy="996373"/>
            <wp:effectExtent l="0" t="0" r="6350" b="0"/>
            <wp:docPr id="14007647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26308" cy="1004783"/>
                    </a:xfrm>
                    <a:prstGeom prst="rect">
                      <a:avLst/>
                    </a:prstGeom>
                    <a:noFill/>
                  </pic:spPr>
                </pic:pic>
              </a:graphicData>
            </a:graphic>
          </wp:inline>
        </w:drawing>
      </w:r>
    </w:p>
    <w:p w14:paraId="45411454" w14:textId="77777777" w:rsidR="00B8275D" w:rsidRDefault="00B8275D" w:rsidP="004904B8"/>
    <w:p w14:paraId="35844D27" w14:textId="5C164C24" w:rsidR="005E5604" w:rsidRPr="00A0429C" w:rsidRDefault="00B8275D" w:rsidP="00A0429C">
      <w:pPr>
        <w:spacing w:line="360" w:lineRule="auto"/>
        <w:jc w:val="both"/>
        <w:rPr>
          <w:rFonts w:ascii="Arial" w:hAnsi="Arial" w:cs="Arial"/>
          <w:sz w:val="24"/>
          <w:szCs w:val="24"/>
        </w:rPr>
      </w:pPr>
      <w:r w:rsidRPr="00A0429C">
        <w:rPr>
          <w:rFonts w:ascii="Arial" w:hAnsi="Arial" w:cs="Arial"/>
          <w:b/>
          <w:bCs/>
          <w:sz w:val="24"/>
          <w:szCs w:val="24"/>
        </w:rPr>
        <w:lastRenderedPageBreak/>
        <w:t>Cost of Goods Sold</w:t>
      </w:r>
      <w:r w:rsidR="005E5604" w:rsidRPr="00A0429C">
        <w:rPr>
          <w:rFonts w:ascii="Arial" w:hAnsi="Arial" w:cs="Arial"/>
          <w:b/>
          <w:bCs/>
          <w:sz w:val="24"/>
          <w:szCs w:val="24"/>
        </w:rPr>
        <w:t xml:space="preserve"> (COGS)</w:t>
      </w:r>
      <w:r w:rsidRPr="00A0429C">
        <w:rPr>
          <w:rFonts w:ascii="Arial" w:hAnsi="Arial" w:cs="Arial"/>
          <w:b/>
          <w:bCs/>
          <w:sz w:val="24"/>
          <w:szCs w:val="24"/>
        </w:rPr>
        <w:t>:</w:t>
      </w:r>
      <w:r w:rsidR="004F502C" w:rsidRPr="00A0429C">
        <w:rPr>
          <w:rFonts w:ascii="Arial" w:hAnsi="Arial" w:cs="Arial"/>
          <w:sz w:val="24"/>
          <w:szCs w:val="24"/>
        </w:rPr>
        <w:t xml:space="preserve"> </w:t>
      </w:r>
      <w:r w:rsidR="006F758F" w:rsidRPr="00A0429C">
        <w:rPr>
          <w:rFonts w:ascii="Arial" w:hAnsi="Arial" w:cs="Arial"/>
          <w:sz w:val="24"/>
          <w:szCs w:val="24"/>
        </w:rPr>
        <w:t xml:space="preserve">Bragg (2017) </w:t>
      </w:r>
      <w:r w:rsidR="004F502C" w:rsidRPr="00A0429C">
        <w:rPr>
          <w:rFonts w:ascii="Arial" w:hAnsi="Arial" w:cs="Arial"/>
          <w:sz w:val="24"/>
          <w:szCs w:val="24"/>
        </w:rPr>
        <w:t>stated that i</w:t>
      </w:r>
      <w:r w:rsidR="006F758F" w:rsidRPr="00A0429C">
        <w:rPr>
          <w:rFonts w:ascii="Arial" w:hAnsi="Arial" w:cs="Arial"/>
          <w:sz w:val="24"/>
          <w:szCs w:val="24"/>
        </w:rPr>
        <w:t>t calculates the “direct cost” of producing products and services. It includes material, direct labour, and direct industrial overheads and is proportional to revenue.</w:t>
      </w:r>
    </w:p>
    <w:p w14:paraId="5C1CDBF9" w14:textId="76795322" w:rsidR="005E5604" w:rsidRPr="00A0429C" w:rsidRDefault="005E5604" w:rsidP="00A0429C">
      <w:pPr>
        <w:spacing w:line="360" w:lineRule="auto"/>
        <w:jc w:val="both"/>
        <w:rPr>
          <w:rFonts w:ascii="Arial" w:hAnsi="Arial" w:cs="Arial"/>
          <w:sz w:val="24"/>
          <w:szCs w:val="24"/>
        </w:rPr>
      </w:pPr>
      <w:r w:rsidRPr="00A0429C">
        <w:rPr>
          <w:rFonts w:ascii="Arial" w:hAnsi="Arial" w:cs="Arial"/>
          <w:b/>
          <w:bCs/>
          <w:sz w:val="24"/>
          <w:szCs w:val="24"/>
        </w:rPr>
        <w:t>Average Inventory:</w:t>
      </w:r>
      <w:r w:rsidRPr="00A0429C">
        <w:rPr>
          <w:rFonts w:ascii="Arial" w:hAnsi="Arial" w:cs="Arial"/>
          <w:sz w:val="24"/>
          <w:szCs w:val="24"/>
        </w:rPr>
        <w:t xml:space="preserve"> </w:t>
      </w:r>
      <w:r w:rsidR="00A0429C" w:rsidRPr="00A0429C">
        <w:rPr>
          <w:rFonts w:ascii="Arial" w:hAnsi="Arial" w:cs="Arial"/>
          <w:sz w:val="24"/>
          <w:szCs w:val="24"/>
        </w:rPr>
        <w:t>At a given time, the average inventory is the mean value (which may differ from the median value). Average inventory is calculated mathematically. The average value or number of products stored is estimated. (Bragg, 2017)</w:t>
      </w:r>
    </w:p>
    <w:p w14:paraId="3ECB9430" w14:textId="77777777" w:rsidR="005E5604" w:rsidRDefault="005E5604" w:rsidP="004904B8"/>
    <w:p w14:paraId="69D44152" w14:textId="6E991F25" w:rsidR="004135A9" w:rsidRPr="00A0429C" w:rsidRDefault="004135A9" w:rsidP="00A0429C">
      <w:pPr>
        <w:spacing w:line="360" w:lineRule="auto"/>
        <w:jc w:val="both"/>
        <w:rPr>
          <w:rFonts w:ascii="Arial" w:hAnsi="Arial" w:cs="Arial"/>
          <w:b/>
          <w:bCs/>
          <w:sz w:val="24"/>
          <w:szCs w:val="24"/>
        </w:rPr>
      </w:pPr>
      <w:r w:rsidRPr="00A0429C">
        <w:rPr>
          <w:rFonts w:ascii="Arial" w:hAnsi="Arial" w:cs="Arial"/>
          <w:b/>
          <w:bCs/>
          <w:sz w:val="24"/>
          <w:szCs w:val="24"/>
        </w:rPr>
        <w:t>Ford`s Inventory Turnover Ratio calculation:</w:t>
      </w:r>
    </w:p>
    <w:p w14:paraId="2FFA573B" w14:textId="77777777" w:rsidR="004135A9" w:rsidRDefault="004135A9" w:rsidP="004904B8"/>
    <w:p w14:paraId="0EF9F9C6" w14:textId="48716225" w:rsidR="004135A9" w:rsidRPr="004705A3" w:rsidRDefault="009E63E5" w:rsidP="004904B8">
      <w:pPr>
        <w:rPr>
          <w:rFonts w:eastAsiaTheme="minorEastAsia"/>
        </w:rPr>
      </w:pPr>
      <m:oMathPara>
        <m:oMath>
          <m:r>
            <w:rPr>
              <w:rFonts w:ascii="Cambria Math" w:hAnsi="Cambria Math"/>
            </w:rPr>
            <m:t>ITR=</m:t>
          </m:r>
          <m:f>
            <m:fPr>
              <m:ctrlPr>
                <w:rPr>
                  <w:rFonts w:ascii="Cambria Math" w:hAnsi="Cambria Math"/>
                  <w:i/>
                </w:rPr>
              </m:ctrlPr>
            </m:fPr>
            <m:num>
              <m:r>
                <m:rPr>
                  <m:sty m:val="bi"/>
                </m:rPr>
                <w:rPr>
                  <w:rFonts w:ascii="Cambria Math" w:hAnsi="Cambria Math"/>
                </w:rPr>
                <m:t>$150.55 B</m:t>
              </m:r>
              <m:r>
                <w:rPr>
                  <w:rFonts w:ascii="Cambria Math" w:hAnsi="Cambria Math"/>
                </w:rPr>
                <m:t xml:space="preserve"> </m:t>
              </m:r>
              <m:d>
                <m:dPr>
                  <m:ctrlPr>
                    <w:rPr>
                      <w:rFonts w:ascii="Cambria Math" w:hAnsi="Cambria Math"/>
                      <w:i/>
                    </w:rPr>
                  </m:ctrlPr>
                </m:dPr>
                <m:e>
                  <m:r>
                    <w:rPr>
                      <w:rFonts w:ascii="Cambria Math" w:hAnsi="Cambria Math"/>
                    </w:rPr>
                    <m:t>Cost of Goods Sold</m:t>
                  </m:r>
                </m:e>
              </m:d>
            </m:num>
            <m:den>
              <m:r>
                <m:rPr>
                  <m:sty m:val="bi"/>
                </m:rPr>
                <w:rPr>
                  <w:rFonts w:ascii="Cambria Math" w:hAnsi="Cambria Math"/>
                </w:rPr>
                <m:t>$15.65 B</m:t>
              </m:r>
              <m:r>
                <w:rPr>
                  <w:rFonts w:ascii="Cambria Math" w:hAnsi="Cambria Math"/>
                </w:rPr>
                <m:t xml:space="preserve"> (Avarage Inventory)</m:t>
              </m:r>
            </m:den>
          </m:f>
        </m:oMath>
      </m:oMathPara>
    </w:p>
    <w:p w14:paraId="0BF2BC40" w14:textId="1B55E402" w:rsidR="004705A3" w:rsidRDefault="004705A3" w:rsidP="00E664C0">
      <w:pPr>
        <w:jc w:val="center"/>
        <w:rPr>
          <w:rFonts w:eastAsiaTheme="minorEastAsia"/>
          <w:b/>
          <w:bCs/>
        </w:rPr>
      </w:pPr>
      <m:oMath>
        <m:r>
          <w:rPr>
            <w:rFonts w:ascii="Cambria Math" w:eastAsiaTheme="minorEastAsia" w:hAnsi="Cambria Math"/>
          </w:rPr>
          <m:t xml:space="preserve">ITR= </m:t>
        </m:r>
      </m:oMath>
      <w:r w:rsidR="00E664C0" w:rsidRPr="009471EB">
        <w:rPr>
          <w:rFonts w:eastAsiaTheme="minorEastAsia"/>
          <w:b/>
          <w:bCs/>
        </w:rPr>
        <w:t>9.6</w:t>
      </w:r>
      <w:r w:rsidR="00DD6122" w:rsidRPr="009471EB">
        <w:rPr>
          <w:rFonts w:eastAsiaTheme="minorEastAsia"/>
          <w:b/>
          <w:bCs/>
        </w:rPr>
        <w:t>2</w:t>
      </w:r>
    </w:p>
    <w:p w14:paraId="297AB04C" w14:textId="77777777" w:rsidR="00494A6D" w:rsidRPr="009E63E5" w:rsidRDefault="00494A6D" w:rsidP="00E664C0">
      <w:pPr>
        <w:jc w:val="center"/>
        <w:rPr>
          <w:rFonts w:eastAsiaTheme="minorEastAsia"/>
        </w:rPr>
      </w:pPr>
    </w:p>
    <w:p w14:paraId="3CE1D897" w14:textId="049FEB81" w:rsidR="009E63E5" w:rsidRPr="003B7D06" w:rsidRDefault="00F413EC" w:rsidP="003B7D06">
      <w:pPr>
        <w:spacing w:line="360" w:lineRule="auto"/>
        <w:jc w:val="both"/>
        <w:rPr>
          <w:rFonts w:ascii="Arial" w:eastAsiaTheme="minorEastAsia" w:hAnsi="Arial" w:cs="Arial"/>
          <w:sz w:val="24"/>
          <w:szCs w:val="24"/>
        </w:rPr>
      </w:pPr>
      <w:r w:rsidRPr="003B7D06">
        <w:rPr>
          <w:rFonts w:ascii="Arial" w:eastAsiaTheme="minorEastAsia" w:hAnsi="Arial" w:cs="Arial"/>
          <w:b/>
          <w:bCs/>
          <w:sz w:val="24"/>
          <w:szCs w:val="24"/>
        </w:rPr>
        <w:t>Discussion</w:t>
      </w:r>
      <w:r w:rsidR="004A6986" w:rsidRPr="003B7D06">
        <w:rPr>
          <w:rFonts w:ascii="Arial" w:eastAsiaTheme="minorEastAsia" w:hAnsi="Arial" w:cs="Arial"/>
          <w:b/>
          <w:bCs/>
          <w:sz w:val="24"/>
          <w:szCs w:val="24"/>
        </w:rPr>
        <w:t>:</w:t>
      </w:r>
      <w:r w:rsidR="001F7931" w:rsidRPr="003B7D06">
        <w:rPr>
          <w:rFonts w:ascii="Arial" w:hAnsi="Arial" w:cs="Arial"/>
          <w:sz w:val="24"/>
          <w:szCs w:val="24"/>
        </w:rPr>
        <w:t xml:space="preserve"> </w:t>
      </w:r>
      <w:r w:rsidR="007E20F8" w:rsidRPr="003B7D06">
        <w:rPr>
          <w:rFonts w:ascii="Arial" w:hAnsi="Arial" w:cs="Arial"/>
          <w:sz w:val="24"/>
          <w:szCs w:val="24"/>
        </w:rPr>
        <w:t>The optimal inventory turnover ratio for most sectors falls within the range of 5 to 10. This indicates that the company will sell and replenish its inventory around every one to two months.</w:t>
      </w:r>
      <w:r w:rsidR="003B7D06" w:rsidRPr="003B7D06">
        <w:rPr>
          <w:rFonts w:ascii="Arial" w:hAnsi="Arial" w:cs="Arial"/>
          <w:sz w:val="24"/>
          <w:szCs w:val="24"/>
        </w:rPr>
        <w:t xml:space="preserve"> (Bragg, 2017)</w:t>
      </w:r>
    </w:p>
    <w:p w14:paraId="589CA8F4" w14:textId="77777777" w:rsidR="00DB390C" w:rsidRDefault="00DB390C" w:rsidP="004904B8">
      <w:pPr>
        <w:rPr>
          <w:rFonts w:eastAsiaTheme="minorEastAsia"/>
        </w:rPr>
      </w:pPr>
    </w:p>
    <w:p w14:paraId="5638DAE6" w14:textId="77777777" w:rsidR="003B7D06" w:rsidRDefault="003B7D06" w:rsidP="004904B8">
      <w:pPr>
        <w:rPr>
          <w:rFonts w:eastAsiaTheme="minorEastAsia"/>
        </w:rPr>
      </w:pPr>
    </w:p>
    <w:p w14:paraId="6694364F" w14:textId="693CE1DB" w:rsidR="00DB390C" w:rsidRDefault="00DB390C" w:rsidP="00DB390C">
      <w:pPr>
        <w:pStyle w:val="Heading2"/>
        <w:numPr>
          <w:ilvl w:val="0"/>
          <w:numId w:val="4"/>
        </w:numPr>
        <w:rPr>
          <w:rFonts w:eastAsiaTheme="minorEastAsia"/>
        </w:rPr>
      </w:pPr>
      <w:bookmarkStart w:id="19" w:name="_Toc164624835"/>
      <w:r w:rsidRPr="00DB390C">
        <w:rPr>
          <w:rFonts w:eastAsiaTheme="minorEastAsia"/>
        </w:rPr>
        <w:t xml:space="preserve">Critically evaluate the </w:t>
      </w:r>
      <w:r>
        <w:rPr>
          <w:rFonts w:eastAsiaTheme="minorEastAsia"/>
        </w:rPr>
        <w:t xml:space="preserve">calculated </w:t>
      </w:r>
      <w:r w:rsidRPr="00DB390C">
        <w:rPr>
          <w:rFonts w:eastAsiaTheme="minorEastAsia"/>
        </w:rPr>
        <w:t>ratios</w:t>
      </w:r>
      <w:bookmarkEnd w:id="19"/>
    </w:p>
    <w:p w14:paraId="70AD4540" w14:textId="77777777" w:rsidR="008B1708" w:rsidRDefault="008B1708" w:rsidP="008B1708"/>
    <w:p w14:paraId="2CA21157" w14:textId="134592F5" w:rsidR="008B1708" w:rsidRPr="00132B30" w:rsidRDefault="00132B30" w:rsidP="00132B30">
      <w:pPr>
        <w:spacing w:line="360" w:lineRule="auto"/>
        <w:jc w:val="both"/>
        <w:rPr>
          <w:rFonts w:ascii="Arial" w:hAnsi="Arial" w:cs="Arial"/>
          <w:sz w:val="24"/>
          <w:szCs w:val="24"/>
        </w:rPr>
      </w:pPr>
      <w:r w:rsidRPr="00132B30">
        <w:rPr>
          <w:rFonts w:ascii="Arial" w:hAnsi="Arial" w:cs="Arial"/>
          <w:sz w:val="24"/>
          <w:szCs w:val="24"/>
        </w:rPr>
        <w:t xml:space="preserve">Ratios are highly valuable instruments that may be </w:t>
      </w:r>
      <w:r w:rsidR="00857180" w:rsidRPr="00132B30">
        <w:rPr>
          <w:rFonts w:ascii="Arial" w:hAnsi="Arial" w:cs="Arial"/>
          <w:sz w:val="24"/>
          <w:szCs w:val="24"/>
        </w:rPr>
        <w:t>applied</w:t>
      </w:r>
      <w:r w:rsidRPr="00132B30">
        <w:rPr>
          <w:rFonts w:ascii="Arial" w:hAnsi="Arial" w:cs="Arial"/>
          <w:sz w:val="24"/>
          <w:szCs w:val="24"/>
        </w:rPr>
        <w:t xml:space="preserve"> to </w:t>
      </w:r>
      <w:r w:rsidR="00857180" w:rsidRPr="00132B30">
        <w:rPr>
          <w:rFonts w:ascii="Arial" w:hAnsi="Arial" w:cs="Arial"/>
          <w:sz w:val="24"/>
          <w:szCs w:val="24"/>
        </w:rPr>
        <w:t>review</w:t>
      </w:r>
      <w:r w:rsidRPr="00132B30">
        <w:rPr>
          <w:rFonts w:ascii="Arial" w:hAnsi="Arial" w:cs="Arial"/>
          <w:sz w:val="24"/>
          <w:szCs w:val="24"/>
        </w:rPr>
        <w:t xml:space="preserve"> the </w:t>
      </w:r>
      <w:r w:rsidR="00857180" w:rsidRPr="00132B30">
        <w:rPr>
          <w:rFonts w:ascii="Arial" w:hAnsi="Arial" w:cs="Arial"/>
          <w:sz w:val="24"/>
          <w:szCs w:val="24"/>
        </w:rPr>
        <w:t>fiscal</w:t>
      </w:r>
      <w:r w:rsidRPr="00132B30">
        <w:rPr>
          <w:rFonts w:ascii="Arial" w:hAnsi="Arial" w:cs="Arial"/>
          <w:sz w:val="24"/>
          <w:szCs w:val="24"/>
        </w:rPr>
        <w:t xml:space="preserve"> performance of a </w:t>
      </w:r>
      <w:r w:rsidR="003B16F6" w:rsidRPr="00132B30">
        <w:rPr>
          <w:rFonts w:ascii="Arial" w:hAnsi="Arial" w:cs="Arial"/>
          <w:sz w:val="24"/>
          <w:szCs w:val="24"/>
        </w:rPr>
        <w:t>corporation</w:t>
      </w:r>
      <w:r w:rsidRPr="00132B30">
        <w:rPr>
          <w:rFonts w:ascii="Arial" w:hAnsi="Arial" w:cs="Arial"/>
          <w:sz w:val="24"/>
          <w:szCs w:val="24"/>
        </w:rPr>
        <w:t xml:space="preserve"> over a specific timeframe. The performance ratio offers valuable information about a bank's </w:t>
      </w:r>
      <w:r w:rsidR="003B16F6" w:rsidRPr="00132B30">
        <w:rPr>
          <w:rFonts w:ascii="Arial" w:hAnsi="Arial" w:cs="Arial"/>
          <w:sz w:val="24"/>
          <w:szCs w:val="24"/>
        </w:rPr>
        <w:t>effectiveness</w:t>
      </w:r>
      <w:r w:rsidRPr="00132B30">
        <w:rPr>
          <w:rFonts w:ascii="Arial" w:hAnsi="Arial" w:cs="Arial"/>
          <w:sz w:val="24"/>
          <w:szCs w:val="24"/>
        </w:rPr>
        <w:t xml:space="preserve">, return on investment, </w:t>
      </w:r>
      <w:r w:rsidR="003B16F6" w:rsidRPr="00132B30">
        <w:rPr>
          <w:rFonts w:ascii="Arial" w:hAnsi="Arial" w:cs="Arial"/>
          <w:sz w:val="24"/>
          <w:szCs w:val="24"/>
        </w:rPr>
        <w:t>assets</w:t>
      </w:r>
      <w:r w:rsidRPr="00132B30">
        <w:rPr>
          <w:rFonts w:ascii="Arial" w:hAnsi="Arial" w:cs="Arial"/>
          <w:sz w:val="24"/>
          <w:szCs w:val="24"/>
        </w:rPr>
        <w:t xml:space="preserve"> </w:t>
      </w:r>
      <w:r w:rsidR="003B16F6" w:rsidRPr="00132B30">
        <w:rPr>
          <w:rFonts w:ascii="Arial" w:hAnsi="Arial" w:cs="Arial"/>
          <w:sz w:val="24"/>
          <w:szCs w:val="24"/>
        </w:rPr>
        <w:t>capability</w:t>
      </w:r>
      <w:r w:rsidRPr="00132B30">
        <w:rPr>
          <w:rFonts w:ascii="Arial" w:hAnsi="Arial" w:cs="Arial"/>
          <w:sz w:val="24"/>
          <w:szCs w:val="24"/>
        </w:rPr>
        <w:t xml:space="preserve">, </w:t>
      </w:r>
      <w:r w:rsidR="00FE2ED0" w:rsidRPr="00132B30">
        <w:rPr>
          <w:rFonts w:ascii="Arial" w:hAnsi="Arial" w:cs="Arial"/>
          <w:sz w:val="24"/>
          <w:szCs w:val="24"/>
        </w:rPr>
        <w:t>then</w:t>
      </w:r>
      <w:r w:rsidRPr="00132B30">
        <w:rPr>
          <w:rFonts w:ascii="Arial" w:hAnsi="Arial" w:cs="Arial"/>
          <w:sz w:val="24"/>
          <w:szCs w:val="24"/>
        </w:rPr>
        <w:t xml:space="preserve"> liquidity. </w:t>
      </w:r>
      <w:r w:rsidR="00A76B5B" w:rsidRPr="00132B30">
        <w:rPr>
          <w:rFonts w:ascii="Arial" w:hAnsi="Arial" w:cs="Arial"/>
          <w:sz w:val="24"/>
          <w:szCs w:val="24"/>
        </w:rPr>
        <w:t xml:space="preserve"> (Schindeldecker, 2017)</w:t>
      </w:r>
    </w:p>
    <w:p w14:paraId="7185722A" w14:textId="77777777" w:rsidR="00B45E39" w:rsidRPr="00B45E39" w:rsidRDefault="00B45E39" w:rsidP="00B45E39"/>
    <w:p w14:paraId="34EA981F" w14:textId="5E8005C1" w:rsidR="00DB390C" w:rsidRPr="00723E48" w:rsidRDefault="00885BAC" w:rsidP="00723E48">
      <w:pPr>
        <w:pStyle w:val="Subtitle"/>
        <w:rPr>
          <w:color w:val="45B0E1" w:themeColor="accent1" w:themeTint="99"/>
        </w:rPr>
      </w:pPr>
      <w:r w:rsidRPr="00723E48">
        <w:rPr>
          <w:color w:val="45B0E1" w:themeColor="accent1" w:themeTint="99"/>
        </w:rPr>
        <w:t>Gross Margin</w:t>
      </w:r>
    </w:p>
    <w:p w14:paraId="5A62FC92" w14:textId="77777777" w:rsidR="00EE4BCF" w:rsidRDefault="00EE4BCF" w:rsidP="00EE4BCF"/>
    <w:p w14:paraId="7BBAC57C" w14:textId="48778E8C" w:rsidR="00196F20" w:rsidRPr="00723E48" w:rsidRDefault="00EE4BCF" w:rsidP="00723E48">
      <w:pPr>
        <w:spacing w:line="360" w:lineRule="auto"/>
        <w:jc w:val="both"/>
        <w:rPr>
          <w:rFonts w:ascii="Arial" w:hAnsi="Arial" w:cs="Arial"/>
          <w:sz w:val="24"/>
          <w:szCs w:val="24"/>
        </w:rPr>
      </w:pPr>
      <w:r w:rsidRPr="00723E48">
        <w:rPr>
          <w:rFonts w:ascii="Arial" w:hAnsi="Arial" w:cs="Arial"/>
          <w:sz w:val="24"/>
          <w:szCs w:val="24"/>
        </w:rPr>
        <w:t>According to</w:t>
      </w:r>
      <w:r w:rsidR="00196F20" w:rsidRPr="00723E48">
        <w:rPr>
          <w:rFonts w:ascii="Arial" w:hAnsi="Arial" w:cs="Arial"/>
          <w:sz w:val="24"/>
          <w:szCs w:val="24"/>
        </w:rPr>
        <w:t xml:space="preserve"> </w:t>
      </w:r>
      <w:proofErr w:type="spellStart"/>
      <w:r w:rsidR="00196F20" w:rsidRPr="00723E48">
        <w:rPr>
          <w:rFonts w:ascii="Arial" w:hAnsi="Arial" w:cs="Arial"/>
          <w:sz w:val="24"/>
          <w:szCs w:val="24"/>
        </w:rPr>
        <w:t>Gowthorpe</w:t>
      </w:r>
      <w:proofErr w:type="spellEnd"/>
      <w:r w:rsidR="00196F20" w:rsidRPr="00723E48">
        <w:rPr>
          <w:rFonts w:ascii="Arial" w:hAnsi="Arial" w:cs="Arial"/>
          <w:sz w:val="24"/>
          <w:szCs w:val="24"/>
        </w:rPr>
        <w:t xml:space="preserve"> (2020)</w:t>
      </w:r>
      <w:r w:rsidRPr="00723E48">
        <w:rPr>
          <w:rFonts w:ascii="Arial" w:hAnsi="Arial" w:cs="Arial"/>
          <w:sz w:val="24"/>
          <w:szCs w:val="24"/>
        </w:rPr>
        <w:t xml:space="preserve"> </w:t>
      </w:r>
      <w:r w:rsidR="00C008DF" w:rsidRPr="00723E48">
        <w:rPr>
          <w:rFonts w:ascii="Arial" w:hAnsi="Arial" w:cs="Arial"/>
          <w:sz w:val="24"/>
          <w:szCs w:val="24"/>
        </w:rPr>
        <w:t xml:space="preserve">Financial Analysis determines a firm's key operating and financial features from accounting data and financial statements. This research examines the firm's financial records and reports to assess management efficiency </w:t>
      </w:r>
      <w:r w:rsidR="00C008DF" w:rsidRPr="00723E48">
        <w:rPr>
          <w:rFonts w:ascii="Arial" w:hAnsi="Arial" w:cs="Arial"/>
          <w:sz w:val="24"/>
          <w:szCs w:val="24"/>
        </w:rPr>
        <w:lastRenderedPageBreak/>
        <w:t>and performance.</w:t>
      </w:r>
      <w:r w:rsidR="00C54005">
        <w:rPr>
          <w:rFonts w:ascii="Arial" w:hAnsi="Arial" w:cs="Arial"/>
          <w:sz w:val="24"/>
          <w:szCs w:val="24"/>
        </w:rPr>
        <w:t xml:space="preserve"> </w:t>
      </w:r>
      <w:r w:rsidR="00C54005" w:rsidRPr="00C54005">
        <w:rPr>
          <w:rFonts w:ascii="Arial" w:hAnsi="Arial" w:cs="Arial"/>
          <w:sz w:val="24"/>
          <w:szCs w:val="24"/>
        </w:rPr>
        <w:t xml:space="preserve">Financial statements provide performance management </w:t>
      </w:r>
      <w:r w:rsidR="00862427" w:rsidRPr="00C54005">
        <w:rPr>
          <w:rFonts w:ascii="Arial" w:hAnsi="Arial" w:cs="Arial"/>
          <w:sz w:val="24"/>
          <w:szCs w:val="24"/>
        </w:rPr>
        <w:t>data</w:t>
      </w:r>
      <w:r w:rsidR="00862427">
        <w:rPr>
          <w:rFonts w:ascii="Arial" w:hAnsi="Arial" w:cs="Arial"/>
          <w:sz w:val="24"/>
          <w:szCs w:val="24"/>
        </w:rPr>
        <w:t xml:space="preserve"> and</w:t>
      </w:r>
      <w:r w:rsidR="00C54005">
        <w:rPr>
          <w:rFonts w:ascii="Arial" w:hAnsi="Arial" w:cs="Arial"/>
          <w:sz w:val="24"/>
          <w:szCs w:val="24"/>
        </w:rPr>
        <w:t xml:space="preserve"> </w:t>
      </w:r>
      <w:r w:rsidR="00C54005" w:rsidRPr="00C54005">
        <w:rPr>
          <w:rFonts w:ascii="Arial" w:hAnsi="Arial" w:cs="Arial"/>
          <w:sz w:val="24"/>
          <w:szCs w:val="24"/>
        </w:rPr>
        <w:t>must be analysed to determine the company's strengths and flaws.</w:t>
      </w:r>
    </w:p>
    <w:p w14:paraId="14709A6A" w14:textId="3EBF7E47" w:rsidR="00862427" w:rsidRPr="00862427" w:rsidRDefault="00862427" w:rsidP="00862427">
      <w:pPr>
        <w:spacing w:line="360" w:lineRule="auto"/>
        <w:jc w:val="both"/>
        <w:rPr>
          <w:rFonts w:ascii="Arial" w:hAnsi="Arial" w:cs="Arial"/>
          <w:sz w:val="24"/>
          <w:szCs w:val="24"/>
        </w:rPr>
      </w:pPr>
      <w:r w:rsidRPr="00862427">
        <w:rPr>
          <w:rFonts w:ascii="Arial" w:hAnsi="Arial" w:cs="Arial"/>
          <w:sz w:val="24"/>
          <w:szCs w:val="24"/>
        </w:rPr>
        <w:t xml:space="preserve">The gross margin is a fundamental measure used to evaluate the profitability of a </w:t>
      </w:r>
      <w:r w:rsidR="00FE2ED0" w:rsidRPr="00862427">
        <w:rPr>
          <w:rFonts w:ascii="Arial" w:hAnsi="Arial" w:cs="Arial"/>
          <w:sz w:val="24"/>
          <w:szCs w:val="24"/>
        </w:rPr>
        <w:t>corps'</w:t>
      </w:r>
      <w:r w:rsidRPr="00862427">
        <w:rPr>
          <w:rFonts w:ascii="Arial" w:hAnsi="Arial" w:cs="Arial"/>
          <w:sz w:val="24"/>
          <w:szCs w:val="24"/>
        </w:rPr>
        <w:t xml:space="preserve"> primary business activities. Although a higher gross margin often signifies improved profitability, it is crucial to </w:t>
      </w:r>
      <w:proofErr w:type="gramStart"/>
      <w:r w:rsidRPr="00862427">
        <w:rPr>
          <w:rFonts w:ascii="Arial" w:hAnsi="Arial" w:cs="Arial"/>
          <w:sz w:val="24"/>
          <w:szCs w:val="24"/>
        </w:rPr>
        <w:t>take into account</w:t>
      </w:r>
      <w:proofErr w:type="gramEnd"/>
      <w:r w:rsidRPr="00862427">
        <w:rPr>
          <w:rFonts w:ascii="Arial" w:hAnsi="Arial" w:cs="Arial"/>
          <w:sz w:val="24"/>
          <w:szCs w:val="24"/>
        </w:rPr>
        <w:t xml:space="preserve"> the industry's customary margins and the company's cost structure.</w:t>
      </w:r>
      <w:r>
        <w:rPr>
          <w:rFonts w:ascii="Arial" w:hAnsi="Arial" w:cs="Arial"/>
          <w:sz w:val="24"/>
          <w:szCs w:val="24"/>
        </w:rPr>
        <w:t xml:space="preserve"> </w:t>
      </w:r>
      <w:bookmarkStart w:id="20" w:name="_Hlk164604537"/>
      <w:r w:rsidR="00693A59" w:rsidRPr="00693A59">
        <w:rPr>
          <w:rFonts w:ascii="Arial" w:hAnsi="Arial" w:cs="Arial"/>
          <w:sz w:val="24"/>
          <w:szCs w:val="24"/>
        </w:rPr>
        <w:t>(Tracy and Tracy, 2004)</w:t>
      </w:r>
      <w:bookmarkEnd w:id="20"/>
    </w:p>
    <w:p w14:paraId="52BCE183" w14:textId="14C698C9" w:rsidR="001774B0" w:rsidRPr="001774B0" w:rsidRDefault="001774B0" w:rsidP="001774B0">
      <w:pPr>
        <w:spacing w:line="360" w:lineRule="auto"/>
        <w:jc w:val="both"/>
        <w:rPr>
          <w:rFonts w:ascii="Arial" w:hAnsi="Arial" w:cs="Arial"/>
          <w:sz w:val="24"/>
          <w:szCs w:val="24"/>
        </w:rPr>
      </w:pPr>
      <w:r w:rsidRPr="001774B0">
        <w:rPr>
          <w:rFonts w:ascii="Arial" w:hAnsi="Arial" w:cs="Arial"/>
          <w:sz w:val="24"/>
          <w:szCs w:val="24"/>
        </w:rPr>
        <w:t xml:space="preserve">The gross margin of Ford, which stands at 14.55%, offers valuable information about the profitability of the company's primary activities, particularly the production and sale of vehicles. A gross margin of 14.55% for Ford means that for every dollar the firm earns from selling its automobiles, it keeps $0.145 after subtracting the direct costs related to making those vehicles, such as materials, labour, and manufacturing overhead. The margin is a crucial metric for assessing profitability and operational efficiency, indicating the level of effectiveness in Ford's manufacturing processes and cost management. </w:t>
      </w:r>
      <w:r w:rsidR="00BE721F">
        <w:rPr>
          <w:rFonts w:ascii="Arial" w:hAnsi="Arial" w:cs="Arial"/>
          <w:sz w:val="24"/>
          <w:szCs w:val="24"/>
        </w:rPr>
        <w:t xml:space="preserve">According to </w:t>
      </w:r>
      <w:r w:rsidR="00BE721F" w:rsidRPr="00BE721F">
        <w:rPr>
          <w:rFonts w:ascii="Arial" w:hAnsi="Arial" w:cs="Arial"/>
          <w:sz w:val="24"/>
          <w:szCs w:val="24"/>
        </w:rPr>
        <w:t xml:space="preserve">Tracy and Tracy </w:t>
      </w:r>
      <w:r w:rsidR="00BE721F">
        <w:rPr>
          <w:rFonts w:ascii="Arial" w:hAnsi="Arial" w:cs="Arial"/>
          <w:sz w:val="24"/>
          <w:szCs w:val="24"/>
        </w:rPr>
        <w:t>(</w:t>
      </w:r>
      <w:r w:rsidR="00BE721F" w:rsidRPr="00BE721F">
        <w:rPr>
          <w:rFonts w:ascii="Arial" w:hAnsi="Arial" w:cs="Arial"/>
          <w:sz w:val="24"/>
          <w:szCs w:val="24"/>
        </w:rPr>
        <w:t>2004)</w:t>
      </w:r>
      <w:r w:rsidR="00BE721F">
        <w:rPr>
          <w:rFonts w:ascii="Arial" w:hAnsi="Arial" w:cs="Arial"/>
          <w:sz w:val="24"/>
          <w:szCs w:val="24"/>
        </w:rPr>
        <w:t xml:space="preserve"> t</w:t>
      </w:r>
      <w:r w:rsidRPr="001774B0">
        <w:rPr>
          <w:rFonts w:ascii="Arial" w:hAnsi="Arial" w:cs="Arial"/>
          <w:sz w:val="24"/>
          <w:szCs w:val="24"/>
        </w:rPr>
        <w:t xml:space="preserve">his metric offers valuable information regarding the </w:t>
      </w:r>
      <w:r w:rsidR="002B3AB8" w:rsidRPr="001774B0">
        <w:rPr>
          <w:rFonts w:ascii="Arial" w:hAnsi="Arial" w:cs="Arial"/>
          <w:sz w:val="24"/>
          <w:szCs w:val="24"/>
        </w:rPr>
        <w:t>corporation's</w:t>
      </w:r>
      <w:r w:rsidRPr="001774B0">
        <w:rPr>
          <w:rFonts w:ascii="Arial" w:hAnsi="Arial" w:cs="Arial"/>
          <w:sz w:val="24"/>
          <w:szCs w:val="24"/>
        </w:rPr>
        <w:t xml:space="preserve"> capacity to earn profits from its primary business operations, excluding additional expenses such as research and development, marketing, and administrative costs. Ford's gross margin of 14.55% </w:t>
      </w:r>
      <w:r w:rsidR="00703C6F" w:rsidRPr="001774B0">
        <w:rPr>
          <w:rFonts w:ascii="Arial" w:hAnsi="Arial" w:cs="Arial"/>
          <w:sz w:val="24"/>
          <w:szCs w:val="24"/>
        </w:rPr>
        <w:t>signifies</w:t>
      </w:r>
      <w:r w:rsidRPr="001774B0">
        <w:rPr>
          <w:rFonts w:ascii="Arial" w:hAnsi="Arial" w:cs="Arial"/>
          <w:sz w:val="24"/>
          <w:szCs w:val="24"/>
        </w:rPr>
        <w:t xml:space="preserve"> that the </w:t>
      </w:r>
      <w:r w:rsidR="00703C6F" w:rsidRPr="001774B0">
        <w:rPr>
          <w:rFonts w:ascii="Arial" w:hAnsi="Arial" w:cs="Arial"/>
          <w:sz w:val="24"/>
          <w:szCs w:val="24"/>
        </w:rPr>
        <w:t>firm</w:t>
      </w:r>
      <w:r w:rsidRPr="001774B0">
        <w:rPr>
          <w:rFonts w:ascii="Arial" w:hAnsi="Arial" w:cs="Arial"/>
          <w:sz w:val="24"/>
          <w:szCs w:val="24"/>
        </w:rPr>
        <w:t xml:space="preserve"> is successfully managing its revenue and cost structure, which positively impacts its overall financial performance and competitiveness in the automotive market.</w:t>
      </w:r>
    </w:p>
    <w:p w14:paraId="218B3561" w14:textId="1B0A0034" w:rsidR="00885BAC" w:rsidRDefault="00C5483A" w:rsidP="00BE721F">
      <w:pPr>
        <w:spacing w:line="360" w:lineRule="auto"/>
        <w:jc w:val="both"/>
        <w:rPr>
          <w:rFonts w:ascii="Arial" w:hAnsi="Arial" w:cs="Arial"/>
          <w:sz w:val="24"/>
          <w:szCs w:val="24"/>
        </w:rPr>
      </w:pPr>
      <w:r w:rsidRPr="00BE721F">
        <w:rPr>
          <w:rFonts w:ascii="Arial" w:hAnsi="Arial" w:cs="Arial"/>
          <w:sz w:val="24"/>
          <w:szCs w:val="24"/>
        </w:rPr>
        <w:t xml:space="preserve">Gross margin can be influenced by several factors, such as pricing strategies, production efficiency, material costs, personnel expenses, and economies of scale. To accurately evaluate Ford's entire financial performance, it is essential to conduct a thorough study that </w:t>
      </w:r>
      <w:proofErr w:type="gramStart"/>
      <w:r w:rsidRPr="00BE721F">
        <w:rPr>
          <w:rFonts w:ascii="Arial" w:hAnsi="Arial" w:cs="Arial"/>
          <w:sz w:val="24"/>
          <w:szCs w:val="24"/>
        </w:rPr>
        <w:t>takes into account</w:t>
      </w:r>
      <w:proofErr w:type="gramEnd"/>
      <w:r w:rsidRPr="00BE721F">
        <w:rPr>
          <w:rFonts w:ascii="Arial" w:hAnsi="Arial" w:cs="Arial"/>
          <w:sz w:val="24"/>
          <w:szCs w:val="24"/>
        </w:rPr>
        <w:t xml:space="preserve"> industry benchmarks, historical patterns, and competitive dynamics, even though a positive margin suggests profitability. (Tracy and Tracy, 2004)</w:t>
      </w:r>
    </w:p>
    <w:p w14:paraId="465C61BC" w14:textId="77777777" w:rsidR="00BE721F" w:rsidRPr="00BE721F" w:rsidRDefault="00BE721F" w:rsidP="00BE721F">
      <w:pPr>
        <w:spacing w:line="360" w:lineRule="auto"/>
        <w:jc w:val="both"/>
        <w:rPr>
          <w:rFonts w:ascii="Arial" w:hAnsi="Arial" w:cs="Arial"/>
          <w:sz w:val="24"/>
          <w:szCs w:val="24"/>
        </w:rPr>
      </w:pPr>
    </w:p>
    <w:p w14:paraId="7847D6AF" w14:textId="48C045E2" w:rsidR="0008185D" w:rsidRPr="00BE721F" w:rsidRDefault="00885BAC" w:rsidP="00BE721F">
      <w:pPr>
        <w:pStyle w:val="Subtitle"/>
        <w:rPr>
          <w:color w:val="45B0E1" w:themeColor="accent1" w:themeTint="99"/>
        </w:rPr>
      </w:pPr>
      <w:r w:rsidRPr="00BE721F">
        <w:rPr>
          <w:color w:val="45B0E1" w:themeColor="accent1" w:themeTint="99"/>
        </w:rPr>
        <w:t>Current Ratio</w:t>
      </w:r>
    </w:p>
    <w:p w14:paraId="3D622D28" w14:textId="77777777" w:rsidR="008B1708" w:rsidRPr="008B1708" w:rsidRDefault="008B1708" w:rsidP="008B1708"/>
    <w:p w14:paraId="7A0EF6A1" w14:textId="7431CCC4" w:rsidR="00263DCB" w:rsidRPr="00F76635" w:rsidRDefault="00F76635" w:rsidP="00F76635">
      <w:pPr>
        <w:spacing w:line="360" w:lineRule="auto"/>
        <w:jc w:val="both"/>
        <w:rPr>
          <w:rFonts w:ascii="Arial" w:hAnsi="Arial" w:cs="Arial"/>
          <w:sz w:val="24"/>
          <w:szCs w:val="24"/>
        </w:rPr>
      </w:pPr>
      <w:r w:rsidRPr="00F76635">
        <w:rPr>
          <w:rFonts w:ascii="Arial" w:hAnsi="Arial" w:cs="Arial"/>
          <w:sz w:val="24"/>
          <w:szCs w:val="24"/>
        </w:rPr>
        <w:t xml:space="preserve">The corporation needs short-term liquidity and long-term earnings. Stockholders care about the firm's stock policies as well as liquidity and profitability. </w:t>
      </w:r>
      <w:r w:rsidR="00F4255A" w:rsidRPr="00F76635">
        <w:rPr>
          <w:rFonts w:ascii="Arial" w:hAnsi="Arial" w:cs="Arial"/>
          <w:sz w:val="24"/>
          <w:szCs w:val="24"/>
        </w:rPr>
        <w:t>Corporation</w:t>
      </w:r>
      <w:r w:rsidRPr="00F76635">
        <w:rPr>
          <w:rFonts w:ascii="Arial" w:hAnsi="Arial" w:cs="Arial"/>
          <w:sz w:val="24"/>
          <w:szCs w:val="24"/>
        </w:rPr>
        <w:t xml:space="preserve"> could </w:t>
      </w:r>
      <w:r w:rsidRPr="00F76635">
        <w:rPr>
          <w:rFonts w:ascii="Arial" w:hAnsi="Arial" w:cs="Arial"/>
          <w:sz w:val="24"/>
          <w:szCs w:val="24"/>
        </w:rPr>
        <w:lastRenderedPageBreak/>
        <w:t xml:space="preserve">not pay cash dividends without liquidity. The </w:t>
      </w:r>
      <w:r w:rsidR="00D345ED" w:rsidRPr="00F76635">
        <w:rPr>
          <w:rFonts w:ascii="Arial" w:hAnsi="Arial" w:cs="Arial"/>
          <w:sz w:val="24"/>
          <w:szCs w:val="24"/>
        </w:rPr>
        <w:t>corporation</w:t>
      </w:r>
      <w:r w:rsidRPr="00F76635">
        <w:rPr>
          <w:rFonts w:ascii="Arial" w:hAnsi="Arial" w:cs="Arial"/>
          <w:sz w:val="24"/>
          <w:szCs w:val="24"/>
        </w:rPr>
        <w:t xml:space="preserve"> cannot declare dividends without profitability. Poor policies would depress common stock prices. </w:t>
      </w:r>
      <w:r w:rsidR="00AA7C75" w:rsidRPr="00AA7C75">
        <w:rPr>
          <w:rFonts w:ascii="Arial" w:hAnsi="Arial" w:cs="Arial"/>
          <w:sz w:val="24"/>
          <w:szCs w:val="24"/>
        </w:rPr>
        <w:t xml:space="preserve">A current ratio of 1.2 indicates that Ford's current assets exceed its current liabilities by a factor of 1.2. The current ratio is a metric that assesses a </w:t>
      </w:r>
      <w:r w:rsidR="00D345ED" w:rsidRPr="00AA7C75">
        <w:rPr>
          <w:rFonts w:ascii="Arial" w:hAnsi="Arial" w:cs="Arial"/>
          <w:sz w:val="24"/>
          <w:szCs w:val="24"/>
        </w:rPr>
        <w:t>corps'</w:t>
      </w:r>
      <w:r w:rsidR="00AA7C75" w:rsidRPr="00AA7C75">
        <w:rPr>
          <w:rFonts w:ascii="Arial" w:hAnsi="Arial" w:cs="Arial"/>
          <w:sz w:val="24"/>
          <w:szCs w:val="24"/>
        </w:rPr>
        <w:t xml:space="preserve"> immediate financial solvency by gauging its capacity to settle short-term liabilities using short-term assets.</w:t>
      </w:r>
      <w:r w:rsidR="00EB38E0" w:rsidRPr="00F76635">
        <w:rPr>
          <w:rFonts w:ascii="Arial" w:hAnsi="Arial" w:cs="Arial"/>
          <w:sz w:val="24"/>
          <w:szCs w:val="24"/>
        </w:rPr>
        <w:t xml:space="preserve"> </w:t>
      </w:r>
      <w:bookmarkStart w:id="21" w:name="_Hlk164609889"/>
      <w:r w:rsidR="00964D2A" w:rsidRPr="00F76635">
        <w:rPr>
          <w:rFonts w:ascii="Arial" w:hAnsi="Arial" w:cs="Arial"/>
          <w:sz w:val="24"/>
          <w:szCs w:val="24"/>
        </w:rPr>
        <w:t>(Böhm, 2008)</w:t>
      </w:r>
      <w:bookmarkEnd w:id="21"/>
    </w:p>
    <w:p w14:paraId="38CA1BE8" w14:textId="12DB20D6" w:rsidR="002241FE" w:rsidRPr="002241FE" w:rsidRDefault="002241FE" w:rsidP="002241FE">
      <w:pPr>
        <w:spacing w:line="360" w:lineRule="auto"/>
        <w:jc w:val="both"/>
        <w:rPr>
          <w:rFonts w:ascii="Arial" w:hAnsi="Arial" w:cs="Arial"/>
          <w:sz w:val="24"/>
          <w:szCs w:val="24"/>
        </w:rPr>
      </w:pPr>
      <w:r w:rsidRPr="002241FE">
        <w:rPr>
          <w:rFonts w:ascii="Arial" w:hAnsi="Arial" w:cs="Arial"/>
          <w:sz w:val="24"/>
          <w:szCs w:val="24"/>
        </w:rPr>
        <w:t>With a current ratio of 1.2, Ford demonstrates a robust liquidity position, indicating that the firm possesses a greater amount of current assets compared to its current obligations. Typically, a current ratio greater than 1 signifies that a corporation is likely to be able to easily fulfil its short-term financial obligations. Nevertheless, an excessively high ratio could indicate that the organisation is not effectively using its assets.</w:t>
      </w:r>
      <w:r w:rsidR="00BA2355" w:rsidRPr="00BA2355">
        <w:t xml:space="preserve"> </w:t>
      </w:r>
      <w:r w:rsidR="00BA2355" w:rsidRPr="00BA2355">
        <w:rPr>
          <w:rFonts w:ascii="Arial" w:hAnsi="Arial" w:cs="Arial"/>
          <w:sz w:val="24"/>
          <w:szCs w:val="24"/>
        </w:rPr>
        <w:t xml:space="preserve">It is crucial to assess Ford's present ratio in relation to industry benchmarks and its past performance </w:t>
      </w:r>
      <w:proofErr w:type="gramStart"/>
      <w:r w:rsidR="00BA2355" w:rsidRPr="00BA2355">
        <w:rPr>
          <w:rFonts w:ascii="Arial" w:hAnsi="Arial" w:cs="Arial"/>
          <w:sz w:val="24"/>
          <w:szCs w:val="24"/>
        </w:rPr>
        <w:t>in order to</w:t>
      </w:r>
      <w:proofErr w:type="gramEnd"/>
      <w:r w:rsidR="00BA2355" w:rsidRPr="00BA2355">
        <w:rPr>
          <w:rFonts w:ascii="Arial" w:hAnsi="Arial" w:cs="Arial"/>
          <w:sz w:val="24"/>
          <w:szCs w:val="24"/>
        </w:rPr>
        <w:t xml:space="preserve"> obtain a more comprehensive comprehension of its </w:t>
      </w:r>
      <w:r w:rsidR="006825AA" w:rsidRPr="00BA2355">
        <w:rPr>
          <w:rFonts w:ascii="Arial" w:hAnsi="Arial" w:cs="Arial"/>
          <w:sz w:val="24"/>
          <w:szCs w:val="24"/>
        </w:rPr>
        <w:t>monetary</w:t>
      </w:r>
      <w:r w:rsidR="00BA2355" w:rsidRPr="00BA2355">
        <w:rPr>
          <w:rFonts w:ascii="Arial" w:hAnsi="Arial" w:cs="Arial"/>
          <w:sz w:val="24"/>
          <w:szCs w:val="24"/>
        </w:rPr>
        <w:t xml:space="preserve"> well-being. Furthermore, examining the patterns in the current ratio over </w:t>
      </w:r>
      <w:proofErr w:type="gramStart"/>
      <w:r w:rsidR="00BA2355" w:rsidRPr="00BA2355">
        <w:rPr>
          <w:rFonts w:ascii="Arial" w:hAnsi="Arial" w:cs="Arial"/>
          <w:sz w:val="24"/>
          <w:szCs w:val="24"/>
        </w:rPr>
        <w:t>a period of time</w:t>
      </w:r>
      <w:proofErr w:type="gramEnd"/>
      <w:r w:rsidR="00BA2355" w:rsidRPr="00BA2355">
        <w:rPr>
          <w:rFonts w:ascii="Arial" w:hAnsi="Arial" w:cs="Arial"/>
          <w:sz w:val="24"/>
          <w:szCs w:val="24"/>
        </w:rPr>
        <w:t xml:space="preserve"> can offer valuable information about the company's evolving liquidity status and its plans for financial management.</w:t>
      </w:r>
      <w:r w:rsidR="00AC269D" w:rsidRPr="00AC269D">
        <w:t xml:space="preserve"> </w:t>
      </w:r>
      <w:r w:rsidR="00AC269D" w:rsidRPr="00AC269D">
        <w:rPr>
          <w:rFonts w:ascii="Arial" w:hAnsi="Arial" w:cs="Arial"/>
          <w:sz w:val="24"/>
          <w:szCs w:val="24"/>
        </w:rPr>
        <w:t>(Böhm, 2008)</w:t>
      </w:r>
    </w:p>
    <w:p w14:paraId="48EECB36" w14:textId="77777777" w:rsidR="00263DCB" w:rsidRDefault="00263DCB" w:rsidP="0008185D"/>
    <w:p w14:paraId="18FCE84C" w14:textId="731AE41D" w:rsidR="00885BAC" w:rsidRPr="00BA2355" w:rsidRDefault="00885BAC" w:rsidP="00BA2355">
      <w:pPr>
        <w:pStyle w:val="Subtitle"/>
        <w:rPr>
          <w:color w:val="45B0E1" w:themeColor="accent1" w:themeTint="99"/>
        </w:rPr>
      </w:pPr>
      <w:r w:rsidRPr="00BA2355">
        <w:rPr>
          <w:color w:val="45B0E1" w:themeColor="accent1" w:themeTint="99"/>
        </w:rPr>
        <w:t>Debt</w:t>
      </w:r>
      <w:r w:rsidR="00B667C6" w:rsidRPr="00BA2355">
        <w:rPr>
          <w:color w:val="45B0E1" w:themeColor="accent1" w:themeTint="99"/>
        </w:rPr>
        <w:t>-</w:t>
      </w:r>
      <w:r w:rsidRPr="00BA2355">
        <w:rPr>
          <w:color w:val="45B0E1" w:themeColor="accent1" w:themeTint="99"/>
        </w:rPr>
        <w:t>to</w:t>
      </w:r>
      <w:r w:rsidR="00B667C6" w:rsidRPr="00BA2355">
        <w:rPr>
          <w:color w:val="45B0E1" w:themeColor="accent1" w:themeTint="99"/>
        </w:rPr>
        <w:t>-</w:t>
      </w:r>
      <w:r w:rsidRPr="00BA2355">
        <w:rPr>
          <w:color w:val="45B0E1" w:themeColor="accent1" w:themeTint="99"/>
        </w:rPr>
        <w:t>equity</w:t>
      </w:r>
    </w:p>
    <w:p w14:paraId="7BEC4A85" w14:textId="77777777" w:rsidR="008B1708" w:rsidRDefault="008B1708" w:rsidP="008B1708"/>
    <w:p w14:paraId="6DC601E3" w14:textId="49742812" w:rsidR="005E5604" w:rsidRPr="00B36312" w:rsidRDefault="0062555B" w:rsidP="00B36312">
      <w:pPr>
        <w:spacing w:line="360" w:lineRule="auto"/>
        <w:jc w:val="both"/>
        <w:rPr>
          <w:rFonts w:ascii="Arial" w:hAnsi="Arial" w:cs="Arial"/>
          <w:sz w:val="24"/>
          <w:szCs w:val="24"/>
        </w:rPr>
      </w:pPr>
      <w:r w:rsidRPr="00B36312">
        <w:rPr>
          <w:rFonts w:ascii="Arial" w:hAnsi="Arial" w:cs="Arial"/>
          <w:sz w:val="24"/>
          <w:szCs w:val="24"/>
        </w:rPr>
        <w:t xml:space="preserve">The debt-to-equity ratio </w:t>
      </w:r>
      <w:r w:rsidR="007D336D" w:rsidRPr="00B36312">
        <w:rPr>
          <w:rFonts w:ascii="Arial" w:hAnsi="Arial" w:cs="Arial"/>
          <w:sz w:val="24"/>
          <w:szCs w:val="24"/>
        </w:rPr>
        <w:t>determines</w:t>
      </w:r>
      <w:r w:rsidRPr="00B36312">
        <w:rPr>
          <w:rFonts w:ascii="Arial" w:hAnsi="Arial" w:cs="Arial"/>
          <w:sz w:val="24"/>
          <w:szCs w:val="24"/>
        </w:rPr>
        <w:t xml:space="preserve"> the </w:t>
      </w:r>
      <w:r w:rsidR="007D336D" w:rsidRPr="00B36312">
        <w:rPr>
          <w:rFonts w:ascii="Arial" w:hAnsi="Arial" w:cs="Arial"/>
          <w:sz w:val="24"/>
          <w:szCs w:val="24"/>
        </w:rPr>
        <w:t>relationship</w:t>
      </w:r>
      <w:r w:rsidRPr="00B36312">
        <w:rPr>
          <w:rFonts w:ascii="Arial" w:hAnsi="Arial" w:cs="Arial"/>
          <w:sz w:val="24"/>
          <w:szCs w:val="24"/>
        </w:rPr>
        <w:t xml:space="preserve"> of debt and equity that </w:t>
      </w:r>
      <w:proofErr w:type="spellStart"/>
      <w:proofErr w:type="gramStart"/>
      <w:r w:rsidRPr="00B36312">
        <w:rPr>
          <w:rFonts w:ascii="Arial" w:hAnsi="Arial" w:cs="Arial"/>
          <w:sz w:val="24"/>
          <w:szCs w:val="24"/>
        </w:rPr>
        <w:t>a</w:t>
      </w:r>
      <w:proofErr w:type="spellEnd"/>
      <w:proofErr w:type="gramEnd"/>
      <w:r w:rsidRPr="00B36312">
        <w:rPr>
          <w:rFonts w:ascii="Arial" w:hAnsi="Arial" w:cs="Arial"/>
          <w:sz w:val="24"/>
          <w:szCs w:val="24"/>
        </w:rPr>
        <w:t xml:space="preserve"> </w:t>
      </w:r>
      <w:r w:rsidR="007D336D" w:rsidRPr="00B36312">
        <w:rPr>
          <w:rFonts w:ascii="Arial" w:hAnsi="Arial" w:cs="Arial"/>
          <w:sz w:val="24"/>
          <w:szCs w:val="24"/>
        </w:rPr>
        <w:t>enterprise</w:t>
      </w:r>
      <w:r w:rsidRPr="00B36312">
        <w:rPr>
          <w:rFonts w:ascii="Arial" w:hAnsi="Arial" w:cs="Arial"/>
          <w:sz w:val="24"/>
          <w:szCs w:val="24"/>
        </w:rPr>
        <w:t xml:space="preserve"> use to fund its activities. The computation is obtained by dividing the Total Debt by the Total Equity. The debt-to-equity ratio of Ford, which stands at 3.49, indicates that the company has $3.49 of debt for each dollar of equity. Ford's debt-to-equity ratio of 3.49 suggests that the </w:t>
      </w:r>
      <w:r w:rsidR="00D65DB5" w:rsidRPr="00B36312">
        <w:rPr>
          <w:rFonts w:ascii="Arial" w:hAnsi="Arial" w:cs="Arial"/>
          <w:sz w:val="24"/>
          <w:szCs w:val="24"/>
        </w:rPr>
        <w:t>enterprise</w:t>
      </w:r>
      <w:r w:rsidRPr="00B36312">
        <w:rPr>
          <w:rFonts w:ascii="Arial" w:hAnsi="Arial" w:cs="Arial"/>
          <w:sz w:val="24"/>
          <w:szCs w:val="24"/>
        </w:rPr>
        <w:t xml:space="preserve"> </w:t>
      </w:r>
      <w:r w:rsidR="00D65DB5" w:rsidRPr="00B36312">
        <w:rPr>
          <w:rFonts w:ascii="Arial" w:hAnsi="Arial" w:cs="Arial"/>
          <w:sz w:val="24"/>
          <w:szCs w:val="24"/>
        </w:rPr>
        <w:t>count on</w:t>
      </w:r>
      <w:r w:rsidRPr="00B36312">
        <w:rPr>
          <w:rFonts w:ascii="Arial" w:hAnsi="Arial" w:cs="Arial"/>
          <w:sz w:val="24"/>
          <w:szCs w:val="24"/>
        </w:rPr>
        <w:t xml:space="preserve"> extensively on debt financing to sustain its operations and pursue its growth objectives. If the ratio is larger than 1, it means that Ford's debt is bigger than its equity. This indicates that creditors have a stronger claim on the </w:t>
      </w:r>
      <w:r w:rsidR="00945003" w:rsidRPr="00B36312">
        <w:rPr>
          <w:rFonts w:ascii="Arial" w:hAnsi="Arial" w:cs="Arial"/>
          <w:sz w:val="24"/>
          <w:szCs w:val="24"/>
        </w:rPr>
        <w:t>corporation's</w:t>
      </w:r>
      <w:r w:rsidRPr="00B36312">
        <w:rPr>
          <w:rFonts w:ascii="Arial" w:hAnsi="Arial" w:cs="Arial"/>
          <w:sz w:val="24"/>
          <w:szCs w:val="24"/>
        </w:rPr>
        <w:t xml:space="preserve"> assets compared to shareholders. </w:t>
      </w:r>
      <w:r w:rsidR="00B36312" w:rsidRPr="00B36312">
        <w:rPr>
          <w:rFonts w:ascii="Arial" w:hAnsi="Arial" w:cs="Arial"/>
          <w:sz w:val="24"/>
          <w:szCs w:val="24"/>
        </w:rPr>
        <w:t>According to Marr (2012) w</w:t>
      </w:r>
      <w:r w:rsidRPr="00B36312">
        <w:rPr>
          <w:rFonts w:ascii="Arial" w:hAnsi="Arial" w:cs="Arial"/>
          <w:sz w:val="24"/>
          <w:szCs w:val="24"/>
        </w:rPr>
        <w:t xml:space="preserve">hile high leverage can amplify returns on equity during profitable operations, it also increases financial risk by requiring interest payments on loans and repayment of principal amounts. </w:t>
      </w:r>
    </w:p>
    <w:p w14:paraId="0CFC9A12" w14:textId="5095898C" w:rsidR="001F36A4" w:rsidRPr="006C2648" w:rsidRDefault="001F36A4" w:rsidP="006C2648">
      <w:pPr>
        <w:spacing w:line="360" w:lineRule="auto"/>
        <w:jc w:val="both"/>
        <w:rPr>
          <w:rFonts w:ascii="Arial" w:hAnsi="Arial" w:cs="Arial"/>
          <w:sz w:val="24"/>
          <w:szCs w:val="24"/>
        </w:rPr>
      </w:pPr>
      <w:r w:rsidRPr="006C2648">
        <w:rPr>
          <w:rFonts w:ascii="Arial" w:hAnsi="Arial" w:cs="Arial"/>
          <w:sz w:val="24"/>
          <w:szCs w:val="24"/>
        </w:rPr>
        <w:t xml:space="preserve">Ford's high debt-to-equity ratio increases financial risk. High debt may limit the company's financial flexibility, especially during economic downturns or financial </w:t>
      </w:r>
      <w:r w:rsidRPr="006C2648">
        <w:rPr>
          <w:rFonts w:ascii="Arial" w:hAnsi="Arial" w:cs="Arial"/>
          <w:sz w:val="24"/>
          <w:szCs w:val="24"/>
        </w:rPr>
        <w:lastRenderedPageBreak/>
        <w:t>stress. If Ford can't create enough cash flow to pay its debts, its debt-to-equity ratio increases the danger of default or bankruptcy. Ford's debt-to-equity ratio may affect its cost of capital, as higher leverage increases borrowing costs and equity returns investors require to compensate for risk.</w:t>
      </w:r>
      <w:r w:rsidR="006C2648" w:rsidRPr="006C2648">
        <w:rPr>
          <w:rFonts w:ascii="Arial" w:hAnsi="Arial" w:cs="Arial"/>
          <w:sz w:val="24"/>
          <w:szCs w:val="24"/>
        </w:rPr>
        <w:t xml:space="preserve"> (Marr, 2012)</w:t>
      </w:r>
    </w:p>
    <w:p w14:paraId="52E2198F" w14:textId="5E2DB853" w:rsidR="00885BAC" w:rsidRDefault="007931B3" w:rsidP="007931B3">
      <w:pPr>
        <w:spacing w:line="360" w:lineRule="auto"/>
        <w:jc w:val="both"/>
        <w:rPr>
          <w:rFonts w:ascii="Arial" w:hAnsi="Arial" w:cs="Arial"/>
          <w:sz w:val="24"/>
          <w:szCs w:val="24"/>
        </w:rPr>
      </w:pPr>
      <w:r w:rsidRPr="007931B3">
        <w:rPr>
          <w:rFonts w:ascii="Arial" w:hAnsi="Arial" w:cs="Arial"/>
          <w:sz w:val="24"/>
          <w:szCs w:val="24"/>
        </w:rPr>
        <w:t xml:space="preserve">Ford's debt-to-equity ratio of 3.49 suggests a substantial dependence on debt financing. This reliance presents both potential advantages and concerns for the </w:t>
      </w:r>
      <w:r w:rsidR="00E6538B" w:rsidRPr="007931B3">
        <w:rPr>
          <w:rFonts w:ascii="Arial" w:hAnsi="Arial" w:cs="Arial"/>
          <w:sz w:val="24"/>
          <w:szCs w:val="24"/>
        </w:rPr>
        <w:t>corporation's</w:t>
      </w:r>
      <w:r w:rsidRPr="007931B3">
        <w:rPr>
          <w:rFonts w:ascii="Arial" w:hAnsi="Arial" w:cs="Arial"/>
          <w:sz w:val="24"/>
          <w:szCs w:val="24"/>
        </w:rPr>
        <w:t xml:space="preserve"> </w:t>
      </w:r>
      <w:r w:rsidR="00E6538B" w:rsidRPr="007931B3">
        <w:rPr>
          <w:rFonts w:ascii="Arial" w:hAnsi="Arial" w:cs="Arial"/>
          <w:sz w:val="24"/>
          <w:szCs w:val="24"/>
        </w:rPr>
        <w:t>monetary</w:t>
      </w:r>
      <w:r w:rsidRPr="007931B3">
        <w:rPr>
          <w:rFonts w:ascii="Arial" w:hAnsi="Arial" w:cs="Arial"/>
          <w:sz w:val="24"/>
          <w:szCs w:val="24"/>
        </w:rPr>
        <w:t xml:space="preserve"> well-being and the value of its shareholders' investments. It is necessary to do a thorough examination of Ford's capacity to handle its debt responsibilities, create cash flow, and maintain profitability </w:t>
      </w:r>
      <w:proofErr w:type="gramStart"/>
      <w:r w:rsidRPr="007931B3">
        <w:rPr>
          <w:rFonts w:ascii="Arial" w:hAnsi="Arial" w:cs="Arial"/>
          <w:sz w:val="24"/>
          <w:szCs w:val="24"/>
        </w:rPr>
        <w:t>in order to</w:t>
      </w:r>
      <w:proofErr w:type="gramEnd"/>
      <w:r w:rsidRPr="007931B3">
        <w:rPr>
          <w:rFonts w:ascii="Arial" w:hAnsi="Arial" w:cs="Arial"/>
          <w:sz w:val="24"/>
          <w:szCs w:val="24"/>
        </w:rPr>
        <w:t xml:space="preserve"> fully evaluate its financial condition.</w:t>
      </w:r>
    </w:p>
    <w:p w14:paraId="232C657E" w14:textId="77777777" w:rsidR="007931B3" w:rsidRPr="007931B3" w:rsidRDefault="007931B3" w:rsidP="007931B3">
      <w:pPr>
        <w:spacing w:line="360" w:lineRule="auto"/>
        <w:jc w:val="both"/>
        <w:rPr>
          <w:rFonts w:ascii="Arial" w:hAnsi="Arial" w:cs="Arial"/>
          <w:sz w:val="24"/>
          <w:szCs w:val="24"/>
        </w:rPr>
      </w:pPr>
    </w:p>
    <w:p w14:paraId="119031CA" w14:textId="2E4CBF33" w:rsidR="00885BAC" w:rsidRPr="007931B3" w:rsidRDefault="00885BAC" w:rsidP="007931B3">
      <w:pPr>
        <w:pStyle w:val="Subtitle"/>
        <w:rPr>
          <w:color w:val="45B0E1" w:themeColor="accent1" w:themeTint="99"/>
        </w:rPr>
      </w:pPr>
      <w:r w:rsidRPr="007931B3">
        <w:rPr>
          <w:color w:val="45B0E1" w:themeColor="accent1" w:themeTint="99"/>
        </w:rPr>
        <w:t>Inventory Turnover Ratio</w:t>
      </w:r>
    </w:p>
    <w:p w14:paraId="660C343C" w14:textId="77777777" w:rsidR="00207BB4" w:rsidRDefault="00207BB4" w:rsidP="00207BB4"/>
    <w:p w14:paraId="1A974332" w14:textId="783D294E" w:rsidR="00F413EC" w:rsidRPr="00E96024" w:rsidRDefault="00B50167" w:rsidP="00E96024">
      <w:pPr>
        <w:spacing w:line="360" w:lineRule="auto"/>
        <w:jc w:val="both"/>
        <w:rPr>
          <w:rFonts w:ascii="Arial" w:hAnsi="Arial" w:cs="Arial"/>
          <w:sz w:val="24"/>
          <w:szCs w:val="24"/>
        </w:rPr>
      </w:pPr>
      <w:r w:rsidRPr="00E96024">
        <w:rPr>
          <w:rFonts w:ascii="Arial" w:hAnsi="Arial" w:cs="Arial"/>
          <w:sz w:val="24"/>
          <w:szCs w:val="24"/>
        </w:rPr>
        <w:t xml:space="preserve">The turnover ratio of 9.62 for Ford means that, on average, the company sold and replaced its inventory about 9.62 times over the given period. The inventory turnover ratio of 9.62 for Ford indicates the efficiency of the </w:t>
      </w:r>
      <w:r w:rsidR="004620BE" w:rsidRPr="00E96024">
        <w:rPr>
          <w:rFonts w:ascii="Arial" w:hAnsi="Arial" w:cs="Arial"/>
          <w:sz w:val="24"/>
          <w:szCs w:val="24"/>
        </w:rPr>
        <w:t>enterprise's</w:t>
      </w:r>
      <w:r w:rsidRPr="00E96024">
        <w:rPr>
          <w:rFonts w:ascii="Arial" w:hAnsi="Arial" w:cs="Arial"/>
          <w:sz w:val="24"/>
          <w:szCs w:val="24"/>
        </w:rPr>
        <w:t xml:space="preserve"> inventory management and the </w:t>
      </w:r>
      <w:r w:rsidR="004620BE" w:rsidRPr="00E96024">
        <w:rPr>
          <w:rFonts w:ascii="Arial" w:hAnsi="Arial" w:cs="Arial"/>
          <w:sz w:val="24"/>
          <w:szCs w:val="24"/>
        </w:rPr>
        <w:t>occurrence</w:t>
      </w:r>
      <w:r w:rsidRPr="00E96024">
        <w:rPr>
          <w:rFonts w:ascii="Arial" w:hAnsi="Arial" w:cs="Arial"/>
          <w:sz w:val="24"/>
          <w:szCs w:val="24"/>
        </w:rPr>
        <w:t xml:space="preserve"> at which it </w:t>
      </w:r>
      <w:r w:rsidR="004620BE" w:rsidRPr="00E96024">
        <w:rPr>
          <w:rFonts w:ascii="Arial" w:hAnsi="Arial" w:cs="Arial"/>
          <w:sz w:val="24"/>
          <w:szCs w:val="24"/>
        </w:rPr>
        <w:t>trades</w:t>
      </w:r>
      <w:r w:rsidRPr="00E96024">
        <w:rPr>
          <w:rFonts w:ascii="Arial" w:hAnsi="Arial" w:cs="Arial"/>
          <w:sz w:val="24"/>
          <w:szCs w:val="24"/>
        </w:rPr>
        <w:t xml:space="preserve"> and </w:t>
      </w:r>
      <w:r w:rsidR="004620BE" w:rsidRPr="00E96024">
        <w:rPr>
          <w:rFonts w:ascii="Arial" w:hAnsi="Arial" w:cs="Arial"/>
          <w:sz w:val="24"/>
          <w:szCs w:val="24"/>
        </w:rPr>
        <w:t>restores</w:t>
      </w:r>
      <w:r w:rsidRPr="00E96024">
        <w:rPr>
          <w:rFonts w:ascii="Arial" w:hAnsi="Arial" w:cs="Arial"/>
          <w:sz w:val="24"/>
          <w:szCs w:val="24"/>
        </w:rPr>
        <w:t xml:space="preserve"> its inventory. A</w:t>
      </w:r>
      <w:r w:rsidR="00461DCC">
        <w:rPr>
          <w:rFonts w:ascii="Arial" w:hAnsi="Arial" w:cs="Arial"/>
          <w:sz w:val="24"/>
          <w:szCs w:val="24"/>
        </w:rPr>
        <w:t>n</w:t>
      </w:r>
      <w:r w:rsidRPr="00E96024">
        <w:rPr>
          <w:rFonts w:ascii="Arial" w:hAnsi="Arial" w:cs="Arial"/>
          <w:sz w:val="24"/>
          <w:szCs w:val="24"/>
        </w:rPr>
        <w:t xml:space="preserve"> </w:t>
      </w:r>
      <w:r w:rsidR="00461DCC">
        <w:rPr>
          <w:rFonts w:ascii="Arial" w:hAnsi="Arial" w:cs="Arial"/>
          <w:sz w:val="24"/>
          <w:szCs w:val="24"/>
        </w:rPr>
        <w:t>elevated</w:t>
      </w:r>
      <w:r w:rsidRPr="00E96024">
        <w:rPr>
          <w:rFonts w:ascii="Arial" w:hAnsi="Arial" w:cs="Arial"/>
          <w:sz w:val="24"/>
          <w:szCs w:val="24"/>
        </w:rPr>
        <w:t xml:space="preserve"> inventory turnover </w:t>
      </w:r>
      <w:r w:rsidR="00461DCC" w:rsidRPr="00E96024">
        <w:rPr>
          <w:rFonts w:ascii="Arial" w:hAnsi="Arial" w:cs="Arial"/>
          <w:sz w:val="24"/>
          <w:szCs w:val="24"/>
        </w:rPr>
        <w:t>implies</w:t>
      </w:r>
      <w:r w:rsidRPr="00E96024">
        <w:rPr>
          <w:rFonts w:ascii="Arial" w:hAnsi="Arial" w:cs="Arial"/>
          <w:sz w:val="24"/>
          <w:szCs w:val="24"/>
        </w:rPr>
        <w:t xml:space="preserve"> </w:t>
      </w:r>
      <w:r w:rsidR="003D5235" w:rsidRPr="00E96024">
        <w:rPr>
          <w:rFonts w:ascii="Arial" w:hAnsi="Arial" w:cs="Arial"/>
          <w:sz w:val="24"/>
          <w:szCs w:val="24"/>
        </w:rPr>
        <w:t>hasty</w:t>
      </w:r>
      <w:r w:rsidRPr="00E96024">
        <w:rPr>
          <w:rFonts w:ascii="Arial" w:hAnsi="Arial" w:cs="Arial"/>
          <w:sz w:val="24"/>
          <w:szCs w:val="24"/>
        </w:rPr>
        <w:t xml:space="preserve"> </w:t>
      </w:r>
      <w:r w:rsidR="003D5235" w:rsidRPr="00E96024">
        <w:rPr>
          <w:rFonts w:ascii="Arial" w:hAnsi="Arial" w:cs="Arial"/>
          <w:sz w:val="24"/>
          <w:szCs w:val="24"/>
        </w:rPr>
        <w:t>trades</w:t>
      </w:r>
      <w:r w:rsidRPr="00E96024">
        <w:rPr>
          <w:rFonts w:ascii="Arial" w:hAnsi="Arial" w:cs="Arial"/>
          <w:sz w:val="24"/>
          <w:szCs w:val="24"/>
        </w:rPr>
        <w:t xml:space="preserve">, </w:t>
      </w:r>
      <w:r w:rsidR="003D5235" w:rsidRPr="00E96024">
        <w:rPr>
          <w:rFonts w:ascii="Arial" w:hAnsi="Arial" w:cs="Arial"/>
          <w:sz w:val="24"/>
          <w:szCs w:val="24"/>
        </w:rPr>
        <w:t>although</w:t>
      </w:r>
      <w:r w:rsidRPr="00E96024">
        <w:rPr>
          <w:rFonts w:ascii="Arial" w:hAnsi="Arial" w:cs="Arial"/>
          <w:sz w:val="24"/>
          <w:szCs w:val="24"/>
        </w:rPr>
        <w:t xml:space="preserve"> a low turnover rate </w:t>
      </w:r>
      <w:r w:rsidR="003D5235" w:rsidRPr="00E96024">
        <w:rPr>
          <w:rFonts w:ascii="Arial" w:hAnsi="Arial" w:cs="Arial"/>
          <w:sz w:val="24"/>
          <w:szCs w:val="24"/>
        </w:rPr>
        <w:t>implies</w:t>
      </w:r>
      <w:r w:rsidRPr="00E96024">
        <w:rPr>
          <w:rFonts w:ascii="Arial" w:hAnsi="Arial" w:cs="Arial"/>
          <w:sz w:val="24"/>
          <w:szCs w:val="24"/>
        </w:rPr>
        <w:t xml:space="preserve"> sluggish sales and </w:t>
      </w:r>
      <w:r w:rsidR="00DB42A6" w:rsidRPr="00E96024">
        <w:rPr>
          <w:rFonts w:ascii="Arial" w:hAnsi="Arial" w:cs="Arial"/>
          <w:sz w:val="24"/>
          <w:szCs w:val="24"/>
        </w:rPr>
        <w:t>excess</w:t>
      </w:r>
      <w:r w:rsidRPr="00E96024">
        <w:rPr>
          <w:rFonts w:ascii="Arial" w:hAnsi="Arial" w:cs="Arial"/>
          <w:sz w:val="24"/>
          <w:szCs w:val="24"/>
        </w:rPr>
        <w:t xml:space="preserve"> stocks, which can provide difficulties for a corporation. </w:t>
      </w:r>
      <w:r w:rsidR="00F413EC" w:rsidRPr="00E96024">
        <w:rPr>
          <w:rFonts w:ascii="Arial" w:hAnsi="Arial" w:cs="Arial"/>
          <w:sz w:val="24"/>
          <w:szCs w:val="24"/>
        </w:rPr>
        <w:t xml:space="preserve"> </w:t>
      </w:r>
      <w:r w:rsidR="000E5ACA" w:rsidRPr="00E96024">
        <w:rPr>
          <w:rFonts w:ascii="Arial" w:hAnsi="Arial" w:cs="Arial"/>
          <w:sz w:val="24"/>
          <w:szCs w:val="24"/>
        </w:rPr>
        <w:t>(Bragg, 2017).</w:t>
      </w:r>
      <w:r w:rsidR="00207BB4" w:rsidRPr="00E96024">
        <w:rPr>
          <w:rFonts w:ascii="Arial" w:hAnsi="Arial" w:cs="Arial"/>
          <w:sz w:val="24"/>
          <w:szCs w:val="24"/>
        </w:rPr>
        <w:t xml:space="preserve"> </w:t>
      </w:r>
      <w:r w:rsidR="00E96024" w:rsidRPr="00E96024">
        <w:rPr>
          <w:rFonts w:ascii="Arial" w:hAnsi="Arial" w:cs="Arial"/>
          <w:sz w:val="24"/>
          <w:szCs w:val="24"/>
        </w:rPr>
        <w:t>Ford's high inventory turnover percentage implies efficient inventory management because it sells its inventory rapidly and reduces inventory expenditures. Ford's high turnover percentage indicates robust vehicle and inventory demand, good production planning, and efficient supply chain management.</w:t>
      </w:r>
    </w:p>
    <w:p w14:paraId="2263C8FB" w14:textId="36D2D62F" w:rsidR="00875106" w:rsidRPr="005F610F" w:rsidRDefault="00840BB8" w:rsidP="005F610F">
      <w:pPr>
        <w:spacing w:line="360" w:lineRule="auto"/>
        <w:jc w:val="both"/>
        <w:rPr>
          <w:rFonts w:ascii="Arial" w:hAnsi="Arial" w:cs="Arial"/>
          <w:sz w:val="24"/>
          <w:szCs w:val="24"/>
        </w:rPr>
      </w:pPr>
      <w:r w:rsidRPr="005F610F">
        <w:rPr>
          <w:rFonts w:ascii="Arial" w:hAnsi="Arial" w:cs="Arial"/>
          <w:sz w:val="24"/>
          <w:szCs w:val="24"/>
        </w:rPr>
        <w:t xml:space="preserve">Ford's high inventory turnover percentage shows operational effectiveness in converting inventory into sales and profitability. Efficiency reduces inventory storage costs, obsolescence risk, and financing costs associated with excessive inventory, which boosts profitability. Ford's high inventory turnover ratio suggests effective working capital use and strong cash flow. </w:t>
      </w:r>
      <w:r w:rsidR="00824A24" w:rsidRPr="005F610F">
        <w:rPr>
          <w:rFonts w:ascii="Arial" w:hAnsi="Arial" w:cs="Arial"/>
          <w:sz w:val="24"/>
          <w:szCs w:val="24"/>
        </w:rPr>
        <w:t xml:space="preserve">According to Bragg (2017) </w:t>
      </w:r>
      <w:r w:rsidR="005F610F" w:rsidRPr="005F610F">
        <w:rPr>
          <w:rFonts w:ascii="Arial" w:hAnsi="Arial" w:cs="Arial"/>
          <w:sz w:val="24"/>
          <w:szCs w:val="24"/>
        </w:rPr>
        <w:t>by rapidly turning inventory into sales, the organisation can deploy finances to other sections of the business or meet debt obligations.</w:t>
      </w:r>
    </w:p>
    <w:p w14:paraId="7131BC92" w14:textId="50961095" w:rsidR="009A11A9" w:rsidRPr="005462D9" w:rsidRDefault="005462D9" w:rsidP="005462D9">
      <w:pPr>
        <w:spacing w:line="360" w:lineRule="auto"/>
        <w:jc w:val="both"/>
        <w:rPr>
          <w:rFonts w:ascii="Arial" w:hAnsi="Arial" w:cs="Arial"/>
          <w:sz w:val="24"/>
          <w:szCs w:val="24"/>
        </w:rPr>
      </w:pPr>
      <w:r w:rsidRPr="005462D9">
        <w:rPr>
          <w:rFonts w:ascii="Arial" w:hAnsi="Arial" w:cs="Arial"/>
          <w:sz w:val="24"/>
          <w:szCs w:val="24"/>
        </w:rPr>
        <w:lastRenderedPageBreak/>
        <w:t>Ford's 9.62 inventory turnover ratio suggests good inventory management and operations. However, industry standards, historical patterns, and company dynamics are needed to fully evaluate Ford's inventory management techniques.</w:t>
      </w:r>
    </w:p>
    <w:p w14:paraId="1A12CE84" w14:textId="77777777" w:rsidR="005462D9" w:rsidRDefault="005462D9" w:rsidP="00807070"/>
    <w:p w14:paraId="3569EFC2" w14:textId="77777777" w:rsidR="00BB1E8C" w:rsidRDefault="00BB1E8C" w:rsidP="00807070"/>
    <w:p w14:paraId="3641E815" w14:textId="5E8954CD" w:rsidR="009B290A" w:rsidRDefault="009B290A" w:rsidP="001C2852">
      <w:pPr>
        <w:pStyle w:val="Heading2"/>
        <w:numPr>
          <w:ilvl w:val="0"/>
          <w:numId w:val="4"/>
        </w:numPr>
      </w:pPr>
      <w:bookmarkStart w:id="22" w:name="_Toc164624836"/>
      <w:r>
        <w:t xml:space="preserve">Ford and major </w:t>
      </w:r>
      <w:r w:rsidR="002F1271">
        <w:t>competitors’</w:t>
      </w:r>
      <w:r>
        <w:t xml:space="preserve"> comparison </w:t>
      </w:r>
      <w:r w:rsidR="001C2852">
        <w:t>based on the calculated ratios</w:t>
      </w:r>
      <w:r w:rsidR="005462D9">
        <w:t>.</w:t>
      </w:r>
      <w:bookmarkEnd w:id="22"/>
    </w:p>
    <w:p w14:paraId="43B1DC07" w14:textId="77777777" w:rsidR="000776F1" w:rsidRDefault="000776F1" w:rsidP="005C22E9">
      <w:pPr>
        <w:pStyle w:val="Heading4"/>
      </w:pPr>
    </w:p>
    <w:p w14:paraId="72C5B364" w14:textId="5E92E040" w:rsidR="009A02C6" w:rsidRPr="000776F1" w:rsidRDefault="009A02C6" w:rsidP="000776F1">
      <w:pPr>
        <w:pStyle w:val="Subtitle"/>
        <w:rPr>
          <w:color w:val="45B0E1" w:themeColor="accent1" w:themeTint="99"/>
        </w:rPr>
      </w:pPr>
      <w:r w:rsidRPr="000776F1">
        <w:rPr>
          <w:color w:val="45B0E1" w:themeColor="accent1" w:themeTint="99"/>
        </w:rPr>
        <w:t xml:space="preserve">Comparing Ford </w:t>
      </w:r>
      <w:r w:rsidR="00DE3179" w:rsidRPr="000776F1">
        <w:rPr>
          <w:color w:val="45B0E1" w:themeColor="accent1" w:themeTint="99"/>
        </w:rPr>
        <w:t xml:space="preserve">to its top </w:t>
      </w:r>
      <w:r w:rsidR="009C4762" w:rsidRPr="000776F1">
        <w:rPr>
          <w:color w:val="45B0E1" w:themeColor="accent1" w:themeTint="99"/>
        </w:rPr>
        <w:t>four</w:t>
      </w:r>
      <w:r w:rsidR="00DE3179" w:rsidRPr="000776F1">
        <w:rPr>
          <w:color w:val="45B0E1" w:themeColor="accent1" w:themeTint="99"/>
        </w:rPr>
        <w:t xml:space="preserve"> competitors</w:t>
      </w:r>
      <w:r w:rsidR="007E3A37" w:rsidRPr="000776F1">
        <w:rPr>
          <w:color w:val="45B0E1" w:themeColor="accent1" w:themeTint="99"/>
        </w:rPr>
        <w:t>:</w:t>
      </w:r>
    </w:p>
    <w:p w14:paraId="4A6A492E" w14:textId="77777777" w:rsidR="005C22E9" w:rsidRDefault="005C22E9" w:rsidP="005C22E9"/>
    <w:p w14:paraId="59B49069" w14:textId="3BD9CE03" w:rsidR="00BC6C95" w:rsidRPr="00F211FB" w:rsidRDefault="00F211FB" w:rsidP="00F211FB">
      <w:pPr>
        <w:spacing w:line="360" w:lineRule="auto"/>
        <w:jc w:val="both"/>
        <w:rPr>
          <w:rFonts w:ascii="Arial" w:hAnsi="Arial" w:cs="Arial"/>
          <w:sz w:val="24"/>
          <w:szCs w:val="24"/>
        </w:rPr>
      </w:pPr>
      <w:proofErr w:type="gramStart"/>
      <w:r w:rsidRPr="00F211FB">
        <w:rPr>
          <w:rFonts w:ascii="Arial" w:hAnsi="Arial" w:cs="Arial"/>
          <w:sz w:val="24"/>
          <w:szCs w:val="24"/>
        </w:rPr>
        <w:t>In order to</w:t>
      </w:r>
      <w:proofErr w:type="gramEnd"/>
      <w:r w:rsidRPr="00F211FB">
        <w:rPr>
          <w:rFonts w:ascii="Arial" w:hAnsi="Arial" w:cs="Arial"/>
          <w:sz w:val="24"/>
          <w:szCs w:val="24"/>
        </w:rPr>
        <w:t xml:space="preserve"> do a comparison between Ford and its four main competitors based on the ratio that has previously been determined, we must also calculate the ratios of the competitors, namely General Motors, Toyota, Volkswagen, and Honda. </w:t>
      </w:r>
      <w:r w:rsidR="00C910CD" w:rsidRPr="00F211FB">
        <w:rPr>
          <w:rFonts w:ascii="Arial" w:hAnsi="Arial" w:cs="Arial"/>
          <w:sz w:val="24"/>
          <w:szCs w:val="24"/>
        </w:rPr>
        <w:t xml:space="preserve"> (Figure 8</w:t>
      </w:r>
      <w:r w:rsidR="001E1868" w:rsidRPr="00F211FB">
        <w:rPr>
          <w:rFonts w:ascii="Arial" w:hAnsi="Arial" w:cs="Arial"/>
          <w:sz w:val="24"/>
          <w:szCs w:val="24"/>
        </w:rPr>
        <w:t xml:space="preserve"> and</w:t>
      </w:r>
      <w:r w:rsidR="00C910CD" w:rsidRPr="00F211FB">
        <w:rPr>
          <w:rFonts w:ascii="Arial" w:hAnsi="Arial" w:cs="Arial"/>
          <w:sz w:val="24"/>
          <w:szCs w:val="24"/>
        </w:rPr>
        <w:t xml:space="preserve"> Figure </w:t>
      </w:r>
      <w:r w:rsidR="00116B5E" w:rsidRPr="00F211FB">
        <w:rPr>
          <w:rFonts w:ascii="Arial" w:hAnsi="Arial" w:cs="Arial"/>
          <w:sz w:val="24"/>
          <w:szCs w:val="24"/>
        </w:rPr>
        <w:t>9)</w:t>
      </w:r>
      <w:r w:rsidR="001E1868" w:rsidRPr="00F211FB">
        <w:rPr>
          <w:rFonts w:ascii="Arial" w:hAnsi="Arial" w:cs="Arial"/>
          <w:sz w:val="24"/>
          <w:szCs w:val="24"/>
        </w:rPr>
        <w:t xml:space="preserve"> The data collected from </w:t>
      </w:r>
      <w:r w:rsidR="00AC6B92" w:rsidRPr="00F211FB">
        <w:rPr>
          <w:rFonts w:ascii="Arial" w:hAnsi="Arial" w:cs="Arial"/>
          <w:sz w:val="24"/>
          <w:szCs w:val="24"/>
        </w:rPr>
        <w:t>its</w:t>
      </w:r>
      <w:r w:rsidR="001E1868" w:rsidRPr="00F211FB">
        <w:rPr>
          <w:rFonts w:ascii="Arial" w:hAnsi="Arial" w:cs="Arial"/>
          <w:sz w:val="24"/>
          <w:szCs w:val="24"/>
        </w:rPr>
        <w:t xml:space="preserve"> </w:t>
      </w:r>
      <w:r w:rsidR="00AC6B92" w:rsidRPr="00F211FB">
        <w:rPr>
          <w:rFonts w:ascii="Arial" w:hAnsi="Arial" w:cs="Arial"/>
          <w:sz w:val="24"/>
          <w:szCs w:val="24"/>
        </w:rPr>
        <w:t>a</w:t>
      </w:r>
      <w:r w:rsidR="001E1868" w:rsidRPr="00F211FB">
        <w:rPr>
          <w:rFonts w:ascii="Arial" w:hAnsi="Arial" w:cs="Arial"/>
          <w:sz w:val="24"/>
          <w:szCs w:val="24"/>
        </w:rPr>
        <w:t>nnu</w:t>
      </w:r>
      <w:r w:rsidR="00AC6B92" w:rsidRPr="00F211FB">
        <w:rPr>
          <w:rFonts w:ascii="Arial" w:hAnsi="Arial" w:cs="Arial"/>
          <w:sz w:val="24"/>
          <w:szCs w:val="24"/>
        </w:rPr>
        <w:t>a</w:t>
      </w:r>
      <w:r w:rsidR="001E1868" w:rsidRPr="00F211FB">
        <w:rPr>
          <w:rFonts w:ascii="Arial" w:hAnsi="Arial" w:cs="Arial"/>
          <w:sz w:val="24"/>
          <w:szCs w:val="24"/>
        </w:rPr>
        <w:t>l statement</w:t>
      </w:r>
      <w:r w:rsidR="00AC6B92" w:rsidRPr="00F211FB">
        <w:rPr>
          <w:rFonts w:ascii="Arial" w:hAnsi="Arial" w:cs="Arial"/>
          <w:sz w:val="24"/>
          <w:szCs w:val="24"/>
        </w:rPr>
        <w:t>s</w:t>
      </w:r>
      <w:r w:rsidR="001E1868" w:rsidRPr="00F211FB">
        <w:rPr>
          <w:rFonts w:ascii="Arial" w:hAnsi="Arial" w:cs="Arial"/>
          <w:sz w:val="24"/>
          <w:szCs w:val="24"/>
        </w:rPr>
        <w:t xml:space="preserve"> 2023</w:t>
      </w:r>
      <w:r w:rsidR="00AC6B92" w:rsidRPr="00F211FB">
        <w:rPr>
          <w:rFonts w:ascii="Arial" w:hAnsi="Arial" w:cs="Arial"/>
          <w:sz w:val="24"/>
          <w:szCs w:val="24"/>
        </w:rPr>
        <w:t>.</w:t>
      </w:r>
    </w:p>
    <w:p w14:paraId="30C1652F" w14:textId="670C5A78" w:rsidR="00DC2D52" w:rsidRDefault="00DB0CE3" w:rsidP="00F211FB">
      <w:pPr>
        <w:keepNext/>
        <w:jc w:val="center"/>
      </w:pPr>
      <w:r w:rsidRPr="00DB0CE3">
        <w:rPr>
          <w:noProof/>
        </w:rPr>
        <w:drawing>
          <wp:inline distT="0" distB="0" distL="0" distR="0" wp14:anchorId="3D6372C6" wp14:editId="5FF45931">
            <wp:extent cx="5611280" cy="4182039"/>
            <wp:effectExtent l="0" t="0" r="0" b="0"/>
            <wp:docPr id="91885441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626652" cy="4193496"/>
                    </a:xfrm>
                    <a:prstGeom prst="rect">
                      <a:avLst/>
                    </a:prstGeom>
                    <a:noFill/>
                    <a:ln>
                      <a:noFill/>
                    </a:ln>
                  </pic:spPr>
                </pic:pic>
              </a:graphicData>
            </a:graphic>
          </wp:inline>
        </w:drawing>
      </w:r>
    </w:p>
    <w:p w14:paraId="3A421C42" w14:textId="620D2EB6" w:rsidR="005C22E9" w:rsidRPr="00034ED4" w:rsidRDefault="00BC6C95" w:rsidP="00FC2577">
      <w:pPr>
        <w:pStyle w:val="Caption"/>
        <w:jc w:val="center"/>
        <w:rPr>
          <w:rFonts w:ascii="Arial" w:hAnsi="Arial" w:cs="Arial"/>
          <w:sz w:val="24"/>
          <w:szCs w:val="24"/>
        </w:rPr>
      </w:pPr>
      <w:r w:rsidRPr="00034ED4">
        <w:rPr>
          <w:rFonts w:ascii="Arial" w:hAnsi="Arial" w:cs="Arial"/>
          <w:sz w:val="24"/>
          <w:szCs w:val="24"/>
        </w:rPr>
        <w:t xml:space="preserve">Figure </w:t>
      </w:r>
      <w:r w:rsidRPr="00034ED4">
        <w:rPr>
          <w:rFonts w:ascii="Arial" w:hAnsi="Arial" w:cs="Arial"/>
          <w:sz w:val="24"/>
          <w:szCs w:val="24"/>
        </w:rPr>
        <w:fldChar w:fldCharType="begin"/>
      </w:r>
      <w:r w:rsidRPr="00034ED4">
        <w:rPr>
          <w:rFonts w:ascii="Arial" w:hAnsi="Arial" w:cs="Arial"/>
          <w:sz w:val="24"/>
          <w:szCs w:val="24"/>
        </w:rPr>
        <w:instrText xml:space="preserve"> SEQ Figure \* ARABIC </w:instrText>
      </w:r>
      <w:r w:rsidRPr="00034ED4">
        <w:rPr>
          <w:rFonts w:ascii="Arial" w:hAnsi="Arial" w:cs="Arial"/>
          <w:sz w:val="24"/>
          <w:szCs w:val="24"/>
        </w:rPr>
        <w:fldChar w:fldCharType="separate"/>
      </w:r>
      <w:r w:rsidR="001E1868" w:rsidRPr="00034ED4">
        <w:rPr>
          <w:rFonts w:ascii="Arial" w:hAnsi="Arial" w:cs="Arial"/>
          <w:noProof/>
          <w:sz w:val="24"/>
          <w:szCs w:val="24"/>
        </w:rPr>
        <w:t>8</w:t>
      </w:r>
      <w:r w:rsidRPr="00034ED4">
        <w:rPr>
          <w:rFonts w:ascii="Arial" w:hAnsi="Arial" w:cs="Arial"/>
          <w:sz w:val="24"/>
          <w:szCs w:val="24"/>
        </w:rPr>
        <w:fldChar w:fldCharType="end"/>
      </w:r>
      <w:r w:rsidRPr="00034ED4">
        <w:rPr>
          <w:rFonts w:ascii="Arial" w:hAnsi="Arial" w:cs="Arial"/>
          <w:sz w:val="24"/>
          <w:szCs w:val="24"/>
        </w:rPr>
        <w:t xml:space="preserve"> – Comparing Ford to its top 4 competitors</w:t>
      </w:r>
      <w:r w:rsidR="00D87166" w:rsidRPr="00034ED4">
        <w:rPr>
          <w:rFonts w:ascii="Arial" w:hAnsi="Arial" w:cs="Arial"/>
          <w:sz w:val="24"/>
          <w:szCs w:val="24"/>
        </w:rPr>
        <w:t xml:space="preserve"> by </w:t>
      </w:r>
      <w:r w:rsidR="00F534CC" w:rsidRPr="00034ED4">
        <w:rPr>
          <w:rFonts w:ascii="Arial" w:hAnsi="Arial" w:cs="Arial"/>
          <w:sz w:val="24"/>
          <w:szCs w:val="24"/>
        </w:rPr>
        <w:t>ratios.</w:t>
      </w:r>
    </w:p>
    <w:p w14:paraId="696AD91D" w14:textId="45798246" w:rsidR="001E1868" w:rsidRDefault="00BC6C95" w:rsidP="00034ED4">
      <w:pPr>
        <w:jc w:val="center"/>
      </w:pPr>
      <w:r>
        <w:t xml:space="preserve">Sources: </w:t>
      </w:r>
      <w:bookmarkStart w:id="23" w:name="_Hlk164440136"/>
      <w:r>
        <w:t>Own creation by the a</w:t>
      </w:r>
      <w:r w:rsidR="00FC2577">
        <w:t>uthor</w:t>
      </w:r>
      <w:bookmarkEnd w:id="23"/>
    </w:p>
    <w:p w14:paraId="040C33F3" w14:textId="77777777" w:rsidR="001E1868" w:rsidRDefault="001E1868" w:rsidP="001E1868">
      <w:pPr>
        <w:keepNext/>
        <w:jc w:val="center"/>
      </w:pPr>
      <w:r>
        <w:rPr>
          <w:noProof/>
        </w:rPr>
        <w:lastRenderedPageBreak/>
        <w:drawing>
          <wp:inline distT="0" distB="0" distL="0" distR="0" wp14:anchorId="4BCBF99E" wp14:editId="3F576C60">
            <wp:extent cx="5499100" cy="3213100"/>
            <wp:effectExtent l="0" t="0" r="6350" b="6350"/>
            <wp:docPr id="1679694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7754F576" w14:textId="0868996B" w:rsidR="00116B5E" w:rsidRPr="00034ED4" w:rsidRDefault="001E1868" w:rsidP="001E1868">
      <w:pPr>
        <w:pStyle w:val="Caption"/>
        <w:jc w:val="center"/>
        <w:rPr>
          <w:rFonts w:ascii="Arial" w:hAnsi="Arial" w:cs="Arial"/>
          <w:sz w:val="24"/>
          <w:szCs w:val="24"/>
        </w:rPr>
      </w:pPr>
      <w:r w:rsidRPr="00034ED4">
        <w:rPr>
          <w:rFonts w:ascii="Arial" w:hAnsi="Arial" w:cs="Arial"/>
          <w:sz w:val="24"/>
          <w:szCs w:val="24"/>
        </w:rPr>
        <w:t xml:space="preserve">Figure </w:t>
      </w:r>
      <w:r w:rsidRPr="00034ED4">
        <w:rPr>
          <w:rFonts w:ascii="Arial" w:hAnsi="Arial" w:cs="Arial"/>
          <w:sz w:val="24"/>
          <w:szCs w:val="24"/>
        </w:rPr>
        <w:fldChar w:fldCharType="begin"/>
      </w:r>
      <w:r w:rsidRPr="00034ED4">
        <w:rPr>
          <w:rFonts w:ascii="Arial" w:hAnsi="Arial" w:cs="Arial"/>
          <w:sz w:val="24"/>
          <w:szCs w:val="24"/>
        </w:rPr>
        <w:instrText xml:space="preserve"> SEQ Figure \* ARABIC </w:instrText>
      </w:r>
      <w:r w:rsidRPr="00034ED4">
        <w:rPr>
          <w:rFonts w:ascii="Arial" w:hAnsi="Arial" w:cs="Arial"/>
          <w:sz w:val="24"/>
          <w:szCs w:val="24"/>
        </w:rPr>
        <w:fldChar w:fldCharType="separate"/>
      </w:r>
      <w:r w:rsidRPr="00034ED4">
        <w:rPr>
          <w:rFonts w:ascii="Arial" w:hAnsi="Arial" w:cs="Arial"/>
          <w:noProof/>
          <w:sz w:val="24"/>
          <w:szCs w:val="24"/>
        </w:rPr>
        <w:t>9</w:t>
      </w:r>
      <w:r w:rsidRPr="00034ED4">
        <w:rPr>
          <w:rFonts w:ascii="Arial" w:hAnsi="Arial" w:cs="Arial"/>
          <w:sz w:val="24"/>
          <w:szCs w:val="24"/>
        </w:rPr>
        <w:fldChar w:fldCharType="end"/>
      </w:r>
      <w:r w:rsidRPr="00034ED4">
        <w:rPr>
          <w:rFonts w:ascii="Arial" w:hAnsi="Arial" w:cs="Arial"/>
          <w:sz w:val="24"/>
          <w:szCs w:val="24"/>
        </w:rPr>
        <w:t xml:space="preserve"> – Compering Ford`s ratio to its competitors</w:t>
      </w:r>
      <w:r w:rsidR="00034ED4">
        <w:rPr>
          <w:rFonts w:ascii="Arial" w:hAnsi="Arial" w:cs="Arial"/>
          <w:sz w:val="24"/>
          <w:szCs w:val="24"/>
        </w:rPr>
        <w:t>.</w:t>
      </w:r>
    </w:p>
    <w:p w14:paraId="3F20555D" w14:textId="2EF56519" w:rsidR="0088742C" w:rsidRPr="0088742C" w:rsidRDefault="0088742C" w:rsidP="0088742C">
      <w:pPr>
        <w:jc w:val="center"/>
      </w:pPr>
      <w:r>
        <w:t xml:space="preserve">Sources: </w:t>
      </w:r>
      <w:r w:rsidRPr="0088742C">
        <w:t>Own creation by the author</w:t>
      </w:r>
    </w:p>
    <w:p w14:paraId="21753752" w14:textId="77777777" w:rsidR="007E3A37" w:rsidRDefault="007E3A37" w:rsidP="00BE18A1"/>
    <w:p w14:paraId="2BC34D57" w14:textId="4A50A6CA" w:rsidR="00322D6C" w:rsidRPr="00DB7241" w:rsidRDefault="00322D6C" w:rsidP="00DB7241">
      <w:pPr>
        <w:spacing w:line="360" w:lineRule="auto"/>
        <w:jc w:val="both"/>
        <w:rPr>
          <w:rFonts w:ascii="Arial" w:hAnsi="Arial" w:cs="Arial"/>
          <w:sz w:val="24"/>
          <w:szCs w:val="24"/>
        </w:rPr>
      </w:pPr>
      <w:r w:rsidRPr="00322D6C">
        <w:rPr>
          <w:rFonts w:ascii="Arial" w:hAnsi="Arial" w:cs="Arial"/>
          <w:sz w:val="24"/>
          <w:szCs w:val="24"/>
        </w:rPr>
        <w:t xml:space="preserve">Ford has a comparatively smaller </w:t>
      </w:r>
      <w:r w:rsidRPr="00B142DB">
        <w:rPr>
          <w:rFonts w:ascii="Arial" w:hAnsi="Arial" w:cs="Arial"/>
          <w:b/>
          <w:bCs/>
          <w:sz w:val="24"/>
          <w:szCs w:val="24"/>
        </w:rPr>
        <w:t>gross margin</w:t>
      </w:r>
      <w:r w:rsidRPr="00322D6C">
        <w:rPr>
          <w:rFonts w:ascii="Arial" w:hAnsi="Arial" w:cs="Arial"/>
          <w:sz w:val="24"/>
          <w:szCs w:val="24"/>
        </w:rPr>
        <w:t xml:space="preserve"> when compared to Toyota, Volkswagen, or Honda. </w:t>
      </w:r>
      <w:r w:rsidR="00234E9F">
        <w:rPr>
          <w:rFonts w:ascii="Arial" w:hAnsi="Arial" w:cs="Arial"/>
          <w:sz w:val="24"/>
          <w:szCs w:val="24"/>
        </w:rPr>
        <w:t>G</w:t>
      </w:r>
      <w:r w:rsidRPr="00322D6C">
        <w:rPr>
          <w:rFonts w:ascii="Arial" w:hAnsi="Arial" w:cs="Arial"/>
          <w:sz w:val="24"/>
          <w:szCs w:val="24"/>
        </w:rPr>
        <w:t xml:space="preserve">oss margin is a measure of a </w:t>
      </w:r>
      <w:r w:rsidR="00787AEB" w:rsidRPr="00322D6C">
        <w:rPr>
          <w:rFonts w:ascii="Arial" w:hAnsi="Arial" w:cs="Arial"/>
          <w:sz w:val="24"/>
          <w:szCs w:val="24"/>
        </w:rPr>
        <w:t>corps'</w:t>
      </w:r>
      <w:r w:rsidRPr="00322D6C">
        <w:rPr>
          <w:rFonts w:ascii="Arial" w:hAnsi="Arial" w:cs="Arial"/>
          <w:sz w:val="24"/>
          <w:szCs w:val="24"/>
        </w:rPr>
        <w:t xml:space="preserve"> profitability from its main operations, and a higher margin suggests greater efficiency in production and pricing tactics. Nevertheless, additional elements such as the robustness of the brand, the excellence of the product, and the strategic placement in the market also have a significant impact on the overall profitability.</w:t>
      </w:r>
      <w:r w:rsidR="00DB7241">
        <w:rPr>
          <w:rFonts w:ascii="Arial" w:hAnsi="Arial" w:cs="Arial"/>
          <w:sz w:val="24"/>
          <w:szCs w:val="24"/>
        </w:rPr>
        <w:t xml:space="preserve"> (</w:t>
      </w:r>
      <w:r w:rsidR="00DB7241" w:rsidRPr="00DB7241">
        <w:rPr>
          <w:rFonts w:ascii="Arial" w:hAnsi="Arial" w:cs="Arial"/>
          <w:sz w:val="24"/>
          <w:szCs w:val="24"/>
        </w:rPr>
        <w:t>Sven Erik Johansson, 1998</w:t>
      </w:r>
      <w:r w:rsidR="00DB7241">
        <w:rPr>
          <w:rFonts w:ascii="Arial" w:hAnsi="Arial" w:cs="Arial"/>
          <w:sz w:val="24"/>
          <w:szCs w:val="24"/>
        </w:rPr>
        <w:t>)</w:t>
      </w:r>
    </w:p>
    <w:p w14:paraId="50B350B2" w14:textId="77777777" w:rsidR="004C0823" w:rsidRDefault="004C0823" w:rsidP="00DB7241">
      <w:pPr>
        <w:keepNext/>
        <w:jc w:val="center"/>
      </w:pPr>
      <w:r>
        <w:rPr>
          <w:noProof/>
        </w:rPr>
        <w:drawing>
          <wp:inline distT="0" distB="0" distL="0" distR="0" wp14:anchorId="7A75400E" wp14:editId="55A36FDF">
            <wp:extent cx="4050665" cy="2366786"/>
            <wp:effectExtent l="0" t="0" r="6985" b="0"/>
            <wp:docPr id="8776926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67259" cy="2376482"/>
                    </a:xfrm>
                    <a:prstGeom prst="rect">
                      <a:avLst/>
                    </a:prstGeom>
                    <a:noFill/>
                  </pic:spPr>
                </pic:pic>
              </a:graphicData>
            </a:graphic>
          </wp:inline>
        </w:drawing>
      </w:r>
    </w:p>
    <w:p w14:paraId="1442B8C9" w14:textId="1747D677" w:rsidR="00F534CC" w:rsidRPr="00DB7241" w:rsidRDefault="004C0823" w:rsidP="0063089A">
      <w:pPr>
        <w:pStyle w:val="Caption"/>
        <w:jc w:val="center"/>
        <w:rPr>
          <w:rFonts w:ascii="Arial" w:hAnsi="Arial" w:cs="Arial"/>
          <w:sz w:val="24"/>
          <w:szCs w:val="24"/>
        </w:rPr>
      </w:pPr>
      <w:r w:rsidRPr="00DB7241">
        <w:rPr>
          <w:rFonts w:ascii="Arial" w:hAnsi="Arial" w:cs="Arial"/>
          <w:sz w:val="24"/>
          <w:szCs w:val="24"/>
        </w:rPr>
        <w:t xml:space="preserve">Figure </w:t>
      </w:r>
      <w:r w:rsidRPr="00DB7241">
        <w:rPr>
          <w:rFonts w:ascii="Arial" w:hAnsi="Arial" w:cs="Arial"/>
          <w:sz w:val="24"/>
          <w:szCs w:val="24"/>
        </w:rPr>
        <w:fldChar w:fldCharType="begin"/>
      </w:r>
      <w:r w:rsidRPr="00DB7241">
        <w:rPr>
          <w:rFonts w:ascii="Arial" w:hAnsi="Arial" w:cs="Arial"/>
          <w:sz w:val="24"/>
          <w:szCs w:val="24"/>
        </w:rPr>
        <w:instrText xml:space="preserve"> SEQ Figure \* ARABIC </w:instrText>
      </w:r>
      <w:r w:rsidRPr="00DB7241">
        <w:rPr>
          <w:rFonts w:ascii="Arial" w:hAnsi="Arial" w:cs="Arial"/>
          <w:sz w:val="24"/>
          <w:szCs w:val="24"/>
        </w:rPr>
        <w:fldChar w:fldCharType="separate"/>
      </w:r>
      <w:r w:rsidR="001E1868" w:rsidRPr="00DB7241">
        <w:rPr>
          <w:rFonts w:ascii="Arial" w:hAnsi="Arial" w:cs="Arial"/>
          <w:noProof/>
          <w:sz w:val="24"/>
          <w:szCs w:val="24"/>
        </w:rPr>
        <w:t>10</w:t>
      </w:r>
      <w:r w:rsidRPr="00DB7241">
        <w:rPr>
          <w:rFonts w:ascii="Arial" w:hAnsi="Arial" w:cs="Arial"/>
          <w:sz w:val="24"/>
          <w:szCs w:val="24"/>
        </w:rPr>
        <w:fldChar w:fldCharType="end"/>
      </w:r>
      <w:r w:rsidRPr="00DB7241">
        <w:rPr>
          <w:rFonts w:ascii="Arial" w:hAnsi="Arial" w:cs="Arial"/>
          <w:sz w:val="24"/>
          <w:szCs w:val="24"/>
        </w:rPr>
        <w:t xml:space="preserve"> – Comparing Ford`s ratio to </w:t>
      </w:r>
      <w:r w:rsidR="003E0C51" w:rsidRPr="00DB7241">
        <w:rPr>
          <w:rFonts w:ascii="Arial" w:hAnsi="Arial" w:cs="Arial"/>
          <w:sz w:val="24"/>
          <w:szCs w:val="24"/>
        </w:rPr>
        <w:t>four majors’ competitors</w:t>
      </w:r>
      <w:r w:rsidR="001D4BC9" w:rsidRPr="00DB7241">
        <w:rPr>
          <w:rFonts w:ascii="Arial" w:hAnsi="Arial" w:cs="Arial"/>
          <w:sz w:val="24"/>
          <w:szCs w:val="24"/>
        </w:rPr>
        <w:t>.</w:t>
      </w:r>
    </w:p>
    <w:p w14:paraId="73000F52" w14:textId="7D66FDC6" w:rsidR="00190148" w:rsidRDefault="003E0C51" w:rsidP="00DB7241">
      <w:pPr>
        <w:jc w:val="center"/>
      </w:pPr>
      <w:r>
        <w:t xml:space="preserve">Sources: </w:t>
      </w:r>
      <w:r w:rsidRPr="003E0C51">
        <w:t>Own creation</w:t>
      </w:r>
    </w:p>
    <w:p w14:paraId="250AD981" w14:textId="24BD266F" w:rsidR="000679F6" w:rsidRDefault="00234E9F" w:rsidP="00B27113">
      <w:pPr>
        <w:spacing w:line="360" w:lineRule="auto"/>
        <w:jc w:val="both"/>
        <w:rPr>
          <w:rFonts w:ascii="Arial" w:hAnsi="Arial" w:cs="Arial"/>
          <w:sz w:val="24"/>
          <w:szCs w:val="24"/>
        </w:rPr>
      </w:pPr>
      <w:r>
        <w:rPr>
          <w:rFonts w:ascii="Arial" w:hAnsi="Arial" w:cs="Arial"/>
          <w:sz w:val="24"/>
          <w:szCs w:val="24"/>
        </w:rPr>
        <w:lastRenderedPageBreak/>
        <w:t>I</w:t>
      </w:r>
      <w:r w:rsidR="00C169B6" w:rsidRPr="00B27113">
        <w:rPr>
          <w:rFonts w:ascii="Arial" w:hAnsi="Arial" w:cs="Arial"/>
          <w:sz w:val="24"/>
          <w:szCs w:val="24"/>
        </w:rPr>
        <w:t xml:space="preserve">deal current ratio is often between 1.2 and 2, which signifies that the company has current assets that are twice as much as its liabilities. This allows the corporation to fulfil its debt obligations. A current ratio below 1 shows insufficient liquid assets for meeting short-term obligations. </w:t>
      </w:r>
      <w:r w:rsidR="007D1DDB" w:rsidRPr="00B27113">
        <w:rPr>
          <w:rFonts w:ascii="Arial" w:hAnsi="Arial" w:cs="Arial"/>
          <w:sz w:val="24"/>
          <w:szCs w:val="24"/>
        </w:rPr>
        <w:t xml:space="preserve"> </w:t>
      </w:r>
      <w:r w:rsidR="0088352C" w:rsidRPr="00B27113">
        <w:rPr>
          <w:rFonts w:ascii="Arial" w:hAnsi="Arial" w:cs="Arial"/>
          <w:sz w:val="24"/>
          <w:szCs w:val="24"/>
        </w:rPr>
        <w:t xml:space="preserve">(Böhm, 2008) </w:t>
      </w:r>
      <w:r w:rsidR="00B27113" w:rsidRPr="00B27113">
        <w:rPr>
          <w:rFonts w:ascii="Arial" w:hAnsi="Arial" w:cs="Arial"/>
          <w:sz w:val="24"/>
          <w:szCs w:val="24"/>
        </w:rPr>
        <w:t xml:space="preserve">Similar to its rivals, Ford has the </w:t>
      </w:r>
      <w:r w:rsidR="00DB3C90">
        <w:rPr>
          <w:rFonts w:ascii="Arial" w:hAnsi="Arial" w:cs="Arial"/>
          <w:sz w:val="24"/>
          <w:szCs w:val="24"/>
        </w:rPr>
        <w:t>c</w:t>
      </w:r>
      <w:r w:rsidR="00B27113" w:rsidRPr="00B27113">
        <w:rPr>
          <w:rFonts w:ascii="Arial" w:hAnsi="Arial" w:cs="Arial"/>
          <w:sz w:val="24"/>
          <w:szCs w:val="24"/>
        </w:rPr>
        <w:t>a</w:t>
      </w:r>
      <w:r w:rsidR="00DB3C90">
        <w:rPr>
          <w:rFonts w:ascii="Arial" w:hAnsi="Arial" w:cs="Arial"/>
          <w:sz w:val="24"/>
          <w:szCs w:val="24"/>
        </w:rPr>
        <w:t>pa</w:t>
      </w:r>
      <w:r w:rsidR="00B27113" w:rsidRPr="00B27113">
        <w:rPr>
          <w:rFonts w:ascii="Arial" w:hAnsi="Arial" w:cs="Arial"/>
          <w:sz w:val="24"/>
          <w:szCs w:val="24"/>
        </w:rPr>
        <w:t xml:space="preserve">bility to meet its </w:t>
      </w:r>
      <w:r w:rsidR="00DB3C90" w:rsidRPr="00B27113">
        <w:rPr>
          <w:rFonts w:ascii="Arial" w:hAnsi="Arial" w:cs="Arial"/>
          <w:sz w:val="24"/>
          <w:szCs w:val="24"/>
        </w:rPr>
        <w:t>monetary</w:t>
      </w:r>
      <w:r w:rsidR="00B27113" w:rsidRPr="00B27113">
        <w:rPr>
          <w:rFonts w:ascii="Arial" w:hAnsi="Arial" w:cs="Arial"/>
          <w:sz w:val="24"/>
          <w:szCs w:val="24"/>
        </w:rPr>
        <w:t xml:space="preserve"> </w:t>
      </w:r>
      <w:r w:rsidR="00DB3C90" w:rsidRPr="00B27113">
        <w:rPr>
          <w:rFonts w:ascii="Arial" w:hAnsi="Arial" w:cs="Arial"/>
          <w:sz w:val="24"/>
          <w:szCs w:val="24"/>
        </w:rPr>
        <w:t>requirements</w:t>
      </w:r>
      <w:r w:rsidR="00B27113" w:rsidRPr="00B27113">
        <w:rPr>
          <w:rFonts w:ascii="Arial" w:hAnsi="Arial" w:cs="Arial"/>
          <w:sz w:val="24"/>
          <w:szCs w:val="24"/>
        </w:rPr>
        <w:t xml:space="preserve"> in the foreseeable future, so strengthening its credibility and bargaining power in discussions. Ford is better positioned than General Motors or Toyota to capitalise on potential growth opportunities or strategic investments that may arise.</w:t>
      </w:r>
    </w:p>
    <w:p w14:paraId="5347DC84" w14:textId="00EAF732" w:rsidR="006660B1" w:rsidRPr="00B27113" w:rsidRDefault="00604962" w:rsidP="00B27113">
      <w:pPr>
        <w:spacing w:line="360" w:lineRule="auto"/>
        <w:jc w:val="both"/>
        <w:rPr>
          <w:rFonts w:ascii="Arial" w:hAnsi="Arial" w:cs="Arial"/>
          <w:sz w:val="24"/>
          <w:szCs w:val="24"/>
        </w:rPr>
      </w:pPr>
      <w:r w:rsidRPr="00604962">
        <w:rPr>
          <w:rFonts w:ascii="Arial" w:hAnsi="Arial" w:cs="Arial"/>
          <w:sz w:val="24"/>
          <w:szCs w:val="24"/>
        </w:rPr>
        <w:t xml:space="preserve">Examining the </w:t>
      </w:r>
      <w:r w:rsidRPr="00604962">
        <w:rPr>
          <w:rFonts w:ascii="Arial" w:hAnsi="Arial" w:cs="Arial"/>
          <w:b/>
          <w:bCs/>
          <w:sz w:val="24"/>
          <w:szCs w:val="24"/>
        </w:rPr>
        <w:t>debt-to-equity ratio</w:t>
      </w:r>
      <w:r w:rsidRPr="00604962">
        <w:rPr>
          <w:rFonts w:ascii="Arial" w:hAnsi="Arial" w:cs="Arial"/>
          <w:sz w:val="24"/>
          <w:szCs w:val="24"/>
        </w:rPr>
        <w:t xml:space="preserve"> when comparing </w:t>
      </w:r>
      <w:r w:rsidR="002F229B" w:rsidRPr="00604962">
        <w:rPr>
          <w:rFonts w:ascii="Arial" w:hAnsi="Arial" w:cs="Arial"/>
          <w:sz w:val="24"/>
          <w:szCs w:val="24"/>
        </w:rPr>
        <w:t>enterprises</w:t>
      </w:r>
      <w:r w:rsidRPr="00604962">
        <w:rPr>
          <w:rFonts w:ascii="Arial" w:hAnsi="Arial" w:cs="Arial"/>
          <w:sz w:val="24"/>
          <w:szCs w:val="24"/>
        </w:rPr>
        <w:t xml:space="preserve"> in the </w:t>
      </w:r>
      <w:r w:rsidR="00B96988" w:rsidRPr="00604962">
        <w:rPr>
          <w:rFonts w:ascii="Arial" w:hAnsi="Arial" w:cs="Arial"/>
          <w:sz w:val="24"/>
          <w:szCs w:val="24"/>
        </w:rPr>
        <w:t>segment</w:t>
      </w:r>
      <w:r w:rsidRPr="00604962">
        <w:rPr>
          <w:rFonts w:ascii="Arial" w:hAnsi="Arial" w:cs="Arial"/>
          <w:sz w:val="24"/>
          <w:szCs w:val="24"/>
        </w:rPr>
        <w:t xml:space="preserve"> provides a succinct assessment of a company's financial well-being and level of risk, facilitating informed decision-making.</w:t>
      </w:r>
      <w:r w:rsidR="00D35398">
        <w:rPr>
          <w:rFonts w:ascii="Arial" w:hAnsi="Arial" w:cs="Arial"/>
          <w:sz w:val="24"/>
          <w:szCs w:val="24"/>
        </w:rPr>
        <w:t xml:space="preserve"> (Marr, 2012)</w:t>
      </w:r>
      <w:r w:rsidRPr="00604962">
        <w:rPr>
          <w:rFonts w:ascii="Arial" w:hAnsi="Arial" w:cs="Arial"/>
          <w:sz w:val="24"/>
          <w:szCs w:val="24"/>
        </w:rPr>
        <w:t xml:space="preserve"> When analysing Ford Motor in relation to its top </w:t>
      </w:r>
      <w:r>
        <w:rPr>
          <w:rFonts w:ascii="Arial" w:hAnsi="Arial" w:cs="Arial"/>
          <w:sz w:val="24"/>
          <w:szCs w:val="24"/>
        </w:rPr>
        <w:t>four</w:t>
      </w:r>
      <w:r w:rsidRPr="00604962">
        <w:rPr>
          <w:rFonts w:ascii="Arial" w:hAnsi="Arial" w:cs="Arial"/>
          <w:sz w:val="24"/>
          <w:szCs w:val="24"/>
        </w:rPr>
        <w:t xml:space="preserve"> competitors, we can discover the following insights based on the Debt-to-Equity ratio</w:t>
      </w:r>
      <w:r w:rsidR="000E1366">
        <w:rPr>
          <w:rFonts w:ascii="Arial" w:hAnsi="Arial" w:cs="Arial"/>
          <w:sz w:val="24"/>
          <w:szCs w:val="24"/>
        </w:rPr>
        <w:t xml:space="preserve">, </w:t>
      </w:r>
      <w:r w:rsidR="006660B1" w:rsidRPr="006660B1">
        <w:rPr>
          <w:rFonts w:ascii="Arial" w:hAnsi="Arial" w:cs="Arial"/>
          <w:sz w:val="24"/>
          <w:szCs w:val="24"/>
        </w:rPr>
        <w:t>Ford Motor has a greater debt-to-equity ratio of 3.49 compared to its top 4 rivals.</w:t>
      </w:r>
      <w:r w:rsidR="000E1366">
        <w:rPr>
          <w:rFonts w:ascii="Arial" w:hAnsi="Arial" w:cs="Arial"/>
          <w:sz w:val="24"/>
          <w:szCs w:val="24"/>
        </w:rPr>
        <w:t xml:space="preserve"> </w:t>
      </w:r>
      <w:r w:rsidR="006660B1" w:rsidRPr="006660B1">
        <w:rPr>
          <w:rFonts w:ascii="Arial" w:hAnsi="Arial" w:cs="Arial"/>
          <w:sz w:val="24"/>
          <w:szCs w:val="24"/>
        </w:rPr>
        <w:t>A bigger debt burden may enhance financial vulnerability for the organisation.</w:t>
      </w:r>
    </w:p>
    <w:p w14:paraId="7DD88D73" w14:textId="57688B50" w:rsidR="001C2852" w:rsidRPr="00424956" w:rsidRDefault="00424956" w:rsidP="00424956">
      <w:pPr>
        <w:spacing w:line="360" w:lineRule="auto"/>
        <w:jc w:val="both"/>
        <w:rPr>
          <w:rFonts w:ascii="Arial" w:hAnsi="Arial" w:cs="Arial"/>
          <w:sz w:val="24"/>
          <w:szCs w:val="24"/>
        </w:rPr>
      </w:pPr>
      <w:r w:rsidRPr="00424956">
        <w:rPr>
          <w:rFonts w:ascii="Arial" w:hAnsi="Arial" w:cs="Arial"/>
          <w:sz w:val="24"/>
          <w:szCs w:val="24"/>
        </w:rPr>
        <w:t xml:space="preserve">Ford's </w:t>
      </w:r>
      <w:r w:rsidRPr="00A70D4B">
        <w:rPr>
          <w:rFonts w:ascii="Arial" w:hAnsi="Arial" w:cs="Arial"/>
          <w:b/>
          <w:bCs/>
          <w:sz w:val="24"/>
          <w:szCs w:val="24"/>
        </w:rPr>
        <w:t>inventory turnover ratio</w:t>
      </w:r>
      <w:r w:rsidRPr="00424956">
        <w:rPr>
          <w:rFonts w:ascii="Arial" w:hAnsi="Arial" w:cs="Arial"/>
          <w:sz w:val="24"/>
          <w:szCs w:val="24"/>
        </w:rPr>
        <w:t xml:space="preserve"> surpasses those of its four competitors. A high inventory turnover ratio </w:t>
      </w:r>
      <w:r w:rsidR="00B96988" w:rsidRPr="00424956">
        <w:rPr>
          <w:rFonts w:ascii="Arial" w:hAnsi="Arial" w:cs="Arial"/>
          <w:sz w:val="24"/>
          <w:szCs w:val="24"/>
        </w:rPr>
        <w:t>signifies</w:t>
      </w:r>
      <w:r w:rsidRPr="00424956">
        <w:rPr>
          <w:rFonts w:ascii="Arial" w:hAnsi="Arial" w:cs="Arial"/>
          <w:sz w:val="24"/>
          <w:szCs w:val="24"/>
        </w:rPr>
        <w:t xml:space="preserve"> that the </w:t>
      </w:r>
      <w:r w:rsidR="00276381" w:rsidRPr="00424956">
        <w:rPr>
          <w:rFonts w:ascii="Arial" w:hAnsi="Arial" w:cs="Arial"/>
          <w:sz w:val="24"/>
          <w:szCs w:val="24"/>
        </w:rPr>
        <w:t>enterprise</w:t>
      </w:r>
      <w:r w:rsidRPr="00424956">
        <w:rPr>
          <w:rFonts w:ascii="Arial" w:hAnsi="Arial" w:cs="Arial"/>
          <w:sz w:val="24"/>
          <w:szCs w:val="24"/>
        </w:rPr>
        <w:t xml:space="preserve"> is efficiently and rapidly selling its inventory.</w:t>
      </w:r>
      <w:r w:rsidR="00A70D4B">
        <w:rPr>
          <w:rFonts w:ascii="Arial" w:hAnsi="Arial" w:cs="Arial"/>
          <w:sz w:val="24"/>
          <w:szCs w:val="24"/>
        </w:rPr>
        <w:t xml:space="preserve"> (Bragg, 2017).</w:t>
      </w:r>
      <w:r w:rsidRPr="00424956">
        <w:rPr>
          <w:rFonts w:ascii="Arial" w:hAnsi="Arial" w:cs="Arial"/>
          <w:sz w:val="24"/>
          <w:szCs w:val="24"/>
        </w:rPr>
        <w:t xml:space="preserve"> Consequently, there is a reduced amount of capital invested in unsold merchandise. This allows for the allocation of funds to other investments or operating requirements. Automakers with high inventory turnover percentages may employ efficient sales methods. Ford </w:t>
      </w:r>
      <w:proofErr w:type="gramStart"/>
      <w:r w:rsidRPr="00424956">
        <w:rPr>
          <w:rFonts w:ascii="Arial" w:hAnsi="Arial" w:cs="Arial"/>
          <w:sz w:val="24"/>
          <w:szCs w:val="24"/>
        </w:rPr>
        <w:t>has the ability to</w:t>
      </w:r>
      <w:proofErr w:type="gramEnd"/>
      <w:r w:rsidRPr="00424956">
        <w:rPr>
          <w:rFonts w:ascii="Arial" w:hAnsi="Arial" w:cs="Arial"/>
          <w:sz w:val="24"/>
          <w:szCs w:val="24"/>
        </w:rPr>
        <w:t xml:space="preserve"> respond to changes in market demand, make necessary adjustments to pricing, and efficiently manage inventory levels.</w:t>
      </w:r>
    </w:p>
    <w:p w14:paraId="536D14A5" w14:textId="77777777" w:rsidR="00424956" w:rsidRDefault="00424956" w:rsidP="001C2852"/>
    <w:p w14:paraId="5140F343" w14:textId="43429471" w:rsidR="001C2852" w:rsidRDefault="004644A9" w:rsidP="004644A9">
      <w:pPr>
        <w:pStyle w:val="Heading2"/>
        <w:numPr>
          <w:ilvl w:val="0"/>
          <w:numId w:val="4"/>
        </w:numPr>
      </w:pPr>
      <w:bookmarkStart w:id="24" w:name="_Toc164624837"/>
      <w:r w:rsidRPr="004644A9">
        <w:t>Recommendations on improving the financial management</w:t>
      </w:r>
      <w:r w:rsidR="00781F5C">
        <w:t>.</w:t>
      </w:r>
      <w:bookmarkEnd w:id="24"/>
    </w:p>
    <w:p w14:paraId="59FD7597" w14:textId="77777777" w:rsidR="00CF69BD" w:rsidRPr="00CF69BD" w:rsidRDefault="00CF69BD" w:rsidP="00CF69BD"/>
    <w:p w14:paraId="6A38E4DE" w14:textId="11CD72C6" w:rsidR="00FC4180" w:rsidRPr="00BC5603" w:rsidRDefault="002D23F1" w:rsidP="00BC5603">
      <w:pPr>
        <w:spacing w:line="360" w:lineRule="auto"/>
        <w:jc w:val="both"/>
        <w:rPr>
          <w:rFonts w:ascii="Arial" w:hAnsi="Arial" w:cs="Arial"/>
          <w:sz w:val="24"/>
          <w:szCs w:val="24"/>
        </w:rPr>
      </w:pPr>
      <w:r w:rsidRPr="00BC5603">
        <w:rPr>
          <w:rFonts w:ascii="Arial" w:hAnsi="Arial" w:cs="Arial"/>
          <w:sz w:val="24"/>
          <w:szCs w:val="24"/>
        </w:rPr>
        <w:t>To enhance Ford's financial management, a comprehensive strategy is required to tackle different facets of the company's operations. This includes</w:t>
      </w:r>
      <w:r w:rsidR="00B63512" w:rsidRPr="00BC5603">
        <w:rPr>
          <w:rFonts w:ascii="Arial" w:hAnsi="Arial" w:cs="Arial"/>
          <w:sz w:val="24"/>
          <w:szCs w:val="24"/>
        </w:rPr>
        <w:t>:</w:t>
      </w:r>
    </w:p>
    <w:p w14:paraId="35402674" w14:textId="053F58A8" w:rsidR="002D23F1" w:rsidRPr="00BC5603" w:rsidRDefault="002D23F1" w:rsidP="00BC5603">
      <w:pPr>
        <w:pStyle w:val="ListParagraph"/>
        <w:numPr>
          <w:ilvl w:val="0"/>
          <w:numId w:val="11"/>
        </w:numPr>
        <w:spacing w:line="360" w:lineRule="auto"/>
        <w:jc w:val="both"/>
        <w:rPr>
          <w:rFonts w:ascii="Arial" w:hAnsi="Arial" w:cs="Arial"/>
          <w:sz w:val="24"/>
          <w:szCs w:val="24"/>
        </w:rPr>
      </w:pPr>
      <w:r w:rsidRPr="00BC5603">
        <w:rPr>
          <w:rFonts w:ascii="Arial" w:hAnsi="Arial" w:cs="Arial"/>
          <w:sz w:val="24"/>
          <w:szCs w:val="24"/>
        </w:rPr>
        <w:t>Ford's management to effectively weigh the advantages of debt financing, such as tax benefits and leveraging for growth, against the potential risks of financial distress and higher interest costs.</w:t>
      </w:r>
    </w:p>
    <w:p w14:paraId="283D976B" w14:textId="6B3C8420" w:rsidR="00F73FEC" w:rsidRPr="00BC5603" w:rsidRDefault="002D23F1" w:rsidP="00BC5603">
      <w:pPr>
        <w:pStyle w:val="ListParagraph"/>
        <w:numPr>
          <w:ilvl w:val="0"/>
          <w:numId w:val="10"/>
        </w:numPr>
        <w:spacing w:line="360" w:lineRule="auto"/>
        <w:jc w:val="both"/>
        <w:rPr>
          <w:rFonts w:ascii="Arial" w:hAnsi="Arial" w:cs="Arial"/>
          <w:sz w:val="24"/>
          <w:szCs w:val="24"/>
        </w:rPr>
      </w:pPr>
      <w:r w:rsidRPr="00BC5603">
        <w:rPr>
          <w:rFonts w:ascii="Arial" w:hAnsi="Arial" w:cs="Arial"/>
          <w:sz w:val="24"/>
          <w:szCs w:val="24"/>
        </w:rPr>
        <w:lastRenderedPageBreak/>
        <w:t xml:space="preserve">Assess the financial viability of various car models and make necessary modifications to the product assortment. Direct </w:t>
      </w:r>
      <w:r w:rsidR="006A2938">
        <w:rPr>
          <w:rFonts w:ascii="Arial" w:hAnsi="Arial" w:cs="Arial"/>
          <w:sz w:val="24"/>
          <w:szCs w:val="24"/>
        </w:rPr>
        <w:t>the</w:t>
      </w:r>
      <w:r w:rsidRPr="00BC5603">
        <w:rPr>
          <w:rFonts w:ascii="Arial" w:hAnsi="Arial" w:cs="Arial"/>
          <w:sz w:val="24"/>
          <w:szCs w:val="24"/>
        </w:rPr>
        <w:t xml:space="preserve"> attention towards promoting products with a high profit margin and cease the production or sale of products that are not yielding satisfactory results.</w:t>
      </w:r>
    </w:p>
    <w:p w14:paraId="77313430" w14:textId="77777777" w:rsidR="00F73FEC" w:rsidRPr="00BC5603" w:rsidRDefault="002D23F1" w:rsidP="00BC5603">
      <w:pPr>
        <w:pStyle w:val="ListParagraph"/>
        <w:numPr>
          <w:ilvl w:val="0"/>
          <w:numId w:val="10"/>
        </w:numPr>
        <w:spacing w:line="360" w:lineRule="auto"/>
        <w:jc w:val="both"/>
        <w:rPr>
          <w:rFonts w:ascii="Arial" w:hAnsi="Arial" w:cs="Arial"/>
          <w:sz w:val="24"/>
          <w:szCs w:val="24"/>
        </w:rPr>
      </w:pPr>
      <w:r w:rsidRPr="00BC5603">
        <w:rPr>
          <w:rFonts w:ascii="Arial" w:hAnsi="Arial" w:cs="Arial"/>
          <w:sz w:val="24"/>
          <w:szCs w:val="24"/>
        </w:rPr>
        <w:t>Formulate solutions to minimise risks associated with currency changes, commodity price volatility, and geopolitical concerns.</w:t>
      </w:r>
    </w:p>
    <w:p w14:paraId="09B2629A" w14:textId="77777777" w:rsidR="00337F0D" w:rsidRPr="00BC5603" w:rsidRDefault="002D23F1" w:rsidP="00BC5603">
      <w:pPr>
        <w:pStyle w:val="ListParagraph"/>
        <w:numPr>
          <w:ilvl w:val="0"/>
          <w:numId w:val="10"/>
        </w:numPr>
        <w:spacing w:line="360" w:lineRule="auto"/>
        <w:jc w:val="both"/>
        <w:rPr>
          <w:rFonts w:ascii="Arial" w:hAnsi="Arial" w:cs="Arial"/>
          <w:sz w:val="24"/>
          <w:szCs w:val="24"/>
        </w:rPr>
      </w:pPr>
      <w:r w:rsidRPr="00BC5603">
        <w:rPr>
          <w:rFonts w:ascii="Arial" w:hAnsi="Arial" w:cs="Arial"/>
          <w:sz w:val="24"/>
          <w:szCs w:val="24"/>
        </w:rPr>
        <w:t xml:space="preserve">Evaluate the organization's debt framework and explore potential refinancing alternatives to decrease interest costs. </w:t>
      </w:r>
    </w:p>
    <w:p w14:paraId="30591577" w14:textId="3E9BF199" w:rsidR="00736697" w:rsidRDefault="002D23F1" w:rsidP="00BC5603">
      <w:pPr>
        <w:pStyle w:val="ListParagraph"/>
        <w:numPr>
          <w:ilvl w:val="0"/>
          <w:numId w:val="10"/>
        </w:numPr>
        <w:spacing w:line="360" w:lineRule="auto"/>
        <w:jc w:val="both"/>
        <w:rPr>
          <w:rFonts w:ascii="Arial" w:hAnsi="Arial" w:cs="Arial"/>
          <w:sz w:val="24"/>
          <w:szCs w:val="24"/>
        </w:rPr>
      </w:pPr>
      <w:r w:rsidRPr="00BC5603">
        <w:rPr>
          <w:rFonts w:ascii="Arial" w:hAnsi="Arial" w:cs="Arial"/>
          <w:sz w:val="24"/>
          <w:szCs w:val="24"/>
        </w:rPr>
        <w:t>Ensure financial flexibility by maintaining a conservative level of debt and avoiding excessive leverage.</w:t>
      </w:r>
    </w:p>
    <w:p w14:paraId="18AA514B" w14:textId="05FC0504" w:rsidR="00337F0D" w:rsidRPr="00BC5603" w:rsidRDefault="002D23F1" w:rsidP="00BC5603">
      <w:pPr>
        <w:pStyle w:val="ListParagraph"/>
        <w:numPr>
          <w:ilvl w:val="0"/>
          <w:numId w:val="10"/>
        </w:numPr>
        <w:spacing w:line="360" w:lineRule="auto"/>
        <w:jc w:val="both"/>
        <w:rPr>
          <w:rFonts w:ascii="Arial" w:hAnsi="Arial" w:cs="Arial"/>
          <w:sz w:val="24"/>
          <w:szCs w:val="24"/>
        </w:rPr>
      </w:pPr>
      <w:r w:rsidRPr="00BC5603">
        <w:rPr>
          <w:rFonts w:ascii="Arial" w:hAnsi="Arial" w:cs="Arial"/>
          <w:sz w:val="24"/>
          <w:szCs w:val="24"/>
        </w:rPr>
        <w:t xml:space="preserve">Seek out additional revenue streams beyond vehicle sales, such as financing services, aftermarket parts, and mobility solutions. </w:t>
      </w:r>
    </w:p>
    <w:p w14:paraId="1997DDC5" w14:textId="43D9E170" w:rsidR="0032373B" w:rsidRPr="00BC5603" w:rsidRDefault="002D23F1" w:rsidP="00BC5603">
      <w:pPr>
        <w:pStyle w:val="ListParagraph"/>
        <w:numPr>
          <w:ilvl w:val="0"/>
          <w:numId w:val="10"/>
        </w:numPr>
        <w:spacing w:line="360" w:lineRule="auto"/>
        <w:jc w:val="both"/>
        <w:rPr>
          <w:rFonts w:ascii="Arial" w:hAnsi="Arial" w:cs="Arial"/>
          <w:sz w:val="24"/>
          <w:szCs w:val="24"/>
        </w:rPr>
      </w:pPr>
      <w:r w:rsidRPr="00BC5603">
        <w:rPr>
          <w:rFonts w:ascii="Arial" w:hAnsi="Arial" w:cs="Arial"/>
          <w:sz w:val="24"/>
          <w:szCs w:val="24"/>
        </w:rPr>
        <w:t>Incorporate sustainability principles into business operations to minimise environmental impact and improve brand reputation. Adopt environmentally sustainable techniques across the whole supplier chain and industrial processes.</w:t>
      </w:r>
    </w:p>
    <w:p w14:paraId="4F35F46D" w14:textId="77777777" w:rsidR="0032373B" w:rsidRDefault="0032373B" w:rsidP="0032373B"/>
    <w:p w14:paraId="09DA4D51" w14:textId="77777777" w:rsidR="008B6BF0" w:rsidRPr="00207BB4" w:rsidRDefault="008B6BF0" w:rsidP="0032373B"/>
    <w:p w14:paraId="35EE6992" w14:textId="7AEA9665" w:rsidR="008B209F" w:rsidRDefault="008B209F" w:rsidP="00193CD1">
      <w:pPr>
        <w:pStyle w:val="Heading1"/>
      </w:pPr>
      <w:bookmarkStart w:id="25" w:name="_Toc164624838"/>
      <w:r>
        <w:t xml:space="preserve">Part </w:t>
      </w:r>
      <w:r w:rsidR="00936E86">
        <w:t>C</w:t>
      </w:r>
      <w:bookmarkEnd w:id="25"/>
    </w:p>
    <w:p w14:paraId="3BF45EE0" w14:textId="77777777" w:rsidR="00936E86" w:rsidRDefault="00936E86" w:rsidP="00936E86"/>
    <w:p w14:paraId="797D062A" w14:textId="2F5DC44B" w:rsidR="00936E86" w:rsidRDefault="00936E86" w:rsidP="00EE2AB6">
      <w:pPr>
        <w:pStyle w:val="Heading2"/>
      </w:pPr>
      <w:bookmarkStart w:id="26" w:name="_Toc164624839"/>
      <w:r>
        <w:t>1</w:t>
      </w:r>
      <w:r w:rsidR="003F1DCE">
        <w:t xml:space="preserve"> </w:t>
      </w:r>
      <w:r w:rsidR="00E5786D">
        <w:t>PBP, ARR, NPV</w:t>
      </w:r>
      <w:bookmarkEnd w:id="26"/>
    </w:p>
    <w:p w14:paraId="09B21C8D" w14:textId="77777777" w:rsidR="00DE5E56" w:rsidRPr="00DE5E56" w:rsidRDefault="00DE5E56" w:rsidP="00DE5E56"/>
    <w:p w14:paraId="00371382" w14:textId="0F97E52A" w:rsidR="00894B3F" w:rsidRDefault="00894B3F" w:rsidP="007A58B2">
      <w:pPr>
        <w:pStyle w:val="Heading3"/>
      </w:pPr>
      <w:bookmarkStart w:id="27" w:name="_Toc164624840"/>
      <w:r>
        <w:t>Pay</w:t>
      </w:r>
      <w:r w:rsidR="00913A83">
        <w:t>back Period</w:t>
      </w:r>
      <w:r w:rsidR="008F49B4">
        <w:t xml:space="preserve"> (PBP)</w:t>
      </w:r>
      <w:bookmarkEnd w:id="27"/>
    </w:p>
    <w:p w14:paraId="1D8B4AE2" w14:textId="77777777" w:rsidR="0016465F" w:rsidRPr="0016465F" w:rsidRDefault="0016465F" w:rsidP="0016465F"/>
    <w:p w14:paraId="462E6A8B" w14:textId="580C88E5" w:rsidR="008C410A" w:rsidRPr="00C30A4E" w:rsidRDefault="008C410A" w:rsidP="00C30A4E">
      <w:pPr>
        <w:spacing w:line="360" w:lineRule="auto"/>
        <w:jc w:val="both"/>
        <w:rPr>
          <w:rFonts w:ascii="Arial" w:hAnsi="Arial" w:cs="Arial"/>
          <w:sz w:val="24"/>
          <w:szCs w:val="24"/>
        </w:rPr>
      </w:pPr>
      <w:r w:rsidRPr="00C30A4E">
        <w:rPr>
          <w:rFonts w:ascii="Arial" w:hAnsi="Arial" w:cs="Arial"/>
          <w:sz w:val="24"/>
          <w:szCs w:val="24"/>
        </w:rPr>
        <w:t xml:space="preserve">According to Law </w:t>
      </w:r>
      <w:r w:rsidR="005E1827" w:rsidRPr="00C30A4E">
        <w:rPr>
          <w:rFonts w:ascii="Arial" w:hAnsi="Arial" w:cs="Arial"/>
          <w:sz w:val="24"/>
          <w:szCs w:val="24"/>
        </w:rPr>
        <w:t>(2016) the time it takes for an investment project's expected net cash flows to cover the initial investment is called the payback period.</w:t>
      </w:r>
    </w:p>
    <w:p w14:paraId="43AEDD3E" w14:textId="0EDCC2EB" w:rsidR="00AE646E" w:rsidRPr="00C30A4E" w:rsidRDefault="00AE646E" w:rsidP="00C30A4E">
      <w:pPr>
        <w:spacing w:line="360" w:lineRule="auto"/>
        <w:jc w:val="both"/>
        <w:rPr>
          <w:rFonts w:ascii="Arial" w:hAnsi="Arial" w:cs="Arial"/>
          <w:sz w:val="24"/>
          <w:szCs w:val="24"/>
        </w:rPr>
      </w:pPr>
      <w:r w:rsidRPr="00C30A4E">
        <w:rPr>
          <w:rFonts w:ascii="Arial" w:hAnsi="Arial" w:cs="Arial"/>
          <w:sz w:val="24"/>
          <w:szCs w:val="24"/>
        </w:rPr>
        <w:t>Formula:</w:t>
      </w:r>
    </w:p>
    <w:p w14:paraId="50193BB5" w14:textId="6A7FA514" w:rsidR="00AE646E" w:rsidRDefault="00BC516C" w:rsidP="00735F39">
      <w:pPr>
        <w:jc w:val="center"/>
      </w:pPr>
      <w:r w:rsidRPr="00BC516C">
        <w:rPr>
          <w:noProof/>
        </w:rPr>
        <w:drawing>
          <wp:inline distT="0" distB="0" distL="0" distR="0" wp14:anchorId="3DECD38C" wp14:editId="10002C3D">
            <wp:extent cx="5731510" cy="890905"/>
            <wp:effectExtent l="0" t="0" r="2540" b="4445"/>
            <wp:docPr id="1931411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411812" name=""/>
                    <pic:cNvPicPr/>
                  </pic:nvPicPr>
                  <pic:blipFill>
                    <a:blip r:embed="rId28"/>
                    <a:stretch>
                      <a:fillRect/>
                    </a:stretch>
                  </pic:blipFill>
                  <pic:spPr>
                    <a:xfrm>
                      <a:off x="0" y="0"/>
                      <a:ext cx="5731510" cy="890905"/>
                    </a:xfrm>
                    <a:prstGeom prst="rect">
                      <a:avLst/>
                    </a:prstGeom>
                  </pic:spPr>
                </pic:pic>
              </a:graphicData>
            </a:graphic>
          </wp:inline>
        </w:drawing>
      </w:r>
    </w:p>
    <w:p w14:paraId="7F85ED81" w14:textId="1AD61771" w:rsidR="00094A34" w:rsidRPr="00094A34" w:rsidRDefault="00094A34" w:rsidP="00094A34">
      <w:pPr>
        <w:spacing w:line="360" w:lineRule="auto"/>
        <w:jc w:val="both"/>
        <w:rPr>
          <w:rFonts w:ascii="Arial" w:hAnsi="Arial" w:cs="Arial"/>
          <w:sz w:val="24"/>
          <w:szCs w:val="24"/>
        </w:rPr>
      </w:pPr>
      <w:r w:rsidRPr="00094A34">
        <w:rPr>
          <w:rFonts w:ascii="Arial" w:hAnsi="Arial" w:cs="Arial"/>
          <w:sz w:val="24"/>
          <w:szCs w:val="24"/>
        </w:rPr>
        <w:lastRenderedPageBreak/>
        <w:t>The break-even point (BEP) is the point at which the revenue generated by the project is equal to the costs incurred.</w:t>
      </w:r>
    </w:p>
    <w:p w14:paraId="6F82214C" w14:textId="17B1152C" w:rsidR="008A21A9" w:rsidRPr="006D1786" w:rsidRDefault="008A21A9" w:rsidP="006D1786">
      <w:pPr>
        <w:spacing w:line="360" w:lineRule="auto"/>
        <w:rPr>
          <w:rFonts w:ascii="Arial" w:hAnsi="Arial" w:cs="Arial"/>
          <w:b/>
          <w:bCs/>
          <w:sz w:val="24"/>
          <w:szCs w:val="24"/>
        </w:rPr>
      </w:pPr>
      <w:r w:rsidRPr="006D1786">
        <w:rPr>
          <w:rFonts w:ascii="Arial" w:hAnsi="Arial" w:cs="Arial"/>
          <w:b/>
          <w:bCs/>
          <w:sz w:val="24"/>
          <w:szCs w:val="24"/>
        </w:rPr>
        <w:t xml:space="preserve">Project A </w:t>
      </w:r>
    </w:p>
    <w:p w14:paraId="63E2FC52" w14:textId="6AA78768" w:rsidR="00B62847" w:rsidRPr="00B62847" w:rsidRDefault="00B62847" w:rsidP="00D12A16">
      <w:pPr>
        <w:rPr>
          <w:rFonts w:eastAsiaTheme="minorEastAsia"/>
          <w:b/>
          <w:bCs/>
        </w:rPr>
      </w:pPr>
      <w:bookmarkStart w:id="28" w:name="_Hlk164454329"/>
      <m:oMathPara>
        <m:oMath>
          <m:r>
            <m:rPr>
              <m:sty m:val="bi"/>
            </m:rPr>
            <w:rPr>
              <w:rFonts w:ascii="Cambria Math" w:hAnsi="Cambria Math"/>
            </w:rPr>
            <m:t>Years Before Break-Even=2</m:t>
          </m:r>
        </m:oMath>
      </m:oMathPara>
    </w:p>
    <w:bookmarkEnd w:id="28"/>
    <w:p w14:paraId="4D4DD34B" w14:textId="2915001D" w:rsidR="00B62847" w:rsidRPr="00D35998" w:rsidRDefault="00B62847" w:rsidP="00D12A16">
      <w:pPr>
        <w:rPr>
          <w:rFonts w:eastAsiaTheme="minorEastAsia"/>
          <w:b/>
          <w:bCs/>
        </w:rPr>
      </w:pPr>
      <m:oMathPara>
        <m:oMath>
          <m:r>
            <m:rPr>
              <m:sty m:val="bi"/>
            </m:rPr>
            <w:rPr>
              <w:rFonts w:ascii="Cambria Math" w:eastAsiaTheme="minorEastAsia" w:hAnsi="Cambria Math"/>
            </w:rPr>
            <m:t>Unrecovered Amount=Year 0-Year 1-Year 2</m:t>
          </m:r>
        </m:oMath>
      </m:oMathPara>
    </w:p>
    <w:p w14:paraId="46E1D9F5" w14:textId="4C4DC9E5" w:rsidR="00D35998" w:rsidRPr="00A71799" w:rsidRDefault="00D35998" w:rsidP="00D12A16">
      <w:pPr>
        <w:rPr>
          <w:rFonts w:eastAsiaTheme="minorEastAsia"/>
          <w:b/>
          <w:bCs/>
        </w:rPr>
      </w:pPr>
      <m:oMathPara>
        <m:oMath>
          <m:r>
            <m:rPr>
              <m:sty m:val="bi"/>
            </m:rPr>
            <w:rPr>
              <w:rFonts w:ascii="Cambria Math" w:eastAsiaTheme="minorEastAsia" w:hAnsi="Cambria Math"/>
            </w:rPr>
            <m:t>Unrecovered Amount=5000-2500-2000=500</m:t>
          </m:r>
        </m:oMath>
      </m:oMathPara>
    </w:p>
    <w:p w14:paraId="57C320EE" w14:textId="3EEDD097" w:rsidR="00A71799" w:rsidRPr="00A71799" w:rsidRDefault="0042214A" w:rsidP="00D12A16">
      <w:pPr>
        <w:rPr>
          <w:rFonts w:eastAsiaTheme="minorEastAsia"/>
          <w:b/>
          <w:bCs/>
        </w:rPr>
      </w:pPr>
      <m:oMathPara>
        <m:oMath>
          <m:r>
            <m:rPr>
              <m:sty m:val="bi"/>
            </m:rPr>
            <w:rPr>
              <w:rFonts w:ascii="Cambria Math" w:eastAsiaTheme="minorEastAsia" w:hAnsi="Cambria Math"/>
            </w:rPr>
            <m:t>Cash Flow in recovery Year=1000 (year 3)</m:t>
          </m:r>
        </m:oMath>
      </m:oMathPara>
    </w:p>
    <w:p w14:paraId="636C2D3C" w14:textId="77777777" w:rsidR="00CC1BC5" w:rsidRDefault="00CC1BC5" w:rsidP="00D12A16">
      <w:pPr>
        <w:rPr>
          <w:b/>
          <w:bCs/>
        </w:rPr>
      </w:pPr>
    </w:p>
    <w:p w14:paraId="31F859F0" w14:textId="13B29C19" w:rsidR="00CC1BC5" w:rsidRPr="00E40794" w:rsidRDefault="0075730E" w:rsidP="00D12A16">
      <w:pPr>
        <w:rPr>
          <w:rFonts w:eastAsiaTheme="minorEastAsia"/>
          <w:b/>
          <w:bCs/>
        </w:rPr>
      </w:pPr>
      <m:oMathPara>
        <m:oMath>
          <m:r>
            <m:rPr>
              <m:sty m:val="bi"/>
            </m:rPr>
            <w:rPr>
              <w:rFonts w:ascii="Cambria Math" w:hAnsi="Cambria Math"/>
            </w:rPr>
            <m:t>Payback Period (PBP)=2+</m:t>
          </m:r>
          <m:f>
            <m:fPr>
              <m:ctrlPr>
                <w:rPr>
                  <w:rFonts w:ascii="Cambria Math" w:hAnsi="Cambria Math"/>
                  <w:b/>
                  <w:bCs/>
                  <w:i/>
                </w:rPr>
              </m:ctrlPr>
            </m:fPr>
            <m:num>
              <m:r>
                <m:rPr>
                  <m:sty m:val="bi"/>
                </m:rPr>
                <w:rPr>
                  <w:rFonts w:ascii="Cambria Math" w:hAnsi="Cambria Math"/>
                </w:rPr>
                <m:t xml:space="preserve">500 </m:t>
              </m:r>
            </m:num>
            <m:den>
              <m:r>
                <m:rPr>
                  <m:sty m:val="bi"/>
                </m:rPr>
                <w:rPr>
                  <w:rFonts w:ascii="Cambria Math" w:hAnsi="Cambria Math"/>
                </w:rPr>
                <m:t xml:space="preserve">1000 </m:t>
              </m:r>
            </m:den>
          </m:f>
        </m:oMath>
      </m:oMathPara>
    </w:p>
    <w:p w14:paraId="1CC8BF16" w14:textId="2317EC27" w:rsidR="00E40794" w:rsidRPr="00487EEB" w:rsidRDefault="00E40794" w:rsidP="00D12A16">
      <w:pPr>
        <w:rPr>
          <w:rFonts w:eastAsiaTheme="minorEastAsia"/>
          <w:b/>
          <w:bCs/>
        </w:rPr>
      </w:pPr>
      <m:oMathPara>
        <m:oMath>
          <m:r>
            <m:rPr>
              <m:sty m:val="bi"/>
            </m:rPr>
            <w:rPr>
              <w:rFonts w:ascii="Cambria Math" w:eastAsiaTheme="minorEastAsia" w:hAnsi="Cambria Math"/>
            </w:rPr>
            <m:t>PBP=2.5</m:t>
          </m:r>
        </m:oMath>
      </m:oMathPara>
    </w:p>
    <w:p w14:paraId="6BCB3B78" w14:textId="7EBDCF95" w:rsidR="00487EEB" w:rsidRPr="006D1786" w:rsidRDefault="00487EEB" w:rsidP="006D1786">
      <w:pPr>
        <w:spacing w:line="360" w:lineRule="auto"/>
        <w:jc w:val="both"/>
        <w:rPr>
          <w:rFonts w:ascii="Arial" w:eastAsiaTheme="minorEastAsia" w:hAnsi="Arial" w:cs="Arial"/>
          <w:b/>
          <w:bCs/>
          <w:sz w:val="24"/>
          <w:szCs w:val="24"/>
        </w:rPr>
      </w:pPr>
      <w:r w:rsidRPr="006D1786">
        <w:rPr>
          <w:rFonts w:ascii="Arial" w:eastAsiaTheme="minorEastAsia" w:hAnsi="Arial" w:cs="Arial"/>
          <w:b/>
          <w:bCs/>
          <w:sz w:val="24"/>
          <w:szCs w:val="24"/>
        </w:rPr>
        <w:t>Project B</w:t>
      </w:r>
    </w:p>
    <w:p w14:paraId="2B6A55DC" w14:textId="226991D9" w:rsidR="004373AA" w:rsidRPr="006D1786" w:rsidRDefault="00702919" w:rsidP="006D1786">
      <w:pPr>
        <w:spacing w:line="360" w:lineRule="auto"/>
        <w:jc w:val="both"/>
        <w:rPr>
          <w:rFonts w:ascii="Arial" w:eastAsiaTheme="minorEastAsia" w:hAnsi="Arial" w:cs="Arial"/>
          <w:sz w:val="24"/>
          <w:szCs w:val="24"/>
        </w:rPr>
      </w:pPr>
      <w:r w:rsidRPr="006D1786">
        <w:rPr>
          <w:rFonts w:ascii="Arial" w:eastAsiaTheme="minorEastAsia" w:hAnsi="Arial" w:cs="Arial"/>
          <w:sz w:val="24"/>
          <w:szCs w:val="24"/>
        </w:rPr>
        <w:t>As the investment 1000 and the recovery</w:t>
      </w:r>
      <w:r w:rsidR="00397D45" w:rsidRPr="006D1786">
        <w:rPr>
          <w:rFonts w:ascii="Arial" w:eastAsiaTheme="minorEastAsia" w:hAnsi="Arial" w:cs="Arial"/>
          <w:sz w:val="24"/>
          <w:szCs w:val="24"/>
        </w:rPr>
        <w:t xml:space="preserve"> amount 1500 in the first year the formula will be:</w:t>
      </w:r>
    </w:p>
    <w:p w14:paraId="55A60F48" w14:textId="55B2AF95" w:rsidR="00397D45" w:rsidRDefault="00397D45" w:rsidP="00397D45">
      <w:pPr>
        <w:jc w:val="center"/>
        <w:rPr>
          <w:rFonts w:eastAsiaTheme="minorEastAsia"/>
          <w:b/>
          <w:bCs/>
        </w:rPr>
      </w:pPr>
      <w:r w:rsidRPr="00397D45">
        <w:rPr>
          <w:rFonts w:eastAsiaTheme="minorEastAsia"/>
          <w:b/>
          <w:bCs/>
          <w:noProof/>
        </w:rPr>
        <w:drawing>
          <wp:inline distT="0" distB="0" distL="0" distR="0" wp14:anchorId="4306BA13" wp14:editId="5A152813">
            <wp:extent cx="3726913" cy="578485"/>
            <wp:effectExtent l="0" t="0" r="6985" b="0"/>
            <wp:docPr id="210612603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126033" name="Picture 1" descr="A black text on a white background&#10;&#10;Description automatically generated"/>
                    <pic:cNvPicPr/>
                  </pic:nvPicPr>
                  <pic:blipFill>
                    <a:blip r:embed="rId29"/>
                    <a:stretch>
                      <a:fillRect/>
                    </a:stretch>
                  </pic:blipFill>
                  <pic:spPr>
                    <a:xfrm>
                      <a:off x="0" y="0"/>
                      <a:ext cx="3743520" cy="581063"/>
                    </a:xfrm>
                    <a:prstGeom prst="rect">
                      <a:avLst/>
                    </a:prstGeom>
                  </pic:spPr>
                </pic:pic>
              </a:graphicData>
            </a:graphic>
          </wp:inline>
        </w:drawing>
      </w:r>
    </w:p>
    <w:p w14:paraId="6CF10BF5" w14:textId="77777777" w:rsidR="0002716B" w:rsidRDefault="0002716B" w:rsidP="00397D45">
      <w:pPr>
        <w:jc w:val="center"/>
        <w:rPr>
          <w:rFonts w:eastAsiaTheme="minorEastAsia"/>
          <w:b/>
          <w:bCs/>
        </w:rPr>
      </w:pPr>
    </w:p>
    <w:p w14:paraId="74B844D7" w14:textId="3B10368B" w:rsidR="00397D45" w:rsidRPr="003410C8" w:rsidRDefault="00397D45" w:rsidP="00397D45">
      <w:pPr>
        <w:jc w:val="center"/>
        <w:rPr>
          <w:rFonts w:eastAsiaTheme="minorEastAsia"/>
          <w:b/>
          <w:bCs/>
        </w:rPr>
      </w:pPr>
      <m:oMathPara>
        <m:oMath>
          <m:r>
            <m:rPr>
              <m:sty m:val="bi"/>
            </m:rPr>
            <w:rPr>
              <w:rFonts w:ascii="Cambria Math" w:eastAsiaTheme="minorEastAsia" w:hAnsi="Cambria Math"/>
            </w:rPr>
            <m:t>PBP=</m:t>
          </m:r>
          <m:f>
            <m:fPr>
              <m:ctrlPr>
                <w:rPr>
                  <w:rFonts w:ascii="Cambria Math" w:eastAsiaTheme="minorEastAsia" w:hAnsi="Cambria Math"/>
                  <w:b/>
                  <w:bCs/>
                  <w:i/>
                </w:rPr>
              </m:ctrlPr>
            </m:fPr>
            <m:num>
              <m:r>
                <m:rPr>
                  <m:sty m:val="bi"/>
                </m:rPr>
                <w:rPr>
                  <w:rFonts w:ascii="Cambria Math" w:eastAsiaTheme="minorEastAsia" w:hAnsi="Cambria Math"/>
                </w:rPr>
                <m:t>1000</m:t>
              </m:r>
            </m:num>
            <m:den>
              <m:r>
                <m:rPr>
                  <m:sty m:val="bi"/>
                </m:rPr>
                <w:rPr>
                  <w:rFonts w:ascii="Cambria Math" w:eastAsiaTheme="minorEastAsia" w:hAnsi="Cambria Math"/>
                </w:rPr>
                <m:t>1500 (First year)</m:t>
              </m:r>
            </m:den>
          </m:f>
        </m:oMath>
      </m:oMathPara>
    </w:p>
    <w:p w14:paraId="0499BEAE" w14:textId="3B9606DC" w:rsidR="003410C8" w:rsidRPr="00F66069" w:rsidRDefault="003410C8" w:rsidP="00397D45">
      <w:pPr>
        <w:jc w:val="center"/>
        <w:rPr>
          <w:rFonts w:eastAsiaTheme="minorEastAsia"/>
          <w:b/>
          <w:bCs/>
        </w:rPr>
      </w:pPr>
      <m:oMathPara>
        <m:oMath>
          <m:r>
            <m:rPr>
              <m:sty m:val="bi"/>
            </m:rPr>
            <w:rPr>
              <w:rFonts w:ascii="Cambria Math" w:eastAsiaTheme="minorEastAsia" w:hAnsi="Cambria Math"/>
            </w:rPr>
            <m:t>PBP=0.66 , it means in the</m:t>
          </m:r>
          <m:f>
            <m:fPr>
              <m:ctrlPr>
                <w:rPr>
                  <w:rFonts w:ascii="Cambria Math" w:eastAsiaTheme="minorEastAsia" w:hAnsi="Cambria Math"/>
                  <w:b/>
                  <w:bCs/>
                  <w:i/>
                </w:rPr>
              </m:ctrlPr>
            </m:fPr>
            <m:num>
              <m:r>
                <m:rPr>
                  <m:sty m:val="bi"/>
                </m:rPr>
                <w:rPr>
                  <w:rFonts w:ascii="Cambria Math" w:eastAsiaTheme="minorEastAsia" w:hAnsi="Cambria Math"/>
                </w:rPr>
                <m:t>2</m:t>
              </m:r>
            </m:num>
            <m:den>
              <m:r>
                <m:rPr>
                  <m:sty m:val="bi"/>
                </m:rPr>
                <w:rPr>
                  <w:rFonts w:ascii="Cambria Math" w:eastAsiaTheme="minorEastAsia" w:hAnsi="Cambria Math"/>
                </w:rPr>
                <m:t>3</m:t>
              </m:r>
            </m:den>
          </m:f>
          <m:r>
            <m:rPr>
              <m:sty m:val="bi"/>
            </m:rPr>
            <w:rPr>
              <w:rFonts w:ascii="Cambria Math" w:eastAsiaTheme="minorEastAsia" w:hAnsi="Cambria Math"/>
            </w:rPr>
            <m:t xml:space="preserve">of the first year </m:t>
          </m:r>
        </m:oMath>
      </m:oMathPara>
    </w:p>
    <w:p w14:paraId="0BF1CB4D" w14:textId="77777777" w:rsidR="005C085F" w:rsidRPr="005C085F" w:rsidRDefault="005C085F" w:rsidP="00D12A16">
      <w:pPr>
        <w:rPr>
          <w:rFonts w:eastAsiaTheme="minorEastAsia"/>
          <w:b/>
          <w:bCs/>
        </w:rPr>
      </w:pPr>
    </w:p>
    <w:p w14:paraId="73AF41D9" w14:textId="77777777" w:rsidR="00AE646E" w:rsidRDefault="00AE646E" w:rsidP="00EC57A4"/>
    <w:p w14:paraId="46331893" w14:textId="223209B2" w:rsidR="00913A83" w:rsidRDefault="00913A83" w:rsidP="00B57B8D">
      <w:pPr>
        <w:pStyle w:val="Heading3"/>
      </w:pPr>
      <w:bookmarkStart w:id="29" w:name="_Toc164624841"/>
      <w:r>
        <w:t>Accounting Rate of Return</w:t>
      </w:r>
      <w:r w:rsidR="008F49B4">
        <w:t xml:space="preserve"> (ARR)</w:t>
      </w:r>
      <w:bookmarkEnd w:id="29"/>
    </w:p>
    <w:p w14:paraId="1AF5CDAF" w14:textId="77777777" w:rsidR="00B57B8D" w:rsidRDefault="00B57B8D" w:rsidP="00B57B8D"/>
    <w:p w14:paraId="233A2AC7" w14:textId="5818ED2F" w:rsidR="00FC5FB0" w:rsidRPr="00620332" w:rsidRDefault="00FC5FB0" w:rsidP="00620332">
      <w:pPr>
        <w:spacing w:line="360" w:lineRule="auto"/>
        <w:jc w:val="both"/>
        <w:rPr>
          <w:rFonts w:ascii="Arial" w:hAnsi="Arial" w:cs="Arial"/>
          <w:sz w:val="24"/>
          <w:szCs w:val="24"/>
        </w:rPr>
      </w:pPr>
      <w:r w:rsidRPr="00620332">
        <w:rPr>
          <w:rFonts w:ascii="Arial" w:hAnsi="Arial" w:cs="Arial"/>
          <w:sz w:val="24"/>
          <w:szCs w:val="24"/>
        </w:rPr>
        <w:t xml:space="preserve">Accounting Rate of Return (ARR) is the </w:t>
      </w:r>
      <w:r w:rsidR="004D3FD8" w:rsidRPr="00620332">
        <w:rPr>
          <w:rFonts w:ascii="Arial" w:hAnsi="Arial" w:cs="Arial"/>
          <w:sz w:val="24"/>
          <w:szCs w:val="24"/>
        </w:rPr>
        <w:t>yearly</w:t>
      </w:r>
      <w:r w:rsidRPr="00620332">
        <w:rPr>
          <w:rFonts w:ascii="Arial" w:hAnsi="Arial" w:cs="Arial"/>
          <w:sz w:val="24"/>
          <w:szCs w:val="24"/>
        </w:rPr>
        <w:t xml:space="preserve"> </w:t>
      </w:r>
      <w:r w:rsidR="004D3FD8" w:rsidRPr="00620332">
        <w:rPr>
          <w:rFonts w:ascii="Arial" w:hAnsi="Arial" w:cs="Arial"/>
          <w:sz w:val="24"/>
          <w:szCs w:val="24"/>
        </w:rPr>
        <w:t>measurement</w:t>
      </w:r>
      <w:r w:rsidRPr="00620332">
        <w:rPr>
          <w:rFonts w:ascii="Arial" w:hAnsi="Arial" w:cs="Arial"/>
          <w:sz w:val="24"/>
          <w:szCs w:val="24"/>
        </w:rPr>
        <w:t xml:space="preserve"> of an asset's predicted net income divided by its average capital cost. ARR is a capital budgeting formula. (Law, </w:t>
      </w:r>
      <w:r w:rsidR="00620332" w:rsidRPr="00620332">
        <w:rPr>
          <w:rFonts w:ascii="Arial" w:hAnsi="Arial" w:cs="Arial"/>
          <w:sz w:val="24"/>
          <w:szCs w:val="24"/>
        </w:rPr>
        <w:t>2016)</w:t>
      </w:r>
    </w:p>
    <w:p w14:paraId="220E7F9B" w14:textId="1EC268C6" w:rsidR="00AF7C99" w:rsidRPr="00620332" w:rsidRDefault="00AF7C99" w:rsidP="00620332">
      <w:pPr>
        <w:spacing w:line="360" w:lineRule="auto"/>
        <w:jc w:val="both"/>
        <w:rPr>
          <w:rFonts w:ascii="Arial" w:hAnsi="Arial" w:cs="Arial"/>
          <w:sz w:val="24"/>
          <w:szCs w:val="24"/>
        </w:rPr>
      </w:pPr>
      <w:r w:rsidRPr="00620332">
        <w:rPr>
          <w:rFonts w:ascii="Arial" w:hAnsi="Arial" w:cs="Arial"/>
          <w:sz w:val="24"/>
          <w:szCs w:val="24"/>
        </w:rPr>
        <w:t>Formula:</w:t>
      </w:r>
    </w:p>
    <w:p w14:paraId="77E4E650" w14:textId="724E44FA" w:rsidR="00E64C51" w:rsidRDefault="00E64C51" w:rsidP="0084385E">
      <w:pPr>
        <w:jc w:val="center"/>
      </w:pPr>
      <w:r w:rsidRPr="00E64C51">
        <w:rPr>
          <w:noProof/>
        </w:rPr>
        <w:drawing>
          <wp:inline distT="0" distB="0" distL="0" distR="0" wp14:anchorId="1FB4D582" wp14:editId="23457B80">
            <wp:extent cx="3989410" cy="290830"/>
            <wp:effectExtent l="0" t="0" r="0" b="0"/>
            <wp:docPr id="1977457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457795" name=""/>
                    <pic:cNvPicPr/>
                  </pic:nvPicPr>
                  <pic:blipFill>
                    <a:blip r:embed="rId30"/>
                    <a:stretch>
                      <a:fillRect/>
                    </a:stretch>
                  </pic:blipFill>
                  <pic:spPr>
                    <a:xfrm>
                      <a:off x="0" y="0"/>
                      <a:ext cx="3994717" cy="291217"/>
                    </a:xfrm>
                    <a:prstGeom prst="rect">
                      <a:avLst/>
                    </a:prstGeom>
                  </pic:spPr>
                </pic:pic>
              </a:graphicData>
            </a:graphic>
          </wp:inline>
        </w:drawing>
      </w:r>
    </w:p>
    <w:p w14:paraId="3BFF863E" w14:textId="172D0F93" w:rsidR="0084385E" w:rsidRPr="00620332" w:rsidRDefault="0084385E" w:rsidP="00620332">
      <w:pPr>
        <w:spacing w:line="360" w:lineRule="auto"/>
        <w:jc w:val="both"/>
        <w:rPr>
          <w:rFonts w:ascii="Arial" w:hAnsi="Arial" w:cs="Arial"/>
          <w:sz w:val="24"/>
          <w:szCs w:val="24"/>
        </w:rPr>
      </w:pPr>
      <w:r w:rsidRPr="0084385E">
        <w:rPr>
          <w:rFonts w:ascii="Arial" w:hAnsi="Arial" w:cs="Arial"/>
          <w:sz w:val="24"/>
          <w:szCs w:val="24"/>
        </w:rPr>
        <w:lastRenderedPageBreak/>
        <w:drawing>
          <wp:inline distT="0" distB="0" distL="0" distR="0" wp14:anchorId="36BB3B5E" wp14:editId="0C51B8D0">
            <wp:extent cx="5731510" cy="988695"/>
            <wp:effectExtent l="0" t="0" r="2540" b="1905"/>
            <wp:docPr id="1446804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804949" name=""/>
                    <pic:cNvPicPr/>
                  </pic:nvPicPr>
                  <pic:blipFill>
                    <a:blip r:embed="rId31"/>
                    <a:stretch>
                      <a:fillRect/>
                    </a:stretch>
                  </pic:blipFill>
                  <pic:spPr>
                    <a:xfrm>
                      <a:off x="0" y="0"/>
                      <a:ext cx="5731510" cy="988695"/>
                    </a:xfrm>
                    <a:prstGeom prst="rect">
                      <a:avLst/>
                    </a:prstGeom>
                  </pic:spPr>
                </pic:pic>
              </a:graphicData>
            </a:graphic>
          </wp:inline>
        </w:drawing>
      </w:r>
    </w:p>
    <w:p w14:paraId="4E2B97CA" w14:textId="77777777" w:rsidR="00192785" w:rsidRDefault="00192785" w:rsidP="00C373DB"/>
    <w:p w14:paraId="16F75AED" w14:textId="161B9DE6" w:rsidR="00192785" w:rsidRDefault="00192785" w:rsidP="00C5560B">
      <w:pPr>
        <w:spacing w:line="360" w:lineRule="auto"/>
        <w:jc w:val="both"/>
        <w:rPr>
          <w:rFonts w:ascii="Arial" w:hAnsi="Arial" w:cs="Arial"/>
          <w:b/>
          <w:bCs/>
          <w:sz w:val="24"/>
          <w:szCs w:val="24"/>
        </w:rPr>
      </w:pPr>
      <w:r w:rsidRPr="00C5560B">
        <w:rPr>
          <w:rFonts w:ascii="Arial" w:hAnsi="Arial" w:cs="Arial"/>
          <w:b/>
          <w:bCs/>
          <w:sz w:val="24"/>
          <w:szCs w:val="24"/>
        </w:rPr>
        <w:t>Project A</w:t>
      </w:r>
    </w:p>
    <w:p w14:paraId="7E52A716" w14:textId="77777777" w:rsidR="00C5560B" w:rsidRPr="00C5560B" w:rsidRDefault="00C5560B" w:rsidP="00C5560B">
      <w:pPr>
        <w:spacing w:line="360" w:lineRule="auto"/>
        <w:jc w:val="both"/>
        <w:rPr>
          <w:rFonts w:ascii="Arial" w:hAnsi="Arial" w:cs="Arial"/>
          <w:b/>
          <w:bCs/>
          <w:sz w:val="24"/>
          <w:szCs w:val="24"/>
        </w:rPr>
      </w:pPr>
    </w:p>
    <w:p w14:paraId="0353E0C5" w14:textId="308BBFC6" w:rsidR="007D08AA" w:rsidRPr="00E2723F" w:rsidRDefault="00E2723F" w:rsidP="00B57B8D">
      <w:pPr>
        <w:rPr>
          <w:rFonts w:eastAsiaTheme="minorEastAsia"/>
        </w:rPr>
      </w:pPr>
      <m:oMathPara>
        <m:oMath>
          <m:r>
            <w:rPr>
              <w:rFonts w:ascii="Cambria Math" w:hAnsi="Cambria Math"/>
            </w:rPr>
            <m:t>Avarage Annual Profit=</m:t>
          </m:r>
          <m:f>
            <m:fPr>
              <m:ctrlPr>
                <w:rPr>
                  <w:rFonts w:ascii="Cambria Math" w:hAnsi="Cambria Math"/>
                  <w:i/>
                </w:rPr>
              </m:ctrlPr>
            </m:fPr>
            <m:num>
              <m:r>
                <w:rPr>
                  <w:rFonts w:ascii="Cambria Math" w:hAnsi="Cambria Math"/>
                </w:rPr>
                <m:t xml:space="preserve">2500 </m:t>
              </m:r>
              <m:d>
                <m:dPr>
                  <m:ctrlPr>
                    <w:rPr>
                      <w:rFonts w:ascii="Cambria Math" w:hAnsi="Cambria Math"/>
                      <w:i/>
                    </w:rPr>
                  </m:ctrlPr>
                </m:dPr>
                <m:e>
                  <m:r>
                    <w:rPr>
                      <w:rFonts w:ascii="Cambria Math" w:hAnsi="Cambria Math"/>
                    </w:rPr>
                    <m:t>year 1</m:t>
                  </m:r>
                </m:e>
              </m:d>
              <m:r>
                <w:rPr>
                  <w:rFonts w:ascii="Cambria Math" w:hAnsi="Cambria Math"/>
                </w:rPr>
                <m:t xml:space="preserve">+2000 </m:t>
              </m:r>
              <m:d>
                <m:dPr>
                  <m:ctrlPr>
                    <w:rPr>
                      <w:rFonts w:ascii="Cambria Math" w:hAnsi="Cambria Math"/>
                      <w:i/>
                    </w:rPr>
                  </m:ctrlPr>
                </m:dPr>
                <m:e>
                  <m:r>
                    <w:rPr>
                      <w:rFonts w:ascii="Cambria Math" w:hAnsi="Cambria Math"/>
                    </w:rPr>
                    <m:t>year 2</m:t>
                  </m:r>
                </m:e>
              </m:d>
              <m:r>
                <w:rPr>
                  <w:rFonts w:ascii="Cambria Math" w:hAnsi="Cambria Math"/>
                </w:rPr>
                <m:t xml:space="preserve">+1000 </m:t>
              </m:r>
              <m:d>
                <m:dPr>
                  <m:ctrlPr>
                    <w:rPr>
                      <w:rFonts w:ascii="Cambria Math" w:hAnsi="Cambria Math"/>
                      <w:i/>
                    </w:rPr>
                  </m:ctrlPr>
                </m:dPr>
                <m:e>
                  <m:r>
                    <w:rPr>
                      <w:rFonts w:ascii="Cambria Math" w:hAnsi="Cambria Math"/>
                    </w:rPr>
                    <m:t>year 3</m:t>
                  </m:r>
                </m:e>
              </m:d>
              <m:r>
                <w:rPr>
                  <w:rFonts w:ascii="Cambria Math" w:hAnsi="Cambria Math"/>
                </w:rPr>
                <m:t>+</m:t>
              </m:r>
              <m:d>
                <m:dPr>
                  <m:ctrlPr>
                    <w:rPr>
                      <w:rFonts w:ascii="Cambria Math" w:hAnsi="Cambria Math"/>
                      <w:i/>
                    </w:rPr>
                  </m:ctrlPr>
                </m:dPr>
                <m:e>
                  <m:r>
                    <w:rPr>
                      <w:rFonts w:ascii="Cambria Math" w:hAnsi="Cambria Math"/>
                    </w:rPr>
                    <m:t>-442</m:t>
                  </m:r>
                </m:e>
              </m:d>
              <m:d>
                <m:dPr>
                  <m:ctrlPr>
                    <w:rPr>
                      <w:rFonts w:ascii="Cambria Math" w:hAnsi="Cambria Math"/>
                      <w:i/>
                    </w:rPr>
                  </m:ctrlPr>
                </m:dPr>
                <m:e>
                  <m:r>
                    <w:rPr>
                      <w:rFonts w:ascii="Cambria Math" w:hAnsi="Cambria Math"/>
                    </w:rPr>
                    <m:t>year 4</m:t>
                  </m:r>
                </m:e>
              </m:d>
            </m:num>
            <m:den>
              <m:r>
                <w:rPr>
                  <w:rFonts w:ascii="Cambria Math" w:hAnsi="Cambria Math"/>
                </w:rPr>
                <m:t>4</m:t>
              </m:r>
            </m:den>
          </m:f>
        </m:oMath>
      </m:oMathPara>
    </w:p>
    <w:p w14:paraId="452964DC" w14:textId="77777777" w:rsidR="00E2723F" w:rsidRPr="00E2723F" w:rsidRDefault="00E2723F" w:rsidP="00B57B8D">
      <w:pPr>
        <w:rPr>
          <w:rFonts w:eastAsiaTheme="minorEastAsia"/>
        </w:rPr>
      </w:pPr>
    </w:p>
    <w:p w14:paraId="59663218" w14:textId="7AB00D74" w:rsidR="00B57B8D" w:rsidRPr="00031AE7" w:rsidRDefault="00F365FA" w:rsidP="00B57B8D">
      <w:pPr>
        <w:rPr>
          <w:rFonts w:eastAsiaTheme="minorEastAsia"/>
        </w:rPr>
      </w:pPr>
      <m:oMathPara>
        <m:oMath>
          <m:r>
            <w:rPr>
              <w:rFonts w:ascii="Cambria Math" w:hAnsi="Cambria Math"/>
            </w:rPr>
            <m:t>Avarage Annual Profit=</m:t>
          </m:r>
          <m:f>
            <m:fPr>
              <m:ctrlPr>
                <w:rPr>
                  <w:rFonts w:ascii="Cambria Math" w:hAnsi="Cambria Math"/>
                  <w:i/>
                </w:rPr>
              </m:ctrlPr>
            </m:fPr>
            <m:num>
              <m:r>
                <w:rPr>
                  <w:rFonts w:ascii="Cambria Math" w:hAnsi="Cambria Math"/>
                </w:rPr>
                <m:t>5,058</m:t>
              </m:r>
            </m:num>
            <m:den>
              <m:r>
                <w:rPr>
                  <w:rFonts w:ascii="Cambria Math" w:hAnsi="Cambria Math"/>
                </w:rPr>
                <m:t>4</m:t>
              </m:r>
            </m:den>
          </m:f>
          <m:r>
            <w:rPr>
              <w:rFonts w:ascii="Cambria Math" w:hAnsi="Cambria Math"/>
            </w:rPr>
            <m:t xml:space="preserve">=1,264.5 </m:t>
          </m:r>
        </m:oMath>
      </m:oMathPara>
    </w:p>
    <w:p w14:paraId="0D2714AA" w14:textId="3BB1CE8B" w:rsidR="00D8495D" w:rsidRPr="00D8495D" w:rsidRDefault="00642DEF" w:rsidP="00B57B8D">
      <w:pPr>
        <w:rPr>
          <w:rFonts w:eastAsiaTheme="minorEastAsia"/>
        </w:rPr>
      </w:pPr>
      <m:oMathPara>
        <m:oMath>
          <m:r>
            <m:rPr>
              <m:sty m:val="bi"/>
            </m:rPr>
            <w:rPr>
              <w:rFonts w:ascii="Cambria Math" w:eastAsiaTheme="minorEastAsia" w:hAnsi="Cambria Math"/>
            </w:rPr>
            <m:t xml:space="preserve">ARR </m:t>
          </m:r>
          <m:d>
            <m:dPr>
              <m:ctrlPr>
                <w:rPr>
                  <w:rFonts w:ascii="Cambria Math" w:eastAsiaTheme="minorEastAsia" w:hAnsi="Cambria Math"/>
                  <w:i/>
                </w:rPr>
              </m:ctrlPr>
            </m:dPr>
            <m:e>
              <m:r>
                <w:rPr>
                  <w:rFonts w:ascii="Cambria Math" w:eastAsiaTheme="minorEastAsia" w:hAnsi="Cambria Math"/>
                </w:rPr>
                <m:t>%</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1,264.5</m:t>
              </m:r>
            </m:num>
            <m:den>
              <m:r>
                <w:rPr>
                  <w:rFonts w:ascii="Cambria Math" w:eastAsiaTheme="minorEastAsia" w:hAnsi="Cambria Math"/>
                </w:rPr>
                <m:t xml:space="preserve">5000 </m:t>
              </m:r>
              <m:d>
                <m:dPr>
                  <m:ctrlPr>
                    <w:rPr>
                      <w:rFonts w:ascii="Cambria Math" w:eastAsiaTheme="minorEastAsia" w:hAnsi="Cambria Math"/>
                      <w:i/>
                    </w:rPr>
                  </m:ctrlPr>
                </m:dPr>
                <m:e>
                  <m:r>
                    <w:rPr>
                      <w:rFonts w:ascii="Cambria Math" w:eastAsiaTheme="minorEastAsia" w:hAnsi="Cambria Math"/>
                    </w:rPr>
                    <m:t>inital investment</m:t>
                  </m:r>
                </m:e>
              </m:d>
            </m:den>
          </m:f>
          <m:r>
            <w:rPr>
              <w:rFonts w:ascii="Cambria Math" w:eastAsiaTheme="minorEastAsia" w:hAnsi="Cambria Math"/>
            </w:rPr>
            <m:t>=0.2529</m:t>
          </m:r>
        </m:oMath>
      </m:oMathPara>
    </w:p>
    <w:p w14:paraId="7B510982" w14:textId="6067772D" w:rsidR="00031AE7" w:rsidRPr="00136EC1" w:rsidRDefault="00136EC1" w:rsidP="00B57B8D">
      <w:pPr>
        <w:rPr>
          <w:rFonts w:eastAsiaTheme="minorEastAsia"/>
          <w:b/>
          <w:bCs/>
        </w:rPr>
      </w:pPr>
      <m:oMathPara>
        <m:oMath>
          <m:r>
            <m:rPr>
              <m:sty m:val="bi"/>
            </m:rPr>
            <w:rPr>
              <w:rFonts w:ascii="Cambria Math" w:eastAsiaTheme="minorEastAsia" w:hAnsi="Cambria Math"/>
            </w:rPr>
            <m:t xml:space="preserve">ARR=25.29% </m:t>
          </m:r>
        </m:oMath>
      </m:oMathPara>
    </w:p>
    <w:p w14:paraId="18B925F1" w14:textId="77777777" w:rsidR="00D8495D" w:rsidRPr="00C5560B" w:rsidRDefault="00D8495D" w:rsidP="00C5560B">
      <w:pPr>
        <w:spacing w:line="360" w:lineRule="auto"/>
        <w:jc w:val="both"/>
        <w:rPr>
          <w:rFonts w:ascii="Arial" w:eastAsiaTheme="minorEastAsia" w:hAnsi="Arial" w:cs="Arial"/>
          <w:sz w:val="24"/>
          <w:szCs w:val="24"/>
        </w:rPr>
      </w:pPr>
    </w:p>
    <w:p w14:paraId="2365A019" w14:textId="5A45C93E" w:rsidR="005B4306" w:rsidRDefault="00D8495D" w:rsidP="00C5560B">
      <w:pPr>
        <w:spacing w:line="360" w:lineRule="auto"/>
        <w:jc w:val="both"/>
        <w:rPr>
          <w:rFonts w:ascii="Arial" w:eastAsiaTheme="minorEastAsia" w:hAnsi="Arial" w:cs="Arial"/>
          <w:b/>
          <w:bCs/>
          <w:sz w:val="24"/>
          <w:szCs w:val="24"/>
        </w:rPr>
      </w:pPr>
      <w:r w:rsidRPr="00C5560B">
        <w:rPr>
          <w:rFonts w:ascii="Arial" w:eastAsiaTheme="minorEastAsia" w:hAnsi="Arial" w:cs="Arial"/>
          <w:b/>
          <w:bCs/>
          <w:sz w:val="24"/>
          <w:szCs w:val="24"/>
        </w:rPr>
        <w:t>Project B</w:t>
      </w:r>
    </w:p>
    <w:p w14:paraId="41D5EEF1" w14:textId="77777777" w:rsidR="00C5560B" w:rsidRPr="00C5560B" w:rsidRDefault="00C5560B" w:rsidP="00C5560B">
      <w:pPr>
        <w:spacing w:line="360" w:lineRule="auto"/>
        <w:jc w:val="both"/>
        <w:rPr>
          <w:rFonts w:ascii="Arial" w:eastAsiaTheme="minorEastAsia" w:hAnsi="Arial" w:cs="Arial"/>
          <w:b/>
          <w:bCs/>
          <w:sz w:val="24"/>
          <w:szCs w:val="24"/>
        </w:rPr>
      </w:pPr>
    </w:p>
    <w:p w14:paraId="20F39FD9" w14:textId="73618CAB" w:rsidR="00CD32D0" w:rsidRPr="00CC1F05" w:rsidRDefault="006A4C90" w:rsidP="00CD32D0">
      <w:pPr>
        <w:rPr>
          <w:rFonts w:eastAsiaTheme="minorEastAsia"/>
        </w:rPr>
      </w:pPr>
      <m:oMathPara>
        <m:oMath>
          <m:r>
            <w:rPr>
              <w:rFonts w:ascii="Cambria Math" w:eastAsiaTheme="minorEastAsia" w:hAnsi="Cambria Math"/>
            </w:rPr>
            <m:t>Avarage Annual Profit=</m:t>
          </m:r>
          <m:f>
            <m:fPr>
              <m:ctrlPr>
                <w:rPr>
                  <w:rFonts w:ascii="Cambria Math" w:eastAsiaTheme="minorEastAsia" w:hAnsi="Cambria Math"/>
                  <w:i/>
                </w:rPr>
              </m:ctrlPr>
            </m:fPr>
            <m:num>
              <m:r>
                <w:rPr>
                  <w:rFonts w:ascii="Cambria Math" w:eastAsiaTheme="minorEastAsia" w:hAnsi="Cambria Math"/>
                </w:rPr>
                <m:t xml:space="preserve">1500 </m:t>
              </m:r>
              <m:d>
                <m:dPr>
                  <m:ctrlPr>
                    <w:rPr>
                      <w:rFonts w:ascii="Cambria Math" w:eastAsiaTheme="minorEastAsia" w:hAnsi="Cambria Math"/>
                      <w:i/>
                    </w:rPr>
                  </m:ctrlPr>
                </m:dPr>
                <m:e>
                  <m:r>
                    <w:rPr>
                      <w:rFonts w:ascii="Cambria Math" w:eastAsiaTheme="minorEastAsia" w:hAnsi="Cambria Math"/>
                    </w:rPr>
                    <m:t>year 1</m:t>
                  </m:r>
                </m:e>
              </m:d>
              <m:r>
                <w:rPr>
                  <w:rFonts w:ascii="Cambria Math" w:eastAsiaTheme="minorEastAsia" w:hAnsi="Cambria Math"/>
                </w:rPr>
                <m:t xml:space="preserve">+1000 </m:t>
              </m:r>
              <m:d>
                <m:dPr>
                  <m:ctrlPr>
                    <w:rPr>
                      <w:rFonts w:ascii="Cambria Math" w:eastAsiaTheme="minorEastAsia" w:hAnsi="Cambria Math"/>
                      <w:i/>
                    </w:rPr>
                  </m:ctrlPr>
                </m:dPr>
                <m:e>
                  <m:r>
                    <w:rPr>
                      <w:rFonts w:ascii="Cambria Math" w:eastAsiaTheme="minorEastAsia" w:hAnsi="Cambria Math"/>
                    </w:rPr>
                    <m:t>year 2</m:t>
                  </m:r>
                </m:e>
              </m:d>
              <m:r>
                <w:rPr>
                  <w:rFonts w:ascii="Cambria Math" w:eastAsiaTheme="minorEastAsia" w:hAnsi="Cambria Math"/>
                </w:rPr>
                <m:t xml:space="preserve">+1000 </m:t>
              </m:r>
              <m:d>
                <m:dPr>
                  <m:ctrlPr>
                    <w:rPr>
                      <w:rFonts w:ascii="Cambria Math" w:eastAsiaTheme="minorEastAsia" w:hAnsi="Cambria Math"/>
                      <w:i/>
                    </w:rPr>
                  </m:ctrlPr>
                </m:dPr>
                <m:e>
                  <m:r>
                    <w:rPr>
                      <w:rFonts w:ascii="Cambria Math" w:eastAsiaTheme="minorEastAsia" w:hAnsi="Cambria Math"/>
                    </w:rPr>
                    <m:t>year 3</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-470</m:t>
                  </m:r>
                </m:e>
              </m:d>
              <m:d>
                <m:dPr>
                  <m:ctrlPr>
                    <w:rPr>
                      <w:rFonts w:ascii="Cambria Math" w:eastAsiaTheme="minorEastAsia" w:hAnsi="Cambria Math"/>
                      <w:i/>
                    </w:rPr>
                  </m:ctrlPr>
                </m:dPr>
                <m:e>
                  <m:r>
                    <w:rPr>
                      <w:rFonts w:ascii="Cambria Math" w:eastAsiaTheme="minorEastAsia" w:hAnsi="Cambria Math"/>
                    </w:rPr>
                    <m:t>year 4</m:t>
                  </m:r>
                </m:e>
              </m:d>
            </m:num>
            <m:den>
              <m:r>
                <w:rPr>
                  <w:rFonts w:ascii="Cambria Math" w:eastAsiaTheme="minorEastAsia" w:hAnsi="Cambria Math"/>
                </w:rPr>
                <m:t>4</m:t>
              </m:r>
            </m:den>
          </m:f>
        </m:oMath>
      </m:oMathPara>
    </w:p>
    <w:p w14:paraId="40BDD164" w14:textId="4675D5C9" w:rsidR="00CC1F05" w:rsidRPr="00CD32D0" w:rsidRDefault="00CC1F05" w:rsidP="00CD32D0">
      <w:pPr>
        <w:rPr>
          <w:rFonts w:eastAsiaTheme="minorEastAsia"/>
        </w:rPr>
      </w:pPr>
      <m:oMathPara>
        <m:oMath>
          <m:r>
            <w:rPr>
              <w:rFonts w:ascii="Cambria Math" w:eastAsiaTheme="minorEastAsia" w:hAnsi="Cambria Math"/>
            </w:rPr>
            <m:t xml:space="preserve">AAP=757.5 </m:t>
          </m:r>
        </m:oMath>
      </m:oMathPara>
    </w:p>
    <w:p w14:paraId="1EE70D3D" w14:textId="7B0C4829" w:rsidR="00CD32D0" w:rsidRPr="0097442A" w:rsidRDefault="000472B9" w:rsidP="00B57B8D">
      <w:pPr>
        <w:rPr>
          <w:rFonts w:eastAsiaTheme="minorEastAsia"/>
        </w:rPr>
      </w:pPr>
      <m:oMathPara>
        <m:oMath>
          <m:r>
            <m:rPr>
              <m:sty m:val="bi"/>
            </m:rPr>
            <w:rPr>
              <w:rFonts w:ascii="Cambria Math" w:eastAsiaTheme="minorEastAsia" w:hAnsi="Cambria Math"/>
            </w:rPr>
            <m:t xml:space="preserve">ARR </m:t>
          </m:r>
          <m:d>
            <m:dPr>
              <m:ctrlPr>
                <w:rPr>
                  <w:rFonts w:ascii="Cambria Math" w:eastAsiaTheme="minorEastAsia" w:hAnsi="Cambria Math"/>
                  <w:i/>
                </w:rPr>
              </m:ctrlPr>
            </m:dPr>
            <m:e>
              <m:r>
                <w:rPr>
                  <w:rFonts w:ascii="Cambria Math" w:eastAsiaTheme="minorEastAsia" w:hAnsi="Cambria Math"/>
                </w:rPr>
                <m:t>%</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757.5</m:t>
              </m:r>
            </m:num>
            <m:den>
              <m:r>
                <w:rPr>
                  <w:rFonts w:ascii="Cambria Math" w:eastAsiaTheme="minorEastAsia" w:hAnsi="Cambria Math"/>
                </w:rPr>
                <m:t>1000 (Initial Investment)</m:t>
              </m:r>
            </m:den>
          </m:f>
          <m:r>
            <w:rPr>
              <w:rFonts w:ascii="Cambria Math" w:eastAsiaTheme="minorEastAsia" w:hAnsi="Cambria Math"/>
            </w:rPr>
            <m:t>=0.7575</m:t>
          </m:r>
        </m:oMath>
      </m:oMathPara>
    </w:p>
    <w:p w14:paraId="790AF60E" w14:textId="3DC60738" w:rsidR="0097442A" w:rsidRPr="00136EC1" w:rsidRDefault="00136EC1" w:rsidP="00B57B8D">
      <w:pPr>
        <w:rPr>
          <w:rFonts w:eastAsiaTheme="minorEastAsia"/>
          <w:b/>
          <w:bCs/>
        </w:rPr>
      </w:pPr>
      <m:oMathPara>
        <m:oMath>
          <m:r>
            <m:rPr>
              <m:sty m:val="bi"/>
            </m:rPr>
            <w:rPr>
              <w:rFonts w:ascii="Cambria Math" w:eastAsiaTheme="minorEastAsia" w:hAnsi="Cambria Math"/>
            </w:rPr>
            <m:t>ARR=75.75%</m:t>
          </m:r>
        </m:oMath>
      </m:oMathPara>
    </w:p>
    <w:p w14:paraId="2E6688CC" w14:textId="77777777" w:rsidR="000472B9" w:rsidRPr="000472B9" w:rsidRDefault="000472B9" w:rsidP="00B57B8D">
      <w:pPr>
        <w:rPr>
          <w:rFonts w:eastAsiaTheme="minorEastAsia"/>
        </w:rPr>
      </w:pPr>
    </w:p>
    <w:p w14:paraId="476C155D" w14:textId="77777777" w:rsidR="00025514" w:rsidRPr="00F365FA" w:rsidRDefault="00025514" w:rsidP="00B57B8D">
      <w:pPr>
        <w:rPr>
          <w:rFonts w:eastAsiaTheme="minorEastAsia"/>
        </w:rPr>
      </w:pPr>
    </w:p>
    <w:p w14:paraId="0E624666" w14:textId="77777777" w:rsidR="00F365FA" w:rsidRPr="00F365FA" w:rsidRDefault="00F365FA" w:rsidP="00B57B8D">
      <w:pPr>
        <w:rPr>
          <w:rFonts w:eastAsiaTheme="minorEastAsia"/>
        </w:rPr>
      </w:pPr>
    </w:p>
    <w:p w14:paraId="3BE3F5E7" w14:textId="1C152714" w:rsidR="008F49B4" w:rsidRDefault="008F49B4" w:rsidP="00B21160">
      <w:pPr>
        <w:pStyle w:val="Heading3"/>
      </w:pPr>
      <w:bookmarkStart w:id="30" w:name="_Toc164624842"/>
      <w:r>
        <w:t>Net Present Value</w:t>
      </w:r>
      <w:r w:rsidR="00DE5E56">
        <w:t xml:space="preserve"> (NPV)</w:t>
      </w:r>
      <w:bookmarkEnd w:id="30"/>
    </w:p>
    <w:p w14:paraId="150B77DF" w14:textId="77777777" w:rsidR="00160F70" w:rsidRDefault="00160F70" w:rsidP="00B21160"/>
    <w:p w14:paraId="1FE80680" w14:textId="1A9188A6" w:rsidR="004E6A1D" w:rsidRPr="004E6A1D" w:rsidRDefault="004E6A1D" w:rsidP="004E6A1D">
      <w:pPr>
        <w:spacing w:line="360" w:lineRule="auto"/>
        <w:jc w:val="both"/>
        <w:rPr>
          <w:rFonts w:ascii="Arial" w:hAnsi="Arial" w:cs="Arial"/>
          <w:sz w:val="24"/>
          <w:szCs w:val="24"/>
        </w:rPr>
      </w:pPr>
      <w:r w:rsidRPr="004E6A1D">
        <w:rPr>
          <w:rFonts w:ascii="Arial" w:hAnsi="Arial" w:cs="Arial"/>
          <w:sz w:val="24"/>
          <w:szCs w:val="24"/>
        </w:rPr>
        <w:t xml:space="preserve">The discounted present value of all </w:t>
      </w:r>
      <w:r w:rsidR="00CC34E4" w:rsidRPr="004E6A1D">
        <w:rPr>
          <w:rFonts w:ascii="Arial" w:hAnsi="Arial" w:cs="Arial"/>
          <w:sz w:val="24"/>
          <w:szCs w:val="24"/>
        </w:rPr>
        <w:t>forthcoming</w:t>
      </w:r>
      <w:r w:rsidRPr="004E6A1D">
        <w:rPr>
          <w:rFonts w:ascii="Arial" w:hAnsi="Arial" w:cs="Arial"/>
          <w:sz w:val="24"/>
          <w:szCs w:val="24"/>
        </w:rPr>
        <w:t xml:space="preserve"> cash flows (positive and negative) during the life of an investment is called net present value (NPV). Finance and accounting employ intrinsic valuation, or NPV analysis, to value </w:t>
      </w:r>
      <w:proofErr w:type="spellStart"/>
      <w:proofErr w:type="gramStart"/>
      <w:r w:rsidRPr="004E6A1D">
        <w:rPr>
          <w:rFonts w:ascii="Arial" w:hAnsi="Arial" w:cs="Arial"/>
          <w:sz w:val="24"/>
          <w:szCs w:val="24"/>
        </w:rPr>
        <w:t>a</w:t>
      </w:r>
      <w:proofErr w:type="spellEnd"/>
      <w:proofErr w:type="gramEnd"/>
      <w:r w:rsidRPr="004E6A1D">
        <w:rPr>
          <w:rFonts w:ascii="Arial" w:hAnsi="Arial" w:cs="Arial"/>
          <w:sz w:val="24"/>
          <w:szCs w:val="24"/>
        </w:rPr>
        <w:t xml:space="preserve"> </w:t>
      </w:r>
      <w:r w:rsidR="00F80C22" w:rsidRPr="004E6A1D">
        <w:rPr>
          <w:rFonts w:ascii="Arial" w:hAnsi="Arial" w:cs="Arial"/>
          <w:sz w:val="24"/>
          <w:szCs w:val="24"/>
        </w:rPr>
        <w:t>organisation</w:t>
      </w:r>
      <w:r w:rsidRPr="004E6A1D">
        <w:rPr>
          <w:rFonts w:ascii="Arial" w:hAnsi="Arial" w:cs="Arial"/>
          <w:sz w:val="24"/>
          <w:szCs w:val="24"/>
        </w:rPr>
        <w:t xml:space="preserve">, </w:t>
      </w:r>
      <w:r w:rsidRPr="004E6A1D">
        <w:rPr>
          <w:rFonts w:ascii="Arial" w:hAnsi="Arial" w:cs="Arial"/>
          <w:sz w:val="24"/>
          <w:szCs w:val="24"/>
        </w:rPr>
        <w:lastRenderedPageBreak/>
        <w:t xml:space="preserve">investment security, capital project, new venture, cost reduction programme, and </w:t>
      </w:r>
      <w:r w:rsidR="002044AF" w:rsidRPr="004E6A1D">
        <w:rPr>
          <w:rFonts w:ascii="Arial" w:hAnsi="Arial" w:cs="Arial"/>
          <w:sz w:val="24"/>
          <w:szCs w:val="24"/>
        </w:rPr>
        <w:t>everything</w:t>
      </w:r>
      <w:r w:rsidRPr="004E6A1D">
        <w:rPr>
          <w:rFonts w:ascii="Arial" w:hAnsi="Arial" w:cs="Arial"/>
          <w:sz w:val="24"/>
          <w:szCs w:val="24"/>
        </w:rPr>
        <w:t xml:space="preserve"> else that </w:t>
      </w:r>
      <w:r w:rsidR="002044AF" w:rsidRPr="004E6A1D">
        <w:rPr>
          <w:rFonts w:ascii="Arial" w:hAnsi="Arial" w:cs="Arial"/>
          <w:sz w:val="24"/>
          <w:szCs w:val="24"/>
        </w:rPr>
        <w:t>consist of</w:t>
      </w:r>
      <w:r w:rsidRPr="004E6A1D">
        <w:rPr>
          <w:rFonts w:ascii="Arial" w:hAnsi="Arial" w:cs="Arial"/>
          <w:sz w:val="24"/>
          <w:szCs w:val="24"/>
        </w:rPr>
        <w:t xml:space="preserve"> cash flow. (Law, 2016)</w:t>
      </w:r>
    </w:p>
    <w:p w14:paraId="61549FB4" w14:textId="0F82E414" w:rsidR="00160F70" w:rsidRPr="004E6A1D" w:rsidRDefault="00160F70" w:rsidP="004E6A1D">
      <w:pPr>
        <w:spacing w:line="360" w:lineRule="auto"/>
        <w:jc w:val="both"/>
        <w:rPr>
          <w:rFonts w:ascii="Arial" w:hAnsi="Arial" w:cs="Arial"/>
          <w:sz w:val="24"/>
          <w:szCs w:val="24"/>
        </w:rPr>
      </w:pPr>
      <w:r w:rsidRPr="004E6A1D">
        <w:rPr>
          <w:rFonts w:ascii="Arial" w:hAnsi="Arial" w:cs="Arial"/>
          <w:sz w:val="24"/>
          <w:szCs w:val="24"/>
        </w:rPr>
        <w:t>Formula:</w:t>
      </w:r>
    </w:p>
    <w:p w14:paraId="7775B842" w14:textId="36B9AD0A" w:rsidR="00244FAC" w:rsidRDefault="00244FAC" w:rsidP="00244FAC">
      <w:pPr>
        <w:jc w:val="center"/>
      </w:pPr>
      <w:r>
        <w:rPr>
          <w:noProof/>
        </w:rPr>
        <w:drawing>
          <wp:inline distT="0" distB="0" distL="0" distR="0" wp14:anchorId="7171BE87" wp14:editId="65A64533">
            <wp:extent cx="5238750" cy="866775"/>
            <wp:effectExtent l="0" t="0" r="0" b="9525"/>
            <wp:docPr id="1130759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38750" cy="866775"/>
                    </a:xfrm>
                    <a:prstGeom prst="rect">
                      <a:avLst/>
                    </a:prstGeom>
                    <a:noFill/>
                  </pic:spPr>
                </pic:pic>
              </a:graphicData>
            </a:graphic>
          </wp:inline>
        </w:drawing>
      </w:r>
    </w:p>
    <w:p w14:paraId="2E6C5062" w14:textId="0D92BB04" w:rsidR="00244FAC" w:rsidRPr="004E6A1D" w:rsidRDefault="002B4232" w:rsidP="004E6A1D">
      <w:pPr>
        <w:spacing w:line="360" w:lineRule="auto"/>
        <w:jc w:val="both"/>
        <w:rPr>
          <w:rFonts w:ascii="Arial" w:hAnsi="Arial" w:cs="Arial"/>
          <w:sz w:val="24"/>
          <w:szCs w:val="24"/>
        </w:rPr>
      </w:pPr>
      <w:r w:rsidRPr="004E6A1D">
        <w:rPr>
          <w:rFonts w:ascii="Arial" w:hAnsi="Arial" w:cs="Arial"/>
          <w:b/>
          <w:bCs/>
          <w:sz w:val="24"/>
          <w:szCs w:val="24"/>
        </w:rPr>
        <w:t>r</w:t>
      </w:r>
      <w:r w:rsidR="00B84B29" w:rsidRPr="004E6A1D">
        <w:rPr>
          <w:rFonts w:ascii="Arial" w:hAnsi="Arial" w:cs="Arial"/>
          <w:sz w:val="24"/>
          <w:szCs w:val="24"/>
        </w:rPr>
        <w:t xml:space="preserve"> is</w:t>
      </w:r>
      <w:r w:rsidRPr="004E6A1D">
        <w:rPr>
          <w:rFonts w:ascii="Arial" w:hAnsi="Arial" w:cs="Arial"/>
          <w:sz w:val="24"/>
          <w:szCs w:val="24"/>
        </w:rPr>
        <w:t xml:space="preserve"> discount rate</w:t>
      </w:r>
    </w:p>
    <w:p w14:paraId="7B885740" w14:textId="77777777" w:rsidR="000B67FE" w:rsidRDefault="000B67FE" w:rsidP="002B4232"/>
    <w:p w14:paraId="16F99192" w14:textId="54A2529C" w:rsidR="005E0BE7" w:rsidRDefault="000B67FE" w:rsidP="004E6A1D">
      <w:pPr>
        <w:pStyle w:val="Subtitle"/>
        <w:rPr>
          <w:color w:val="45B0E1" w:themeColor="accent1" w:themeTint="99"/>
        </w:rPr>
      </w:pPr>
      <w:r w:rsidRPr="004E6A1D">
        <w:rPr>
          <w:color w:val="45B0E1" w:themeColor="accent1" w:themeTint="99"/>
        </w:rPr>
        <w:t xml:space="preserve">Calculating the </w:t>
      </w:r>
      <w:r w:rsidR="00677517" w:rsidRPr="004E6A1D">
        <w:rPr>
          <w:color w:val="45B0E1" w:themeColor="accent1" w:themeTint="99"/>
        </w:rPr>
        <w:t xml:space="preserve">Present Value </w:t>
      </w:r>
      <w:r w:rsidR="007F0185" w:rsidRPr="004E6A1D">
        <w:rPr>
          <w:color w:val="45B0E1" w:themeColor="accent1" w:themeTint="99"/>
        </w:rPr>
        <w:t>Factor</w:t>
      </w:r>
      <w:r w:rsidRPr="004E6A1D">
        <w:rPr>
          <w:color w:val="45B0E1" w:themeColor="accent1" w:themeTint="99"/>
        </w:rPr>
        <w:t>:</w:t>
      </w:r>
    </w:p>
    <w:p w14:paraId="7ADF34F5" w14:textId="77777777" w:rsidR="0045148E" w:rsidRPr="0045148E" w:rsidRDefault="0045148E" w:rsidP="0045148E"/>
    <w:p w14:paraId="14B0AB44" w14:textId="63D1F2E3" w:rsidR="00C064A9" w:rsidRPr="00C40E4E" w:rsidRDefault="00CF04EA" w:rsidP="00366C30">
      <w:pPr>
        <w:spacing w:line="360" w:lineRule="auto"/>
        <w:jc w:val="both"/>
        <w:rPr>
          <w:rFonts w:ascii="Arial" w:hAnsi="Arial" w:cs="Arial"/>
          <w:sz w:val="24"/>
          <w:szCs w:val="24"/>
        </w:rPr>
      </w:pPr>
      <w:r w:rsidRPr="00C40E4E">
        <w:rPr>
          <w:rFonts w:ascii="Arial" w:hAnsi="Arial" w:cs="Arial"/>
          <w:sz w:val="24"/>
          <w:szCs w:val="24"/>
        </w:rPr>
        <w:t>According to Law and Smullen (2016)</w:t>
      </w:r>
      <w:r w:rsidR="00366C30" w:rsidRPr="00C40E4E">
        <w:rPr>
          <w:rFonts w:ascii="Arial" w:hAnsi="Arial" w:cs="Arial"/>
          <w:sz w:val="24"/>
          <w:szCs w:val="24"/>
        </w:rPr>
        <w:t xml:space="preserve"> t</w:t>
      </w:r>
      <w:r w:rsidR="00C064A9" w:rsidRPr="00C40E4E">
        <w:rPr>
          <w:rFonts w:ascii="Arial" w:hAnsi="Arial" w:cs="Arial"/>
          <w:sz w:val="24"/>
          <w:szCs w:val="24"/>
        </w:rPr>
        <w:t>he present value factor (PVF), also known as the "present value interest factor" (PVIF), is utilised to calculate the current worth of a cash flow that is expected to be received at a later period.</w:t>
      </w:r>
    </w:p>
    <w:p w14:paraId="47E969F8" w14:textId="77777777" w:rsidR="00366C30" w:rsidRPr="00366C30" w:rsidRDefault="00366C30" w:rsidP="00366C30">
      <w:pPr>
        <w:spacing w:line="360" w:lineRule="auto"/>
        <w:jc w:val="both"/>
        <w:rPr>
          <w:rFonts w:ascii="Arial" w:hAnsi="Arial" w:cs="Arial"/>
        </w:rPr>
      </w:pPr>
    </w:p>
    <w:p w14:paraId="07891D8B" w14:textId="78955A28" w:rsidR="00707377" w:rsidRPr="00366C30" w:rsidRDefault="00707377" w:rsidP="00366C30">
      <w:pPr>
        <w:spacing w:line="360" w:lineRule="auto"/>
        <w:jc w:val="both"/>
        <w:rPr>
          <w:rFonts w:ascii="Arial" w:hAnsi="Arial" w:cs="Arial"/>
          <w:sz w:val="24"/>
          <w:szCs w:val="24"/>
        </w:rPr>
      </w:pPr>
      <w:r w:rsidRPr="00366C30">
        <w:rPr>
          <w:rFonts w:ascii="Arial" w:hAnsi="Arial" w:cs="Arial"/>
          <w:sz w:val="24"/>
          <w:szCs w:val="24"/>
        </w:rPr>
        <w:t>Formula:</w:t>
      </w:r>
    </w:p>
    <w:p w14:paraId="31660D17" w14:textId="3E90EDDF" w:rsidR="00C44238" w:rsidRDefault="00C44238" w:rsidP="00C44238">
      <w:pPr>
        <w:jc w:val="center"/>
      </w:pPr>
      <w:r w:rsidRPr="00C44238">
        <w:rPr>
          <w:noProof/>
        </w:rPr>
        <w:drawing>
          <wp:inline distT="0" distB="0" distL="0" distR="0" wp14:anchorId="6058A31F" wp14:editId="4376C683">
            <wp:extent cx="4410691" cy="1143160"/>
            <wp:effectExtent l="0" t="0" r="0" b="0"/>
            <wp:docPr id="1576524471" name="Picture 1" descr="A black and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24471" name="Picture 1" descr="A black and blue text&#10;&#10;Description automatically generated"/>
                    <pic:cNvPicPr/>
                  </pic:nvPicPr>
                  <pic:blipFill>
                    <a:blip r:embed="rId33"/>
                    <a:stretch>
                      <a:fillRect/>
                    </a:stretch>
                  </pic:blipFill>
                  <pic:spPr>
                    <a:xfrm>
                      <a:off x="0" y="0"/>
                      <a:ext cx="4410691" cy="1143160"/>
                    </a:xfrm>
                    <a:prstGeom prst="rect">
                      <a:avLst/>
                    </a:prstGeom>
                  </pic:spPr>
                </pic:pic>
              </a:graphicData>
            </a:graphic>
          </wp:inline>
        </w:drawing>
      </w:r>
    </w:p>
    <w:p w14:paraId="3DA3DD01" w14:textId="77777777" w:rsidR="002F10EE" w:rsidRDefault="002F10EE" w:rsidP="00C44238">
      <w:pPr>
        <w:jc w:val="center"/>
      </w:pPr>
    </w:p>
    <w:p w14:paraId="7890E603" w14:textId="55B9EB93" w:rsidR="00225E63" w:rsidRDefault="00225E63" w:rsidP="00225E63">
      <w:pPr>
        <w:spacing w:line="360" w:lineRule="auto"/>
        <w:jc w:val="both"/>
        <w:rPr>
          <w:rFonts w:ascii="Arial" w:hAnsi="Arial" w:cs="Arial"/>
          <w:sz w:val="24"/>
          <w:szCs w:val="24"/>
        </w:rPr>
      </w:pPr>
      <w:r w:rsidRPr="00225E63">
        <w:rPr>
          <w:rFonts w:ascii="Arial" w:hAnsi="Arial" w:cs="Arial"/>
          <w:sz w:val="24"/>
          <w:szCs w:val="24"/>
        </w:rPr>
        <w:t xml:space="preserve">The </w:t>
      </w:r>
      <w:r w:rsidRPr="00225E63">
        <w:rPr>
          <w:rFonts w:ascii="Arial" w:hAnsi="Arial" w:cs="Arial"/>
          <w:b/>
          <w:bCs/>
          <w:sz w:val="24"/>
          <w:szCs w:val="24"/>
        </w:rPr>
        <w:t>Present Value</w:t>
      </w:r>
      <w:r w:rsidRPr="00225E63">
        <w:rPr>
          <w:rFonts w:ascii="Arial" w:hAnsi="Arial" w:cs="Arial"/>
          <w:sz w:val="24"/>
          <w:szCs w:val="24"/>
        </w:rPr>
        <w:t xml:space="preserve"> (PV) is a metric that quantifies the current worth of a future cash flow or a series of cash flows.</w:t>
      </w:r>
      <w:r>
        <w:rPr>
          <w:rFonts w:ascii="Arial" w:hAnsi="Arial" w:cs="Arial"/>
          <w:sz w:val="24"/>
          <w:szCs w:val="24"/>
        </w:rPr>
        <w:t xml:space="preserve"> </w:t>
      </w:r>
      <w:r w:rsidR="00676440" w:rsidRPr="00676440">
        <w:rPr>
          <w:rFonts w:ascii="Arial" w:hAnsi="Arial" w:cs="Arial"/>
          <w:sz w:val="24"/>
          <w:szCs w:val="24"/>
        </w:rPr>
        <w:t>(Law and Smullen, 2016)</w:t>
      </w:r>
    </w:p>
    <w:p w14:paraId="00A15359" w14:textId="77777777" w:rsidR="00676440" w:rsidRPr="00225E63" w:rsidRDefault="00676440" w:rsidP="00225E63">
      <w:pPr>
        <w:spacing w:line="360" w:lineRule="auto"/>
        <w:jc w:val="both"/>
        <w:rPr>
          <w:rFonts w:ascii="Arial" w:hAnsi="Arial" w:cs="Arial"/>
          <w:sz w:val="24"/>
          <w:szCs w:val="24"/>
        </w:rPr>
      </w:pPr>
    </w:p>
    <w:p w14:paraId="74989DBB" w14:textId="255CEA2F" w:rsidR="00491080" w:rsidRDefault="00491080" w:rsidP="00676440">
      <w:pPr>
        <w:spacing w:line="360" w:lineRule="auto"/>
        <w:jc w:val="both"/>
        <w:rPr>
          <w:rFonts w:ascii="Arial" w:hAnsi="Arial" w:cs="Arial"/>
          <w:sz w:val="24"/>
          <w:szCs w:val="24"/>
        </w:rPr>
      </w:pPr>
      <w:r w:rsidRPr="00676440">
        <w:rPr>
          <w:rFonts w:ascii="Arial" w:hAnsi="Arial" w:cs="Arial"/>
          <w:sz w:val="24"/>
          <w:szCs w:val="24"/>
        </w:rPr>
        <w:t xml:space="preserve">Formula: </w:t>
      </w:r>
    </w:p>
    <w:p w14:paraId="567B91FF" w14:textId="77777777" w:rsidR="002F10EE" w:rsidRPr="00676440" w:rsidRDefault="002F10EE" w:rsidP="00676440">
      <w:pPr>
        <w:spacing w:line="360" w:lineRule="auto"/>
        <w:jc w:val="both"/>
        <w:rPr>
          <w:rFonts w:ascii="Arial" w:hAnsi="Arial" w:cs="Arial"/>
          <w:sz w:val="24"/>
          <w:szCs w:val="24"/>
        </w:rPr>
      </w:pPr>
    </w:p>
    <w:p w14:paraId="4F5D6A23" w14:textId="68DA57BD" w:rsidR="00491080" w:rsidRDefault="00B93061" w:rsidP="00B93061">
      <w:pPr>
        <w:jc w:val="center"/>
      </w:pPr>
      <w:r w:rsidRPr="00B93061">
        <w:rPr>
          <w:noProof/>
        </w:rPr>
        <w:drawing>
          <wp:inline distT="0" distB="0" distL="0" distR="0" wp14:anchorId="1B64CF98" wp14:editId="5836BB59">
            <wp:extent cx="4114807" cy="321013"/>
            <wp:effectExtent l="0" t="0" r="0" b="3175"/>
            <wp:docPr id="2108809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809198" name=""/>
                    <pic:cNvPicPr/>
                  </pic:nvPicPr>
                  <pic:blipFill>
                    <a:blip r:embed="rId34"/>
                    <a:stretch>
                      <a:fillRect/>
                    </a:stretch>
                  </pic:blipFill>
                  <pic:spPr>
                    <a:xfrm>
                      <a:off x="0" y="0"/>
                      <a:ext cx="4134901" cy="322581"/>
                    </a:xfrm>
                    <a:prstGeom prst="rect">
                      <a:avLst/>
                    </a:prstGeom>
                  </pic:spPr>
                </pic:pic>
              </a:graphicData>
            </a:graphic>
          </wp:inline>
        </w:drawing>
      </w:r>
    </w:p>
    <w:p w14:paraId="692415A1" w14:textId="77777777" w:rsidR="002F10EE" w:rsidRDefault="002F10EE" w:rsidP="00761613"/>
    <w:p w14:paraId="33B07095" w14:textId="3DE0A37D" w:rsidR="009067EB" w:rsidRPr="005345B4" w:rsidRDefault="00041E1E" w:rsidP="005345B4">
      <w:pPr>
        <w:spacing w:line="360" w:lineRule="auto"/>
        <w:jc w:val="both"/>
        <w:rPr>
          <w:rFonts w:ascii="Arial" w:hAnsi="Arial" w:cs="Arial"/>
          <w:b/>
          <w:bCs/>
          <w:sz w:val="24"/>
          <w:szCs w:val="24"/>
        </w:rPr>
      </w:pPr>
      <w:r w:rsidRPr="005345B4">
        <w:rPr>
          <w:rFonts w:ascii="Arial" w:hAnsi="Arial" w:cs="Arial"/>
          <w:b/>
          <w:bCs/>
          <w:sz w:val="24"/>
          <w:szCs w:val="24"/>
        </w:rPr>
        <w:lastRenderedPageBreak/>
        <w:t>Project A</w:t>
      </w:r>
    </w:p>
    <w:p w14:paraId="5F913769" w14:textId="0D8C268B" w:rsidR="000B67FE" w:rsidRDefault="00953652" w:rsidP="002C5722">
      <w:r w:rsidRPr="00953652">
        <w:rPr>
          <w:noProof/>
        </w:rPr>
        <w:drawing>
          <wp:inline distT="0" distB="0" distL="0" distR="0" wp14:anchorId="124DD5D4" wp14:editId="7CA6C79F">
            <wp:extent cx="1917487" cy="1968169"/>
            <wp:effectExtent l="0" t="0" r="6985" b="0"/>
            <wp:docPr id="12357603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935570" cy="1986730"/>
                    </a:xfrm>
                    <a:prstGeom prst="rect">
                      <a:avLst/>
                    </a:prstGeom>
                    <a:noFill/>
                    <a:ln>
                      <a:noFill/>
                    </a:ln>
                  </pic:spPr>
                </pic:pic>
              </a:graphicData>
            </a:graphic>
          </wp:inline>
        </w:drawing>
      </w:r>
      <w:r w:rsidR="002C5722">
        <w:t xml:space="preserve">      </w:t>
      </w:r>
      <w:r w:rsidR="00E82BD5" w:rsidRPr="00E82BD5">
        <w:rPr>
          <w:noProof/>
        </w:rPr>
        <w:drawing>
          <wp:inline distT="0" distB="0" distL="0" distR="0" wp14:anchorId="01451DEB" wp14:editId="0997CABC">
            <wp:extent cx="3213895" cy="1949167"/>
            <wp:effectExtent l="0" t="0" r="5715" b="0"/>
            <wp:docPr id="162382132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236314" cy="1962763"/>
                    </a:xfrm>
                    <a:prstGeom prst="rect">
                      <a:avLst/>
                    </a:prstGeom>
                    <a:noFill/>
                    <a:ln>
                      <a:noFill/>
                    </a:ln>
                  </pic:spPr>
                </pic:pic>
              </a:graphicData>
            </a:graphic>
          </wp:inline>
        </w:drawing>
      </w:r>
    </w:p>
    <w:p w14:paraId="042A0337" w14:textId="5819D26B" w:rsidR="0093454C" w:rsidRDefault="00707117" w:rsidP="00673008">
      <w:pPr>
        <w:jc w:val="center"/>
      </w:pPr>
      <w:r>
        <w:t>Sources: Own creation</w:t>
      </w:r>
    </w:p>
    <w:p w14:paraId="6E5E87F4" w14:textId="77777777" w:rsidR="005345B4" w:rsidRDefault="005345B4" w:rsidP="00673008">
      <w:pPr>
        <w:jc w:val="center"/>
      </w:pPr>
    </w:p>
    <w:p w14:paraId="292A1030" w14:textId="77777777" w:rsidR="005345B4" w:rsidRDefault="005345B4" w:rsidP="00673008">
      <w:pPr>
        <w:jc w:val="center"/>
      </w:pPr>
    </w:p>
    <w:p w14:paraId="13460718" w14:textId="7B7E9859" w:rsidR="0093454C" w:rsidRPr="005345B4" w:rsidRDefault="0093454C" w:rsidP="005345B4">
      <w:pPr>
        <w:spacing w:line="360" w:lineRule="auto"/>
        <w:jc w:val="both"/>
        <w:rPr>
          <w:rFonts w:ascii="Arial" w:hAnsi="Arial" w:cs="Arial"/>
          <w:b/>
          <w:bCs/>
          <w:sz w:val="24"/>
          <w:szCs w:val="24"/>
        </w:rPr>
      </w:pPr>
      <w:r w:rsidRPr="005345B4">
        <w:rPr>
          <w:rFonts w:ascii="Arial" w:hAnsi="Arial" w:cs="Arial"/>
          <w:b/>
          <w:bCs/>
          <w:sz w:val="24"/>
          <w:szCs w:val="24"/>
        </w:rPr>
        <w:t>Project B</w:t>
      </w:r>
    </w:p>
    <w:p w14:paraId="31674BB1" w14:textId="34A8F42F" w:rsidR="0093454C" w:rsidRDefault="00705303" w:rsidP="00673008">
      <w:pPr>
        <w:rPr>
          <w:b/>
          <w:bCs/>
        </w:rPr>
      </w:pPr>
      <w:r w:rsidRPr="00705303">
        <w:rPr>
          <w:noProof/>
        </w:rPr>
        <w:drawing>
          <wp:inline distT="0" distB="0" distL="0" distR="0" wp14:anchorId="65A743D7" wp14:editId="64623B0D">
            <wp:extent cx="1917109" cy="2021205"/>
            <wp:effectExtent l="0" t="0" r="6985" b="0"/>
            <wp:docPr id="198737455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937212" cy="2042400"/>
                    </a:xfrm>
                    <a:prstGeom prst="rect">
                      <a:avLst/>
                    </a:prstGeom>
                    <a:noFill/>
                    <a:ln>
                      <a:noFill/>
                    </a:ln>
                  </pic:spPr>
                </pic:pic>
              </a:graphicData>
            </a:graphic>
          </wp:inline>
        </w:drawing>
      </w:r>
      <w:r w:rsidR="00673008">
        <w:rPr>
          <w:b/>
          <w:bCs/>
        </w:rPr>
        <w:t xml:space="preserve">      </w:t>
      </w:r>
      <w:r w:rsidR="00782587" w:rsidRPr="00782587">
        <w:rPr>
          <w:noProof/>
        </w:rPr>
        <w:drawing>
          <wp:inline distT="0" distB="0" distL="0" distR="0" wp14:anchorId="6E7D3A6D" wp14:editId="00A43225">
            <wp:extent cx="3180469" cy="1979295"/>
            <wp:effectExtent l="0" t="0" r="1270" b="1905"/>
            <wp:docPr id="6832943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223721" cy="2006212"/>
                    </a:xfrm>
                    <a:prstGeom prst="rect">
                      <a:avLst/>
                    </a:prstGeom>
                    <a:noFill/>
                    <a:ln>
                      <a:noFill/>
                    </a:ln>
                  </pic:spPr>
                </pic:pic>
              </a:graphicData>
            </a:graphic>
          </wp:inline>
        </w:drawing>
      </w:r>
    </w:p>
    <w:p w14:paraId="081F93D7" w14:textId="0AEE6DC6" w:rsidR="00BC506D" w:rsidRPr="000E716F" w:rsidRDefault="00673008" w:rsidP="000E716F">
      <w:pPr>
        <w:jc w:val="center"/>
      </w:pPr>
      <w:r w:rsidRPr="000E716F">
        <w:t>Sources: Own creation</w:t>
      </w:r>
    </w:p>
    <w:p w14:paraId="7C67DBDE" w14:textId="77777777" w:rsidR="00F05996" w:rsidRDefault="00F05996" w:rsidP="00C920A4">
      <w:pPr>
        <w:jc w:val="center"/>
        <w:rPr>
          <w:b/>
          <w:bCs/>
        </w:rPr>
      </w:pPr>
    </w:p>
    <w:p w14:paraId="1A1CEF0C" w14:textId="4468746E" w:rsidR="00F05996" w:rsidRDefault="00F05996" w:rsidP="00466A58">
      <w:pPr>
        <w:pStyle w:val="Heading3"/>
      </w:pPr>
      <w:bookmarkStart w:id="31" w:name="_Toc164624843"/>
      <w:r w:rsidRPr="00466A58">
        <w:t>Analys</w:t>
      </w:r>
      <w:r w:rsidR="00C40E4E">
        <w:t>is</w:t>
      </w:r>
      <w:r w:rsidR="00466A58">
        <w:t>:</w:t>
      </w:r>
      <w:bookmarkEnd w:id="31"/>
    </w:p>
    <w:p w14:paraId="6B06C62B" w14:textId="77777777" w:rsidR="00466A58" w:rsidRDefault="00466A58" w:rsidP="00466A58"/>
    <w:p w14:paraId="5561F0F3" w14:textId="77777777" w:rsidR="00466A58" w:rsidRPr="00D86636" w:rsidRDefault="00466A58" w:rsidP="00D86636">
      <w:pPr>
        <w:spacing w:line="360" w:lineRule="auto"/>
        <w:jc w:val="both"/>
        <w:rPr>
          <w:rFonts w:ascii="Arial" w:hAnsi="Arial" w:cs="Arial"/>
          <w:b/>
          <w:bCs/>
          <w:sz w:val="24"/>
          <w:szCs w:val="24"/>
        </w:rPr>
      </w:pPr>
      <w:r w:rsidRPr="00D86636">
        <w:rPr>
          <w:rFonts w:ascii="Arial" w:hAnsi="Arial" w:cs="Arial"/>
          <w:b/>
          <w:bCs/>
          <w:sz w:val="24"/>
          <w:szCs w:val="24"/>
        </w:rPr>
        <w:t xml:space="preserve">Payback period </w:t>
      </w:r>
    </w:p>
    <w:p w14:paraId="2965792B" w14:textId="3045A552" w:rsidR="00466A58" w:rsidRPr="00C40E4E" w:rsidRDefault="00D86636" w:rsidP="00D86636">
      <w:pPr>
        <w:spacing w:line="360" w:lineRule="auto"/>
        <w:jc w:val="both"/>
        <w:rPr>
          <w:rFonts w:ascii="Arial" w:hAnsi="Arial" w:cs="Arial"/>
          <w:sz w:val="24"/>
          <w:szCs w:val="24"/>
        </w:rPr>
      </w:pPr>
      <w:r w:rsidRPr="00C40E4E">
        <w:rPr>
          <w:rFonts w:ascii="Arial" w:hAnsi="Arial" w:cs="Arial"/>
          <w:sz w:val="24"/>
          <w:szCs w:val="24"/>
        </w:rPr>
        <w:t>It will take 2.5 years for the cash inflows generated by Project A to reimburse the initial cost, according to its 2.5-year payback time. Project A has a fair payback period, but it's far longer than Project B, which pays for itself in less than a year. It is preferable to have a shorter payback period since it means the funds for the project can be used for other things sooner.</w:t>
      </w:r>
      <w:r w:rsidR="00466A58" w:rsidRPr="00C40E4E">
        <w:rPr>
          <w:rFonts w:ascii="Arial" w:hAnsi="Arial" w:cs="Arial"/>
          <w:sz w:val="24"/>
          <w:szCs w:val="24"/>
        </w:rPr>
        <w:t xml:space="preserve"> </w:t>
      </w:r>
      <w:r w:rsidR="00005C78" w:rsidRPr="00C40E4E">
        <w:rPr>
          <w:rFonts w:ascii="Arial" w:hAnsi="Arial" w:cs="Arial"/>
          <w:sz w:val="24"/>
          <w:szCs w:val="24"/>
        </w:rPr>
        <w:t>(Law</w:t>
      </w:r>
      <w:r w:rsidR="00C41842" w:rsidRPr="00C40E4E">
        <w:rPr>
          <w:rFonts w:ascii="Arial" w:hAnsi="Arial" w:cs="Arial"/>
          <w:sz w:val="24"/>
          <w:szCs w:val="24"/>
        </w:rPr>
        <w:t>, 2016)</w:t>
      </w:r>
    </w:p>
    <w:p w14:paraId="34E61FDE" w14:textId="641F8C86" w:rsidR="00466A58" w:rsidRPr="00A27D88" w:rsidRDefault="00466A58" w:rsidP="00A27D88">
      <w:pPr>
        <w:spacing w:line="360" w:lineRule="auto"/>
        <w:jc w:val="both"/>
        <w:rPr>
          <w:rFonts w:ascii="Arial" w:hAnsi="Arial" w:cs="Arial"/>
          <w:b/>
          <w:bCs/>
          <w:sz w:val="24"/>
          <w:szCs w:val="24"/>
        </w:rPr>
      </w:pPr>
      <w:r w:rsidRPr="00A27D88">
        <w:rPr>
          <w:rFonts w:ascii="Arial" w:hAnsi="Arial" w:cs="Arial"/>
          <w:b/>
          <w:bCs/>
          <w:sz w:val="24"/>
          <w:szCs w:val="24"/>
        </w:rPr>
        <w:lastRenderedPageBreak/>
        <w:t>A</w:t>
      </w:r>
      <w:r w:rsidR="00E2521A">
        <w:rPr>
          <w:rFonts w:ascii="Arial" w:hAnsi="Arial" w:cs="Arial"/>
          <w:b/>
          <w:bCs/>
          <w:sz w:val="24"/>
          <w:szCs w:val="24"/>
        </w:rPr>
        <w:t>ccount Rate of return</w:t>
      </w:r>
      <w:r w:rsidRPr="00A27D88">
        <w:rPr>
          <w:rFonts w:ascii="Arial" w:hAnsi="Arial" w:cs="Arial"/>
          <w:b/>
          <w:bCs/>
          <w:sz w:val="24"/>
          <w:szCs w:val="24"/>
        </w:rPr>
        <w:t xml:space="preserve"> </w:t>
      </w:r>
    </w:p>
    <w:p w14:paraId="35389A3B" w14:textId="44C970C1" w:rsidR="00E2521A" w:rsidRPr="00A27D88" w:rsidRDefault="000A7651" w:rsidP="00A27D88">
      <w:pPr>
        <w:spacing w:line="360" w:lineRule="auto"/>
        <w:jc w:val="both"/>
        <w:rPr>
          <w:rFonts w:ascii="Arial" w:hAnsi="Arial" w:cs="Arial"/>
          <w:sz w:val="24"/>
          <w:szCs w:val="24"/>
        </w:rPr>
      </w:pPr>
      <w:r w:rsidRPr="00A27D88">
        <w:rPr>
          <w:rFonts w:ascii="Arial" w:hAnsi="Arial" w:cs="Arial"/>
          <w:sz w:val="24"/>
          <w:szCs w:val="24"/>
        </w:rPr>
        <w:t>When comparing the two projects, Project B's annual rate of return (ARR) of 75.75% is far greater than Project A's ARR of 25.29%. An increase in the yearly rate of return indicates that the project is more profitable. Compared to Project A, Project B clearly has the potential to offer larger yearly returns on investment.</w:t>
      </w:r>
    </w:p>
    <w:p w14:paraId="60985915" w14:textId="6ABAF4C1" w:rsidR="00466A58" w:rsidRPr="00E2521A" w:rsidRDefault="00466A58" w:rsidP="00E2521A">
      <w:pPr>
        <w:spacing w:line="360" w:lineRule="auto"/>
        <w:jc w:val="both"/>
        <w:rPr>
          <w:rFonts w:ascii="Arial" w:hAnsi="Arial" w:cs="Arial"/>
          <w:b/>
          <w:bCs/>
          <w:sz w:val="24"/>
          <w:szCs w:val="24"/>
        </w:rPr>
      </w:pPr>
      <w:r w:rsidRPr="00E2521A">
        <w:rPr>
          <w:rFonts w:ascii="Arial" w:hAnsi="Arial" w:cs="Arial"/>
          <w:b/>
          <w:bCs/>
          <w:sz w:val="24"/>
          <w:szCs w:val="24"/>
        </w:rPr>
        <w:t xml:space="preserve">NPV </w:t>
      </w:r>
    </w:p>
    <w:p w14:paraId="27F80493" w14:textId="1C967E06" w:rsidR="00D6477B" w:rsidRPr="00D6477B" w:rsidRDefault="00D6477B" w:rsidP="00D6477B">
      <w:pPr>
        <w:spacing w:line="360" w:lineRule="auto"/>
        <w:jc w:val="both"/>
        <w:rPr>
          <w:rFonts w:ascii="Arial" w:hAnsi="Arial" w:cs="Arial"/>
          <w:sz w:val="24"/>
          <w:szCs w:val="24"/>
        </w:rPr>
      </w:pPr>
      <w:r w:rsidRPr="00D6477B">
        <w:rPr>
          <w:rFonts w:ascii="Arial" w:hAnsi="Arial" w:cs="Arial"/>
          <w:sz w:val="24"/>
          <w:szCs w:val="24"/>
        </w:rPr>
        <w:t>When looking at the NPV of the two projects, it's clear that Project B is the better option with a positive NPV of 1993.63, whereas Project A is clearly losing money with an NPV of -2182. If the project's net present value (NPV) is positive, then the returns will be higher than the minimum permissible rate of return; if it's negative, then the returns will be lower. Project B seems to be the better investment choice when looking at the Net Present Value (NPV).</w:t>
      </w:r>
    </w:p>
    <w:p w14:paraId="04959C98" w14:textId="26D81AE0" w:rsidR="00EE2AB6" w:rsidRDefault="00703810" w:rsidP="00703810">
      <w:pPr>
        <w:spacing w:line="360" w:lineRule="auto"/>
        <w:jc w:val="both"/>
        <w:rPr>
          <w:rFonts w:ascii="Arial" w:hAnsi="Arial" w:cs="Arial"/>
          <w:sz w:val="24"/>
          <w:szCs w:val="24"/>
        </w:rPr>
      </w:pPr>
      <w:r w:rsidRPr="00703810">
        <w:rPr>
          <w:rFonts w:ascii="Arial" w:hAnsi="Arial" w:cs="Arial"/>
          <w:sz w:val="24"/>
          <w:szCs w:val="24"/>
        </w:rPr>
        <w:t xml:space="preserve">After </w:t>
      </w:r>
      <w:proofErr w:type="gramStart"/>
      <w:r w:rsidRPr="00703810">
        <w:rPr>
          <w:rFonts w:ascii="Arial" w:hAnsi="Arial" w:cs="Arial"/>
          <w:sz w:val="24"/>
          <w:szCs w:val="24"/>
        </w:rPr>
        <w:t>taking into account</w:t>
      </w:r>
      <w:proofErr w:type="gramEnd"/>
      <w:r w:rsidRPr="00703810">
        <w:rPr>
          <w:rFonts w:ascii="Arial" w:hAnsi="Arial" w:cs="Arial"/>
          <w:sz w:val="24"/>
          <w:szCs w:val="24"/>
        </w:rPr>
        <w:t xml:space="preserve"> all the evaluation criteria, including financial indicators such as payback duration, ARR, and NPV, as well as additional risk-return analysis, it is unequivocally evident that Project B is the superior option among the options currently being considered. Although the initial capital outlay for Project B may appear to have a lengthy payback period, the following cashflows and returns more than make up for it. Project B has significantly higher annual returns compared to Project A, making it the ideal choice.</w:t>
      </w:r>
      <w:r w:rsidR="00E2521A">
        <w:rPr>
          <w:rFonts w:ascii="Arial" w:hAnsi="Arial" w:cs="Arial"/>
          <w:sz w:val="24"/>
          <w:szCs w:val="24"/>
        </w:rPr>
        <w:t xml:space="preserve"> (Law, 2016)</w:t>
      </w:r>
    </w:p>
    <w:p w14:paraId="4D793242" w14:textId="77777777" w:rsidR="00E2521A" w:rsidRPr="00703810" w:rsidRDefault="00E2521A" w:rsidP="00703810">
      <w:pPr>
        <w:spacing w:line="360" w:lineRule="auto"/>
        <w:jc w:val="both"/>
        <w:rPr>
          <w:rFonts w:ascii="Arial" w:hAnsi="Arial" w:cs="Arial"/>
          <w:sz w:val="24"/>
          <w:szCs w:val="24"/>
        </w:rPr>
      </w:pPr>
    </w:p>
    <w:p w14:paraId="2BAAD945" w14:textId="5D7C5B28" w:rsidR="00EE2AB6" w:rsidRDefault="00EE2AB6" w:rsidP="00EE2AB6">
      <w:pPr>
        <w:pStyle w:val="Heading2"/>
      </w:pPr>
      <w:bookmarkStart w:id="32" w:name="_Toc164624844"/>
      <w:r>
        <w:t>2</w:t>
      </w:r>
      <w:r w:rsidR="008E5E95">
        <w:t xml:space="preserve"> R</w:t>
      </w:r>
      <w:r w:rsidR="008E5E95" w:rsidRPr="008E5E95">
        <w:t>ecalculate NPV</w:t>
      </w:r>
      <w:bookmarkEnd w:id="32"/>
    </w:p>
    <w:p w14:paraId="0A50B7AC" w14:textId="77777777" w:rsidR="00876878" w:rsidRPr="00876878" w:rsidRDefault="00876878" w:rsidP="00876878"/>
    <w:p w14:paraId="6EE0CF4E" w14:textId="5B95E844" w:rsidR="00C74AEE" w:rsidRPr="00876878" w:rsidRDefault="00C74AEE" w:rsidP="00876878">
      <w:pPr>
        <w:spacing w:line="360" w:lineRule="auto"/>
        <w:jc w:val="both"/>
        <w:rPr>
          <w:rFonts w:ascii="Arial" w:hAnsi="Arial" w:cs="Arial"/>
          <w:b/>
          <w:bCs/>
          <w:sz w:val="24"/>
          <w:szCs w:val="24"/>
        </w:rPr>
      </w:pPr>
      <w:r w:rsidRPr="00876878">
        <w:rPr>
          <w:rFonts w:ascii="Arial" w:hAnsi="Arial" w:cs="Arial"/>
          <w:b/>
          <w:bCs/>
          <w:sz w:val="24"/>
          <w:szCs w:val="24"/>
        </w:rPr>
        <w:t>Project A</w:t>
      </w:r>
    </w:p>
    <w:p w14:paraId="0AE84944" w14:textId="5859CDC4" w:rsidR="007F33F2" w:rsidRDefault="00910180" w:rsidP="007F33F2">
      <w:r w:rsidRPr="00910180">
        <w:rPr>
          <w:noProof/>
        </w:rPr>
        <w:drawing>
          <wp:inline distT="0" distB="0" distL="0" distR="0" wp14:anchorId="7DB5FD38" wp14:editId="2796EBD1">
            <wp:extent cx="1657244" cy="1701048"/>
            <wp:effectExtent l="0" t="0" r="635" b="0"/>
            <wp:docPr id="40415960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674707" cy="1718972"/>
                    </a:xfrm>
                    <a:prstGeom prst="rect">
                      <a:avLst/>
                    </a:prstGeom>
                    <a:noFill/>
                    <a:ln>
                      <a:noFill/>
                    </a:ln>
                  </pic:spPr>
                </pic:pic>
              </a:graphicData>
            </a:graphic>
          </wp:inline>
        </w:drawing>
      </w:r>
      <w:r w:rsidR="00E94BCE">
        <w:t xml:space="preserve">            </w:t>
      </w:r>
      <w:r w:rsidR="001C57BE" w:rsidRPr="001C57BE">
        <w:rPr>
          <w:noProof/>
        </w:rPr>
        <w:drawing>
          <wp:inline distT="0" distB="0" distL="0" distR="0" wp14:anchorId="2F94BEB7" wp14:editId="7B813393">
            <wp:extent cx="2996288" cy="1691870"/>
            <wp:effectExtent l="0" t="0" r="0" b="3810"/>
            <wp:docPr id="174001830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030046" cy="1710932"/>
                    </a:xfrm>
                    <a:prstGeom prst="rect">
                      <a:avLst/>
                    </a:prstGeom>
                    <a:noFill/>
                    <a:ln>
                      <a:noFill/>
                    </a:ln>
                  </pic:spPr>
                </pic:pic>
              </a:graphicData>
            </a:graphic>
          </wp:inline>
        </w:drawing>
      </w:r>
      <w:r w:rsidR="00E94BCE">
        <w:t xml:space="preserve">  </w:t>
      </w:r>
    </w:p>
    <w:p w14:paraId="31240DAB" w14:textId="716088F2" w:rsidR="00DB134F" w:rsidRDefault="000E716F" w:rsidP="00876878">
      <w:pPr>
        <w:jc w:val="center"/>
      </w:pPr>
      <w:r>
        <w:t>Sources: Own creation</w:t>
      </w:r>
    </w:p>
    <w:p w14:paraId="1453A411" w14:textId="1C77B151" w:rsidR="00DB134F" w:rsidRPr="00876878" w:rsidRDefault="00DB134F" w:rsidP="00876878">
      <w:pPr>
        <w:spacing w:line="360" w:lineRule="auto"/>
        <w:jc w:val="both"/>
        <w:rPr>
          <w:rFonts w:ascii="Arial" w:hAnsi="Arial" w:cs="Arial"/>
          <w:b/>
          <w:bCs/>
          <w:sz w:val="24"/>
          <w:szCs w:val="24"/>
        </w:rPr>
      </w:pPr>
      <w:r w:rsidRPr="00876878">
        <w:rPr>
          <w:rFonts w:ascii="Arial" w:hAnsi="Arial" w:cs="Arial"/>
          <w:b/>
          <w:bCs/>
          <w:sz w:val="24"/>
          <w:szCs w:val="24"/>
        </w:rPr>
        <w:lastRenderedPageBreak/>
        <w:t>Project B</w:t>
      </w:r>
    </w:p>
    <w:p w14:paraId="6AF63733" w14:textId="03A9B842" w:rsidR="00DB134F" w:rsidRDefault="00B56538" w:rsidP="007F33F2">
      <w:r w:rsidRPr="00B56538">
        <w:rPr>
          <w:noProof/>
        </w:rPr>
        <w:drawing>
          <wp:inline distT="0" distB="0" distL="0" distR="0" wp14:anchorId="2FEF5E4C" wp14:editId="6F521E96">
            <wp:extent cx="1903256" cy="2006600"/>
            <wp:effectExtent l="0" t="0" r="1905" b="0"/>
            <wp:docPr id="143363497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910755" cy="2014506"/>
                    </a:xfrm>
                    <a:prstGeom prst="rect">
                      <a:avLst/>
                    </a:prstGeom>
                    <a:noFill/>
                    <a:ln>
                      <a:noFill/>
                    </a:ln>
                  </pic:spPr>
                </pic:pic>
              </a:graphicData>
            </a:graphic>
          </wp:inline>
        </w:drawing>
      </w:r>
      <w:r w:rsidR="00BD4319">
        <w:t xml:space="preserve">      </w:t>
      </w:r>
      <w:r w:rsidR="00657AAD">
        <w:t xml:space="preserve">     </w:t>
      </w:r>
      <w:r w:rsidR="00BD4319">
        <w:t xml:space="preserve">     </w:t>
      </w:r>
      <w:r w:rsidR="00FA663E" w:rsidRPr="00FA663E">
        <w:rPr>
          <w:noProof/>
        </w:rPr>
        <w:drawing>
          <wp:inline distT="0" distB="0" distL="0" distR="0" wp14:anchorId="24DD11F9" wp14:editId="1F8B8087">
            <wp:extent cx="3193735" cy="1987550"/>
            <wp:effectExtent l="0" t="0" r="6985" b="0"/>
            <wp:docPr id="101919243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199261" cy="1990989"/>
                    </a:xfrm>
                    <a:prstGeom prst="rect">
                      <a:avLst/>
                    </a:prstGeom>
                    <a:noFill/>
                    <a:ln>
                      <a:noFill/>
                    </a:ln>
                  </pic:spPr>
                </pic:pic>
              </a:graphicData>
            </a:graphic>
          </wp:inline>
        </w:drawing>
      </w:r>
    </w:p>
    <w:p w14:paraId="28DD9522" w14:textId="5184CA5C" w:rsidR="000E716F" w:rsidRPr="007F33F2" w:rsidRDefault="000E716F" w:rsidP="000E716F">
      <w:pPr>
        <w:jc w:val="center"/>
      </w:pPr>
      <w:r>
        <w:t>Sources: Own creation</w:t>
      </w:r>
    </w:p>
    <w:p w14:paraId="58B336E6" w14:textId="77777777" w:rsidR="00EE2AB6" w:rsidRDefault="00EE2AB6" w:rsidP="00936E86"/>
    <w:p w14:paraId="40F834BA" w14:textId="77777777" w:rsidR="00FF02E5" w:rsidRDefault="00FF02E5" w:rsidP="00936E86"/>
    <w:p w14:paraId="48BA7328" w14:textId="4281056D" w:rsidR="000338E0" w:rsidRDefault="006A022D" w:rsidP="00EF4D42">
      <w:pPr>
        <w:pStyle w:val="Heading3"/>
      </w:pPr>
      <w:bookmarkStart w:id="33" w:name="_Toc164624845"/>
      <w:r>
        <w:t>Recalculation`s analysis</w:t>
      </w:r>
      <w:bookmarkEnd w:id="33"/>
    </w:p>
    <w:p w14:paraId="4BD94147" w14:textId="77777777" w:rsidR="00FF02E5" w:rsidRPr="00FF02E5" w:rsidRDefault="00FF02E5" w:rsidP="00FF02E5"/>
    <w:p w14:paraId="015B537B" w14:textId="621B1F75" w:rsidR="007739D4" w:rsidRPr="00BD398A" w:rsidRDefault="007739D4" w:rsidP="00BD398A">
      <w:pPr>
        <w:spacing w:line="360" w:lineRule="auto"/>
        <w:jc w:val="both"/>
        <w:rPr>
          <w:rFonts w:ascii="Arial" w:hAnsi="Arial" w:cs="Arial"/>
          <w:sz w:val="24"/>
          <w:szCs w:val="24"/>
        </w:rPr>
      </w:pPr>
      <w:r w:rsidRPr="00BD398A">
        <w:rPr>
          <w:rFonts w:ascii="Arial" w:hAnsi="Arial" w:cs="Arial"/>
          <w:sz w:val="24"/>
          <w:szCs w:val="24"/>
        </w:rPr>
        <w:t xml:space="preserve">Over the course of four years, Project A has a total negative cash flow value that is $1,001.96 less than the initial investment, when adjusted for inflation. Consequently, project A is anticipated to incur a net loss. The net present value of project B is $1,594.27, which represents the </w:t>
      </w:r>
      <w:r w:rsidR="00B8782C" w:rsidRPr="00BD398A">
        <w:rPr>
          <w:rFonts w:ascii="Arial" w:hAnsi="Arial" w:cs="Arial"/>
          <w:sz w:val="24"/>
          <w:szCs w:val="24"/>
        </w:rPr>
        <w:t>variance</w:t>
      </w:r>
      <w:r w:rsidRPr="00BD398A">
        <w:rPr>
          <w:rFonts w:ascii="Arial" w:hAnsi="Arial" w:cs="Arial"/>
          <w:sz w:val="24"/>
          <w:szCs w:val="24"/>
        </w:rPr>
        <w:t xml:space="preserve"> between the total value of positive cash flows and the initial investment. Consequently, project B is anticipated to generate a positive financial outcome.</w:t>
      </w:r>
    </w:p>
    <w:p w14:paraId="37440DA9" w14:textId="4F3D9AA2" w:rsidR="00D2737B" w:rsidRDefault="00F32421" w:rsidP="00FF02E5">
      <w:pPr>
        <w:spacing w:line="360" w:lineRule="auto"/>
        <w:jc w:val="both"/>
        <w:rPr>
          <w:rFonts w:ascii="Arial" w:hAnsi="Arial" w:cs="Arial"/>
          <w:sz w:val="24"/>
          <w:szCs w:val="24"/>
        </w:rPr>
      </w:pPr>
      <w:r w:rsidRPr="00BD398A">
        <w:rPr>
          <w:rFonts w:ascii="Arial" w:hAnsi="Arial" w:cs="Arial"/>
          <w:sz w:val="24"/>
          <w:szCs w:val="24"/>
        </w:rPr>
        <w:t>Both projects require an initial monetary outlay, but project A is predicted to lose $1,001.96 and project B to gain $1,594.27. This financial analysis suggests project B is the superior choice because the purpose is to choose the project predicted to produce money.</w:t>
      </w:r>
      <w:r w:rsidR="00E302C4" w:rsidRPr="00BD398A">
        <w:rPr>
          <w:rFonts w:ascii="Arial" w:hAnsi="Arial" w:cs="Arial"/>
          <w:sz w:val="24"/>
          <w:szCs w:val="24"/>
        </w:rPr>
        <w:t xml:space="preserve"> </w:t>
      </w:r>
      <w:r w:rsidR="007739D4" w:rsidRPr="00BD398A">
        <w:rPr>
          <w:rFonts w:ascii="Arial" w:hAnsi="Arial" w:cs="Arial"/>
          <w:sz w:val="24"/>
          <w:szCs w:val="24"/>
        </w:rPr>
        <w:t>(Law, 2016)</w:t>
      </w:r>
      <w:r w:rsidR="00216A82" w:rsidRPr="00BD398A">
        <w:rPr>
          <w:rFonts w:ascii="Arial" w:hAnsi="Arial" w:cs="Arial"/>
          <w:sz w:val="24"/>
          <w:szCs w:val="24"/>
        </w:rPr>
        <w:t>.</w:t>
      </w:r>
      <w:r w:rsidR="00E302C4" w:rsidRPr="00BD398A">
        <w:rPr>
          <w:rFonts w:ascii="Arial" w:hAnsi="Arial" w:cs="Arial"/>
          <w:sz w:val="24"/>
          <w:szCs w:val="24"/>
        </w:rPr>
        <w:t xml:space="preserve"> </w:t>
      </w:r>
      <w:r w:rsidR="00BD398A" w:rsidRPr="00BD398A">
        <w:rPr>
          <w:rFonts w:ascii="Arial" w:hAnsi="Arial" w:cs="Arial"/>
          <w:sz w:val="24"/>
          <w:szCs w:val="24"/>
        </w:rPr>
        <w:t xml:space="preserve">Project B has a larger positive net present value (NPV), indicating that it will </w:t>
      </w:r>
      <w:r w:rsidR="007B7BBF" w:rsidRPr="00BD398A">
        <w:rPr>
          <w:rFonts w:ascii="Arial" w:hAnsi="Arial" w:cs="Arial"/>
          <w:sz w:val="24"/>
          <w:szCs w:val="24"/>
        </w:rPr>
        <w:t>produce</w:t>
      </w:r>
      <w:r w:rsidR="00BD398A" w:rsidRPr="00BD398A">
        <w:rPr>
          <w:rFonts w:ascii="Arial" w:hAnsi="Arial" w:cs="Arial"/>
          <w:sz w:val="24"/>
          <w:szCs w:val="24"/>
        </w:rPr>
        <w:t xml:space="preserve"> </w:t>
      </w:r>
      <w:r w:rsidR="007B7BBF" w:rsidRPr="00BD398A">
        <w:rPr>
          <w:rFonts w:ascii="Arial" w:hAnsi="Arial" w:cs="Arial"/>
          <w:sz w:val="24"/>
          <w:szCs w:val="24"/>
        </w:rPr>
        <w:t>adequate</w:t>
      </w:r>
      <w:r w:rsidR="00BD398A" w:rsidRPr="00BD398A">
        <w:rPr>
          <w:rFonts w:ascii="Arial" w:hAnsi="Arial" w:cs="Arial"/>
          <w:sz w:val="24"/>
          <w:szCs w:val="24"/>
        </w:rPr>
        <w:t xml:space="preserve"> cash flow to cover its initial investment and make a profit over the four-year period. In contrast, project A will not generate sufficient positive cash flow to offset its costs. Hence, if the company's goal is to optimise value, project B is the preferable option among these two mutually exclusive investment opportunities, as per the NPV analysis.</w:t>
      </w:r>
    </w:p>
    <w:p w14:paraId="5F59BB34" w14:textId="77777777" w:rsidR="00FF02E5" w:rsidRPr="00FF02E5" w:rsidRDefault="00FF02E5" w:rsidP="00FF02E5">
      <w:pPr>
        <w:spacing w:line="360" w:lineRule="auto"/>
        <w:jc w:val="both"/>
        <w:rPr>
          <w:rFonts w:ascii="Arial" w:hAnsi="Arial" w:cs="Arial"/>
          <w:sz w:val="24"/>
          <w:szCs w:val="24"/>
        </w:rPr>
      </w:pPr>
    </w:p>
    <w:p w14:paraId="41050EEC" w14:textId="478EA8CA" w:rsidR="00EE2AB6" w:rsidRDefault="00EE2AB6" w:rsidP="00EE2AB6">
      <w:pPr>
        <w:pStyle w:val="Heading2"/>
      </w:pPr>
      <w:bookmarkStart w:id="34" w:name="_Toc164624846"/>
      <w:r>
        <w:lastRenderedPageBreak/>
        <w:t>3</w:t>
      </w:r>
      <w:r w:rsidR="00156B8E">
        <w:t xml:space="preserve"> </w:t>
      </w:r>
      <w:r w:rsidR="00156B8E" w:rsidRPr="00156B8E">
        <w:t>Critically discuss the advantages and shortcomings</w:t>
      </w:r>
      <w:r w:rsidR="00380B97">
        <w:t>.</w:t>
      </w:r>
      <w:bookmarkEnd w:id="34"/>
    </w:p>
    <w:p w14:paraId="043986A6" w14:textId="77777777" w:rsidR="00380B97" w:rsidRDefault="00380B97" w:rsidP="00380B97"/>
    <w:p w14:paraId="74E27E56" w14:textId="61DD4D48" w:rsidR="00B72861" w:rsidRPr="00E74B13" w:rsidRDefault="00E74B13" w:rsidP="00E74B13">
      <w:pPr>
        <w:spacing w:line="360" w:lineRule="auto"/>
        <w:jc w:val="both"/>
        <w:rPr>
          <w:rFonts w:ascii="Arial" w:hAnsi="Arial" w:cs="Arial"/>
          <w:sz w:val="24"/>
          <w:szCs w:val="24"/>
        </w:rPr>
      </w:pPr>
      <w:r w:rsidRPr="00E74B13">
        <w:rPr>
          <w:rFonts w:ascii="Arial" w:hAnsi="Arial" w:cs="Arial"/>
          <w:sz w:val="24"/>
          <w:szCs w:val="24"/>
        </w:rPr>
        <w:t>Payback time, accounting rate of return, and net present value are three important financial metrics that can be utilised to evaluate projects involving capital investments. There are benefits to each approach, but there are also possible drawbacks.</w:t>
      </w:r>
    </w:p>
    <w:p w14:paraId="6EB70B22" w14:textId="1318317A" w:rsidR="0087631E" w:rsidRPr="0087631E" w:rsidRDefault="0087631E" w:rsidP="0087631E">
      <w:pPr>
        <w:spacing w:line="360" w:lineRule="auto"/>
        <w:jc w:val="both"/>
        <w:rPr>
          <w:rFonts w:ascii="Arial" w:hAnsi="Arial" w:cs="Arial"/>
          <w:sz w:val="24"/>
          <w:szCs w:val="24"/>
        </w:rPr>
      </w:pPr>
      <w:r w:rsidRPr="0087631E">
        <w:rPr>
          <w:rFonts w:ascii="Arial" w:hAnsi="Arial" w:cs="Arial"/>
          <w:sz w:val="24"/>
          <w:szCs w:val="24"/>
        </w:rPr>
        <w:t xml:space="preserve">One of the most basic methods is the payback period, which measures the time it takes for a project's revenue inflows to equal its initial cash investment. Both understanding and calculating it is a breeze. </w:t>
      </w:r>
      <w:r w:rsidR="00341F12">
        <w:rPr>
          <w:rFonts w:ascii="Arial" w:hAnsi="Arial" w:cs="Arial"/>
          <w:sz w:val="24"/>
          <w:szCs w:val="24"/>
        </w:rPr>
        <w:t>P</w:t>
      </w:r>
      <w:r w:rsidRPr="0087631E">
        <w:rPr>
          <w:rFonts w:ascii="Arial" w:hAnsi="Arial" w:cs="Arial"/>
          <w:sz w:val="24"/>
          <w:szCs w:val="24"/>
        </w:rPr>
        <w:t xml:space="preserve">ayback period and the overall profitability of investments with longer lifespans are not </w:t>
      </w:r>
      <w:proofErr w:type="gramStart"/>
      <w:r w:rsidRPr="0087631E">
        <w:rPr>
          <w:rFonts w:ascii="Arial" w:hAnsi="Arial" w:cs="Arial"/>
          <w:sz w:val="24"/>
          <w:szCs w:val="24"/>
        </w:rPr>
        <w:t>taken into account</w:t>
      </w:r>
      <w:proofErr w:type="gramEnd"/>
      <w:r w:rsidRPr="0087631E">
        <w:rPr>
          <w:rFonts w:ascii="Arial" w:hAnsi="Arial" w:cs="Arial"/>
          <w:sz w:val="24"/>
          <w:szCs w:val="24"/>
        </w:rPr>
        <w:t>, though. Therefore, projects with identical payback periods might not be economically equivalent if their overall cash flows are different.</w:t>
      </w:r>
    </w:p>
    <w:p w14:paraId="6B0620A4" w14:textId="335BF69D" w:rsidR="00036AAB" w:rsidRPr="00F6729F" w:rsidRDefault="00036AAB" w:rsidP="00F6729F">
      <w:pPr>
        <w:spacing w:line="360" w:lineRule="auto"/>
        <w:jc w:val="both"/>
        <w:rPr>
          <w:rFonts w:ascii="Arial" w:hAnsi="Arial" w:cs="Arial"/>
          <w:sz w:val="24"/>
          <w:szCs w:val="24"/>
        </w:rPr>
      </w:pPr>
      <w:r w:rsidRPr="00F6729F">
        <w:rPr>
          <w:rFonts w:ascii="Arial" w:hAnsi="Arial" w:cs="Arial"/>
          <w:sz w:val="24"/>
          <w:szCs w:val="24"/>
        </w:rPr>
        <w:t xml:space="preserve">An investment's profitability is calculated as a percentage of its average investment over a </w:t>
      </w:r>
      <w:r w:rsidR="001D291B" w:rsidRPr="00F6729F">
        <w:rPr>
          <w:rFonts w:ascii="Arial" w:hAnsi="Arial" w:cs="Arial"/>
          <w:sz w:val="24"/>
          <w:szCs w:val="24"/>
        </w:rPr>
        <w:t>presented</w:t>
      </w:r>
      <w:r w:rsidRPr="00F6729F">
        <w:rPr>
          <w:rFonts w:ascii="Arial" w:hAnsi="Arial" w:cs="Arial"/>
          <w:sz w:val="24"/>
          <w:szCs w:val="24"/>
        </w:rPr>
        <w:t xml:space="preserve"> </w:t>
      </w:r>
      <w:proofErr w:type="gramStart"/>
      <w:r w:rsidRPr="00F6729F">
        <w:rPr>
          <w:rFonts w:ascii="Arial" w:hAnsi="Arial" w:cs="Arial"/>
          <w:sz w:val="24"/>
          <w:szCs w:val="24"/>
        </w:rPr>
        <w:t>time period</w:t>
      </w:r>
      <w:proofErr w:type="gramEnd"/>
      <w:r w:rsidRPr="00F6729F">
        <w:rPr>
          <w:rFonts w:ascii="Arial" w:hAnsi="Arial" w:cs="Arial"/>
          <w:sz w:val="24"/>
          <w:szCs w:val="24"/>
        </w:rPr>
        <w:t xml:space="preserve"> using the accounting rate of return. However, it ignores the time value of money </w:t>
      </w:r>
      <w:r w:rsidR="00ED0024" w:rsidRPr="00F6729F">
        <w:rPr>
          <w:rFonts w:ascii="Arial" w:hAnsi="Arial" w:cs="Arial"/>
          <w:sz w:val="24"/>
          <w:szCs w:val="24"/>
        </w:rPr>
        <w:t>then</w:t>
      </w:r>
      <w:r w:rsidRPr="00F6729F">
        <w:rPr>
          <w:rFonts w:ascii="Arial" w:hAnsi="Arial" w:cs="Arial"/>
          <w:sz w:val="24"/>
          <w:szCs w:val="24"/>
        </w:rPr>
        <w:t xml:space="preserve"> </w:t>
      </w:r>
      <w:r w:rsidR="00ED0024" w:rsidRPr="00F6729F">
        <w:rPr>
          <w:rFonts w:ascii="Arial" w:hAnsi="Arial" w:cs="Arial"/>
          <w:sz w:val="24"/>
          <w:szCs w:val="24"/>
        </w:rPr>
        <w:t>supposes</w:t>
      </w:r>
      <w:r w:rsidRPr="00F6729F">
        <w:rPr>
          <w:rFonts w:ascii="Arial" w:hAnsi="Arial" w:cs="Arial"/>
          <w:sz w:val="24"/>
          <w:szCs w:val="24"/>
        </w:rPr>
        <w:t xml:space="preserve"> cash flows occur at the end of each month. Due to different cash flow patterns, two projects with identical ARR numbers may have different risk and profitability.</w:t>
      </w:r>
    </w:p>
    <w:p w14:paraId="2A9FC19B" w14:textId="3589EF23" w:rsidR="00380B97" w:rsidRPr="00242A52" w:rsidRDefault="00380B97" w:rsidP="00242A52">
      <w:pPr>
        <w:spacing w:line="360" w:lineRule="auto"/>
        <w:jc w:val="both"/>
        <w:rPr>
          <w:rFonts w:ascii="Arial" w:hAnsi="Arial" w:cs="Arial"/>
          <w:sz w:val="24"/>
          <w:szCs w:val="24"/>
        </w:rPr>
      </w:pPr>
      <w:r w:rsidRPr="00242A52">
        <w:rPr>
          <w:rFonts w:ascii="Arial" w:hAnsi="Arial" w:cs="Arial"/>
          <w:sz w:val="24"/>
          <w:szCs w:val="24"/>
        </w:rPr>
        <w:t xml:space="preserve"> </w:t>
      </w:r>
      <w:r w:rsidR="00242A52" w:rsidRPr="00242A52">
        <w:rPr>
          <w:rFonts w:ascii="Arial" w:hAnsi="Arial" w:cs="Arial"/>
          <w:sz w:val="24"/>
          <w:szCs w:val="24"/>
        </w:rPr>
        <w:t xml:space="preserve">According to </w:t>
      </w:r>
      <w:r w:rsidR="00BD722B" w:rsidRPr="00242A52">
        <w:rPr>
          <w:rFonts w:ascii="Arial" w:hAnsi="Arial" w:cs="Arial"/>
          <w:sz w:val="24"/>
          <w:szCs w:val="24"/>
        </w:rPr>
        <w:t xml:space="preserve">Law </w:t>
      </w:r>
      <w:r w:rsidR="00242A52" w:rsidRPr="00242A52">
        <w:rPr>
          <w:rFonts w:ascii="Arial" w:hAnsi="Arial" w:cs="Arial"/>
          <w:sz w:val="24"/>
          <w:szCs w:val="24"/>
        </w:rPr>
        <w:t>(</w:t>
      </w:r>
      <w:r w:rsidR="00BD722B" w:rsidRPr="00242A52">
        <w:rPr>
          <w:rFonts w:ascii="Arial" w:hAnsi="Arial" w:cs="Arial"/>
          <w:sz w:val="24"/>
          <w:szCs w:val="24"/>
        </w:rPr>
        <w:t>2016)</w:t>
      </w:r>
      <w:r w:rsidR="00242A52" w:rsidRPr="00242A52">
        <w:rPr>
          <w:rFonts w:ascii="Arial" w:hAnsi="Arial" w:cs="Arial"/>
          <w:sz w:val="24"/>
          <w:szCs w:val="24"/>
        </w:rPr>
        <w:t xml:space="preserve"> NVP analysis mitigates certain constraints associated with alternative approaches. By applying a discount rate to all future cash flows </w:t>
      </w:r>
      <w:proofErr w:type="gramStart"/>
      <w:r w:rsidR="00242A52" w:rsidRPr="00242A52">
        <w:rPr>
          <w:rFonts w:ascii="Arial" w:hAnsi="Arial" w:cs="Arial"/>
          <w:sz w:val="24"/>
          <w:szCs w:val="24"/>
        </w:rPr>
        <w:t>in order to</w:t>
      </w:r>
      <w:proofErr w:type="gramEnd"/>
      <w:r w:rsidR="00242A52" w:rsidRPr="00242A52">
        <w:rPr>
          <w:rFonts w:ascii="Arial" w:hAnsi="Arial" w:cs="Arial"/>
          <w:sz w:val="24"/>
          <w:szCs w:val="24"/>
        </w:rPr>
        <w:t xml:space="preserve"> calculate their current worth, this method takes into account the concept of the time value of money. This enables a direct and accurate comparison of projects that have varying cash flow characteristics. A project's predicted value creation is directly proportional to its NPV. Nevertheless, calculating NPV might be more intricate due to the necessity of obtaining a precise discount rate. </w:t>
      </w:r>
      <w:r w:rsidR="00554516">
        <w:rPr>
          <w:rFonts w:ascii="Arial" w:hAnsi="Arial" w:cs="Arial"/>
          <w:sz w:val="24"/>
          <w:szCs w:val="24"/>
        </w:rPr>
        <w:t>D</w:t>
      </w:r>
      <w:r w:rsidR="00242A52" w:rsidRPr="00242A52">
        <w:rPr>
          <w:rFonts w:ascii="Arial" w:hAnsi="Arial" w:cs="Arial"/>
          <w:sz w:val="24"/>
          <w:szCs w:val="24"/>
        </w:rPr>
        <w:t>iscount rate assumption can have a substantial impact on the outcomes. There is a certain degree of subjectivity involved in estimating projected cash flows that extend far into the future. Slight alterations in assumptions can significantly impact the net present value (NPV) and the recommended selection of projects.</w:t>
      </w:r>
    </w:p>
    <w:p w14:paraId="736BCDEF" w14:textId="51F9E074" w:rsidR="00EE2AB6" w:rsidRDefault="00C53FCC" w:rsidP="0012433E">
      <w:pPr>
        <w:spacing w:line="360" w:lineRule="auto"/>
        <w:jc w:val="both"/>
        <w:rPr>
          <w:rFonts w:ascii="Arial" w:hAnsi="Arial" w:cs="Arial"/>
          <w:sz w:val="24"/>
          <w:szCs w:val="24"/>
        </w:rPr>
      </w:pPr>
      <w:r w:rsidRPr="0012433E">
        <w:rPr>
          <w:rFonts w:ascii="Arial" w:hAnsi="Arial" w:cs="Arial"/>
          <w:sz w:val="24"/>
          <w:szCs w:val="24"/>
        </w:rPr>
        <w:t xml:space="preserve">Each method has advantages depending on the situation. While simpler, payback time and ARR do not properly account for cash flow timing. NPV is most complete but requires more assumptions and calculations. Multiple approaches to analyse projects from diverse viewpoints and emphasise their strengths and faults may be optimal. NPV should best estimate long-term value given well-defined future cash flows. Simpler </w:t>
      </w:r>
      <w:r w:rsidRPr="0012433E">
        <w:rPr>
          <w:rFonts w:ascii="Arial" w:hAnsi="Arial" w:cs="Arial"/>
          <w:sz w:val="24"/>
          <w:szCs w:val="24"/>
        </w:rPr>
        <w:lastRenderedPageBreak/>
        <w:t xml:space="preserve">measures may be more important for short-term or hazardous investments. </w:t>
      </w:r>
      <w:r w:rsidR="0012433E" w:rsidRPr="0012433E">
        <w:rPr>
          <w:rFonts w:ascii="Arial" w:hAnsi="Arial" w:cs="Arial"/>
          <w:sz w:val="24"/>
          <w:szCs w:val="24"/>
        </w:rPr>
        <w:t>(Law and Smullen, 2016)</w:t>
      </w:r>
    </w:p>
    <w:p w14:paraId="1BE5AA1C" w14:textId="77777777" w:rsidR="0012433E" w:rsidRPr="0012433E" w:rsidRDefault="0012433E" w:rsidP="0012433E">
      <w:pPr>
        <w:spacing w:line="360" w:lineRule="auto"/>
        <w:jc w:val="both"/>
        <w:rPr>
          <w:rFonts w:ascii="Arial" w:hAnsi="Arial" w:cs="Arial"/>
          <w:sz w:val="24"/>
          <w:szCs w:val="24"/>
        </w:rPr>
      </w:pPr>
    </w:p>
    <w:p w14:paraId="60EA019A" w14:textId="7791111F" w:rsidR="00EE2AB6" w:rsidRDefault="00EE2AB6" w:rsidP="00EE2AB6">
      <w:pPr>
        <w:pStyle w:val="Heading2"/>
      </w:pPr>
      <w:bookmarkStart w:id="35" w:name="_Toc164624847"/>
      <w:r>
        <w:t>4</w:t>
      </w:r>
      <w:r w:rsidR="008E1D55">
        <w:t xml:space="preserve"> </w:t>
      </w:r>
      <w:proofErr w:type="gramStart"/>
      <w:r w:rsidR="008E1D55">
        <w:t>N</w:t>
      </w:r>
      <w:r w:rsidR="008E1D55" w:rsidRPr="008E1D55">
        <w:t>on-financial</w:t>
      </w:r>
      <w:proofErr w:type="gramEnd"/>
      <w:r w:rsidR="008E1D55" w:rsidRPr="008E1D55">
        <w:t xml:space="preserve"> factors</w:t>
      </w:r>
      <w:bookmarkEnd w:id="35"/>
    </w:p>
    <w:p w14:paraId="02F4774A" w14:textId="77777777" w:rsidR="008E1D55" w:rsidRPr="008E1D55" w:rsidRDefault="008E1D55" w:rsidP="008E1D55"/>
    <w:p w14:paraId="3B551BD8" w14:textId="7C70E667" w:rsidR="00C11DDF" w:rsidRPr="00F1273D" w:rsidRDefault="00554516" w:rsidP="00F1273D">
      <w:pPr>
        <w:spacing w:line="360" w:lineRule="auto"/>
        <w:jc w:val="both"/>
        <w:rPr>
          <w:rFonts w:ascii="Arial" w:hAnsi="Arial" w:cs="Arial"/>
          <w:sz w:val="24"/>
          <w:szCs w:val="24"/>
        </w:rPr>
      </w:pPr>
      <w:r>
        <w:rPr>
          <w:rFonts w:ascii="Arial" w:hAnsi="Arial" w:cs="Arial"/>
          <w:sz w:val="24"/>
          <w:szCs w:val="24"/>
        </w:rPr>
        <w:t>P</w:t>
      </w:r>
      <w:r w:rsidR="00C11DDF" w:rsidRPr="00F1273D">
        <w:rPr>
          <w:rFonts w:ascii="Arial" w:hAnsi="Arial" w:cs="Arial"/>
          <w:sz w:val="24"/>
          <w:szCs w:val="24"/>
        </w:rPr>
        <w:t xml:space="preserve">erformance, risk, and value of a project or investment may be affected by non-financial elements including intangible rewards. Non-financial elements and intangible advantages effect future cash flows, discount rates, and opportunity costs of </w:t>
      </w:r>
      <w:r w:rsidR="004B4E1B">
        <w:rPr>
          <w:rFonts w:ascii="Arial" w:hAnsi="Arial" w:cs="Arial"/>
          <w:sz w:val="24"/>
          <w:szCs w:val="24"/>
        </w:rPr>
        <w:t>the</w:t>
      </w:r>
      <w:r w:rsidR="00C11DDF" w:rsidRPr="00F1273D">
        <w:rPr>
          <w:rFonts w:ascii="Arial" w:hAnsi="Arial" w:cs="Arial"/>
          <w:sz w:val="24"/>
          <w:szCs w:val="24"/>
        </w:rPr>
        <w:t xml:space="preserve"> project or investment. </w:t>
      </w:r>
      <w:r w:rsidR="002C2558" w:rsidRPr="00F1273D">
        <w:rPr>
          <w:rFonts w:ascii="Arial" w:hAnsi="Arial" w:cs="Arial"/>
          <w:sz w:val="24"/>
          <w:szCs w:val="24"/>
        </w:rPr>
        <w:t>Purchaser</w:t>
      </w:r>
      <w:r w:rsidR="00C11DDF" w:rsidRPr="00F1273D">
        <w:rPr>
          <w:rFonts w:ascii="Arial" w:hAnsi="Arial" w:cs="Arial"/>
          <w:sz w:val="24"/>
          <w:szCs w:val="24"/>
        </w:rPr>
        <w:t xml:space="preserve"> pleasure may enhance </w:t>
      </w:r>
      <w:r w:rsidR="008E2EA1" w:rsidRPr="00F1273D">
        <w:rPr>
          <w:rFonts w:ascii="Arial" w:hAnsi="Arial" w:cs="Arial"/>
          <w:sz w:val="24"/>
          <w:szCs w:val="24"/>
        </w:rPr>
        <w:t>faithfulness</w:t>
      </w:r>
      <w:r w:rsidR="00C11DDF" w:rsidRPr="00F1273D">
        <w:rPr>
          <w:rFonts w:ascii="Arial" w:hAnsi="Arial" w:cs="Arial"/>
          <w:sz w:val="24"/>
          <w:szCs w:val="24"/>
        </w:rPr>
        <w:t xml:space="preserve"> and retention, boosting future profits and lowering marketing expenses. Employee morale can boost </w:t>
      </w:r>
      <w:r w:rsidR="00387D3E" w:rsidRPr="00F1273D">
        <w:rPr>
          <w:rFonts w:ascii="Arial" w:hAnsi="Arial" w:cs="Arial"/>
          <w:sz w:val="24"/>
          <w:szCs w:val="24"/>
        </w:rPr>
        <w:t>efficiency</w:t>
      </w:r>
      <w:r w:rsidR="00C11DDF" w:rsidRPr="00F1273D">
        <w:rPr>
          <w:rFonts w:ascii="Arial" w:hAnsi="Arial" w:cs="Arial"/>
          <w:sz w:val="24"/>
          <w:szCs w:val="24"/>
        </w:rPr>
        <w:t xml:space="preserve"> and </w:t>
      </w:r>
      <w:r w:rsidR="00387D3E" w:rsidRPr="00F1273D">
        <w:rPr>
          <w:rFonts w:ascii="Arial" w:hAnsi="Arial" w:cs="Arial"/>
          <w:sz w:val="24"/>
          <w:szCs w:val="24"/>
        </w:rPr>
        <w:t>superiority</w:t>
      </w:r>
      <w:r w:rsidR="00C11DDF" w:rsidRPr="00F1273D">
        <w:rPr>
          <w:rFonts w:ascii="Arial" w:hAnsi="Arial" w:cs="Arial"/>
          <w:sz w:val="24"/>
          <w:szCs w:val="24"/>
        </w:rPr>
        <w:t>, lowering operational costs and increasing profits. Brand reputation can boost market share and development potential while reducing risk. Social responsibility and environmental sustainability may attract investors and customers, lowering capital costs and increasing demand. Strategic alignment can assist your long-term goals and boost company value and synergies with other projects or investments.</w:t>
      </w:r>
      <w:r w:rsidR="005566C6" w:rsidRPr="00F1273D">
        <w:rPr>
          <w:rFonts w:ascii="Arial" w:hAnsi="Arial" w:cs="Arial"/>
          <w:sz w:val="24"/>
          <w:szCs w:val="24"/>
        </w:rPr>
        <w:t xml:space="preserve"> (McMenamin, 2002)</w:t>
      </w:r>
    </w:p>
    <w:p w14:paraId="7CE95E11" w14:textId="5750FB7C" w:rsidR="00742C53" w:rsidRPr="002610D7" w:rsidRDefault="00742C53" w:rsidP="002610D7">
      <w:pPr>
        <w:spacing w:line="360" w:lineRule="auto"/>
        <w:jc w:val="both"/>
        <w:rPr>
          <w:rFonts w:ascii="Arial" w:hAnsi="Arial" w:cs="Arial"/>
          <w:sz w:val="24"/>
          <w:szCs w:val="24"/>
        </w:rPr>
      </w:pPr>
      <w:r w:rsidRPr="002610D7">
        <w:rPr>
          <w:rFonts w:ascii="Arial" w:hAnsi="Arial" w:cs="Arial"/>
          <w:sz w:val="24"/>
          <w:szCs w:val="24"/>
        </w:rPr>
        <w:t>Important non-financial considerations for management include:</w:t>
      </w:r>
    </w:p>
    <w:p w14:paraId="26A6BE28" w14:textId="7F296BF0" w:rsidR="00D277FA" w:rsidRPr="002610D7" w:rsidRDefault="00D277FA" w:rsidP="002610D7">
      <w:pPr>
        <w:pStyle w:val="ListParagraph"/>
        <w:numPr>
          <w:ilvl w:val="0"/>
          <w:numId w:val="9"/>
        </w:numPr>
        <w:spacing w:line="360" w:lineRule="auto"/>
        <w:jc w:val="both"/>
        <w:rPr>
          <w:rFonts w:ascii="Arial" w:hAnsi="Arial" w:cs="Arial"/>
          <w:sz w:val="24"/>
          <w:szCs w:val="24"/>
        </w:rPr>
      </w:pPr>
      <w:r w:rsidRPr="002610D7">
        <w:rPr>
          <w:rFonts w:ascii="Arial" w:hAnsi="Arial" w:cs="Arial"/>
          <w:b/>
          <w:bCs/>
          <w:sz w:val="24"/>
          <w:szCs w:val="24"/>
        </w:rPr>
        <w:t>Environmental Sustainability:</w:t>
      </w:r>
      <w:r w:rsidRPr="002610D7">
        <w:rPr>
          <w:rFonts w:ascii="Arial" w:hAnsi="Arial" w:cs="Arial"/>
          <w:sz w:val="24"/>
          <w:szCs w:val="24"/>
        </w:rPr>
        <w:t xml:space="preserve"> </w:t>
      </w:r>
      <w:r w:rsidR="00916903" w:rsidRPr="002610D7">
        <w:rPr>
          <w:rFonts w:ascii="Arial" w:hAnsi="Arial" w:cs="Arial"/>
          <w:sz w:val="24"/>
          <w:szCs w:val="24"/>
        </w:rPr>
        <w:t>Financial decisions must be assessed for environmental impact for long-term profitability and sustainability.</w:t>
      </w:r>
    </w:p>
    <w:p w14:paraId="2FAE8B6E" w14:textId="51C839C3" w:rsidR="007E0CD5" w:rsidRPr="002610D7" w:rsidRDefault="007E0CD5" w:rsidP="002610D7">
      <w:pPr>
        <w:pStyle w:val="ListParagraph"/>
        <w:numPr>
          <w:ilvl w:val="0"/>
          <w:numId w:val="9"/>
        </w:numPr>
        <w:spacing w:line="360" w:lineRule="auto"/>
        <w:jc w:val="both"/>
        <w:rPr>
          <w:rFonts w:ascii="Arial" w:hAnsi="Arial" w:cs="Arial"/>
          <w:sz w:val="24"/>
          <w:szCs w:val="24"/>
        </w:rPr>
      </w:pPr>
      <w:r w:rsidRPr="002610D7">
        <w:rPr>
          <w:rFonts w:ascii="Arial" w:hAnsi="Arial" w:cs="Arial"/>
          <w:b/>
          <w:bCs/>
          <w:sz w:val="24"/>
          <w:szCs w:val="24"/>
        </w:rPr>
        <w:t>Regulatory Compliance:</w:t>
      </w:r>
      <w:r w:rsidRPr="002610D7">
        <w:rPr>
          <w:rFonts w:ascii="Arial" w:hAnsi="Arial" w:cs="Arial"/>
          <w:sz w:val="24"/>
          <w:szCs w:val="24"/>
        </w:rPr>
        <w:t xml:space="preserve"> </w:t>
      </w:r>
      <w:r w:rsidR="00EA1A99" w:rsidRPr="002610D7">
        <w:rPr>
          <w:rFonts w:ascii="Arial" w:hAnsi="Arial" w:cs="Arial"/>
          <w:sz w:val="24"/>
          <w:szCs w:val="24"/>
        </w:rPr>
        <w:t>To prevent legal and reputational concerns, management must follow laws, rules, and industry standards when making financial decisions.</w:t>
      </w:r>
    </w:p>
    <w:p w14:paraId="5FAB5CCD" w14:textId="2E6E2D4C" w:rsidR="003C5E40" w:rsidRPr="002610D7" w:rsidRDefault="003C5E40" w:rsidP="002610D7">
      <w:pPr>
        <w:pStyle w:val="ListParagraph"/>
        <w:numPr>
          <w:ilvl w:val="0"/>
          <w:numId w:val="9"/>
        </w:numPr>
        <w:spacing w:line="360" w:lineRule="auto"/>
        <w:jc w:val="both"/>
        <w:rPr>
          <w:rFonts w:ascii="Arial" w:hAnsi="Arial" w:cs="Arial"/>
          <w:sz w:val="24"/>
          <w:szCs w:val="24"/>
        </w:rPr>
      </w:pPr>
      <w:r w:rsidRPr="002610D7">
        <w:rPr>
          <w:rFonts w:ascii="Arial" w:hAnsi="Arial" w:cs="Arial"/>
          <w:b/>
          <w:bCs/>
          <w:sz w:val="24"/>
          <w:szCs w:val="24"/>
        </w:rPr>
        <w:t>Risk Management:</w:t>
      </w:r>
      <w:r w:rsidR="000374EF" w:rsidRPr="002610D7">
        <w:rPr>
          <w:rFonts w:ascii="Arial" w:hAnsi="Arial" w:cs="Arial"/>
          <w:sz w:val="24"/>
          <w:szCs w:val="24"/>
        </w:rPr>
        <w:t xml:space="preserve"> Operational risks, cybersecurity concerns, and geopolitical instability can affect financial performance. Management should incorporate risk management into financial decisions.</w:t>
      </w:r>
      <w:r w:rsidR="000374EF" w:rsidRPr="002610D7">
        <w:rPr>
          <w:rFonts w:ascii="Arial" w:hAnsi="Arial" w:cs="Arial"/>
          <w:b/>
          <w:bCs/>
          <w:sz w:val="24"/>
          <w:szCs w:val="24"/>
        </w:rPr>
        <w:t xml:space="preserve"> </w:t>
      </w:r>
      <w:r w:rsidRPr="002610D7">
        <w:rPr>
          <w:rFonts w:ascii="Arial" w:hAnsi="Arial" w:cs="Arial"/>
          <w:sz w:val="24"/>
          <w:szCs w:val="24"/>
        </w:rPr>
        <w:t xml:space="preserve"> </w:t>
      </w:r>
      <w:r w:rsidR="00F1273D" w:rsidRPr="002610D7">
        <w:rPr>
          <w:rFonts w:ascii="Arial" w:hAnsi="Arial" w:cs="Arial"/>
          <w:sz w:val="24"/>
          <w:szCs w:val="24"/>
        </w:rPr>
        <w:t>(McMenamin, 2002)</w:t>
      </w:r>
    </w:p>
    <w:p w14:paraId="4F957629" w14:textId="1E8FD8D2" w:rsidR="00603AD2" w:rsidRPr="002610D7" w:rsidRDefault="00603AD2" w:rsidP="002610D7">
      <w:pPr>
        <w:pStyle w:val="ListParagraph"/>
        <w:numPr>
          <w:ilvl w:val="0"/>
          <w:numId w:val="9"/>
        </w:numPr>
        <w:spacing w:line="360" w:lineRule="auto"/>
        <w:jc w:val="both"/>
        <w:rPr>
          <w:rFonts w:ascii="Arial" w:hAnsi="Arial" w:cs="Arial"/>
          <w:sz w:val="24"/>
          <w:szCs w:val="24"/>
        </w:rPr>
      </w:pPr>
      <w:r w:rsidRPr="002610D7">
        <w:rPr>
          <w:rFonts w:ascii="Arial" w:hAnsi="Arial" w:cs="Arial"/>
          <w:b/>
          <w:bCs/>
          <w:sz w:val="24"/>
          <w:szCs w:val="24"/>
        </w:rPr>
        <w:t>Reputation Management:</w:t>
      </w:r>
      <w:r w:rsidR="001871B1" w:rsidRPr="002610D7">
        <w:rPr>
          <w:rFonts w:ascii="Arial" w:hAnsi="Arial" w:cs="Arial"/>
          <w:sz w:val="24"/>
          <w:szCs w:val="24"/>
        </w:rPr>
        <w:t xml:space="preserve"> Organisational reputation can be affected by financial decisions. Management must evaluate how their activities affect brand and public image.</w:t>
      </w:r>
    </w:p>
    <w:p w14:paraId="5CB086B4" w14:textId="364C81E8" w:rsidR="00C5428A" w:rsidRPr="002610D7" w:rsidRDefault="00C5428A" w:rsidP="002610D7">
      <w:pPr>
        <w:pStyle w:val="ListParagraph"/>
        <w:numPr>
          <w:ilvl w:val="0"/>
          <w:numId w:val="9"/>
        </w:numPr>
        <w:spacing w:line="360" w:lineRule="auto"/>
        <w:jc w:val="both"/>
        <w:rPr>
          <w:rFonts w:ascii="Arial" w:hAnsi="Arial" w:cs="Arial"/>
          <w:sz w:val="24"/>
          <w:szCs w:val="24"/>
        </w:rPr>
      </w:pPr>
      <w:r w:rsidRPr="002610D7">
        <w:rPr>
          <w:rFonts w:ascii="Arial" w:hAnsi="Arial" w:cs="Arial"/>
          <w:b/>
          <w:bCs/>
          <w:sz w:val="24"/>
          <w:szCs w:val="24"/>
        </w:rPr>
        <w:t>Employee Morale and Motivation</w:t>
      </w:r>
      <w:r w:rsidRPr="002610D7">
        <w:rPr>
          <w:rFonts w:ascii="Arial" w:hAnsi="Arial" w:cs="Arial"/>
          <w:sz w:val="24"/>
          <w:szCs w:val="24"/>
        </w:rPr>
        <w:t xml:space="preserve">: </w:t>
      </w:r>
      <w:r w:rsidR="00B44C2A" w:rsidRPr="002610D7">
        <w:rPr>
          <w:rFonts w:ascii="Arial" w:hAnsi="Arial" w:cs="Arial"/>
          <w:sz w:val="24"/>
          <w:szCs w:val="24"/>
        </w:rPr>
        <w:t xml:space="preserve">Financial considerations like wages and benefits can affect employee morale, motivation, and satisfaction, which affects productivity and performance. </w:t>
      </w:r>
      <w:r w:rsidR="00F1273D" w:rsidRPr="002610D7">
        <w:rPr>
          <w:rFonts w:ascii="Arial" w:hAnsi="Arial" w:cs="Arial"/>
          <w:sz w:val="24"/>
          <w:szCs w:val="24"/>
        </w:rPr>
        <w:t>(McMenamin, 2002)</w:t>
      </w:r>
    </w:p>
    <w:p w14:paraId="4904A744" w14:textId="451A15F7" w:rsidR="002610D7" w:rsidRDefault="00F820D5" w:rsidP="002610D7">
      <w:pPr>
        <w:pStyle w:val="ListParagraph"/>
        <w:numPr>
          <w:ilvl w:val="0"/>
          <w:numId w:val="9"/>
        </w:numPr>
        <w:spacing w:line="360" w:lineRule="auto"/>
        <w:jc w:val="both"/>
        <w:rPr>
          <w:rFonts w:ascii="Arial" w:hAnsi="Arial" w:cs="Arial"/>
          <w:sz w:val="24"/>
          <w:szCs w:val="24"/>
        </w:rPr>
      </w:pPr>
      <w:r w:rsidRPr="002610D7">
        <w:rPr>
          <w:rFonts w:ascii="Arial" w:hAnsi="Arial" w:cs="Arial"/>
          <w:b/>
          <w:bCs/>
          <w:sz w:val="24"/>
          <w:szCs w:val="24"/>
        </w:rPr>
        <w:lastRenderedPageBreak/>
        <w:t>Industry Standards and Best Practices:</w:t>
      </w:r>
      <w:r w:rsidRPr="002610D7">
        <w:rPr>
          <w:rFonts w:ascii="Arial" w:hAnsi="Arial" w:cs="Arial"/>
          <w:sz w:val="24"/>
          <w:szCs w:val="24"/>
        </w:rPr>
        <w:t xml:space="preserve"> </w:t>
      </w:r>
      <w:r w:rsidR="002610D7" w:rsidRPr="002610D7">
        <w:rPr>
          <w:rFonts w:ascii="Arial" w:hAnsi="Arial" w:cs="Arial"/>
          <w:sz w:val="24"/>
          <w:szCs w:val="24"/>
        </w:rPr>
        <w:t>Following industry standards boosts credibility and competitiveness. It also builds stakeholder trust.</w:t>
      </w:r>
    </w:p>
    <w:p w14:paraId="0C92E9EF" w14:textId="77777777" w:rsidR="00B05593" w:rsidRPr="00B05593" w:rsidRDefault="00B05593" w:rsidP="00B05593">
      <w:pPr>
        <w:spacing w:line="360" w:lineRule="auto"/>
        <w:jc w:val="both"/>
        <w:rPr>
          <w:rFonts w:ascii="Arial" w:hAnsi="Arial" w:cs="Arial"/>
          <w:sz w:val="24"/>
          <w:szCs w:val="24"/>
        </w:rPr>
      </w:pPr>
    </w:p>
    <w:p w14:paraId="7B712DB5" w14:textId="77777777" w:rsidR="002610D7" w:rsidRDefault="002610D7" w:rsidP="002610D7"/>
    <w:p w14:paraId="12FD99E2" w14:textId="05071304" w:rsidR="008B209F" w:rsidRDefault="008B209F" w:rsidP="002610D7">
      <w:pPr>
        <w:pStyle w:val="Heading1"/>
      </w:pPr>
      <w:bookmarkStart w:id="36" w:name="_Toc164624848"/>
      <w:r>
        <w:t>Conclusion</w:t>
      </w:r>
      <w:bookmarkEnd w:id="36"/>
    </w:p>
    <w:p w14:paraId="1318F846" w14:textId="77777777" w:rsidR="00F630D2" w:rsidRPr="00F630D2" w:rsidRDefault="00F630D2" w:rsidP="00F630D2"/>
    <w:p w14:paraId="6ADADCB5" w14:textId="1F44B7EF" w:rsidR="0082459A" w:rsidRPr="00B05593" w:rsidRDefault="00016838" w:rsidP="00B05593">
      <w:pPr>
        <w:spacing w:line="360" w:lineRule="auto"/>
        <w:jc w:val="both"/>
        <w:rPr>
          <w:rFonts w:ascii="Arial" w:hAnsi="Arial" w:cs="Arial"/>
          <w:sz w:val="24"/>
          <w:szCs w:val="24"/>
        </w:rPr>
      </w:pPr>
      <w:r w:rsidRPr="00B05593">
        <w:rPr>
          <w:rFonts w:ascii="Arial" w:hAnsi="Arial" w:cs="Arial"/>
          <w:sz w:val="24"/>
          <w:szCs w:val="24"/>
        </w:rPr>
        <w:t xml:space="preserve">Financial Management is the use of fundamental management ideas to oversee an organization's financial resources. Effective financial management is achieved through the proper administration of an organization's finances. Effective financial management is crucial to mitigate adverse impacts on the organization's growth and development. </w:t>
      </w:r>
      <w:r w:rsidR="0082459A" w:rsidRPr="00B05593">
        <w:rPr>
          <w:rFonts w:ascii="Arial" w:hAnsi="Arial" w:cs="Arial"/>
          <w:sz w:val="24"/>
          <w:szCs w:val="24"/>
        </w:rPr>
        <w:t xml:space="preserve"> </w:t>
      </w:r>
      <w:r w:rsidR="00334364" w:rsidRPr="00B05593">
        <w:rPr>
          <w:rFonts w:ascii="Arial" w:hAnsi="Arial" w:cs="Arial"/>
          <w:sz w:val="24"/>
          <w:szCs w:val="24"/>
        </w:rPr>
        <w:t>(Turner, 2011)</w:t>
      </w:r>
    </w:p>
    <w:p w14:paraId="0562F708" w14:textId="34176F8F" w:rsidR="008B209F" w:rsidRDefault="00B05593" w:rsidP="00B05593">
      <w:pPr>
        <w:spacing w:line="360" w:lineRule="auto"/>
        <w:jc w:val="both"/>
        <w:rPr>
          <w:rFonts w:ascii="Arial" w:hAnsi="Arial" w:cs="Arial"/>
          <w:sz w:val="24"/>
          <w:szCs w:val="24"/>
        </w:rPr>
      </w:pPr>
      <w:r w:rsidRPr="00B05593">
        <w:rPr>
          <w:rFonts w:ascii="Arial" w:hAnsi="Arial" w:cs="Arial"/>
          <w:sz w:val="24"/>
          <w:szCs w:val="24"/>
        </w:rPr>
        <w:t>Financial management encompasses more than numerical data. It involves comprehending the financial consequences of each decision and adopting proactive measures to enhance financial performance. Through the acquisition of proficient financial management skills, firms can establish a strong basis for achievement and facilitate continuous expansion in the fiercely competitive business environment.</w:t>
      </w:r>
    </w:p>
    <w:p w14:paraId="5812ED9A" w14:textId="77777777" w:rsidR="00F630D2" w:rsidRDefault="00F630D2" w:rsidP="00B05593">
      <w:pPr>
        <w:spacing w:line="360" w:lineRule="auto"/>
        <w:jc w:val="both"/>
        <w:rPr>
          <w:rFonts w:ascii="Arial" w:hAnsi="Arial" w:cs="Arial"/>
          <w:sz w:val="24"/>
          <w:szCs w:val="24"/>
        </w:rPr>
      </w:pPr>
    </w:p>
    <w:p w14:paraId="3F26FF99" w14:textId="77777777" w:rsidR="00F630D2" w:rsidRDefault="00F630D2" w:rsidP="00B05593">
      <w:pPr>
        <w:spacing w:line="360" w:lineRule="auto"/>
        <w:jc w:val="both"/>
        <w:rPr>
          <w:rFonts w:ascii="Arial" w:hAnsi="Arial" w:cs="Arial"/>
          <w:sz w:val="24"/>
          <w:szCs w:val="24"/>
        </w:rPr>
      </w:pPr>
    </w:p>
    <w:p w14:paraId="6C14C0CA" w14:textId="77777777" w:rsidR="00F630D2" w:rsidRDefault="00F630D2" w:rsidP="00B05593">
      <w:pPr>
        <w:spacing w:line="360" w:lineRule="auto"/>
        <w:jc w:val="both"/>
        <w:rPr>
          <w:rFonts w:ascii="Arial" w:hAnsi="Arial" w:cs="Arial"/>
          <w:sz w:val="24"/>
          <w:szCs w:val="24"/>
        </w:rPr>
      </w:pPr>
    </w:p>
    <w:p w14:paraId="7F0FEA45" w14:textId="77777777" w:rsidR="00F630D2" w:rsidRDefault="00F630D2" w:rsidP="00B05593">
      <w:pPr>
        <w:spacing w:line="360" w:lineRule="auto"/>
        <w:jc w:val="both"/>
        <w:rPr>
          <w:rFonts w:ascii="Arial" w:hAnsi="Arial" w:cs="Arial"/>
          <w:sz w:val="24"/>
          <w:szCs w:val="24"/>
        </w:rPr>
      </w:pPr>
    </w:p>
    <w:p w14:paraId="7AEAAC1B" w14:textId="77777777" w:rsidR="00F630D2" w:rsidRDefault="00F630D2" w:rsidP="00B05593">
      <w:pPr>
        <w:spacing w:line="360" w:lineRule="auto"/>
        <w:jc w:val="both"/>
        <w:rPr>
          <w:rFonts w:ascii="Arial" w:hAnsi="Arial" w:cs="Arial"/>
          <w:sz w:val="24"/>
          <w:szCs w:val="24"/>
        </w:rPr>
      </w:pPr>
    </w:p>
    <w:p w14:paraId="331BE6D3" w14:textId="77777777" w:rsidR="00F630D2" w:rsidRDefault="00F630D2" w:rsidP="00B05593">
      <w:pPr>
        <w:spacing w:line="360" w:lineRule="auto"/>
        <w:jc w:val="both"/>
        <w:rPr>
          <w:rFonts w:ascii="Arial" w:hAnsi="Arial" w:cs="Arial"/>
          <w:sz w:val="24"/>
          <w:szCs w:val="24"/>
        </w:rPr>
      </w:pPr>
    </w:p>
    <w:p w14:paraId="6D63B5C6" w14:textId="77777777" w:rsidR="00F630D2" w:rsidRDefault="00F630D2" w:rsidP="00B05593">
      <w:pPr>
        <w:spacing w:line="360" w:lineRule="auto"/>
        <w:jc w:val="both"/>
        <w:rPr>
          <w:rFonts w:ascii="Arial" w:hAnsi="Arial" w:cs="Arial"/>
          <w:sz w:val="24"/>
          <w:szCs w:val="24"/>
        </w:rPr>
      </w:pPr>
    </w:p>
    <w:p w14:paraId="45ECACBA" w14:textId="77777777" w:rsidR="00F630D2" w:rsidRDefault="00F630D2" w:rsidP="00B05593">
      <w:pPr>
        <w:spacing w:line="360" w:lineRule="auto"/>
        <w:jc w:val="both"/>
        <w:rPr>
          <w:rFonts w:ascii="Arial" w:hAnsi="Arial" w:cs="Arial"/>
          <w:sz w:val="24"/>
          <w:szCs w:val="24"/>
        </w:rPr>
      </w:pPr>
    </w:p>
    <w:p w14:paraId="77837DAA" w14:textId="77777777" w:rsidR="00F630D2" w:rsidRPr="00B05593" w:rsidRDefault="00F630D2" w:rsidP="00B05593">
      <w:pPr>
        <w:spacing w:line="360" w:lineRule="auto"/>
        <w:jc w:val="both"/>
        <w:rPr>
          <w:rFonts w:ascii="Arial" w:hAnsi="Arial" w:cs="Arial"/>
          <w:sz w:val="24"/>
          <w:szCs w:val="24"/>
        </w:rPr>
      </w:pPr>
    </w:p>
    <w:p w14:paraId="1121D7E2" w14:textId="7779E2E8" w:rsidR="008B209F" w:rsidRDefault="008B209F" w:rsidP="00193CD1">
      <w:pPr>
        <w:pStyle w:val="Heading1"/>
      </w:pPr>
      <w:bookmarkStart w:id="37" w:name="_Toc164624849"/>
      <w:r>
        <w:lastRenderedPageBreak/>
        <w:t>References</w:t>
      </w:r>
      <w:bookmarkEnd w:id="37"/>
      <w:r>
        <w:t xml:space="preserve"> </w:t>
      </w:r>
    </w:p>
    <w:p w14:paraId="5076667D" w14:textId="77777777" w:rsidR="00DD0A8C" w:rsidRDefault="00DD0A8C" w:rsidP="00DD0A8C"/>
    <w:p w14:paraId="696F6274" w14:textId="77777777" w:rsidR="009E12C2" w:rsidRPr="00F630D2" w:rsidRDefault="009E12C2" w:rsidP="00F630D2">
      <w:pPr>
        <w:spacing w:line="360" w:lineRule="auto"/>
        <w:jc w:val="both"/>
        <w:rPr>
          <w:rFonts w:ascii="Arial" w:hAnsi="Arial" w:cs="Arial"/>
          <w:sz w:val="24"/>
          <w:szCs w:val="24"/>
        </w:rPr>
      </w:pPr>
      <w:r w:rsidRPr="00F630D2">
        <w:rPr>
          <w:rFonts w:ascii="Arial" w:hAnsi="Arial" w:cs="Arial"/>
          <w:sz w:val="24"/>
          <w:szCs w:val="24"/>
        </w:rPr>
        <w:t>Böhm, A. (2008). </w:t>
      </w:r>
      <w:r w:rsidRPr="00F630D2">
        <w:rPr>
          <w:rFonts w:ascii="Arial" w:hAnsi="Arial" w:cs="Arial"/>
          <w:i/>
          <w:iCs/>
          <w:sz w:val="24"/>
          <w:szCs w:val="24"/>
        </w:rPr>
        <w:t>Interpretation of key figures in financial analysis</w:t>
      </w:r>
      <w:r w:rsidRPr="00F630D2">
        <w:rPr>
          <w:rFonts w:ascii="Arial" w:hAnsi="Arial" w:cs="Arial"/>
          <w:sz w:val="24"/>
          <w:szCs w:val="24"/>
        </w:rPr>
        <w:t>. GRIN Verlag.</w:t>
      </w:r>
    </w:p>
    <w:p w14:paraId="7120E111" w14:textId="77777777" w:rsidR="009E12C2" w:rsidRPr="00F630D2" w:rsidRDefault="009E12C2" w:rsidP="00F630D2">
      <w:pPr>
        <w:spacing w:line="360" w:lineRule="auto"/>
        <w:jc w:val="both"/>
        <w:rPr>
          <w:rFonts w:ascii="Arial" w:hAnsi="Arial" w:cs="Arial"/>
          <w:sz w:val="24"/>
          <w:szCs w:val="24"/>
        </w:rPr>
      </w:pPr>
      <w:r w:rsidRPr="00F630D2">
        <w:rPr>
          <w:rFonts w:ascii="Arial" w:hAnsi="Arial" w:cs="Arial"/>
          <w:sz w:val="24"/>
          <w:szCs w:val="24"/>
        </w:rPr>
        <w:t>Bragg, S.M. (2017). </w:t>
      </w:r>
      <w:r w:rsidRPr="00F630D2">
        <w:rPr>
          <w:rFonts w:ascii="Arial" w:hAnsi="Arial" w:cs="Arial"/>
          <w:i/>
          <w:iCs/>
          <w:sz w:val="24"/>
          <w:szCs w:val="24"/>
        </w:rPr>
        <w:t>Business ratios and formulas: a comprehensive guide</w:t>
      </w:r>
      <w:r w:rsidRPr="00F630D2">
        <w:rPr>
          <w:rFonts w:ascii="Arial" w:hAnsi="Arial" w:cs="Arial"/>
          <w:sz w:val="24"/>
          <w:szCs w:val="24"/>
        </w:rPr>
        <w:t>. Hoboken, N.J.: Wiley.</w:t>
      </w:r>
    </w:p>
    <w:p w14:paraId="15673CB8" w14:textId="77777777" w:rsidR="009E12C2" w:rsidRPr="00F630D2" w:rsidRDefault="009E12C2" w:rsidP="00F630D2">
      <w:pPr>
        <w:spacing w:line="360" w:lineRule="auto"/>
        <w:jc w:val="both"/>
        <w:rPr>
          <w:rFonts w:ascii="Arial" w:hAnsi="Arial" w:cs="Arial"/>
          <w:sz w:val="24"/>
          <w:szCs w:val="24"/>
        </w:rPr>
      </w:pPr>
      <w:r w:rsidRPr="00F630D2">
        <w:rPr>
          <w:rFonts w:ascii="Arial" w:hAnsi="Arial" w:cs="Arial"/>
          <w:sz w:val="24"/>
          <w:szCs w:val="24"/>
        </w:rPr>
        <w:t>Bull, R. (2008). </w:t>
      </w:r>
      <w:r w:rsidRPr="00F630D2">
        <w:rPr>
          <w:rFonts w:ascii="Arial" w:hAnsi="Arial" w:cs="Arial"/>
          <w:i/>
          <w:iCs/>
          <w:sz w:val="24"/>
          <w:szCs w:val="24"/>
        </w:rPr>
        <w:t>Financial ratios</w:t>
      </w:r>
      <w:r w:rsidRPr="00F630D2">
        <w:rPr>
          <w:rFonts w:ascii="Arial" w:hAnsi="Arial" w:cs="Arial"/>
          <w:sz w:val="24"/>
          <w:szCs w:val="24"/>
        </w:rPr>
        <w:t>. Oxford: CIMA Pub.</w:t>
      </w:r>
    </w:p>
    <w:p w14:paraId="349115EB" w14:textId="77777777" w:rsidR="009E12C2" w:rsidRPr="00F630D2" w:rsidRDefault="009E12C2" w:rsidP="00F630D2">
      <w:pPr>
        <w:spacing w:line="360" w:lineRule="auto"/>
        <w:jc w:val="both"/>
        <w:rPr>
          <w:rFonts w:ascii="Arial" w:hAnsi="Arial" w:cs="Arial"/>
          <w:sz w:val="24"/>
          <w:szCs w:val="24"/>
        </w:rPr>
      </w:pPr>
      <w:r w:rsidRPr="00DD426F">
        <w:rPr>
          <w:rFonts w:ascii="Arial" w:hAnsi="Arial" w:cs="Arial"/>
          <w:sz w:val="24"/>
          <w:szCs w:val="24"/>
        </w:rPr>
        <w:t>CFI (2022). </w:t>
      </w:r>
      <w:r w:rsidRPr="00DD426F">
        <w:rPr>
          <w:rFonts w:ascii="Arial" w:hAnsi="Arial" w:cs="Arial"/>
          <w:i/>
          <w:iCs/>
          <w:sz w:val="24"/>
          <w:szCs w:val="24"/>
        </w:rPr>
        <w:t>Efficiency Ratios</w:t>
      </w:r>
      <w:r w:rsidRPr="00DD426F">
        <w:rPr>
          <w:rFonts w:ascii="Arial" w:hAnsi="Arial" w:cs="Arial"/>
          <w:sz w:val="24"/>
          <w:szCs w:val="24"/>
        </w:rPr>
        <w:t>. [online] Corporate Finance Institute. Available at: https://corporatefinanceinstitute.com/resources/accounting/efficiency-ratios/ [Accessed 17 Apr. 2024].</w:t>
      </w:r>
    </w:p>
    <w:p w14:paraId="3D029F41" w14:textId="77777777" w:rsidR="009E12C2" w:rsidRPr="00F630D2" w:rsidRDefault="009E12C2" w:rsidP="00F630D2">
      <w:pPr>
        <w:spacing w:line="360" w:lineRule="auto"/>
        <w:jc w:val="both"/>
        <w:rPr>
          <w:rFonts w:ascii="Arial" w:hAnsi="Arial" w:cs="Arial"/>
          <w:sz w:val="24"/>
          <w:szCs w:val="24"/>
        </w:rPr>
      </w:pPr>
      <w:r w:rsidRPr="00F630D2">
        <w:rPr>
          <w:rFonts w:ascii="Arial" w:hAnsi="Arial" w:cs="Arial"/>
          <w:sz w:val="24"/>
          <w:szCs w:val="24"/>
        </w:rPr>
        <w:t xml:space="preserve">FORD (2023). Ford – </w:t>
      </w:r>
      <w:r w:rsidRPr="00F630D2">
        <w:rPr>
          <w:rFonts w:ascii="Arial" w:hAnsi="Arial" w:cs="Arial"/>
          <w:i/>
          <w:iCs/>
          <w:sz w:val="24"/>
          <w:szCs w:val="24"/>
        </w:rPr>
        <w:t>New Cars, Trucks, SUVs, Crossovers &amp; Hybrids | Vehicles Built Just for You‎ | Ford.com.</w:t>
      </w:r>
      <w:r w:rsidRPr="00F630D2">
        <w:rPr>
          <w:rFonts w:ascii="Arial" w:hAnsi="Arial" w:cs="Arial"/>
          <w:sz w:val="24"/>
          <w:szCs w:val="24"/>
        </w:rPr>
        <w:t xml:space="preserve"> [online] Ford Motor Companies. Available at: </w:t>
      </w:r>
      <w:hyperlink r:id="rId42" w:history="1">
        <w:r w:rsidRPr="00F630D2">
          <w:rPr>
            <w:rStyle w:val="Hyperlink"/>
            <w:rFonts w:ascii="Arial" w:hAnsi="Arial" w:cs="Arial"/>
            <w:sz w:val="24"/>
            <w:szCs w:val="24"/>
          </w:rPr>
          <w:t>https://www.ford.com/</w:t>
        </w:r>
      </w:hyperlink>
      <w:r w:rsidRPr="00F630D2">
        <w:rPr>
          <w:rFonts w:ascii="Arial" w:hAnsi="Arial" w:cs="Arial"/>
          <w:sz w:val="24"/>
          <w:szCs w:val="24"/>
        </w:rPr>
        <w:t>. [Accessed on 15 April 2024]</w:t>
      </w:r>
    </w:p>
    <w:p w14:paraId="28A45403" w14:textId="77777777" w:rsidR="009E12C2" w:rsidRPr="00A91363" w:rsidRDefault="009E12C2" w:rsidP="00F630D2">
      <w:pPr>
        <w:spacing w:line="360" w:lineRule="auto"/>
        <w:jc w:val="both"/>
        <w:rPr>
          <w:rFonts w:ascii="Arial" w:hAnsi="Arial" w:cs="Arial"/>
          <w:sz w:val="24"/>
          <w:szCs w:val="24"/>
        </w:rPr>
      </w:pPr>
      <w:r w:rsidRPr="00A91363">
        <w:rPr>
          <w:rFonts w:ascii="Arial" w:hAnsi="Arial" w:cs="Arial"/>
          <w:sz w:val="24"/>
          <w:szCs w:val="24"/>
        </w:rPr>
        <w:t>Goel, S. (2016). </w:t>
      </w:r>
      <w:r w:rsidRPr="00A91363">
        <w:rPr>
          <w:rFonts w:ascii="Arial" w:hAnsi="Arial" w:cs="Arial"/>
          <w:i/>
          <w:iCs/>
          <w:sz w:val="24"/>
          <w:szCs w:val="24"/>
        </w:rPr>
        <w:t>Financial ratios</w:t>
      </w:r>
      <w:r w:rsidRPr="00A91363">
        <w:rPr>
          <w:rFonts w:ascii="Arial" w:hAnsi="Arial" w:cs="Arial"/>
          <w:sz w:val="24"/>
          <w:szCs w:val="24"/>
        </w:rPr>
        <w:t>. New York, New York (222 East 46th Street, New York, NY 10017): Business Expert Press.</w:t>
      </w:r>
    </w:p>
    <w:p w14:paraId="4337B0EF" w14:textId="77777777" w:rsidR="009E12C2" w:rsidRPr="00F630D2" w:rsidRDefault="009E12C2" w:rsidP="00F630D2">
      <w:pPr>
        <w:spacing w:line="360" w:lineRule="auto"/>
        <w:jc w:val="both"/>
        <w:rPr>
          <w:rFonts w:ascii="Arial" w:hAnsi="Arial" w:cs="Arial"/>
          <w:sz w:val="24"/>
          <w:szCs w:val="24"/>
        </w:rPr>
      </w:pPr>
      <w:proofErr w:type="spellStart"/>
      <w:r w:rsidRPr="00F630D2">
        <w:rPr>
          <w:rFonts w:ascii="Arial" w:hAnsi="Arial" w:cs="Arial"/>
          <w:sz w:val="24"/>
          <w:szCs w:val="24"/>
        </w:rPr>
        <w:t>Gowthorpe</w:t>
      </w:r>
      <w:proofErr w:type="spellEnd"/>
      <w:r w:rsidRPr="00F630D2">
        <w:rPr>
          <w:rFonts w:ascii="Arial" w:hAnsi="Arial" w:cs="Arial"/>
          <w:sz w:val="24"/>
          <w:szCs w:val="24"/>
        </w:rPr>
        <w:t>, C. (2020). </w:t>
      </w:r>
      <w:r w:rsidRPr="00F630D2">
        <w:rPr>
          <w:rFonts w:ascii="Arial" w:hAnsi="Arial" w:cs="Arial"/>
          <w:i/>
          <w:iCs/>
          <w:sz w:val="24"/>
          <w:szCs w:val="24"/>
        </w:rPr>
        <w:t>Financial analysis</w:t>
      </w:r>
      <w:r w:rsidRPr="00F630D2">
        <w:rPr>
          <w:rFonts w:ascii="Arial" w:hAnsi="Arial" w:cs="Arial"/>
          <w:sz w:val="24"/>
          <w:szCs w:val="24"/>
        </w:rPr>
        <w:t>. Oxford: Cima.</w:t>
      </w:r>
    </w:p>
    <w:p w14:paraId="4A8BA35B" w14:textId="77777777" w:rsidR="009E12C2" w:rsidRPr="00A91363" w:rsidRDefault="009E12C2" w:rsidP="00F630D2">
      <w:pPr>
        <w:spacing w:line="360" w:lineRule="auto"/>
        <w:jc w:val="both"/>
        <w:rPr>
          <w:rFonts w:ascii="Arial" w:hAnsi="Arial" w:cs="Arial"/>
          <w:sz w:val="24"/>
          <w:szCs w:val="24"/>
        </w:rPr>
      </w:pPr>
      <w:r w:rsidRPr="00F630D2">
        <w:rPr>
          <w:rFonts w:ascii="Arial" w:hAnsi="Arial" w:cs="Arial"/>
          <w:sz w:val="24"/>
          <w:szCs w:val="24"/>
        </w:rPr>
        <w:t xml:space="preserve">Law, J. (2016). </w:t>
      </w:r>
      <w:r w:rsidRPr="00F630D2">
        <w:rPr>
          <w:rFonts w:ascii="Arial" w:hAnsi="Arial" w:cs="Arial"/>
          <w:i/>
          <w:iCs/>
          <w:sz w:val="24"/>
          <w:szCs w:val="24"/>
        </w:rPr>
        <w:t>A dictionary of business and management</w:t>
      </w:r>
      <w:r w:rsidRPr="00F630D2">
        <w:rPr>
          <w:rFonts w:ascii="Arial" w:hAnsi="Arial" w:cs="Arial"/>
          <w:sz w:val="24"/>
          <w:szCs w:val="24"/>
        </w:rPr>
        <w:t>. 6th ed. Oxford: Oxford University Press.</w:t>
      </w:r>
    </w:p>
    <w:p w14:paraId="6A06AE6D" w14:textId="77777777" w:rsidR="009E12C2" w:rsidRPr="00F630D2" w:rsidRDefault="009E12C2" w:rsidP="00F630D2">
      <w:pPr>
        <w:spacing w:line="360" w:lineRule="auto"/>
        <w:jc w:val="both"/>
        <w:rPr>
          <w:rFonts w:ascii="Arial" w:hAnsi="Arial" w:cs="Arial"/>
          <w:sz w:val="24"/>
          <w:szCs w:val="24"/>
        </w:rPr>
      </w:pPr>
      <w:r w:rsidRPr="00F630D2">
        <w:rPr>
          <w:rFonts w:ascii="Arial" w:hAnsi="Arial" w:cs="Arial"/>
          <w:sz w:val="24"/>
          <w:szCs w:val="24"/>
        </w:rPr>
        <w:t>Law, J. and Smullen, J. (2016). </w:t>
      </w:r>
      <w:r w:rsidRPr="00F630D2">
        <w:rPr>
          <w:rFonts w:ascii="Arial" w:hAnsi="Arial" w:cs="Arial"/>
          <w:i/>
          <w:iCs/>
          <w:sz w:val="24"/>
          <w:szCs w:val="24"/>
        </w:rPr>
        <w:t>A dictionary of accounting: [authoritative coverage of all areas of accounting]</w:t>
      </w:r>
      <w:r w:rsidRPr="00F630D2">
        <w:rPr>
          <w:rFonts w:ascii="Arial" w:hAnsi="Arial" w:cs="Arial"/>
          <w:sz w:val="24"/>
          <w:szCs w:val="24"/>
        </w:rPr>
        <w:t>. Oxford [U.A.] Oxford University Press.</w:t>
      </w:r>
    </w:p>
    <w:p w14:paraId="1D5E79AB" w14:textId="77777777" w:rsidR="009E12C2" w:rsidRPr="00F630D2" w:rsidRDefault="009E12C2" w:rsidP="00F630D2">
      <w:pPr>
        <w:spacing w:line="360" w:lineRule="auto"/>
        <w:jc w:val="both"/>
        <w:rPr>
          <w:rFonts w:ascii="Arial" w:hAnsi="Arial" w:cs="Arial"/>
          <w:sz w:val="24"/>
          <w:szCs w:val="24"/>
        </w:rPr>
      </w:pPr>
      <w:r w:rsidRPr="00F630D2">
        <w:rPr>
          <w:rFonts w:ascii="Arial" w:hAnsi="Arial" w:cs="Arial"/>
          <w:sz w:val="24"/>
          <w:szCs w:val="24"/>
        </w:rPr>
        <w:t>Marr, B. (2012). </w:t>
      </w:r>
      <w:r w:rsidRPr="00F630D2">
        <w:rPr>
          <w:rFonts w:ascii="Arial" w:hAnsi="Arial" w:cs="Arial"/>
          <w:i/>
          <w:iCs/>
          <w:sz w:val="24"/>
          <w:szCs w:val="24"/>
        </w:rPr>
        <w:t>Key performance indicators: the 75 measures every manager needs to know</w:t>
      </w:r>
      <w:r w:rsidRPr="00F630D2">
        <w:rPr>
          <w:rFonts w:ascii="Arial" w:hAnsi="Arial" w:cs="Arial"/>
          <w:sz w:val="24"/>
          <w:szCs w:val="24"/>
        </w:rPr>
        <w:t xml:space="preserve">. Harlow, </w:t>
      </w:r>
      <w:proofErr w:type="gramStart"/>
      <w:r w:rsidRPr="00F630D2">
        <w:rPr>
          <w:rFonts w:ascii="Arial" w:hAnsi="Arial" w:cs="Arial"/>
          <w:sz w:val="24"/>
          <w:szCs w:val="24"/>
        </w:rPr>
        <w:t>England ;</w:t>
      </w:r>
      <w:proofErr w:type="gramEnd"/>
      <w:r w:rsidRPr="00F630D2">
        <w:rPr>
          <w:rFonts w:ascii="Arial" w:hAnsi="Arial" w:cs="Arial"/>
          <w:sz w:val="24"/>
          <w:szCs w:val="24"/>
        </w:rPr>
        <w:t xml:space="preserve"> New York: Pearson Financial Times Pub.</w:t>
      </w:r>
    </w:p>
    <w:p w14:paraId="4C6E6871" w14:textId="77777777" w:rsidR="009E12C2" w:rsidRPr="00F630D2" w:rsidRDefault="009E12C2" w:rsidP="00F630D2">
      <w:pPr>
        <w:spacing w:line="360" w:lineRule="auto"/>
        <w:jc w:val="both"/>
        <w:rPr>
          <w:rFonts w:ascii="Arial" w:hAnsi="Arial" w:cs="Arial"/>
          <w:sz w:val="24"/>
          <w:szCs w:val="24"/>
        </w:rPr>
      </w:pPr>
      <w:r w:rsidRPr="00F630D2">
        <w:rPr>
          <w:rFonts w:ascii="Arial" w:hAnsi="Arial" w:cs="Arial"/>
          <w:sz w:val="24"/>
          <w:szCs w:val="24"/>
        </w:rPr>
        <w:t>McMenamin, J. (2002). </w:t>
      </w:r>
      <w:r w:rsidRPr="00F630D2">
        <w:rPr>
          <w:rFonts w:ascii="Arial" w:hAnsi="Arial" w:cs="Arial"/>
          <w:i/>
          <w:iCs/>
          <w:sz w:val="24"/>
          <w:szCs w:val="24"/>
        </w:rPr>
        <w:t>Financial Management</w:t>
      </w:r>
      <w:r w:rsidRPr="00F630D2">
        <w:rPr>
          <w:rFonts w:ascii="Arial" w:hAnsi="Arial" w:cs="Arial"/>
          <w:sz w:val="24"/>
          <w:szCs w:val="24"/>
        </w:rPr>
        <w:t>. Routledge.</w:t>
      </w:r>
    </w:p>
    <w:p w14:paraId="42A9904A" w14:textId="77777777" w:rsidR="009E12C2" w:rsidRPr="00F630D2" w:rsidRDefault="009E12C2" w:rsidP="00F630D2">
      <w:pPr>
        <w:spacing w:line="360" w:lineRule="auto"/>
        <w:jc w:val="both"/>
        <w:rPr>
          <w:rFonts w:ascii="Arial" w:hAnsi="Arial" w:cs="Arial"/>
          <w:sz w:val="24"/>
          <w:szCs w:val="24"/>
        </w:rPr>
      </w:pPr>
      <w:r w:rsidRPr="00F630D2">
        <w:rPr>
          <w:rFonts w:ascii="Arial" w:hAnsi="Arial" w:cs="Arial"/>
          <w:sz w:val="24"/>
          <w:szCs w:val="24"/>
        </w:rPr>
        <w:t xml:space="preserve">Ms. Jagriti Gupta, </w:t>
      </w:r>
      <w:proofErr w:type="spellStart"/>
      <w:r w:rsidRPr="00F630D2">
        <w:rPr>
          <w:rFonts w:ascii="Arial" w:hAnsi="Arial" w:cs="Arial"/>
          <w:sz w:val="24"/>
          <w:szCs w:val="24"/>
        </w:rPr>
        <w:t>Dr.</w:t>
      </w:r>
      <w:proofErr w:type="spellEnd"/>
      <w:r w:rsidRPr="00F630D2">
        <w:rPr>
          <w:rFonts w:ascii="Arial" w:hAnsi="Arial" w:cs="Arial"/>
          <w:sz w:val="24"/>
          <w:szCs w:val="24"/>
        </w:rPr>
        <w:t xml:space="preserve"> Chetna Makwana, </w:t>
      </w:r>
      <w:proofErr w:type="spellStart"/>
      <w:r w:rsidRPr="00F630D2">
        <w:rPr>
          <w:rFonts w:ascii="Arial" w:hAnsi="Arial" w:cs="Arial"/>
          <w:sz w:val="24"/>
          <w:szCs w:val="24"/>
        </w:rPr>
        <w:t>Dr.</w:t>
      </w:r>
      <w:proofErr w:type="spellEnd"/>
      <w:r w:rsidRPr="00F630D2">
        <w:rPr>
          <w:rFonts w:ascii="Arial" w:hAnsi="Arial" w:cs="Arial"/>
          <w:sz w:val="24"/>
          <w:szCs w:val="24"/>
        </w:rPr>
        <w:t xml:space="preserve"> Sumedha Naik and Rao, R. (2023). </w:t>
      </w:r>
      <w:r w:rsidRPr="00F630D2">
        <w:rPr>
          <w:rFonts w:ascii="Arial" w:hAnsi="Arial" w:cs="Arial"/>
          <w:i/>
          <w:iCs/>
          <w:sz w:val="24"/>
          <w:szCs w:val="24"/>
        </w:rPr>
        <w:t>Fundamentals of Financial Management</w:t>
      </w:r>
      <w:r w:rsidRPr="00F630D2">
        <w:rPr>
          <w:rFonts w:ascii="Arial" w:hAnsi="Arial" w:cs="Arial"/>
          <w:sz w:val="24"/>
          <w:szCs w:val="24"/>
        </w:rPr>
        <w:t>. AG PUBLISHING HOUSE (AGPH Books).</w:t>
      </w:r>
    </w:p>
    <w:p w14:paraId="7E114D88" w14:textId="77777777" w:rsidR="009E12C2" w:rsidRDefault="009E12C2" w:rsidP="00F630D2">
      <w:pPr>
        <w:spacing w:line="360" w:lineRule="auto"/>
        <w:jc w:val="both"/>
        <w:rPr>
          <w:rFonts w:ascii="Arial" w:hAnsi="Arial" w:cs="Arial"/>
          <w:sz w:val="24"/>
          <w:szCs w:val="24"/>
        </w:rPr>
      </w:pPr>
      <w:r w:rsidRPr="009A039A">
        <w:rPr>
          <w:rFonts w:ascii="Arial" w:hAnsi="Arial" w:cs="Arial"/>
          <w:sz w:val="24"/>
          <w:szCs w:val="24"/>
        </w:rPr>
        <w:t>New York Stock Exchange (2024).</w:t>
      </w:r>
      <w:r w:rsidRPr="00D47C2A">
        <w:rPr>
          <w:rFonts w:ascii="Arial" w:hAnsi="Arial" w:cs="Arial"/>
          <w:i/>
          <w:iCs/>
          <w:sz w:val="24"/>
          <w:szCs w:val="24"/>
        </w:rPr>
        <w:t xml:space="preserve"> NYSE. </w:t>
      </w:r>
      <w:r w:rsidRPr="009A039A">
        <w:rPr>
          <w:rFonts w:ascii="Arial" w:hAnsi="Arial" w:cs="Arial"/>
          <w:sz w:val="24"/>
          <w:szCs w:val="24"/>
        </w:rPr>
        <w:t xml:space="preserve">[online] www.nyse.com. Available at: </w:t>
      </w:r>
      <w:hyperlink r:id="rId43" w:history="1">
        <w:r w:rsidRPr="00C750E1">
          <w:rPr>
            <w:rStyle w:val="Hyperlink"/>
            <w:rFonts w:ascii="Arial" w:hAnsi="Arial" w:cs="Arial"/>
            <w:sz w:val="24"/>
            <w:szCs w:val="24"/>
          </w:rPr>
          <w:t>https://www.nyse.com/quote/XNYS:F</w:t>
        </w:r>
      </w:hyperlink>
      <w:r>
        <w:rPr>
          <w:rFonts w:ascii="Arial" w:hAnsi="Arial" w:cs="Arial"/>
          <w:sz w:val="24"/>
          <w:szCs w:val="24"/>
        </w:rPr>
        <w:t xml:space="preserve"> </w:t>
      </w:r>
      <w:r w:rsidRPr="009A039A">
        <w:rPr>
          <w:rFonts w:ascii="Arial" w:hAnsi="Arial" w:cs="Arial"/>
          <w:sz w:val="24"/>
          <w:szCs w:val="24"/>
        </w:rPr>
        <w:t>[Accessed 16 Apr. 2024].</w:t>
      </w:r>
      <w:r>
        <w:rPr>
          <w:rFonts w:ascii="Arial" w:hAnsi="Arial" w:cs="Arial"/>
          <w:sz w:val="24"/>
          <w:szCs w:val="24"/>
        </w:rPr>
        <w:t xml:space="preserve"> </w:t>
      </w:r>
    </w:p>
    <w:p w14:paraId="78D854C3" w14:textId="77777777" w:rsidR="009E12C2" w:rsidRPr="00F630D2" w:rsidRDefault="009E12C2" w:rsidP="00F630D2">
      <w:pPr>
        <w:spacing w:line="360" w:lineRule="auto"/>
        <w:jc w:val="both"/>
        <w:rPr>
          <w:rFonts w:ascii="Arial" w:hAnsi="Arial" w:cs="Arial"/>
          <w:sz w:val="24"/>
          <w:szCs w:val="24"/>
        </w:rPr>
      </w:pPr>
      <w:r w:rsidRPr="00A91363">
        <w:rPr>
          <w:rFonts w:ascii="Arial" w:hAnsi="Arial" w:cs="Arial"/>
          <w:sz w:val="24"/>
          <w:szCs w:val="24"/>
        </w:rPr>
        <w:t>Palmer, J.E. (2018). </w:t>
      </w:r>
      <w:r w:rsidRPr="00A91363">
        <w:rPr>
          <w:rFonts w:ascii="Arial" w:hAnsi="Arial" w:cs="Arial"/>
          <w:i/>
          <w:iCs/>
          <w:sz w:val="24"/>
          <w:szCs w:val="24"/>
        </w:rPr>
        <w:t>Financial ratio analysis</w:t>
      </w:r>
      <w:r w:rsidRPr="00A91363">
        <w:rPr>
          <w:rFonts w:ascii="Arial" w:hAnsi="Arial" w:cs="Arial"/>
          <w:sz w:val="24"/>
          <w:szCs w:val="24"/>
        </w:rPr>
        <w:t xml:space="preserve">. New York, N.Y.: American Institute </w:t>
      </w:r>
      <w:r w:rsidRPr="00F630D2">
        <w:rPr>
          <w:rFonts w:ascii="Arial" w:hAnsi="Arial" w:cs="Arial"/>
          <w:sz w:val="24"/>
          <w:szCs w:val="24"/>
        </w:rPr>
        <w:t>of</w:t>
      </w:r>
      <w:r w:rsidRPr="00A91363">
        <w:rPr>
          <w:rFonts w:ascii="Arial" w:hAnsi="Arial" w:cs="Arial"/>
          <w:sz w:val="24"/>
          <w:szCs w:val="24"/>
        </w:rPr>
        <w:t xml:space="preserve"> Certified Public Accountants.</w:t>
      </w:r>
    </w:p>
    <w:p w14:paraId="1E38AE82" w14:textId="77777777" w:rsidR="009E12C2" w:rsidRPr="00F630D2" w:rsidRDefault="009E12C2" w:rsidP="00F630D2">
      <w:pPr>
        <w:spacing w:line="360" w:lineRule="auto"/>
        <w:jc w:val="both"/>
        <w:rPr>
          <w:rFonts w:ascii="Arial" w:hAnsi="Arial" w:cs="Arial"/>
          <w:sz w:val="24"/>
          <w:szCs w:val="24"/>
        </w:rPr>
      </w:pPr>
      <w:r w:rsidRPr="00F630D2">
        <w:rPr>
          <w:rFonts w:ascii="Arial" w:hAnsi="Arial" w:cs="Arial"/>
          <w:sz w:val="24"/>
          <w:szCs w:val="24"/>
        </w:rPr>
        <w:lastRenderedPageBreak/>
        <w:t>Schindeldecker, D. (2017). </w:t>
      </w:r>
      <w:r w:rsidRPr="00F630D2">
        <w:rPr>
          <w:rFonts w:ascii="Arial" w:hAnsi="Arial" w:cs="Arial"/>
          <w:i/>
          <w:iCs/>
          <w:sz w:val="24"/>
          <w:szCs w:val="24"/>
        </w:rPr>
        <w:t>Financial Ratios. Explanation of the most important financial ratios for economic evaluations</w:t>
      </w:r>
      <w:r w:rsidRPr="00F630D2">
        <w:rPr>
          <w:rFonts w:ascii="Arial" w:hAnsi="Arial" w:cs="Arial"/>
          <w:sz w:val="24"/>
          <w:szCs w:val="24"/>
        </w:rPr>
        <w:t>. GRIN Verlag.</w:t>
      </w:r>
    </w:p>
    <w:p w14:paraId="7F8B79D4" w14:textId="77777777" w:rsidR="009E12C2" w:rsidRPr="00F630D2" w:rsidRDefault="009E12C2" w:rsidP="00F630D2">
      <w:pPr>
        <w:spacing w:line="360" w:lineRule="auto"/>
        <w:jc w:val="both"/>
        <w:rPr>
          <w:rFonts w:ascii="Arial" w:hAnsi="Arial" w:cs="Arial"/>
          <w:sz w:val="24"/>
          <w:szCs w:val="24"/>
        </w:rPr>
      </w:pPr>
      <w:r w:rsidRPr="00F630D2">
        <w:rPr>
          <w:rFonts w:ascii="Arial" w:hAnsi="Arial" w:cs="Arial"/>
          <w:sz w:val="24"/>
          <w:szCs w:val="24"/>
        </w:rPr>
        <w:t>Sven Erik Johansson (1998). </w:t>
      </w:r>
      <w:r w:rsidRPr="00F630D2">
        <w:rPr>
          <w:rFonts w:ascii="Arial" w:hAnsi="Arial" w:cs="Arial"/>
          <w:i/>
          <w:iCs/>
          <w:sz w:val="24"/>
          <w:szCs w:val="24"/>
        </w:rPr>
        <w:t>The profitability, financing, and growth of the firm: goals, relationships, and measurement methods</w:t>
      </w:r>
      <w:r w:rsidRPr="00F630D2">
        <w:rPr>
          <w:rFonts w:ascii="Arial" w:hAnsi="Arial" w:cs="Arial"/>
          <w:sz w:val="24"/>
          <w:szCs w:val="24"/>
        </w:rPr>
        <w:t>. Lund: Studentlitteratur.</w:t>
      </w:r>
    </w:p>
    <w:p w14:paraId="24CDBA98" w14:textId="77777777" w:rsidR="009E12C2" w:rsidRPr="00F630D2" w:rsidRDefault="009E12C2" w:rsidP="00F630D2">
      <w:pPr>
        <w:spacing w:line="360" w:lineRule="auto"/>
        <w:jc w:val="both"/>
        <w:rPr>
          <w:rFonts w:ascii="Arial" w:hAnsi="Arial" w:cs="Arial"/>
          <w:sz w:val="24"/>
          <w:szCs w:val="24"/>
        </w:rPr>
      </w:pPr>
      <w:r w:rsidRPr="00F630D2">
        <w:rPr>
          <w:rFonts w:ascii="Arial" w:hAnsi="Arial" w:cs="Arial"/>
          <w:sz w:val="24"/>
          <w:szCs w:val="24"/>
        </w:rPr>
        <w:t xml:space="preserve">Tracy, </w:t>
      </w:r>
      <w:proofErr w:type="gramStart"/>
      <w:r w:rsidRPr="00F630D2">
        <w:rPr>
          <w:rFonts w:ascii="Arial" w:hAnsi="Arial" w:cs="Arial"/>
          <w:sz w:val="24"/>
          <w:szCs w:val="24"/>
        </w:rPr>
        <w:t>J.A.</w:t>
      </w:r>
      <w:proofErr w:type="gramEnd"/>
      <w:r w:rsidRPr="00F630D2">
        <w:rPr>
          <w:rFonts w:ascii="Arial" w:hAnsi="Arial" w:cs="Arial"/>
          <w:sz w:val="24"/>
          <w:szCs w:val="24"/>
        </w:rPr>
        <w:t xml:space="preserve"> and Tracy, T.C. (2004). </w:t>
      </w:r>
      <w:r w:rsidRPr="00F630D2">
        <w:rPr>
          <w:rFonts w:ascii="Arial" w:hAnsi="Arial" w:cs="Arial"/>
          <w:i/>
          <w:iCs/>
          <w:sz w:val="24"/>
          <w:szCs w:val="24"/>
        </w:rPr>
        <w:t>How to Manage Profit and Cash Flow</w:t>
      </w:r>
      <w:r w:rsidRPr="00F630D2">
        <w:rPr>
          <w:rFonts w:ascii="Arial" w:hAnsi="Arial" w:cs="Arial"/>
          <w:sz w:val="24"/>
          <w:szCs w:val="24"/>
        </w:rPr>
        <w:t>. John Wiley &amp; Sons.</w:t>
      </w:r>
    </w:p>
    <w:p w14:paraId="037C275F" w14:textId="77777777" w:rsidR="009E12C2" w:rsidRDefault="009E12C2" w:rsidP="00F630D2">
      <w:pPr>
        <w:spacing w:line="360" w:lineRule="auto"/>
        <w:jc w:val="both"/>
        <w:rPr>
          <w:rFonts w:ascii="Arial" w:hAnsi="Arial" w:cs="Arial"/>
          <w:sz w:val="24"/>
          <w:szCs w:val="24"/>
        </w:rPr>
      </w:pPr>
      <w:r w:rsidRPr="00F630D2">
        <w:rPr>
          <w:rFonts w:ascii="Arial" w:hAnsi="Arial" w:cs="Arial"/>
          <w:sz w:val="24"/>
          <w:szCs w:val="24"/>
        </w:rPr>
        <w:t xml:space="preserve">Turner, G. (2011). </w:t>
      </w:r>
      <w:r w:rsidRPr="00F630D2">
        <w:rPr>
          <w:rFonts w:ascii="Arial" w:hAnsi="Arial" w:cs="Arial"/>
          <w:i/>
          <w:iCs/>
          <w:sz w:val="24"/>
          <w:szCs w:val="24"/>
        </w:rPr>
        <w:t>Effective financial management: the cornerstone for success</w:t>
      </w:r>
      <w:r w:rsidRPr="00F630D2">
        <w:rPr>
          <w:rFonts w:ascii="Arial" w:hAnsi="Arial" w:cs="Arial"/>
          <w:sz w:val="24"/>
          <w:szCs w:val="24"/>
        </w:rPr>
        <w:t>. [New York, N.Y.] (222 East 46th Street, New York, NY 10017): Business Expert Press.</w:t>
      </w:r>
    </w:p>
    <w:sectPr w:rsidR="009E12C2">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43CD1" w14:textId="77777777" w:rsidR="00CE2AFD" w:rsidRDefault="00CE2AFD" w:rsidP="00193CD1">
      <w:pPr>
        <w:spacing w:after="0" w:line="240" w:lineRule="auto"/>
      </w:pPr>
      <w:r>
        <w:separator/>
      </w:r>
    </w:p>
  </w:endnote>
  <w:endnote w:type="continuationSeparator" w:id="0">
    <w:p w14:paraId="54744E38" w14:textId="77777777" w:rsidR="00CE2AFD" w:rsidRDefault="00CE2AFD" w:rsidP="00193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6200486"/>
      <w:docPartObj>
        <w:docPartGallery w:val="Page Numbers (Bottom of Page)"/>
        <w:docPartUnique/>
      </w:docPartObj>
    </w:sdtPr>
    <w:sdtEndPr/>
    <w:sdtContent>
      <w:p w14:paraId="5944BCCE" w14:textId="14D3A7B7" w:rsidR="00193CD1" w:rsidRDefault="00193CD1">
        <w:pPr>
          <w:pStyle w:val="Footer"/>
          <w:jc w:val="center"/>
        </w:pPr>
        <w:r>
          <w:fldChar w:fldCharType="begin"/>
        </w:r>
        <w:r>
          <w:instrText>PAGE   \* MERGEFORMAT</w:instrText>
        </w:r>
        <w:r>
          <w:fldChar w:fldCharType="separate"/>
        </w:r>
        <w:r>
          <w:t>2</w:t>
        </w:r>
        <w:r>
          <w:fldChar w:fldCharType="end"/>
        </w:r>
      </w:p>
    </w:sdtContent>
  </w:sdt>
  <w:p w14:paraId="11340FFA" w14:textId="77777777" w:rsidR="00193CD1" w:rsidRDefault="00193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7F1BA" w14:textId="77777777" w:rsidR="00CE2AFD" w:rsidRDefault="00CE2AFD" w:rsidP="00193CD1">
      <w:pPr>
        <w:spacing w:after="0" w:line="240" w:lineRule="auto"/>
      </w:pPr>
      <w:r>
        <w:separator/>
      </w:r>
    </w:p>
  </w:footnote>
  <w:footnote w:type="continuationSeparator" w:id="0">
    <w:p w14:paraId="4AFE8190" w14:textId="77777777" w:rsidR="00CE2AFD" w:rsidRDefault="00CE2AFD" w:rsidP="00193C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394E"/>
    <w:multiLevelType w:val="hybridMultilevel"/>
    <w:tmpl w:val="6AA25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55EF3"/>
    <w:multiLevelType w:val="hybridMultilevel"/>
    <w:tmpl w:val="C4F2F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4C0D33"/>
    <w:multiLevelType w:val="hybridMultilevel"/>
    <w:tmpl w:val="D8840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3878D3"/>
    <w:multiLevelType w:val="hybridMultilevel"/>
    <w:tmpl w:val="15ACD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627897"/>
    <w:multiLevelType w:val="hybridMultilevel"/>
    <w:tmpl w:val="FB92C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D526F8"/>
    <w:multiLevelType w:val="hybridMultilevel"/>
    <w:tmpl w:val="299EE8A2"/>
    <w:lvl w:ilvl="0" w:tplc="4EBE22A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E379F9"/>
    <w:multiLevelType w:val="hybridMultilevel"/>
    <w:tmpl w:val="372E5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17103C"/>
    <w:multiLevelType w:val="hybridMultilevel"/>
    <w:tmpl w:val="6F2A0A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211DA8"/>
    <w:multiLevelType w:val="hybridMultilevel"/>
    <w:tmpl w:val="E458A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506345"/>
    <w:multiLevelType w:val="hybridMultilevel"/>
    <w:tmpl w:val="299EE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9E4CA3"/>
    <w:multiLevelType w:val="hybridMultilevel"/>
    <w:tmpl w:val="4D7AAE5A"/>
    <w:lvl w:ilvl="0" w:tplc="C5E43AE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1745264">
    <w:abstractNumId w:val="0"/>
  </w:num>
  <w:num w:numId="2" w16cid:durableId="755907121">
    <w:abstractNumId w:val="7"/>
  </w:num>
  <w:num w:numId="3" w16cid:durableId="369689141">
    <w:abstractNumId w:val="10"/>
  </w:num>
  <w:num w:numId="4" w16cid:durableId="711928254">
    <w:abstractNumId w:val="5"/>
  </w:num>
  <w:num w:numId="5" w16cid:durableId="1479302060">
    <w:abstractNumId w:val="4"/>
  </w:num>
  <w:num w:numId="6" w16cid:durableId="668866727">
    <w:abstractNumId w:val="2"/>
  </w:num>
  <w:num w:numId="7" w16cid:durableId="449321263">
    <w:abstractNumId w:val="8"/>
  </w:num>
  <w:num w:numId="8" w16cid:durableId="1452358502">
    <w:abstractNumId w:val="1"/>
  </w:num>
  <w:num w:numId="9" w16cid:durableId="1571890163">
    <w:abstractNumId w:val="6"/>
  </w:num>
  <w:num w:numId="10" w16cid:durableId="1524784033">
    <w:abstractNumId w:val="9"/>
  </w:num>
  <w:num w:numId="11" w16cid:durableId="13275104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D43"/>
    <w:rsid w:val="00005805"/>
    <w:rsid w:val="00005BB3"/>
    <w:rsid w:val="00005C78"/>
    <w:rsid w:val="00007737"/>
    <w:rsid w:val="0001018D"/>
    <w:rsid w:val="00016838"/>
    <w:rsid w:val="00017EB4"/>
    <w:rsid w:val="00017F66"/>
    <w:rsid w:val="00021636"/>
    <w:rsid w:val="000249E4"/>
    <w:rsid w:val="00025514"/>
    <w:rsid w:val="00026EDA"/>
    <w:rsid w:val="0002716B"/>
    <w:rsid w:val="00031AE7"/>
    <w:rsid w:val="000338E0"/>
    <w:rsid w:val="00034ED4"/>
    <w:rsid w:val="00036AAB"/>
    <w:rsid w:val="000374EF"/>
    <w:rsid w:val="000378D0"/>
    <w:rsid w:val="00041E1E"/>
    <w:rsid w:val="00046103"/>
    <w:rsid w:val="000472B9"/>
    <w:rsid w:val="000504DD"/>
    <w:rsid w:val="0006091A"/>
    <w:rsid w:val="000679F6"/>
    <w:rsid w:val="000776F1"/>
    <w:rsid w:val="0008185D"/>
    <w:rsid w:val="000851A5"/>
    <w:rsid w:val="00086149"/>
    <w:rsid w:val="00090AA9"/>
    <w:rsid w:val="00092B6D"/>
    <w:rsid w:val="00094A34"/>
    <w:rsid w:val="00096F5F"/>
    <w:rsid w:val="00097C93"/>
    <w:rsid w:val="000A0878"/>
    <w:rsid w:val="000A7651"/>
    <w:rsid w:val="000B67FE"/>
    <w:rsid w:val="000C76D1"/>
    <w:rsid w:val="000C7F42"/>
    <w:rsid w:val="000D65B0"/>
    <w:rsid w:val="000E0006"/>
    <w:rsid w:val="000E1366"/>
    <w:rsid w:val="000E5ACA"/>
    <w:rsid w:val="000E716F"/>
    <w:rsid w:val="000F2C77"/>
    <w:rsid w:val="000F5315"/>
    <w:rsid w:val="0011162D"/>
    <w:rsid w:val="001131F5"/>
    <w:rsid w:val="00116B5E"/>
    <w:rsid w:val="0012433E"/>
    <w:rsid w:val="00124DDD"/>
    <w:rsid w:val="00132B30"/>
    <w:rsid w:val="001340EC"/>
    <w:rsid w:val="00136EC1"/>
    <w:rsid w:val="0014465F"/>
    <w:rsid w:val="00146A5D"/>
    <w:rsid w:val="00146AB5"/>
    <w:rsid w:val="0014777B"/>
    <w:rsid w:val="00147908"/>
    <w:rsid w:val="00152EDA"/>
    <w:rsid w:val="00156B8E"/>
    <w:rsid w:val="00160F70"/>
    <w:rsid w:val="0016465F"/>
    <w:rsid w:val="0016596C"/>
    <w:rsid w:val="0017108C"/>
    <w:rsid w:val="00174774"/>
    <w:rsid w:val="001774B0"/>
    <w:rsid w:val="001871B1"/>
    <w:rsid w:val="001876B7"/>
    <w:rsid w:val="00190148"/>
    <w:rsid w:val="00192785"/>
    <w:rsid w:val="0019351D"/>
    <w:rsid w:val="00193CD1"/>
    <w:rsid w:val="00196F20"/>
    <w:rsid w:val="00197D8D"/>
    <w:rsid w:val="001A440A"/>
    <w:rsid w:val="001B2D5A"/>
    <w:rsid w:val="001B53E7"/>
    <w:rsid w:val="001B560D"/>
    <w:rsid w:val="001C0961"/>
    <w:rsid w:val="001C0FF0"/>
    <w:rsid w:val="001C2852"/>
    <w:rsid w:val="001C3C51"/>
    <w:rsid w:val="001C57BE"/>
    <w:rsid w:val="001C68C1"/>
    <w:rsid w:val="001D291B"/>
    <w:rsid w:val="001D445A"/>
    <w:rsid w:val="001D4BC9"/>
    <w:rsid w:val="001E1868"/>
    <w:rsid w:val="001E7245"/>
    <w:rsid w:val="001F0CCD"/>
    <w:rsid w:val="001F21E0"/>
    <w:rsid w:val="001F36A4"/>
    <w:rsid w:val="001F6908"/>
    <w:rsid w:val="001F6A13"/>
    <w:rsid w:val="001F7931"/>
    <w:rsid w:val="00203AE7"/>
    <w:rsid w:val="00203EEF"/>
    <w:rsid w:val="002044AF"/>
    <w:rsid w:val="0020544B"/>
    <w:rsid w:val="00207BB4"/>
    <w:rsid w:val="00207C74"/>
    <w:rsid w:val="00215A05"/>
    <w:rsid w:val="00216A82"/>
    <w:rsid w:val="00222078"/>
    <w:rsid w:val="002241FE"/>
    <w:rsid w:val="00225E63"/>
    <w:rsid w:val="00227E99"/>
    <w:rsid w:val="00234293"/>
    <w:rsid w:val="00234E9F"/>
    <w:rsid w:val="00242A52"/>
    <w:rsid w:val="00244382"/>
    <w:rsid w:val="00244FAC"/>
    <w:rsid w:val="00246EBF"/>
    <w:rsid w:val="00250147"/>
    <w:rsid w:val="00254300"/>
    <w:rsid w:val="002557DC"/>
    <w:rsid w:val="002602F4"/>
    <w:rsid w:val="002610D7"/>
    <w:rsid w:val="00263DCB"/>
    <w:rsid w:val="0026676B"/>
    <w:rsid w:val="002723EA"/>
    <w:rsid w:val="00272853"/>
    <w:rsid w:val="002735E5"/>
    <w:rsid w:val="00276381"/>
    <w:rsid w:val="00276E6B"/>
    <w:rsid w:val="002779AA"/>
    <w:rsid w:val="002830C1"/>
    <w:rsid w:val="002834BD"/>
    <w:rsid w:val="00283556"/>
    <w:rsid w:val="00295B83"/>
    <w:rsid w:val="00297A6A"/>
    <w:rsid w:val="002A0C45"/>
    <w:rsid w:val="002A1E77"/>
    <w:rsid w:val="002A24E7"/>
    <w:rsid w:val="002A31EE"/>
    <w:rsid w:val="002B06D6"/>
    <w:rsid w:val="002B3AB8"/>
    <w:rsid w:val="002B4232"/>
    <w:rsid w:val="002B768B"/>
    <w:rsid w:val="002C1B87"/>
    <w:rsid w:val="002C1E02"/>
    <w:rsid w:val="002C2558"/>
    <w:rsid w:val="002C5722"/>
    <w:rsid w:val="002C76C9"/>
    <w:rsid w:val="002D23F1"/>
    <w:rsid w:val="002D7199"/>
    <w:rsid w:val="002E6E36"/>
    <w:rsid w:val="002F05A1"/>
    <w:rsid w:val="002F0C43"/>
    <w:rsid w:val="002F10EE"/>
    <w:rsid w:val="002F1271"/>
    <w:rsid w:val="002F229B"/>
    <w:rsid w:val="002F640B"/>
    <w:rsid w:val="00303AC8"/>
    <w:rsid w:val="0030585F"/>
    <w:rsid w:val="00314310"/>
    <w:rsid w:val="003149FF"/>
    <w:rsid w:val="00317D80"/>
    <w:rsid w:val="00322BC4"/>
    <w:rsid w:val="00322D6C"/>
    <w:rsid w:val="00322F27"/>
    <w:rsid w:val="0032373B"/>
    <w:rsid w:val="00332741"/>
    <w:rsid w:val="00333159"/>
    <w:rsid w:val="00334364"/>
    <w:rsid w:val="00337F0D"/>
    <w:rsid w:val="003410C8"/>
    <w:rsid w:val="00341F12"/>
    <w:rsid w:val="00342457"/>
    <w:rsid w:val="003479C0"/>
    <w:rsid w:val="00355C80"/>
    <w:rsid w:val="0036571D"/>
    <w:rsid w:val="00366C30"/>
    <w:rsid w:val="00367701"/>
    <w:rsid w:val="00373847"/>
    <w:rsid w:val="00374F0C"/>
    <w:rsid w:val="0037504E"/>
    <w:rsid w:val="00375645"/>
    <w:rsid w:val="00380B97"/>
    <w:rsid w:val="00387D3E"/>
    <w:rsid w:val="00391ED1"/>
    <w:rsid w:val="00392452"/>
    <w:rsid w:val="00392B0A"/>
    <w:rsid w:val="003977EF"/>
    <w:rsid w:val="00397D45"/>
    <w:rsid w:val="003A0237"/>
    <w:rsid w:val="003A0A5A"/>
    <w:rsid w:val="003A3CA4"/>
    <w:rsid w:val="003A6EF5"/>
    <w:rsid w:val="003B16F6"/>
    <w:rsid w:val="003B202C"/>
    <w:rsid w:val="003B6A15"/>
    <w:rsid w:val="003B7A95"/>
    <w:rsid w:val="003B7D06"/>
    <w:rsid w:val="003C08CF"/>
    <w:rsid w:val="003C13E0"/>
    <w:rsid w:val="003C5E40"/>
    <w:rsid w:val="003D1335"/>
    <w:rsid w:val="003D4784"/>
    <w:rsid w:val="003D5235"/>
    <w:rsid w:val="003E0C51"/>
    <w:rsid w:val="003E0D54"/>
    <w:rsid w:val="003E246D"/>
    <w:rsid w:val="003E310B"/>
    <w:rsid w:val="003E4EFD"/>
    <w:rsid w:val="003F1BE4"/>
    <w:rsid w:val="003F1DCE"/>
    <w:rsid w:val="003F39C5"/>
    <w:rsid w:val="003F4F14"/>
    <w:rsid w:val="003F5386"/>
    <w:rsid w:val="003F63D2"/>
    <w:rsid w:val="00400500"/>
    <w:rsid w:val="00401EB0"/>
    <w:rsid w:val="00405265"/>
    <w:rsid w:val="004062E0"/>
    <w:rsid w:val="00406387"/>
    <w:rsid w:val="0041122B"/>
    <w:rsid w:val="004135A9"/>
    <w:rsid w:val="00413932"/>
    <w:rsid w:val="00414D9E"/>
    <w:rsid w:val="00415C53"/>
    <w:rsid w:val="0042214A"/>
    <w:rsid w:val="00423245"/>
    <w:rsid w:val="00424956"/>
    <w:rsid w:val="00425532"/>
    <w:rsid w:val="004373AA"/>
    <w:rsid w:val="0044215C"/>
    <w:rsid w:val="0045148E"/>
    <w:rsid w:val="0045397C"/>
    <w:rsid w:val="00453F74"/>
    <w:rsid w:val="00455DF9"/>
    <w:rsid w:val="0045796C"/>
    <w:rsid w:val="00457D7D"/>
    <w:rsid w:val="00461DCC"/>
    <w:rsid w:val="004620BE"/>
    <w:rsid w:val="00462452"/>
    <w:rsid w:val="004644A9"/>
    <w:rsid w:val="00466A58"/>
    <w:rsid w:val="0047031F"/>
    <w:rsid w:val="004705A3"/>
    <w:rsid w:val="00472451"/>
    <w:rsid w:val="00472728"/>
    <w:rsid w:val="00474654"/>
    <w:rsid w:val="0047474B"/>
    <w:rsid w:val="004854EA"/>
    <w:rsid w:val="00487EEB"/>
    <w:rsid w:val="004904B8"/>
    <w:rsid w:val="004905A9"/>
    <w:rsid w:val="00491080"/>
    <w:rsid w:val="00494A6D"/>
    <w:rsid w:val="0049651F"/>
    <w:rsid w:val="004A4F46"/>
    <w:rsid w:val="004A5E07"/>
    <w:rsid w:val="004A6646"/>
    <w:rsid w:val="004A6986"/>
    <w:rsid w:val="004B0741"/>
    <w:rsid w:val="004B0827"/>
    <w:rsid w:val="004B2690"/>
    <w:rsid w:val="004B4E1B"/>
    <w:rsid w:val="004B7D9B"/>
    <w:rsid w:val="004C0823"/>
    <w:rsid w:val="004C12B9"/>
    <w:rsid w:val="004C1653"/>
    <w:rsid w:val="004C29E3"/>
    <w:rsid w:val="004D1153"/>
    <w:rsid w:val="004D242E"/>
    <w:rsid w:val="004D3FD8"/>
    <w:rsid w:val="004E30D6"/>
    <w:rsid w:val="004E6A1D"/>
    <w:rsid w:val="004F2AD1"/>
    <w:rsid w:val="004F502C"/>
    <w:rsid w:val="004F60CD"/>
    <w:rsid w:val="004F67EE"/>
    <w:rsid w:val="004F6A8B"/>
    <w:rsid w:val="004F794C"/>
    <w:rsid w:val="00503EDD"/>
    <w:rsid w:val="00504ADA"/>
    <w:rsid w:val="0050605F"/>
    <w:rsid w:val="00513FBB"/>
    <w:rsid w:val="0052012F"/>
    <w:rsid w:val="00522C90"/>
    <w:rsid w:val="00525E35"/>
    <w:rsid w:val="005277B4"/>
    <w:rsid w:val="0053218C"/>
    <w:rsid w:val="005345B4"/>
    <w:rsid w:val="005346B8"/>
    <w:rsid w:val="005349C2"/>
    <w:rsid w:val="00537045"/>
    <w:rsid w:val="005400F2"/>
    <w:rsid w:val="00540B4A"/>
    <w:rsid w:val="00543D43"/>
    <w:rsid w:val="005455C1"/>
    <w:rsid w:val="005462D9"/>
    <w:rsid w:val="0054776C"/>
    <w:rsid w:val="005523FB"/>
    <w:rsid w:val="00554516"/>
    <w:rsid w:val="005566C6"/>
    <w:rsid w:val="005602D2"/>
    <w:rsid w:val="005731F4"/>
    <w:rsid w:val="00573BE2"/>
    <w:rsid w:val="0057475D"/>
    <w:rsid w:val="00577E01"/>
    <w:rsid w:val="00582A5B"/>
    <w:rsid w:val="00585693"/>
    <w:rsid w:val="00595918"/>
    <w:rsid w:val="005A1527"/>
    <w:rsid w:val="005A5A80"/>
    <w:rsid w:val="005A6BF0"/>
    <w:rsid w:val="005A6D22"/>
    <w:rsid w:val="005B3F6B"/>
    <w:rsid w:val="005B4306"/>
    <w:rsid w:val="005B7A0C"/>
    <w:rsid w:val="005C085F"/>
    <w:rsid w:val="005C0A97"/>
    <w:rsid w:val="005C22E9"/>
    <w:rsid w:val="005C3E76"/>
    <w:rsid w:val="005D12DE"/>
    <w:rsid w:val="005D4290"/>
    <w:rsid w:val="005E0BE7"/>
    <w:rsid w:val="005E1827"/>
    <w:rsid w:val="005E43AA"/>
    <w:rsid w:val="005E5604"/>
    <w:rsid w:val="005E66A9"/>
    <w:rsid w:val="005E6F6B"/>
    <w:rsid w:val="005E7049"/>
    <w:rsid w:val="005F0D3A"/>
    <w:rsid w:val="005F1AF9"/>
    <w:rsid w:val="005F2B3F"/>
    <w:rsid w:val="005F2E10"/>
    <w:rsid w:val="005F31D6"/>
    <w:rsid w:val="005F610F"/>
    <w:rsid w:val="00603AD2"/>
    <w:rsid w:val="00604962"/>
    <w:rsid w:val="00611304"/>
    <w:rsid w:val="00611804"/>
    <w:rsid w:val="00614106"/>
    <w:rsid w:val="0061448D"/>
    <w:rsid w:val="0061538B"/>
    <w:rsid w:val="00620332"/>
    <w:rsid w:val="00621AE7"/>
    <w:rsid w:val="006251C3"/>
    <w:rsid w:val="0062555B"/>
    <w:rsid w:val="00626227"/>
    <w:rsid w:val="00627160"/>
    <w:rsid w:val="006304D8"/>
    <w:rsid w:val="0063089A"/>
    <w:rsid w:val="00631B47"/>
    <w:rsid w:val="00632962"/>
    <w:rsid w:val="00633C05"/>
    <w:rsid w:val="00642DEF"/>
    <w:rsid w:val="00643D8C"/>
    <w:rsid w:val="00645191"/>
    <w:rsid w:val="006459ED"/>
    <w:rsid w:val="00645EB0"/>
    <w:rsid w:val="00651002"/>
    <w:rsid w:val="00657AAD"/>
    <w:rsid w:val="00661029"/>
    <w:rsid w:val="006660B1"/>
    <w:rsid w:val="0067085F"/>
    <w:rsid w:val="00670F9C"/>
    <w:rsid w:val="00673008"/>
    <w:rsid w:val="00673AE3"/>
    <w:rsid w:val="00676440"/>
    <w:rsid w:val="00677517"/>
    <w:rsid w:val="006815B2"/>
    <w:rsid w:val="00681E99"/>
    <w:rsid w:val="006825AA"/>
    <w:rsid w:val="00686963"/>
    <w:rsid w:val="0069055B"/>
    <w:rsid w:val="0069248E"/>
    <w:rsid w:val="006938A2"/>
    <w:rsid w:val="00693A59"/>
    <w:rsid w:val="006942CA"/>
    <w:rsid w:val="00697953"/>
    <w:rsid w:val="006A022D"/>
    <w:rsid w:val="006A0983"/>
    <w:rsid w:val="006A14A3"/>
    <w:rsid w:val="006A2938"/>
    <w:rsid w:val="006A4C90"/>
    <w:rsid w:val="006A5903"/>
    <w:rsid w:val="006A78E8"/>
    <w:rsid w:val="006B0AC1"/>
    <w:rsid w:val="006B1AAE"/>
    <w:rsid w:val="006C2648"/>
    <w:rsid w:val="006C3872"/>
    <w:rsid w:val="006C4947"/>
    <w:rsid w:val="006C61D8"/>
    <w:rsid w:val="006D1786"/>
    <w:rsid w:val="006D3510"/>
    <w:rsid w:val="006D764F"/>
    <w:rsid w:val="006E24CC"/>
    <w:rsid w:val="006E3058"/>
    <w:rsid w:val="006E7EDF"/>
    <w:rsid w:val="006F55CD"/>
    <w:rsid w:val="006F758F"/>
    <w:rsid w:val="00700EC5"/>
    <w:rsid w:val="00702919"/>
    <w:rsid w:val="00703810"/>
    <w:rsid w:val="00703C6F"/>
    <w:rsid w:val="00705303"/>
    <w:rsid w:val="00707117"/>
    <w:rsid w:val="00707377"/>
    <w:rsid w:val="007101CD"/>
    <w:rsid w:val="00711724"/>
    <w:rsid w:val="0071567A"/>
    <w:rsid w:val="0071674E"/>
    <w:rsid w:val="007215F8"/>
    <w:rsid w:val="007229D8"/>
    <w:rsid w:val="00723E48"/>
    <w:rsid w:val="00727D17"/>
    <w:rsid w:val="00735F39"/>
    <w:rsid w:val="00736697"/>
    <w:rsid w:val="00742C53"/>
    <w:rsid w:val="00742F6B"/>
    <w:rsid w:val="0074431C"/>
    <w:rsid w:val="0074465D"/>
    <w:rsid w:val="00745B8C"/>
    <w:rsid w:val="0075541D"/>
    <w:rsid w:val="007562D4"/>
    <w:rsid w:val="0075730E"/>
    <w:rsid w:val="00761613"/>
    <w:rsid w:val="00762216"/>
    <w:rsid w:val="00762CA1"/>
    <w:rsid w:val="00766BD3"/>
    <w:rsid w:val="00770F6E"/>
    <w:rsid w:val="00771157"/>
    <w:rsid w:val="007739D4"/>
    <w:rsid w:val="00775550"/>
    <w:rsid w:val="007777D1"/>
    <w:rsid w:val="007779B4"/>
    <w:rsid w:val="00781F5C"/>
    <w:rsid w:val="00782587"/>
    <w:rsid w:val="00787AD4"/>
    <w:rsid w:val="00787AEB"/>
    <w:rsid w:val="0079036F"/>
    <w:rsid w:val="007931B3"/>
    <w:rsid w:val="00793CC6"/>
    <w:rsid w:val="00796CBC"/>
    <w:rsid w:val="00796D76"/>
    <w:rsid w:val="007A0B94"/>
    <w:rsid w:val="007A30F8"/>
    <w:rsid w:val="007A58B2"/>
    <w:rsid w:val="007A6EBC"/>
    <w:rsid w:val="007B04D0"/>
    <w:rsid w:val="007B7BBF"/>
    <w:rsid w:val="007C0383"/>
    <w:rsid w:val="007C07A9"/>
    <w:rsid w:val="007C7D74"/>
    <w:rsid w:val="007D08AA"/>
    <w:rsid w:val="007D1738"/>
    <w:rsid w:val="007D184A"/>
    <w:rsid w:val="007D1DDB"/>
    <w:rsid w:val="007D336D"/>
    <w:rsid w:val="007D5D7E"/>
    <w:rsid w:val="007D7EBB"/>
    <w:rsid w:val="007E0CD5"/>
    <w:rsid w:val="007E20F8"/>
    <w:rsid w:val="007E3A37"/>
    <w:rsid w:val="007E4DDB"/>
    <w:rsid w:val="007E7620"/>
    <w:rsid w:val="007E7F8C"/>
    <w:rsid w:val="007F0185"/>
    <w:rsid w:val="007F1760"/>
    <w:rsid w:val="007F33F2"/>
    <w:rsid w:val="0080294C"/>
    <w:rsid w:val="00807070"/>
    <w:rsid w:val="008115CD"/>
    <w:rsid w:val="00814DC8"/>
    <w:rsid w:val="00815A10"/>
    <w:rsid w:val="0081784C"/>
    <w:rsid w:val="00821B29"/>
    <w:rsid w:val="0082459A"/>
    <w:rsid w:val="00824A24"/>
    <w:rsid w:val="00830254"/>
    <w:rsid w:val="008302B6"/>
    <w:rsid w:val="00837C66"/>
    <w:rsid w:val="0084095E"/>
    <w:rsid w:val="00840989"/>
    <w:rsid w:val="00840BB8"/>
    <w:rsid w:val="00841D23"/>
    <w:rsid w:val="008437B6"/>
    <w:rsid w:val="0084385E"/>
    <w:rsid w:val="0084649F"/>
    <w:rsid w:val="00852B9B"/>
    <w:rsid w:val="00855BF4"/>
    <w:rsid w:val="00857180"/>
    <w:rsid w:val="00862427"/>
    <w:rsid w:val="00863327"/>
    <w:rsid w:val="00865B43"/>
    <w:rsid w:val="00865BE5"/>
    <w:rsid w:val="00866AD4"/>
    <w:rsid w:val="00871970"/>
    <w:rsid w:val="0087203E"/>
    <w:rsid w:val="00874028"/>
    <w:rsid w:val="00874085"/>
    <w:rsid w:val="00875106"/>
    <w:rsid w:val="0087631E"/>
    <w:rsid w:val="00876878"/>
    <w:rsid w:val="00882437"/>
    <w:rsid w:val="0088352C"/>
    <w:rsid w:val="00883D27"/>
    <w:rsid w:val="00885BAC"/>
    <w:rsid w:val="0088742C"/>
    <w:rsid w:val="00890D4A"/>
    <w:rsid w:val="008928BA"/>
    <w:rsid w:val="00894B3F"/>
    <w:rsid w:val="00894F31"/>
    <w:rsid w:val="0089737D"/>
    <w:rsid w:val="008A0D1C"/>
    <w:rsid w:val="008A21A9"/>
    <w:rsid w:val="008A2B39"/>
    <w:rsid w:val="008A3ECE"/>
    <w:rsid w:val="008A51EA"/>
    <w:rsid w:val="008A533A"/>
    <w:rsid w:val="008A5499"/>
    <w:rsid w:val="008A7D93"/>
    <w:rsid w:val="008B1708"/>
    <w:rsid w:val="008B1EC9"/>
    <w:rsid w:val="008B209F"/>
    <w:rsid w:val="008B6BF0"/>
    <w:rsid w:val="008C118E"/>
    <w:rsid w:val="008C36EF"/>
    <w:rsid w:val="008C410A"/>
    <w:rsid w:val="008C46F5"/>
    <w:rsid w:val="008C4A9D"/>
    <w:rsid w:val="008C4BDF"/>
    <w:rsid w:val="008D4412"/>
    <w:rsid w:val="008D65AF"/>
    <w:rsid w:val="008D65B5"/>
    <w:rsid w:val="008D7D58"/>
    <w:rsid w:val="008E0F4D"/>
    <w:rsid w:val="008E128A"/>
    <w:rsid w:val="008E14A5"/>
    <w:rsid w:val="008E17C9"/>
    <w:rsid w:val="008E1D55"/>
    <w:rsid w:val="008E2E77"/>
    <w:rsid w:val="008E2EA1"/>
    <w:rsid w:val="008E45DB"/>
    <w:rsid w:val="008E5703"/>
    <w:rsid w:val="008E5E95"/>
    <w:rsid w:val="008F1DD0"/>
    <w:rsid w:val="008F49B4"/>
    <w:rsid w:val="008F562E"/>
    <w:rsid w:val="00900F6F"/>
    <w:rsid w:val="009025BC"/>
    <w:rsid w:val="009067EB"/>
    <w:rsid w:val="00910180"/>
    <w:rsid w:val="0091226F"/>
    <w:rsid w:val="00913A83"/>
    <w:rsid w:val="00916903"/>
    <w:rsid w:val="00917988"/>
    <w:rsid w:val="00922504"/>
    <w:rsid w:val="00926CB9"/>
    <w:rsid w:val="009308EF"/>
    <w:rsid w:val="0093454C"/>
    <w:rsid w:val="00936E86"/>
    <w:rsid w:val="0093731A"/>
    <w:rsid w:val="00942205"/>
    <w:rsid w:val="00945003"/>
    <w:rsid w:val="009465FF"/>
    <w:rsid w:val="009471EB"/>
    <w:rsid w:val="00953652"/>
    <w:rsid w:val="00955A29"/>
    <w:rsid w:val="009605E8"/>
    <w:rsid w:val="00961D2F"/>
    <w:rsid w:val="00964233"/>
    <w:rsid w:val="00964D2A"/>
    <w:rsid w:val="0097442A"/>
    <w:rsid w:val="0097451E"/>
    <w:rsid w:val="0097655D"/>
    <w:rsid w:val="00977A8B"/>
    <w:rsid w:val="00986E6F"/>
    <w:rsid w:val="00994399"/>
    <w:rsid w:val="009A02C6"/>
    <w:rsid w:val="009A039A"/>
    <w:rsid w:val="009A11A9"/>
    <w:rsid w:val="009A5763"/>
    <w:rsid w:val="009A6DBB"/>
    <w:rsid w:val="009B290A"/>
    <w:rsid w:val="009B2B08"/>
    <w:rsid w:val="009B2F1C"/>
    <w:rsid w:val="009B47F3"/>
    <w:rsid w:val="009B4CE8"/>
    <w:rsid w:val="009B6099"/>
    <w:rsid w:val="009C079A"/>
    <w:rsid w:val="009C0F67"/>
    <w:rsid w:val="009C1045"/>
    <w:rsid w:val="009C3879"/>
    <w:rsid w:val="009C4762"/>
    <w:rsid w:val="009C51DF"/>
    <w:rsid w:val="009C66C4"/>
    <w:rsid w:val="009D3F9F"/>
    <w:rsid w:val="009E12C2"/>
    <w:rsid w:val="009E5B4D"/>
    <w:rsid w:val="009E63E5"/>
    <w:rsid w:val="009F0186"/>
    <w:rsid w:val="009F1727"/>
    <w:rsid w:val="009F6170"/>
    <w:rsid w:val="00A012A3"/>
    <w:rsid w:val="00A01C5D"/>
    <w:rsid w:val="00A022FD"/>
    <w:rsid w:val="00A027D4"/>
    <w:rsid w:val="00A0429C"/>
    <w:rsid w:val="00A06AEE"/>
    <w:rsid w:val="00A0727A"/>
    <w:rsid w:val="00A075E2"/>
    <w:rsid w:val="00A2022A"/>
    <w:rsid w:val="00A27D88"/>
    <w:rsid w:val="00A3555C"/>
    <w:rsid w:val="00A40214"/>
    <w:rsid w:val="00A4038C"/>
    <w:rsid w:val="00A40F11"/>
    <w:rsid w:val="00A418EE"/>
    <w:rsid w:val="00A44A70"/>
    <w:rsid w:val="00A461E8"/>
    <w:rsid w:val="00A46655"/>
    <w:rsid w:val="00A50570"/>
    <w:rsid w:val="00A5636F"/>
    <w:rsid w:val="00A56680"/>
    <w:rsid w:val="00A572CA"/>
    <w:rsid w:val="00A62E25"/>
    <w:rsid w:val="00A63201"/>
    <w:rsid w:val="00A70D4B"/>
    <w:rsid w:val="00A71799"/>
    <w:rsid w:val="00A7298E"/>
    <w:rsid w:val="00A7439D"/>
    <w:rsid w:val="00A75045"/>
    <w:rsid w:val="00A76B5B"/>
    <w:rsid w:val="00A84A23"/>
    <w:rsid w:val="00A90AAA"/>
    <w:rsid w:val="00A91363"/>
    <w:rsid w:val="00A93475"/>
    <w:rsid w:val="00A9603E"/>
    <w:rsid w:val="00AA08AA"/>
    <w:rsid w:val="00AA6ECB"/>
    <w:rsid w:val="00AA7C75"/>
    <w:rsid w:val="00AB2347"/>
    <w:rsid w:val="00AC269D"/>
    <w:rsid w:val="00AC6B92"/>
    <w:rsid w:val="00AD166D"/>
    <w:rsid w:val="00AD1CFA"/>
    <w:rsid w:val="00AD2645"/>
    <w:rsid w:val="00AD6B95"/>
    <w:rsid w:val="00AD7772"/>
    <w:rsid w:val="00AE2146"/>
    <w:rsid w:val="00AE646E"/>
    <w:rsid w:val="00AE6ACE"/>
    <w:rsid w:val="00AE7BC6"/>
    <w:rsid w:val="00AF65C9"/>
    <w:rsid w:val="00AF7C99"/>
    <w:rsid w:val="00B00AFA"/>
    <w:rsid w:val="00B05593"/>
    <w:rsid w:val="00B071A3"/>
    <w:rsid w:val="00B079A0"/>
    <w:rsid w:val="00B142DB"/>
    <w:rsid w:val="00B1462F"/>
    <w:rsid w:val="00B16ED1"/>
    <w:rsid w:val="00B175E3"/>
    <w:rsid w:val="00B21160"/>
    <w:rsid w:val="00B27113"/>
    <w:rsid w:val="00B34688"/>
    <w:rsid w:val="00B34815"/>
    <w:rsid w:val="00B36312"/>
    <w:rsid w:val="00B36A33"/>
    <w:rsid w:val="00B402FB"/>
    <w:rsid w:val="00B4360F"/>
    <w:rsid w:val="00B44C2A"/>
    <w:rsid w:val="00B45E39"/>
    <w:rsid w:val="00B50167"/>
    <w:rsid w:val="00B52A93"/>
    <w:rsid w:val="00B53D32"/>
    <w:rsid w:val="00B54385"/>
    <w:rsid w:val="00B54FE2"/>
    <w:rsid w:val="00B56538"/>
    <w:rsid w:val="00B57B8D"/>
    <w:rsid w:val="00B57E99"/>
    <w:rsid w:val="00B62847"/>
    <w:rsid w:val="00B63512"/>
    <w:rsid w:val="00B63BCA"/>
    <w:rsid w:val="00B65171"/>
    <w:rsid w:val="00B65D24"/>
    <w:rsid w:val="00B667C6"/>
    <w:rsid w:val="00B72861"/>
    <w:rsid w:val="00B7722F"/>
    <w:rsid w:val="00B8188B"/>
    <w:rsid w:val="00B81FDE"/>
    <w:rsid w:val="00B825D5"/>
    <w:rsid w:val="00B8275D"/>
    <w:rsid w:val="00B84020"/>
    <w:rsid w:val="00B84B29"/>
    <w:rsid w:val="00B8782C"/>
    <w:rsid w:val="00B93061"/>
    <w:rsid w:val="00B939EF"/>
    <w:rsid w:val="00B96699"/>
    <w:rsid w:val="00B96988"/>
    <w:rsid w:val="00BA05BA"/>
    <w:rsid w:val="00BA1EB9"/>
    <w:rsid w:val="00BA2232"/>
    <w:rsid w:val="00BA2355"/>
    <w:rsid w:val="00BA4558"/>
    <w:rsid w:val="00BA58A5"/>
    <w:rsid w:val="00BB1049"/>
    <w:rsid w:val="00BB1E8C"/>
    <w:rsid w:val="00BB1EE9"/>
    <w:rsid w:val="00BC1371"/>
    <w:rsid w:val="00BC506D"/>
    <w:rsid w:val="00BC516C"/>
    <w:rsid w:val="00BC5603"/>
    <w:rsid w:val="00BC5DF8"/>
    <w:rsid w:val="00BC6C95"/>
    <w:rsid w:val="00BC785A"/>
    <w:rsid w:val="00BD0913"/>
    <w:rsid w:val="00BD1D5E"/>
    <w:rsid w:val="00BD398A"/>
    <w:rsid w:val="00BD4319"/>
    <w:rsid w:val="00BD722B"/>
    <w:rsid w:val="00BE1219"/>
    <w:rsid w:val="00BE18A1"/>
    <w:rsid w:val="00BE362F"/>
    <w:rsid w:val="00BE6146"/>
    <w:rsid w:val="00BE721F"/>
    <w:rsid w:val="00BF27B4"/>
    <w:rsid w:val="00BF5723"/>
    <w:rsid w:val="00C008DF"/>
    <w:rsid w:val="00C01E23"/>
    <w:rsid w:val="00C058FB"/>
    <w:rsid w:val="00C064A9"/>
    <w:rsid w:val="00C11771"/>
    <w:rsid w:val="00C11DDF"/>
    <w:rsid w:val="00C13A3B"/>
    <w:rsid w:val="00C150C8"/>
    <w:rsid w:val="00C169B6"/>
    <w:rsid w:val="00C24F98"/>
    <w:rsid w:val="00C267D2"/>
    <w:rsid w:val="00C30A4E"/>
    <w:rsid w:val="00C32BC5"/>
    <w:rsid w:val="00C36D56"/>
    <w:rsid w:val="00C373DB"/>
    <w:rsid w:val="00C37836"/>
    <w:rsid w:val="00C40E4E"/>
    <w:rsid w:val="00C41842"/>
    <w:rsid w:val="00C41FE2"/>
    <w:rsid w:val="00C42D05"/>
    <w:rsid w:val="00C44238"/>
    <w:rsid w:val="00C44AEC"/>
    <w:rsid w:val="00C53C4E"/>
    <w:rsid w:val="00C53FCC"/>
    <w:rsid w:val="00C53FFD"/>
    <w:rsid w:val="00C54005"/>
    <w:rsid w:val="00C5428A"/>
    <w:rsid w:val="00C5483A"/>
    <w:rsid w:val="00C5560B"/>
    <w:rsid w:val="00C60E9E"/>
    <w:rsid w:val="00C72929"/>
    <w:rsid w:val="00C74AEE"/>
    <w:rsid w:val="00C75FBB"/>
    <w:rsid w:val="00C8020A"/>
    <w:rsid w:val="00C82C14"/>
    <w:rsid w:val="00C84BA7"/>
    <w:rsid w:val="00C85A73"/>
    <w:rsid w:val="00C910CD"/>
    <w:rsid w:val="00C920A4"/>
    <w:rsid w:val="00C96941"/>
    <w:rsid w:val="00CA1E3C"/>
    <w:rsid w:val="00CA3B12"/>
    <w:rsid w:val="00CA6A5D"/>
    <w:rsid w:val="00CB6808"/>
    <w:rsid w:val="00CC1BC5"/>
    <w:rsid w:val="00CC1F05"/>
    <w:rsid w:val="00CC34E4"/>
    <w:rsid w:val="00CC38C9"/>
    <w:rsid w:val="00CC4B3D"/>
    <w:rsid w:val="00CD32D0"/>
    <w:rsid w:val="00CE03F8"/>
    <w:rsid w:val="00CE110C"/>
    <w:rsid w:val="00CE14F3"/>
    <w:rsid w:val="00CE2AFD"/>
    <w:rsid w:val="00CE420F"/>
    <w:rsid w:val="00CE6BA8"/>
    <w:rsid w:val="00CF04EA"/>
    <w:rsid w:val="00CF3F65"/>
    <w:rsid w:val="00CF69BD"/>
    <w:rsid w:val="00D002B0"/>
    <w:rsid w:val="00D06F5D"/>
    <w:rsid w:val="00D0738B"/>
    <w:rsid w:val="00D11BAC"/>
    <w:rsid w:val="00D12A16"/>
    <w:rsid w:val="00D12A40"/>
    <w:rsid w:val="00D14D26"/>
    <w:rsid w:val="00D156BC"/>
    <w:rsid w:val="00D161FA"/>
    <w:rsid w:val="00D204C0"/>
    <w:rsid w:val="00D2290A"/>
    <w:rsid w:val="00D24561"/>
    <w:rsid w:val="00D25965"/>
    <w:rsid w:val="00D2737B"/>
    <w:rsid w:val="00D277FA"/>
    <w:rsid w:val="00D345ED"/>
    <w:rsid w:val="00D35398"/>
    <w:rsid w:val="00D35998"/>
    <w:rsid w:val="00D364C6"/>
    <w:rsid w:val="00D42049"/>
    <w:rsid w:val="00D42734"/>
    <w:rsid w:val="00D42861"/>
    <w:rsid w:val="00D4427D"/>
    <w:rsid w:val="00D47C2A"/>
    <w:rsid w:val="00D5752D"/>
    <w:rsid w:val="00D61C13"/>
    <w:rsid w:val="00D6477B"/>
    <w:rsid w:val="00D65DB5"/>
    <w:rsid w:val="00D67DCF"/>
    <w:rsid w:val="00D70335"/>
    <w:rsid w:val="00D70E27"/>
    <w:rsid w:val="00D71F35"/>
    <w:rsid w:val="00D73EBF"/>
    <w:rsid w:val="00D755B0"/>
    <w:rsid w:val="00D76701"/>
    <w:rsid w:val="00D8495D"/>
    <w:rsid w:val="00D86636"/>
    <w:rsid w:val="00D86ABC"/>
    <w:rsid w:val="00D87166"/>
    <w:rsid w:val="00D87413"/>
    <w:rsid w:val="00D907E9"/>
    <w:rsid w:val="00D90D42"/>
    <w:rsid w:val="00D90E39"/>
    <w:rsid w:val="00D91789"/>
    <w:rsid w:val="00D979D7"/>
    <w:rsid w:val="00D97F01"/>
    <w:rsid w:val="00DA0A7B"/>
    <w:rsid w:val="00DA1178"/>
    <w:rsid w:val="00DA26B3"/>
    <w:rsid w:val="00DB0CE3"/>
    <w:rsid w:val="00DB134F"/>
    <w:rsid w:val="00DB390C"/>
    <w:rsid w:val="00DB3C90"/>
    <w:rsid w:val="00DB42A6"/>
    <w:rsid w:val="00DB64BE"/>
    <w:rsid w:val="00DB7241"/>
    <w:rsid w:val="00DC1C2F"/>
    <w:rsid w:val="00DC2D52"/>
    <w:rsid w:val="00DD0A8C"/>
    <w:rsid w:val="00DD1329"/>
    <w:rsid w:val="00DD227D"/>
    <w:rsid w:val="00DD3DCC"/>
    <w:rsid w:val="00DD426F"/>
    <w:rsid w:val="00DD5C0C"/>
    <w:rsid w:val="00DD6122"/>
    <w:rsid w:val="00DE2AD7"/>
    <w:rsid w:val="00DE3179"/>
    <w:rsid w:val="00DE5B29"/>
    <w:rsid w:val="00DE5E56"/>
    <w:rsid w:val="00DE61A4"/>
    <w:rsid w:val="00DE6360"/>
    <w:rsid w:val="00DE78B4"/>
    <w:rsid w:val="00E02F9D"/>
    <w:rsid w:val="00E03B01"/>
    <w:rsid w:val="00E10341"/>
    <w:rsid w:val="00E1215B"/>
    <w:rsid w:val="00E12B3D"/>
    <w:rsid w:val="00E248DC"/>
    <w:rsid w:val="00E2521A"/>
    <w:rsid w:val="00E2723F"/>
    <w:rsid w:val="00E302C4"/>
    <w:rsid w:val="00E31C20"/>
    <w:rsid w:val="00E33669"/>
    <w:rsid w:val="00E37094"/>
    <w:rsid w:val="00E404E3"/>
    <w:rsid w:val="00E40794"/>
    <w:rsid w:val="00E40C43"/>
    <w:rsid w:val="00E44278"/>
    <w:rsid w:val="00E4442A"/>
    <w:rsid w:val="00E4682A"/>
    <w:rsid w:val="00E46939"/>
    <w:rsid w:val="00E4760A"/>
    <w:rsid w:val="00E552F6"/>
    <w:rsid w:val="00E555CD"/>
    <w:rsid w:val="00E571A1"/>
    <w:rsid w:val="00E5786D"/>
    <w:rsid w:val="00E64C51"/>
    <w:rsid w:val="00E6538B"/>
    <w:rsid w:val="00E664C0"/>
    <w:rsid w:val="00E6750E"/>
    <w:rsid w:val="00E7034D"/>
    <w:rsid w:val="00E708A9"/>
    <w:rsid w:val="00E744C9"/>
    <w:rsid w:val="00E74B13"/>
    <w:rsid w:val="00E74B19"/>
    <w:rsid w:val="00E77CF2"/>
    <w:rsid w:val="00E82BD5"/>
    <w:rsid w:val="00E83752"/>
    <w:rsid w:val="00E85438"/>
    <w:rsid w:val="00E85EB1"/>
    <w:rsid w:val="00E87949"/>
    <w:rsid w:val="00E903AB"/>
    <w:rsid w:val="00E918B0"/>
    <w:rsid w:val="00E9471B"/>
    <w:rsid w:val="00E94BCE"/>
    <w:rsid w:val="00E96024"/>
    <w:rsid w:val="00EA1A99"/>
    <w:rsid w:val="00EA280C"/>
    <w:rsid w:val="00EA3583"/>
    <w:rsid w:val="00EA6353"/>
    <w:rsid w:val="00EB0C46"/>
    <w:rsid w:val="00EB2422"/>
    <w:rsid w:val="00EB2AC8"/>
    <w:rsid w:val="00EB38E0"/>
    <w:rsid w:val="00EC57A4"/>
    <w:rsid w:val="00EC587D"/>
    <w:rsid w:val="00ED0024"/>
    <w:rsid w:val="00ED2702"/>
    <w:rsid w:val="00ED2D2E"/>
    <w:rsid w:val="00ED308D"/>
    <w:rsid w:val="00EE2AB6"/>
    <w:rsid w:val="00EE4BCF"/>
    <w:rsid w:val="00EF123A"/>
    <w:rsid w:val="00EF158C"/>
    <w:rsid w:val="00EF3486"/>
    <w:rsid w:val="00EF4D42"/>
    <w:rsid w:val="00EF600D"/>
    <w:rsid w:val="00EF64FA"/>
    <w:rsid w:val="00EF749B"/>
    <w:rsid w:val="00F05793"/>
    <w:rsid w:val="00F05996"/>
    <w:rsid w:val="00F1273D"/>
    <w:rsid w:val="00F12AD6"/>
    <w:rsid w:val="00F1736C"/>
    <w:rsid w:val="00F211FB"/>
    <w:rsid w:val="00F212B5"/>
    <w:rsid w:val="00F26A1E"/>
    <w:rsid w:val="00F32421"/>
    <w:rsid w:val="00F339D0"/>
    <w:rsid w:val="00F34653"/>
    <w:rsid w:val="00F365FA"/>
    <w:rsid w:val="00F413EC"/>
    <w:rsid w:val="00F4255A"/>
    <w:rsid w:val="00F44AB6"/>
    <w:rsid w:val="00F5112F"/>
    <w:rsid w:val="00F52BB9"/>
    <w:rsid w:val="00F5324F"/>
    <w:rsid w:val="00F534CC"/>
    <w:rsid w:val="00F61D68"/>
    <w:rsid w:val="00F630D2"/>
    <w:rsid w:val="00F66069"/>
    <w:rsid w:val="00F6729F"/>
    <w:rsid w:val="00F7281C"/>
    <w:rsid w:val="00F73FEC"/>
    <w:rsid w:val="00F76635"/>
    <w:rsid w:val="00F77A81"/>
    <w:rsid w:val="00F77D6C"/>
    <w:rsid w:val="00F80C22"/>
    <w:rsid w:val="00F820D5"/>
    <w:rsid w:val="00F83702"/>
    <w:rsid w:val="00F84DB9"/>
    <w:rsid w:val="00F8555B"/>
    <w:rsid w:val="00F870AD"/>
    <w:rsid w:val="00F92A24"/>
    <w:rsid w:val="00F95E9C"/>
    <w:rsid w:val="00FA2570"/>
    <w:rsid w:val="00FA4895"/>
    <w:rsid w:val="00FA5373"/>
    <w:rsid w:val="00FA663E"/>
    <w:rsid w:val="00FB58CC"/>
    <w:rsid w:val="00FC2577"/>
    <w:rsid w:val="00FC3405"/>
    <w:rsid w:val="00FC4180"/>
    <w:rsid w:val="00FC5C32"/>
    <w:rsid w:val="00FC5FB0"/>
    <w:rsid w:val="00FC6049"/>
    <w:rsid w:val="00FC6F92"/>
    <w:rsid w:val="00FC798B"/>
    <w:rsid w:val="00FD11CF"/>
    <w:rsid w:val="00FD24BA"/>
    <w:rsid w:val="00FD303E"/>
    <w:rsid w:val="00FD3566"/>
    <w:rsid w:val="00FE2A7B"/>
    <w:rsid w:val="00FE2ED0"/>
    <w:rsid w:val="00FF02E5"/>
    <w:rsid w:val="00FF176C"/>
    <w:rsid w:val="00FF3180"/>
    <w:rsid w:val="00FF6261"/>
    <w:rsid w:val="00FF7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105CE"/>
  <w15:chartTrackingRefBased/>
  <w15:docId w15:val="{4A4D629F-461F-432D-B2A0-4F2B85412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65F"/>
  </w:style>
  <w:style w:type="paragraph" w:styleId="Heading1">
    <w:name w:val="heading 1"/>
    <w:basedOn w:val="Normal"/>
    <w:next w:val="Normal"/>
    <w:link w:val="Heading1Char"/>
    <w:uiPriority w:val="9"/>
    <w:qFormat/>
    <w:rsid w:val="00543D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3D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3D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43D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D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D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D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D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D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D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3D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3D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43D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D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D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D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D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D43"/>
    <w:rPr>
      <w:rFonts w:eastAsiaTheme="majorEastAsia" w:cstheme="majorBidi"/>
      <w:color w:val="272727" w:themeColor="text1" w:themeTint="D8"/>
    </w:rPr>
  </w:style>
  <w:style w:type="paragraph" w:styleId="Title">
    <w:name w:val="Title"/>
    <w:basedOn w:val="Normal"/>
    <w:next w:val="Normal"/>
    <w:link w:val="TitleChar"/>
    <w:uiPriority w:val="10"/>
    <w:qFormat/>
    <w:rsid w:val="00543D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D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D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D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D43"/>
    <w:pPr>
      <w:spacing w:before="160"/>
      <w:jc w:val="center"/>
    </w:pPr>
    <w:rPr>
      <w:i/>
      <w:iCs/>
      <w:color w:val="404040" w:themeColor="text1" w:themeTint="BF"/>
    </w:rPr>
  </w:style>
  <w:style w:type="character" w:customStyle="1" w:styleId="QuoteChar">
    <w:name w:val="Quote Char"/>
    <w:basedOn w:val="DefaultParagraphFont"/>
    <w:link w:val="Quote"/>
    <w:uiPriority w:val="29"/>
    <w:rsid w:val="00543D43"/>
    <w:rPr>
      <w:i/>
      <w:iCs/>
      <w:color w:val="404040" w:themeColor="text1" w:themeTint="BF"/>
    </w:rPr>
  </w:style>
  <w:style w:type="paragraph" w:styleId="ListParagraph">
    <w:name w:val="List Paragraph"/>
    <w:basedOn w:val="Normal"/>
    <w:uiPriority w:val="34"/>
    <w:qFormat/>
    <w:rsid w:val="00543D43"/>
    <w:pPr>
      <w:ind w:left="720"/>
      <w:contextualSpacing/>
    </w:pPr>
  </w:style>
  <w:style w:type="character" w:styleId="IntenseEmphasis">
    <w:name w:val="Intense Emphasis"/>
    <w:basedOn w:val="DefaultParagraphFont"/>
    <w:uiPriority w:val="21"/>
    <w:qFormat/>
    <w:rsid w:val="00543D43"/>
    <w:rPr>
      <w:i/>
      <w:iCs/>
      <w:color w:val="0F4761" w:themeColor="accent1" w:themeShade="BF"/>
    </w:rPr>
  </w:style>
  <w:style w:type="paragraph" w:styleId="IntenseQuote">
    <w:name w:val="Intense Quote"/>
    <w:basedOn w:val="Normal"/>
    <w:next w:val="Normal"/>
    <w:link w:val="IntenseQuoteChar"/>
    <w:uiPriority w:val="30"/>
    <w:qFormat/>
    <w:rsid w:val="00543D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D43"/>
    <w:rPr>
      <w:i/>
      <w:iCs/>
      <w:color w:val="0F4761" w:themeColor="accent1" w:themeShade="BF"/>
    </w:rPr>
  </w:style>
  <w:style w:type="character" w:styleId="IntenseReference">
    <w:name w:val="Intense Reference"/>
    <w:basedOn w:val="DefaultParagraphFont"/>
    <w:uiPriority w:val="32"/>
    <w:qFormat/>
    <w:rsid w:val="00543D43"/>
    <w:rPr>
      <w:b/>
      <w:bCs/>
      <w:smallCaps/>
      <w:color w:val="0F4761" w:themeColor="accent1" w:themeShade="BF"/>
      <w:spacing w:val="5"/>
    </w:rPr>
  </w:style>
  <w:style w:type="paragraph" w:styleId="TOCHeading">
    <w:name w:val="TOC Heading"/>
    <w:basedOn w:val="Heading1"/>
    <w:next w:val="Normal"/>
    <w:uiPriority w:val="39"/>
    <w:unhideWhenUsed/>
    <w:qFormat/>
    <w:rsid w:val="00193CD1"/>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193C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CD1"/>
  </w:style>
  <w:style w:type="paragraph" w:styleId="Footer">
    <w:name w:val="footer"/>
    <w:basedOn w:val="Normal"/>
    <w:link w:val="FooterChar"/>
    <w:uiPriority w:val="99"/>
    <w:unhideWhenUsed/>
    <w:rsid w:val="00193C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CD1"/>
  </w:style>
  <w:style w:type="paragraph" w:styleId="Caption">
    <w:name w:val="caption"/>
    <w:basedOn w:val="Normal"/>
    <w:next w:val="Normal"/>
    <w:uiPriority w:val="35"/>
    <w:unhideWhenUsed/>
    <w:qFormat/>
    <w:rsid w:val="007F1760"/>
    <w:pPr>
      <w:spacing w:after="200" w:line="240" w:lineRule="auto"/>
    </w:pPr>
    <w:rPr>
      <w:i/>
      <w:iCs/>
      <w:color w:val="0E2841" w:themeColor="text2"/>
      <w:sz w:val="18"/>
      <w:szCs w:val="18"/>
    </w:rPr>
  </w:style>
  <w:style w:type="character" w:styleId="Hyperlink">
    <w:name w:val="Hyperlink"/>
    <w:basedOn w:val="DefaultParagraphFont"/>
    <w:uiPriority w:val="99"/>
    <w:unhideWhenUsed/>
    <w:rsid w:val="00874085"/>
    <w:rPr>
      <w:color w:val="467886" w:themeColor="hyperlink"/>
      <w:u w:val="single"/>
    </w:rPr>
  </w:style>
  <w:style w:type="character" w:styleId="UnresolvedMention">
    <w:name w:val="Unresolved Mention"/>
    <w:basedOn w:val="DefaultParagraphFont"/>
    <w:uiPriority w:val="99"/>
    <w:semiHidden/>
    <w:unhideWhenUsed/>
    <w:rsid w:val="00874085"/>
    <w:rPr>
      <w:color w:val="605E5C"/>
      <w:shd w:val="clear" w:color="auto" w:fill="E1DFDD"/>
    </w:rPr>
  </w:style>
  <w:style w:type="paragraph" w:styleId="TOC1">
    <w:name w:val="toc 1"/>
    <w:basedOn w:val="Normal"/>
    <w:next w:val="Normal"/>
    <w:autoRedefine/>
    <w:uiPriority w:val="39"/>
    <w:unhideWhenUsed/>
    <w:rsid w:val="006D3510"/>
    <w:pPr>
      <w:spacing w:after="100"/>
    </w:pPr>
  </w:style>
  <w:style w:type="paragraph" w:styleId="TOC2">
    <w:name w:val="toc 2"/>
    <w:basedOn w:val="Normal"/>
    <w:next w:val="Normal"/>
    <w:autoRedefine/>
    <w:uiPriority w:val="39"/>
    <w:unhideWhenUsed/>
    <w:rsid w:val="006D3510"/>
    <w:pPr>
      <w:spacing w:after="100"/>
      <w:ind w:left="220"/>
    </w:pPr>
  </w:style>
  <w:style w:type="paragraph" w:styleId="TOC3">
    <w:name w:val="toc 3"/>
    <w:basedOn w:val="Normal"/>
    <w:next w:val="Normal"/>
    <w:autoRedefine/>
    <w:uiPriority w:val="39"/>
    <w:unhideWhenUsed/>
    <w:rsid w:val="006D3510"/>
    <w:pPr>
      <w:spacing w:after="100"/>
      <w:ind w:left="440"/>
    </w:pPr>
  </w:style>
  <w:style w:type="character" w:styleId="PlaceholderText">
    <w:name w:val="Placeholder Text"/>
    <w:basedOn w:val="DefaultParagraphFont"/>
    <w:uiPriority w:val="99"/>
    <w:semiHidden/>
    <w:rsid w:val="008D65B5"/>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751272">
      <w:bodyDiv w:val="1"/>
      <w:marLeft w:val="0"/>
      <w:marRight w:val="0"/>
      <w:marTop w:val="0"/>
      <w:marBottom w:val="0"/>
      <w:divBdr>
        <w:top w:val="none" w:sz="0" w:space="0" w:color="auto"/>
        <w:left w:val="none" w:sz="0" w:space="0" w:color="auto"/>
        <w:bottom w:val="none" w:sz="0" w:space="0" w:color="auto"/>
        <w:right w:val="none" w:sz="0" w:space="0" w:color="auto"/>
      </w:divBdr>
    </w:div>
    <w:div w:id="266274746">
      <w:bodyDiv w:val="1"/>
      <w:marLeft w:val="0"/>
      <w:marRight w:val="0"/>
      <w:marTop w:val="0"/>
      <w:marBottom w:val="0"/>
      <w:divBdr>
        <w:top w:val="none" w:sz="0" w:space="0" w:color="auto"/>
        <w:left w:val="none" w:sz="0" w:space="0" w:color="auto"/>
        <w:bottom w:val="none" w:sz="0" w:space="0" w:color="auto"/>
        <w:right w:val="none" w:sz="0" w:space="0" w:color="auto"/>
      </w:divBdr>
    </w:div>
    <w:div w:id="415906317">
      <w:bodyDiv w:val="1"/>
      <w:marLeft w:val="0"/>
      <w:marRight w:val="0"/>
      <w:marTop w:val="0"/>
      <w:marBottom w:val="0"/>
      <w:divBdr>
        <w:top w:val="none" w:sz="0" w:space="0" w:color="auto"/>
        <w:left w:val="none" w:sz="0" w:space="0" w:color="auto"/>
        <w:bottom w:val="none" w:sz="0" w:space="0" w:color="auto"/>
        <w:right w:val="none" w:sz="0" w:space="0" w:color="auto"/>
      </w:divBdr>
    </w:div>
    <w:div w:id="514535284">
      <w:bodyDiv w:val="1"/>
      <w:marLeft w:val="0"/>
      <w:marRight w:val="0"/>
      <w:marTop w:val="0"/>
      <w:marBottom w:val="0"/>
      <w:divBdr>
        <w:top w:val="none" w:sz="0" w:space="0" w:color="auto"/>
        <w:left w:val="none" w:sz="0" w:space="0" w:color="auto"/>
        <w:bottom w:val="none" w:sz="0" w:space="0" w:color="auto"/>
        <w:right w:val="none" w:sz="0" w:space="0" w:color="auto"/>
      </w:divBdr>
    </w:div>
    <w:div w:id="611521789">
      <w:bodyDiv w:val="1"/>
      <w:marLeft w:val="0"/>
      <w:marRight w:val="0"/>
      <w:marTop w:val="0"/>
      <w:marBottom w:val="0"/>
      <w:divBdr>
        <w:top w:val="none" w:sz="0" w:space="0" w:color="auto"/>
        <w:left w:val="none" w:sz="0" w:space="0" w:color="auto"/>
        <w:bottom w:val="none" w:sz="0" w:space="0" w:color="auto"/>
        <w:right w:val="none" w:sz="0" w:space="0" w:color="auto"/>
      </w:divBdr>
    </w:div>
    <w:div w:id="652103726">
      <w:bodyDiv w:val="1"/>
      <w:marLeft w:val="0"/>
      <w:marRight w:val="0"/>
      <w:marTop w:val="0"/>
      <w:marBottom w:val="0"/>
      <w:divBdr>
        <w:top w:val="none" w:sz="0" w:space="0" w:color="auto"/>
        <w:left w:val="none" w:sz="0" w:space="0" w:color="auto"/>
        <w:bottom w:val="none" w:sz="0" w:space="0" w:color="auto"/>
        <w:right w:val="none" w:sz="0" w:space="0" w:color="auto"/>
      </w:divBdr>
    </w:div>
    <w:div w:id="887450115">
      <w:bodyDiv w:val="1"/>
      <w:marLeft w:val="0"/>
      <w:marRight w:val="0"/>
      <w:marTop w:val="0"/>
      <w:marBottom w:val="0"/>
      <w:divBdr>
        <w:top w:val="none" w:sz="0" w:space="0" w:color="auto"/>
        <w:left w:val="none" w:sz="0" w:space="0" w:color="auto"/>
        <w:bottom w:val="none" w:sz="0" w:space="0" w:color="auto"/>
        <w:right w:val="none" w:sz="0" w:space="0" w:color="auto"/>
      </w:divBdr>
    </w:div>
    <w:div w:id="894662375">
      <w:bodyDiv w:val="1"/>
      <w:marLeft w:val="0"/>
      <w:marRight w:val="0"/>
      <w:marTop w:val="0"/>
      <w:marBottom w:val="0"/>
      <w:divBdr>
        <w:top w:val="none" w:sz="0" w:space="0" w:color="auto"/>
        <w:left w:val="none" w:sz="0" w:space="0" w:color="auto"/>
        <w:bottom w:val="none" w:sz="0" w:space="0" w:color="auto"/>
        <w:right w:val="none" w:sz="0" w:space="0" w:color="auto"/>
      </w:divBdr>
    </w:div>
    <w:div w:id="1162700212">
      <w:bodyDiv w:val="1"/>
      <w:marLeft w:val="0"/>
      <w:marRight w:val="0"/>
      <w:marTop w:val="0"/>
      <w:marBottom w:val="0"/>
      <w:divBdr>
        <w:top w:val="none" w:sz="0" w:space="0" w:color="auto"/>
        <w:left w:val="none" w:sz="0" w:space="0" w:color="auto"/>
        <w:bottom w:val="none" w:sz="0" w:space="0" w:color="auto"/>
        <w:right w:val="none" w:sz="0" w:space="0" w:color="auto"/>
      </w:divBdr>
    </w:div>
    <w:div w:id="1381251713">
      <w:bodyDiv w:val="1"/>
      <w:marLeft w:val="0"/>
      <w:marRight w:val="0"/>
      <w:marTop w:val="0"/>
      <w:marBottom w:val="0"/>
      <w:divBdr>
        <w:top w:val="none" w:sz="0" w:space="0" w:color="auto"/>
        <w:left w:val="none" w:sz="0" w:space="0" w:color="auto"/>
        <w:bottom w:val="none" w:sz="0" w:space="0" w:color="auto"/>
        <w:right w:val="none" w:sz="0" w:space="0" w:color="auto"/>
      </w:divBdr>
    </w:div>
    <w:div w:id="1582374573">
      <w:bodyDiv w:val="1"/>
      <w:marLeft w:val="0"/>
      <w:marRight w:val="0"/>
      <w:marTop w:val="0"/>
      <w:marBottom w:val="0"/>
      <w:divBdr>
        <w:top w:val="none" w:sz="0" w:space="0" w:color="auto"/>
        <w:left w:val="none" w:sz="0" w:space="0" w:color="auto"/>
        <w:bottom w:val="none" w:sz="0" w:space="0" w:color="auto"/>
        <w:right w:val="none" w:sz="0" w:space="0" w:color="auto"/>
      </w:divBdr>
    </w:div>
    <w:div w:id="1790735966">
      <w:bodyDiv w:val="1"/>
      <w:marLeft w:val="0"/>
      <w:marRight w:val="0"/>
      <w:marTop w:val="0"/>
      <w:marBottom w:val="0"/>
      <w:divBdr>
        <w:top w:val="none" w:sz="0" w:space="0" w:color="auto"/>
        <w:left w:val="none" w:sz="0" w:space="0" w:color="auto"/>
        <w:bottom w:val="none" w:sz="0" w:space="0" w:color="auto"/>
        <w:right w:val="none" w:sz="0" w:space="0" w:color="auto"/>
      </w:divBdr>
    </w:div>
    <w:div w:id="1807312876">
      <w:bodyDiv w:val="1"/>
      <w:marLeft w:val="0"/>
      <w:marRight w:val="0"/>
      <w:marTop w:val="0"/>
      <w:marBottom w:val="0"/>
      <w:divBdr>
        <w:top w:val="none" w:sz="0" w:space="0" w:color="auto"/>
        <w:left w:val="none" w:sz="0" w:space="0" w:color="auto"/>
        <w:bottom w:val="none" w:sz="0" w:space="0" w:color="auto"/>
        <w:right w:val="none" w:sz="0" w:space="0" w:color="auto"/>
      </w:divBdr>
    </w:div>
    <w:div w:id="1809517314">
      <w:bodyDiv w:val="1"/>
      <w:marLeft w:val="0"/>
      <w:marRight w:val="0"/>
      <w:marTop w:val="0"/>
      <w:marBottom w:val="0"/>
      <w:divBdr>
        <w:top w:val="none" w:sz="0" w:space="0" w:color="auto"/>
        <w:left w:val="none" w:sz="0" w:space="0" w:color="auto"/>
        <w:bottom w:val="none" w:sz="0" w:space="0" w:color="auto"/>
        <w:right w:val="none" w:sz="0" w:space="0" w:color="auto"/>
      </w:divBdr>
    </w:div>
    <w:div w:id="1911382999">
      <w:bodyDiv w:val="1"/>
      <w:marLeft w:val="0"/>
      <w:marRight w:val="0"/>
      <w:marTop w:val="0"/>
      <w:marBottom w:val="0"/>
      <w:divBdr>
        <w:top w:val="none" w:sz="0" w:space="0" w:color="auto"/>
        <w:left w:val="none" w:sz="0" w:space="0" w:color="auto"/>
        <w:bottom w:val="none" w:sz="0" w:space="0" w:color="auto"/>
        <w:right w:val="none" w:sz="0" w:space="0" w:color="auto"/>
      </w:divBdr>
    </w:div>
    <w:div w:id="1943108034">
      <w:bodyDiv w:val="1"/>
      <w:marLeft w:val="0"/>
      <w:marRight w:val="0"/>
      <w:marTop w:val="0"/>
      <w:marBottom w:val="0"/>
      <w:divBdr>
        <w:top w:val="none" w:sz="0" w:space="0" w:color="auto"/>
        <w:left w:val="none" w:sz="0" w:space="0" w:color="auto"/>
        <w:bottom w:val="none" w:sz="0" w:space="0" w:color="auto"/>
        <w:right w:val="none" w:sz="0" w:space="0" w:color="auto"/>
      </w:divBdr>
    </w:div>
    <w:div w:id="1984697268">
      <w:bodyDiv w:val="1"/>
      <w:marLeft w:val="0"/>
      <w:marRight w:val="0"/>
      <w:marTop w:val="0"/>
      <w:marBottom w:val="0"/>
      <w:divBdr>
        <w:top w:val="none" w:sz="0" w:space="0" w:color="auto"/>
        <w:left w:val="none" w:sz="0" w:space="0" w:color="auto"/>
        <w:bottom w:val="none" w:sz="0" w:space="0" w:color="auto"/>
        <w:right w:val="none" w:sz="0" w:space="0" w:color="auto"/>
      </w:divBdr>
    </w:div>
    <w:div w:id="2061007004">
      <w:bodyDiv w:val="1"/>
      <w:marLeft w:val="0"/>
      <w:marRight w:val="0"/>
      <w:marTop w:val="0"/>
      <w:marBottom w:val="0"/>
      <w:divBdr>
        <w:top w:val="none" w:sz="0" w:space="0" w:color="auto"/>
        <w:left w:val="none" w:sz="0" w:space="0" w:color="auto"/>
        <w:bottom w:val="none" w:sz="0" w:space="0" w:color="auto"/>
        <w:right w:val="none" w:sz="0" w:space="0" w:color="auto"/>
      </w:divBdr>
    </w:div>
    <w:div w:id="2083259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4.png"/><Relationship Id="rId39" Type="http://schemas.openxmlformats.org/officeDocument/2006/relationships/image" Target="media/image27.emf"/><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hyperlink" Target="https://www.ford.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emf"/><Relationship Id="rId40" Type="http://schemas.openxmlformats.org/officeDocument/2006/relationships/image" Target="media/image28.emf"/><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corporatefinanceinstitute.com/resources/accounting/efficiency-ratios/" TargetMode="External"/><Relationship Id="rId28" Type="http://schemas.openxmlformats.org/officeDocument/2006/relationships/image" Target="media/image16.png"/><Relationship Id="rId36" Type="http://schemas.openxmlformats.org/officeDocument/2006/relationships/image" Target="media/image24.emf"/><Relationship Id="rId10" Type="http://schemas.openxmlformats.org/officeDocument/2006/relationships/image" Target="media/image2.png"/><Relationship Id="rId19" Type="http://schemas.openxmlformats.org/officeDocument/2006/relationships/hyperlink" Target="https://www.wallstreetprep.com/knowledge/gearing-ratio/" TargetMode="External"/><Relationship Id="rId31" Type="http://schemas.openxmlformats.org/officeDocument/2006/relationships/image" Target="media/image19.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emf"/><Relationship Id="rId43" Type="http://schemas.openxmlformats.org/officeDocument/2006/relationships/hyperlink" Target="https://www.nyse.com/quote/XNYS: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shareholder.ford.com/Investors/Information/stock/default.aspx" TargetMode="External"/><Relationship Id="rId17" Type="http://schemas.openxmlformats.org/officeDocument/2006/relationships/hyperlink" Target="https://corporatefinanceinstitute.com/resources/accounting/gearing/" TargetMode="External"/><Relationship Id="rId25" Type="http://schemas.openxmlformats.org/officeDocument/2006/relationships/image" Target="media/image13.emf"/><Relationship Id="rId33" Type="http://schemas.openxmlformats.org/officeDocument/2006/relationships/image" Target="media/image21.png"/><Relationship Id="rId38" Type="http://schemas.openxmlformats.org/officeDocument/2006/relationships/image" Target="media/image26.emf"/><Relationship Id="rId46"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29.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7F7F-4486-9D76-F4B3A84CABA2}"/>
              </c:ext>
            </c:extLst>
          </c:dPt>
          <c:dPt>
            <c:idx val="1"/>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7F7F-4486-9D76-F4B3A84CABA2}"/>
              </c:ext>
            </c:extLst>
          </c:dPt>
          <c:dPt>
            <c:idx val="2"/>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7F7F-4486-9D76-F4B3A84CABA2}"/>
              </c:ext>
            </c:extLst>
          </c:dPt>
          <c:dPt>
            <c:idx val="3"/>
            <c:bubble3D val="0"/>
            <c:spPr>
              <a:solidFill>
                <a:schemeClr val="accent6">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7F7F-4486-9D76-F4B3A84CABA2}"/>
              </c:ext>
            </c:extLst>
          </c:dPt>
          <c:dPt>
            <c:idx val="4"/>
            <c:bubble3D val="0"/>
            <c:spPr>
              <a:solidFill>
                <a:schemeClr val="accent5">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7F7F-4486-9D76-F4B3A84CABA2}"/>
              </c:ext>
            </c:extLst>
          </c:dPt>
          <c:dPt>
            <c:idx val="5"/>
            <c:bubble3D val="0"/>
            <c:spPr>
              <a:solidFill>
                <a:schemeClr val="accent4">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B-7F7F-4486-9D76-F4B3A84CABA2}"/>
              </c:ext>
            </c:extLst>
          </c:dPt>
          <c:dPt>
            <c:idx val="6"/>
            <c:bubble3D val="0"/>
            <c:spPr>
              <a:solidFill>
                <a:schemeClr val="accent6">
                  <a:lumMod val="80000"/>
                  <a:lumOff val="2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D-7F7F-4486-9D76-F4B3A84CABA2}"/>
              </c:ext>
            </c:extLst>
          </c:dPt>
          <c:dPt>
            <c:idx val="7"/>
            <c:bubble3D val="0"/>
            <c:spPr>
              <a:solidFill>
                <a:schemeClr val="accent5">
                  <a:lumMod val="80000"/>
                  <a:lumOff val="2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F-7F7F-4486-9D76-F4B3A84CABA2}"/>
              </c:ext>
            </c:extLst>
          </c:dPt>
          <c:dPt>
            <c:idx val="8"/>
            <c:bubble3D val="0"/>
            <c:spPr>
              <a:solidFill>
                <a:schemeClr val="accent4">
                  <a:lumMod val="80000"/>
                  <a:lumOff val="2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1-7F7F-4486-9D76-F4B3A84CABA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Sheet1!$A$2:$A$10</c:f>
              <c:strCache>
                <c:ptCount val="9"/>
                <c:pt idx="0">
                  <c:v>Unated States</c:v>
                </c:pt>
                <c:pt idx="1">
                  <c:v>China</c:v>
                </c:pt>
                <c:pt idx="2">
                  <c:v>Canada</c:v>
                </c:pt>
                <c:pt idx="3">
                  <c:v>United Kingdom</c:v>
                </c:pt>
                <c:pt idx="4">
                  <c:v>Germany</c:v>
                </c:pt>
                <c:pt idx="5">
                  <c:v>Turkiye</c:v>
                </c:pt>
                <c:pt idx="6">
                  <c:v>Italy</c:v>
                </c:pt>
                <c:pt idx="7">
                  <c:v>France</c:v>
                </c:pt>
                <c:pt idx="8">
                  <c:v>Other Markets</c:v>
                </c:pt>
              </c:strCache>
            </c:strRef>
          </c:cat>
          <c:val>
            <c:numRef>
              <c:f>Sheet1!$B$2:$B$10</c:f>
              <c:numCache>
                <c:formatCode>General</c:formatCode>
                <c:ptCount val="9"/>
                <c:pt idx="0" formatCode="#,##0">
                  <c:v>2097</c:v>
                </c:pt>
                <c:pt idx="1">
                  <c:v>467</c:v>
                </c:pt>
                <c:pt idx="2">
                  <c:v>260</c:v>
                </c:pt>
                <c:pt idx="3">
                  <c:v>243</c:v>
                </c:pt>
                <c:pt idx="4">
                  <c:v>162</c:v>
                </c:pt>
                <c:pt idx="5">
                  <c:v>124</c:v>
                </c:pt>
                <c:pt idx="6">
                  <c:v>122</c:v>
                </c:pt>
                <c:pt idx="7">
                  <c:v>104</c:v>
                </c:pt>
                <c:pt idx="8">
                  <c:v>834</c:v>
                </c:pt>
              </c:numCache>
            </c:numRef>
          </c:val>
          <c:extLst>
            <c:ext xmlns:c16="http://schemas.microsoft.com/office/drawing/2014/chart" uri="{C3380CC4-5D6E-409C-BE32-E72D297353CC}">
              <c16:uniqueId val="{00000000-88CB-41DE-BA8F-33DD00843BE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384BE3-9690-4677-B1AF-EBAEE337A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2380</TotalTime>
  <Pages>33</Pages>
  <Words>6615</Words>
  <Characters>37708</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Szomolai</dc:creator>
  <cp:keywords/>
  <dc:description/>
  <cp:lastModifiedBy>Angela Szomolai</cp:lastModifiedBy>
  <cp:revision>937</cp:revision>
  <dcterms:created xsi:type="dcterms:W3CDTF">2024-04-18T09:27:00Z</dcterms:created>
  <dcterms:modified xsi:type="dcterms:W3CDTF">2024-04-21T19:46:00Z</dcterms:modified>
</cp:coreProperties>
</file>