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1BD" w:rsidRPr="003411BD" w:rsidRDefault="003411BD" w:rsidP="003411BD">
      <w:r w:rsidRPr="003411BD">
        <w:t>Innovation diffusion: a stakeholder and social network view</w:t>
      </w:r>
    </w:p>
    <w:p w:rsidR="003411BD" w:rsidRPr="003411BD" w:rsidRDefault="00110C3B" w:rsidP="003411BD">
      <w:hyperlink r:id="rId4" w:history="1">
        <w:r w:rsidR="003411BD" w:rsidRPr="003411BD">
          <w:t>Troshani, Indrit</w:t>
        </w:r>
      </w:hyperlink>
      <w:r w:rsidR="003411BD" w:rsidRPr="003411BD">
        <w:t xml:space="preserve"> </w:t>
      </w:r>
    </w:p>
    <w:p w:rsidR="003411BD" w:rsidRPr="003411BD" w:rsidRDefault="003411BD" w:rsidP="003411BD">
      <w:r w:rsidRPr="003411BD">
        <w:t>Business School, University of Adelaide</w:t>
      </w:r>
    </w:p>
    <w:p w:rsidR="003411BD" w:rsidRPr="003411BD" w:rsidRDefault="00110C3B" w:rsidP="003411BD">
      <w:hyperlink r:id="rId5" w:history="1">
        <w:r w:rsidR="003411BD" w:rsidRPr="003411BD">
          <w:t>Doolin, Bill</w:t>
        </w:r>
      </w:hyperlink>
      <w:r w:rsidR="003411BD" w:rsidRPr="003411BD">
        <w:t xml:space="preserve"> </w:t>
      </w:r>
    </w:p>
    <w:p w:rsidR="003411BD" w:rsidRPr="003411BD" w:rsidRDefault="003411BD" w:rsidP="003411BD">
      <w:r w:rsidRPr="003411BD">
        <w:t>Business Information Systems, Auckland University of Technology</w:t>
      </w:r>
    </w:p>
    <w:p w:rsidR="003411BD" w:rsidRPr="003411BD" w:rsidRDefault="003411BD" w:rsidP="003411BD">
      <w:r w:rsidRPr="003411BD">
        <w:t xml:space="preserve">. </w:t>
      </w:r>
      <w:hyperlink r:id="rId6" w:tooltip="Click to search for more items from this journal" w:history="1">
        <w:r w:rsidRPr="003411BD">
          <w:t>European Journal of Innovation Management</w:t>
        </w:r>
      </w:hyperlink>
      <w:hyperlink r:id="rId7" w:tooltip="Click to search for more items from this issue" w:history="1">
        <w:r>
          <w:rPr>
            <w:noProof/>
            <w:lang w:eastAsia="en-GB"/>
          </w:rPr>
          <w:drawing>
            <wp:inline distT="0" distB="0" distL="0" distR="0">
              <wp:extent cx="28575" cy="28575"/>
              <wp:effectExtent l="0" t="0" r="0" b="0"/>
              <wp:docPr id="7" name="Picture 7" descr="http://search.proquest.com/assets/r4.0.1-0/core/spacer.gif">
                <a:hlinkClick xmlns:a="http://schemas.openxmlformats.org/drawingml/2006/main" r:id="rId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arch.proquest.com/assets/r4.0.1-0/core/spacer.gif">
                        <a:hlinkClick r:id="rId7" tooltip="&quot;Click to search for more items from this issue&quot;"/>
                      </pic:cNvPr>
                      <pic:cNvPicPr>
                        <a:picLocks noChangeAspect="1" noChangeArrowheads="1"/>
                      </pic:cNvPicPr>
                    </pic:nvPicPr>
                    <pic:blipFill>
                      <a:blip r:embed="rId8"/>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3411BD">
          <w:t>10. 2</w:t>
        </w:r>
        <w:r>
          <w:rPr>
            <w:noProof/>
            <w:lang w:eastAsia="en-GB"/>
          </w:rPr>
          <w:drawing>
            <wp:inline distT="0" distB="0" distL="0" distR="0">
              <wp:extent cx="28575" cy="28575"/>
              <wp:effectExtent l="0" t="0" r="0" b="0"/>
              <wp:docPr id="8" name="Picture 8" descr="http://search.proquest.com/assets/r4.0.1-0/core/spacer.gif">
                <a:hlinkClick xmlns:a="http://schemas.openxmlformats.org/drawingml/2006/main" r:id="rId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arch.proquest.com/assets/r4.0.1-0/core/spacer.gif">
                        <a:hlinkClick r:id="rId7" tooltip="&quot;Click to search for more items from this issue&quot;"/>
                      </pic:cNvPr>
                      <pic:cNvPicPr>
                        <a:picLocks noChangeAspect="1" noChangeArrowheads="1"/>
                      </pic:cNvPicPr>
                    </pic:nvPicPr>
                    <pic:blipFill>
                      <a:blip r:embed="rId8"/>
                      <a:srcRect/>
                      <a:stretch>
                        <a:fillRect/>
                      </a:stretch>
                    </pic:blipFill>
                    <pic:spPr bwMode="auto">
                      <a:xfrm>
                        <a:off x="0" y="0"/>
                        <a:ext cx="28575" cy="28575"/>
                      </a:xfrm>
                      <a:prstGeom prst="rect">
                        <a:avLst/>
                      </a:prstGeom>
                      <a:noFill/>
                      <a:ln w="9525">
                        <a:noFill/>
                        <a:miter lim="800000"/>
                        <a:headEnd/>
                        <a:tailEnd/>
                      </a:ln>
                    </pic:spPr>
                  </pic:pic>
                </a:graphicData>
              </a:graphic>
            </wp:inline>
          </w:drawing>
        </w:r>
      </w:hyperlink>
      <w:r w:rsidRPr="003411BD">
        <w:t xml:space="preserve"> (2007): 176-200. </w:t>
      </w:r>
    </w:p>
    <w:p w:rsidR="003411BD" w:rsidRPr="003411BD" w:rsidRDefault="003411BD" w:rsidP="003411BD">
      <w:r w:rsidRPr="003411BD">
        <w:br/>
        <w:t xml:space="preserve">Introduction </w:t>
      </w:r>
    </w:p>
    <w:p w:rsidR="003411BD" w:rsidRPr="003411BD" w:rsidRDefault="003411BD" w:rsidP="003411BD">
      <w:r w:rsidRPr="003411BD">
        <w:t xml:space="preserve">An innovation constitutes a new or innovative idea which is applied to initiating or enhancing a product, service or process ([40] Hivner et al. , 2003). Diffusion is the process by which an innovation is communicated through specific channels over time among members of a social system that are linked via networks ([76] Rogers, 1995). Thus, innovation diffusion involves the capacity to spread the production and the use of an innovation in practice through the social network structure of a group of stakeholders ([57] Muzzi and Kautz, 2004; [22] Dosi, 1988; [25] Enos, 1962). Innovation diffusion is a central issue in high-technology sectors of the economy, such as information technology and telecommunications, which continue to experience rapid technological changes and continuous innovation ([52] Liu et al. , 2005). </w:t>
      </w:r>
    </w:p>
    <w:p w:rsidR="003411BD" w:rsidRPr="003411BD" w:rsidRDefault="003411BD" w:rsidP="003411BD">
      <w:r w:rsidRPr="003411BD">
        <w:t xml:space="preserve">Within the literature, some attention has been focused on the role of various institutions and social networks in the diffusion of information technology-related innovations. For example, [47] King et al. (1994) recognise the importance of institutional intervention in the process of innovation diffusion. In particular, they highlight the importance of governmental or quasi-governmental institutions as "the most powerful institutional forces affecting innovation" (p. 162) in the form of deliberate decisions to intervene or to refrain from intervening. However, the appropriate and specific nature of the roles of these institutions has yet to be determined ([47] King et al. , 1994). </w:t>
      </w:r>
    </w:p>
    <w:p w:rsidR="003411BD" w:rsidRPr="003411BD" w:rsidRDefault="003411BD" w:rsidP="003411BD">
      <w:r w:rsidRPr="003411BD">
        <w:t xml:space="preserve">Other research has considered the relevance of knowledge-sharing in institutional networks. For example, the knowledge-sharing role of professional associations and technology suppliers in diffusion of production and inventory control systems and computer-aided production management systems was elaborated by [88] Swan and Newell (1995) and [87] Swan et al. (2000). [16] Damsgaard and Lyytinen (2001) examined the knowledge building, deployment and standard-setting roles of intermediating institutions, including professional, trade and industry associations, in the diffusion of electronic data interchange. They analysed institutional measures in terms of the mode of institutional involvement (e.g. influence versus regulation) and the type of diffusion force (e.g. supply push versus demand pull). Similarly, the roles of external parties, such as trade associations, standard-setting bodies and consultancies, in the diffusion of efficient customer response systems are examined by [50] Kurnia and Dare (2005). Their study concludes that external parties can minimise adoption and diffusion barriers by assuming advisory, research, educational, promotional, and facilitating roles. </w:t>
      </w:r>
    </w:p>
    <w:p w:rsidR="003411BD" w:rsidRPr="003411BD" w:rsidRDefault="003411BD" w:rsidP="003411BD">
      <w:r w:rsidRPr="003411BD">
        <w:lastRenderedPageBreak/>
        <w:t xml:space="preserve">Further studies have examined the diffusion of electronic commerce technologies, and the elimination of the digital divide, using the notion of stakeholders in electronic commerce policy-making by government agencies at a national level ([64] Papazafeiropoulou et al. , 2001; [63] Papazafeiropoulou and Pouloudi, 2002; [69] Pouloudi, 1999; [62] Papazafeiropoulou, 2004). [58] Nambisan and Agarwal (1998) combined stakeholder and social network theories to analyse the diffusion of the National Information Infrastructure in Singapore. However, efforts to introduce stakeholder theory and social network theory into the study of the diffusion of networked information technologies have not been systematic ([62] Papazafeiropoulou, 2004). The aim of this paper is to contribute to this literature by applying stakeholder and social network theories to the analysis of the roles of institutional stakeholders in the diffusion of eXtensible Business Reporting Language (XBRL) in Australia ([30] Freeman, 1984; [78] Rowley, 1997; [20] Donaldson and Preston, 1995). </w:t>
      </w:r>
    </w:p>
    <w:p w:rsidR="003411BD" w:rsidRPr="003411BD" w:rsidRDefault="003411BD" w:rsidP="003411BD">
      <w:r w:rsidRPr="003411BD">
        <w:t xml:space="preserve">The use of XBRL, an XML derivative, for business reporting has been heralded as a source of fundamental change in the business information supply chain. XBRL has the potential to affect interorganizational electronic business interactions by considerably enhancing information and communication flows and increasing the creation and sharing of knowledge among organizations. </w:t>
      </w:r>
    </w:p>
    <w:p w:rsidR="003411BD" w:rsidRPr="003411BD" w:rsidRDefault="003411BD" w:rsidP="003411BD">
      <w:r w:rsidRPr="003411BD">
        <w:t xml:space="preserve">The diffusion of XBRL among organizations is a social phenomenon ([55] Misa, 1992; [57] Muzzi and Kautz, 2004). Examining XBRL diffusion through the lens of stakeholder theory is important because it helps identify those institutional stakeholders that might be in more or less favourable adoption positions, for instance with respect to access to technology and expertise ([64] Papazafeiropoulou et al. , 2001; [80] Ruohonen, 1995). Knowledge and systematic analysis of the stakeholders, their differences and inequalities, helps depict a holistic view of the diffusion context. Further, such knowledge helps in understanding the potential influences that different stakeholders can have on the diffusion process. These factors can provide valuable input into the design of proactive and sensitive diffusion strategies as well as in the identification of the rights and responsibilities of organizational stakeholders ([20] Donaldson and Preston, 1995; [30] Freeman, 1984; [64] Papazafeiropoulou et al. , 2001; [63] Papazafeiropoulou and Pouloudi, 2002). </w:t>
      </w:r>
    </w:p>
    <w:p w:rsidR="003411BD" w:rsidRPr="003411BD" w:rsidRDefault="003411BD" w:rsidP="003411BD">
      <w:r w:rsidRPr="003411BD">
        <w:t xml:space="preserve">However, no matter how comprehensively performed, simple examination of individual stakeholders is insufficient. [78] Rowley (1997) argues that organizations "do not simply respond to each stakeholder individually; they respond rather to the interaction of multiple influences from the entire stakeholder set" (p. 890). It follows that the structure of the social networks and the nature of the pre-existing patterns of relationships constitute the basis of multiple and interdependent interactions among the stakeholders ([78] Rowley, 1997; [57] Muzzi and Kautz, 2004). Understanding these structures and relationships helps anticipate possible conflicts among the collaborating stakeholders, which constitute a "definite source" of failures in the implementation of networked systems ([38] Heikkilä et al. , 2004; [14] Clemons et al. , 1995; [54] McAdam, 2005). In addition, these networks are likely to be segmented by boundaries which can form at status, cognitive, cultural, organizational, industry, national, regional and international levels ([1] Abrahamson and Rosenkopf, 1997; [57] Muzzi and Kautz, 2004). Together, these factors are likely to have an impact on the resistance that individual stakeholders exhibit in adopting innovations in their network context. </w:t>
      </w:r>
    </w:p>
    <w:p w:rsidR="003411BD" w:rsidRPr="003411BD" w:rsidRDefault="003411BD" w:rsidP="003411BD">
      <w:r w:rsidRPr="003411BD">
        <w:lastRenderedPageBreak/>
        <w:t xml:space="preserve">As a result, using stakeholder theory in conjunction with social networks theory is important because it helps our understanding of the structure of the networks and how the information related to an innovation, including costs, returns, risk, efficiency, and legitimacy, is channelled in the social network through to different potential adopters ([1] Abrahamson and Rosenkopf, 1997). The nature of the ties constructed by a focal organizational stakeholder with other significant stakeholders determines the extent to which the focal stakeholder will adopt and use a particular innovation ([58] Nambisan and Agarwal, 1998). These factors are inherent to the innovation implementation more than to the innovation itself. Increasingly, implementation failure, rather than innovation failure, is attributed to be the cause of organizations' inability to accomplish intended benefits from the adopted innovations ([54] McAdam, 2005; [48] Klein and Sorra, 1996). Further, neither stakeholder theory nor social networks theory make any assumptions concerning the context of innovation diffusion. It follows that these theories can be used to examine different network sizes in different levels of granularity ([35] Hanseth and Monteiro, 1997). </w:t>
      </w:r>
    </w:p>
    <w:p w:rsidR="003411BD" w:rsidRPr="003411BD" w:rsidRDefault="003411BD" w:rsidP="003411BD">
      <w:r w:rsidRPr="003411BD">
        <w:t xml:space="preserve">The rationale of technologies, such as XBRL, is to provide social benefits which can be derived from positive network externalities associated with mass adoption ([63] Papazafeiropoulou and Pouloudi, 2002; [53] Markus, 1990; [45] Katz and Shapiro, 1986). Such technologies constitute "network innovations" ([47] King et al. , 1994, p. 160) that diffuse through social networks linking individuals and/or organizations. The diffusion of network innovations, such as XBRL, at the environmental level, which includes institutional and regulatory entities, is highly complex and has been relatively neglected in the literature ([62] Papazafeiropoulou, 2004; [61] Nilsson et al. , 2004, [51] Kurnia and Johnston, 2000; [38] Heikkilä et al. , 2004). </w:t>
      </w:r>
    </w:p>
    <w:p w:rsidR="003411BD" w:rsidRPr="003411BD" w:rsidRDefault="003411BD" w:rsidP="003411BD">
      <w:r w:rsidRPr="003411BD">
        <w:t xml:space="preserve">This paper seeks to overcome this shortcoming using XBRL diffusion in Australia as an illustrative example. The extent of XBRL diffusion in Australia has been limited, and we explain why this situation has occurred through an analysis of the role that institutional stakeholders and their networks play in the diffusion of networked innovations. The next section briefly describes XBRL and its features. The stakeholder and social network theories used in the analysis are then introduced. A short outline of the method used in the study follows. Subsequent sections discuss descriptive, salience and instrumental and normative aspects of the main XBRL stakeholders in Australia, before some concluding comments are made. </w:t>
      </w:r>
    </w:p>
    <w:p w:rsidR="003411BD" w:rsidRPr="003411BD" w:rsidRDefault="003411BD" w:rsidP="003411BD">
      <w:r w:rsidRPr="003411BD">
        <w:t xml:space="preserve">An overview of XBRL </w:t>
      </w:r>
    </w:p>
    <w:p w:rsidR="003411BD" w:rsidRPr="003411BD" w:rsidRDefault="003411BD" w:rsidP="003411BD">
      <w:r w:rsidRPr="003411BD">
        <w:t xml:space="preserve">XBRL is an Internet-based, non-proprietary open standard which is used for the preparation, exchange and publishing of financial information among disparate computer platforms, software applications, and accounting standards ([34] Hannon, 2003; [36] Hasegawa et al. , 2003; [44] Jones and Willis, 2003; [99] Willis et al. , 2003). XBRL eliminates time-consuming, labour-intensive and error-prone practices which are currently used for generating and exchanging financial reports ([19] DiPiazza and Eccles, 2002). In addition, XBRL facilitates continuous auditing, thereby maximizing the transparency with which financial information is reported while also facilitating the enforcement of corporate accountability legislation ([74] Rezaee et al. , 2001; [77] Roohani, 2003). In general, XBRL is expected to considerably enhance the efficiency of the entire information supply chain ([8], [9] Boyd, 2004a, b). </w:t>
      </w:r>
    </w:p>
    <w:p w:rsidR="003411BD" w:rsidRPr="003411BD" w:rsidRDefault="003411BD" w:rsidP="003411BD">
      <w:r w:rsidRPr="003411BD">
        <w:t xml:space="preserve">XBRL is a derivative of XML (eXtensible Markup Language) and takes advantage of the 'tag' notion, which associates contextual information with data points in financial statements. When formatted </w:t>
      </w:r>
      <w:r w:rsidRPr="003411BD">
        <w:lastRenderedPageBreak/>
        <w:t xml:space="preserve">with tags, financial statements are called XBRL instance documents. The tags themselves are based on accounting standards and regulatory reporting regimes and are defined in XBRL taxonomies ([66] Pinsker, 2003; [75] Richards and Tibbits, 2002). These are developed for specific countries, accounting jurisdictions, and even specific organizations ([18] Deshmukh, 2004; [93] Wallace, 2001). Sometimes, multiple instance documents produced using different taxonomies need to be processed by the same software tool. Capabilities of this nature are enabled by the XBRL specification, which constitutes the technology platform determining how XBRL works. This specification is central to the operation of XBRL ([99] Willis et al. , 2003). </w:t>
      </w:r>
    </w:p>
    <w:p w:rsidR="003411BD" w:rsidRPr="003411BD" w:rsidRDefault="003411BD" w:rsidP="003411BD">
      <w:r w:rsidRPr="003411BD">
        <w:t xml:space="preserve">With XBRL, there are several different potential innovation adopters. These include individual organizations, accounting firms, investors and analysts, stock exchanges and regulatory authorities ([5] Bergeron, 2003; [19] DiPiazza and Eccles, 2002). These adopters are different in the way they deal with financial reports, and therefore, in the way they potentially benefit from XBRL. Generally, some of these adopters produce financial reports, while others consume them. Producers and consumers are connected through mutual information flow requirements. </w:t>
      </w:r>
    </w:p>
    <w:p w:rsidR="003411BD" w:rsidRPr="003411BD" w:rsidRDefault="003411BD" w:rsidP="003411BD">
      <w:r w:rsidRPr="003411BD">
        <w:t xml:space="preserve">Theoretical background: stakeholder and social network theories </w:t>
      </w:r>
    </w:p>
    <w:p w:rsidR="003411BD" w:rsidRPr="003411BD" w:rsidRDefault="003411BD" w:rsidP="003411BD">
      <w:r w:rsidRPr="003411BD">
        <w:t xml:space="preserve">Stakeholder theory </w:t>
      </w:r>
    </w:p>
    <w:p w:rsidR="003411BD" w:rsidRPr="003411BD" w:rsidRDefault="003411BD" w:rsidP="003411BD">
      <w:r w:rsidRPr="003411BD">
        <w:t xml:space="preserve">Since [30] Freeman's (1984) introduction of stakeholder theory, several researchers have used this theory to examine the responses of organizations to internal and external influences ([56] Mitchell et al. , 1997; [20] Donaldson and Preston, 1995). This has further validated the theory and added greater theoretical rigour to it. We have adapted [30] Freeman's (1984) original definition[1] of stakeholders to suit our research context. We view a stakeholder as any individual or group of individuals who can or is affected by XBRL. A widely accepted classification framework proposed by [20] Donaldson and Preston (1995) defines three key aspects of stakeholder theory: descriptive, instrumental and normative. </w:t>
      </w:r>
    </w:p>
    <w:p w:rsidR="003411BD" w:rsidRPr="003411BD" w:rsidRDefault="003411BD" w:rsidP="003411BD">
      <w:r w:rsidRPr="003411BD">
        <w:t xml:space="preserve">With the descriptive aspect, "the theory is used to describe, and sometimes to explain, specific corporate characteristics and behaviours" ([20] Donaldson and Preston, 1995, p. 70), such as the nature of the organization, or the managers' management philosophies and thinking. The descriptive aspect constitutes the implicit basis for organizational practices ([20] Donaldson and Preston, 1995). This is important because it helps acknowledge the difference between organizations that have a share in an innovation (e.g. innovation creators and developers) and those that have a stake or legitimate interests in its application, such as potential organizational adopters whose success is likely to be affected by the innovation. Therefore, with a descriptive basis, innovation communities or constituencies are defined more clearly. However, descriptive considerations are inadequate and of limited significance, and if used alone, constitute potential hazards for the validity of the stakeholder theory. Analysis, explanation, and evaluation of stakeholder motivations are also required. These are accomplished by the instrumental and normative aspects. </w:t>
      </w:r>
    </w:p>
    <w:p w:rsidR="003411BD" w:rsidRPr="003411BD" w:rsidRDefault="003411BD" w:rsidP="003411BD">
      <w:r w:rsidRPr="003411BD">
        <w:t xml:space="preserve">With the instrumental aspect, the theory "is used to identify the connections, between stakeholder management and the achievement of traditional corporate objectives (e.g. profitability, growth)" ([20] Donaldson and Preston, 1995, p. 71). In the innovation diffusion context, the instrumental aspect represents managing the involvement of multiple stakeholder constituencies into setting and implementing intervention strategies which aim at accelerating innovation diffusion while </w:t>
      </w:r>
      <w:r w:rsidRPr="003411BD">
        <w:lastRenderedPageBreak/>
        <w:t xml:space="preserve">addressing stakeholder objectives. The instrumental dimension is important because stakeholders are drawn into innovation diffusion efforts to adopt innovations in order to achieve their organizational tasks as effectively and as efficiently as possible, which is directly related to the achievement of traditional corporate objectives ([20] Donaldson and Preston, 1995). Therefore, there is an instrumental connection between stakeholder theory and organizational performance objectives. </w:t>
      </w:r>
    </w:p>
    <w:p w:rsidR="003411BD" w:rsidRPr="003411BD" w:rsidRDefault="003411BD" w:rsidP="003411BD">
      <w:r w:rsidRPr="003411BD">
        <w:t xml:space="preserve">The descriptive and the instrumental aspects complement each other. For example stakeholder identification and analysis (i.e. the descriptive aspect) could be used to identify potential strategic coalitions in innovation diffusion efforts. Combined with intervention diffusion strategies (i.e. the instrumental aspect), potential stakeholder reactions can be analysed ([24] Eden and van der Heijden, 1993; [23] Eden, 1996). Although complementary to each other, descriptive and instrumental aspects do not fully justify stakeholder theory. According to [20] Donaldson and Preston (1995), due to lack of evidence and ethical and moral considerations, these aspects should be complemented further with a normative aspect. </w:t>
      </w:r>
    </w:p>
    <w:p w:rsidR="003411BD" w:rsidRPr="003411BD" w:rsidRDefault="003411BD" w:rsidP="003411BD">
      <w:r w:rsidRPr="003411BD">
        <w:t xml:space="preserve">The normative aspect constitutes the core of the stakeholder theory and "is used to interpret the function of the corporation, including the identification of moral or philosophical guidelines for the operation and management of corporations" ([20] Donaldson and Preston, 1995, p. 71). In innovation diffusion, the central ideas of the normative aspect are: 1) stakeholders have legitimate interests in an innovation, and 2) the interests of all stakeholders in the innovation have an intrinsic value. Specifically, this aspect represents the power to satisfy the moral rights of individual organizational stakeholders and that each stakeholder is an end in itself, rather than a means to an end ([26] Evan and Freeman, 1988). With the normative aspect, social performance and responsibility take the utmost priority and the innovation should benefit society as a whole as opposed to specific stakeholder groups ([79] Ruf et al. , 2001). As a result, in this view all innovation stakeholders are bestowed with societal legitimacy. </w:t>
      </w:r>
    </w:p>
    <w:p w:rsidR="003411BD" w:rsidRPr="003411BD" w:rsidRDefault="003411BD" w:rsidP="003411BD">
      <w:r w:rsidRPr="003411BD">
        <w:t xml:space="preserve">There is little evidence of systematic research of the normative aspect of stakeholder theory with respect to information technologies ([69] Pouloudi, 1999; [84] Smith and Hasnas, 1999; [62] Papazafeiropoulou, 2004). Scant examples include the work of [104] Burton and Dunn (1996) who, when considering the impact of computing systems, introduce normative dimensions by stating that these systems should "minimize harm to others" (p. 361). Further, normative examples in the context of stakeholder relations are concerned with ethical decisions concerning the privacy of medical information ([72] Rackley et al. , 1996; [43] Introna and Pouloudi, 1998). </w:t>
      </w:r>
    </w:p>
    <w:p w:rsidR="003411BD" w:rsidRPr="003411BD" w:rsidRDefault="003411BD" w:rsidP="003411BD">
      <w:r w:rsidRPr="003411BD">
        <w:t xml:space="preserve">The proponents of the normative aspect argue that examining this aspect from the stakeholder prism is particularly important in the case of interorganizational systems. This is because these systems usually have a broader scope and involve complex interaction webs where data can flow through new and unprecedented paths and affect stakeholders that had never previously been considered ([84] Smith and Hasnas, 1999). As a result, interorganizational systems have broader ethical and normative implications ([69] Pouloudi, 1999). The use of these systems is still associated with ethical and normative ambiguity ([2] Badaracco and Useem, 1997). Further, recent research that has shifted from technical to interorganizational issues ([92] Vidgen and McMaster, 1996; [95] Walsham, 1997) suggests that social and ethical issues emerge as significantly important ([69] Pouloudi, 1999). </w:t>
      </w:r>
    </w:p>
    <w:p w:rsidR="003411BD" w:rsidRPr="003411BD" w:rsidRDefault="003411BD" w:rsidP="003411BD">
      <w:r w:rsidRPr="003411BD">
        <w:lastRenderedPageBreak/>
        <w:t xml:space="preserve">Social network theory </w:t>
      </w:r>
    </w:p>
    <w:p w:rsidR="003411BD" w:rsidRPr="003411BD" w:rsidRDefault="003411BD" w:rsidP="003411BD">
      <w:r w:rsidRPr="003411BD">
        <w:t xml:space="preserve">With network innovations, institutional networks have to be established to ensure that innovations are diffused successfully in the community of the adopters. Successful diffusion may require specific institutional actors, such as opinion leaders and change agents, to initiate and carry out interdisciplinary undertakings involving different stakeholder communities. The interaction of these should be disciplined both temporally and in terms of interface constraints ([85] Sørensen and Levold, 1992). The array of resulting outcomes, which is not necessarily shared by the participating stakeholders, would then be integrated into commonly accepted scenarios and solutions aiming at accomplishing diffusion objectives ([54] McAdam, 2005). Further, this integration, which is manifested in terms of stakeholder relations, is expected to be highly complex and intricate as it brings together perspectives from various domains, including technological, sociological, and economic domains. However, because individual stakeholder outcomes would not necessarily be convergent with the overall diffusion objective, iterative modifications and changes may be required if the integrated outcomes are skewed from overall diffusion objectives. As the complexity and inter-organizational nature of network innovations increases, the network relationships among interacting stakeholders, their power dependencies and mutual relationships, knowledge and skill transfer are expected to also increase and become determinant factors in shaping the diffusion trajectory of innovations ([98] Webster, 1995; [49] Kumar and van Dissel, 1996; [15] Damsgaard and Lyytinen, 1998). </w:t>
      </w:r>
    </w:p>
    <w:p w:rsidR="003411BD" w:rsidRPr="003411BD" w:rsidRDefault="003411BD" w:rsidP="003411BD">
      <w:r w:rsidRPr="003411BD">
        <w:t xml:space="preserve">There are two models by way of which network relationships impact innovation diffusion, namely, the relational and the structural diffusion models ([90] Valente, 1995). With the relational model, the adoption behaviour of the focal organizational stakeholder is analysed in the context of its relationship or direct ties with influential opinion leaders or change agents. In contrast, structural models focus on all relationships or relationship patterns that the focal organizational stakeholder may have in its network, including its position within it. For instance, a stakeholder may adopt an innovation because a highly central stakeholder has adopted it, although the two may have no direct relationship with each other ([52] Liu et al. , 2005). In this paper, we adopt to the structural model of innovation adoption. </w:t>
      </w:r>
    </w:p>
    <w:p w:rsidR="003411BD" w:rsidRPr="003411BD" w:rsidRDefault="003411BD" w:rsidP="003411BD">
      <w:r w:rsidRPr="003411BD">
        <w:t xml:space="preserve">Structural network theorists argue that there are two aspects that determine the behaviour and the propensity of a stakeholder towards adopting technological innovations: network density and centrality ([78] Rowley, 1997; [58] Nambisan and Agarwal, 1998). Network density characterises the network as a whole. It measures its interconnectedness in terms of "the relative number of ties in the network that link actors together" ([78] Rowley, 1997, p. 896). As interconnections among network actors become more dense, innovation adoption expectations among these actors are likely to increase, and consequently, innovation diffusion across the network is likely to be facilitated ([31] Galaskiewicz and Wasserman, 1989). Centrality refers to an organization's formal power or prominence in the network relative to others ([10] Burkhardt and Brass, 1990). If an organization is in a central position in its network it has many connections with other stakeholders or it occupies a significant strategic position in the overall structure of the network. As a consequence, a central stakeholder controls either the resources or the information or it possesses a status which makes it capable of influencing the adoption behaviours of other members in the network ([52] Liu et al. , 2005). There is extensive empirical support for the idea that centrality is positively related to innovation potential and innovativeness ([76] Rogers, 1995; [90] Valente, 1995; [42] Ibarra, 1993). </w:t>
      </w:r>
    </w:p>
    <w:p w:rsidR="003411BD" w:rsidRPr="003411BD" w:rsidRDefault="003411BD" w:rsidP="003411BD">
      <w:r w:rsidRPr="003411BD">
        <w:lastRenderedPageBreak/>
        <w:t xml:space="preserve">Closely associated with centrality is also the notion of an organizational stakeholder's salience in its network relative to others. [56] Mitchell et al. (1997) argue that stakeholder salience is characterised by three attributes, namely, power, legitimacy and urgency ([81] Salancik and Pfeffer, 1974; [86] Suchman, 1995). Power constitutes the ability of those who possess it to force stakeholders or influence their behaviour to bring about desired outcomes. Power is similar to the notion of centrality discussed by [78] Rowley (1997). In a network, power is important because it identifies the nature of the mutuality of power-dependent relationships among stakeholders. Legitimacy constitutes the perception that the actions of an organization are "desirable, proper, or appropriate within some socially constructed system of norms, values, beliefs, and definitions" ([86] Suchman, 1995, p. 574; [54] McAdam, 2005). The social system is comprised of multiple levels of analysis including, individual, organizational and societal ([101] Wood, 1991) suggesting that legitimacy constitutes a negotiated normative dimension of the desirable social good. The distinction between power and legitimacy is important because legitimate stakeholders are not necessarily powerful and powerful stakeholders are not necessarily legitimate ([56] Mitchell et al. , 1997). Urgency is the degree to which stakeholder claims are critical, and therefore, require immediate attention. Clearly, the two urgency dimensions, time sensitivity and criticality, coexist as necessary and sufficient conditions for each other for an institutional stakeholder to have urgent claims over another. Urgency is important because it captures the dynamics of the interactions among stakeholders. </w:t>
      </w:r>
    </w:p>
    <w:p w:rsidR="003411BD" w:rsidRPr="003411BD" w:rsidRDefault="003411BD" w:rsidP="003411BD">
      <w:r w:rsidRPr="003411BD">
        <w:t xml:space="preserve">In the paper, we focus on stakeholder salience as a key characteristic of the stakeholder network. Organizations that possess one or more or different combinations of the attributes discussed above have different levels of salience which determines their role in the network, and as a consequence, their influence in the diffusion of innovations ([56] Mitchell et al. , 1997). In contrast, institutional stakeholders with neither power, legitimacy, nor urgency are considered to possess no salience. As such, they are non-stakeholders and unable to influence the diffusion of an innovation. </w:t>
      </w:r>
    </w:p>
    <w:p w:rsidR="003411BD" w:rsidRPr="003411BD" w:rsidRDefault="003411BD" w:rsidP="003411BD">
      <w:r w:rsidRPr="003411BD">
        <w:t xml:space="preserve">Low salience stakeholders possess only one attribute and are called latent stakeholders. These stakeholders are not likely to have any effective impact in the diffusion of an innovation. For instance, stakeholders who possess power (known as dormant stakeholders) might not be able to exercise it without legitimacy or urgent claims to an innovation. Likewise, stakeholders possessing the attribute of legitimacy (known as discretionary stakeholders) do not have the power or urgency foundations to apply serious pressure in innovation diffusion efforts. Latent stakeholders may acquire a second salience attribute to become expectant stakeholders, and because of this, their level of engagement in influencing innovation diffusion in the network may increase to a moderate level. For example, stakeholders who are both powerful and legitimate (known as dominant stakeholders) are likely to have an assured influence in innovation diffusion, but due to lack of urgency, such influence is not likely to be immediate, resulting in diffusion delays. Finally, highly salient stakeholders possess the combination of the three attributes or all possible dynamic relationships among them and are referred to as definitive stakeholders. Definitive stakeholders are most likely to have the strongest ability to positively or negatively affect innovation diffusion ([56] Mitchell et al. , 1997). </w:t>
      </w:r>
    </w:p>
    <w:p w:rsidR="003411BD" w:rsidRPr="003411BD" w:rsidRDefault="003411BD" w:rsidP="003411BD">
      <w:r w:rsidRPr="003411BD">
        <w:t xml:space="preserve">In our study, the examination of stakeholder salience in the context of networks is important for several reasons. First, it emphasizes the role of multiple stakeholder relationships and it highlights their dynamism in the network as stakeholders attain and relinquish various attributes to become more or less salient. This, in turn, affects their level of impact in innovation diffusion. Second, it can </w:t>
      </w:r>
      <w:r w:rsidRPr="003411BD">
        <w:lastRenderedPageBreak/>
        <w:t xml:space="preserve">be used as a guideline by proactive and reactive stakeholders to assess their level of salience in their network and subsequently design appropriate strategies to enhance salience by gaining missing attributes. Third, employing the legitimacy attribute emphasises the moral implications of the stakeholder involvement in their network, which is consistent with the normative aspect of the stakeholder theory. Given the paucity of normative considerations in innovation diffusion research, the inclusion of legitimacy adds to the existing knowledge ([62] Papazafeiropoulou, 2004; [69] Pouloudi, 1999). </w:t>
      </w:r>
    </w:p>
    <w:p w:rsidR="003411BD" w:rsidRPr="003411BD" w:rsidRDefault="003411BD" w:rsidP="003411BD">
      <w:r w:rsidRPr="003411BD">
        <w:t xml:space="preserve">Method </w:t>
      </w:r>
    </w:p>
    <w:p w:rsidR="003411BD" w:rsidRPr="003411BD" w:rsidRDefault="003411BD" w:rsidP="003411BD">
      <w:r w:rsidRPr="003411BD">
        <w:t xml:space="preserve">The research reported in this paper is exploratory in nature and it utilizes qualitative evidence. We are concerned with the extent to which interpretations of XBRL adoption drivers and inhibitors are sensible in the Australian context and influence its diffusion ([59] Neuman, 2000). Given the uncertain and intricate nature of innovations like XBRL, we believe that their adoption can be better understood by examining the interpretations of relevant members of the XBRL community in Australia ([100] Wolfe, 1994; [91] Van de Ven and Rogers, 1988, [7] Boonstra, 2003). Finally, as XBRL is still in its infancy in Australia, it was expected that the reliability of quantitative results would be adversely affected by low statistical power effects ([4] Baroudi and Orlikowski, 1989). </w:t>
      </w:r>
    </w:p>
    <w:p w:rsidR="003411BD" w:rsidRPr="003411BD" w:rsidRDefault="003411BD" w:rsidP="003411BD">
      <w:r w:rsidRPr="003411BD">
        <w:t xml:space="preserve">Qualitative empirical data were collected via semi-structured face-to-face interviews ([82] Shanks et al. , 1993), which were used because of their flexibility. Interviews provide rich insights for exploring, identifying, and understanding viewpoints, attitudes, and influences ([37] Healy and Perry, 2000). Moreover, they also allow greater control over the interview situation (e.g. sequencing of questions) while providing the opportunity for making clarifications and collecting supplementary information ([29] Frankfort-Nachmias and Nachmias, 1996; [94] Walsham, 1995; [33] Hannabuss, 1996). </w:t>
      </w:r>
    </w:p>
    <w:p w:rsidR="003411BD" w:rsidRPr="003411BD" w:rsidRDefault="003411BD" w:rsidP="003411BD">
      <w:r w:rsidRPr="003411BD">
        <w:t xml:space="preserve">All 27 organizational members of XBRL Australia Ltd. were approached via the XBRL-AU user group and by phone calls. Eleven key informants from these organizations agreed to be interviewed. They were considered experts within their organizations on the XBRL-related topics which were of interest to us. To maintain anonymity, only the categories of the organizations have been identified in Table I [Figure omitted. See Article Image.]. </w:t>
      </w:r>
    </w:p>
    <w:p w:rsidR="003411BD" w:rsidRPr="003411BD" w:rsidRDefault="003411BD" w:rsidP="003411BD">
      <w:r w:rsidRPr="003411BD">
        <w:t xml:space="preserve">A one page document summarizing the study objectives and the open-ended questions in the form of a standard topic list were provided to all informants a week prior to the interviews. The topics covered included XBRL stakeholders and their roles, motives, and salience; adoption drivers and inhibitors; lessons and experiences with XBRL implementations; and other complementary issues such as XBRL and tertiary education, and future directions. Providing informants with this information beforehand was important as it was expected to allow them maximum freedom in expressing their viewpoints while also giving them time to prepare for the interview ([28] Flick, 2002). </w:t>
      </w:r>
    </w:p>
    <w:p w:rsidR="003411BD" w:rsidRPr="003411BD" w:rsidRDefault="003411BD" w:rsidP="003411BD">
      <w:r w:rsidRPr="003411BD">
        <w:t xml:space="preserve">Interview durations ranged from 35 to 95 minutes. In all, 11.5 hours of interviews were recorded and transcribed. The contents of the interview transcripts were analyzed thematically. Codes were developed which provided the basis for cross-case analysis and helped identify and analyze emerging patterns of themes ([11] Carson et al. , 2001; [65] Patton, 1990; [73] Rao and Perry, 2004). </w:t>
      </w:r>
    </w:p>
    <w:p w:rsidR="003411BD" w:rsidRPr="003411BD" w:rsidRDefault="003411BD" w:rsidP="003411BD">
      <w:r w:rsidRPr="003411BD">
        <w:lastRenderedPageBreak/>
        <w:t xml:space="preserve">We believe that construct validity has been adequately addressed. First, multiple sources of information were used ([103] Yin, 1989). While interviews constitute the primary source of information, some of the informants provided supporting secondary data which is comprised of archival white papers, professional journal articles and press releases, software, and web resources. In addition, the investigators themselves identified additional supporting documentation including materials located at the websites of the informants' organizations and industry publications. The secondary data were used for verifying and triangulating the findings of the interviews. Second, as shown in Table I [Figure omitted. See Article Image.], the informants belong to different categories of the XBRL community, and therefore, provided different perspectives. Considering different perspectives constitutes an important type of triangulation of qualitative information sources by preventing biased opinions ([65] Patton, 1990; [13] Choudhrie et al. , 2003). Third, two investigators conducted ten of the eleven interviews, and both analyzed all eleven transcripts ([65] Patton, 1990; [17] Denzin, 1989). This kind of triangulation reduces the potential bias which is commonly cited as a limitation of interviews ([29] Frankfort-Nachmias and Nachmias, 1996; [103] Yin, 1989). Finally, the chain of evidence, tracing the conclusions to the interview summary and to the interview transcripts was also maintained. According to [103] Yin (1989), these enhance the construct validity as well as the reliability of the research, thereby boosting its overall quality. </w:t>
      </w:r>
    </w:p>
    <w:p w:rsidR="003411BD" w:rsidRPr="003411BD" w:rsidRDefault="003411BD" w:rsidP="003411BD">
      <w:r w:rsidRPr="003411BD">
        <w:t xml:space="preserve">Clearly, the study reported in this paper is based on the Australian context, and therefore, we accept its external validity cannot be ensured. Consequently, our findings may not be readily generalizable beyond this study ([82] Shanks et al. , 1993). To ensure generalizability, further research is required, both in Australia and in other contexts. </w:t>
      </w:r>
    </w:p>
    <w:p w:rsidR="003411BD" w:rsidRPr="003411BD" w:rsidRDefault="003411BD" w:rsidP="003411BD">
      <w:r w:rsidRPr="003411BD">
        <w:t xml:space="preserve">Descriptive aspects: current XBRL stakeholders </w:t>
      </w:r>
    </w:p>
    <w:p w:rsidR="003411BD" w:rsidRPr="003411BD" w:rsidRDefault="003411BD" w:rsidP="003411BD">
      <w:r w:rsidRPr="003411BD">
        <w:t xml:space="preserve">XBRL is expected to create benefits to all stakeholders of the business information supply chain. These participants and the nature of their involvement and benefits are discussed below. </w:t>
      </w:r>
    </w:p>
    <w:p w:rsidR="003411BD" w:rsidRPr="003411BD" w:rsidRDefault="003411BD" w:rsidP="003411BD">
      <w:r w:rsidRPr="003411BD">
        <w:t xml:space="preserve">Large accounting and auditing firms </w:t>
      </w:r>
    </w:p>
    <w:p w:rsidR="003411BD" w:rsidRPr="003411BD" w:rsidRDefault="003411BD" w:rsidP="003411BD">
      <w:r w:rsidRPr="003411BD">
        <w:t xml:space="preserve">XBRL creates a computing infrastructure that enables accountants and auditors to conduct consultancy and value-added services for their clients in addition to basic reporting. This positions them as business advisors. Further, XBRL helps these parties to interact more efficiently with other entities on behalf of their clients while increasing accountability and transparency ([3] Bale, 2004; [66] Pinsker, 2003; [60] Nicolaou et al. , 2003). Since XBRL eliminates the manual transfer of information, there will be fewer errors of omission and commission, resulting in higher quality services and reports. In addition, the computing infrastructure created by XBRL will considerably facilitate custom reporting, which is otherwise time consuming and resource intensive ([5] Bergeron, 2003). These benefits translate into increased revenue for accountants and auditors and improved value for their clients. Many informants maintained that large accounting and auditing firms who are successful in adopting XBRL can act as role models to inspire their smaller counterparts in their adoption efforts. This was seen to have the potential to generate 'bandwagon' effects to accelerate XBRL diffusion. </w:t>
      </w:r>
    </w:p>
    <w:p w:rsidR="003411BD" w:rsidRPr="003411BD" w:rsidRDefault="003411BD" w:rsidP="003411BD">
      <w:r w:rsidRPr="003411BD">
        <w:t xml:space="preserve">Accounting bodies </w:t>
      </w:r>
    </w:p>
    <w:p w:rsidR="003411BD" w:rsidRPr="003411BD" w:rsidRDefault="003411BD" w:rsidP="003411BD">
      <w:r w:rsidRPr="003411BD">
        <w:lastRenderedPageBreak/>
        <w:t xml:space="preserve">As indicated earlier, XBRL taxonomies are based on accounting standards. Because accounting bodies[2] are considered to be the "standard-setters" it is logical for them to be at least partially responsible for the development of an Australian XBRL taxonomy, including updates, maintenance and versioning. Failure to resolve post-adoption maintenance concerns might have an adverse impact on the diffusion of XBRL in Australia. In addition, accounting bodies can contribute to XBRL diffusion by imposing XBRL adoption as a legitimate practice on their network memberships ([54] McAdam, 2005). </w:t>
      </w:r>
    </w:p>
    <w:p w:rsidR="003411BD" w:rsidRPr="003411BD" w:rsidRDefault="003411BD" w:rsidP="003411BD">
      <w:r w:rsidRPr="003411BD">
        <w:t xml:space="preserve">Software developers and vendors </w:t>
      </w:r>
    </w:p>
    <w:p w:rsidR="003411BD" w:rsidRPr="003411BD" w:rsidRDefault="003411BD" w:rsidP="003411BD">
      <w:r w:rsidRPr="003411BD">
        <w:t xml:space="preserve">XBRL is very complex, and producing instance documents manually is a practical impossibility. Consequently, the benefits of XBRL cannot be delivered without automated software tools. These are developed by software developers and distributed by vendors. Software support is crucial if the XBRL technology is to succeed ([71] Pyman, 2004). In this context, software vendors can deliver practical solutions supporting the implementation of XBRL initiatives. These solutions are likely to drive XBRL adoption as potential adopters will be able to see the benefits that XBRL can deliver while creating economies of scale for both developers and vendors alike. </w:t>
      </w:r>
    </w:p>
    <w:p w:rsidR="003411BD" w:rsidRPr="003411BD" w:rsidRDefault="003411BD" w:rsidP="003411BD">
      <w:r w:rsidRPr="003411BD">
        <w:t xml:space="preserve">International and local consortia </w:t>
      </w:r>
    </w:p>
    <w:p w:rsidR="003411BD" w:rsidRPr="003411BD" w:rsidRDefault="003411BD" w:rsidP="003411BD">
      <w:r w:rsidRPr="003411BD">
        <w:t xml:space="preserve">XBRL was developed under the auspices of the XBRL International, a consortium which oversees the evolution of the XBRL specification and coordinates the efforts of the local consortia. The latter cover local jurisdictions based on countries, regions or internationally recognized business reporting regimes ([21] Doolin and Troshani, 2004). The aim of the local consortia includes the promotion of XBRL to organizations in their respective jurisdictions and the development of local taxonomies. The local consortium for Australia is XBRL Australia Ltd. The roles of the local consortium for Australia are fulfilled by specialized working groups responsible for strategy, domain, education and liaison. The strategy group sets the strategic direction of XBRL in Australia. The domain group is responsible for creating taxonomies suitable for the Australian setting. The educational group identifies and develops educational materials, while the liaison group is responsible for conversing with potential XBRL adopters and organizations that can contribute to the development, implementation, and interoperability of XBRL in Australia. </w:t>
      </w:r>
    </w:p>
    <w:p w:rsidR="003411BD" w:rsidRPr="003411BD" w:rsidRDefault="003411BD" w:rsidP="003411BD">
      <w:r w:rsidRPr="003411BD">
        <w:t xml:space="preserve">Government regulatory agencies </w:t>
      </w:r>
    </w:p>
    <w:p w:rsidR="003411BD" w:rsidRPr="003411BD" w:rsidRDefault="003411BD" w:rsidP="003411BD">
      <w:r w:rsidRPr="003411BD">
        <w:t xml:space="preserve">In Australia, individual organizations are required by law to submit regular financial reports to regulatory government authorities, such as the Australian Taxation Office (ATO), the Australian Securities and Investment Commission (ASIC), and the Australian Stock Exchange (ASX). Upon collection, these authorities aggregate and repurpose financial and non-financial information from disparate systems in non-interchangeable formats which can be time-consuming, error prone and costly ([71] Pyman, 2004; [19] DiPiazza and Eccles, 2002; [83] Shin, 2004). In general, regulators can experience two major benefits from using XBRL. First, cost savings associated with their acquiring and absorbing information from businesses ([97] Weber, 2003; [27] Finkelde, 2004). Second, using XBRL facilitates the standardisation and harmonisation of international business reporting standards ([27] Finkelde, 2004; [97] Weber, 2003). Many commentators believe that regulatory agencies can play a critical enabling role in XBRL diffusion if they choose to mandate XBRL reporting through legislative requirements ([89] Troshani and Doolin, 2005). </w:t>
      </w:r>
    </w:p>
    <w:p w:rsidR="003411BD" w:rsidRPr="003411BD" w:rsidRDefault="003411BD" w:rsidP="003411BD">
      <w:r w:rsidRPr="003411BD">
        <w:lastRenderedPageBreak/>
        <w:t xml:space="preserve">Educational institutions </w:t>
      </w:r>
    </w:p>
    <w:p w:rsidR="003411BD" w:rsidRPr="003411BD" w:rsidRDefault="003411BD" w:rsidP="003411BD">
      <w:r w:rsidRPr="003411BD">
        <w:t xml:space="preserve">Tertiary education institutions, such as universities, are well-placed to establish awareness of XBRL and its benefits and to disseminate knowledge about how to use it. Informed graduates are more likely to contribute to broadening the extent of XBRL adoption and implementation with their future employers ([66] Pinsker, 2003). Graduates may not necessarily need to know how to program in XBRL as XBRL-enabled software tools would feature functions facilitating the preparation of XBRL instance documents. However, these graduates need to know what XBRL does "behind the scenes" and how to use and analyse XBRL outputs. In addition, graduates are likely to be users of XBRL-enabled software and systems, the development of which might be impaired due to lack of understanding and communications gaps between the users and the technology professionals. XBRL education will minimise these issues ([67] Pinsker, 2005). </w:t>
      </w:r>
    </w:p>
    <w:p w:rsidR="003411BD" w:rsidRPr="003411BD" w:rsidRDefault="003411BD" w:rsidP="003411BD">
      <w:r w:rsidRPr="003411BD">
        <w:t xml:space="preserve">Investors and analysts </w:t>
      </w:r>
    </w:p>
    <w:p w:rsidR="003411BD" w:rsidRPr="003411BD" w:rsidRDefault="003411BD" w:rsidP="003411BD">
      <w:r w:rsidRPr="003411BD">
        <w:t xml:space="preserve">Investors and analysts have to convert the financial information that companies report into customised formats suitable for further analysis. This process is not only highly labour-intensive but also "the least standardised and the least automated link in the entire value chain of capital markets" ([6] Berkeley et al. , 2003). The benefits of XBRL to both investors and analysts include near real-time access to business intelligence, therefore, allowing them to monitor the financial health of companies where they have a stake anytime and anywhere ([5] Bergeron, 2003). Consequently, XBRL potentially brings democratization to financial markets, because "timely, relevant, accurate, and complete information is available simultaneously to all for immediate use" ([96] Watson, 2004). </w:t>
      </w:r>
    </w:p>
    <w:p w:rsidR="003411BD" w:rsidRPr="003411BD" w:rsidRDefault="003411BD" w:rsidP="003411BD">
      <w:r w:rsidRPr="003411BD">
        <w:t xml:space="preserve">Individual organizations </w:t>
      </w:r>
    </w:p>
    <w:p w:rsidR="003411BD" w:rsidRPr="003411BD" w:rsidRDefault="003411BD" w:rsidP="003411BD">
      <w:r w:rsidRPr="003411BD">
        <w:t xml:space="preserve">Potentially, the largest group of XBRL users are individual organizations, who are expected to use XBRL to streamline their internal financial and operational reporting systems. Using XBRL, organizations could produce basic financial information once and deliver it in a range of formats for internal management purposes as well as external reporting. The benefits of doing so are likely to include reduced information processing time and errors, potentially leading to more timely reporting and quicker decision making. However, individual organizations have been slow to adopt XBRL, and their ability to do so may hinge on the availability of XBRL-enabled enterprise and accounting software ([21] Doolin and Troshani, 2004). </w:t>
      </w:r>
    </w:p>
    <w:p w:rsidR="003411BD" w:rsidRPr="003411BD" w:rsidRDefault="003411BD" w:rsidP="003411BD">
      <w:r w:rsidRPr="003411BD">
        <w:t xml:space="preserve">Salience of XBRL stakeholders in Australia </w:t>
      </w:r>
    </w:p>
    <w:p w:rsidR="003411BD" w:rsidRPr="003411BD" w:rsidRDefault="003411BD" w:rsidP="003411BD">
      <w:r w:rsidRPr="003411BD">
        <w:t xml:space="preserve">Using the data collected from the interviews we analysed each stakeholder in terms of their salience attributes. This acknowledges stakeholder salience as the key feature of the stakeholder network. These attributes have been summarised in Table II [Figure omitted. See Article Image.] below. </w:t>
      </w:r>
    </w:p>
    <w:p w:rsidR="003411BD" w:rsidRPr="003411BD" w:rsidRDefault="003411BD" w:rsidP="003411BD">
      <w:r w:rsidRPr="003411BD">
        <w:t xml:space="preserve">From the previous discussion of the descriptive aspects of XBRL stakeholders in Australia, we can see that all the identified stakeholders have a legitimate basis for adopting or promoting XBRL. However, most of the stakeholders lack the power or centrality to effect change. We can categorise these as latent stakeholders. The three exceptions are the large accounting and auditing firms, the accounting bodies and government regulatory agencies, which are expectant (or dominant) stakeholders. Nationally and internationally, the large professional accounting firms are prominently positioned in their industry. They are actively involved in standard-setting processes, and in the </w:t>
      </w:r>
      <w:r w:rsidRPr="003411BD">
        <w:lastRenderedPageBreak/>
        <w:t xml:space="preserve">provision of consulting and advice to corporate clients and government. Most have also chosen to take an active role in the development of the international XBRL consortium and in local XBRL consortia. The various accounting bodies are also (at least potentially) influential through their regulation of the accounting profession and the standard-setting process. Finally, as noted earlier, government regulatory agencies have a potentially powerful role to play through legislative mandating of XBRL use. However, we do not believe that any of the stakeholders listed in Table II [Figure omitted. See Article Image.] above held urgent claims for XBRL in Australia at the time the data collection and we identified several reasons explaining this. These are discussed below. </w:t>
      </w:r>
    </w:p>
    <w:p w:rsidR="003411BD" w:rsidRPr="003411BD" w:rsidRDefault="003411BD" w:rsidP="003411BD">
      <w:r w:rsidRPr="003411BD">
        <w:t xml:space="preserve">Alternative solutions and non-standard forms of XBRL implementation </w:t>
      </w:r>
    </w:p>
    <w:p w:rsidR="003411BD" w:rsidRPr="003411BD" w:rsidRDefault="003411BD" w:rsidP="003411BD">
      <w:r w:rsidRPr="003411BD">
        <w:t xml:space="preserve">There was general agreement among the interviewees that XBRL adoption is not urgent. For example, three of the interviewees indicated that their organizations used alternative software solutions to accomplish the same aims that XBRL purports to fulfil. One interviewee indicated that XBRL is perceived as "a solution in search of a problem". Consequently, at the time of the interviews, there were no compelling reasons motivating these organizations to adopt XBRL-based solutions. Another concern raised was the emergence of non-standard XBRL implementations and competing XML solutions. These force potential XBRL adopters into a "wait-and-see" stance, because they need to ensure that XBRL will indeed become a dominant standard before investments in XBRL-based solutions can be made, delaying any plans to implement XBRL. </w:t>
      </w:r>
    </w:p>
    <w:p w:rsidR="003411BD" w:rsidRPr="003411BD" w:rsidRDefault="003411BD" w:rsidP="003411BD">
      <w:r w:rsidRPr="003411BD">
        <w:t xml:space="preserve">Lack of dominant design of accounting standards: the IAS priority </w:t>
      </w:r>
    </w:p>
    <w:p w:rsidR="003411BD" w:rsidRPr="003411BD" w:rsidRDefault="003411BD" w:rsidP="003411BD">
      <w:r w:rsidRPr="003411BD">
        <w:t xml:space="preserve">Currently, XBRL adoption in Australia has been adversely affected by other pressing priorities that potential adopters face. The local accounting industry is under pressure from the Australian Financial Reporting Council (AFRC), and is "running at break-neck speeds" to adopt the International Accounting Standards (IAS) by 2005. In XBRL, accounting standards constitute the basis for taxonomy development. Consequently, XBRL adoption has been pushed back. However, a similar argument also applies to other larger world economies which suggests a lesser global XBRL adoption pressure for Australia. This, in turn, contributes to a slower local XBRL uptake. In addition, when IAS is eventually in place, existing XBRL taxonomies are likely to become irrelevant and obsolete. Clearly, this hinders current XBRL development efforts and slows down adoption. Therefore, the successful adoption of the IAS both locally and globally is a prerequisite which would facilitate the creation of an Australia-wide single taxonomy, and subsequently encourage XBRL adoption. </w:t>
      </w:r>
    </w:p>
    <w:p w:rsidR="003411BD" w:rsidRPr="003411BD" w:rsidRDefault="003411BD" w:rsidP="003411BD">
      <w:r w:rsidRPr="003411BD">
        <w:t xml:space="preserve">Perceived instability of the XBRL specification </w:t>
      </w:r>
    </w:p>
    <w:p w:rsidR="003411BD" w:rsidRPr="003411BD" w:rsidRDefault="003411BD" w:rsidP="003411BD">
      <w:r w:rsidRPr="003411BD">
        <w:t xml:space="preserve">The XBRL specification has undergone significant changes before arriving at its current version. The earlier versions of this specification had serious deficiencies. While the progression through the various versions was considered by some informants as a normal iterative evolution, others perceived it as a major inhibitor to XBRL adoption: </w:t>
      </w:r>
    </w:p>
    <w:p w:rsidR="003411BD" w:rsidRPr="003411BD" w:rsidRDefault="003411BD" w:rsidP="003411BD">
      <w:r w:rsidRPr="003411BD">
        <w:t xml:space="preserve">We need [an XBRL specification] that's going to be stable, won't change for a while, gives people the chance to actually evaluate it, get used to it, get things up and running properly. (Software developer/vendor interviewee) </w:t>
      </w:r>
    </w:p>
    <w:p w:rsidR="003411BD" w:rsidRPr="003411BD" w:rsidRDefault="003411BD" w:rsidP="003411BD">
      <w:r w:rsidRPr="003411BD">
        <w:t xml:space="preserve">XBRL-enabled software tools are based upon the XBRL specification. The software vendor interviewees, in particular, argued that even small changes in the newer versions of the specification </w:t>
      </w:r>
      <w:r w:rsidRPr="003411BD">
        <w:lastRenderedPageBreak/>
        <w:t xml:space="preserve">raise serious compatibility problems between software tools that rely on previous specification versions and those that rely on newer ones. Costly redevelopments were necessitated, resulting in wasted effort, delays and non-standard software tools. All these combined adversely affect XBRL adoption, as suggested below: </w:t>
      </w:r>
    </w:p>
    <w:p w:rsidR="003411BD" w:rsidRPr="003411BD" w:rsidRDefault="003411BD" w:rsidP="003411BD">
      <w:r w:rsidRPr="003411BD">
        <w:t xml:space="preserve">Well the [major potential XBRL adopter] said, we're not going to get involved in this [XBRL]. We'll wait and see until it stabilizes and then we'll do [adopt] it. (Regulatory agency interviewee) </w:t>
      </w:r>
    </w:p>
    <w:p w:rsidR="003411BD" w:rsidRPr="003411BD" w:rsidRDefault="003411BD" w:rsidP="003411BD">
      <w:r w:rsidRPr="003411BD">
        <w:t xml:space="preserve">Local business culture </w:t>
      </w:r>
    </w:p>
    <w:p w:rsidR="003411BD" w:rsidRPr="003411BD" w:rsidRDefault="003411BD" w:rsidP="003411BD">
      <w:r w:rsidRPr="003411BD">
        <w:t xml:space="preserve">The local adoption strategy needs to take into account the culture of the local XBRL community. For example, one of the academics interviewed argued that accountants, the major group of potential adopters, "are not known to be innovators or leaders in technology adoption". Likewise, informants were consistent in indicating that the general business culture in Australia tends to be of a "wait-and-see" nature: </w:t>
      </w:r>
    </w:p>
    <w:p w:rsidR="003411BD" w:rsidRPr="003411BD" w:rsidRDefault="003411BD" w:rsidP="003411BD">
      <w:r w:rsidRPr="003411BD">
        <w:t xml:space="preserve">I think it would be fair to say Australia is very keen on take up of technology but not keen to be the first to do it. Always keen to be fast follower. You know, show me where it's been done well elsewhere and I'll be really keen to pick it up and do it as quickly as possible, but not super keen to be the guinea pig ... That's a general comment about the business environment here and the way business sees technology here. (Large accounting firm interviewee) </w:t>
      </w:r>
    </w:p>
    <w:p w:rsidR="003411BD" w:rsidRPr="003411BD" w:rsidRDefault="003411BD" w:rsidP="003411BD">
      <w:r w:rsidRPr="003411BD">
        <w:t xml:space="preserve">Based on the four reasons discussed above, we consider that there is lack of urgency for all XBRL stakeholders in Australia, implying a lack of definitive XBRL stakeholders. This, we consider, has been the major barrier to the diffusion of XBRL in Australia. Next we address the question of how this situation might change. We suggest that a sense of urgency may be added to XBRL stakeholder claims through a range of instrumental institutional actions by some or all of these stakeholders, and we consider the extent to which this has occurred. </w:t>
      </w:r>
    </w:p>
    <w:p w:rsidR="003411BD" w:rsidRPr="003411BD" w:rsidRDefault="003411BD" w:rsidP="003411BD">
      <w:r w:rsidRPr="003411BD">
        <w:t xml:space="preserve">Instrumental actions </w:t>
      </w:r>
    </w:p>
    <w:p w:rsidR="003411BD" w:rsidRPr="003411BD" w:rsidRDefault="003411BD" w:rsidP="003411BD">
      <w:r w:rsidRPr="003411BD">
        <w:t xml:space="preserve">[47] King et al. (1994) outline a number of forms of institutional intervention in information technology innovation. We discuss six of these: knowledge building, knowledge deployment, subsidy, mobilisation, standard setting and innovation directive. They represent instrumental actions through which institutional stakeholders can influence XBRL diffusion in Australia. </w:t>
      </w:r>
    </w:p>
    <w:p w:rsidR="003411BD" w:rsidRPr="003411BD" w:rsidRDefault="003411BD" w:rsidP="003411BD">
      <w:r w:rsidRPr="003411BD">
        <w:t xml:space="preserve">Knowledge building </w:t>
      </w:r>
    </w:p>
    <w:p w:rsidR="003411BD" w:rsidRPr="003411BD" w:rsidRDefault="003411BD" w:rsidP="003411BD">
      <w:r w:rsidRPr="003411BD">
        <w:t xml:space="preserve">The creation of technical and business knowledge underlying XBRL is an essential part of its diffusion as an innovation. No specific stakeholder in Australia has taken responsibility for developing this knowledge, most being happy to leave that function to the supply side or the XBRL International consortium. Funding research that builds the knowledge necessary for innovative activity is one option open to XBRL stakeholders; assembling and coordinating taskforces that learn about XBRL is another ([47] King et al. , 1994; [16] Damsgaard and Lyytinen, 2001). As [16] Damsgaard and Lyytinen (2001) note, joint knowledge-building is necessary for the development of a common solution in networked technologies. XBRL Australia has been involved in coordinating the creation of XBRL taxonomies suitable for the Australian setting. </w:t>
      </w:r>
    </w:p>
    <w:p w:rsidR="003411BD" w:rsidRPr="003411BD" w:rsidRDefault="003411BD" w:rsidP="003411BD">
      <w:r w:rsidRPr="003411BD">
        <w:lastRenderedPageBreak/>
        <w:t xml:space="preserve">Knowledge deployment </w:t>
      </w:r>
    </w:p>
    <w:p w:rsidR="003411BD" w:rsidRPr="003411BD" w:rsidRDefault="003411BD" w:rsidP="003411BD">
      <w:r w:rsidRPr="003411BD">
        <w:t xml:space="preserve">The distribution of knowledge is important in building awareness concerning XBRL and its benefits among potential adopters. Knowledge deployment measures include the provision of education and training about XBRL that may also create a pool of skilled potential users ([47] King et al. , 1994). Currently, XBRL Australia and some educational institutions provide XBRL education services, although not in a coordinated and extensive manner. XBRL awareness-building exercises among members of the Australian accounting bodies have occurred, but mostly in response to consumer demand rather than supply push. More proactive promotion of XBRL has occurred among the clients of some of the large accounting firms, although again, often reliant on these firms' international connections as opposed to local initiatives. Partly, this is the result of the relatively small number of individuals within the large accounting firms who maintain an active involvement with XBRL. XBRL Australia hosted the 3rd XBRL International Conference in Sydney in 2001, considered to be an influential way to promote XBRL within the local jurisdiction. The representative of XBRL Australia emphasised the generally low level of understanding of XBRL in Australia, and in many cases, misunderstandings. However, while knowledge deployment and awareness building are necessary pre-conditions for the diffusion of XBRL, by themselves, except for potentially influencing the adopters' evaluations of XBRL as an innovation, they are insufficient to drive its diffusion ([1] Abrahamson and Rosenkopf, 1997; [76] Rogers, 1995; [16] Damsgaard and Lyytinen, 2001). </w:t>
      </w:r>
    </w:p>
    <w:p w:rsidR="003411BD" w:rsidRPr="003411BD" w:rsidRDefault="003411BD" w:rsidP="003411BD">
      <w:r w:rsidRPr="003411BD">
        <w:t xml:space="preserve">Exemplar adoptions of an innovation are conducive to the emergence of a social learning phenomenon based on the "law of imitation" ([102] Wood and Bandura, 1989; [32] Hamblin et al. , 1979): </w:t>
      </w:r>
    </w:p>
    <w:p w:rsidR="003411BD" w:rsidRPr="003411BD" w:rsidRDefault="003411BD" w:rsidP="003411BD">
      <w:r w:rsidRPr="003411BD">
        <w:t xml:space="preserve">Everyone makes his own decisions, not just on the basis of his own individual experiences, but to a large extent on the basis of the observed or talked about experiences of others. Thus, the collective [diffusion] process involves some direct learning but mostly observational and symbolic learning. ([32] Hamblin et al. , 1979, p. 809) </w:t>
      </w:r>
    </w:p>
    <w:p w:rsidR="003411BD" w:rsidRPr="003411BD" w:rsidRDefault="003411BD" w:rsidP="003411BD">
      <w:r w:rsidRPr="003411BD">
        <w:t xml:space="preserve">This has the potential to cause prospective adopters to adjust innovation-related evaluated benefits upwards, resulting in bandwagon pressures of adoption ([1] Abrahamson and Rosenkopf, 1997; [12] Chatterjee and Eliasberg, 1990). XBRL success stories of large and reputable organizations such as banks, major accounting and auditing firms, and government regulatory agencies were considered by all informants to be conducive for the adoption and diffusion of XBRL in Australia, because they have the potential to set an example of how XBRL can be used and its benefits experienced ([64] Papazafeiropoulou et al. , 2001). However, there have been limited success stories of XBRL adoption in Australia. </w:t>
      </w:r>
    </w:p>
    <w:p w:rsidR="003411BD" w:rsidRPr="003411BD" w:rsidRDefault="003411BD" w:rsidP="003411BD">
      <w:r w:rsidRPr="003411BD">
        <w:t xml:space="preserve">Subsidy </w:t>
      </w:r>
    </w:p>
    <w:p w:rsidR="003411BD" w:rsidRPr="003411BD" w:rsidRDefault="003411BD" w:rsidP="003411BD">
      <w:r w:rsidRPr="003411BD">
        <w:t xml:space="preserve">The activities of early adopters that are involved in the diffusion process can be subsidised with direct financial support or other incentive schemes ([16] Damsgaard and Lyytinen, 2001). This is important because at the beginning of the diffusion process network externalities are very limited. As a result, the commitment of significant resources is required and the adoption barriers, costs and risks are likely to be high for early adopters. Besides, expertise is likely to be less accessible due to limited funds ([57] Muzzi and Kautz, 2004). Together, these factors constitute a serious obstacle to the attractiveness and implementation of the innovation in the adopter's setting. Subsidies are </w:t>
      </w:r>
      <w:r w:rsidRPr="003411BD">
        <w:lastRenderedPageBreak/>
        <w:t xml:space="preserve">targeted activities designed to reduce the costs or risks associated with innovation adoption by another party. These may include the funding of prototype development, acting as the procurer of products or services in incorporating an innovation, or the provision of benefits associated with using an innovation ([47] King et al. , 1994). Often governments or powerful industry organizations may be able to act in this way. However, the local XBRL Australia consortium lacks the financial resources to undertake this role, relying on a limited membership base and the voluntary and part-time input of a small number of interested individuals. While various Australian government institutions have the potential to act as procurers of XBRL products and services, few have done so, and there seems to be no coordinated approach to supporting XBRL diffusion across government. As noted, most XBRL stakeholders in Australia are content to adopt a "wait-and-see" approach, with neither software vendors or potential institutional consumers of XBRL ready to make the first move in a subsidy-like intervention. Our informants consistently commented on the limited availability of XBRL-enabled software solutions, with which potential adopters could learn about the XBRL innovation and the way it functions, and assess its characteristics and suitability for their needs ([91] Van de Ven and Rogers, 1988; [76] Rogers, 1995). </w:t>
      </w:r>
    </w:p>
    <w:p w:rsidR="003411BD" w:rsidRPr="003411BD" w:rsidRDefault="003411BD" w:rsidP="003411BD">
      <w:r w:rsidRPr="003411BD">
        <w:t xml:space="preserve">Mobilisation </w:t>
      </w:r>
    </w:p>
    <w:p w:rsidR="003411BD" w:rsidRPr="003411BD" w:rsidRDefault="003411BD" w:rsidP="003411BD">
      <w:r w:rsidRPr="003411BD">
        <w:t xml:space="preserve">The mobilisation of bias involves articulating a particular perspective of an innovation, encouraging potential adopters to think in a, usually favourable, way about that innovation. This is often achieved through the propagation of optimistic interpretations of a technology and grand visions of its use in society ([47] King et al. , 1994; [16] Damsgaard and Lyytinen, 2001). Internationally, XBRL is typically portrayed as a "digital information revolution" ([39] Higgins and Harrell, 2003), and certainly XBRL Australia and a number of accounting bodies and large accounting firms have consistently promoted a positive interpretation of XBRL and its outlook ([41] Huxtable, 2002; [71] Pyman, 2004). </w:t>
      </w:r>
    </w:p>
    <w:p w:rsidR="003411BD" w:rsidRPr="003411BD" w:rsidRDefault="003411BD" w:rsidP="003411BD">
      <w:r w:rsidRPr="003411BD">
        <w:t xml:space="preserve">Standard setting </w:t>
      </w:r>
    </w:p>
    <w:p w:rsidR="003411BD" w:rsidRPr="003411BD" w:rsidRDefault="003411BD" w:rsidP="003411BD">
      <w:r w:rsidRPr="003411BD">
        <w:t xml:space="preserve">Standard setting involves the development of agreed standards or local practices among potential innovators, enabling the use of an innovation as a standard and/or limiting the use of other options. Standard setting is considered essential in the widespread diffusion of networked technologies given the systems and organizations that form the community of use ([16] Damsgaard and Lyytinen, 2001; [47] King et al. , 1994). While standard setting in relation to XBRL is occurring under the auspices of XBRL Australia, and with the involvement of the accounting bodies and large accounting firms, as noted earlier, the necessary prior development and deployment of International Accounting Standards has hindered the development of agreed local XBRL standards. </w:t>
      </w:r>
    </w:p>
    <w:p w:rsidR="003411BD" w:rsidRPr="003411BD" w:rsidRDefault="003411BD" w:rsidP="003411BD">
      <w:r w:rsidRPr="003411BD">
        <w:t xml:space="preserve">Innovation directive </w:t>
      </w:r>
    </w:p>
    <w:p w:rsidR="003411BD" w:rsidRPr="003411BD" w:rsidRDefault="003411BD" w:rsidP="003411BD">
      <w:r w:rsidRPr="003411BD">
        <w:t xml:space="preserve">Innovation directives are normative commands prescribing the production or use of an innovation ([16] Damsgaard and Lyytinen, 2001; [47] King et al. , 1994). In the XBRL context, such regulation setting can be implemented by organizations with legislative powers, such as regulatory government bodies. These bodies could mandate XBRL reporting by enforcing it as law. This action would start mass adoption and diffusion of XBRL and boost it significantly. However, if XBRL is imposed as a standard, some implications warrant attention. First, if regulatory bodies and other adopters were to move their entire operation to XBRL, many of their employees would potentially become redundant. Second, regulatory bodies can enforce adoption for their specific needs, which is likely to narrow </w:t>
      </w:r>
      <w:r w:rsidRPr="003411BD">
        <w:lastRenderedPageBreak/>
        <w:t xml:space="preserve">down the focus of XBRL, and therefore, be a limiting factor to its widespread adoption. Third, making XBRL mandatory may be a labor-intensive and complex undertaking as it requires specific procedures to be followed. This includes ensuring that XBRL will not cause problems to adopters. It also requires amending the relevant legislation accordingly. All this, combined with a democratic-styled economy and the Australian character which is "very suspicious of authority" would make mandating XBRL adoption a time-consuming and highly intricate endeavour. </w:t>
      </w:r>
    </w:p>
    <w:p w:rsidR="003411BD" w:rsidRPr="003411BD" w:rsidRDefault="003411BD" w:rsidP="003411BD">
      <w:r w:rsidRPr="003411BD">
        <w:t xml:space="preserve">Conclusion: a need for normative action? </w:t>
      </w:r>
    </w:p>
    <w:p w:rsidR="003411BD" w:rsidRPr="003411BD" w:rsidRDefault="003411BD" w:rsidP="003411BD">
      <w:r w:rsidRPr="003411BD">
        <w:t xml:space="preserve">In this paper we have examined the diffusion of XBRL using the stakeholder and social network theories. After discussing the descriptive aspects of the current XBRL stakeholders in Australia, we found that there is lack of salience among these stakeholders. We attribute this to the fact that none of the current stakeholders hold urgent claims for XBRL. A number of factors contributing towards the lack of urgency were discussed including alternative solutions to XBRL, non-standard forms of adoption, a lack of dominant design of accounting standards, and a perceived instability of the XBRL specification. We also assessed a number of instrumental forms, such as knowledge building and deployment, subsidy, mobilisation, standard setting and innovation directive, taken by these stakeholders. While successfully undertaken in other contexts ([13] Choudhrie et al. , 2003; [16] Damsgaard and Lyytinen, 2001), we found that instrumental action taken by local XBRL stakeholders appear to have been largely ineffective. This may be partially attributed to difficulties in applying the instrumental strategies, which in turn, may be related to the ineffective coordination of the stakeholders involved in the Australian diffusion setting. </w:t>
      </w:r>
    </w:p>
    <w:p w:rsidR="003411BD" w:rsidRPr="003411BD" w:rsidRDefault="003411BD" w:rsidP="003411BD">
      <w:r w:rsidRPr="003411BD">
        <w:t xml:space="preserve">We believe that by employing both stakeholder and social network theories, this paper contributes to the existing body of knowledge by enhancing our understanding of the complex phenomenon of the diffusion of network innovations, such as XBRL. Specifically, stakeholder analysis provides a rich picture of empirical diffusion evidence with which to understand stakeholder communities, their motivations, roles and instrumental capabilities. Further, this paper helps recognize the potential of individual stakeholders to affect innovation diffusion using their salience as an important property in stakeholder networks. This also offers a mechanism to help network participants change their levels of salience, and consequently, alter their level of impact on innovation diffusion. In addition, we have also evaluated the role of intervention strategies in controlling, accelerating and facilitating the diffusion of XBRL in Australia. Taken together, this information can help in designing proactive innovation adoption and diffusion strategies, and consequently, better innovation implementation practices for XBRL in Australia and similar contexts. </w:t>
      </w:r>
    </w:p>
    <w:p w:rsidR="003411BD" w:rsidRPr="003411BD" w:rsidRDefault="003411BD" w:rsidP="003411BD">
      <w:r w:rsidRPr="003411BD">
        <w:t xml:space="preserve">If the diffusion of XBRL is to be successful in Australia, we argue that in addition to a more effective and efficient application of instrumental measures, a stronger normative action is also required by the Australian XBRL stakeholders and their networks. Scholars who have applied the stakeholder theory in the diffusion of technology innovations maintain that the application of the shareholder notion in information systems is predominantly instrumental or descriptive with very little reference to the normative aspect ([69] Pouloudi, 1999; [20] Donaldson and Preston, 1995). As indicated earlier, the normative aspects of stakeholder theory focus on the moral and philosophical guidelines for the operation and management of the XBRL stakeholders. </w:t>
      </w:r>
    </w:p>
    <w:p w:rsidR="003411BD" w:rsidRPr="003411BD" w:rsidRDefault="003411BD" w:rsidP="003411BD">
      <w:r w:rsidRPr="003411BD">
        <w:lastRenderedPageBreak/>
        <w:t xml:space="preserve">Evidence suggests not all stakeholders in Australia hold normative orientations concerning XBRL. For example, one of the software developer interviewees described their motivation for adopting and supporting XBRL as follows: </w:t>
      </w:r>
    </w:p>
    <w:p w:rsidR="003411BD" w:rsidRPr="003411BD" w:rsidRDefault="003411BD" w:rsidP="003411BD">
      <w:r w:rsidRPr="003411BD">
        <w:t xml:space="preserve">We are unashamedly in the business to earn a return on investment for our investors. We're very happy if we create a support etcetera for the accounting community, but at the end of the day, this is a dollar building business. </w:t>
      </w:r>
    </w:p>
    <w:p w:rsidR="003411BD" w:rsidRPr="003411BD" w:rsidRDefault="003411BD" w:rsidP="003411BD">
      <w:r w:rsidRPr="003411BD">
        <w:t xml:space="preserve">One the other hand, another software developer interviewee described his motivation for supporting XBRL as below: </w:t>
      </w:r>
    </w:p>
    <w:p w:rsidR="003411BD" w:rsidRPr="003411BD" w:rsidRDefault="003411BD" w:rsidP="003411BD">
      <w:r w:rsidRPr="003411BD">
        <w:t xml:space="preserve">My personal feeling is that you've got to be part of a community. Unfortunately, I think there are too many players in Australia that are trying to make a dollar out of it [XBRL] too hard. And they are not [making money, because], they are to assist [adoption and diffusion]. We are not like that for sure ... That's one of the things why we give away tools ... That's a valuable knowledge set to give more of [in order to benefit the XBRL community]. </w:t>
      </w:r>
    </w:p>
    <w:p w:rsidR="003411BD" w:rsidRPr="003411BD" w:rsidRDefault="003411BD" w:rsidP="003411BD">
      <w:r w:rsidRPr="003411BD">
        <w:t xml:space="preserve">Potential XBRL stakeholders need to take into account the interests of the community as a whole as opposed to exclusively taking into account the interests of an organization's managers, stockholders and customers. Community-oriented stakeholders are more likely to establish collaborative relationships easily resulting in enhanced efficiencies which are likely to push XBRL diffusion forward while providing competitive advantage to stakeholders ([69] Pouloudi, 1999; [64] Papazafeiropoulou et al. , 2001; [79] Ruf et al. , 2001). </w:t>
      </w:r>
    </w:p>
    <w:p w:rsidR="003411BD" w:rsidRPr="003411BD" w:rsidRDefault="003411BD" w:rsidP="003411BD">
      <w:r w:rsidRPr="003411BD">
        <w:t xml:space="preserve">We argue that instrumental actions that lack a normative basis are insufficient for the successful diffusion of XBRL. For instance, knowledge deployment is important for building XBRL awareness among potential adopters. However, knowledge deployment transfers only explicit knowledge. [85] Sørensen and Levold (1992) argue that "flow of knowledge has to be accompanied by a flow of people" (p. 30) in order for tacit knowledge to deployed as well ([68] Polyani, 1967). Tacit knowledge which is embodied in living people is critical to successful innovation diffusion. In the XBRL community, tacit knowledge would be transferred when successful adopters work together (rather than compete) with adopters who are in less advanced positions. </w:t>
      </w:r>
    </w:p>
    <w:p w:rsidR="003411BD" w:rsidRPr="003411BD" w:rsidRDefault="003411BD" w:rsidP="003411BD">
      <w:r w:rsidRPr="003411BD">
        <w:t xml:space="preserve">Again this has not happened in Australia. Anecdotal evidence from the interviewees suggests that there are success stories of XBRL adoption in Australia. However, these are deliberately kept secret to avoid "tipping off" competition concerning emerging solutions. If this is indeed the case, not only does tacit knowledge become difficult to transfer, but also a number of negative corollary implications concerning XBRL diffusion are likely to ensue. First, potential adopters cannot observe local XBRL benefits live; second, non-standard forms of adoption are likely to emerge; and third, the XBRL development and adoption effort is likely to lose its focus. </w:t>
      </w:r>
    </w:p>
    <w:p w:rsidR="003411BD" w:rsidRPr="003411BD" w:rsidRDefault="003411BD" w:rsidP="003411BD">
      <w:r w:rsidRPr="003411BD">
        <w:t xml:space="preserve">An enhanced emphasis on normative aspects in Australia makes businesses sense as the long-term interests of all stakeholders are compatible ([70] Preston and Sapienza, 1990). For this reason each organizational stakeholder of XBRL should consider how their adoption efforts affect all other stakeholders in the community. In the long-term, because of network externalities all stakeholders are likely to gain from the widespread diffusion of XBRL ([45] Katz and Shapiro, 1986). </w:t>
      </w:r>
    </w:p>
    <w:p w:rsidR="003411BD" w:rsidRPr="003411BD" w:rsidRDefault="003411BD" w:rsidP="003411BD">
      <w:r w:rsidRPr="003411BD">
        <w:t xml:space="preserve">Erasmus University, Rotterdam, 25-27 March </w:t>
      </w:r>
    </w:p>
    <w:p w:rsidR="003411BD" w:rsidRPr="003411BD" w:rsidRDefault="003411BD" w:rsidP="003411BD">
      <w:r w:rsidRPr="003411BD">
        <w:lastRenderedPageBreak/>
        <w:t xml:space="preserve">Pontifical University of Salamanca, Madrid </w:t>
      </w:r>
    </w:p>
    <w:p w:rsidR="003411BD" w:rsidRPr="003411BD" w:rsidRDefault="003411BD" w:rsidP="003411BD">
      <w:r w:rsidRPr="003411BD">
        <w:t xml:space="preserve">18th Bled eCommerce Conference: eIntegration in Action, Moderna Organizacija, Bled, Slovenia, June 6-8 </w:t>
      </w:r>
    </w:p>
    <w:p w:rsidR="003411BD" w:rsidRPr="003411BD" w:rsidRDefault="003411BD" w:rsidP="003411BD">
      <w:r w:rsidRPr="003411BD">
        <w:t xml:space="preserve">Information Technology and Changes in Organizational Work: Proceedings of the IFIP WG8.2 Working Conference on Information Technology and Changes in Organizational Work </w:t>
      </w:r>
    </w:p>
    <w:p w:rsidR="003411BD" w:rsidRPr="003411BD" w:rsidRDefault="003411BD" w:rsidP="003411BD">
      <w:r w:rsidRPr="003411BD">
        <w:t>Footnote</w:t>
      </w:r>
    </w:p>
    <w:p w:rsidR="003411BD" w:rsidRPr="003411BD" w:rsidRDefault="003411BD" w:rsidP="003411BD">
      <w:r w:rsidRPr="003411BD">
        <w:t xml:space="preserve">1. A stakeholder constitutes "any group or individual who can affect or is affected by the achievement of the firm's objectives" ([30] Freeman, 1984, p. 25). </w:t>
      </w:r>
    </w:p>
    <w:p w:rsidR="003411BD" w:rsidRPr="003411BD" w:rsidRDefault="003411BD" w:rsidP="003411BD"/>
    <w:p w:rsidR="003411BD" w:rsidRPr="003411BD" w:rsidRDefault="003411BD" w:rsidP="003411BD">
      <w:r w:rsidRPr="003411BD">
        <w:t xml:space="preserve">2. The accounting bodies in Australia include CPA Australia, the Institute of Chartered Public Accountants (ICPA) and the Australian Accounting Standards Board (AASB). </w:t>
      </w:r>
    </w:p>
    <w:p w:rsidR="003411BD" w:rsidRPr="003411BD" w:rsidRDefault="003411BD" w:rsidP="003411BD"/>
    <w:p w:rsidR="003411BD" w:rsidRPr="003411BD" w:rsidRDefault="003411BD" w:rsidP="003411BD">
      <w:r w:rsidRPr="003411BD">
        <w:t>References</w:t>
      </w:r>
    </w:p>
    <w:p w:rsidR="003411BD" w:rsidRPr="003411BD" w:rsidRDefault="003411BD" w:rsidP="003411BD">
      <w:r w:rsidRPr="003411BD">
        <w:t xml:space="preserve">1. Abrahamson, E. and Rosenkopf, L. (1997), "Social network effects on the extent of innovation diffusion: a computer simulation", Organization Science, Vol. 8 No. 3, pp. 289-309. </w:t>
      </w:r>
    </w:p>
    <w:p w:rsidR="003411BD" w:rsidRPr="003411BD" w:rsidRDefault="003411BD" w:rsidP="003411BD"/>
    <w:p w:rsidR="003411BD" w:rsidRPr="003411BD" w:rsidRDefault="003411BD" w:rsidP="003411BD">
      <w:r w:rsidRPr="003411BD">
        <w:t xml:space="preserve">2. Badaracco, J.L. and Useem, J.V. (1997), "The internet, Intel and the vigilante stakeholder", Business Ethics: A European Review, Vol. 6 No. 1, pp. 18-29. </w:t>
      </w:r>
    </w:p>
    <w:p w:rsidR="003411BD" w:rsidRPr="003411BD" w:rsidRDefault="003411BD" w:rsidP="003411BD"/>
    <w:p w:rsidR="003411BD" w:rsidRPr="003411BD" w:rsidRDefault="003411BD" w:rsidP="003411BD">
      <w:r w:rsidRPr="003411BD">
        <w:t xml:space="preserve">3. Bale, S. (2004), "XBRL and the client-accountant connection", Proceedings of the 9th International XBRL Conference, Auckland, May. </w:t>
      </w:r>
    </w:p>
    <w:p w:rsidR="003411BD" w:rsidRPr="003411BD" w:rsidRDefault="003411BD" w:rsidP="003411BD"/>
    <w:p w:rsidR="003411BD" w:rsidRPr="003411BD" w:rsidRDefault="003411BD" w:rsidP="003411BD">
      <w:r w:rsidRPr="003411BD">
        <w:t xml:space="preserve">4. Baroudi, J.J. and Orlikowski, W.J. (1989), "The problem of statistical power in MIS research", MIS Quarterly, Vol. 13 No. 1, pp. 86-106. </w:t>
      </w:r>
    </w:p>
    <w:p w:rsidR="003411BD" w:rsidRPr="003411BD" w:rsidRDefault="003411BD" w:rsidP="003411BD"/>
    <w:p w:rsidR="003411BD" w:rsidRPr="003411BD" w:rsidRDefault="003411BD" w:rsidP="003411BD">
      <w:r w:rsidRPr="003411BD">
        <w:t xml:space="preserve">5. Bergeron, B. (2003), Essentials of XBRL: Financial Reporting in the 21st Century, John Wiley &amp; Sons, Hoboken, NJ. </w:t>
      </w:r>
    </w:p>
    <w:p w:rsidR="003411BD" w:rsidRPr="003411BD" w:rsidRDefault="003411BD" w:rsidP="003411BD"/>
    <w:p w:rsidR="003411BD" w:rsidRPr="003411BD" w:rsidRDefault="003411BD" w:rsidP="003411BD">
      <w:r w:rsidRPr="003411BD">
        <w:t xml:space="preserve">6. Berkeley, A., Connors, J. and Willis, M. (2003), "The road to better business information: making a case for XBRL", available at: www.microsoft.com/msft/FinancialXBRLwp.mspx. </w:t>
      </w:r>
    </w:p>
    <w:p w:rsidR="003411BD" w:rsidRPr="003411BD" w:rsidRDefault="003411BD" w:rsidP="003411BD"/>
    <w:p w:rsidR="003411BD" w:rsidRPr="003411BD" w:rsidRDefault="003411BD" w:rsidP="003411BD">
      <w:r w:rsidRPr="003411BD">
        <w:lastRenderedPageBreak/>
        <w:t xml:space="preserve">7. Boonstra, A. (2003), "Interpretative perspectives on the acceptance of an electronic prescription system", Journal of Information Technology Cases and Applications, Vol. 5 No. 2, pp. 27-50. </w:t>
      </w:r>
    </w:p>
    <w:p w:rsidR="003411BD" w:rsidRPr="003411BD" w:rsidRDefault="003411BD" w:rsidP="003411BD"/>
    <w:p w:rsidR="003411BD" w:rsidRPr="003411BD" w:rsidRDefault="003411BD" w:rsidP="003411BD">
      <w:r w:rsidRPr="003411BD">
        <w:t xml:space="preserve">8. Boyd, G. (2004a), "Introduction to XBRL Consortium", Proceedings of the 9th International XBRL Conference, Auckland, May. </w:t>
      </w:r>
    </w:p>
    <w:p w:rsidR="003411BD" w:rsidRPr="003411BD" w:rsidRDefault="003411BD" w:rsidP="003411BD"/>
    <w:p w:rsidR="003411BD" w:rsidRPr="003411BD" w:rsidRDefault="003411BD" w:rsidP="003411BD">
      <w:r w:rsidRPr="003411BD">
        <w:t xml:space="preserve">9. Boyd, G. (2004b), "XBRL overview", Proceedings of the 9th International XBRL Conference, Auckland, May. </w:t>
      </w:r>
    </w:p>
    <w:p w:rsidR="003411BD" w:rsidRPr="003411BD" w:rsidRDefault="003411BD" w:rsidP="003411BD"/>
    <w:p w:rsidR="003411BD" w:rsidRPr="003411BD" w:rsidRDefault="003411BD" w:rsidP="003411BD">
      <w:r w:rsidRPr="003411BD">
        <w:t xml:space="preserve">10. Burkhardt, M.E. and Brass, D.J. (1990), "Changing patterns or patterns of change? the effects of a change in technology on social network structure and power", Administrative Science Quarterly, Vol. 35 No. 1, pp. 104-27. </w:t>
      </w:r>
    </w:p>
    <w:p w:rsidR="003411BD" w:rsidRPr="003411BD" w:rsidRDefault="003411BD" w:rsidP="003411BD"/>
    <w:p w:rsidR="003411BD" w:rsidRPr="003411BD" w:rsidRDefault="003411BD" w:rsidP="003411BD">
      <w:r w:rsidRPr="003411BD">
        <w:t xml:space="preserve">11. Carson, D., Gilmore, A., Gronhaug, K. and Perry, C. (2001), Qualitative Research in Marketing, Sage, London. </w:t>
      </w:r>
    </w:p>
    <w:p w:rsidR="003411BD" w:rsidRPr="003411BD" w:rsidRDefault="003411BD" w:rsidP="003411BD"/>
    <w:p w:rsidR="003411BD" w:rsidRPr="003411BD" w:rsidRDefault="003411BD" w:rsidP="003411BD">
      <w:r w:rsidRPr="003411BD">
        <w:t xml:space="preserve">12. Chatterjee, R.A. and Eliasberg, J. (1990), "The innovation diffusion process in a heterogeneous population: a micromodelling approach", Management Science, Vol. 36 No. 9, pp. 1057-79. </w:t>
      </w:r>
    </w:p>
    <w:p w:rsidR="003411BD" w:rsidRPr="003411BD" w:rsidRDefault="003411BD" w:rsidP="003411BD"/>
    <w:p w:rsidR="003411BD" w:rsidRPr="003411BD" w:rsidRDefault="003411BD" w:rsidP="003411BD">
      <w:r w:rsidRPr="003411BD">
        <w:t xml:space="preserve">13. Choudhrie, J., Papazafeiropoulou, A. and Lee, H. (2003), "A web of stakeholders and strategies: a case of broadband diffusion in South Korea", Journal of Information Technology, Vol. 18 No. 4, pp. 281-90. </w:t>
      </w:r>
    </w:p>
    <w:p w:rsidR="003411BD" w:rsidRPr="003411BD" w:rsidRDefault="003411BD" w:rsidP="003411BD"/>
    <w:p w:rsidR="003411BD" w:rsidRPr="003411BD" w:rsidRDefault="003411BD" w:rsidP="003411BD">
      <w:r w:rsidRPr="003411BD">
        <w:t xml:space="preserve">14. Clemons, E.K., Thatcher, M.E. and Row, M.C. (1995), "Identifying sources of reengineering failures: a study of the behavioral factors contributing to reengineering risks", Journal of Management Information Systems, Vol. 12 No. 2, pp. 9-36. </w:t>
      </w:r>
    </w:p>
    <w:p w:rsidR="003411BD" w:rsidRPr="003411BD" w:rsidRDefault="003411BD" w:rsidP="003411BD"/>
    <w:p w:rsidR="003411BD" w:rsidRPr="003411BD" w:rsidRDefault="003411BD" w:rsidP="003411BD">
      <w:r w:rsidRPr="003411BD">
        <w:t xml:space="preserve">15. Damsgaard, J. and Lyytinen, K. (1998), "Contours of diffusion of electronic data interchange in Finland: overcoming technological barriers and collaborating to make it happen", Journal of Strategic Information Systems, Vol. 7 No. 4, pp. 275-97. </w:t>
      </w:r>
    </w:p>
    <w:p w:rsidR="003411BD" w:rsidRPr="003411BD" w:rsidRDefault="003411BD" w:rsidP="003411BD"/>
    <w:p w:rsidR="003411BD" w:rsidRPr="003411BD" w:rsidRDefault="003411BD" w:rsidP="003411BD">
      <w:r w:rsidRPr="003411BD">
        <w:lastRenderedPageBreak/>
        <w:t xml:space="preserve">16. Damsgaard, J. and Lyytinen, K. (2001), "The role of intermediating institutions in the diffusion of electronic data interchange (EDI): how industry associations intervened in Denmark, Finland, and Hong Kong", The Information Society, Vol. 17 No. 3, pp. 195-210. </w:t>
      </w:r>
    </w:p>
    <w:p w:rsidR="003411BD" w:rsidRPr="003411BD" w:rsidRDefault="003411BD" w:rsidP="003411BD"/>
    <w:p w:rsidR="003411BD" w:rsidRPr="003411BD" w:rsidRDefault="003411BD" w:rsidP="003411BD">
      <w:r w:rsidRPr="003411BD">
        <w:t xml:space="preserve">17. Denzin, N.K. (1989), The Research Act: A Theoretical Introduction to Sociological Methods, Prentice-Hall, Englewood Cliffs, NJ. </w:t>
      </w:r>
    </w:p>
    <w:p w:rsidR="003411BD" w:rsidRPr="003411BD" w:rsidRDefault="003411BD" w:rsidP="003411BD"/>
    <w:p w:rsidR="003411BD" w:rsidRPr="003411BD" w:rsidRDefault="003411BD" w:rsidP="003411BD">
      <w:r w:rsidRPr="003411BD">
        <w:t xml:space="preserve">18. Deshmukh, A. (2004), XBRL, Communications of the Association for Information Systems, Vol. 13, pp. 196-219. </w:t>
      </w:r>
    </w:p>
    <w:p w:rsidR="003411BD" w:rsidRPr="003411BD" w:rsidRDefault="003411BD" w:rsidP="003411BD"/>
    <w:p w:rsidR="003411BD" w:rsidRPr="003411BD" w:rsidRDefault="003411BD" w:rsidP="003411BD">
      <w:r w:rsidRPr="003411BD">
        <w:t xml:space="preserve">19. DiPiazza, S.A.J. and Eccles, R.G. (2002), Building Public Trust: The Future of Corporate Reporting, John Wiley &amp; Sons, New York, NY. </w:t>
      </w:r>
    </w:p>
    <w:p w:rsidR="003411BD" w:rsidRPr="003411BD" w:rsidRDefault="003411BD" w:rsidP="003411BD"/>
    <w:p w:rsidR="003411BD" w:rsidRPr="003411BD" w:rsidRDefault="003411BD" w:rsidP="003411BD">
      <w:r w:rsidRPr="003411BD">
        <w:t xml:space="preserve">20. Donaldson, T. and Preston, L.E. (1995), "The stakeholder theory of the corporation: concepts, evidence, and implications", Academy of Management Review, Vol. 20 No. 1, pp. 65-91. </w:t>
      </w:r>
    </w:p>
    <w:p w:rsidR="003411BD" w:rsidRPr="003411BD" w:rsidRDefault="003411BD" w:rsidP="003411BD"/>
    <w:p w:rsidR="003411BD" w:rsidRPr="003411BD" w:rsidRDefault="003411BD" w:rsidP="003411BD">
      <w:r w:rsidRPr="003411BD">
        <w:t xml:space="preserve">21. Doolin, B. and Troshani, I. (2004), "XBRL: a research note", Qualitative Research in Accounting &amp; Management, Vol. 1 No. 2, pp. 93-104. </w:t>
      </w:r>
    </w:p>
    <w:p w:rsidR="003411BD" w:rsidRPr="003411BD" w:rsidRDefault="003411BD" w:rsidP="003411BD"/>
    <w:p w:rsidR="003411BD" w:rsidRPr="003411BD" w:rsidRDefault="003411BD" w:rsidP="003411BD">
      <w:r w:rsidRPr="003411BD">
        <w:t xml:space="preserve">22. Dosi, G. (1988), "The nature of the innovative process", in Dosi, G., Freeman, C., Nelson, R., Silverberg, G. and Soet, L. (Eds), Technical Change and Economic Theory, Pinter Publishers, London, pp. 221-38. </w:t>
      </w:r>
    </w:p>
    <w:p w:rsidR="003411BD" w:rsidRPr="003411BD" w:rsidRDefault="003411BD" w:rsidP="003411BD"/>
    <w:p w:rsidR="003411BD" w:rsidRPr="003411BD" w:rsidRDefault="003411BD" w:rsidP="003411BD">
      <w:r w:rsidRPr="003411BD">
        <w:t xml:space="preserve">23. Eden, C. (1996), "The stakeholder/collaborator strategy workshop - the Northern Ireland case", in Huxham, C. (Ed.), Creating Collaborative Advantage, Sage, London. </w:t>
      </w:r>
    </w:p>
    <w:p w:rsidR="003411BD" w:rsidRPr="003411BD" w:rsidRDefault="003411BD" w:rsidP="003411BD"/>
    <w:p w:rsidR="003411BD" w:rsidRPr="003411BD" w:rsidRDefault="003411BD" w:rsidP="003411BD">
      <w:r w:rsidRPr="003411BD">
        <w:t xml:space="preserve">24. Eden, C. and van der Heijden, K. (1993), "The relationship between stakeholder analysis and scenario planning", Strathclyde Business School, Glasgow (paper presented at the London School of Economics). </w:t>
      </w:r>
    </w:p>
    <w:p w:rsidR="003411BD" w:rsidRPr="003411BD" w:rsidRDefault="003411BD" w:rsidP="003411BD"/>
    <w:p w:rsidR="003411BD" w:rsidRPr="003411BD" w:rsidRDefault="003411BD" w:rsidP="003411BD">
      <w:r w:rsidRPr="003411BD">
        <w:t xml:space="preserve">25. Enos, J. (1962), Petroleum Progress and Profits: A History of Process Innovation, MIT Press, Cambridge, MA. </w:t>
      </w:r>
    </w:p>
    <w:p w:rsidR="003411BD" w:rsidRPr="003411BD" w:rsidRDefault="003411BD" w:rsidP="003411BD"/>
    <w:p w:rsidR="003411BD" w:rsidRPr="003411BD" w:rsidRDefault="003411BD" w:rsidP="003411BD">
      <w:r w:rsidRPr="003411BD">
        <w:lastRenderedPageBreak/>
        <w:t xml:space="preserve">26. Evan, W.M. and Freeman, R.E. (1988), "A stakeholder theory of the modern corporation: Kantian capitalism", in Beauchamp, T. and Bowie, N. (Eds), Ethical Theory and Business, Prentice-Hall, Englewood Cliffs, NJ. </w:t>
      </w:r>
    </w:p>
    <w:p w:rsidR="003411BD" w:rsidRPr="003411BD" w:rsidRDefault="003411BD" w:rsidP="003411BD"/>
    <w:p w:rsidR="003411BD" w:rsidRPr="003411BD" w:rsidRDefault="003411BD" w:rsidP="003411BD">
      <w:r w:rsidRPr="003411BD">
        <w:t xml:space="preserve">27. Finkelde, K. (2004), "Australian Tax Office: XBRL adoption processes &amp; recommendations", Proceedings of the 9th International XBRL Conference, Auckland. </w:t>
      </w:r>
    </w:p>
    <w:p w:rsidR="003411BD" w:rsidRPr="003411BD" w:rsidRDefault="003411BD" w:rsidP="003411BD"/>
    <w:p w:rsidR="003411BD" w:rsidRPr="003411BD" w:rsidRDefault="003411BD" w:rsidP="003411BD">
      <w:r w:rsidRPr="003411BD">
        <w:t xml:space="preserve">28. Flick, U. (2002), An Introduction to Qualitative Research, Sage, London. </w:t>
      </w:r>
    </w:p>
    <w:p w:rsidR="003411BD" w:rsidRPr="003411BD" w:rsidRDefault="003411BD" w:rsidP="003411BD"/>
    <w:p w:rsidR="003411BD" w:rsidRPr="003411BD" w:rsidRDefault="003411BD" w:rsidP="003411BD">
      <w:r w:rsidRPr="003411BD">
        <w:t xml:space="preserve">29. Frankfort-Nachmias, C. and Nachmias, D. (1996), Research Methods in the Social Sciences, St Martin's Press, New York, NY. </w:t>
      </w:r>
    </w:p>
    <w:p w:rsidR="003411BD" w:rsidRPr="003411BD" w:rsidRDefault="003411BD" w:rsidP="003411BD"/>
    <w:p w:rsidR="003411BD" w:rsidRPr="003411BD" w:rsidRDefault="003411BD" w:rsidP="003411BD">
      <w:r w:rsidRPr="003411BD">
        <w:t xml:space="preserve">30. Freeman, R.E. (1984), Strategic Management: A Stakeholder Approach, Pitman Publishing, Boston, MA. </w:t>
      </w:r>
    </w:p>
    <w:p w:rsidR="003411BD" w:rsidRPr="003411BD" w:rsidRDefault="003411BD" w:rsidP="003411BD"/>
    <w:p w:rsidR="003411BD" w:rsidRPr="003411BD" w:rsidRDefault="003411BD" w:rsidP="003411BD">
      <w:r w:rsidRPr="003411BD">
        <w:t xml:space="preserve">31. Galaskiewicz, J. and Wasserman, S. (1989), "Mimetic processes within an interorganizational field: an empirical test", Administrative Science Quarterly, Vol. 34, pp. 354-479. </w:t>
      </w:r>
    </w:p>
    <w:p w:rsidR="003411BD" w:rsidRPr="003411BD" w:rsidRDefault="003411BD" w:rsidP="003411BD"/>
    <w:p w:rsidR="003411BD" w:rsidRPr="003411BD" w:rsidRDefault="003411BD" w:rsidP="003411BD">
      <w:r w:rsidRPr="003411BD">
        <w:t xml:space="preserve">32. Hamblin, R.L., Miller, J.L.L. and Saxton, D.E. (1979), "Modeling use diffusion", Social Forces, Vol. 57 No. 3, pp. 799-811. </w:t>
      </w:r>
    </w:p>
    <w:p w:rsidR="003411BD" w:rsidRPr="003411BD" w:rsidRDefault="003411BD" w:rsidP="003411BD"/>
    <w:p w:rsidR="003411BD" w:rsidRPr="003411BD" w:rsidRDefault="003411BD" w:rsidP="003411BD">
      <w:r w:rsidRPr="003411BD">
        <w:t xml:space="preserve">33. Hannabuss, S. (1996), "Research interviews", New Library World, Vol. 97 No. 1129, pp. 22-30. </w:t>
      </w:r>
    </w:p>
    <w:p w:rsidR="003411BD" w:rsidRPr="003411BD" w:rsidRDefault="003411BD" w:rsidP="003411BD"/>
    <w:p w:rsidR="003411BD" w:rsidRPr="003411BD" w:rsidRDefault="003411BD" w:rsidP="003411BD">
      <w:r w:rsidRPr="003411BD">
        <w:t xml:space="preserve">34. Hannon, N. (2003), "XBRL for general ledger, the journal taxonomy", Strategic Finance, Vol. 85 No. 2, pp. 63, 67. </w:t>
      </w:r>
    </w:p>
    <w:p w:rsidR="003411BD" w:rsidRPr="003411BD" w:rsidRDefault="003411BD" w:rsidP="003411BD"/>
    <w:p w:rsidR="003411BD" w:rsidRPr="003411BD" w:rsidRDefault="003411BD" w:rsidP="003411BD">
      <w:r w:rsidRPr="003411BD">
        <w:t xml:space="preserve">35. Hanseth, O. and Monteiro, E. (1997), "Inscribing behavior in information infrastructure standards", Accounting, Management &amp; Information Technology, Vol. 7 No. 4, pp. 183-211. </w:t>
      </w:r>
    </w:p>
    <w:p w:rsidR="003411BD" w:rsidRPr="003411BD" w:rsidRDefault="003411BD" w:rsidP="003411BD"/>
    <w:p w:rsidR="003411BD" w:rsidRPr="003411BD" w:rsidRDefault="003411BD" w:rsidP="003411BD">
      <w:r w:rsidRPr="003411BD">
        <w:t xml:space="preserve">36. Hasegawa, M., Sakata, T., Sambuichi, N. and Hannon, N. (2003), "Breathing new life into old systems", Strategic Finance, Vol. 85 No. 9, pp. 46-51. </w:t>
      </w:r>
    </w:p>
    <w:p w:rsidR="003411BD" w:rsidRPr="003411BD" w:rsidRDefault="003411BD" w:rsidP="003411BD"/>
    <w:p w:rsidR="003411BD" w:rsidRPr="003411BD" w:rsidRDefault="003411BD" w:rsidP="003411BD">
      <w:r w:rsidRPr="003411BD">
        <w:t xml:space="preserve">37. Healy, M. and Perry, C. (2000), "Comprehensive criteria to judge validity and reliability of qualitative research within the realism paradigm", Qualitative Market Research: An International Journal, Vol. 3 No. 3, pp. 118-26. </w:t>
      </w:r>
    </w:p>
    <w:p w:rsidR="003411BD" w:rsidRPr="003411BD" w:rsidRDefault="003411BD" w:rsidP="003411BD"/>
    <w:p w:rsidR="003411BD" w:rsidRPr="003411BD" w:rsidRDefault="003411BD" w:rsidP="003411BD">
      <w:r w:rsidRPr="003411BD">
        <w:t xml:space="preserve">38. Heikkilä, J., Vahtera, H. and Reijonen, P. (2004), "Taking organizational implementation seriously: the case of IOS implementation", in Damsgaard, J. and Henriksen, H.Z. (Eds), Networked Information Technologies: Diffusion and Adoption, Kluwer Academic Publishers, Dordrecht. </w:t>
      </w:r>
    </w:p>
    <w:p w:rsidR="003411BD" w:rsidRPr="003411BD" w:rsidRDefault="003411BD" w:rsidP="003411BD"/>
    <w:p w:rsidR="003411BD" w:rsidRPr="003411BD" w:rsidRDefault="003411BD" w:rsidP="003411BD">
      <w:r w:rsidRPr="003411BD">
        <w:t xml:space="preserve">39. Higgins, L.N. and Harrell, H.W. (2003), "XBRL: don't lag behind the digital information revolution", Journal of Corporate Accounting &amp; Finance, Vol. 14 No. 5, pp. 13-21. </w:t>
      </w:r>
    </w:p>
    <w:p w:rsidR="003411BD" w:rsidRPr="003411BD" w:rsidRDefault="003411BD" w:rsidP="003411BD"/>
    <w:p w:rsidR="003411BD" w:rsidRPr="003411BD" w:rsidRDefault="003411BD" w:rsidP="003411BD">
      <w:r w:rsidRPr="003411BD">
        <w:t xml:space="preserve">40. Hivner, W., Hopkins, S.A. and Hopkins, W.E. (2003), "Facilitating, accelerating and sustaining the innovation diffusion process: an epidemic modelling approach", European Journal of Innovation Management, Vol. 6 No. 2, pp. 80-9. </w:t>
      </w:r>
    </w:p>
    <w:p w:rsidR="003411BD" w:rsidRPr="003411BD" w:rsidRDefault="003411BD" w:rsidP="003411BD"/>
    <w:p w:rsidR="003411BD" w:rsidRPr="003411BD" w:rsidRDefault="003411BD" w:rsidP="003411BD">
      <w:r w:rsidRPr="003411BD">
        <w:t xml:space="preserve">41. Huxtable, D. (2002), "Are we XBRL literate?", Australian CPA, Vol. 72 No. 6, p. 64. </w:t>
      </w:r>
    </w:p>
    <w:p w:rsidR="003411BD" w:rsidRPr="003411BD" w:rsidRDefault="003411BD" w:rsidP="003411BD"/>
    <w:p w:rsidR="003411BD" w:rsidRPr="003411BD" w:rsidRDefault="003411BD" w:rsidP="003411BD">
      <w:r w:rsidRPr="003411BD">
        <w:t xml:space="preserve">42. Ibarra, H. (1993), "Network centrality, power, and innovation involvement: determinants of technical and administrative roles", Academy of Management Journal, Vol. 36 No. 3, pp. 471-501. </w:t>
      </w:r>
    </w:p>
    <w:p w:rsidR="003411BD" w:rsidRPr="003411BD" w:rsidRDefault="003411BD" w:rsidP="003411BD"/>
    <w:p w:rsidR="003411BD" w:rsidRPr="003411BD" w:rsidRDefault="003411BD" w:rsidP="003411BD">
      <w:r w:rsidRPr="003411BD">
        <w:t xml:space="preserve">43. Introna, L. and Pouloudi, A. (1998), "Privacy in the information age: stakeholders, interests and values", in van den Hoven, J., Rogerson, S., Bynum, T.W. and Gotterbarn, D. (Eds), ETHICOMP98 - 4th International Conference on Ethical Issues of Information Technology, , pp. 340-52. </w:t>
      </w:r>
    </w:p>
    <w:p w:rsidR="003411BD" w:rsidRPr="003411BD" w:rsidRDefault="003411BD" w:rsidP="003411BD"/>
    <w:p w:rsidR="003411BD" w:rsidRPr="003411BD" w:rsidRDefault="003411BD" w:rsidP="003411BD">
      <w:r w:rsidRPr="003411BD">
        <w:t xml:space="preserve">44. Jones, A. and Willis, M. (2003), "The challenge for XBRL: business reporting for the investor", Balance Sheet, Vol. 11 No. 3, pp. 29-37. </w:t>
      </w:r>
    </w:p>
    <w:p w:rsidR="003411BD" w:rsidRPr="003411BD" w:rsidRDefault="003411BD" w:rsidP="003411BD"/>
    <w:p w:rsidR="003411BD" w:rsidRPr="003411BD" w:rsidRDefault="003411BD" w:rsidP="003411BD">
      <w:r w:rsidRPr="003411BD">
        <w:t xml:space="preserve">45. Katz, M.L. and Shapiro, C. (1986), "Technology adoption in the presence of network externalities", Journal of Political Economy, Vol. 94 No. 4, pp. 822-41. </w:t>
      </w:r>
    </w:p>
    <w:p w:rsidR="003411BD" w:rsidRPr="003411BD" w:rsidRDefault="003411BD" w:rsidP="003411BD"/>
    <w:p w:rsidR="003411BD" w:rsidRPr="003411BD" w:rsidRDefault="003411BD" w:rsidP="003411BD">
      <w:r w:rsidRPr="003411BD">
        <w:lastRenderedPageBreak/>
        <w:t xml:space="preserve">47. King, J.L., Gurbaxani, V., Kraemer, K.L., McFarlan, K.L., Raman, K.S. and Yap, C.S. (1994), "Institutional factors in information technology innovation", Information Systems Research, Vol. 5 No. 2, pp. 139-69. </w:t>
      </w:r>
    </w:p>
    <w:p w:rsidR="003411BD" w:rsidRPr="003411BD" w:rsidRDefault="003411BD" w:rsidP="003411BD"/>
    <w:p w:rsidR="003411BD" w:rsidRPr="003411BD" w:rsidRDefault="003411BD" w:rsidP="003411BD">
      <w:r w:rsidRPr="003411BD">
        <w:t xml:space="preserve">48. Klein, K. and Sorra, J. (1996), "The challenge of innovation implementation", Academy of Management Review, Vol. 21 No. 4, pp. 1055-80. </w:t>
      </w:r>
    </w:p>
    <w:p w:rsidR="003411BD" w:rsidRPr="003411BD" w:rsidRDefault="003411BD" w:rsidP="003411BD"/>
    <w:p w:rsidR="003411BD" w:rsidRPr="003411BD" w:rsidRDefault="003411BD" w:rsidP="003411BD">
      <w:r w:rsidRPr="003411BD">
        <w:t xml:space="preserve">49. Kumar, K. and van Dissel, H.G. (1996), "Sustainable collaboration: managing conflict and cooperation in interorganizational systems", MIS Quarterly, Vol. 20 No. 3, pp. 279-300. </w:t>
      </w:r>
    </w:p>
    <w:p w:rsidR="003411BD" w:rsidRPr="003411BD" w:rsidRDefault="003411BD" w:rsidP="003411BD"/>
    <w:p w:rsidR="003411BD" w:rsidRPr="003411BD" w:rsidRDefault="003411BD" w:rsidP="003411BD">
      <w:r w:rsidRPr="003411BD">
        <w:t xml:space="preserve">50. Kurnia, S. and Dare, A. (2005), "ECR adoption in Australia: the roles of external parties", Proceedings of the CollECTer 2005 Conference, Sydney, 13 July. </w:t>
      </w:r>
    </w:p>
    <w:p w:rsidR="003411BD" w:rsidRPr="003411BD" w:rsidRDefault="003411BD" w:rsidP="003411BD"/>
    <w:p w:rsidR="003411BD" w:rsidRPr="003411BD" w:rsidRDefault="003411BD" w:rsidP="003411BD">
      <w:r w:rsidRPr="003411BD">
        <w:t xml:space="preserve">51. Kurnia, S. and Johnston, R.B. (2000), "The need for a processual view of inter-organizational systems adoption", Journal of Strategic Information Systems, Vol. 9 No. 4, pp. 295-319. </w:t>
      </w:r>
    </w:p>
    <w:p w:rsidR="003411BD" w:rsidRPr="003411BD" w:rsidRDefault="003411BD" w:rsidP="003411BD"/>
    <w:p w:rsidR="003411BD" w:rsidRPr="003411BD" w:rsidRDefault="003411BD" w:rsidP="003411BD">
      <w:r w:rsidRPr="003411BD">
        <w:t xml:space="preserve">52. Liu, B.S.-C., Madhavan, R. and Sudharshan, D. (2005), "DiffuNET: the impact of network structure on diffusion of innovation", European Journal of Innovation Management, Vol. 8 No. 2, pp. 240-62. </w:t>
      </w:r>
    </w:p>
    <w:p w:rsidR="003411BD" w:rsidRPr="003411BD" w:rsidRDefault="003411BD" w:rsidP="003411BD"/>
    <w:p w:rsidR="003411BD" w:rsidRPr="003411BD" w:rsidRDefault="003411BD" w:rsidP="003411BD">
      <w:r w:rsidRPr="003411BD">
        <w:t xml:space="preserve">53. Markus, M.L. (1990), "Toward a "critical mass" theory of interactive media", in Fulk, J. and Steinfield, C.W. (Eds), Organization and Communication Technology, Sage, Newbury Park, CA. </w:t>
      </w:r>
    </w:p>
    <w:p w:rsidR="003411BD" w:rsidRPr="003411BD" w:rsidRDefault="003411BD" w:rsidP="003411BD"/>
    <w:p w:rsidR="003411BD" w:rsidRPr="003411BD" w:rsidRDefault="003411BD" w:rsidP="003411BD">
      <w:r w:rsidRPr="003411BD">
        <w:t xml:space="preserve">54. McAdam, R. (2005), "A multi-level theory of innovation implementation: normative evaluation, legitimisation and conflict", European Journal of Innovation Management, Vol. 8 No. 3, pp. 373-88. </w:t>
      </w:r>
    </w:p>
    <w:p w:rsidR="003411BD" w:rsidRPr="003411BD" w:rsidRDefault="003411BD" w:rsidP="003411BD"/>
    <w:p w:rsidR="003411BD" w:rsidRPr="003411BD" w:rsidRDefault="003411BD" w:rsidP="003411BD">
      <w:r w:rsidRPr="003411BD">
        <w:t xml:space="preserve">55. Misa, T.J. (1992), "Theories of technological change: parameters and purposes", Science, Technology and Human Values, Vol. 17 No. 1, pp. 3-12. </w:t>
      </w:r>
    </w:p>
    <w:p w:rsidR="003411BD" w:rsidRPr="003411BD" w:rsidRDefault="003411BD" w:rsidP="003411BD"/>
    <w:p w:rsidR="003411BD" w:rsidRPr="003411BD" w:rsidRDefault="003411BD" w:rsidP="003411BD">
      <w:r w:rsidRPr="003411BD">
        <w:t xml:space="preserve">56. Mitchell, R.K., Agle, B.R. and Wood, D.J. (1997), "Toward a theory of stakeholder identification and salience: defining the principle of who and what really counts", Academy of Management Review, Vol. 22 No. 4, pp. 853-86. </w:t>
      </w:r>
    </w:p>
    <w:p w:rsidR="003411BD" w:rsidRPr="003411BD" w:rsidRDefault="003411BD" w:rsidP="003411BD"/>
    <w:p w:rsidR="003411BD" w:rsidRPr="003411BD" w:rsidRDefault="003411BD" w:rsidP="003411BD">
      <w:r w:rsidRPr="003411BD">
        <w:lastRenderedPageBreak/>
        <w:t xml:space="preserve">57. Muzzi, C. and Kautz, K. (2004), "Information and communication technologies diffusion in industrial districts", in Damsgaard, J. and Henriksen, H.Z. (Eds), Networked Information Technologies: Diffusion and Adoption, Kluwer Academic Publishers, Dordrecht. </w:t>
      </w:r>
    </w:p>
    <w:p w:rsidR="003411BD" w:rsidRPr="003411BD" w:rsidRDefault="003411BD" w:rsidP="003411BD"/>
    <w:p w:rsidR="003411BD" w:rsidRPr="003411BD" w:rsidRDefault="003411BD" w:rsidP="003411BD">
      <w:r w:rsidRPr="003411BD">
        <w:t xml:space="preserve">58. Nambisan, S. and Agarwal, R. (1998), "The adoption and use of national information infrastructure: a social network and stakeholder perspective", Proceedings of the 19th International Conference on Information Systems, Helsinki, 13-16 December, pp. 313-18. </w:t>
      </w:r>
    </w:p>
    <w:p w:rsidR="003411BD" w:rsidRPr="003411BD" w:rsidRDefault="003411BD" w:rsidP="003411BD"/>
    <w:p w:rsidR="003411BD" w:rsidRPr="003411BD" w:rsidRDefault="003411BD" w:rsidP="003411BD">
      <w:r w:rsidRPr="003411BD">
        <w:t xml:space="preserve">59. Neuman, W.L. (2000), Social Research Methods: Qualitative and Quantitative Approaches, Allyn &amp; Bacon, Boston, MA. </w:t>
      </w:r>
    </w:p>
    <w:p w:rsidR="003411BD" w:rsidRPr="003411BD" w:rsidRDefault="003411BD" w:rsidP="003411BD"/>
    <w:p w:rsidR="003411BD" w:rsidRPr="003411BD" w:rsidRDefault="003411BD" w:rsidP="003411BD">
      <w:r w:rsidRPr="003411BD">
        <w:t xml:space="preserve">60. Nicolaou, A.I., Lord, A.T. and Liu, L. (2003), "Demand for data assurances in electronic commerce: an experimental examination of web-based data exchanges using XML", in Roohani, S.J. (Ed.), Trust and Data Assurances in Capital Markets: The Role of Technology Solutions, Bryant College, Smithfield, RI. </w:t>
      </w:r>
    </w:p>
    <w:p w:rsidR="003411BD" w:rsidRPr="003411BD" w:rsidRDefault="003411BD" w:rsidP="003411BD"/>
    <w:p w:rsidR="003411BD" w:rsidRPr="003411BD" w:rsidRDefault="003411BD" w:rsidP="003411BD">
      <w:r w:rsidRPr="003411BD">
        <w:t xml:space="preserve">61. Nilsson, A., Grisot, M. and Mathiassen, L. (2004), "Translations in network configurations: a case study of system implementation in a hospital", in Damsgaard, J. and Henriksen, H.Z. (Eds), Networked Information Technologies: Diffusion and Adoption, Kluwer Academic Publishers, Dordrecht. </w:t>
      </w:r>
    </w:p>
    <w:p w:rsidR="003411BD" w:rsidRPr="003411BD" w:rsidRDefault="003411BD" w:rsidP="003411BD"/>
    <w:p w:rsidR="003411BD" w:rsidRPr="003411BD" w:rsidRDefault="003411BD" w:rsidP="003411BD">
      <w:r w:rsidRPr="003411BD">
        <w:t xml:space="preserve">62. Papazafeiropoulou, A. (2004), "A framework for the investigation of the institutional layer of IT diffusion: using stakeholder theory to analyse electronic commerce diffusion", in Damsgaard, J. and Henriksen, H.Z. (Eds), Networked Information Technologies: Diffusion and Adoption, Kluwer Academic Publishers, Dordrecht. </w:t>
      </w:r>
    </w:p>
    <w:p w:rsidR="003411BD" w:rsidRPr="003411BD" w:rsidRDefault="003411BD" w:rsidP="003411BD"/>
    <w:p w:rsidR="003411BD" w:rsidRPr="003411BD" w:rsidRDefault="003411BD" w:rsidP="003411BD">
      <w:r w:rsidRPr="003411BD">
        <w:t xml:space="preserve">63. Papazafeiropoulou, A. and Pouloudi, A. (2002), "Applying the normative aspect of stakeholder analysis to electronic commerce diffusion: stakeholder consideration for the elimination of the digital divide", Proceedings of the 36th Hawaii International Conference on Systems Sciences, Maui, 6-9 January. </w:t>
      </w:r>
    </w:p>
    <w:p w:rsidR="003411BD" w:rsidRPr="003411BD" w:rsidRDefault="003411BD" w:rsidP="003411BD"/>
    <w:p w:rsidR="003411BD" w:rsidRPr="003411BD" w:rsidRDefault="003411BD" w:rsidP="003411BD">
      <w:r w:rsidRPr="003411BD">
        <w:t xml:space="preserve">64. Papazafeiropoulou, A., Pouloudi, A. and Currie, W.L. (2001), "Applying the stakeholder concept to electronic commerce: extending previous research to guide government policy makers", Proceedings of the 34th Hawaii International Conference on System Sciences, Maui, 3-6 January. </w:t>
      </w:r>
    </w:p>
    <w:p w:rsidR="003411BD" w:rsidRPr="003411BD" w:rsidRDefault="003411BD" w:rsidP="003411BD"/>
    <w:p w:rsidR="003411BD" w:rsidRPr="003411BD" w:rsidRDefault="003411BD" w:rsidP="003411BD">
      <w:r w:rsidRPr="003411BD">
        <w:lastRenderedPageBreak/>
        <w:t xml:space="preserve">65. Patton, M.Q. (1990), Qualitative Evaluation and Research Methods, Sage Publications, London. </w:t>
      </w:r>
    </w:p>
    <w:p w:rsidR="003411BD" w:rsidRPr="003411BD" w:rsidRDefault="003411BD" w:rsidP="003411BD"/>
    <w:p w:rsidR="003411BD" w:rsidRPr="003411BD" w:rsidRDefault="003411BD" w:rsidP="003411BD">
      <w:r w:rsidRPr="003411BD">
        <w:t xml:space="preserve">66. Pinsker, R. (2003), "XBRL awareness in auditing: a sleeping giant?", Managerial Auditing Journal, Vol. 18 No. 9, pp. 732-6. </w:t>
      </w:r>
    </w:p>
    <w:p w:rsidR="003411BD" w:rsidRPr="003411BD" w:rsidRDefault="003411BD" w:rsidP="003411BD"/>
    <w:p w:rsidR="003411BD" w:rsidRPr="003411BD" w:rsidRDefault="003411BD" w:rsidP="003411BD">
      <w:r w:rsidRPr="003411BD">
        <w:t xml:space="preserve">67. Pinsker, R. (2005), "Teaching XBRL to graduate business students: a hands-on approach", Journal of STEM Education, Vol. 5 Nos 1/2, pp. 5-17. </w:t>
      </w:r>
    </w:p>
    <w:p w:rsidR="003411BD" w:rsidRPr="003411BD" w:rsidRDefault="003411BD" w:rsidP="003411BD"/>
    <w:p w:rsidR="003411BD" w:rsidRPr="003411BD" w:rsidRDefault="003411BD" w:rsidP="003411BD">
      <w:r w:rsidRPr="003411BD">
        <w:t xml:space="preserve">68. Polyani, M. (1967), The Tacit Dimension, Routledge &amp; Kegan Paul, London. </w:t>
      </w:r>
    </w:p>
    <w:p w:rsidR="003411BD" w:rsidRPr="003411BD" w:rsidRDefault="003411BD" w:rsidP="003411BD"/>
    <w:p w:rsidR="003411BD" w:rsidRPr="003411BD" w:rsidRDefault="003411BD" w:rsidP="003411BD">
      <w:r w:rsidRPr="003411BD">
        <w:t xml:space="preserve">69. Pouloudi, A. (1999), "Aspects of the stakeholder concept and their implications for information systems development", Proceedings of the 32nd Hawaii International Conference on System Sciences, Maui, 5-8 January. </w:t>
      </w:r>
    </w:p>
    <w:p w:rsidR="003411BD" w:rsidRPr="003411BD" w:rsidRDefault="003411BD" w:rsidP="003411BD"/>
    <w:p w:rsidR="003411BD" w:rsidRPr="003411BD" w:rsidRDefault="003411BD" w:rsidP="003411BD">
      <w:r w:rsidRPr="003411BD">
        <w:t xml:space="preserve">70. Preston, L.E. and Sapienza, H.J. (1990), "Stakeholder management and corporate performance", The Journal of Behavioral Economics, Vol. 6 No. 1, pp. 361-75. </w:t>
      </w:r>
    </w:p>
    <w:p w:rsidR="003411BD" w:rsidRPr="003411BD" w:rsidRDefault="003411BD" w:rsidP="003411BD"/>
    <w:p w:rsidR="003411BD" w:rsidRPr="003411BD" w:rsidRDefault="003411BD" w:rsidP="003411BD">
      <w:r w:rsidRPr="003411BD">
        <w:t xml:space="preserve">71. Pyman, T. (2004), "XBRL ready or not", Charter, April, pp. 54-5. </w:t>
      </w:r>
    </w:p>
    <w:p w:rsidR="003411BD" w:rsidRPr="003411BD" w:rsidRDefault="003411BD" w:rsidP="003411BD"/>
    <w:p w:rsidR="003411BD" w:rsidRPr="003411BD" w:rsidRDefault="003411BD" w:rsidP="003411BD">
      <w:r w:rsidRPr="003411BD">
        <w:t xml:space="preserve">72. Rackley, L., Betts, J. and Webb, J. (1996), "Conflicts of loyalty - the client versus the user and the stakeholder", in Barroso, P., Bynum, T.W., Rogerson, S. and Joyanes, L. (Eds), ETHICOMP96 - 3rd International Conference: Values and Social Responsibilities in Computer Science, , pp. 351-63. </w:t>
      </w:r>
    </w:p>
    <w:p w:rsidR="003411BD" w:rsidRPr="003411BD" w:rsidRDefault="003411BD" w:rsidP="003411BD"/>
    <w:p w:rsidR="003411BD" w:rsidRPr="003411BD" w:rsidRDefault="003411BD" w:rsidP="003411BD">
      <w:r w:rsidRPr="003411BD">
        <w:t xml:space="preserve">73. Rao, S. and Perry, C. (2004), "The impact of internet use on interfirm relationships in Australian service industries", in Buber, R., Gadner, J. and Richards, L. (Eds), Applying Qualitative Methods to Marketing Management Research, Palgrave Macmillan, New York, NY. </w:t>
      </w:r>
    </w:p>
    <w:p w:rsidR="003411BD" w:rsidRPr="003411BD" w:rsidRDefault="003411BD" w:rsidP="003411BD"/>
    <w:p w:rsidR="003411BD" w:rsidRPr="003411BD" w:rsidRDefault="003411BD" w:rsidP="003411BD">
      <w:r w:rsidRPr="003411BD">
        <w:t xml:space="preserve">74. Rezaee, Z., Elam, R. and Sharbatoghilie, A. (2001), "Continuous auditing: the audit of the future", Managerial Auditing Journal, Vol. 16 No. 3, pp. 150-8. </w:t>
      </w:r>
    </w:p>
    <w:p w:rsidR="003411BD" w:rsidRPr="003411BD" w:rsidRDefault="003411BD" w:rsidP="003411BD"/>
    <w:p w:rsidR="003411BD" w:rsidRPr="003411BD" w:rsidRDefault="003411BD" w:rsidP="003411BD">
      <w:r w:rsidRPr="003411BD">
        <w:t xml:space="preserve">75. Richards, J. and Tibbits, H. (2002), Understanding XBRL, CPA Australia, NSW Branch, Sydney. </w:t>
      </w:r>
    </w:p>
    <w:p w:rsidR="003411BD" w:rsidRPr="003411BD" w:rsidRDefault="003411BD" w:rsidP="003411BD"/>
    <w:p w:rsidR="003411BD" w:rsidRPr="003411BD" w:rsidRDefault="003411BD" w:rsidP="003411BD">
      <w:r w:rsidRPr="003411BD">
        <w:t xml:space="preserve">76. Rogers, E.M. (1995), Diffusion of Innovations, The Free Press, New York, NY. </w:t>
      </w:r>
    </w:p>
    <w:p w:rsidR="003411BD" w:rsidRPr="003411BD" w:rsidRDefault="003411BD" w:rsidP="003411BD"/>
    <w:p w:rsidR="003411BD" w:rsidRPr="003411BD" w:rsidRDefault="003411BD" w:rsidP="003411BD">
      <w:r w:rsidRPr="003411BD">
        <w:t xml:space="preserve">77. Roohani, S.J. (2003), Trust and Data Assurances in Capital Markets: The Role of Technology Solutions, Bryant College &amp; PricewaterhouseCoopers, Smithfield, RI. </w:t>
      </w:r>
    </w:p>
    <w:p w:rsidR="003411BD" w:rsidRPr="003411BD" w:rsidRDefault="003411BD" w:rsidP="003411BD"/>
    <w:p w:rsidR="003411BD" w:rsidRPr="003411BD" w:rsidRDefault="003411BD" w:rsidP="003411BD">
      <w:r w:rsidRPr="003411BD">
        <w:t xml:space="preserve">78. Rowley, T.J. (1997), "Moving beyond dyadic ties: a network theory of stakeholder influences", Academy of Management Review, Vol. 22 No. 4, pp. 887-910. </w:t>
      </w:r>
    </w:p>
    <w:p w:rsidR="003411BD" w:rsidRPr="003411BD" w:rsidRDefault="003411BD" w:rsidP="003411BD"/>
    <w:p w:rsidR="003411BD" w:rsidRPr="003411BD" w:rsidRDefault="003411BD" w:rsidP="003411BD">
      <w:r w:rsidRPr="003411BD">
        <w:t xml:space="preserve">79. Ruf, B.M., Muralidhar, K., Brown, R.M., Janney, J.J. and Paul, K. (2001), "An empirical investigation of the relationship between change in corporate social performance and financial performance: a stakeholder theory perspective", Journal of Business Ethics, Vol. 32, pp. 143-56. </w:t>
      </w:r>
    </w:p>
    <w:p w:rsidR="003411BD" w:rsidRPr="003411BD" w:rsidRDefault="003411BD" w:rsidP="003411BD"/>
    <w:p w:rsidR="003411BD" w:rsidRPr="003411BD" w:rsidRDefault="003411BD" w:rsidP="003411BD">
      <w:r w:rsidRPr="003411BD">
        <w:t xml:space="preserve">80. Ruohonen, M.J. (1995), "Stakeholder thinking in the information strategy planning", in Näsi, J. (Ed.), Understanding Stakeholder Thinking, LSR-Publications, Helsinki, pp. 135-63. </w:t>
      </w:r>
    </w:p>
    <w:p w:rsidR="003411BD" w:rsidRPr="003411BD" w:rsidRDefault="003411BD" w:rsidP="003411BD"/>
    <w:p w:rsidR="003411BD" w:rsidRPr="003411BD" w:rsidRDefault="003411BD" w:rsidP="003411BD">
      <w:r w:rsidRPr="003411BD">
        <w:t xml:space="preserve">81. Salancik, G.R. and Pfeffer, J. (1974), "The bases and use of power in organizational decision-making: the case of universities", Administrative Science Quarterly, Vol. 19 No. 4, pp. 453-73. </w:t>
      </w:r>
    </w:p>
    <w:p w:rsidR="003411BD" w:rsidRPr="003411BD" w:rsidRDefault="003411BD" w:rsidP="003411BD"/>
    <w:p w:rsidR="003411BD" w:rsidRPr="003411BD" w:rsidRDefault="003411BD" w:rsidP="003411BD">
      <w:r w:rsidRPr="003411BD">
        <w:t xml:space="preserve">82. Shanks, G., Rouse, A. and Arnott, D. (1993), "A review of approaches to research and scholarship in information systems", Proceedings of the 4th Australian Conference on Information Systems, Brisbane. </w:t>
      </w:r>
    </w:p>
    <w:p w:rsidR="003411BD" w:rsidRPr="003411BD" w:rsidRDefault="003411BD" w:rsidP="003411BD"/>
    <w:p w:rsidR="003411BD" w:rsidRPr="003411BD" w:rsidRDefault="003411BD" w:rsidP="003411BD">
      <w:r w:rsidRPr="003411BD">
        <w:t xml:space="preserve">83. Shin, M. (2004), "KOSDAQ XBRL Project", Proceedings of the 9th International XBRL Conference, Auckland. </w:t>
      </w:r>
    </w:p>
    <w:p w:rsidR="003411BD" w:rsidRPr="003411BD" w:rsidRDefault="003411BD" w:rsidP="003411BD"/>
    <w:p w:rsidR="003411BD" w:rsidRPr="003411BD" w:rsidRDefault="003411BD" w:rsidP="003411BD">
      <w:r w:rsidRPr="003411BD">
        <w:t xml:space="preserve">84. Smith, H.J. and Hasnas, J. (1999), "Ethics and information systems: the corporate domain", MIS Quarterly, Vol. 23 No. 1, pp. 109-27. </w:t>
      </w:r>
    </w:p>
    <w:p w:rsidR="003411BD" w:rsidRPr="003411BD" w:rsidRDefault="003411BD" w:rsidP="003411BD"/>
    <w:p w:rsidR="003411BD" w:rsidRPr="003411BD" w:rsidRDefault="003411BD" w:rsidP="003411BD">
      <w:r w:rsidRPr="003411BD">
        <w:t xml:space="preserve">85. Sørensen, K.H. and Levold, N. (1992), "Tacit networks, heterogeneous engineers, and embodied technology", Science, Technology and Human Values, Vol. 17 No. 1, pp. 13-35. </w:t>
      </w:r>
    </w:p>
    <w:p w:rsidR="003411BD" w:rsidRPr="003411BD" w:rsidRDefault="003411BD" w:rsidP="003411BD"/>
    <w:p w:rsidR="003411BD" w:rsidRPr="003411BD" w:rsidRDefault="003411BD" w:rsidP="003411BD">
      <w:r w:rsidRPr="003411BD">
        <w:lastRenderedPageBreak/>
        <w:t xml:space="preserve">86. Suchman, M.C. (1995), "Managing legitimacy: strategic and institutional approaches", Academy of Management Review, Vol. 20 No. 3, pp. 571-610. </w:t>
      </w:r>
    </w:p>
    <w:p w:rsidR="003411BD" w:rsidRPr="003411BD" w:rsidRDefault="003411BD" w:rsidP="003411BD"/>
    <w:p w:rsidR="003411BD" w:rsidRPr="003411BD" w:rsidRDefault="003411BD" w:rsidP="003411BD">
      <w:r w:rsidRPr="003411BD">
        <w:t xml:space="preserve">87. Swan, J., Newell, S. and Robertson, M. (2000), "The diffusion, design and social shaping of production management information systems in Europe", Information Technology &amp; People, Vol. 13 No. 1, pp. 27-45. </w:t>
      </w:r>
    </w:p>
    <w:p w:rsidR="003411BD" w:rsidRPr="003411BD" w:rsidRDefault="003411BD" w:rsidP="003411BD"/>
    <w:p w:rsidR="003411BD" w:rsidRPr="003411BD" w:rsidRDefault="003411BD" w:rsidP="003411BD">
      <w:r w:rsidRPr="003411BD">
        <w:t xml:space="preserve">88. Swan, J.A. and Newell, S. (1995), "The role of professional associations in technology diffusion", Organization Studies, Vol. 16 No. 5, pp. 847-74. </w:t>
      </w:r>
    </w:p>
    <w:p w:rsidR="003411BD" w:rsidRPr="003411BD" w:rsidRDefault="003411BD" w:rsidP="003411BD"/>
    <w:p w:rsidR="003411BD" w:rsidRPr="003411BD" w:rsidRDefault="003411BD" w:rsidP="003411BD">
      <w:r w:rsidRPr="003411BD">
        <w:t xml:space="preserve">89. Troshani, I. and Doolin, B. (2005), "Drivers and inhibitors impacting technology adoption: a qualitative investigation into the Australian experience with XBRL", in Vogel, D.R., Walden, P., Gricar, J. and Lenart, G. (Eds), . </w:t>
      </w:r>
    </w:p>
    <w:p w:rsidR="003411BD" w:rsidRPr="003411BD" w:rsidRDefault="003411BD" w:rsidP="003411BD"/>
    <w:p w:rsidR="003411BD" w:rsidRPr="003411BD" w:rsidRDefault="003411BD" w:rsidP="003411BD">
      <w:r w:rsidRPr="003411BD">
        <w:t xml:space="preserve">90. Valente, T.W. (1995), Network Models of the Diffusion of Innovations, Hampton Press, Cresskill, NJ. </w:t>
      </w:r>
    </w:p>
    <w:p w:rsidR="003411BD" w:rsidRPr="003411BD" w:rsidRDefault="003411BD" w:rsidP="003411BD"/>
    <w:p w:rsidR="003411BD" w:rsidRPr="003411BD" w:rsidRDefault="003411BD" w:rsidP="003411BD">
      <w:r w:rsidRPr="003411BD">
        <w:t xml:space="preserve">91. Van de Ven, A.H. and Rogers, E.M. (1988), "Innovation and organisations: critical perspectives", Communication Research, Vol. 15, pp. 632-51. </w:t>
      </w:r>
    </w:p>
    <w:p w:rsidR="003411BD" w:rsidRPr="003411BD" w:rsidRDefault="003411BD" w:rsidP="003411BD"/>
    <w:p w:rsidR="003411BD" w:rsidRPr="003411BD" w:rsidRDefault="003411BD" w:rsidP="003411BD">
      <w:r w:rsidRPr="003411BD">
        <w:t xml:space="preserve">92. Vidgen, R. and McMaster, T. (1996), "Black boxes, non-human stakeholders and the translation of IT through mediation", in Orlikowski, W.J., Walsham, G., Jones, M.R. and DeGross, J.I. (Eds), , Chapman &amp; Hall, London, pp. 250-71. </w:t>
      </w:r>
    </w:p>
    <w:p w:rsidR="003411BD" w:rsidRPr="003411BD" w:rsidRDefault="003411BD" w:rsidP="003411BD"/>
    <w:p w:rsidR="003411BD" w:rsidRPr="003411BD" w:rsidRDefault="003411BD" w:rsidP="003411BD">
      <w:r w:rsidRPr="003411BD">
        <w:t xml:space="preserve">93. Wallace, A. (2001), "The new language of financial reporting", Balance Sheet, Vol. 9 No. 2, pp. 29-32. </w:t>
      </w:r>
    </w:p>
    <w:p w:rsidR="003411BD" w:rsidRPr="003411BD" w:rsidRDefault="003411BD" w:rsidP="003411BD"/>
    <w:p w:rsidR="003411BD" w:rsidRPr="003411BD" w:rsidRDefault="003411BD" w:rsidP="003411BD">
      <w:r w:rsidRPr="003411BD">
        <w:t xml:space="preserve">94. Walsham, G. (1995), "Interpretive case studies in IS research: nature and method", European Journal of Information Systems, Vol. 4, pp. 74-81. </w:t>
      </w:r>
    </w:p>
    <w:p w:rsidR="003411BD" w:rsidRPr="003411BD" w:rsidRDefault="003411BD" w:rsidP="003411BD"/>
    <w:p w:rsidR="003411BD" w:rsidRPr="003411BD" w:rsidRDefault="003411BD" w:rsidP="003411BD">
      <w:r w:rsidRPr="003411BD">
        <w:t xml:space="preserve">95. Walsham, G. (1997), "Actor-network and IS research: current status and future prospects", in Lee, A.S., Liebenau, J. and DeGross, J.I. (Eds), Information Systems and Qualitative Research, Chapman &amp; Hall, London, pp. 466-80. </w:t>
      </w:r>
    </w:p>
    <w:p w:rsidR="003411BD" w:rsidRPr="003411BD" w:rsidRDefault="003411BD" w:rsidP="003411BD"/>
    <w:p w:rsidR="003411BD" w:rsidRPr="003411BD" w:rsidRDefault="003411BD" w:rsidP="003411BD">
      <w:r w:rsidRPr="003411BD">
        <w:t xml:space="preserve">96. Watson, L. (2004), "Benefits XBRL brings to the analyst, market place and tools for analysts", Proceedings of the 9th International XBRL Conference, Auckland. </w:t>
      </w:r>
    </w:p>
    <w:p w:rsidR="003411BD" w:rsidRPr="003411BD" w:rsidRDefault="003411BD" w:rsidP="003411BD"/>
    <w:p w:rsidR="003411BD" w:rsidRPr="003411BD" w:rsidRDefault="003411BD" w:rsidP="003411BD">
      <w:r w:rsidRPr="003411BD">
        <w:t xml:space="preserve">97. Weber, R. (2003), "XML, XBRL, and the future of business and business reporting", in Roohani, S.J. (Ed.), Trust and Data Assurances in Capital Markets: The Role of Technology Solutions, Bryant College, Smithfield, RI. </w:t>
      </w:r>
    </w:p>
    <w:p w:rsidR="003411BD" w:rsidRPr="003411BD" w:rsidRDefault="003411BD" w:rsidP="003411BD"/>
    <w:p w:rsidR="003411BD" w:rsidRPr="003411BD" w:rsidRDefault="003411BD" w:rsidP="003411BD">
      <w:r w:rsidRPr="003411BD">
        <w:t xml:space="preserve">98. Webster, J. (1995), "Networks of collaboration or conflict? Electronic data interchange and power in the supply chain", Journal of Strategic Information Systems, Vol. 4 No. 1, pp. 31-42. </w:t>
      </w:r>
    </w:p>
    <w:p w:rsidR="003411BD" w:rsidRPr="003411BD" w:rsidRDefault="003411BD" w:rsidP="003411BD"/>
    <w:p w:rsidR="003411BD" w:rsidRPr="003411BD" w:rsidRDefault="003411BD" w:rsidP="003411BD">
      <w:r w:rsidRPr="003411BD">
        <w:t xml:space="preserve">99. Willis, M., Tesniere, B. and Jones, A. (2003), "Corporate communications for the 21st century", white paper, PricewaterhouseCoopers, Smithfield, RI. </w:t>
      </w:r>
    </w:p>
    <w:p w:rsidR="003411BD" w:rsidRPr="003411BD" w:rsidRDefault="003411BD" w:rsidP="003411BD"/>
    <w:p w:rsidR="003411BD" w:rsidRPr="003411BD" w:rsidRDefault="003411BD" w:rsidP="003411BD">
      <w:r w:rsidRPr="003411BD">
        <w:t xml:space="preserve">100. Wolfe, R.A. (1994), "Organisational innovation: review, critique and suggested research directions", Journal of Management Studies, Vol. 31 No. 3, pp. 405-31. </w:t>
      </w:r>
    </w:p>
    <w:p w:rsidR="003411BD" w:rsidRPr="003411BD" w:rsidRDefault="003411BD" w:rsidP="003411BD"/>
    <w:p w:rsidR="003411BD" w:rsidRPr="003411BD" w:rsidRDefault="003411BD" w:rsidP="003411BD">
      <w:r w:rsidRPr="003411BD">
        <w:t xml:space="preserve">101. Wood, D.J. (1991), "Corporate social performance revisited", Academy of Management Review, Vol. 16 No. 4, pp. 691-718. </w:t>
      </w:r>
    </w:p>
    <w:p w:rsidR="003411BD" w:rsidRPr="003411BD" w:rsidRDefault="003411BD" w:rsidP="003411BD"/>
    <w:p w:rsidR="003411BD" w:rsidRPr="003411BD" w:rsidRDefault="003411BD" w:rsidP="003411BD">
      <w:r w:rsidRPr="003411BD">
        <w:t xml:space="preserve">102. Wood, R. and Bandura, A. (1989), "Social cognitive theory of organizational management", Academy of Management Review, Vol. 14 No. 1, pp. 361-84. </w:t>
      </w:r>
    </w:p>
    <w:p w:rsidR="003411BD" w:rsidRPr="003411BD" w:rsidRDefault="003411BD" w:rsidP="003411BD"/>
    <w:p w:rsidR="003411BD" w:rsidRPr="003411BD" w:rsidRDefault="003411BD" w:rsidP="003411BD">
      <w:r w:rsidRPr="003411BD">
        <w:t xml:space="preserve">103. Yin, R.K. (1989), Case Study Research: Design and Methods, Sage Publications, London. </w:t>
      </w:r>
    </w:p>
    <w:p w:rsidR="003411BD" w:rsidRPr="003411BD" w:rsidRDefault="003411BD" w:rsidP="003411BD"/>
    <w:p w:rsidR="003411BD" w:rsidRPr="003411BD" w:rsidRDefault="003411BD" w:rsidP="003411BD">
      <w:r w:rsidRPr="003411BD">
        <w:t xml:space="preserve">104. Burton, B.K. and Dunn, C.P. (1996), "Feminist ethics as moral grounding for stakeholder theory", Business Ethics Quarterly, Vol. 6 No. 2, pp. 133-47. </w:t>
      </w:r>
    </w:p>
    <w:p w:rsidR="003411BD" w:rsidRPr="003411BD" w:rsidRDefault="003411BD" w:rsidP="003411BD"/>
    <w:p w:rsidR="003411BD" w:rsidRPr="003411BD" w:rsidRDefault="003411BD" w:rsidP="003411BD">
      <w:r w:rsidRPr="003411BD">
        <w:t xml:space="preserve">Further Reading </w:t>
      </w:r>
    </w:p>
    <w:p w:rsidR="003411BD" w:rsidRPr="003411BD" w:rsidRDefault="003411BD" w:rsidP="003411BD">
      <w:r w:rsidRPr="003411BD">
        <w:t xml:space="preserve">1. Kay, M.H. (2003), "XML five years on: a review of the achievements so far and the challenges ahead", Proceedings of the 2003 ACM Symposium on Document Engineering, Grenoble, 20-22 November. </w:t>
      </w:r>
    </w:p>
    <w:p w:rsidR="003411BD" w:rsidRPr="003411BD" w:rsidRDefault="003411BD" w:rsidP="003411BD"/>
    <w:p w:rsidR="003411BD" w:rsidRPr="003411BD" w:rsidRDefault="003411BD" w:rsidP="003411BD">
      <w:r w:rsidRPr="003411BD">
        <w:t>Appendix</w:t>
      </w:r>
    </w:p>
    <w:p w:rsidR="003411BD" w:rsidRPr="003411BD" w:rsidRDefault="003411BD" w:rsidP="003411BD">
      <w:r w:rsidRPr="003411BD">
        <w:t xml:space="preserve">Corresponding author </w:t>
      </w:r>
    </w:p>
    <w:p w:rsidR="003411BD" w:rsidRPr="003411BD" w:rsidRDefault="003411BD" w:rsidP="003411BD">
      <w:r w:rsidRPr="003411BD">
        <w:t xml:space="preserve">Indrit Troshani can be contacted at: indrit.troshani@ adelaide.edu.au </w:t>
      </w:r>
    </w:p>
    <w:p w:rsidR="003411BD" w:rsidRPr="003411BD" w:rsidRDefault="003411BD" w:rsidP="003411BD">
      <w:r w:rsidRPr="003411BD">
        <w:t>AuthorAffiliation</w:t>
      </w:r>
    </w:p>
    <w:p w:rsidR="003411BD" w:rsidRPr="003411BD" w:rsidRDefault="003411BD" w:rsidP="003411BD">
      <w:r w:rsidRPr="003411BD">
        <w:t xml:space="preserve">Indrit Troshani, School of Commerce, University of Adelaide, Adelaide, Australia </w:t>
      </w:r>
    </w:p>
    <w:p w:rsidR="003411BD" w:rsidRPr="003411BD" w:rsidRDefault="003411BD" w:rsidP="003411BD">
      <w:r w:rsidRPr="003411BD">
        <w:t xml:space="preserve">Bill Doolin, Faculty of Business, Auckland University of Technology, Auckland, New Zealand </w:t>
      </w:r>
    </w:p>
    <w:p w:rsidR="003411BD" w:rsidRPr="003411BD" w:rsidRDefault="003411BD" w:rsidP="003411BD">
      <w:r w:rsidRPr="003411BD">
        <w:t>Illustration</w:t>
      </w:r>
    </w:p>
    <w:p w:rsidR="003411BD" w:rsidRPr="003411BD" w:rsidRDefault="003411BD" w:rsidP="003411BD">
      <w:r w:rsidRPr="003411BD">
        <w:t xml:space="preserve">Table I: Categories of organizations and number of interviews </w:t>
      </w:r>
    </w:p>
    <w:p w:rsidR="003411BD" w:rsidRPr="003411BD" w:rsidRDefault="003411BD" w:rsidP="003411BD">
      <w:r w:rsidRPr="003411BD">
        <w:t xml:space="preserve">Table II: Salience attributes for the XBRL stakeholders in Australia </w:t>
      </w:r>
    </w:p>
    <w:p w:rsidR="003411BD" w:rsidRPr="003411BD" w:rsidRDefault="003411BD" w:rsidP="003411BD">
      <w:r w:rsidRPr="003411BD">
        <w:t>Copyright Emerald Group Publishing Limited 2007</w:t>
      </w:r>
    </w:p>
    <w:p w:rsidR="003411BD" w:rsidRPr="003411BD" w:rsidRDefault="003411BD" w:rsidP="003411BD">
      <w:r w:rsidRPr="003411BD">
        <w:t>Word count: 11681</w:t>
      </w:r>
    </w:p>
    <w:p w:rsidR="003411BD" w:rsidRPr="003411BD" w:rsidRDefault="003411BD" w:rsidP="003411BD">
      <w:proofErr w:type="gramStart"/>
      <w:r w:rsidRPr="003411BD">
        <w:t xml:space="preserve">[ </w:t>
      </w:r>
      <w:proofErr w:type="gramEnd"/>
      <w:hyperlink r:id="rId9" w:history="1">
        <w:r w:rsidRPr="003411BD">
          <w:t>Show less</w:t>
        </w:r>
      </w:hyperlink>
      <w:r w:rsidRPr="003411BD">
        <w:t xml:space="preserve"> ]</w:t>
      </w:r>
    </w:p>
    <w:p w:rsidR="003411BD" w:rsidRPr="003411BD" w:rsidRDefault="003411BD" w:rsidP="003411BD">
      <w:r w:rsidRPr="003411BD">
        <w:t xml:space="preserve">You have requested "on-the-fly" machine translation of selected content from our databases. This functionality is provided solely for your convenience and is in no way intended to replace human translation. </w:t>
      </w:r>
      <w:hyperlink r:id="rId10" w:history="1">
        <w:r w:rsidRPr="003411BD">
          <w:t>Show full disclaimer</w:t>
        </w:r>
      </w:hyperlink>
    </w:p>
    <w:p w:rsidR="003411BD" w:rsidRPr="003411BD" w:rsidRDefault="003411BD" w:rsidP="003411BD">
      <w:r w:rsidRPr="003411BD">
        <w:t xml:space="preserve">Neither ProQuest nor its licensors make any representations or warranties with respect to the translations. The translations are automatically generated "AS IS" and "AS AVAILABLE" and are not retained in our systems. PROQUEST AND ITS LICENSORS SPECIFICALLY DISCLAIM ANY AND ALL EXPRESS OR IMPLIED WARRANTIES, INCLUDING WITHOUT LIMITATION, ANY WARRANTIES FOR AVAILABILITY, ACCURACY, TIMELINESS, COMPLETENESS, NON-INFRINGMENT, MERCHANTABILITY OR FITNESS FOR A PARTICULAR PURPOSE. Your use of the translations is subject to all use restrictions contained in your Electronic Products License Agreement and by using the translation functionality you agree to forgo any and all claims against ProQuest or its licensors for your use of the translation functionality and any output derived there from. </w:t>
      </w:r>
      <w:hyperlink r:id="rId11" w:history="1">
        <w:r w:rsidRPr="003411BD">
          <w:t xml:space="preserve">Hide full disclaimer </w:t>
        </w:r>
      </w:hyperlink>
      <w:r w:rsidRPr="003411BD">
        <w:t>Translations powered by LEC.</w:t>
      </w:r>
      <w:r>
        <w:rPr>
          <w:noProof/>
          <w:lang w:eastAsia="en-GB"/>
        </w:rPr>
        <w:drawing>
          <wp:inline distT="0" distB="0" distL="0" distR="0">
            <wp:extent cx="714375" cy="304800"/>
            <wp:effectExtent l="19050" t="0" r="9525" b="0"/>
            <wp:docPr id="16" name="Picture 16" descr="LEC">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EC">
                      <a:hlinkClick r:id="rId12" tgtFrame="_blank"/>
                    </pic:cNvPr>
                    <pic:cNvPicPr>
                      <a:picLocks noChangeAspect="1" noChangeArrowheads="1"/>
                    </pic:cNvPicPr>
                  </pic:nvPicPr>
                  <pic:blipFill>
                    <a:blip r:embed="rId13"/>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rsidR="003411BD" w:rsidRPr="003411BD" w:rsidRDefault="003411BD" w:rsidP="003411BD">
      <w:r w:rsidRPr="003411BD">
        <w:t xml:space="preserve">Translations powered by LEC. </w:t>
      </w:r>
      <w:r>
        <w:rPr>
          <w:noProof/>
          <w:lang w:eastAsia="en-GB"/>
        </w:rPr>
        <w:drawing>
          <wp:inline distT="0" distB="0" distL="0" distR="0">
            <wp:extent cx="714375" cy="304800"/>
            <wp:effectExtent l="19050" t="0" r="9525" b="0"/>
            <wp:docPr id="17" name="Picture 17" descr="LEC">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C">
                      <a:hlinkClick r:id="rId12" tgtFrame="_blank"/>
                    </pic:cNvPr>
                    <pic:cNvPicPr>
                      <a:picLocks noChangeAspect="1" noChangeArrowheads="1"/>
                    </pic:cNvPicPr>
                  </pic:nvPicPr>
                  <pic:blipFill>
                    <a:blip r:embed="rId13"/>
                    <a:srcRect/>
                    <a:stretch>
                      <a:fillRect/>
                    </a:stretch>
                  </pic:blipFill>
                  <pic:spPr bwMode="auto">
                    <a:xfrm>
                      <a:off x="0" y="0"/>
                      <a:ext cx="714375" cy="304800"/>
                    </a:xfrm>
                    <a:prstGeom prst="rect">
                      <a:avLst/>
                    </a:prstGeom>
                    <a:noFill/>
                    <a:ln w="9525">
                      <a:noFill/>
                      <a:miter lim="800000"/>
                      <a:headEnd/>
                      <a:tailEnd/>
                    </a:ln>
                  </pic:spPr>
                </pic:pic>
              </a:graphicData>
            </a:graphic>
          </wp:inline>
        </w:drawing>
      </w:r>
    </w:p>
    <w:p w:rsidR="003411BD" w:rsidRPr="003411BD" w:rsidRDefault="003411BD" w:rsidP="003411BD">
      <w:bookmarkStart w:id="0" w:name="indexing"/>
      <w:bookmarkEnd w:id="0"/>
      <w:r w:rsidRPr="003411BD">
        <w:t>Indexing (details)</w:t>
      </w:r>
    </w:p>
    <w:p w:rsidR="003411BD" w:rsidRPr="003411BD" w:rsidRDefault="00110C3B" w:rsidP="003411BD">
      <w:hyperlink r:id="rId14" w:tooltip="Cite" w:history="1">
        <w:r w:rsidR="003411BD" w:rsidRPr="003411BD">
          <w:t>Cite</w:t>
        </w:r>
      </w:hyperlink>
      <w:r w:rsidR="003411BD" w:rsidRPr="003411BD">
        <w:t xml:space="preserve"> </w:t>
      </w:r>
    </w:p>
    <w:bookmarkStart w:id="1" w:name="projectcodes"/>
    <w:p w:rsidR="003411BD" w:rsidRPr="003411BD" w:rsidRDefault="00110C3B" w:rsidP="003411BD">
      <w:r w:rsidRPr="003411BD">
        <w:fldChar w:fldCharType="begin"/>
      </w:r>
      <w:r w:rsidR="003411BD" w:rsidRPr="003411BD">
        <w:instrText xml:space="preserve"> HYPERLINK "http://search.proquest.com/help/webframe.html?project_codes.html" \o "Help" </w:instrText>
      </w:r>
      <w:r w:rsidRPr="003411BD">
        <w:fldChar w:fldCharType="separate"/>
      </w:r>
      <w:r w:rsidR="003411BD" w:rsidRPr="003411BD">
        <w:t xml:space="preserve">Help- this link will open in a new window- this link will open in a new window- this link will open in a new </w:t>
      </w:r>
      <w:proofErr w:type="spellStart"/>
      <w:r w:rsidR="003411BD" w:rsidRPr="003411BD">
        <w:t>window</w:t>
      </w:r>
      <w:r w:rsidRPr="003411BD">
        <w:fldChar w:fldCharType="end"/>
      </w:r>
      <w:bookmarkStart w:id="2" w:name="citehelp"/>
      <w:bookmarkEnd w:id="1"/>
      <w:r w:rsidRPr="003411BD">
        <w:fldChar w:fldCharType="begin"/>
      </w:r>
      <w:r w:rsidR="003411BD" w:rsidRPr="003411BD">
        <w:instrText xml:space="preserve"> HYPERLINK "http://search.proquest.com/help/webframe.html?Document_overview.html" \o "Help" </w:instrText>
      </w:r>
      <w:r w:rsidRPr="003411BD">
        <w:fldChar w:fldCharType="separate"/>
      </w:r>
      <w:r w:rsidR="003411BD" w:rsidRPr="003411BD">
        <w:t>Help</w:t>
      </w:r>
      <w:proofErr w:type="spellEnd"/>
      <w:r w:rsidR="003411BD" w:rsidRPr="003411BD">
        <w:t>- this link will open in a new window- this link will open in a new window- this link will open in a new window</w:t>
      </w:r>
      <w:r w:rsidRPr="003411BD">
        <w:fldChar w:fldCharType="end"/>
      </w:r>
      <w:bookmarkEnd w:id="2"/>
      <w:r w:rsidR="003411BD" w:rsidRPr="003411BD">
        <w:t xml:space="preserve"> </w:t>
      </w:r>
    </w:p>
    <w:p w:rsidR="003411BD" w:rsidRPr="003411BD" w:rsidRDefault="003411BD" w:rsidP="003411BD">
      <w:r w:rsidRPr="003411BD">
        <w:lastRenderedPageBreak/>
        <w:t>Please select one or more items.</w:t>
      </w:r>
    </w:p>
    <w:p w:rsidR="003411BD" w:rsidRPr="003411BD" w:rsidRDefault="003411BD" w:rsidP="003411BD">
      <w:bookmarkStart w:id="3" w:name="button_0"/>
      <w:r w:rsidRPr="003411BD">
        <w:t xml:space="preserve">    Close </w:t>
      </w:r>
      <w:bookmarkEnd w:id="3"/>
    </w:p>
    <w:p w:rsidR="003411BD" w:rsidRPr="003411BD" w:rsidRDefault="003411BD" w:rsidP="003411BD">
      <w:r w:rsidRPr="003411BD">
        <w:t>10000008</w:t>
      </w:r>
    </w:p>
    <w:p w:rsidR="003411BD" w:rsidRPr="003411BD" w:rsidRDefault="003411BD" w:rsidP="003411BD">
      <w:r w:rsidRPr="003411BD">
        <w:t xml:space="preserve">Subjects </w:t>
      </w:r>
    </w:p>
    <w:p w:rsidR="003411BD" w:rsidRPr="003411BD" w:rsidRDefault="00110C3B" w:rsidP="003411BD">
      <w:hyperlink r:id="rId15" w:tooltip="Subjects" w:history="1">
        <w:r w:rsidR="003411BD" w:rsidRPr="003411BD">
          <w:t>Studies</w:t>
        </w:r>
      </w:hyperlink>
      <w:r w:rsidR="003411BD" w:rsidRPr="003411BD">
        <w:t xml:space="preserve">, </w:t>
      </w:r>
      <w:hyperlink r:id="rId16" w:tooltip="Subjects" w:history="1">
        <w:r w:rsidR="003411BD" w:rsidRPr="003411BD">
          <w:t>Innovations</w:t>
        </w:r>
      </w:hyperlink>
      <w:r w:rsidR="003411BD" w:rsidRPr="003411BD">
        <w:t xml:space="preserve">, </w:t>
      </w:r>
      <w:hyperlink r:id="rId17" w:tooltip="Subjects" w:history="1">
        <w:r w:rsidR="003411BD" w:rsidRPr="003411BD">
          <w:t>Social networks</w:t>
        </w:r>
      </w:hyperlink>
      <w:r w:rsidR="003411BD" w:rsidRPr="003411BD">
        <w:t xml:space="preserve">, </w:t>
      </w:r>
      <w:hyperlink r:id="rId18" w:tooltip="Subjects" w:history="1">
        <w:r w:rsidR="003411BD" w:rsidRPr="003411BD">
          <w:t>Statistical analysis</w:t>
        </w:r>
      </w:hyperlink>
      <w:r w:rsidR="003411BD" w:rsidRPr="003411BD">
        <w:t xml:space="preserve">, </w:t>
      </w:r>
      <w:hyperlink r:id="rId19" w:tooltip="Subjects" w:history="1">
        <w:r w:rsidR="003411BD" w:rsidRPr="003411BD">
          <w:t>Extensible Markup Language</w:t>
        </w:r>
      </w:hyperlink>
      <w:r w:rsidR="003411BD" w:rsidRPr="003411BD">
        <w:t xml:space="preserve">, </w:t>
      </w:r>
      <w:hyperlink r:id="rId20" w:tooltip="Subjects" w:history="1">
        <w:r w:rsidR="003411BD" w:rsidRPr="003411BD">
          <w:t>Stakeholders</w:t>
        </w:r>
      </w:hyperlink>
      <w:r w:rsidR="003411BD" w:rsidRPr="003411BD">
        <w:t xml:space="preserve">, </w:t>
      </w:r>
      <w:hyperlink r:id="rId21" w:tooltip="Subjects" w:history="1">
        <w:r w:rsidR="003411BD" w:rsidRPr="003411BD">
          <w:t>Supply chain management</w:t>
        </w:r>
      </w:hyperlink>
    </w:p>
    <w:p w:rsidR="003411BD" w:rsidRPr="003411BD" w:rsidRDefault="003411BD" w:rsidP="003411BD">
      <w:r w:rsidRPr="003411BD">
        <w:t xml:space="preserve">Locations </w:t>
      </w:r>
    </w:p>
    <w:p w:rsidR="003411BD" w:rsidRPr="003411BD" w:rsidRDefault="00110C3B" w:rsidP="003411BD">
      <w:hyperlink r:id="rId22" w:tooltip="Locations" w:history="1">
        <w:r w:rsidR="003411BD" w:rsidRPr="003411BD">
          <w:t>Australia</w:t>
        </w:r>
      </w:hyperlink>
    </w:p>
    <w:p w:rsidR="003411BD" w:rsidRPr="003411BD" w:rsidRDefault="003411BD" w:rsidP="003411BD">
      <w:r w:rsidRPr="003411BD">
        <w:t xml:space="preserve">Classification </w:t>
      </w:r>
    </w:p>
    <w:p w:rsidR="003411BD" w:rsidRPr="003411BD" w:rsidRDefault="00110C3B" w:rsidP="003411BD">
      <w:hyperlink r:id="rId23" w:tooltip="Classification" w:history="1">
        <w:r w:rsidR="003411BD" w:rsidRPr="003411BD">
          <w:t>9130: Experimental/theoretical</w:t>
        </w:r>
      </w:hyperlink>
      <w:r w:rsidR="003411BD" w:rsidRPr="003411BD">
        <w:t xml:space="preserve">, </w:t>
      </w:r>
      <w:hyperlink r:id="rId24" w:tooltip="Classification" w:history="1">
        <w:r w:rsidR="003411BD" w:rsidRPr="003411BD">
          <w:t>1220: Social trends &amp; culture</w:t>
        </w:r>
      </w:hyperlink>
      <w:r w:rsidR="003411BD" w:rsidRPr="003411BD">
        <w:t xml:space="preserve">, </w:t>
      </w:r>
      <w:hyperlink r:id="rId25" w:tooltip="Classification" w:history="1">
        <w:r w:rsidR="003411BD" w:rsidRPr="003411BD">
          <w:t>9179: Asia &amp; the Pacific</w:t>
        </w:r>
      </w:hyperlink>
      <w:r w:rsidR="003411BD" w:rsidRPr="003411BD">
        <w:t xml:space="preserve">, </w:t>
      </w:r>
      <w:hyperlink r:id="rId26" w:tooltip="Classification" w:history="1">
        <w:r w:rsidR="003411BD" w:rsidRPr="003411BD">
          <w:t>5240: Software &amp; systems</w:t>
        </w:r>
      </w:hyperlink>
      <w:r w:rsidR="003411BD" w:rsidRPr="003411BD">
        <w:t xml:space="preserve">, </w:t>
      </w:r>
      <w:hyperlink r:id="rId27" w:tooltip="Classification" w:history="1">
        <w:r w:rsidR="003411BD" w:rsidRPr="003411BD">
          <w:t>3400: Investment analysis &amp; personal finance</w:t>
        </w:r>
      </w:hyperlink>
    </w:p>
    <w:p w:rsidR="00CD0AF9" w:rsidRDefault="008C1400" w:rsidP="003411BD"/>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11BD"/>
    <w:rsid w:val="00097A3C"/>
    <w:rsid w:val="00110C3B"/>
    <w:rsid w:val="003411BD"/>
    <w:rsid w:val="004344AB"/>
    <w:rsid w:val="00601D34"/>
    <w:rsid w:val="00622482"/>
    <w:rsid w:val="008C1400"/>
    <w:rsid w:val="00AE3A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1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11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134847">
      <w:marLeft w:val="0"/>
      <w:marRight w:val="0"/>
      <w:marTop w:val="0"/>
      <w:marBottom w:val="0"/>
      <w:divBdr>
        <w:top w:val="none" w:sz="0" w:space="0" w:color="auto"/>
        <w:left w:val="none" w:sz="0" w:space="0" w:color="auto"/>
        <w:bottom w:val="none" w:sz="0" w:space="0" w:color="auto"/>
        <w:right w:val="none" w:sz="0" w:space="0" w:color="auto"/>
      </w:divBdr>
      <w:divsChild>
        <w:div w:id="2087804063">
          <w:marLeft w:val="0"/>
          <w:marRight w:val="0"/>
          <w:marTop w:val="0"/>
          <w:marBottom w:val="0"/>
          <w:divBdr>
            <w:top w:val="none" w:sz="0" w:space="0" w:color="auto"/>
            <w:left w:val="none" w:sz="0" w:space="0" w:color="auto"/>
            <w:bottom w:val="none" w:sz="0" w:space="0" w:color="auto"/>
            <w:right w:val="none" w:sz="0" w:space="0" w:color="auto"/>
          </w:divBdr>
        </w:div>
        <w:div w:id="181942666">
          <w:marLeft w:val="0"/>
          <w:marRight w:val="0"/>
          <w:marTop w:val="0"/>
          <w:marBottom w:val="0"/>
          <w:divBdr>
            <w:top w:val="none" w:sz="0" w:space="0" w:color="auto"/>
            <w:left w:val="none" w:sz="0" w:space="0" w:color="auto"/>
            <w:bottom w:val="none" w:sz="0" w:space="0" w:color="auto"/>
            <w:right w:val="none" w:sz="0" w:space="0" w:color="auto"/>
          </w:divBdr>
          <w:divsChild>
            <w:div w:id="1765684978">
              <w:marLeft w:val="0"/>
              <w:marRight w:val="0"/>
              <w:marTop w:val="0"/>
              <w:marBottom w:val="0"/>
              <w:divBdr>
                <w:top w:val="none" w:sz="0" w:space="0" w:color="auto"/>
                <w:left w:val="none" w:sz="0" w:space="0" w:color="auto"/>
                <w:bottom w:val="none" w:sz="0" w:space="0" w:color="auto"/>
                <w:right w:val="none" w:sz="0" w:space="0" w:color="auto"/>
              </w:divBdr>
              <w:divsChild>
                <w:div w:id="964387876">
                  <w:marLeft w:val="0"/>
                  <w:marRight w:val="0"/>
                  <w:marTop w:val="0"/>
                  <w:marBottom w:val="0"/>
                  <w:divBdr>
                    <w:top w:val="none" w:sz="0" w:space="0" w:color="auto"/>
                    <w:left w:val="none" w:sz="0" w:space="0" w:color="auto"/>
                    <w:bottom w:val="none" w:sz="0" w:space="0" w:color="auto"/>
                    <w:right w:val="none" w:sz="0" w:space="0" w:color="auto"/>
                  </w:divBdr>
                  <w:divsChild>
                    <w:div w:id="179301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642961">
      <w:marLeft w:val="0"/>
      <w:marRight w:val="0"/>
      <w:marTop w:val="0"/>
      <w:marBottom w:val="0"/>
      <w:divBdr>
        <w:top w:val="none" w:sz="0" w:space="0" w:color="auto"/>
        <w:left w:val="none" w:sz="0" w:space="0" w:color="auto"/>
        <w:bottom w:val="none" w:sz="0" w:space="0" w:color="auto"/>
        <w:right w:val="none" w:sz="0" w:space="0" w:color="auto"/>
      </w:divBdr>
    </w:div>
    <w:div w:id="321398123">
      <w:marLeft w:val="0"/>
      <w:marRight w:val="0"/>
      <w:marTop w:val="0"/>
      <w:marBottom w:val="0"/>
      <w:divBdr>
        <w:top w:val="none" w:sz="0" w:space="0" w:color="auto"/>
        <w:left w:val="none" w:sz="0" w:space="0" w:color="auto"/>
        <w:bottom w:val="none" w:sz="0" w:space="0" w:color="auto"/>
        <w:right w:val="none" w:sz="0" w:space="0" w:color="auto"/>
      </w:divBdr>
      <w:divsChild>
        <w:div w:id="1047993966">
          <w:marLeft w:val="0"/>
          <w:marRight w:val="0"/>
          <w:marTop w:val="0"/>
          <w:marBottom w:val="0"/>
          <w:divBdr>
            <w:top w:val="none" w:sz="0" w:space="0" w:color="auto"/>
            <w:left w:val="none" w:sz="0" w:space="0" w:color="auto"/>
            <w:bottom w:val="none" w:sz="0" w:space="0" w:color="auto"/>
            <w:right w:val="none" w:sz="0" w:space="0" w:color="auto"/>
          </w:divBdr>
        </w:div>
        <w:div w:id="121386957">
          <w:marLeft w:val="0"/>
          <w:marRight w:val="0"/>
          <w:marTop w:val="0"/>
          <w:marBottom w:val="0"/>
          <w:divBdr>
            <w:top w:val="none" w:sz="0" w:space="0" w:color="auto"/>
            <w:left w:val="none" w:sz="0" w:space="0" w:color="auto"/>
            <w:bottom w:val="none" w:sz="0" w:space="0" w:color="auto"/>
            <w:right w:val="none" w:sz="0" w:space="0" w:color="auto"/>
          </w:divBdr>
          <w:divsChild>
            <w:div w:id="96675676">
              <w:marLeft w:val="0"/>
              <w:marRight w:val="0"/>
              <w:marTop w:val="0"/>
              <w:marBottom w:val="0"/>
              <w:divBdr>
                <w:top w:val="none" w:sz="0" w:space="0" w:color="auto"/>
                <w:left w:val="none" w:sz="0" w:space="0" w:color="auto"/>
                <w:bottom w:val="none" w:sz="0" w:space="0" w:color="auto"/>
                <w:right w:val="none" w:sz="0" w:space="0" w:color="auto"/>
              </w:divBdr>
            </w:div>
            <w:div w:id="385839321">
              <w:marLeft w:val="150"/>
              <w:marRight w:val="0"/>
              <w:marTop w:val="30"/>
              <w:marBottom w:val="0"/>
              <w:divBdr>
                <w:top w:val="none" w:sz="0" w:space="0" w:color="auto"/>
                <w:left w:val="none" w:sz="0" w:space="0" w:color="auto"/>
                <w:bottom w:val="none" w:sz="0" w:space="0" w:color="auto"/>
                <w:right w:val="none" w:sz="0" w:space="0" w:color="auto"/>
              </w:divBdr>
              <w:divsChild>
                <w:div w:id="273876527">
                  <w:marLeft w:val="0"/>
                  <w:marRight w:val="0"/>
                  <w:marTop w:val="0"/>
                  <w:marBottom w:val="0"/>
                  <w:divBdr>
                    <w:top w:val="none" w:sz="0" w:space="0" w:color="auto"/>
                    <w:left w:val="none" w:sz="0" w:space="0" w:color="auto"/>
                    <w:bottom w:val="none" w:sz="0" w:space="0" w:color="auto"/>
                    <w:right w:val="none" w:sz="0" w:space="0" w:color="auto"/>
                  </w:divBdr>
                </w:div>
                <w:div w:id="611397636">
                  <w:marLeft w:val="0"/>
                  <w:marRight w:val="0"/>
                  <w:marTop w:val="0"/>
                  <w:marBottom w:val="0"/>
                  <w:divBdr>
                    <w:top w:val="none" w:sz="0" w:space="0" w:color="auto"/>
                    <w:left w:val="none" w:sz="0" w:space="0" w:color="auto"/>
                    <w:bottom w:val="none" w:sz="0" w:space="0" w:color="auto"/>
                    <w:right w:val="none" w:sz="0" w:space="0" w:color="auto"/>
                  </w:divBdr>
                  <w:divsChild>
                    <w:div w:id="1354839151">
                      <w:marLeft w:val="0"/>
                      <w:marRight w:val="0"/>
                      <w:marTop w:val="0"/>
                      <w:marBottom w:val="0"/>
                      <w:divBdr>
                        <w:top w:val="none" w:sz="0" w:space="0" w:color="auto"/>
                        <w:left w:val="none" w:sz="0" w:space="0" w:color="auto"/>
                        <w:bottom w:val="none" w:sz="0" w:space="0" w:color="auto"/>
                        <w:right w:val="none" w:sz="0" w:space="0" w:color="auto"/>
                      </w:divBdr>
                    </w:div>
                  </w:divsChild>
                </w:div>
                <w:div w:id="671220089">
                  <w:marLeft w:val="0"/>
                  <w:marRight w:val="0"/>
                  <w:marTop w:val="0"/>
                  <w:marBottom w:val="0"/>
                  <w:divBdr>
                    <w:top w:val="none" w:sz="0" w:space="0" w:color="auto"/>
                    <w:left w:val="none" w:sz="0" w:space="0" w:color="auto"/>
                    <w:bottom w:val="none" w:sz="0" w:space="0" w:color="auto"/>
                    <w:right w:val="none" w:sz="0" w:space="0" w:color="auto"/>
                  </w:divBdr>
                  <w:divsChild>
                    <w:div w:id="879056616">
                      <w:marLeft w:val="0"/>
                      <w:marRight w:val="0"/>
                      <w:marTop w:val="30"/>
                      <w:marBottom w:val="0"/>
                      <w:divBdr>
                        <w:top w:val="none" w:sz="0" w:space="0" w:color="auto"/>
                        <w:left w:val="none" w:sz="0" w:space="0" w:color="auto"/>
                        <w:bottom w:val="none" w:sz="0" w:space="0" w:color="auto"/>
                        <w:right w:val="none" w:sz="0" w:space="0" w:color="auto"/>
                      </w:divBdr>
                      <w:divsChild>
                        <w:div w:id="54842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67047">
              <w:marLeft w:val="0"/>
              <w:marRight w:val="0"/>
              <w:marTop w:val="225"/>
              <w:marBottom w:val="0"/>
              <w:divBdr>
                <w:top w:val="none" w:sz="0" w:space="0" w:color="auto"/>
                <w:left w:val="none" w:sz="0" w:space="0" w:color="auto"/>
                <w:bottom w:val="none" w:sz="0" w:space="0" w:color="auto"/>
                <w:right w:val="none" w:sz="0" w:space="0" w:color="auto"/>
              </w:divBdr>
              <w:divsChild>
                <w:div w:id="1895702808">
                  <w:marLeft w:val="0"/>
                  <w:marRight w:val="0"/>
                  <w:marTop w:val="0"/>
                  <w:marBottom w:val="0"/>
                  <w:divBdr>
                    <w:top w:val="none" w:sz="0" w:space="0" w:color="auto"/>
                    <w:left w:val="none" w:sz="0" w:space="0" w:color="auto"/>
                    <w:bottom w:val="none" w:sz="0" w:space="0" w:color="auto"/>
                    <w:right w:val="none" w:sz="0" w:space="0" w:color="auto"/>
                  </w:divBdr>
                </w:div>
                <w:div w:id="724527362">
                  <w:marLeft w:val="0"/>
                  <w:marRight w:val="0"/>
                  <w:marTop w:val="0"/>
                  <w:marBottom w:val="0"/>
                  <w:divBdr>
                    <w:top w:val="none" w:sz="0" w:space="0" w:color="auto"/>
                    <w:left w:val="none" w:sz="0" w:space="0" w:color="auto"/>
                    <w:bottom w:val="none" w:sz="0" w:space="0" w:color="auto"/>
                    <w:right w:val="none" w:sz="0" w:space="0" w:color="auto"/>
                  </w:divBdr>
                  <w:divsChild>
                    <w:div w:id="1388722827">
                      <w:marLeft w:val="0"/>
                      <w:marRight w:val="0"/>
                      <w:marTop w:val="0"/>
                      <w:marBottom w:val="0"/>
                      <w:divBdr>
                        <w:top w:val="none" w:sz="0" w:space="0" w:color="auto"/>
                        <w:left w:val="none" w:sz="0" w:space="0" w:color="auto"/>
                        <w:bottom w:val="none" w:sz="0" w:space="0" w:color="auto"/>
                        <w:right w:val="none" w:sz="0" w:space="0" w:color="auto"/>
                      </w:divBdr>
                      <w:divsChild>
                        <w:div w:id="1353142113">
                          <w:marLeft w:val="0"/>
                          <w:marRight w:val="0"/>
                          <w:marTop w:val="0"/>
                          <w:marBottom w:val="0"/>
                          <w:divBdr>
                            <w:top w:val="none" w:sz="0" w:space="0" w:color="auto"/>
                            <w:left w:val="none" w:sz="0" w:space="0" w:color="auto"/>
                            <w:bottom w:val="none" w:sz="0" w:space="0" w:color="auto"/>
                            <w:right w:val="none" w:sz="0" w:space="0" w:color="auto"/>
                          </w:divBdr>
                          <w:divsChild>
                            <w:div w:id="156626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07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854440">
          <w:marLeft w:val="0"/>
          <w:marRight w:val="0"/>
          <w:marTop w:val="0"/>
          <w:marBottom w:val="0"/>
          <w:divBdr>
            <w:top w:val="none" w:sz="0" w:space="0" w:color="auto"/>
            <w:left w:val="none" w:sz="0" w:space="0" w:color="auto"/>
            <w:bottom w:val="none" w:sz="0" w:space="0" w:color="auto"/>
            <w:right w:val="none" w:sz="0" w:space="0" w:color="auto"/>
          </w:divBdr>
          <w:divsChild>
            <w:div w:id="1066420259">
              <w:marLeft w:val="0"/>
              <w:marRight w:val="0"/>
              <w:marTop w:val="0"/>
              <w:marBottom w:val="0"/>
              <w:divBdr>
                <w:top w:val="none" w:sz="0" w:space="0" w:color="auto"/>
                <w:left w:val="none" w:sz="0" w:space="0" w:color="auto"/>
                <w:bottom w:val="none" w:sz="0" w:space="0" w:color="auto"/>
                <w:right w:val="none" w:sz="0" w:space="0" w:color="auto"/>
              </w:divBdr>
            </w:div>
            <w:div w:id="1828088929">
              <w:marLeft w:val="150"/>
              <w:marRight w:val="0"/>
              <w:marTop w:val="30"/>
              <w:marBottom w:val="0"/>
              <w:divBdr>
                <w:top w:val="none" w:sz="0" w:space="0" w:color="auto"/>
                <w:left w:val="none" w:sz="0" w:space="0" w:color="auto"/>
                <w:bottom w:val="none" w:sz="0" w:space="0" w:color="auto"/>
                <w:right w:val="none" w:sz="0" w:space="0" w:color="auto"/>
              </w:divBdr>
              <w:divsChild>
                <w:div w:id="720518050">
                  <w:marLeft w:val="0"/>
                  <w:marRight w:val="0"/>
                  <w:marTop w:val="0"/>
                  <w:marBottom w:val="0"/>
                  <w:divBdr>
                    <w:top w:val="none" w:sz="0" w:space="0" w:color="auto"/>
                    <w:left w:val="none" w:sz="0" w:space="0" w:color="auto"/>
                    <w:bottom w:val="none" w:sz="0" w:space="0" w:color="auto"/>
                    <w:right w:val="none" w:sz="0" w:space="0" w:color="auto"/>
                  </w:divBdr>
                </w:div>
                <w:div w:id="572937686">
                  <w:marLeft w:val="0"/>
                  <w:marRight w:val="0"/>
                  <w:marTop w:val="0"/>
                  <w:marBottom w:val="0"/>
                  <w:divBdr>
                    <w:top w:val="none" w:sz="0" w:space="0" w:color="auto"/>
                    <w:left w:val="none" w:sz="0" w:space="0" w:color="auto"/>
                    <w:bottom w:val="none" w:sz="0" w:space="0" w:color="auto"/>
                    <w:right w:val="none" w:sz="0" w:space="0" w:color="auto"/>
                  </w:divBdr>
                  <w:divsChild>
                    <w:div w:id="1413235194">
                      <w:marLeft w:val="0"/>
                      <w:marRight w:val="0"/>
                      <w:marTop w:val="0"/>
                      <w:marBottom w:val="0"/>
                      <w:divBdr>
                        <w:top w:val="none" w:sz="0" w:space="0" w:color="auto"/>
                        <w:left w:val="none" w:sz="0" w:space="0" w:color="auto"/>
                        <w:bottom w:val="none" w:sz="0" w:space="0" w:color="auto"/>
                        <w:right w:val="none" w:sz="0" w:space="0" w:color="auto"/>
                      </w:divBdr>
                    </w:div>
                  </w:divsChild>
                </w:div>
                <w:div w:id="1672369197">
                  <w:marLeft w:val="0"/>
                  <w:marRight w:val="0"/>
                  <w:marTop w:val="0"/>
                  <w:marBottom w:val="0"/>
                  <w:divBdr>
                    <w:top w:val="none" w:sz="0" w:space="0" w:color="auto"/>
                    <w:left w:val="none" w:sz="0" w:space="0" w:color="auto"/>
                    <w:bottom w:val="none" w:sz="0" w:space="0" w:color="auto"/>
                    <w:right w:val="none" w:sz="0" w:space="0" w:color="auto"/>
                  </w:divBdr>
                  <w:divsChild>
                    <w:div w:id="2127000413">
                      <w:marLeft w:val="0"/>
                      <w:marRight w:val="0"/>
                      <w:marTop w:val="30"/>
                      <w:marBottom w:val="0"/>
                      <w:divBdr>
                        <w:top w:val="none" w:sz="0" w:space="0" w:color="auto"/>
                        <w:left w:val="none" w:sz="0" w:space="0" w:color="auto"/>
                        <w:bottom w:val="none" w:sz="0" w:space="0" w:color="auto"/>
                        <w:right w:val="none" w:sz="0" w:space="0" w:color="auto"/>
                      </w:divBdr>
                      <w:divsChild>
                        <w:div w:id="11294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565867">
          <w:marLeft w:val="0"/>
          <w:marRight w:val="0"/>
          <w:marTop w:val="225"/>
          <w:marBottom w:val="0"/>
          <w:divBdr>
            <w:top w:val="none" w:sz="0" w:space="0" w:color="auto"/>
            <w:left w:val="none" w:sz="0" w:space="0" w:color="auto"/>
            <w:bottom w:val="none" w:sz="0" w:space="0" w:color="auto"/>
            <w:right w:val="none" w:sz="0" w:space="0" w:color="auto"/>
          </w:divBdr>
          <w:divsChild>
            <w:div w:id="629479249">
              <w:marLeft w:val="0"/>
              <w:marRight w:val="0"/>
              <w:marTop w:val="0"/>
              <w:marBottom w:val="0"/>
              <w:divBdr>
                <w:top w:val="none" w:sz="0" w:space="0" w:color="auto"/>
                <w:left w:val="none" w:sz="0" w:space="0" w:color="auto"/>
                <w:bottom w:val="none" w:sz="0" w:space="0" w:color="auto"/>
                <w:right w:val="none" w:sz="0" w:space="0" w:color="auto"/>
              </w:divBdr>
              <w:divsChild>
                <w:div w:id="1674411518">
                  <w:marLeft w:val="0"/>
                  <w:marRight w:val="0"/>
                  <w:marTop w:val="0"/>
                  <w:marBottom w:val="0"/>
                  <w:divBdr>
                    <w:top w:val="none" w:sz="0" w:space="0" w:color="auto"/>
                    <w:left w:val="none" w:sz="0" w:space="0" w:color="auto"/>
                    <w:bottom w:val="none" w:sz="0" w:space="0" w:color="auto"/>
                    <w:right w:val="none" w:sz="0" w:space="0" w:color="auto"/>
                  </w:divBdr>
                </w:div>
                <w:div w:id="1522433047">
                  <w:marLeft w:val="0"/>
                  <w:marRight w:val="0"/>
                  <w:marTop w:val="0"/>
                  <w:marBottom w:val="0"/>
                  <w:divBdr>
                    <w:top w:val="none" w:sz="0" w:space="0" w:color="auto"/>
                    <w:left w:val="none" w:sz="0" w:space="0" w:color="auto"/>
                    <w:bottom w:val="none" w:sz="0" w:space="0" w:color="auto"/>
                    <w:right w:val="none" w:sz="0" w:space="0" w:color="auto"/>
                  </w:divBdr>
                  <w:divsChild>
                    <w:div w:id="83422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261006">
              <w:marLeft w:val="0"/>
              <w:marRight w:val="0"/>
              <w:marTop w:val="0"/>
              <w:marBottom w:val="0"/>
              <w:divBdr>
                <w:top w:val="none" w:sz="0" w:space="0" w:color="auto"/>
                <w:left w:val="none" w:sz="0" w:space="0" w:color="auto"/>
                <w:bottom w:val="none" w:sz="0" w:space="0" w:color="auto"/>
                <w:right w:val="none" w:sz="0" w:space="0" w:color="auto"/>
              </w:divBdr>
              <w:divsChild>
                <w:div w:id="24528696">
                  <w:marLeft w:val="0"/>
                  <w:marRight w:val="0"/>
                  <w:marTop w:val="0"/>
                  <w:marBottom w:val="0"/>
                  <w:divBdr>
                    <w:top w:val="none" w:sz="0" w:space="0" w:color="auto"/>
                    <w:left w:val="none" w:sz="0" w:space="0" w:color="auto"/>
                    <w:bottom w:val="none" w:sz="0" w:space="0" w:color="auto"/>
                    <w:right w:val="none" w:sz="0" w:space="0" w:color="auto"/>
                  </w:divBdr>
                </w:div>
                <w:div w:id="689452937">
                  <w:marLeft w:val="0"/>
                  <w:marRight w:val="0"/>
                  <w:marTop w:val="0"/>
                  <w:marBottom w:val="0"/>
                  <w:divBdr>
                    <w:top w:val="none" w:sz="0" w:space="0" w:color="auto"/>
                    <w:left w:val="none" w:sz="0" w:space="0" w:color="auto"/>
                    <w:bottom w:val="none" w:sz="0" w:space="0" w:color="auto"/>
                    <w:right w:val="none" w:sz="0" w:space="0" w:color="auto"/>
                  </w:divBdr>
                  <w:divsChild>
                    <w:div w:id="105751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09745">
              <w:marLeft w:val="0"/>
              <w:marRight w:val="0"/>
              <w:marTop w:val="0"/>
              <w:marBottom w:val="0"/>
              <w:divBdr>
                <w:top w:val="none" w:sz="0" w:space="0" w:color="auto"/>
                <w:left w:val="none" w:sz="0" w:space="0" w:color="auto"/>
                <w:bottom w:val="none" w:sz="0" w:space="0" w:color="auto"/>
                <w:right w:val="none" w:sz="0" w:space="0" w:color="auto"/>
              </w:divBdr>
              <w:divsChild>
                <w:div w:id="1870490616">
                  <w:marLeft w:val="0"/>
                  <w:marRight w:val="0"/>
                  <w:marTop w:val="0"/>
                  <w:marBottom w:val="0"/>
                  <w:divBdr>
                    <w:top w:val="none" w:sz="0" w:space="0" w:color="auto"/>
                    <w:left w:val="none" w:sz="0" w:space="0" w:color="auto"/>
                    <w:bottom w:val="none" w:sz="0" w:space="0" w:color="auto"/>
                    <w:right w:val="none" w:sz="0" w:space="0" w:color="auto"/>
                  </w:divBdr>
                </w:div>
                <w:div w:id="1200817903">
                  <w:marLeft w:val="0"/>
                  <w:marRight w:val="0"/>
                  <w:marTop w:val="0"/>
                  <w:marBottom w:val="0"/>
                  <w:divBdr>
                    <w:top w:val="none" w:sz="0" w:space="0" w:color="auto"/>
                    <w:left w:val="none" w:sz="0" w:space="0" w:color="auto"/>
                    <w:bottom w:val="none" w:sz="0" w:space="0" w:color="auto"/>
                    <w:right w:val="none" w:sz="0" w:space="0" w:color="auto"/>
                  </w:divBdr>
                  <w:divsChild>
                    <w:div w:id="102933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1256">
              <w:marLeft w:val="0"/>
              <w:marRight w:val="0"/>
              <w:marTop w:val="0"/>
              <w:marBottom w:val="0"/>
              <w:divBdr>
                <w:top w:val="none" w:sz="0" w:space="0" w:color="auto"/>
                <w:left w:val="none" w:sz="0" w:space="0" w:color="auto"/>
                <w:bottom w:val="none" w:sz="0" w:space="0" w:color="auto"/>
                <w:right w:val="none" w:sz="0" w:space="0" w:color="auto"/>
              </w:divBdr>
              <w:divsChild>
                <w:div w:id="1654794515">
                  <w:marLeft w:val="0"/>
                  <w:marRight w:val="0"/>
                  <w:marTop w:val="0"/>
                  <w:marBottom w:val="0"/>
                  <w:divBdr>
                    <w:top w:val="none" w:sz="0" w:space="0" w:color="auto"/>
                    <w:left w:val="none" w:sz="0" w:space="0" w:color="auto"/>
                    <w:bottom w:val="none" w:sz="0" w:space="0" w:color="auto"/>
                    <w:right w:val="none" w:sz="0" w:space="0" w:color="auto"/>
                  </w:divBdr>
                </w:div>
                <w:div w:id="1845121406">
                  <w:marLeft w:val="0"/>
                  <w:marRight w:val="0"/>
                  <w:marTop w:val="0"/>
                  <w:marBottom w:val="0"/>
                  <w:divBdr>
                    <w:top w:val="none" w:sz="0" w:space="0" w:color="auto"/>
                    <w:left w:val="none" w:sz="0" w:space="0" w:color="auto"/>
                    <w:bottom w:val="none" w:sz="0" w:space="0" w:color="auto"/>
                    <w:right w:val="none" w:sz="0" w:space="0" w:color="auto"/>
                  </w:divBdr>
                  <w:divsChild>
                    <w:div w:id="151495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39033">
              <w:marLeft w:val="0"/>
              <w:marRight w:val="0"/>
              <w:marTop w:val="0"/>
              <w:marBottom w:val="0"/>
              <w:divBdr>
                <w:top w:val="none" w:sz="0" w:space="0" w:color="auto"/>
                <w:left w:val="none" w:sz="0" w:space="0" w:color="auto"/>
                <w:bottom w:val="none" w:sz="0" w:space="0" w:color="auto"/>
                <w:right w:val="none" w:sz="0" w:space="0" w:color="auto"/>
              </w:divBdr>
              <w:divsChild>
                <w:div w:id="736704200">
                  <w:marLeft w:val="0"/>
                  <w:marRight w:val="0"/>
                  <w:marTop w:val="0"/>
                  <w:marBottom w:val="0"/>
                  <w:divBdr>
                    <w:top w:val="none" w:sz="0" w:space="0" w:color="auto"/>
                    <w:left w:val="none" w:sz="0" w:space="0" w:color="auto"/>
                    <w:bottom w:val="none" w:sz="0" w:space="0" w:color="auto"/>
                    <w:right w:val="none" w:sz="0" w:space="0" w:color="auto"/>
                  </w:divBdr>
                </w:div>
                <w:div w:id="707409542">
                  <w:marLeft w:val="0"/>
                  <w:marRight w:val="0"/>
                  <w:marTop w:val="0"/>
                  <w:marBottom w:val="0"/>
                  <w:divBdr>
                    <w:top w:val="none" w:sz="0" w:space="0" w:color="auto"/>
                    <w:left w:val="none" w:sz="0" w:space="0" w:color="auto"/>
                    <w:bottom w:val="none" w:sz="0" w:space="0" w:color="auto"/>
                    <w:right w:val="none" w:sz="0" w:space="0" w:color="auto"/>
                  </w:divBdr>
                  <w:divsChild>
                    <w:div w:id="51179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35514">
              <w:marLeft w:val="0"/>
              <w:marRight w:val="0"/>
              <w:marTop w:val="0"/>
              <w:marBottom w:val="0"/>
              <w:divBdr>
                <w:top w:val="none" w:sz="0" w:space="0" w:color="auto"/>
                <w:left w:val="none" w:sz="0" w:space="0" w:color="auto"/>
                <w:bottom w:val="none" w:sz="0" w:space="0" w:color="auto"/>
                <w:right w:val="none" w:sz="0" w:space="0" w:color="auto"/>
              </w:divBdr>
              <w:divsChild>
                <w:div w:id="1307509733">
                  <w:marLeft w:val="0"/>
                  <w:marRight w:val="0"/>
                  <w:marTop w:val="0"/>
                  <w:marBottom w:val="0"/>
                  <w:divBdr>
                    <w:top w:val="none" w:sz="0" w:space="0" w:color="auto"/>
                    <w:left w:val="none" w:sz="0" w:space="0" w:color="auto"/>
                    <w:bottom w:val="none" w:sz="0" w:space="0" w:color="auto"/>
                    <w:right w:val="none" w:sz="0" w:space="0" w:color="auto"/>
                  </w:divBdr>
                </w:div>
              </w:divsChild>
            </w:div>
            <w:div w:id="1975283293">
              <w:marLeft w:val="0"/>
              <w:marRight w:val="0"/>
              <w:marTop w:val="0"/>
              <w:marBottom w:val="0"/>
              <w:divBdr>
                <w:top w:val="none" w:sz="0" w:space="0" w:color="auto"/>
                <w:left w:val="none" w:sz="0" w:space="0" w:color="auto"/>
                <w:bottom w:val="none" w:sz="0" w:space="0" w:color="auto"/>
                <w:right w:val="none" w:sz="0" w:space="0" w:color="auto"/>
              </w:divBdr>
              <w:divsChild>
                <w:div w:id="1884947094">
                  <w:marLeft w:val="0"/>
                  <w:marRight w:val="0"/>
                  <w:marTop w:val="0"/>
                  <w:marBottom w:val="0"/>
                  <w:divBdr>
                    <w:top w:val="none" w:sz="0" w:space="0" w:color="auto"/>
                    <w:left w:val="none" w:sz="0" w:space="0" w:color="auto"/>
                    <w:bottom w:val="none" w:sz="0" w:space="0" w:color="auto"/>
                    <w:right w:val="none" w:sz="0" w:space="0" w:color="auto"/>
                  </w:divBdr>
                  <w:divsChild>
                    <w:div w:id="2074235339">
                      <w:marLeft w:val="0"/>
                      <w:marRight w:val="0"/>
                      <w:marTop w:val="0"/>
                      <w:marBottom w:val="0"/>
                      <w:divBdr>
                        <w:top w:val="none" w:sz="0" w:space="0" w:color="auto"/>
                        <w:left w:val="none" w:sz="0" w:space="0" w:color="auto"/>
                        <w:bottom w:val="none" w:sz="0" w:space="0" w:color="auto"/>
                        <w:right w:val="none" w:sz="0" w:space="0" w:color="auto"/>
                      </w:divBdr>
                      <w:divsChild>
                        <w:div w:id="33056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55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602265">
          <w:marLeft w:val="0"/>
          <w:marRight w:val="0"/>
          <w:marTop w:val="0"/>
          <w:marBottom w:val="0"/>
          <w:divBdr>
            <w:top w:val="none" w:sz="0" w:space="0" w:color="auto"/>
            <w:left w:val="none" w:sz="0" w:space="0" w:color="auto"/>
            <w:bottom w:val="none" w:sz="0" w:space="0" w:color="auto"/>
            <w:right w:val="none" w:sz="0" w:space="0" w:color="auto"/>
          </w:divBdr>
          <w:divsChild>
            <w:div w:id="1367831080">
              <w:marLeft w:val="0"/>
              <w:marRight w:val="0"/>
              <w:marTop w:val="0"/>
              <w:marBottom w:val="0"/>
              <w:divBdr>
                <w:top w:val="none" w:sz="0" w:space="0" w:color="auto"/>
                <w:left w:val="none" w:sz="0" w:space="0" w:color="auto"/>
                <w:bottom w:val="none" w:sz="0" w:space="0" w:color="auto"/>
                <w:right w:val="none" w:sz="0" w:space="0" w:color="auto"/>
              </w:divBdr>
            </w:div>
            <w:div w:id="587348029">
              <w:marLeft w:val="810"/>
              <w:marRight w:val="0"/>
              <w:marTop w:val="30"/>
              <w:marBottom w:val="0"/>
              <w:divBdr>
                <w:top w:val="none" w:sz="0" w:space="0" w:color="auto"/>
                <w:left w:val="none" w:sz="0" w:space="0" w:color="auto"/>
                <w:bottom w:val="none" w:sz="0" w:space="0" w:color="auto"/>
                <w:right w:val="none" w:sz="0" w:space="0" w:color="auto"/>
              </w:divBdr>
              <w:divsChild>
                <w:div w:id="463429692">
                  <w:marLeft w:val="0"/>
                  <w:marRight w:val="0"/>
                  <w:marTop w:val="0"/>
                  <w:marBottom w:val="0"/>
                  <w:divBdr>
                    <w:top w:val="none" w:sz="0" w:space="0" w:color="auto"/>
                    <w:left w:val="none" w:sz="0" w:space="0" w:color="auto"/>
                    <w:bottom w:val="none" w:sz="0" w:space="0" w:color="auto"/>
                    <w:right w:val="none" w:sz="0" w:space="0" w:color="auto"/>
                  </w:divBdr>
                  <w:divsChild>
                    <w:div w:id="1146969659">
                      <w:marLeft w:val="0"/>
                      <w:marRight w:val="0"/>
                      <w:marTop w:val="0"/>
                      <w:marBottom w:val="0"/>
                      <w:divBdr>
                        <w:top w:val="none" w:sz="0" w:space="0" w:color="auto"/>
                        <w:left w:val="none" w:sz="0" w:space="0" w:color="auto"/>
                        <w:bottom w:val="none" w:sz="0" w:space="0" w:color="auto"/>
                        <w:right w:val="none" w:sz="0" w:space="0" w:color="auto"/>
                      </w:divBdr>
                      <w:divsChild>
                        <w:div w:id="44920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00365">
                  <w:marLeft w:val="0"/>
                  <w:marRight w:val="0"/>
                  <w:marTop w:val="0"/>
                  <w:marBottom w:val="0"/>
                  <w:divBdr>
                    <w:top w:val="none" w:sz="0" w:space="0" w:color="auto"/>
                    <w:left w:val="none" w:sz="0" w:space="0" w:color="auto"/>
                    <w:bottom w:val="none" w:sz="0" w:space="0" w:color="auto"/>
                    <w:right w:val="none" w:sz="0" w:space="0" w:color="auto"/>
                  </w:divBdr>
                  <w:divsChild>
                    <w:div w:id="186216654">
                      <w:marLeft w:val="0"/>
                      <w:marRight w:val="0"/>
                      <w:marTop w:val="30"/>
                      <w:marBottom w:val="0"/>
                      <w:divBdr>
                        <w:top w:val="none" w:sz="0" w:space="0" w:color="auto"/>
                        <w:left w:val="none" w:sz="0" w:space="0" w:color="auto"/>
                        <w:bottom w:val="none" w:sz="0" w:space="0" w:color="auto"/>
                        <w:right w:val="none" w:sz="0" w:space="0" w:color="auto"/>
                      </w:divBdr>
                      <w:divsChild>
                        <w:div w:id="382825814">
                          <w:marLeft w:val="0"/>
                          <w:marRight w:val="0"/>
                          <w:marTop w:val="0"/>
                          <w:marBottom w:val="0"/>
                          <w:divBdr>
                            <w:top w:val="none" w:sz="0" w:space="0" w:color="auto"/>
                            <w:left w:val="none" w:sz="0" w:space="0" w:color="auto"/>
                            <w:bottom w:val="none" w:sz="0" w:space="0" w:color="auto"/>
                            <w:right w:val="none" w:sz="0" w:space="0" w:color="auto"/>
                          </w:divBdr>
                          <w:divsChild>
                            <w:div w:id="20048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5252988">
          <w:marLeft w:val="0"/>
          <w:marRight w:val="0"/>
          <w:marTop w:val="225"/>
          <w:marBottom w:val="0"/>
          <w:divBdr>
            <w:top w:val="none" w:sz="0" w:space="0" w:color="auto"/>
            <w:left w:val="none" w:sz="0" w:space="0" w:color="auto"/>
            <w:bottom w:val="none" w:sz="0" w:space="0" w:color="auto"/>
            <w:right w:val="none" w:sz="0" w:space="0" w:color="auto"/>
          </w:divBdr>
          <w:divsChild>
            <w:div w:id="755637747">
              <w:marLeft w:val="0"/>
              <w:marRight w:val="0"/>
              <w:marTop w:val="0"/>
              <w:marBottom w:val="0"/>
              <w:divBdr>
                <w:top w:val="none" w:sz="0" w:space="0" w:color="auto"/>
                <w:left w:val="none" w:sz="0" w:space="0" w:color="auto"/>
                <w:bottom w:val="none" w:sz="0" w:space="0" w:color="auto"/>
                <w:right w:val="none" w:sz="0" w:space="0" w:color="auto"/>
              </w:divBdr>
            </w:div>
            <w:div w:id="1103108574">
              <w:marLeft w:val="0"/>
              <w:marRight w:val="0"/>
              <w:marTop w:val="0"/>
              <w:marBottom w:val="75"/>
              <w:divBdr>
                <w:top w:val="none" w:sz="0" w:space="0" w:color="auto"/>
                <w:left w:val="none" w:sz="0" w:space="0" w:color="auto"/>
                <w:bottom w:val="none" w:sz="0" w:space="0" w:color="auto"/>
                <w:right w:val="none" w:sz="0" w:space="0" w:color="auto"/>
              </w:divBdr>
              <w:divsChild>
                <w:div w:id="1950895340">
                  <w:marLeft w:val="0"/>
                  <w:marRight w:val="0"/>
                  <w:marTop w:val="0"/>
                  <w:marBottom w:val="0"/>
                  <w:divBdr>
                    <w:top w:val="none" w:sz="0" w:space="0" w:color="auto"/>
                    <w:left w:val="none" w:sz="0" w:space="0" w:color="auto"/>
                    <w:bottom w:val="none" w:sz="0" w:space="0" w:color="auto"/>
                    <w:right w:val="none" w:sz="0" w:space="0" w:color="auto"/>
                  </w:divBdr>
                </w:div>
                <w:div w:id="592011900">
                  <w:marLeft w:val="0"/>
                  <w:marRight w:val="0"/>
                  <w:marTop w:val="0"/>
                  <w:marBottom w:val="0"/>
                  <w:divBdr>
                    <w:top w:val="none" w:sz="0" w:space="0" w:color="auto"/>
                    <w:left w:val="none" w:sz="0" w:space="0" w:color="auto"/>
                    <w:bottom w:val="none" w:sz="0" w:space="0" w:color="auto"/>
                    <w:right w:val="none" w:sz="0" w:space="0" w:color="auto"/>
                  </w:divBdr>
                </w:div>
              </w:divsChild>
            </w:div>
            <w:div w:id="1621062231">
              <w:marLeft w:val="0"/>
              <w:marRight w:val="0"/>
              <w:marTop w:val="0"/>
              <w:marBottom w:val="75"/>
              <w:divBdr>
                <w:top w:val="none" w:sz="0" w:space="0" w:color="auto"/>
                <w:left w:val="none" w:sz="0" w:space="0" w:color="auto"/>
                <w:bottom w:val="none" w:sz="0" w:space="0" w:color="auto"/>
                <w:right w:val="none" w:sz="0" w:space="0" w:color="auto"/>
              </w:divBdr>
              <w:divsChild>
                <w:div w:id="1991397566">
                  <w:marLeft w:val="0"/>
                  <w:marRight w:val="0"/>
                  <w:marTop w:val="0"/>
                  <w:marBottom w:val="0"/>
                  <w:divBdr>
                    <w:top w:val="none" w:sz="0" w:space="0" w:color="auto"/>
                    <w:left w:val="none" w:sz="0" w:space="0" w:color="auto"/>
                    <w:bottom w:val="none" w:sz="0" w:space="0" w:color="auto"/>
                    <w:right w:val="none" w:sz="0" w:space="0" w:color="auto"/>
                  </w:divBdr>
                </w:div>
                <w:div w:id="407925697">
                  <w:marLeft w:val="0"/>
                  <w:marRight w:val="0"/>
                  <w:marTop w:val="0"/>
                  <w:marBottom w:val="0"/>
                  <w:divBdr>
                    <w:top w:val="none" w:sz="0" w:space="0" w:color="auto"/>
                    <w:left w:val="none" w:sz="0" w:space="0" w:color="auto"/>
                    <w:bottom w:val="none" w:sz="0" w:space="0" w:color="auto"/>
                    <w:right w:val="none" w:sz="0" w:space="0" w:color="auto"/>
                  </w:divBdr>
                </w:div>
              </w:divsChild>
            </w:div>
            <w:div w:id="2130926242">
              <w:marLeft w:val="0"/>
              <w:marRight w:val="0"/>
              <w:marTop w:val="0"/>
              <w:marBottom w:val="75"/>
              <w:divBdr>
                <w:top w:val="none" w:sz="0" w:space="0" w:color="auto"/>
                <w:left w:val="none" w:sz="0" w:space="0" w:color="auto"/>
                <w:bottom w:val="none" w:sz="0" w:space="0" w:color="auto"/>
                <w:right w:val="none" w:sz="0" w:space="0" w:color="auto"/>
              </w:divBdr>
              <w:divsChild>
                <w:div w:id="205261244">
                  <w:marLeft w:val="0"/>
                  <w:marRight w:val="0"/>
                  <w:marTop w:val="0"/>
                  <w:marBottom w:val="0"/>
                  <w:divBdr>
                    <w:top w:val="none" w:sz="0" w:space="0" w:color="auto"/>
                    <w:left w:val="none" w:sz="0" w:space="0" w:color="auto"/>
                    <w:bottom w:val="none" w:sz="0" w:space="0" w:color="auto"/>
                    <w:right w:val="none" w:sz="0" w:space="0" w:color="auto"/>
                  </w:divBdr>
                </w:div>
                <w:div w:id="1817380544">
                  <w:marLeft w:val="0"/>
                  <w:marRight w:val="0"/>
                  <w:marTop w:val="0"/>
                  <w:marBottom w:val="0"/>
                  <w:divBdr>
                    <w:top w:val="none" w:sz="0" w:space="0" w:color="auto"/>
                    <w:left w:val="none" w:sz="0" w:space="0" w:color="auto"/>
                    <w:bottom w:val="none" w:sz="0" w:space="0" w:color="auto"/>
                    <w:right w:val="none" w:sz="0" w:space="0" w:color="auto"/>
                  </w:divBdr>
                </w:div>
              </w:divsChild>
            </w:div>
            <w:div w:id="1019546988">
              <w:marLeft w:val="0"/>
              <w:marRight w:val="0"/>
              <w:marTop w:val="0"/>
              <w:marBottom w:val="75"/>
              <w:divBdr>
                <w:top w:val="none" w:sz="0" w:space="0" w:color="auto"/>
                <w:left w:val="none" w:sz="0" w:space="0" w:color="auto"/>
                <w:bottom w:val="none" w:sz="0" w:space="0" w:color="auto"/>
                <w:right w:val="none" w:sz="0" w:space="0" w:color="auto"/>
              </w:divBdr>
              <w:divsChild>
                <w:div w:id="314067916">
                  <w:marLeft w:val="0"/>
                  <w:marRight w:val="0"/>
                  <w:marTop w:val="0"/>
                  <w:marBottom w:val="0"/>
                  <w:divBdr>
                    <w:top w:val="none" w:sz="0" w:space="0" w:color="auto"/>
                    <w:left w:val="none" w:sz="0" w:space="0" w:color="auto"/>
                    <w:bottom w:val="none" w:sz="0" w:space="0" w:color="auto"/>
                    <w:right w:val="none" w:sz="0" w:space="0" w:color="auto"/>
                  </w:divBdr>
                </w:div>
                <w:div w:id="1939408774">
                  <w:marLeft w:val="0"/>
                  <w:marRight w:val="0"/>
                  <w:marTop w:val="0"/>
                  <w:marBottom w:val="0"/>
                  <w:divBdr>
                    <w:top w:val="none" w:sz="0" w:space="0" w:color="auto"/>
                    <w:left w:val="none" w:sz="0" w:space="0" w:color="auto"/>
                    <w:bottom w:val="none" w:sz="0" w:space="0" w:color="auto"/>
                    <w:right w:val="none" w:sz="0" w:space="0" w:color="auto"/>
                  </w:divBdr>
                </w:div>
              </w:divsChild>
            </w:div>
            <w:div w:id="843400915">
              <w:marLeft w:val="0"/>
              <w:marRight w:val="0"/>
              <w:marTop w:val="0"/>
              <w:marBottom w:val="75"/>
              <w:divBdr>
                <w:top w:val="none" w:sz="0" w:space="0" w:color="auto"/>
                <w:left w:val="none" w:sz="0" w:space="0" w:color="auto"/>
                <w:bottom w:val="none" w:sz="0" w:space="0" w:color="auto"/>
                <w:right w:val="none" w:sz="0" w:space="0" w:color="auto"/>
              </w:divBdr>
              <w:divsChild>
                <w:div w:id="1666713029">
                  <w:marLeft w:val="0"/>
                  <w:marRight w:val="0"/>
                  <w:marTop w:val="0"/>
                  <w:marBottom w:val="0"/>
                  <w:divBdr>
                    <w:top w:val="none" w:sz="0" w:space="0" w:color="auto"/>
                    <w:left w:val="none" w:sz="0" w:space="0" w:color="auto"/>
                    <w:bottom w:val="none" w:sz="0" w:space="0" w:color="auto"/>
                    <w:right w:val="none" w:sz="0" w:space="0" w:color="auto"/>
                  </w:divBdr>
                </w:div>
                <w:div w:id="1763531286">
                  <w:marLeft w:val="0"/>
                  <w:marRight w:val="0"/>
                  <w:marTop w:val="0"/>
                  <w:marBottom w:val="0"/>
                  <w:divBdr>
                    <w:top w:val="none" w:sz="0" w:space="0" w:color="auto"/>
                    <w:left w:val="none" w:sz="0" w:space="0" w:color="auto"/>
                    <w:bottom w:val="none" w:sz="0" w:space="0" w:color="auto"/>
                    <w:right w:val="none" w:sz="0" w:space="0" w:color="auto"/>
                  </w:divBdr>
                </w:div>
              </w:divsChild>
            </w:div>
            <w:div w:id="1654680820">
              <w:marLeft w:val="0"/>
              <w:marRight w:val="0"/>
              <w:marTop w:val="0"/>
              <w:marBottom w:val="75"/>
              <w:divBdr>
                <w:top w:val="none" w:sz="0" w:space="0" w:color="auto"/>
                <w:left w:val="none" w:sz="0" w:space="0" w:color="auto"/>
                <w:bottom w:val="none" w:sz="0" w:space="0" w:color="auto"/>
                <w:right w:val="none" w:sz="0" w:space="0" w:color="auto"/>
              </w:divBdr>
              <w:divsChild>
                <w:div w:id="964434451">
                  <w:marLeft w:val="0"/>
                  <w:marRight w:val="0"/>
                  <w:marTop w:val="0"/>
                  <w:marBottom w:val="0"/>
                  <w:divBdr>
                    <w:top w:val="none" w:sz="0" w:space="0" w:color="auto"/>
                    <w:left w:val="none" w:sz="0" w:space="0" w:color="auto"/>
                    <w:bottom w:val="none" w:sz="0" w:space="0" w:color="auto"/>
                    <w:right w:val="none" w:sz="0" w:space="0" w:color="auto"/>
                  </w:divBdr>
                </w:div>
                <w:div w:id="1387874955">
                  <w:marLeft w:val="0"/>
                  <w:marRight w:val="0"/>
                  <w:marTop w:val="0"/>
                  <w:marBottom w:val="0"/>
                  <w:divBdr>
                    <w:top w:val="none" w:sz="0" w:space="0" w:color="auto"/>
                    <w:left w:val="none" w:sz="0" w:space="0" w:color="auto"/>
                    <w:bottom w:val="none" w:sz="0" w:space="0" w:color="auto"/>
                    <w:right w:val="none" w:sz="0" w:space="0" w:color="auto"/>
                  </w:divBdr>
                </w:div>
              </w:divsChild>
            </w:div>
            <w:div w:id="748618767">
              <w:marLeft w:val="0"/>
              <w:marRight w:val="0"/>
              <w:marTop w:val="0"/>
              <w:marBottom w:val="75"/>
              <w:divBdr>
                <w:top w:val="none" w:sz="0" w:space="0" w:color="auto"/>
                <w:left w:val="none" w:sz="0" w:space="0" w:color="auto"/>
                <w:bottom w:val="none" w:sz="0" w:space="0" w:color="auto"/>
                <w:right w:val="none" w:sz="0" w:space="0" w:color="auto"/>
              </w:divBdr>
              <w:divsChild>
                <w:div w:id="1921020490">
                  <w:marLeft w:val="0"/>
                  <w:marRight w:val="0"/>
                  <w:marTop w:val="0"/>
                  <w:marBottom w:val="0"/>
                  <w:divBdr>
                    <w:top w:val="none" w:sz="0" w:space="0" w:color="auto"/>
                    <w:left w:val="none" w:sz="0" w:space="0" w:color="auto"/>
                    <w:bottom w:val="none" w:sz="0" w:space="0" w:color="auto"/>
                    <w:right w:val="none" w:sz="0" w:space="0" w:color="auto"/>
                  </w:divBdr>
                </w:div>
                <w:div w:id="604730177">
                  <w:marLeft w:val="0"/>
                  <w:marRight w:val="0"/>
                  <w:marTop w:val="0"/>
                  <w:marBottom w:val="0"/>
                  <w:divBdr>
                    <w:top w:val="none" w:sz="0" w:space="0" w:color="auto"/>
                    <w:left w:val="none" w:sz="0" w:space="0" w:color="auto"/>
                    <w:bottom w:val="none" w:sz="0" w:space="0" w:color="auto"/>
                    <w:right w:val="none" w:sz="0" w:space="0" w:color="auto"/>
                  </w:divBdr>
                </w:div>
              </w:divsChild>
            </w:div>
            <w:div w:id="470370630">
              <w:marLeft w:val="0"/>
              <w:marRight w:val="0"/>
              <w:marTop w:val="0"/>
              <w:marBottom w:val="75"/>
              <w:divBdr>
                <w:top w:val="none" w:sz="0" w:space="0" w:color="auto"/>
                <w:left w:val="none" w:sz="0" w:space="0" w:color="auto"/>
                <w:bottom w:val="none" w:sz="0" w:space="0" w:color="auto"/>
                <w:right w:val="none" w:sz="0" w:space="0" w:color="auto"/>
              </w:divBdr>
              <w:divsChild>
                <w:div w:id="1140348127">
                  <w:marLeft w:val="0"/>
                  <w:marRight w:val="0"/>
                  <w:marTop w:val="0"/>
                  <w:marBottom w:val="0"/>
                  <w:divBdr>
                    <w:top w:val="none" w:sz="0" w:space="0" w:color="auto"/>
                    <w:left w:val="none" w:sz="0" w:space="0" w:color="auto"/>
                    <w:bottom w:val="none" w:sz="0" w:space="0" w:color="auto"/>
                    <w:right w:val="none" w:sz="0" w:space="0" w:color="auto"/>
                  </w:divBdr>
                </w:div>
                <w:div w:id="470640094">
                  <w:marLeft w:val="0"/>
                  <w:marRight w:val="0"/>
                  <w:marTop w:val="0"/>
                  <w:marBottom w:val="0"/>
                  <w:divBdr>
                    <w:top w:val="none" w:sz="0" w:space="0" w:color="auto"/>
                    <w:left w:val="none" w:sz="0" w:space="0" w:color="auto"/>
                    <w:bottom w:val="none" w:sz="0" w:space="0" w:color="auto"/>
                    <w:right w:val="none" w:sz="0" w:space="0" w:color="auto"/>
                  </w:divBdr>
                </w:div>
              </w:divsChild>
            </w:div>
            <w:div w:id="1198274818">
              <w:marLeft w:val="0"/>
              <w:marRight w:val="0"/>
              <w:marTop w:val="0"/>
              <w:marBottom w:val="75"/>
              <w:divBdr>
                <w:top w:val="none" w:sz="0" w:space="0" w:color="auto"/>
                <w:left w:val="none" w:sz="0" w:space="0" w:color="auto"/>
                <w:bottom w:val="none" w:sz="0" w:space="0" w:color="auto"/>
                <w:right w:val="none" w:sz="0" w:space="0" w:color="auto"/>
              </w:divBdr>
              <w:divsChild>
                <w:div w:id="852960790">
                  <w:marLeft w:val="0"/>
                  <w:marRight w:val="0"/>
                  <w:marTop w:val="0"/>
                  <w:marBottom w:val="0"/>
                  <w:divBdr>
                    <w:top w:val="none" w:sz="0" w:space="0" w:color="auto"/>
                    <w:left w:val="none" w:sz="0" w:space="0" w:color="auto"/>
                    <w:bottom w:val="none" w:sz="0" w:space="0" w:color="auto"/>
                    <w:right w:val="none" w:sz="0" w:space="0" w:color="auto"/>
                  </w:divBdr>
                </w:div>
                <w:div w:id="506335835">
                  <w:marLeft w:val="0"/>
                  <w:marRight w:val="0"/>
                  <w:marTop w:val="0"/>
                  <w:marBottom w:val="0"/>
                  <w:divBdr>
                    <w:top w:val="none" w:sz="0" w:space="0" w:color="auto"/>
                    <w:left w:val="none" w:sz="0" w:space="0" w:color="auto"/>
                    <w:bottom w:val="none" w:sz="0" w:space="0" w:color="auto"/>
                    <w:right w:val="none" w:sz="0" w:space="0" w:color="auto"/>
                  </w:divBdr>
                </w:div>
              </w:divsChild>
            </w:div>
            <w:div w:id="419958681">
              <w:marLeft w:val="0"/>
              <w:marRight w:val="0"/>
              <w:marTop w:val="0"/>
              <w:marBottom w:val="75"/>
              <w:divBdr>
                <w:top w:val="none" w:sz="0" w:space="0" w:color="auto"/>
                <w:left w:val="none" w:sz="0" w:space="0" w:color="auto"/>
                <w:bottom w:val="none" w:sz="0" w:space="0" w:color="auto"/>
                <w:right w:val="none" w:sz="0" w:space="0" w:color="auto"/>
              </w:divBdr>
              <w:divsChild>
                <w:div w:id="261307144">
                  <w:marLeft w:val="0"/>
                  <w:marRight w:val="0"/>
                  <w:marTop w:val="0"/>
                  <w:marBottom w:val="0"/>
                  <w:divBdr>
                    <w:top w:val="none" w:sz="0" w:space="0" w:color="auto"/>
                    <w:left w:val="none" w:sz="0" w:space="0" w:color="auto"/>
                    <w:bottom w:val="none" w:sz="0" w:space="0" w:color="auto"/>
                    <w:right w:val="none" w:sz="0" w:space="0" w:color="auto"/>
                  </w:divBdr>
                </w:div>
                <w:div w:id="1287354757">
                  <w:marLeft w:val="0"/>
                  <w:marRight w:val="0"/>
                  <w:marTop w:val="0"/>
                  <w:marBottom w:val="0"/>
                  <w:divBdr>
                    <w:top w:val="none" w:sz="0" w:space="0" w:color="auto"/>
                    <w:left w:val="none" w:sz="0" w:space="0" w:color="auto"/>
                    <w:bottom w:val="none" w:sz="0" w:space="0" w:color="auto"/>
                    <w:right w:val="none" w:sz="0" w:space="0" w:color="auto"/>
                  </w:divBdr>
                </w:div>
              </w:divsChild>
            </w:div>
            <w:div w:id="830487740">
              <w:marLeft w:val="0"/>
              <w:marRight w:val="0"/>
              <w:marTop w:val="0"/>
              <w:marBottom w:val="75"/>
              <w:divBdr>
                <w:top w:val="none" w:sz="0" w:space="0" w:color="auto"/>
                <w:left w:val="none" w:sz="0" w:space="0" w:color="auto"/>
                <w:bottom w:val="none" w:sz="0" w:space="0" w:color="auto"/>
                <w:right w:val="none" w:sz="0" w:space="0" w:color="auto"/>
              </w:divBdr>
              <w:divsChild>
                <w:div w:id="2129471953">
                  <w:marLeft w:val="0"/>
                  <w:marRight w:val="0"/>
                  <w:marTop w:val="0"/>
                  <w:marBottom w:val="0"/>
                  <w:divBdr>
                    <w:top w:val="none" w:sz="0" w:space="0" w:color="auto"/>
                    <w:left w:val="none" w:sz="0" w:space="0" w:color="auto"/>
                    <w:bottom w:val="none" w:sz="0" w:space="0" w:color="auto"/>
                    <w:right w:val="none" w:sz="0" w:space="0" w:color="auto"/>
                  </w:divBdr>
                </w:div>
                <w:div w:id="1461799172">
                  <w:marLeft w:val="0"/>
                  <w:marRight w:val="0"/>
                  <w:marTop w:val="0"/>
                  <w:marBottom w:val="0"/>
                  <w:divBdr>
                    <w:top w:val="none" w:sz="0" w:space="0" w:color="auto"/>
                    <w:left w:val="none" w:sz="0" w:space="0" w:color="auto"/>
                    <w:bottom w:val="none" w:sz="0" w:space="0" w:color="auto"/>
                    <w:right w:val="none" w:sz="0" w:space="0" w:color="auto"/>
                  </w:divBdr>
                </w:div>
              </w:divsChild>
            </w:div>
            <w:div w:id="2129856160">
              <w:marLeft w:val="0"/>
              <w:marRight w:val="0"/>
              <w:marTop w:val="0"/>
              <w:marBottom w:val="75"/>
              <w:divBdr>
                <w:top w:val="none" w:sz="0" w:space="0" w:color="auto"/>
                <w:left w:val="none" w:sz="0" w:space="0" w:color="auto"/>
                <w:bottom w:val="none" w:sz="0" w:space="0" w:color="auto"/>
                <w:right w:val="none" w:sz="0" w:space="0" w:color="auto"/>
              </w:divBdr>
              <w:divsChild>
                <w:div w:id="620188427">
                  <w:marLeft w:val="0"/>
                  <w:marRight w:val="0"/>
                  <w:marTop w:val="0"/>
                  <w:marBottom w:val="0"/>
                  <w:divBdr>
                    <w:top w:val="none" w:sz="0" w:space="0" w:color="auto"/>
                    <w:left w:val="none" w:sz="0" w:space="0" w:color="auto"/>
                    <w:bottom w:val="none" w:sz="0" w:space="0" w:color="auto"/>
                    <w:right w:val="none" w:sz="0" w:space="0" w:color="auto"/>
                  </w:divBdr>
                </w:div>
                <w:div w:id="1534809214">
                  <w:marLeft w:val="0"/>
                  <w:marRight w:val="0"/>
                  <w:marTop w:val="0"/>
                  <w:marBottom w:val="0"/>
                  <w:divBdr>
                    <w:top w:val="none" w:sz="0" w:space="0" w:color="auto"/>
                    <w:left w:val="none" w:sz="0" w:space="0" w:color="auto"/>
                    <w:bottom w:val="none" w:sz="0" w:space="0" w:color="auto"/>
                    <w:right w:val="none" w:sz="0" w:space="0" w:color="auto"/>
                  </w:divBdr>
                </w:div>
              </w:divsChild>
            </w:div>
            <w:div w:id="779640935">
              <w:marLeft w:val="0"/>
              <w:marRight w:val="0"/>
              <w:marTop w:val="0"/>
              <w:marBottom w:val="75"/>
              <w:divBdr>
                <w:top w:val="none" w:sz="0" w:space="0" w:color="auto"/>
                <w:left w:val="none" w:sz="0" w:space="0" w:color="auto"/>
                <w:bottom w:val="none" w:sz="0" w:space="0" w:color="auto"/>
                <w:right w:val="none" w:sz="0" w:space="0" w:color="auto"/>
              </w:divBdr>
              <w:divsChild>
                <w:div w:id="916472881">
                  <w:marLeft w:val="0"/>
                  <w:marRight w:val="0"/>
                  <w:marTop w:val="0"/>
                  <w:marBottom w:val="0"/>
                  <w:divBdr>
                    <w:top w:val="none" w:sz="0" w:space="0" w:color="auto"/>
                    <w:left w:val="none" w:sz="0" w:space="0" w:color="auto"/>
                    <w:bottom w:val="none" w:sz="0" w:space="0" w:color="auto"/>
                    <w:right w:val="none" w:sz="0" w:space="0" w:color="auto"/>
                  </w:divBdr>
                </w:div>
                <w:div w:id="954408326">
                  <w:marLeft w:val="0"/>
                  <w:marRight w:val="0"/>
                  <w:marTop w:val="0"/>
                  <w:marBottom w:val="0"/>
                  <w:divBdr>
                    <w:top w:val="none" w:sz="0" w:space="0" w:color="auto"/>
                    <w:left w:val="none" w:sz="0" w:space="0" w:color="auto"/>
                    <w:bottom w:val="none" w:sz="0" w:space="0" w:color="auto"/>
                    <w:right w:val="none" w:sz="0" w:space="0" w:color="auto"/>
                  </w:divBdr>
                </w:div>
              </w:divsChild>
            </w:div>
            <w:div w:id="59712145">
              <w:marLeft w:val="0"/>
              <w:marRight w:val="0"/>
              <w:marTop w:val="0"/>
              <w:marBottom w:val="75"/>
              <w:divBdr>
                <w:top w:val="none" w:sz="0" w:space="0" w:color="auto"/>
                <w:left w:val="none" w:sz="0" w:space="0" w:color="auto"/>
                <w:bottom w:val="none" w:sz="0" w:space="0" w:color="auto"/>
                <w:right w:val="none" w:sz="0" w:space="0" w:color="auto"/>
              </w:divBdr>
              <w:divsChild>
                <w:div w:id="2052345339">
                  <w:marLeft w:val="0"/>
                  <w:marRight w:val="0"/>
                  <w:marTop w:val="0"/>
                  <w:marBottom w:val="0"/>
                  <w:divBdr>
                    <w:top w:val="none" w:sz="0" w:space="0" w:color="auto"/>
                    <w:left w:val="none" w:sz="0" w:space="0" w:color="auto"/>
                    <w:bottom w:val="none" w:sz="0" w:space="0" w:color="auto"/>
                    <w:right w:val="none" w:sz="0" w:space="0" w:color="auto"/>
                  </w:divBdr>
                </w:div>
                <w:div w:id="809178420">
                  <w:marLeft w:val="0"/>
                  <w:marRight w:val="0"/>
                  <w:marTop w:val="0"/>
                  <w:marBottom w:val="0"/>
                  <w:divBdr>
                    <w:top w:val="none" w:sz="0" w:space="0" w:color="auto"/>
                    <w:left w:val="none" w:sz="0" w:space="0" w:color="auto"/>
                    <w:bottom w:val="none" w:sz="0" w:space="0" w:color="auto"/>
                    <w:right w:val="none" w:sz="0" w:space="0" w:color="auto"/>
                  </w:divBdr>
                </w:div>
              </w:divsChild>
            </w:div>
            <w:div w:id="523788239">
              <w:marLeft w:val="0"/>
              <w:marRight w:val="0"/>
              <w:marTop w:val="0"/>
              <w:marBottom w:val="75"/>
              <w:divBdr>
                <w:top w:val="none" w:sz="0" w:space="0" w:color="auto"/>
                <w:left w:val="none" w:sz="0" w:space="0" w:color="auto"/>
                <w:bottom w:val="none" w:sz="0" w:space="0" w:color="auto"/>
                <w:right w:val="none" w:sz="0" w:space="0" w:color="auto"/>
              </w:divBdr>
              <w:divsChild>
                <w:div w:id="774522293">
                  <w:marLeft w:val="0"/>
                  <w:marRight w:val="0"/>
                  <w:marTop w:val="0"/>
                  <w:marBottom w:val="0"/>
                  <w:divBdr>
                    <w:top w:val="none" w:sz="0" w:space="0" w:color="auto"/>
                    <w:left w:val="none" w:sz="0" w:space="0" w:color="auto"/>
                    <w:bottom w:val="none" w:sz="0" w:space="0" w:color="auto"/>
                    <w:right w:val="none" w:sz="0" w:space="0" w:color="auto"/>
                  </w:divBdr>
                </w:div>
                <w:div w:id="1045525576">
                  <w:marLeft w:val="0"/>
                  <w:marRight w:val="0"/>
                  <w:marTop w:val="0"/>
                  <w:marBottom w:val="0"/>
                  <w:divBdr>
                    <w:top w:val="none" w:sz="0" w:space="0" w:color="auto"/>
                    <w:left w:val="none" w:sz="0" w:space="0" w:color="auto"/>
                    <w:bottom w:val="none" w:sz="0" w:space="0" w:color="auto"/>
                    <w:right w:val="none" w:sz="0" w:space="0" w:color="auto"/>
                  </w:divBdr>
                </w:div>
              </w:divsChild>
            </w:div>
            <w:div w:id="1542399948">
              <w:marLeft w:val="0"/>
              <w:marRight w:val="0"/>
              <w:marTop w:val="0"/>
              <w:marBottom w:val="75"/>
              <w:divBdr>
                <w:top w:val="none" w:sz="0" w:space="0" w:color="auto"/>
                <w:left w:val="none" w:sz="0" w:space="0" w:color="auto"/>
                <w:bottom w:val="none" w:sz="0" w:space="0" w:color="auto"/>
                <w:right w:val="none" w:sz="0" w:space="0" w:color="auto"/>
              </w:divBdr>
              <w:divsChild>
                <w:div w:id="788398474">
                  <w:marLeft w:val="0"/>
                  <w:marRight w:val="0"/>
                  <w:marTop w:val="0"/>
                  <w:marBottom w:val="0"/>
                  <w:divBdr>
                    <w:top w:val="none" w:sz="0" w:space="0" w:color="auto"/>
                    <w:left w:val="none" w:sz="0" w:space="0" w:color="auto"/>
                    <w:bottom w:val="none" w:sz="0" w:space="0" w:color="auto"/>
                    <w:right w:val="none" w:sz="0" w:space="0" w:color="auto"/>
                  </w:divBdr>
                </w:div>
                <w:div w:id="606232875">
                  <w:marLeft w:val="0"/>
                  <w:marRight w:val="0"/>
                  <w:marTop w:val="0"/>
                  <w:marBottom w:val="0"/>
                  <w:divBdr>
                    <w:top w:val="none" w:sz="0" w:space="0" w:color="auto"/>
                    <w:left w:val="none" w:sz="0" w:space="0" w:color="auto"/>
                    <w:bottom w:val="none" w:sz="0" w:space="0" w:color="auto"/>
                    <w:right w:val="none" w:sz="0" w:space="0" w:color="auto"/>
                  </w:divBdr>
                </w:div>
              </w:divsChild>
            </w:div>
            <w:div w:id="1584410640">
              <w:marLeft w:val="0"/>
              <w:marRight w:val="0"/>
              <w:marTop w:val="0"/>
              <w:marBottom w:val="75"/>
              <w:divBdr>
                <w:top w:val="none" w:sz="0" w:space="0" w:color="auto"/>
                <w:left w:val="none" w:sz="0" w:space="0" w:color="auto"/>
                <w:bottom w:val="none" w:sz="0" w:space="0" w:color="auto"/>
                <w:right w:val="none" w:sz="0" w:space="0" w:color="auto"/>
              </w:divBdr>
              <w:divsChild>
                <w:div w:id="1157959296">
                  <w:marLeft w:val="0"/>
                  <w:marRight w:val="0"/>
                  <w:marTop w:val="0"/>
                  <w:marBottom w:val="0"/>
                  <w:divBdr>
                    <w:top w:val="none" w:sz="0" w:space="0" w:color="auto"/>
                    <w:left w:val="none" w:sz="0" w:space="0" w:color="auto"/>
                    <w:bottom w:val="none" w:sz="0" w:space="0" w:color="auto"/>
                    <w:right w:val="none" w:sz="0" w:space="0" w:color="auto"/>
                  </w:divBdr>
                </w:div>
                <w:div w:id="1559125715">
                  <w:marLeft w:val="0"/>
                  <w:marRight w:val="0"/>
                  <w:marTop w:val="0"/>
                  <w:marBottom w:val="0"/>
                  <w:divBdr>
                    <w:top w:val="none" w:sz="0" w:space="0" w:color="auto"/>
                    <w:left w:val="none" w:sz="0" w:space="0" w:color="auto"/>
                    <w:bottom w:val="none" w:sz="0" w:space="0" w:color="auto"/>
                    <w:right w:val="none" w:sz="0" w:space="0" w:color="auto"/>
                  </w:divBdr>
                </w:div>
              </w:divsChild>
            </w:div>
            <w:div w:id="1939944956">
              <w:marLeft w:val="0"/>
              <w:marRight w:val="0"/>
              <w:marTop w:val="0"/>
              <w:marBottom w:val="75"/>
              <w:divBdr>
                <w:top w:val="none" w:sz="0" w:space="0" w:color="auto"/>
                <w:left w:val="none" w:sz="0" w:space="0" w:color="auto"/>
                <w:bottom w:val="none" w:sz="0" w:space="0" w:color="auto"/>
                <w:right w:val="none" w:sz="0" w:space="0" w:color="auto"/>
              </w:divBdr>
              <w:divsChild>
                <w:div w:id="1964995434">
                  <w:marLeft w:val="0"/>
                  <w:marRight w:val="0"/>
                  <w:marTop w:val="0"/>
                  <w:marBottom w:val="0"/>
                  <w:divBdr>
                    <w:top w:val="none" w:sz="0" w:space="0" w:color="auto"/>
                    <w:left w:val="none" w:sz="0" w:space="0" w:color="auto"/>
                    <w:bottom w:val="none" w:sz="0" w:space="0" w:color="auto"/>
                    <w:right w:val="none" w:sz="0" w:space="0" w:color="auto"/>
                  </w:divBdr>
                </w:div>
                <w:div w:id="1648165114">
                  <w:marLeft w:val="0"/>
                  <w:marRight w:val="0"/>
                  <w:marTop w:val="0"/>
                  <w:marBottom w:val="0"/>
                  <w:divBdr>
                    <w:top w:val="none" w:sz="0" w:space="0" w:color="auto"/>
                    <w:left w:val="none" w:sz="0" w:space="0" w:color="auto"/>
                    <w:bottom w:val="none" w:sz="0" w:space="0" w:color="auto"/>
                    <w:right w:val="none" w:sz="0" w:space="0" w:color="auto"/>
                  </w:divBdr>
                </w:div>
              </w:divsChild>
            </w:div>
            <w:div w:id="1132559151">
              <w:marLeft w:val="0"/>
              <w:marRight w:val="0"/>
              <w:marTop w:val="0"/>
              <w:marBottom w:val="75"/>
              <w:divBdr>
                <w:top w:val="none" w:sz="0" w:space="0" w:color="auto"/>
                <w:left w:val="none" w:sz="0" w:space="0" w:color="auto"/>
                <w:bottom w:val="none" w:sz="0" w:space="0" w:color="auto"/>
                <w:right w:val="none" w:sz="0" w:space="0" w:color="auto"/>
              </w:divBdr>
              <w:divsChild>
                <w:div w:id="259221404">
                  <w:marLeft w:val="0"/>
                  <w:marRight w:val="0"/>
                  <w:marTop w:val="0"/>
                  <w:marBottom w:val="0"/>
                  <w:divBdr>
                    <w:top w:val="none" w:sz="0" w:space="0" w:color="auto"/>
                    <w:left w:val="none" w:sz="0" w:space="0" w:color="auto"/>
                    <w:bottom w:val="none" w:sz="0" w:space="0" w:color="auto"/>
                    <w:right w:val="none" w:sz="0" w:space="0" w:color="auto"/>
                  </w:divBdr>
                </w:div>
                <w:div w:id="2069300830">
                  <w:marLeft w:val="0"/>
                  <w:marRight w:val="0"/>
                  <w:marTop w:val="0"/>
                  <w:marBottom w:val="0"/>
                  <w:divBdr>
                    <w:top w:val="none" w:sz="0" w:space="0" w:color="auto"/>
                    <w:left w:val="none" w:sz="0" w:space="0" w:color="auto"/>
                    <w:bottom w:val="none" w:sz="0" w:space="0" w:color="auto"/>
                    <w:right w:val="none" w:sz="0" w:space="0" w:color="auto"/>
                  </w:divBdr>
                </w:div>
              </w:divsChild>
            </w:div>
            <w:div w:id="908616167">
              <w:marLeft w:val="0"/>
              <w:marRight w:val="0"/>
              <w:marTop w:val="0"/>
              <w:marBottom w:val="75"/>
              <w:divBdr>
                <w:top w:val="none" w:sz="0" w:space="0" w:color="auto"/>
                <w:left w:val="none" w:sz="0" w:space="0" w:color="auto"/>
                <w:bottom w:val="none" w:sz="0" w:space="0" w:color="auto"/>
                <w:right w:val="none" w:sz="0" w:space="0" w:color="auto"/>
              </w:divBdr>
              <w:divsChild>
                <w:div w:id="1471898958">
                  <w:marLeft w:val="0"/>
                  <w:marRight w:val="0"/>
                  <w:marTop w:val="0"/>
                  <w:marBottom w:val="0"/>
                  <w:divBdr>
                    <w:top w:val="none" w:sz="0" w:space="0" w:color="auto"/>
                    <w:left w:val="none" w:sz="0" w:space="0" w:color="auto"/>
                    <w:bottom w:val="none" w:sz="0" w:space="0" w:color="auto"/>
                    <w:right w:val="none" w:sz="0" w:space="0" w:color="auto"/>
                  </w:divBdr>
                </w:div>
                <w:div w:id="431821953">
                  <w:marLeft w:val="0"/>
                  <w:marRight w:val="0"/>
                  <w:marTop w:val="0"/>
                  <w:marBottom w:val="0"/>
                  <w:divBdr>
                    <w:top w:val="none" w:sz="0" w:space="0" w:color="auto"/>
                    <w:left w:val="none" w:sz="0" w:space="0" w:color="auto"/>
                    <w:bottom w:val="none" w:sz="0" w:space="0" w:color="auto"/>
                    <w:right w:val="none" w:sz="0" w:space="0" w:color="auto"/>
                  </w:divBdr>
                </w:div>
              </w:divsChild>
            </w:div>
            <w:div w:id="548803489">
              <w:marLeft w:val="0"/>
              <w:marRight w:val="0"/>
              <w:marTop w:val="0"/>
              <w:marBottom w:val="75"/>
              <w:divBdr>
                <w:top w:val="none" w:sz="0" w:space="0" w:color="auto"/>
                <w:left w:val="none" w:sz="0" w:space="0" w:color="auto"/>
                <w:bottom w:val="none" w:sz="0" w:space="0" w:color="auto"/>
                <w:right w:val="none" w:sz="0" w:space="0" w:color="auto"/>
              </w:divBdr>
              <w:divsChild>
                <w:div w:id="2051565210">
                  <w:marLeft w:val="0"/>
                  <w:marRight w:val="0"/>
                  <w:marTop w:val="0"/>
                  <w:marBottom w:val="0"/>
                  <w:divBdr>
                    <w:top w:val="none" w:sz="0" w:space="0" w:color="auto"/>
                    <w:left w:val="none" w:sz="0" w:space="0" w:color="auto"/>
                    <w:bottom w:val="none" w:sz="0" w:space="0" w:color="auto"/>
                    <w:right w:val="none" w:sz="0" w:space="0" w:color="auto"/>
                  </w:divBdr>
                </w:div>
                <w:div w:id="931091029">
                  <w:marLeft w:val="0"/>
                  <w:marRight w:val="0"/>
                  <w:marTop w:val="0"/>
                  <w:marBottom w:val="0"/>
                  <w:divBdr>
                    <w:top w:val="none" w:sz="0" w:space="0" w:color="auto"/>
                    <w:left w:val="none" w:sz="0" w:space="0" w:color="auto"/>
                    <w:bottom w:val="none" w:sz="0" w:space="0" w:color="auto"/>
                    <w:right w:val="none" w:sz="0" w:space="0" w:color="auto"/>
                  </w:divBdr>
                </w:div>
              </w:divsChild>
            </w:div>
            <w:div w:id="1093277411">
              <w:marLeft w:val="0"/>
              <w:marRight w:val="0"/>
              <w:marTop w:val="0"/>
              <w:marBottom w:val="75"/>
              <w:divBdr>
                <w:top w:val="none" w:sz="0" w:space="0" w:color="auto"/>
                <w:left w:val="none" w:sz="0" w:space="0" w:color="auto"/>
                <w:bottom w:val="none" w:sz="0" w:space="0" w:color="auto"/>
                <w:right w:val="none" w:sz="0" w:space="0" w:color="auto"/>
              </w:divBdr>
              <w:divsChild>
                <w:div w:id="285308663">
                  <w:marLeft w:val="0"/>
                  <w:marRight w:val="0"/>
                  <w:marTop w:val="0"/>
                  <w:marBottom w:val="0"/>
                  <w:divBdr>
                    <w:top w:val="none" w:sz="0" w:space="0" w:color="auto"/>
                    <w:left w:val="none" w:sz="0" w:space="0" w:color="auto"/>
                    <w:bottom w:val="none" w:sz="0" w:space="0" w:color="auto"/>
                    <w:right w:val="none" w:sz="0" w:space="0" w:color="auto"/>
                  </w:divBdr>
                </w:div>
                <w:div w:id="88280940">
                  <w:marLeft w:val="0"/>
                  <w:marRight w:val="0"/>
                  <w:marTop w:val="0"/>
                  <w:marBottom w:val="0"/>
                  <w:divBdr>
                    <w:top w:val="none" w:sz="0" w:space="0" w:color="auto"/>
                    <w:left w:val="none" w:sz="0" w:space="0" w:color="auto"/>
                    <w:bottom w:val="none" w:sz="0" w:space="0" w:color="auto"/>
                    <w:right w:val="none" w:sz="0" w:space="0" w:color="auto"/>
                  </w:divBdr>
                </w:div>
              </w:divsChild>
            </w:div>
            <w:div w:id="1815097754">
              <w:marLeft w:val="0"/>
              <w:marRight w:val="0"/>
              <w:marTop w:val="0"/>
              <w:marBottom w:val="75"/>
              <w:divBdr>
                <w:top w:val="none" w:sz="0" w:space="0" w:color="auto"/>
                <w:left w:val="none" w:sz="0" w:space="0" w:color="auto"/>
                <w:bottom w:val="none" w:sz="0" w:space="0" w:color="auto"/>
                <w:right w:val="none" w:sz="0" w:space="0" w:color="auto"/>
              </w:divBdr>
              <w:divsChild>
                <w:div w:id="298072225">
                  <w:marLeft w:val="0"/>
                  <w:marRight w:val="0"/>
                  <w:marTop w:val="0"/>
                  <w:marBottom w:val="0"/>
                  <w:divBdr>
                    <w:top w:val="none" w:sz="0" w:space="0" w:color="auto"/>
                    <w:left w:val="none" w:sz="0" w:space="0" w:color="auto"/>
                    <w:bottom w:val="none" w:sz="0" w:space="0" w:color="auto"/>
                    <w:right w:val="none" w:sz="0" w:space="0" w:color="auto"/>
                  </w:divBdr>
                </w:div>
                <w:div w:id="488714510">
                  <w:marLeft w:val="0"/>
                  <w:marRight w:val="0"/>
                  <w:marTop w:val="0"/>
                  <w:marBottom w:val="0"/>
                  <w:divBdr>
                    <w:top w:val="none" w:sz="0" w:space="0" w:color="auto"/>
                    <w:left w:val="none" w:sz="0" w:space="0" w:color="auto"/>
                    <w:bottom w:val="none" w:sz="0" w:space="0" w:color="auto"/>
                    <w:right w:val="none" w:sz="0" w:space="0" w:color="auto"/>
                  </w:divBdr>
                </w:div>
              </w:divsChild>
            </w:div>
            <w:div w:id="1559127062">
              <w:marLeft w:val="0"/>
              <w:marRight w:val="0"/>
              <w:marTop w:val="0"/>
              <w:marBottom w:val="75"/>
              <w:divBdr>
                <w:top w:val="none" w:sz="0" w:space="0" w:color="auto"/>
                <w:left w:val="none" w:sz="0" w:space="0" w:color="auto"/>
                <w:bottom w:val="none" w:sz="0" w:space="0" w:color="auto"/>
                <w:right w:val="none" w:sz="0" w:space="0" w:color="auto"/>
              </w:divBdr>
              <w:divsChild>
                <w:div w:id="1694837352">
                  <w:marLeft w:val="0"/>
                  <w:marRight w:val="0"/>
                  <w:marTop w:val="0"/>
                  <w:marBottom w:val="0"/>
                  <w:divBdr>
                    <w:top w:val="none" w:sz="0" w:space="0" w:color="auto"/>
                    <w:left w:val="none" w:sz="0" w:space="0" w:color="auto"/>
                    <w:bottom w:val="none" w:sz="0" w:space="0" w:color="auto"/>
                    <w:right w:val="none" w:sz="0" w:space="0" w:color="auto"/>
                  </w:divBdr>
                </w:div>
                <w:div w:id="2115248032">
                  <w:marLeft w:val="0"/>
                  <w:marRight w:val="0"/>
                  <w:marTop w:val="0"/>
                  <w:marBottom w:val="0"/>
                  <w:divBdr>
                    <w:top w:val="none" w:sz="0" w:space="0" w:color="auto"/>
                    <w:left w:val="none" w:sz="0" w:space="0" w:color="auto"/>
                    <w:bottom w:val="none" w:sz="0" w:space="0" w:color="auto"/>
                    <w:right w:val="none" w:sz="0" w:space="0" w:color="auto"/>
                  </w:divBdr>
                </w:div>
              </w:divsChild>
            </w:div>
            <w:div w:id="1940528789">
              <w:marLeft w:val="0"/>
              <w:marRight w:val="0"/>
              <w:marTop w:val="0"/>
              <w:marBottom w:val="75"/>
              <w:divBdr>
                <w:top w:val="none" w:sz="0" w:space="0" w:color="auto"/>
                <w:left w:val="none" w:sz="0" w:space="0" w:color="auto"/>
                <w:bottom w:val="none" w:sz="0" w:space="0" w:color="auto"/>
                <w:right w:val="none" w:sz="0" w:space="0" w:color="auto"/>
              </w:divBdr>
              <w:divsChild>
                <w:div w:id="862596994">
                  <w:marLeft w:val="0"/>
                  <w:marRight w:val="0"/>
                  <w:marTop w:val="0"/>
                  <w:marBottom w:val="0"/>
                  <w:divBdr>
                    <w:top w:val="none" w:sz="0" w:space="0" w:color="auto"/>
                    <w:left w:val="none" w:sz="0" w:space="0" w:color="auto"/>
                    <w:bottom w:val="none" w:sz="0" w:space="0" w:color="auto"/>
                    <w:right w:val="none" w:sz="0" w:space="0" w:color="auto"/>
                  </w:divBdr>
                </w:div>
                <w:div w:id="885145023">
                  <w:marLeft w:val="0"/>
                  <w:marRight w:val="0"/>
                  <w:marTop w:val="0"/>
                  <w:marBottom w:val="0"/>
                  <w:divBdr>
                    <w:top w:val="none" w:sz="0" w:space="0" w:color="auto"/>
                    <w:left w:val="none" w:sz="0" w:space="0" w:color="auto"/>
                    <w:bottom w:val="none" w:sz="0" w:space="0" w:color="auto"/>
                    <w:right w:val="none" w:sz="0" w:space="0" w:color="auto"/>
                  </w:divBdr>
                </w:div>
              </w:divsChild>
            </w:div>
            <w:div w:id="395051907">
              <w:marLeft w:val="0"/>
              <w:marRight w:val="0"/>
              <w:marTop w:val="0"/>
              <w:marBottom w:val="75"/>
              <w:divBdr>
                <w:top w:val="none" w:sz="0" w:space="0" w:color="auto"/>
                <w:left w:val="none" w:sz="0" w:space="0" w:color="auto"/>
                <w:bottom w:val="none" w:sz="0" w:space="0" w:color="auto"/>
                <w:right w:val="none" w:sz="0" w:space="0" w:color="auto"/>
              </w:divBdr>
              <w:divsChild>
                <w:div w:id="1476722880">
                  <w:marLeft w:val="0"/>
                  <w:marRight w:val="0"/>
                  <w:marTop w:val="0"/>
                  <w:marBottom w:val="0"/>
                  <w:divBdr>
                    <w:top w:val="none" w:sz="0" w:space="0" w:color="auto"/>
                    <w:left w:val="none" w:sz="0" w:space="0" w:color="auto"/>
                    <w:bottom w:val="none" w:sz="0" w:space="0" w:color="auto"/>
                    <w:right w:val="none" w:sz="0" w:space="0" w:color="auto"/>
                  </w:divBdr>
                </w:div>
                <w:div w:id="1463112343">
                  <w:marLeft w:val="0"/>
                  <w:marRight w:val="0"/>
                  <w:marTop w:val="0"/>
                  <w:marBottom w:val="0"/>
                  <w:divBdr>
                    <w:top w:val="none" w:sz="0" w:space="0" w:color="auto"/>
                    <w:left w:val="none" w:sz="0" w:space="0" w:color="auto"/>
                    <w:bottom w:val="none" w:sz="0" w:space="0" w:color="auto"/>
                    <w:right w:val="none" w:sz="0" w:space="0" w:color="auto"/>
                  </w:divBdr>
                </w:div>
              </w:divsChild>
            </w:div>
            <w:div w:id="172259971">
              <w:marLeft w:val="0"/>
              <w:marRight w:val="0"/>
              <w:marTop w:val="0"/>
              <w:marBottom w:val="75"/>
              <w:divBdr>
                <w:top w:val="none" w:sz="0" w:space="0" w:color="auto"/>
                <w:left w:val="none" w:sz="0" w:space="0" w:color="auto"/>
                <w:bottom w:val="none" w:sz="0" w:space="0" w:color="auto"/>
                <w:right w:val="none" w:sz="0" w:space="0" w:color="auto"/>
              </w:divBdr>
              <w:divsChild>
                <w:div w:id="1117599366">
                  <w:marLeft w:val="0"/>
                  <w:marRight w:val="0"/>
                  <w:marTop w:val="0"/>
                  <w:marBottom w:val="0"/>
                  <w:divBdr>
                    <w:top w:val="none" w:sz="0" w:space="0" w:color="auto"/>
                    <w:left w:val="none" w:sz="0" w:space="0" w:color="auto"/>
                    <w:bottom w:val="none" w:sz="0" w:space="0" w:color="auto"/>
                    <w:right w:val="none" w:sz="0" w:space="0" w:color="auto"/>
                  </w:divBdr>
                </w:div>
                <w:div w:id="312293547">
                  <w:marLeft w:val="0"/>
                  <w:marRight w:val="0"/>
                  <w:marTop w:val="0"/>
                  <w:marBottom w:val="0"/>
                  <w:divBdr>
                    <w:top w:val="none" w:sz="0" w:space="0" w:color="auto"/>
                    <w:left w:val="none" w:sz="0" w:space="0" w:color="auto"/>
                    <w:bottom w:val="none" w:sz="0" w:space="0" w:color="auto"/>
                    <w:right w:val="none" w:sz="0" w:space="0" w:color="auto"/>
                  </w:divBdr>
                  <w:divsChild>
                    <w:div w:id="140830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173775">
      <w:marLeft w:val="0"/>
      <w:marRight w:val="0"/>
      <w:marTop w:val="0"/>
      <w:marBottom w:val="0"/>
      <w:divBdr>
        <w:top w:val="none" w:sz="0" w:space="0" w:color="auto"/>
        <w:left w:val="none" w:sz="0" w:space="0" w:color="auto"/>
        <w:bottom w:val="none" w:sz="0" w:space="0" w:color="auto"/>
        <w:right w:val="none" w:sz="0" w:space="0" w:color="auto"/>
      </w:divBdr>
    </w:div>
    <w:div w:id="1414358108">
      <w:marLeft w:val="0"/>
      <w:marRight w:val="0"/>
      <w:marTop w:val="0"/>
      <w:marBottom w:val="0"/>
      <w:divBdr>
        <w:top w:val="none" w:sz="0" w:space="0" w:color="auto"/>
        <w:left w:val="none" w:sz="0" w:space="0" w:color="auto"/>
        <w:bottom w:val="none" w:sz="0" w:space="0" w:color="auto"/>
        <w:right w:val="none" w:sz="0" w:space="0" w:color="auto"/>
      </w:divBdr>
      <w:divsChild>
        <w:div w:id="316541860">
          <w:marLeft w:val="0"/>
          <w:marRight w:val="0"/>
          <w:marTop w:val="0"/>
          <w:marBottom w:val="0"/>
          <w:divBdr>
            <w:top w:val="none" w:sz="0" w:space="0" w:color="auto"/>
            <w:left w:val="none" w:sz="0" w:space="0" w:color="auto"/>
            <w:bottom w:val="none" w:sz="0" w:space="0" w:color="auto"/>
            <w:right w:val="none" w:sz="0" w:space="0" w:color="auto"/>
          </w:divBdr>
        </w:div>
        <w:div w:id="98841956">
          <w:marLeft w:val="0"/>
          <w:marRight w:val="0"/>
          <w:marTop w:val="0"/>
          <w:marBottom w:val="0"/>
          <w:divBdr>
            <w:top w:val="none" w:sz="0" w:space="0" w:color="auto"/>
            <w:left w:val="none" w:sz="0" w:space="0" w:color="auto"/>
            <w:bottom w:val="none" w:sz="0" w:space="0" w:color="auto"/>
            <w:right w:val="none" w:sz="0" w:space="0" w:color="auto"/>
          </w:divBdr>
          <w:divsChild>
            <w:div w:id="2093892226">
              <w:marLeft w:val="0"/>
              <w:marRight w:val="0"/>
              <w:marTop w:val="0"/>
              <w:marBottom w:val="0"/>
              <w:divBdr>
                <w:top w:val="none" w:sz="0" w:space="0" w:color="auto"/>
                <w:left w:val="none" w:sz="0" w:space="0" w:color="auto"/>
                <w:bottom w:val="none" w:sz="0" w:space="0" w:color="auto"/>
                <w:right w:val="none" w:sz="0" w:space="0" w:color="auto"/>
              </w:divBdr>
              <w:divsChild>
                <w:div w:id="1587037669">
                  <w:marLeft w:val="0"/>
                  <w:marRight w:val="0"/>
                  <w:marTop w:val="0"/>
                  <w:marBottom w:val="0"/>
                  <w:divBdr>
                    <w:top w:val="none" w:sz="0" w:space="0" w:color="auto"/>
                    <w:left w:val="none" w:sz="0" w:space="0" w:color="auto"/>
                    <w:bottom w:val="none" w:sz="0" w:space="0" w:color="auto"/>
                    <w:right w:val="none" w:sz="0" w:space="0" w:color="auto"/>
                  </w:divBdr>
                  <w:divsChild>
                    <w:div w:id="115017357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27881967">
              <w:marLeft w:val="0"/>
              <w:marRight w:val="0"/>
              <w:marTop w:val="0"/>
              <w:marBottom w:val="0"/>
              <w:divBdr>
                <w:top w:val="none" w:sz="0" w:space="0" w:color="auto"/>
                <w:left w:val="none" w:sz="0" w:space="0" w:color="auto"/>
                <w:bottom w:val="none" w:sz="0" w:space="0" w:color="auto"/>
                <w:right w:val="none" w:sz="0" w:space="0" w:color="auto"/>
              </w:divBdr>
              <w:divsChild>
                <w:div w:id="820805030">
                  <w:marLeft w:val="0"/>
                  <w:marRight w:val="0"/>
                  <w:marTop w:val="0"/>
                  <w:marBottom w:val="0"/>
                  <w:divBdr>
                    <w:top w:val="none" w:sz="0" w:space="0" w:color="auto"/>
                    <w:left w:val="none" w:sz="0" w:space="0" w:color="auto"/>
                    <w:bottom w:val="none" w:sz="0" w:space="0" w:color="auto"/>
                    <w:right w:val="none" w:sz="0" w:space="0" w:color="auto"/>
                  </w:divBdr>
                  <w:divsChild>
                    <w:div w:id="134004046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067564">
      <w:marLeft w:val="0"/>
      <w:marRight w:val="0"/>
      <w:marTop w:val="0"/>
      <w:marBottom w:val="0"/>
      <w:divBdr>
        <w:top w:val="none" w:sz="0" w:space="0" w:color="auto"/>
        <w:left w:val="none" w:sz="0" w:space="0" w:color="auto"/>
        <w:bottom w:val="none" w:sz="0" w:space="0" w:color="auto"/>
        <w:right w:val="none" w:sz="0" w:space="0" w:color="auto"/>
      </w:divBdr>
      <w:divsChild>
        <w:div w:id="2007709101">
          <w:marLeft w:val="0"/>
          <w:marRight w:val="0"/>
          <w:marTop w:val="0"/>
          <w:marBottom w:val="0"/>
          <w:divBdr>
            <w:top w:val="none" w:sz="0" w:space="0" w:color="auto"/>
            <w:left w:val="none" w:sz="0" w:space="0" w:color="auto"/>
            <w:bottom w:val="none" w:sz="0" w:space="0" w:color="auto"/>
            <w:right w:val="none" w:sz="0" w:space="0" w:color="auto"/>
          </w:divBdr>
        </w:div>
        <w:div w:id="626933287">
          <w:marLeft w:val="0"/>
          <w:marRight w:val="0"/>
          <w:marTop w:val="0"/>
          <w:marBottom w:val="0"/>
          <w:divBdr>
            <w:top w:val="none" w:sz="0" w:space="0" w:color="auto"/>
            <w:left w:val="none" w:sz="0" w:space="0" w:color="auto"/>
            <w:bottom w:val="none" w:sz="0" w:space="0" w:color="auto"/>
            <w:right w:val="none" w:sz="0" w:space="0" w:color="auto"/>
          </w:divBdr>
          <w:divsChild>
            <w:div w:id="1787847204">
              <w:marLeft w:val="0"/>
              <w:marRight w:val="0"/>
              <w:marTop w:val="0"/>
              <w:marBottom w:val="0"/>
              <w:divBdr>
                <w:top w:val="none" w:sz="0" w:space="0" w:color="auto"/>
                <w:left w:val="none" w:sz="0" w:space="0" w:color="auto"/>
                <w:bottom w:val="none" w:sz="0" w:space="0" w:color="auto"/>
                <w:right w:val="none" w:sz="0" w:space="0" w:color="auto"/>
              </w:divBdr>
              <w:divsChild>
                <w:div w:id="143867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2.gif"/><Relationship Id="rId18" Type="http://schemas.openxmlformats.org/officeDocument/2006/relationships/hyperlink" Target="http://search.proquest.com/docview.indexfieldtext.lateralsearchlink:lateralsearch/sng/subject/Statistical+analysis/Keyword?site=abicomplete&amp;t:ac=211789411/13036788B4A1456CEF4/1&amp;t:cp=maintain/docviewblocks" TargetMode="External"/><Relationship Id="rId26" Type="http://schemas.openxmlformats.org/officeDocument/2006/relationships/hyperlink" Target="http://search.proquest.com/docview.indexfieldclassification.lateralsearchlink:lateralsearch/sng/cc/5240:+Software+$26+systems/Keyword?site=abicomplete&amp;t:ac=211789411/13036788B4A1456CEF4/1&amp;t:cp=maintain/docviewblocks" TargetMode="External"/><Relationship Id="rId3" Type="http://schemas.openxmlformats.org/officeDocument/2006/relationships/webSettings" Target="webSettings.xml"/><Relationship Id="rId21" Type="http://schemas.openxmlformats.org/officeDocument/2006/relationships/hyperlink" Target="http://search.proquest.com/docview.indexfieldtext.lateralsearchlink:lateralsearch/sng/subject/Supply+chain+management/Keyword?site=abicomplete&amp;t:ac=211789411/13036788B4A1456CEF4/1&amp;t:cp=maintain/docviewblocks" TargetMode="External"/><Relationship Id="rId7" Type="http://schemas.openxmlformats.org/officeDocument/2006/relationships/hyperlink" Target="http://search.proquest.com/docview.issuebrowselink:searchpublicationissue/26164/European+Journal+of+Innovation+Management/02007Y04Y01$232007$3b++Vol.+10+$282$29/10/2?site=abicomplete&amp;t:ac=211789411/13036788B4A1456CEF4/1&amp;t:cp=maintain/resultcitationblocks" TargetMode="External"/><Relationship Id="rId12" Type="http://schemas.openxmlformats.org/officeDocument/2006/relationships/hyperlink" Target="http://www.lec.com/" TargetMode="External"/><Relationship Id="rId17" Type="http://schemas.openxmlformats.org/officeDocument/2006/relationships/hyperlink" Target="http://search.proquest.com/docview.indexfieldtext.lateralsearchlink:lateralsearch/sng/subject/Social+networks/Keyword?site=abicomplete&amp;t:ac=211789411/13036788B4A1456CEF4/1&amp;t:cp=maintain/docviewblocks" TargetMode="External"/><Relationship Id="rId25" Type="http://schemas.openxmlformats.org/officeDocument/2006/relationships/hyperlink" Target="http://search.proquest.com/docview.indexfieldclassification.lateralsearchlink:lateralsearch/sng/cc/9179:+Asia+$26+the+Pacific/Keyword?site=abicomplete&amp;t:ac=211789411/13036788B4A1456CEF4/1&amp;t:cp=maintain/docviewblocks" TargetMode="External"/><Relationship Id="rId2" Type="http://schemas.openxmlformats.org/officeDocument/2006/relationships/settings" Target="settings.xml"/><Relationship Id="rId16" Type="http://schemas.openxmlformats.org/officeDocument/2006/relationships/hyperlink" Target="http://search.proquest.com/docview.indexfieldtext.lateralsearchlink:lateralsearch/sng/subject/Innovations/Keyword?site=abicomplete&amp;t:ac=211789411/13036788B4A1456CEF4/1&amp;t:cp=maintain/docviewblocks" TargetMode="External"/><Relationship Id="rId20" Type="http://schemas.openxmlformats.org/officeDocument/2006/relationships/hyperlink" Target="http://search.proquest.com/docview.indexfieldtext.lateralsearchlink:lateralsearch/sng/subject/Stakeholders/Keyword?site=abicomplete&amp;t:ac=211789411/13036788B4A1456CEF4/1&amp;t:cp=maintain/docviewblocks"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arch.proquest.com/docview.lateralsearchlink_1:lateralsearch/sng/pubtitle/European+Journal+of+Innovation+Management/$N?site=abicomplete&amp;t:ac=211789411/13036788B4A1456CEF4/1&amp;t:cp=maintain/resultcitationblocks" TargetMode="External"/><Relationship Id="rId11" Type="http://schemas.openxmlformats.org/officeDocument/2006/relationships/hyperlink" Target="http://search.proquest.com/abicomplete/docview/211789411/13036788B4A1456CEF4/1?accountid=14191" TargetMode="External"/><Relationship Id="rId24" Type="http://schemas.openxmlformats.org/officeDocument/2006/relationships/hyperlink" Target="http://search.proquest.com/docview.indexfieldclassification.lateralsearchlink:lateralsearch/sng/cc/1220:+Social+trends+$26+culture/Keyword?site=abicomplete&amp;t:ac=211789411/13036788B4A1456CEF4/1&amp;t:cp=maintain/docviewblocks" TargetMode="External"/><Relationship Id="rId5" Type="http://schemas.openxmlformats.org/officeDocument/2006/relationships/hyperlink" Target="http://search.proquest.com/abicomplete/profiles/scholaruniverse/document/B527E1C7AC1BA51A7A59EDE14A1F4B7A/1/$N/COSResolverMatches:abicomplete?accountid=14191" TargetMode="External"/><Relationship Id="rId15" Type="http://schemas.openxmlformats.org/officeDocument/2006/relationships/hyperlink" Target="http://search.proquest.com/docview.indexfieldtext.lateralsearchlink:lateralsearch/sng/subject/Studies/Keyword?site=abicomplete&amp;t:ac=211789411/13036788B4A1456CEF4/1&amp;t:cp=maintain/docviewblocks" TargetMode="External"/><Relationship Id="rId23" Type="http://schemas.openxmlformats.org/officeDocument/2006/relationships/hyperlink" Target="http://search.proquest.com/docview.indexfieldclassification.lateralsearchlink:lateralsearch/sng/cc/9130:+Experimental$2ftheoretical/Keyword?site=abicomplete&amp;t:ac=211789411/13036788B4A1456CEF4/1&amp;t:cp=maintain/docviewblocks" TargetMode="External"/><Relationship Id="rId28" Type="http://schemas.openxmlformats.org/officeDocument/2006/relationships/fontTable" Target="fontTable.xml"/><Relationship Id="rId10" Type="http://schemas.openxmlformats.org/officeDocument/2006/relationships/hyperlink" Target="http://search.proquest.com/abicomplete/docview/211789411/13036788B4A1456CEF4/1?accountid=14191" TargetMode="External"/><Relationship Id="rId19" Type="http://schemas.openxmlformats.org/officeDocument/2006/relationships/hyperlink" Target="http://search.proquest.com/docview.indexfieldtext.lateralsearchlink:lateralsearch/sng/subject/Extensible+Markup+Language/Keyword?site=abicomplete&amp;t:ac=211789411/13036788B4A1456CEF4/1&amp;t:cp=maintain/docviewblocks" TargetMode="External"/><Relationship Id="rId4" Type="http://schemas.openxmlformats.org/officeDocument/2006/relationships/hyperlink" Target="http://search.proquest.com/abicomplete/profiles/scholaruniverse/document/F11FF92BCE47B01D01B921418FB6EC19/1/$N/COSResolverMatches:abicomplete?accountid=14191" TargetMode="External"/><Relationship Id="rId9" Type="http://schemas.openxmlformats.org/officeDocument/2006/relationships/hyperlink" Target="http://search.proquest.com/docview.fulltext:hidefulltext/Fulltext?site=abicomplete&amp;t:ac=211789411/13036788B4A1456CEF4/1" TargetMode="External"/><Relationship Id="rId14" Type="http://schemas.openxmlformats.org/officeDocument/2006/relationships/hyperlink" Target="http://search.proquest.com/docview.fullcitation.citethis:updatecitationlink/DocView/$N/citeThisZonecitethis_0/MSTAR_211789411/$2fabicomplete$2fdocview$2f211789411$2f13036788B4A1456CEF4$2f1?site=abicomplete&amp;t:ac=211789411/13036788B4A1456CEF4/1" TargetMode="External"/><Relationship Id="rId22" Type="http://schemas.openxmlformats.org/officeDocument/2006/relationships/hyperlink" Target="http://search.proquest.com/docview.indexfieldtext.lateralsearchlink:lateralsearch/sng/loc/Australia/$N?site=abicomplete&amp;t:ac=211789411/13036788B4A1456CEF4/1&amp;t:cp=maintain/docviewblocks" TargetMode="External"/><Relationship Id="rId27" Type="http://schemas.openxmlformats.org/officeDocument/2006/relationships/hyperlink" Target="http://search.proquest.com/docview.indexfieldclassification.lateralsearchlink:lateralsearch/sng/cc/3400:+Investment+analysis+$26+personal+finance/Keyword?site=abicomplete&amp;t:ac=211789411/13036788B4A1456CEF4/1&amp;t:cp=maintain/docviewblo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13132</Words>
  <Characters>74856</Characters>
  <Application>Microsoft Office Word</Application>
  <DocSecurity>0</DocSecurity>
  <Lines>623</Lines>
  <Paragraphs>175</Paragraphs>
  <ScaleCrop>false</ScaleCrop>
  <Company>Swansea Metropolitas</Company>
  <LinksUpToDate>false</LinksUpToDate>
  <CharactersWithSpaces>87813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2011-10-17T12:26:00Z</dcterms:created>
  <dcterms:modified xsi:type="dcterms:W3CDTF">2011-10-17T12:26:00Z</dcterms:modified>
</cp:coreProperties>
</file>