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FC92151" w14:textId="77777777" w:rsidR="006C1E91" w:rsidRDefault="00000000">
      <w:pPr>
        <w:jc w:val="center"/>
      </w:pPr>
      <w:r>
        <w:rPr>
          <w:b/>
          <w:sz w:val="40"/>
        </w:rPr>
        <w:t>LCLM5003 PROJECT MANAGEMENT</w:t>
      </w:r>
    </w:p>
    <w:p w14:paraId="621023B3" w14:textId="77777777" w:rsidR="006C1E91" w:rsidRDefault="006C1E91"/>
    <w:p w14:paraId="20366CDC" w14:textId="77777777" w:rsidR="006C1E91" w:rsidRDefault="006C1E91"/>
    <w:p w14:paraId="62FAFDCD" w14:textId="77777777" w:rsidR="006C1E91" w:rsidRDefault="006C1E91"/>
    <w:p w14:paraId="51E77F0F" w14:textId="77777777" w:rsidR="006C1E91" w:rsidRDefault="00000000">
      <w:pPr>
        <w:jc w:val="center"/>
      </w:pPr>
      <w:r>
        <w:rPr>
          <w:b/>
          <w:sz w:val="60"/>
        </w:rPr>
        <w:t>METROFLOW</w:t>
      </w:r>
    </w:p>
    <w:p w14:paraId="39023745" w14:textId="77777777" w:rsidR="006C1E91" w:rsidRDefault="00000000">
      <w:pPr>
        <w:jc w:val="center"/>
      </w:pPr>
      <w:r>
        <w:rPr>
          <w:b/>
          <w:sz w:val="36"/>
        </w:rPr>
        <w:t>Digital Modernisation of Passenger Flow and Logistics Coordination</w:t>
      </w:r>
    </w:p>
    <w:p w14:paraId="250F1D39" w14:textId="77777777" w:rsidR="006C1E91" w:rsidRDefault="006C1E91"/>
    <w:p w14:paraId="4FE0CE4D" w14:textId="77777777" w:rsidR="006C1E91" w:rsidRDefault="006C1E91"/>
    <w:p w14:paraId="7E573B75" w14:textId="77777777" w:rsidR="006C1E91" w:rsidRDefault="006C1E91"/>
    <w:p w14:paraId="7390EF63" w14:textId="77777777" w:rsidR="006C1E91" w:rsidRDefault="006C1E91"/>
    <w:p w14:paraId="1A3C9AC9" w14:textId="77777777" w:rsidR="006C1E91" w:rsidRDefault="00000000">
      <w:pPr>
        <w:jc w:val="center"/>
      </w:pPr>
      <w:r>
        <w:t>Student: Rafal Boguszewski</w:t>
      </w:r>
    </w:p>
    <w:p w14:paraId="220AC133" w14:textId="77777777" w:rsidR="006C1E91" w:rsidRDefault="00000000">
      <w:pPr>
        <w:jc w:val="center"/>
      </w:pPr>
      <w:r>
        <w:t>Student Number: 2429418</w:t>
      </w:r>
    </w:p>
    <w:p w14:paraId="11A29381" w14:textId="77777777" w:rsidR="006C1E91" w:rsidRDefault="00000000">
      <w:pPr>
        <w:jc w:val="center"/>
      </w:pPr>
      <w:r>
        <w:t>Course: BA (Hons) Leadership and Management Skills in the Workplace</w:t>
      </w:r>
    </w:p>
    <w:p w14:paraId="25016467" w14:textId="77777777" w:rsidR="006C1E91" w:rsidRDefault="00000000">
      <w:pPr>
        <w:jc w:val="center"/>
      </w:pPr>
      <w:r>
        <w:t>Module: LCLM5003 Project Management</w:t>
      </w:r>
    </w:p>
    <w:p w14:paraId="41758129" w14:textId="77777777" w:rsidR="006C1E91" w:rsidRDefault="00000000">
      <w:pPr>
        <w:jc w:val="center"/>
      </w:pPr>
      <w:r>
        <w:t>Lecturer: Dr Xavier Matieni</w:t>
      </w:r>
    </w:p>
    <w:p w14:paraId="53E8CF25" w14:textId="77777777" w:rsidR="006C1E91" w:rsidRDefault="00000000">
      <w:pPr>
        <w:jc w:val="center"/>
      </w:pPr>
      <w:r>
        <w:t>Assessment Portfolio: Parts A, B and C</w:t>
      </w:r>
    </w:p>
    <w:p w14:paraId="255FA2B3" w14:textId="77777777" w:rsidR="006C1E91" w:rsidRDefault="00000000">
      <w:r>
        <w:br w:type="page"/>
      </w:r>
    </w:p>
    <w:p w14:paraId="60F161DA" w14:textId="77777777" w:rsidR="006C1E91" w:rsidRDefault="00000000">
      <w:pPr>
        <w:pStyle w:val="Heading1"/>
      </w:pPr>
      <w:r>
        <w:lastRenderedPageBreak/>
        <w:t>Contents</w:t>
      </w:r>
    </w:p>
    <w:p w14:paraId="2743C436" w14:textId="77777777" w:rsidR="006C1E91" w:rsidRDefault="00000000">
      <w:pPr>
        <w:spacing w:after="40"/>
      </w:pPr>
      <w:r>
        <w:t>Part A – Project Proposal Poster</w:t>
      </w:r>
      <w:r>
        <w:tab/>
        <w:t>3</w:t>
      </w:r>
    </w:p>
    <w:p w14:paraId="6DCB0130" w14:textId="77777777" w:rsidR="006C1E91" w:rsidRDefault="00000000">
      <w:pPr>
        <w:spacing w:after="40"/>
      </w:pPr>
      <w:r>
        <w:t>Part B – Critical Reflection on Feedback</w:t>
      </w:r>
      <w:r>
        <w:tab/>
        <w:t>4</w:t>
      </w:r>
    </w:p>
    <w:p w14:paraId="1FF989C6" w14:textId="77777777" w:rsidR="006C1E91" w:rsidRDefault="00000000">
      <w:pPr>
        <w:spacing w:after="40"/>
      </w:pPr>
      <w:r>
        <w:t>Part C – Project Management Plan</w:t>
      </w:r>
      <w:r>
        <w:tab/>
        <w:t>6</w:t>
      </w:r>
    </w:p>
    <w:p w14:paraId="432723A8" w14:textId="77777777" w:rsidR="006C1E91" w:rsidRDefault="00000000">
      <w:pPr>
        <w:spacing w:after="40"/>
      </w:pPr>
      <w:r>
        <w:t>1. Introduction</w:t>
      </w:r>
      <w:r>
        <w:tab/>
        <w:t>6</w:t>
      </w:r>
    </w:p>
    <w:p w14:paraId="4F8FBCBF" w14:textId="77777777" w:rsidR="006C1E91" w:rsidRDefault="00000000">
      <w:pPr>
        <w:spacing w:after="40"/>
      </w:pPr>
      <w:r>
        <w:t>2. Project Description</w:t>
      </w:r>
      <w:r>
        <w:tab/>
        <w:t>6</w:t>
      </w:r>
    </w:p>
    <w:p w14:paraId="5848C79F" w14:textId="77777777" w:rsidR="006C1E91" w:rsidRDefault="00000000">
      <w:pPr>
        <w:spacing w:after="40"/>
      </w:pPr>
      <w:r>
        <w:t>3. Scope</w:t>
      </w:r>
      <w:r>
        <w:tab/>
        <w:t>7</w:t>
      </w:r>
    </w:p>
    <w:p w14:paraId="7B1F0F9A" w14:textId="77777777" w:rsidR="006C1E91" w:rsidRDefault="00000000">
      <w:pPr>
        <w:spacing w:after="40"/>
      </w:pPr>
      <w:r>
        <w:t>4. Work Breakdown Structure (WBS)</w:t>
      </w:r>
      <w:r>
        <w:tab/>
        <w:t>8</w:t>
      </w:r>
    </w:p>
    <w:p w14:paraId="71A675E9" w14:textId="77777777" w:rsidR="006C1E91" w:rsidRDefault="00000000">
      <w:pPr>
        <w:spacing w:after="40"/>
      </w:pPr>
      <w:r>
        <w:t>5. Quad Chart</w:t>
      </w:r>
      <w:r>
        <w:tab/>
        <w:t>9</w:t>
      </w:r>
    </w:p>
    <w:p w14:paraId="1A066C4D" w14:textId="77777777" w:rsidR="006C1E91" w:rsidRDefault="00000000">
      <w:pPr>
        <w:spacing w:after="40"/>
      </w:pPr>
      <w:r>
        <w:t>6. Gantt Chart</w:t>
      </w:r>
      <w:r>
        <w:tab/>
        <w:t>9</w:t>
      </w:r>
    </w:p>
    <w:p w14:paraId="037574CF" w14:textId="77777777" w:rsidR="006C1E91" w:rsidRDefault="00000000">
      <w:pPr>
        <w:spacing w:after="40"/>
      </w:pPr>
      <w:r>
        <w:t>7. Stakeholder Involvement</w:t>
      </w:r>
      <w:r>
        <w:tab/>
        <w:t>10</w:t>
      </w:r>
    </w:p>
    <w:p w14:paraId="4C0ECA78" w14:textId="77777777" w:rsidR="006C1E91" w:rsidRDefault="00000000">
      <w:pPr>
        <w:spacing w:after="40"/>
      </w:pPr>
      <w:r>
        <w:t>8. Allocation of Resources</w:t>
      </w:r>
      <w:r>
        <w:tab/>
        <w:t>13</w:t>
      </w:r>
    </w:p>
    <w:p w14:paraId="6E7A29F1" w14:textId="77777777" w:rsidR="006C1E91" w:rsidRDefault="00000000">
      <w:pPr>
        <w:spacing w:after="40"/>
      </w:pPr>
      <w:r>
        <w:t>9. Risk Analysis</w:t>
      </w:r>
      <w:r>
        <w:tab/>
        <w:t>14</w:t>
      </w:r>
    </w:p>
    <w:p w14:paraId="5FA80646" w14:textId="77777777" w:rsidR="006C1E91" w:rsidRDefault="00000000">
      <w:pPr>
        <w:spacing w:after="40"/>
      </w:pPr>
      <w:r>
        <w:t>10. Conclusion</w:t>
      </w:r>
      <w:r>
        <w:tab/>
        <w:t>15</w:t>
      </w:r>
    </w:p>
    <w:p w14:paraId="4C0591B5" w14:textId="77777777" w:rsidR="006C1E91" w:rsidRDefault="00000000">
      <w:pPr>
        <w:spacing w:after="40"/>
      </w:pPr>
      <w:r>
        <w:t>References</w:t>
      </w:r>
      <w:r>
        <w:tab/>
        <w:t>16</w:t>
      </w:r>
    </w:p>
    <w:p w14:paraId="0CB3A446" w14:textId="77777777" w:rsidR="006C1E91" w:rsidRDefault="006C1E91">
      <w:pPr>
        <w:sectPr w:rsidR="006C1E91">
          <w:footerReference w:type="default" r:id="rId8"/>
          <w:pgSz w:w="12240" w:h="15840"/>
          <w:pgMar w:top="1080" w:right="1152" w:bottom="1080" w:left="1152" w:header="720" w:footer="720" w:gutter="0"/>
          <w:cols w:space="720"/>
          <w:docGrid w:linePitch="360"/>
        </w:sectPr>
      </w:pPr>
    </w:p>
    <w:p w14:paraId="62B1CAE6" w14:textId="77777777" w:rsidR="006C1E91" w:rsidRDefault="00000000">
      <w:pPr>
        <w:spacing w:after="0"/>
        <w:jc w:val="center"/>
      </w:pPr>
      <w:r>
        <w:rPr>
          <w:noProof/>
        </w:rPr>
        <w:lastRenderedPageBreak/>
        <w:drawing>
          <wp:inline distT="0" distB="0" distL="0" distR="0" wp14:anchorId="64517AC2" wp14:editId="24DF4955">
            <wp:extent cx="9382303" cy="6629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troflow_poster.png"/>
                    <pic:cNvPicPr/>
                  </pic:nvPicPr>
                  <pic:blipFill>
                    <a:blip r:embed="rId9"/>
                    <a:stretch>
                      <a:fillRect/>
                    </a:stretch>
                  </pic:blipFill>
                  <pic:spPr>
                    <a:xfrm>
                      <a:off x="0" y="0"/>
                      <a:ext cx="9382303" cy="6629400"/>
                    </a:xfrm>
                    <a:prstGeom prst="rect">
                      <a:avLst/>
                    </a:prstGeom>
                  </pic:spPr>
                </pic:pic>
              </a:graphicData>
            </a:graphic>
          </wp:inline>
        </w:drawing>
      </w:r>
    </w:p>
    <w:p w14:paraId="59C1BF9B" w14:textId="77777777" w:rsidR="006C1E91" w:rsidRDefault="006C1E91">
      <w:pPr>
        <w:sectPr w:rsidR="006C1E91">
          <w:pgSz w:w="15840" w:h="12240" w:orient="landscape"/>
          <w:pgMar w:top="504" w:right="504" w:bottom="504" w:left="504" w:header="720" w:footer="720" w:gutter="0"/>
          <w:cols w:space="720"/>
          <w:docGrid w:linePitch="360"/>
        </w:sectPr>
      </w:pPr>
    </w:p>
    <w:p w14:paraId="78E08648" w14:textId="77777777" w:rsidR="006C1E91" w:rsidRDefault="00000000">
      <w:pPr>
        <w:pStyle w:val="Heading1"/>
      </w:pPr>
      <w:r>
        <w:lastRenderedPageBreak/>
        <w:t>Part B – Critical Reflection on Feedback</w:t>
      </w:r>
    </w:p>
    <w:p w14:paraId="588C645A" w14:textId="77777777" w:rsidR="006C1E91" w:rsidRDefault="00000000">
      <w:pPr>
        <w:jc w:val="both"/>
      </w:pPr>
      <w:r>
        <w:t>The poster presentation for the MetroFlow project gave an opportunity to evaluate both the quality of the project proposal and the effectiveness of the presentation skills used to communicate it. The first presentation felt uncomfortable because the delivery relied too heavily on the poster rather than confidently explaining the project idea. After reflecting on this experience, a request was made to resit the presentation so that both delivery and the visual quality of the poster could be improved. This reflects the purpose of critical reflection, which is not simply to describe what happened, but to identify learning, improvement and professional growth (Gibbs, 1988).</w:t>
      </w:r>
    </w:p>
    <w:p w14:paraId="1CF2B5A0" w14:textId="77777777" w:rsidR="006C1E91" w:rsidRDefault="00000000">
      <w:pPr>
        <w:jc w:val="both"/>
      </w:pPr>
      <w:r>
        <w:t>One of the main strengths was that the purpose of MetroFlow was clear. The proposal communicated that MetroFlow is more than a customer-facing application: it is an integrated digital platform that supports passengers and freight users while also analysing operational data behind the scenes to create smoother and more predictable movement through the transport hub. Requesting the resit also demonstrated resilience and personal responsibility because the initial performance was not accepted as the best achievable outcome. This showed a willingness to respond constructively to feedback and take ownership of development.</w:t>
      </w:r>
    </w:p>
    <w:p w14:paraId="262E884E" w14:textId="77777777" w:rsidR="006C1E91" w:rsidRDefault="00000000">
      <w:pPr>
        <w:jc w:val="both"/>
      </w:pPr>
      <w:r>
        <w:t>The tutor's feedback highlighted that the poster improved after the font size was increased and the text made clearer. The original version was difficult to read from a distance. Nevertheless, the visual design still required further development. Some diagrams, charts and text sections could have been presented more clearly, with stronger visual hierarchy and better use of space. A peer also commented that the presentation should have been "a tad more specific about some details". This was interpreted as a need to explain certain elements more precisely, including the type of data MetroFlow would collect, how the system would support decision-making and how project success would be measured.</w:t>
      </w:r>
    </w:p>
    <w:p w14:paraId="622FCF42" w14:textId="77777777" w:rsidR="006C1E91" w:rsidRDefault="00000000">
      <w:pPr>
        <w:jc w:val="both"/>
      </w:pPr>
      <w:r>
        <w:t xml:space="preserve">Using Gibbs' Reflective Cycle helps explain why these weaknesses occurred. A large amount of project management content was fitted onto one poster, including the WBS, Gantt chart, RACI matrix, risk matrix and Iron Triangle. As a result, completeness was prioritised over readability and precision. Although the information was relevant, some elements became too small, visually crowded or insufficiently explained. At a deeper level, there was an assumption that more content would automatically demonstrate stronger knowledge. The </w:t>
      </w:r>
      <w:r>
        <w:lastRenderedPageBreak/>
        <w:t>feedback challenged this by showing that professional communication depends on whether the audience can understand the purpose and relevance of information quickly.</w:t>
      </w:r>
    </w:p>
    <w:p w14:paraId="5F2EF649" w14:textId="77777777" w:rsidR="006C1E91" w:rsidRDefault="00000000">
      <w:pPr>
        <w:jc w:val="both"/>
      </w:pPr>
      <w:r>
        <w:t>The feedback directly informs changes to the final project management plan. The visual presentation is simplified, key diagrams are larger, unnecessary text is reduced and typography is kept consistent. Each tool also has a clear and specific purpose. The WBS shows manageable work packages, the Gantt chart identifies phases, dependencies and milestones, the RACI matrix clarifies responsibility, and the risk register identifies likelihood, impact, ownership and responses. The final plan also strengthens the links between MetroFlow's objectives, stakeholder needs, operational data and measurable success indicators.</w:t>
      </w:r>
    </w:p>
    <w:p w14:paraId="27AB2A29" w14:textId="77777777" w:rsidR="006C1E91" w:rsidRDefault="00000000">
      <w:pPr>
        <w:jc w:val="both"/>
      </w:pPr>
      <w:r>
        <w:t>Overall, the experience demonstrates that effective project management communication requires clarity, confidence, specificity and visual discipline. The resit provided an opportunity to respond immediately to the first experience, while tutor and peer feedback identified further improvements for the final plan. The feedback is therefore treated not as criticism, but as evidence for improving both the project and the way it is communicated.</w:t>
      </w:r>
    </w:p>
    <w:p w14:paraId="6C7D1FFD" w14:textId="77777777" w:rsidR="006C1E91" w:rsidRDefault="00000000">
      <w:r>
        <w:rPr>
          <w:i/>
        </w:rPr>
        <w:t>Word count: 546 words</w:t>
      </w:r>
    </w:p>
    <w:p w14:paraId="1741167D" w14:textId="77777777" w:rsidR="006C1E91" w:rsidRDefault="00000000">
      <w:r>
        <w:br w:type="page"/>
      </w:r>
    </w:p>
    <w:p w14:paraId="37086A57" w14:textId="77777777" w:rsidR="006C1E91" w:rsidRDefault="00000000">
      <w:pPr>
        <w:pStyle w:val="Heading1"/>
      </w:pPr>
      <w:r>
        <w:lastRenderedPageBreak/>
        <w:t>Part C – Project Management Plan</w:t>
      </w:r>
    </w:p>
    <w:p w14:paraId="58E45688" w14:textId="77777777" w:rsidR="006C1E91" w:rsidRDefault="00000000">
      <w:pPr>
        <w:jc w:val="center"/>
      </w:pPr>
      <w:r>
        <w:rPr>
          <w:b/>
          <w:sz w:val="28"/>
        </w:rPr>
        <w:t>MetroFlow: Digital Modernisation of Passenger Flow and Logistics Coordination</w:t>
      </w:r>
    </w:p>
    <w:p w14:paraId="4AD891D2" w14:textId="77777777" w:rsidR="006C1E91" w:rsidRDefault="00000000">
      <w:pPr>
        <w:pStyle w:val="Heading2"/>
      </w:pPr>
      <w:r>
        <w:t>1. Introduction</w:t>
      </w:r>
    </w:p>
    <w:p w14:paraId="715F0D23" w14:textId="77777777" w:rsidR="006C1E91" w:rsidRDefault="00000000">
      <w:pPr>
        <w:jc w:val="both"/>
      </w:pPr>
      <w:r>
        <w:t>The closure of the metropolitan transport hub creates an urgent operational problem rather than only an infrastructure problem. Passenger journeys are disrupted, freight movements become less predictable and local businesses experience supply-chain consequences. MetroFlow is therefore proposed as the digital coordination project within the wider regeneration programme. Its purpose is to integrate real-time passenger-flow information, freight-slot coordination, accessible wayfinding and operator data so that the rebuilt hub can function as a safer, more predictable and data-led interchange.</w:t>
      </w:r>
    </w:p>
    <w:p w14:paraId="6687EE79" w14:textId="77777777" w:rsidR="006C1E91" w:rsidRDefault="00000000">
      <w:pPr>
        <w:jc w:val="both"/>
      </w:pPr>
      <w:r>
        <w:t>Project management is appropriate because MetroFlow is temporary, unique and constrained by time, scope, cost and quality. Maylor (2010) argues that project management provides the structure through which complex, time-bounded activity can be coordinated, while Roberts (2011) emphasises the importance of converting strategic intention into controlled delivery. However, success cannot be reduced to the traditional time-cost-quality triangle. Atkinson (1999) demonstrates that wider success criteria are necessary, particularly where user outcomes and organisational benefits matter. For MetroFlow, delivery within 24 months is important, but accessibility, system reliability, stakeholder acceptance and measurable improvements in passenger and freight flow are equally significant.</w:t>
      </w:r>
    </w:p>
    <w:p w14:paraId="07D4946B" w14:textId="77777777" w:rsidR="006C1E91" w:rsidRDefault="00000000">
      <w:pPr>
        <w:jc w:val="both"/>
      </w:pPr>
      <w:r>
        <w:t>The plan therefore combines structured control with staged learning. The project uses a defined WBS, Quad Chart, Gantt schedule, stakeholder analysis, RACI allocation and risk register, but these tools are treated as decision-support mechanisms rather than static documents. This is consistent with the PMBOK emphasis on tailoring project management to context (PMI, 2021).</w:t>
      </w:r>
    </w:p>
    <w:p w14:paraId="014E7509" w14:textId="77777777" w:rsidR="006C1E91" w:rsidRDefault="00000000">
      <w:pPr>
        <w:pStyle w:val="Heading2"/>
      </w:pPr>
      <w:r>
        <w:t>2. Project Description</w:t>
      </w:r>
    </w:p>
    <w:p w14:paraId="39EC9B88" w14:textId="77777777" w:rsidR="006C1E91" w:rsidRDefault="00000000">
      <w:pPr>
        <w:jc w:val="both"/>
      </w:pPr>
      <w:r>
        <w:t xml:space="preserve">MetroFlow is an integrated software and data platform serving both the visible and operational sides of the transport hub. The customer-facing layer provides passengers and freight users with real-time information, disruption messages, accessible navigation and status updates. Behind the scenes, the platform combines sensor data, operator feeds, APIs, freight-slot information and dashboards to support </w:t>
      </w:r>
      <w:r>
        <w:lastRenderedPageBreak/>
        <w:t>better coordination and earlier identification of congestion or disruption. The project therefore goes beyond the concept of a travel application: it creates a shared information environment for users, operators and decision-makers.</w:t>
      </w:r>
    </w:p>
    <w:p w14:paraId="45179244" w14:textId="77777777" w:rsidR="006C1E91" w:rsidRDefault="00000000">
      <w:pPr>
        <w:jc w:val="both"/>
      </w:pPr>
      <w:r>
        <w:t>The project aim is to implement a platform that improves safety, accessibility, efficiency and resilience. Five stage objectives provide control: complete user, accessibility and logistics requirements by month 3; approve system architecture and data governance by month 6; procure and integrate a minimum viable platform by month 14; complete pilot, training and commissioning by month 21; and complete the first benefits review by month 24. Proposed outcome targets are a 20% reduction in peak crowding, a 15% reduction in freight dwell time, 95% real-time information availability and 100% completion of critical accessibility tests. These targets remain provisional until baseline data are confirmed during months 1–3.</w:t>
      </w:r>
    </w:p>
    <w:p w14:paraId="34530230" w14:textId="77777777" w:rsidR="006C1E91" w:rsidRDefault="00000000">
      <w:pPr>
        <w:jc w:val="both"/>
      </w:pPr>
      <w:r>
        <w:t>The digital option is justified because it addresses the coordination gap while the physical regeneration proceeds. Lyons (2018) argues that smart mobility should support wider transport outcomes rather than technology for its own sake. MetroFlow follows this logic: technology is valuable only where it improves movement, accessibility and operational decisions. The location is fixed by the hub redevelopment, so location analysis focuses on catchment access, temporary interchange links, freight entry points, utilities and the local operating environment rather than alternative sites. This reflects the module's location-analysis emphasis on accessibility and the characteristics of the surrounding environment.</w:t>
      </w:r>
    </w:p>
    <w:p w14:paraId="6F87A9DA" w14:textId="77777777" w:rsidR="006C1E91" w:rsidRDefault="00000000">
      <w:pPr>
        <w:pStyle w:val="Heading2"/>
      </w:pPr>
      <w:r>
        <w:t>3. Scope</w:t>
      </w:r>
    </w:p>
    <w:p w14:paraId="428BF5CC" w14:textId="77777777" w:rsidR="006C1E91" w:rsidRDefault="00000000">
      <w:pPr>
        <w:jc w:val="both"/>
      </w:pPr>
      <w:r>
        <w:t>Scope control is essential because digital transport projects can expand rapidly once stakeholders identify additional data, analytics and service possibilities. The scope baseline therefore prioritises a minimum viable platform that restores coordinated operations without allowing optional functionality to delay safety-critical delivery. In scope are passenger-flow sensors, operator dashboards, data APIs, digital signage, accessible journey tools, freight-slot coordination, cybersecurity controls, training, pilot testing and commissioning. Out of scope are the structural rebuild of the hub, vehicle procurement, city-wide transport renewal and permanent post-handover operations.</w:t>
      </w:r>
    </w:p>
    <w:p w14:paraId="0E6178A4" w14:textId="77777777" w:rsidR="006C1E91" w:rsidRDefault="00000000">
      <w:pPr>
        <w:jc w:val="both"/>
      </w:pPr>
      <w:r>
        <w:lastRenderedPageBreak/>
        <w:t>This boundary is deliberately restrictive. Heagney (2016) notes that a clear scope provides the basis for estimating work, resources and control. For MetroFlow, the distinction between digital coordination and physical redevelopment prevents duplicated accountability across the wider regeneration programme. It also protects the 24-month schedule from scope creep. Any proposed addition, such as predictive artificial intelligence or wider city integration, must pass formal change control. The change request must state the benefit, effect on schedule and resources, cyber and data implications, accessibility implications and whether another committed deliverable must be reduced or deferred.</w:t>
      </w:r>
    </w:p>
    <w:p w14:paraId="4C5DE3C6" w14:textId="77777777" w:rsidR="006C1E91" w:rsidRDefault="00000000">
      <w:pPr>
        <w:jc w:val="both"/>
      </w:pPr>
      <w:r>
        <w:t>The Iron Triangle remains useful as a visible constraint model, but it is not treated as a complete definition of success. The principal trade-off is between speed and assurance. Accelerating rollout may restore public confidence sooner, but compressed testing can increase cybersecurity, accessibility and integration risk. Therefore, safety, accessibility and data protection are treated as non-negotiable quality constraints, while optional analytics remain flexible. This approach reflects Atkinson's (1999) criticism of judging projects only through time, cost and quality and aligns with the wider success criteria already established in the proposal.</w:t>
      </w:r>
    </w:p>
    <w:p w14:paraId="48F8059C" w14:textId="77777777" w:rsidR="006C1E91" w:rsidRDefault="00000000">
      <w:pPr>
        <w:pStyle w:val="Heading2"/>
      </w:pPr>
      <w:r>
        <w:t>4. Work Breakdown Structure (WBS)</w:t>
      </w:r>
    </w:p>
    <w:p w14:paraId="6DFC13FA" w14:textId="77777777" w:rsidR="006C1E91" w:rsidRDefault="00000000">
      <w:pPr>
        <w:jc w:val="both"/>
      </w:pPr>
      <w:r>
        <w:t>The WBS converts the broad concept of digital modernisation into controllable deliverables. Maylor (2010) and Heagney (2016) both emphasise decomposition as a basis for estimating, assigning and monitoring work. For MetroFlow, decomposition is organised by deliverable rather than by department so that accountability follows project outputs rather than organisational silos. Table 1 presents the five principal work packages and their main activities. Importantly, governance and benefits realisation are included alongside technology tasks; otherwise a technically successful platform could still fail through weak ownership, poor adoption or unclear handover.</w:t>
      </w:r>
    </w:p>
    <w:p w14:paraId="7A9743A5" w14:textId="77777777" w:rsidR="006C1E91" w:rsidRDefault="00000000">
      <w:pPr>
        <w:jc w:val="both"/>
      </w:pPr>
      <w:r>
        <w:t>The WBS is also used as the anchor for the schedule, resource plan and risk ownership. Work packages are progressively decomposed only to the level required for control. Excessive detail would create administrative effort and false precision, while insufficient detail would hide dependencies and make progress difficult to measure. The project manager therefore maintains a WBS dictionary for each package defining deliverables, acceptance criteria, responsible roles, assumptions and interfaces.</w:t>
      </w:r>
    </w:p>
    <w:p w14:paraId="180B0B74" w14:textId="77777777" w:rsidR="006C1E91" w:rsidRDefault="00000000">
      <w:pPr>
        <w:jc w:val="center"/>
      </w:pPr>
      <w:r>
        <w:rPr>
          <w:b/>
          <w:sz w:val="20"/>
        </w:rPr>
        <w:t>Table 1. MetroFlow Work Breakdown Structure</w:t>
      </w:r>
    </w:p>
    <w:tbl>
      <w:tblPr>
        <w:tblStyle w:val="TableGrid"/>
        <w:tblW w:w="0" w:type="auto"/>
        <w:jc w:val="center"/>
        <w:tblLook w:val="04A0" w:firstRow="1" w:lastRow="0" w:firstColumn="1" w:lastColumn="0" w:noHBand="0" w:noVBand="1"/>
      </w:tblPr>
      <w:tblGrid>
        <w:gridCol w:w="4508"/>
        <w:gridCol w:w="4509"/>
        <w:gridCol w:w="4509"/>
      </w:tblGrid>
      <w:tr w:rsidR="006C1E91" w14:paraId="6FEF9110" w14:textId="77777777">
        <w:trPr>
          <w:tblHeader/>
          <w:jc w:val="center"/>
        </w:trPr>
        <w:tc>
          <w:tcPr>
            <w:tcW w:w="4512" w:type="dxa"/>
            <w:shd w:val="clear" w:color="auto" w:fill="D9EAF7"/>
            <w:vAlign w:val="center"/>
          </w:tcPr>
          <w:p w14:paraId="7AC31404" w14:textId="77777777" w:rsidR="006C1E91" w:rsidRDefault="00000000">
            <w:pPr>
              <w:spacing w:after="0" w:line="240" w:lineRule="auto"/>
            </w:pPr>
            <w:r>
              <w:rPr>
                <w:b/>
                <w:sz w:val="18"/>
              </w:rPr>
              <w:lastRenderedPageBreak/>
              <w:t>Work package</w:t>
            </w:r>
          </w:p>
        </w:tc>
        <w:tc>
          <w:tcPr>
            <w:tcW w:w="4512" w:type="dxa"/>
            <w:shd w:val="clear" w:color="auto" w:fill="D9EAF7"/>
            <w:vAlign w:val="center"/>
          </w:tcPr>
          <w:p w14:paraId="28E3C41B" w14:textId="77777777" w:rsidR="006C1E91" w:rsidRDefault="00000000">
            <w:pPr>
              <w:spacing w:after="0" w:line="240" w:lineRule="auto"/>
            </w:pPr>
            <w:r>
              <w:rPr>
                <w:b/>
                <w:sz w:val="18"/>
              </w:rPr>
              <w:t>Key activities</w:t>
            </w:r>
          </w:p>
        </w:tc>
        <w:tc>
          <w:tcPr>
            <w:tcW w:w="4512" w:type="dxa"/>
            <w:shd w:val="clear" w:color="auto" w:fill="D9EAF7"/>
            <w:vAlign w:val="center"/>
          </w:tcPr>
          <w:p w14:paraId="44E713CE" w14:textId="77777777" w:rsidR="006C1E91" w:rsidRDefault="00000000">
            <w:pPr>
              <w:spacing w:after="0" w:line="240" w:lineRule="auto"/>
            </w:pPr>
            <w:r>
              <w:rPr>
                <w:b/>
                <w:sz w:val="18"/>
              </w:rPr>
              <w:t>Primary output</w:t>
            </w:r>
          </w:p>
        </w:tc>
      </w:tr>
      <w:tr w:rsidR="006C1E91" w14:paraId="5216A2DF" w14:textId="77777777">
        <w:trPr>
          <w:jc w:val="center"/>
        </w:trPr>
        <w:tc>
          <w:tcPr>
            <w:tcW w:w="4512" w:type="dxa"/>
            <w:vAlign w:val="center"/>
          </w:tcPr>
          <w:p w14:paraId="549CFABD" w14:textId="77777777" w:rsidR="006C1E91" w:rsidRDefault="00000000">
            <w:pPr>
              <w:spacing w:after="0" w:line="240" w:lineRule="auto"/>
            </w:pPr>
            <w:r>
              <w:rPr>
                <w:sz w:val="18"/>
              </w:rPr>
              <w:t>1. Governance &amp; requirements</w:t>
            </w:r>
          </w:p>
        </w:tc>
        <w:tc>
          <w:tcPr>
            <w:tcW w:w="4512" w:type="dxa"/>
            <w:vAlign w:val="center"/>
          </w:tcPr>
          <w:p w14:paraId="254BFC1A" w14:textId="77777777" w:rsidR="006C1E91" w:rsidRDefault="00000000">
            <w:pPr>
              <w:spacing w:after="0" w:line="240" w:lineRule="auto"/>
            </w:pPr>
            <w:r>
              <w:rPr>
                <w:sz w:val="18"/>
              </w:rPr>
              <w:t>Business case; stakeholder requirements; accessibility audit; data governance</w:t>
            </w:r>
          </w:p>
        </w:tc>
        <w:tc>
          <w:tcPr>
            <w:tcW w:w="4512" w:type="dxa"/>
            <w:vAlign w:val="center"/>
          </w:tcPr>
          <w:p w14:paraId="6F134A4F" w14:textId="77777777" w:rsidR="006C1E91" w:rsidRDefault="00000000">
            <w:pPr>
              <w:spacing w:after="0" w:line="240" w:lineRule="auto"/>
            </w:pPr>
            <w:r>
              <w:rPr>
                <w:sz w:val="18"/>
              </w:rPr>
              <w:t>Approved requirements and governance baseline</w:t>
            </w:r>
          </w:p>
        </w:tc>
      </w:tr>
      <w:tr w:rsidR="006C1E91" w14:paraId="683B2E01" w14:textId="77777777">
        <w:trPr>
          <w:jc w:val="center"/>
        </w:trPr>
        <w:tc>
          <w:tcPr>
            <w:tcW w:w="4512" w:type="dxa"/>
            <w:vAlign w:val="center"/>
          </w:tcPr>
          <w:p w14:paraId="49732DB0" w14:textId="77777777" w:rsidR="006C1E91" w:rsidRDefault="00000000">
            <w:pPr>
              <w:spacing w:after="0" w:line="240" w:lineRule="auto"/>
            </w:pPr>
            <w:r>
              <w:rPr>
                <w:sz w:val="18"/>
              </w:rPr>
              <w:t>2. Data &amp; integration</w:t>
            </w:r>
          </w:p>
        </w:tc>
        <w:tc>
          <w:tcPr>
            <w:tcW w:w="4512" w:type="dxa"/>
            <w:vAlign w:val="center"/>
          </w:tcPr>
          <w:p w14:paraId="62AC8942" w14:textId="77777777" w:rsidR="006C1E91" w:rsidRDefault="00000000">
            <w:pPr>
              <w:spacing w:after="0" w:line="240" w:lineRule="auto"/>
            </w:pPr>
            <w:r>
              <w:rPr>
                <w:sz w:val="18"/>
              </w:rPr>
              <w:t>APIs; interface design; cybersecurity; data quality</w:t>
            </w:r>
          </w:p>
        </w:tc>
        <w:tc>
          <w:tcPr>
            <w:tcW w:w="4512" w:type="dxa"/>
            <w:vAlign w:val="center"/>
          </w:tcPr>
          <w:p w14:paraId="101A9E64" w14:textId="77777777" w:rsidR="006C1E91" w:rsidRDefault="00000000">
            <w:pPr>
              <w:spacing w:after="0" w:line="240" w:lineRule="auto"/>
            </w:pPr>
            <w:r>
              <w:rPr>
                <w:sz w:val="18"/>
              </w:rPr>
              <w:t>Integrated and assured data architecture</w:t>
            </w:r>
          </w:p>
        </w:tc>
      </w:tr>
      <w:tr w:rsidR="006C1E91" w14:paraId="4C06BA10" w14:textId="77777777">
        <w:trPr>
          <w:jc w:val="center"/>
        </w:trPr>
        <w:tc>
          <w:tcPr>
            <w:tcW w:w="4512" w:type="dxa"/>
            <w:vAlign w:val="center"/>
          </w:tcPr>
          <w:p w14:paraId="4160C7BC" w14:textId="77777777" w:rsidR="006C1E91" w:rsidRDefault="00000000">
            <w:pPr>
              <w:spacing w:after="0" w:line="240" w:lineRule="auto"/>
            </w:pPr>
            <w:r>
              <w:rPr>
                <w:sz w:val="18"/>
              </w:rPr>
              <w:t>3. Passenger experience</w:t>
            </w:r>
          </w:p>
        </w:tc>
        <w:tc>
          <w:tcPr>
            <w:tcW w:w="4512" w:type="dxa"/>
            <w:vAlign w:val="center"/>
          </w:tcPr>
          <w:p w14:paraId="38DB5C4D" w14:textId="77777777" w:rsidR="006C1E91" w:rsidRDefault="00000000">
            <w:pPr>
              <w:spacing w:after="0" w:line="240" w:lineRule="auto"/>
            </w:pPr>
            <w:r>
              <w:rPr>
                <w:sz w:val="18"/>
              </w:rPr>
              <w:t>Sensors; digital signage; accessible journey tools; user testing</w:t>
            </w:r>
          </w:p>
        </w:tc>
        <w:tc>
          <w:tcPr>
            <w:tcW w:w="4512" w:type="dxa"/>
            <w:vAlign w:val="center"/>
          </w:tcPr>
          <w:p w14:paraId="5270CA1E" w14:textId="77777777" w:rsidR="006C1E91" w:rsidRDefault="00000000">
            <w:pPr>
              <w:spacing w:after="0" w:line="240" w:lineRule="auto"/>
            </w:pPr>
            <w:r>
              <w:rPr>
                <w:sz w:val="18"/>
              </w:rPr>
              <w:t>Passenger-flow and wayfinding capability</w:t>
            </w:r>
          </w:p>
        </w:tc>
      </w:tr>
      <w:tr w:rsidR="006C1E91" w14:paraId="196D3BAE" w14:textId="77777777">
        <w:trPr>
          <w:jc w:val="center"/>
        </w:trPr>
        <w:tc>
          <w:tcPr>
            <w:tcW w:w="4512" w:type="dxa"/>
            <w:vAlign w:val="center"/>
          </w:tcPr>
          <w:p w14:paraId="391CD77F" w14:textId="77777777" w:rsidR="006C1E91" w:rsidRDefault="00000000">
            <w:pPr>
              <w:spacing w:after="0" w:line="240" w:lineRule="auto"/>
            </w:pPr>
            <w:r>
              <w:rPr>
                <w:sz w:val="18"/>
              </w:rPr>
              <w:t>4. Freight coordination</w:t>
            </w:r>
          </w:p>
        </w:tc>
        <w:tc>
          <w:tcPr>
            <w:tcW w:w="4512" w:type="dxa"/>
            <w:vAlign w:val="center"/>
          </w:tcPr>
          <w:p w14:paraId="2283FB41" w14:textId="77777777" w:rsidR="006C1E91" w:rsidRDefault="00000000">
            <w:pPr>
              <w:spacing w:after="0" w:line="240" w:lineRule="auto"/>
            </w:pPr>
            <w:r>
              <w:rPr>
                <w:sz w:val="18"/>
              </w:rPr>
              <w:t>Slot rules; freight dashboard; operator interfaces</w:t>
            </w:r>
          </w:p>
        </w:tc>
        <w:tc>
          <w:tcPr>
            <w:tcW w:w="4512" w:type="dxa"/>
            <w:vAlign w:val="center"/>
          </w:tcPr>
          <w:p w14:paraId="3C4AB778" w14:textId="77777777" w:rsidR="006C1E91" w:rsidRDefault="00000000">
            <w:pPr>
              <w:spacing w:after="0" w:line="240" w:lineRule="auto"/>
            </w:pPr>
            <w:r>
              <w:rPr>
                <w:sz w:val="18"/>
              </w:rPr>
              <w:t>Coordinated freight scheduling and visibility</w:t>
            </w:r>
          </w:p>
        </w:tc>
      </w:tr>
      <w:tr w:rsidR="006C1E91" w14:paraId="5F46991B" w14:textId="77777777">
        <w:trPr>
          <w:jc w:val="center"/>
        </w:trPr>
        <w:tc>
          <w:tcPr>
            <w:tcW w:w="4512" w:type="dxa"/>
            <w:vAlign w:val="center"/>
          </w:tcPr>
          <w:p w14:paraId="0E9747D3" w14:textId="77777777" w:rsidR="006C1E91" w:rsidRDefault="00000000">
            <w:pPr>
              <w:spacing w:after="0" w:line="240" w:lineRule="auto"/>
            </w:pPr>
            <w:r>
              <w:rPr>
                <w:sz w:val="18"/>
              </w:rPr>
              <w:t>5. Rollout &amp; benefits</w:t>
            </w:r>
          </w:p>
        </w:tc>
        <w:tc>
          <w:tcPr>
            <w:tcW w:w="4512" w:type="dxa"/>
            <w:vAlign w:val="center"/>
          </w:tcPr>
          <w:p w14:paraId="5CAB1350" w14:textId="77777777" w:rsidR="006C1E91" w:rsidRDefault="00000000">
            <w:pPr>
              <w:spacing w:after="0" w:line="240" w:lineRule="auto"/>
            </w:pPr>
            <w:r>
              <w:rPr>
                <w:sz w:val="18"/>
              </w:rPr>
              <w:t>Training; deployment; handover; KPI review</w:t>
            </w:r>
          </w:p>
        </w:tc>
        <w:tc>
          <w:tcPr>
            <w:tcW w:w="4512" w:type="dxa"/>
            <w:vAlign w:val="center"/>
          </w:tcPr>
          <w:p w14:paraId="2A10BD9A" w14:textId="77777777" w:rsidR="006C1E91" w:rsidRDefault="00000000">
            <w:pPr>
              <w:spacing w:after="0" w:line="240" w:lineRule="auto"/>
            </w:pPr>
            <w:r>
              <w:rPr>
                <w:sz w:val="18"/>
              </w:rPr>
              <w:t>Operational adoption and benefits review</w:t>
            </w:r>
          </w:p>
        </w:tc>
      </w:tr>
    </w:tbl>
    <w:p w14:paraId="4177B5F6" w14:textId="77777777" w:rsidR="003F4093" w:rsidRDefault="003F4093">
      <w:pPr>
        <w:pStyle w:val="Heading2"/>
      </w:pPr>
    </w:p>
    <w:p w14:paraId="326C8AAF" w14:textId="09E56C48" w:rsidR="006C1E91" w:rsidRDefault="00000000">
      <w:pPr>
        <w:pStyle w:val="Heading2"/>
      </w:pPr>
      <w:r>
        <w:t>5. Quad Chart</w:t>
      </w:r>
    </w:p>
    <w:p w14:paraId="0911284E" w14:textId="77777777" w:rsidR="006C1E91" w:rsidRDefault="00000000">
      <w:pPr>
        <w:jc w:val="both"/>
      </w:pPr>
      <w:r>
        <w:t>The Quad Chart provides a concise governance view before detailed planning. Its value is not that it replaces the project plan, but that it keeps four questions visible: why the project exists, who matters, what outcome is expected and how success will be measured. Table 2 translates the poster's Quad Chart into the management plan.</w:t>
      </w:r>
    </w:p>
    <w:p w14:paraId="7243EBCF" w14:textId="77777777" w:rsidR="006C1E91" w:rsidRDefault="00000000">
      <w:pPr>
        <w:jc w:val="both"/>
      </w:pPr>
      <w:r>
        <w:t>The tool is particularly useful for MetroFlow because the project involves stakeholders with different priorities. Passengers may emphasise reliable information and accessibility, freight operators may focus on predictable slots and dwell time, while the local authority may prioritise safety, public confidence and value. A single-page summary creates a common reference point and reduces the risk that technical teams optimise system features that do not contribute to stakeholder value. Bryson (2004) argues that stakeholder analysis is most useful when it informs choices rather than becoming a purely descriptive exercise. The Quad Chart supports that principle by linking stakeholder needs directly to desired results and measurable outcomes.</w:t>
      </w:r>
    </w:p>
    <w:p w14:paraId="2F45A26E" w14:textId="77777777" w:rsidR="003F4093" w:rsidRDefault="003F4093">
      <w:pPr>
        <w:jc w:val="center"/>
        <w:rPr>
          <w:b/>
          <w:sz w:val="20"/>
        </w:rPr>
      </w:pPr>
    </w:p>
    <w:p w14:paraId="32BA5C3C" w14:textId="288C73DD" w:rsidR="006C1E91" w:rsidRDefault="00000000">
      <w:pPr>
        <w:jc w:val="center"/>
      </w:pPr>
      <w:r>
        <w:rPr>
          <w:b/>
          <w:sz w:val="20"/>
        </w:rPr>
        <w:t>Table 2. MetroFlow Quad Chart</w:t>
      </w:r>
    </w:p>
    <w:tbl>
      <w:tblPr>
        <w:tblStyle w:val="TableGrid"/>
        <w:tblW w:w="0" w:type="auto"/>
        <w:jc w:val="center"/>
        <w:tblLook w:val="04A0" w:firstRow="1" w:lastRow="0" w:firstColumn="1" w:lastColumn="0" w:noHBand="0" w:noVBand="1"/>
      </w:tblPr>
      <w:tblGrid>
        <w:gridCol w:w="6763"/>
        <w:gridCol w:w="6763"/>
      </w:tblGrid>
      <w:tr w:rsidR="006C1E91" w14:paraId="471E0F8F" w14:textId="77777777">
        <w:trPr>
          <w:jc w:val="center"/>
        </w:trPr>
        <w:tc>
          <w:tcPr>
            <w:tcW w:w="6768" w:type="dxa"/>
            <w:shd w:val="clear" w:color="auto" w:fill="F3F8FC"/>
            <w:vAlign w:val="center"/>
          </w:tcPr>
          <w:p w14:paraId="32714330" w14:textId="77777777" w:rsidR="006C1E91" w:rsidRDefault="00000000">
            <w:pPr>
              <w:spacing w:after="0" w:line="240" w:lineRule="auto"/>
            </w:pPr>
            <w:r>
              <w:rPr>
                <w:b/>
                <w:sz w:val="18"/>
              </w:rPr>
              <w:t>Purpose / Aim</w:t>
            </w:r>
          </w:p>
          <w:p w14:paraId="3E2B56AA" w14:textId="77777777" w:rsidR="006C1E91" w:rsidRDefault="00000000">
            <w:pPr>
              <w:spacing w:after="0" w:line="240" w:lineRule="auto"/>
            </w:pPr>
            <w:r>
              <w:rPr>
                <w:sz w:val="18"/>
              </w:rPr>
              <w:t>Restore digital coordination across passenger and freight movements after hub closure.</w:t>
            </w:r>
          </w:p>
        </w:tc>
        <w:tc>
          <w:tcPr>
            <w:tcW w:w="6768" w:type="dxa"/>
            <w:shd w:val="clear" w:color="auto" w:fill="F3F8FC"/>
            <w:vAlign w:val="center"/>
          </w:tcPr>
          <w:p w14:paraId="1FA88383" w14:textId="77777777" w:rsidR="006C1E91" w:rsidRDefault="00000000">
            <w:pPr>
              <w:spacing w:after="0" w:line="240" w:lineRule="auto"/>
            </w:pPr>
            <w:r>
              <w:rPr>
                <w:b/>
                <w:sz w:val="18"/>
              </w:rPr>
              <w:t>Stakeholders</w:t>
            </w:r>
          </w:p>
          <w:p w14:paraId="1ECA0492" w14:textId="77777777" w:rsidR="006C1E91" w:rsidRDefault="00000000">
            <w:pPr>
              <w:spacing w:after="0" w:line="240" w:lineRule="auto"/>
            </w:pPr>
            <w:r>
              <w:rPr>
                <w:sz w:val="18"/>
              </w:rPr>
              <w:t>Local authority, programme board, rail, bus and freight operators, regulators, access groups, businesses and users.</w:t>
            </w:r>
          </w:p>
        </w:tc>
      </w:tr>
      <w:tr w:rsidR="006C1E91" w14:paraId="25AF586A" w14:textId="77777777">
        <w:trPr>
          <w:jc w:val="center"/>
        </w:trPr>
        <w:tc>
          <w:tcPr>
            <w:tcW w:w="6768" w:type="dxa"/>
            <w:shd w:val="clear" w:color="auto" w:fill="F3F8FC"/>
            <w:vAlign w:val="center"/>
          </w:tcPr>
          <w:p w14:paraId="6747B577" w14:textId="77777777" w:rsidR="006C1E91" w:rsidRDefault="00000000">
            <w:pPr>
              <w:spacing w:after="0" w:line="240" w:lineRule="auto"/>
            </w:pPr>
            <w:r>
              <w:rPr>
                <w:b/>
                <w:sz w:val="18"/>
              </w:rPr>
              <w:t>Desired Results</w:t>
            </w:r>
          </w:p>
          <w:p w14:paraId="4509923D" w14:textId="77777777" w:rsidR="006C1E91" w:rsidRDefault="00000000">
            <w:pPr>
              <w:spacing w:after="0" w:line="240" w:lineRule="auto"/>
            </w:pPr>
            <w:r>
              <w:rPr>
                <w:sz w:val="18"/>
              </w:rPr>
              <w:t>Safer passenger flow, reliable freight slots, consistent disruption information and accessible navigation.</w:t>
            </w:r>
          </w:p>
        </w:tc>
        <w:tc>
          <w:tcPr>
            <w:tcW w:w="6768" w:type="dxa"/>
            <w:shd w:val="clear" w:color="auto" w:fill="F3F8FC"/>
            <w:vAlign w:val="center"/>
          </w:tcPr>
          <w:p w14:paraId="1B3BF93E" w14:textId="77777777" w:rsidR="006C1E91" w:rsidRDefault="00000000">
            <w:pPr>
              <w:spacing w:after="0" w:line="240" w:lineRule="auto"/>
            </w:pPr>
            <w:r>
              <w:rPr>
                <w:b/>
                <w:sz w:val="18"/>
              </w:rPr>
              <w:t>Measures of Success</w:t>
            </w:r>
          </w:p>
          <w:p w14:paraId="66D57326" w14:textId="77777777" w:rsidR="006C1E91" w:rsidRDefault="00000000">
            <w:pPr>
              <w:spacing w:after="0" w:line="240" w:lineRule="auto"/>
            </w:pPr>
            <w:r>
              <w:rPr>
                <w:sz w:val="18"/>
              </w:rPr>
              <w:t>Peak crowding, freight dwell time, information availability, accessibility tests, stakeholder satisfaction and benefits review.</w:t>
            </w:r>
          </w:p>
        </w:tc>
      </w:tr>
    </w:tbl>
    <w:p w14:paraId="52DFABA8" w14:textId="77777777" w:rsidR="006C1E91" w:rsidRDefault="00000000">
      <w:pPr>
        <w:pStyle w:val="Heading2"/>
      </w:pPr>
      <w:r>
        <w:lastRenderedPageBreak/>
        <w:t>6. Gantt Chart</w:t>
      </w:r>
    </w:p>
    <w:p w14:paraId="69C91B01" w14:textId="77777777" w:rsidR="006C1E91" w:rsidRDefault="00000000">
      <w:pPr>
        <w:jc w:val="both"/>
      </w:pPr>
      <w:r>
        <w:t>The high-level Gantt schedule translates the WBS into a 24-month delivery sequence. Table 3 shows seven overlapping but gated phases: requirements and access audit; architecture and governance; procurement and data agreements; build and integration; pilot and assurance; rollout and training; and handover with benefits review. Milestones are positioned at decision points rather than simply at the end of calendar periods. This enables the programme board to confirm whether evidence is sufficient to proceed.</w:t>
      </w:r>
    </w:p>
    <w:p w14:paraId="631DE06F" w14:textId="77777777" w:rsidR="006C1E91" w:rsidRDefault="00000000">
      <w:pPr>
        <w:jc w:val="both"/>
      </w:pPr>
      <w:r>
        <w:t>The Gantt chart is useful because it exposes sequencing and major dependencies. For example, meaningful procurement cannot be completed before data requirements and governance principles are clear, while full rollout should not begin before pilot assurance confirms accessibility, cyber and operational readiness. Nevertheless, a Gantt chart can imply more certainty than actually exists. Digital integration depends on supplier interfaces, legacy data quality and operator cooperation, all of which may change. The schedule is therefore reforecast monthly, with formal stage-gate reviews at months 3, 6, 14, 18, 21 and 24. This treats the baseline as a control reference rather than a prediction that must be defended regardless of new evidence.</w:t>
      </w:r>
    </w:p>
    <w:p w14:paraId="0C37F1D2" w14:textId="77777777" w:rsidR="006C1E91" w:rsidRDefault="00000000">
      <w:pPr>
        <w:jc w:val="both"/>
      </w:pPr>
      <w:r>
        <w:t>Roberts (2011) stresses that monitoring should compare actual progress with planned progress and trigger corrective action. MetroFlow follows this principle through milestone acceptance criteria, variance reporting and exception escalation. Schedule recovery is not permitted to bypass critical testing; if slippage threatens the end date, optional scope is reduced before assurance activity is compressed.</w:t>
      </w:r>
    </w:p>
    <w:p w14:paraId="26E4BE24" w14:textId="77777777" w:rsidR="003F4093" w:rsidRDefault="003F4093">
      <w:pPr>
        <w:jc w:val="center"/>
        <w:rPr>
          <w:b/>
          <w:sz w:val="20"/>
        </w:rPr>
      </w:pPr>
    </w:p>
    <w:p w14:paraId="5944C38E" w14:textId="504FF7DD" w:rsidR="006C1E91" w:rsidRDefault="00000000">
      <w:pPr>
        <w:jc w:val="center"/>
      </w:pPr>
      <w:r>
        <w:rPr>
          <w:b/>
          <w:sz w:val="20"/>
        </w:rPr>
        <w:t>Table 3. High-level 24-month Gantt schedule</w:t>
      </w:r>
    </w:p>
    <w:tbl>
      <w:tblPr>
        <w:tblStyle w:val="TableGrid"/>
        <w:tblW w:w="0" w:type="auto"/>
        <w:jc w:val="center"/>
        <w:tblLook w:val="04A0" w:firstRow="1" w:lastRow="0" w:firstColumn="1" w:lastColumn="0" w:noHBand="0" w:noVBand="1"/>
      </w:tblPr>
      <w:tblGrid>
        <w:gridCol w:w="4509"/>
        <w:gridCol w:w="4508"/>
        <w:gridCol w:w="4509"/>
      </w:tblGrid>
      <w:tr w:rsidR="006C1E91" w14:paraId="3CBF27D9" w14:textId="77777777">
        <w:trPr>
          <w:tblHeader/>
          <w:jc w:val="center"/>
        </w:trPr>
        <w:tc>
          <w:tcPr>
            <w:tcW w:w="4512" w:type="dxa"/>
            <w:shd w:val="clear" w:color="auto" w:fill="D9EAF7"/>
            <w:vAlign w:val="center"/>
          </w:tcPr>
          <w:p w14:paraId="3E0EF641" w14:textId="77777777" w:rsidR="006C1E91" w:rsidRDefault="00000000">
            <w:pPr>
              <w:spacing w:after="0" w:line="240" w:lineRule="auto"/>
            </w:pPr>
            <w:r>
              <w:rPr>
                <w:b/>
                <w:sz w:val="18"/>
              </w:rPr>
              <w:t>Phase</w:t>
            </w:r>
          </w:p>
        </w:tc>
        <w:tc>
          <w:tcPr>
            <w:tcW w:w="4512" w:type="dxa"/>
            <w:shd w:val="clear" w:color="auto" w:fill="D9EAF7"/>
            <w:vAlign w:val="center"/>
          </w:tcPr>
          <w:p w14:paraId="5F09E305" w14:textId="77777777" w:rsidR="006C1E91" w:rsidRDefault="00000000">
            <w:pPr>
              <w:spacing w:after="0" w:line="240" w:lineRule="auto"/>
            </w:pPr>
            <w:r>
              <w:rPr>
                <w:b/>
                <w:sz w:val="18"/>
              </w:rPr>
              <w:t>Timing</w:t>
            </w:r>
          </w:p>
        </w:tc>
        <w:tc>
          <w:tcPr>
            <w:tcW w:w="4512" w:type="dxa"/>
            <w:shd w:val="clear" w:color="auto" w:fill="D9EAF7"/>
            <w:vAlign w:val="center"/>
          </w:tcPr>
          <w:p w14:paraId="195714A1" w14:textId="77777777" w:rsidR="006C1E91" w:rsidRDefault="00000000">
            <w:pPr>
              <w:spacing w:after="0" w:line="240" w:lineRule="auto"/>
            </w:pPr>
            <w:r>
              <w:rPr>
                <w:b/>
                <w:sz w:val="18"/>
              </w:rPr>
              <w:t>Stage-gate / milestone</w:t>
            </w:r>
          </w:p>
        </w:tc>
      </w:tr>
      <w:tr w:rsidR="006C1E91" w14:paraId="3A8D9A94" w14:textId="77777777">
        <w:trPr>
          <w:jc w:val="center"/>
        </w:trPr>
        <w:tc>
          <w:tcPr>
            <w:tcW w:w="4512" w:type="dxa"/>
            <w:vAlign w:val="center"/>
          </w:tcPr>
          <w:p w14:paraId="0C6894FD" w14:textId="77777777" w:rsidR="006C1E91" w:rsidRDefault="00000000">
            <w:pPr>
              <w:spacing w:after="0" w:line="240" w:lineRule="auto"/>
            </w:pPr>
            <w:r>
              <w:rPr>
                <w:sz w:val="18"/>
              </w:rPr>
              <w:t>Requirements &amp; access audit</w:t>
            </w:r>
          </w:p>
        </w:tc>
        <w:tc>
          <w:tcPr>
            <w:tcW w:w="4512" w:type="dxa"/>
            <w:vAlign w:val="center"/>
          </w:tcPr>
          <w:p w14:paraId="232869A1" w14:textId="77777777" w:rsidR="006C1E91" w:rsidRDefault="00000000">
            <w:pPr>
              <w:spacing w:after="0" w:line="240" w:lineRule="auto"/>
            </w:pPr>
            <w:r>
              <w:rPr>
                <w:sz w:val="18"/>
              </w:rPr>
              <w:t>Months 1–3</w:t>
            </w:r>
          </w:p>
        </w:tc>
        <w:tc>
          <w:tcPr>
            <w:tcW w:w="4512" w:type="dxa"/>
            <w:vAlign w:val="center"/>
          </w:tcPr>
          <w:p w14:paraId="60691669" w14:textId="77777777" w:rsidR="006C1E91" w:rsidRDefault="00000000">
            <w:pPr>
              <w:spacing w:after="0" w:line="240" w:lineRule="auto"/>
            </w:pPr>
            <w:r>
              <w:rPr>
                <w:sz w:val="18"/>
              </w:rPr>
              <w:t>Requirements and baseline measures approved</w:t>
            </w:r>
          </w:p>
        </w:tc>
      </w:tr>
      <w:tr w:rsidR="006C1E91" w14:paraId="493E8BE7" w14:textId="77777777">
        <w:trPr>
          <w:jc w:val="center"/>
        </w:trPr>
        <w:tc>
          <w:tcPr>
            <w:tcW w:w="4512" w:type="dxa"/>
            <w:vAlign w:val="center"/>
          </w:tcPr>
          <w:p w14:paraId="656FF0D6" w14:textId="77777777" w:rsidR="006C1E91" w:rsidRDefault="00000000">
            <w:pPr>
              <w:spacing w:after="0" w:line="240" w:lineRule="auto"/>
            </w:pPr>
            <w:r>
              <w:rPr>
                <w:sz w:val="18"/>
              </w:rPr>
              <w:t>Architecture &amp; governance</w:t>
            </w:r>
          </w:p>
        </w:tc>
        <w:tc>
          <w:tcPr>
            <w:tcW w:w="4512" w:type="dxa"/>
            <w:vAlign w:val="center"/>
          </w:tcPr>
          <w:p w14:paraId="1277301D" w14:textId="77777777" w:rsidR="006C1E91" w:rsidRDefault="00000000">
            <w:pPr>
              <w:spacing w:after="0" w:line="240" w:lineRule="auto"/>
            </w:pPr>
            <w:r>
              <w:rPr>
                <w:sz w:val="18"/>
              </w:rPr>
              <w:t>Months 4–6</w:t>
            </w:r>
          </w:p>
        </w:tc>
        <w:tc>
          <w:tcPr>
            <w:tcW w:w="4512" w:type="dxa"/>
            <w:vAlign w:val="center"/>
          </w:tcPr>
          <w:p w14:paraId="017D915F" w14:textId="77777777" w:rsidR="006C1E91" w:rsidRDefault="00000000">
            <w:pPr>
              <w:spacing w:after="0" w:line="240" w:lineRule="auto"/>
            </w:pPr>
            <w:r>
              <w:rPr>
                <w:sz w:val="18"/>
              </w:rPr>
              <w:t>Architecture, data governance and assurance approach approved</w:t>
            </w:r>
          </w:p>
        </w:tc>
      </w:tr>
      <w:tr w:rsidR="006C1E91" w14:paraId="7491BD76" w14:textId="77777777">
        <w:trPr>
          <w:jc w:val="center"/>
        </w:trPr>
        <w:tc>
          <w:tcPr>
            <w:tcW w:w="4512" w:type="dxa"/>
            <w:vAlign w:val="center"/>
          </w:tcPr>
          <w:p w14:paraId="7F8A0511" w14:textId="77777777" w:rsidR="006C1E91" w:rsidRDefault="00000000">
            <w:pPr>
              <w:spacing w:after="0" w:line="240" w:lineRule="auto"/>
            </w:pPr>
            <w:r>
              <w:rPr>
                <w:sz w:val="18"/>
              </w:rPr>
              <w:t>Procurement &amp; data agreements</w:t>
            </w:r>
          </w:p>
        </w:tc>
        <w:tc>
          <w:tcPr>
            <w:tcW w:w="4512" w:type="dxa"/>
            <w:vAlign w:val="center"/>
          </w:tcPr>
          <w:p w14:paraId="6CF154E9" w14:textId="77777777" w:rsidR="006C1E91" w:rsidRDefault="00000000">
            <w:pPr>
              <w:spacing w:after="0" w:line="240" w:lineRule="auto"/>
            </w:pPr>
            <w:r>
              <w:rPr>
                <w:sz w:val="18"/>
              </w:rPr>
              <w:t>Months 7–9</w:t>
            </w:r>
          </w:p>
        </w:tc>
        <w:tc>
          <w:tcPr>
            <w:tcW w:w="4512" w:type="dxa"/>
            <w:vAlign w:val="center"/>
          </w:tcPr>
          <w:p w14:paraId="01535287" w14:textId="77777777" w:rsidR="006C1E91" w:rsidRDefault="00000000">
            <w:pPr>
              <w:spacing w:after="0" w:line="240" w:lineRule="auto"/>
            </w:pPr>
            <w:r>
              <w:rPr>
                <w:sz w:val="18"/>
              </w:rPr>
              <w:t>Supplier and data agreements authorised</w:t>
            </w:r>
          </w:p>
        </w:tc>
      </w:tr>
      <w:tr w:rsidR="006C1E91" w14:paraId="437CAFCC" w14:textId="77777777">
        <w:trPr>
          <w:jc w:val="center"/>
        </w:trPr>
        <w:tc>
          <w:tcPr>
            <w:tcW w:w="4512" w:type="dxa"/>
            <w:vAlign w:val="center"/>
          </w:tcPr>
          <w:p w14:paraId="161E4F75" w14:textId="77777777" w:rsidR="006C1E91" w:rsidRDefault="00000000">
            <w:pPr>
              <w:spacing w:after="0" w:line="240" w:lineRule="auto"/>
            </w:pPr>
            <w:r>
              <w:rPr>
                <w:sz w:val="18"/>
              </w:rPr>
              <w:t>Build &amp; integration</w:t>
            </w:r>
          </w:p>
        </w:tc>
        <w:tc>
          <w:tcPr>
            <w:tcW w:w="4512" w:type="dxa"/>
            <w:vAlign w:val="center"/>
          </w:tcPr>
          <w:p w14:paraId="23DAF6A0" w14:textId="77777777" w:rsidR="006C1E91" w:rsidRDefault="00000000">
            <w:pPr>
              <w:spacing w:after="0" w:line="240" w:lineRule="auto"/>
            </w:pPr>
            <w:r>
              <w:rPr>
                <w:sz w:val="18"/>
              </w:rPr>
              <w:t>Months 10–14</w:t>
            </w:r>
          </w:p>
        </w:tc>
        <w:tc>
          <w:tcPr>
            <w:tcW w:w="4512" w:type="dxa"/>
            <w:vAlign w:val="center"/>
          </w:tcPr>
          <w:p w14:paraId="223417AB" w14:textId="77777777" w:rsidR="006C1E91" w:rsidRDefault="00000000">
            <w:pPr>
              <w:spacing w:after="0" w:line="240" w:lineRule="auto"/>
            </w:pPr>
            <w:r>
              <w:rPr>
                <w:sz w:val="18"/>
              </w:rPr>
              <w:t>Minimum viable platform integrated</w:t>
            </w:r>
          </w:p>
        </w:tc>
      </w:tr>
      <w:tr w:rsidR="006C1E91" w14:paraId="450BDE83" w14:textId="77777777">
        <w:trPr>
          <w:jc w:val="center"/>
        </w:trPr>
        <w:tc>
          <w:tcPr>
            <w:tcW w:w="4512" w:type="dxa"/>
            <w:vAlign w:val="center"/>
          </w:tcPr>
          <w:p w14:paraId="2170F330" w14:textId="77777777" w:rsidR="006C1E91" w:rsidRDefault="00000000">
            <w:pPr>
              <w:spacing w:after="0" w:line="240" w:lineRule="auto"/>
            </w:pPr>
            <w:r>
              <w:rPr>
                <w:sz w:val="18"/>
              </w:rPr>
              <w:t>Pilot &amp; assurance</w:t>
            </w:r>
          </w:p>
        </w:tc>
        <w:tc>
          <w:tcPr>
            <w:tcW w:w="4512" w:type="dxa"/>
            <w:vAlign w:val="center"/>
          </w:tcPr>
          <w:p w14:paraId="052E3642" w14:textId="77777777" w:rsidR="006C1E91" w:rsidRDefault="00000000">
            <w:pPr>
              <w:spacing w:after="0" w:line="240" w:lineRule="auto"/>
            </w:pPr>
            <w:r>
              <w:rPr>
                <w:sz w:val="18"/>
              </w:rPr>
              <w:t>Months 15–18</w:t>
            </w:r>
          </w:p>
        </w:tc>
        <w:tc>
          <w:tcPr>
            <w:tcW w:w="4512" w:type="dxa"/>
            <w:vAlign w:val="center"/>
          </w:tcPr>
          <w:p w14:paraId="58E42FD5" w14:textId="77777777" w:rsidR="006C1E91" w:rsidRDefault="00000000">
            <w:pPr>
              <w:spacing w:after="0" w:line="240" w:lineRule="auto"/>
            </w:pPr>
            <w:r>
              <w:rPr>
                <w:sz w:val="18"/>
              </w:rPr>
              <w:t>Pilot evidence and assurance decision</w:t>
            </w:r>
          </w:p>
        </w:tc>
      </w:tr>
      <w:tr w:rsidR="006C1E91" w14:paraId="52C7E748" w14:textId="77777777">
        <w:trPr>
          <w:jc w:val="center"/>
        </w:trPr>
        <w:tc>
          <w:tcPr>
            <w:tcW w:w="4512" w:type="dxa"/>
            <w:vAlign w:val="center"/>
          </w:tcPr>
          <w:p w14:paraId="73642326" w14:textId="77777777" w:rsidR="006C1E91" w:rsidRDefault="00000000">
            <w:pPr>
              <w:spacing w:after="0" w:line="240" w:lineRule="auto"/>
            </w:pPr>
            <w:r>
              <w:rPr>
                <w:sz w:val="18"/>
              </w:rPr>
              <w:t>Rollout &amp; training</w:t>
            </w:r>
          </w:p>
        </w:tc>
        <w:tc>
          <w:tcPr>
            <w:tcW w:w="4512" w:type="dxa"/>
            <w:vAlign w:val="center"/>
          </w:tcPr>
          <w:p w14:paraId="63A567A8" w14:textId="77777777" w:rsidR="006C1E91" w:rsidRDefault="00000000">
            <w:pPr>
              <w:spacing w:after="0" w:line="240" w:lineRule="auto"/>
            </w:pPr>
            <w:r>
              <w:rPr>
                <w:sz w:val="18"/>
              </w:rPr>
              <w:t>Months 19–21</w:t>
            </w:r>
          </w:p>
        </w:tc>
        <w:tc>
          <w:tcPr>
            <w:tcW w:w="4512" w:type="dxa"/>
            <w:vAlign w:val="center"/>
          </w:tcPr>
          <w:p w14:paraId="5B8685CD" w14:textId="77777777" w:rsidR="006C1E91" w:rsidRDefault="00000000">
            <w:pPr>
              <w:spacing w:after="0" w:line="240" w:lineRule="auto"/>
            </w:pPr>
            <w:r>
              <w:rPr>
                <w:sz w:val="18"/>
              </w:rPr>
              <w:t>Operational readiness and commissioning</w:t>
            </w:r>
          </w:p>
        </w:tc>
      </w:tr>
      <w:tr w:rsidR="006C1E91" w14:paraId="1346A992" w14:textId="77777777">
        <w:trPr>
          <w:jc w:val="center"/>
        </w:trPr>
        <w:tc>
          <w:tcPr>
            <w:tcW w:w="4512" w:type="dxa"/>
            <w:vAlign w:val="center"/>
          </w:tcPr>
          <w:p w14:paraId="5A009EE1" w14:textId="77777777" w:rsidR="006C1E91" w:rsidRDefault="00000000">
            <w:pPr>
              <w:spacing w:after="0" w:line="240" w:lineRule="auto"/>
            </w:pPr>
            <w:r>
              <w:rPr>
                <w:sz w:val="18"/>
              </w:rPr>
              <w:t>Handover &amp; benefits review</w:t>
            </w:r>
          </w:p>
        </w:tc>
        <w:tc>
          <w:tcPr>
            <w:tcW w:w="4512" w:type="dxa"/>
            <w:vAlign w:val="center"/>
          </w:tcPr>
          <w:p w14:paraId="64DC02E4" w14:textId="77777777" w:rsidR="006C1E91" w:rsidRDefault="00000000">
            <w:pPr>
              <w:spacing w:after="0" w:line="240" w:lineRule="auto"/>
            </w:pPr>
            <w:r>
              <w:rPr>
                <w:sz w:val="18"/>
              </w:rPr>
              <w:t>Months 22–24</w:t>
            </w:r>
          </w:p>
        </w:tc>
        <w:tc>
          <w:tcPr>
            <w:tcW w:w="4512" w:type="dxa"/>
            <w:vAlign w:val="center"/>
          </w:tcPr>
          <w:p w14:paraId="6767C6E8" w14:textId="77777777" w:rsidR="006C1E91" w:rsidRDefault="00000000">
            <w:pPr>
              <w:spacing w:after="0" w:line="240" w:lineRule="auto"/>
            </w:pPr>
            <w:r>
              <w:rPr>
                <w:sz w:val="18"/>
              </w:rPr>
              <w:t>Formal handover and first benefits review</w:t>
            </w:r>
          </w:p>
        </w:tc>
      </w:tr>
    </w:tbl>
    <w:p w14:paraId="18E4001C" w14:textId="77777777" w:rsidR="006C1E91" w:rsidRDefault="00000000">
      <w:pPr>
        <w:pStyle w:val="Heading2"/>
      </w:pPr>
      <w:r>
        <w:lastRenderedPageBreak/>
        <w:t>7. Stakeholder Involvement</w:t>
      </w:r>
    </w:p>
    <w:p w14:paraId="7DE5033E" w14:textId="77777777" w:rsidR="006C1E91" w:rsidRDefault="00000000">
      <w:pPr>
        <w:jc w:val="both"/>
      </w:pPr>
      <w:r>
        <w:t>Stakeholder management is central because MetroFlow changes how multiple organisations share information and make operational decisions. Freeman (1984) defines stakeholders broadly in terms of those who affect or are affected by organisational activity, while Bryson (2004) demonstrates the value of analysing both influence and interest. The key MetroFlow stakeholders are the local authority and programme board, rail and bus operators, freight operators, regulators, funding bodies, accessibility groups, local businesses, passengers, technology suppliers and the project team.</w:t>
      </w:r>
    </w:p>
    <w:p w14:paraId="55BA4FE4" w14:textId="77777777" w:rsidR="006C1E91" w:rsidRDefault="00000000">
      <w:pPr>
        <w:jc w:val="both"/>
      </w:pPr>
      <w:r>
        <w:t>Power-interest analysis determines the intensity of engagement. The local authority, programme board and core operators are managed closely because they combine high influence with direct operational interest. Funders and regulators are kept satisfied through structured assurance and exception reporting. Passengers, accessibility groups and local businesses may have less formal power but high interest; they are therefore kept informed and actively consulted during requirements, prototypes and pilot testing. Media and wider observers are monitored through approved public communications. This classification is not permanent. Stakeholders are re-mapped at stage gates because influence and resistance can change during procurement, pilot and rollout.</w:t>
      </w:r>
    </w:p>
    <w:p w14:paraId="6797CD18" w14:textId="77777777" w:rsidR="006C1E91" w:rsidRDefault="00000000">
      <w:pPr>
        <w:jc w:val="both"/>
      </w:pPr>
      <w:r>
        <w:t>The RACI approach provides a second layer of clarity by distinguishing responsibility from accountability. The sponsor remains accountable for the business case and final handover; the project manager coordinates requirements, delivery and acceptance; operators are responsible for operational requirements and pilot participation; suppliers are responsible for technical build and integration; and user representatives are consulted where service design affects accessibility or customer experience. This prevents the common failure in multi-organisational projects where several parties assume that another organisation owns a decision.</w:t>
      </w:r>
    </w:p>
    <w:p w14:paraId="45A407CE" w14:textId="77777777" w:rsidR="006C1E91" w:rsidRDefault="00000000">
      <w:pPr>
        <w:jc w:val="both"/>
      </w:pPr>
      <w:r>
        <w:t xml:space="preserve">Communication is treated as a risk-control activity rather than an administrative add-on. Week 7 material emphasises that project teams depend on growing communication, trust, negotiation and the ability to handle unexpected issues. MetroFlow therefore uses weekly delivery meetings, monthly programme-board reporting, fortnightly operator integration sessions and structured user testing at prototype and pilot stages. Because suppliers and specialists may come from different organisational or national cultures, communication protocols use plain language, written decision logs and explicit confirmation of actions. The Week 9 material warns that assuming a shared level of </w:t>
      </w:r>
      <w:r>
        <w:lastRenderedPageBreak/>
        <w:t>understanding can itself create risk. The management approach therefore avoids assuming that common technical language automatically means common interpretation.</w:t>
      </w:r>
    </w:p>
    <w:p w14:paraId="4EF29EED" w14:textId="77777777" w:rsidR="003F4093" w:rsidRDefault="003F4093">
      <w:pPr>
        <w:jc w:val="center"/>
        <w:rPr>
          <w:b/>
          <w:sz w:val="20"/>
        </w:rPr>
      </w:pPr>
    </w:p>
    <w:p w14:paraId="40CC4DDE" w14:textId="305F314A" w:rsidR="006C1E91" w:rsidRDefault="00000000">
      <w:pPr>
        <w:jc w:val="center"/>
      </w:pPr>
      <w:r>
        <w:rPr>
          <w:b/>
          <w:sz w:val="20"/>
        </w:rPr>
        <w:t>Table 4. Stakeholder engagement priorities</w:t>
      </w:r>
    </w:p>
    <w:tbl>
      <w:tblPr>
        <w:tblStyle w:val="TableGrid"/>
        <w:tblW w:w="0" w:type="auto"/>
        <w:jc w:val="center"/>
        <w:tblLook w:val="04A0" w:firstRow="1" w:lastRow="0" w:firstColumn="1" w:lastColumn="0" w:noHBand="0" w:noVBand="1"/>
      </w:tblPr>
      <w:tblGrid>
        <w:gridCol w:w="4509"/>
        <w:gridCol w:w="4508"/>
        <w:gridCol w:w="4509"/>
      </w:tblGrid>
      <w:tr w:rsidR="006C1E91" w14:paraId="3FE77411" w14:textId="77777777">
        <w:trPr>
          <w:tblHeader/>
          <w:jc w:val="center"/>
        </w:trPr>
        <w:tc>
          <w:tcPr>
            <w:tcW w:w="4512" w:type="dxa"/>
            <w:shd w:val="clear" w:color="auto" w:fill="D9EAF7"/>
            <w:vAlign w:val="center"/>
          </w:tcPr>
          <w:p w14:paraId="78D403EE" w14:textId="77777777" w:rsidR="006C1E91" w:rsidRDefault="00000000">
            <w:pPr>
              <w:spacing w:after="0" w:line="240" w:lineRule="auto"/>
            </w:pPr>
            <w:r>
              <w:rPr>
                <w:b/>
                <w:sz w:val="18"/>
              </w:rPr>
              <w:t>Stakeholder</w:t>
            </w:r>
          </w:p>
        </w:tc>
        <w:tc>
          <w:tcPr>
            <w:tcW w:w="4512" w:type="dxa"/>
            <w:shd w:val="clear" w:color="auto" w:fill="D9EAF7"/>
            <w:vAlign w:val="center"/>
          </w:tcPr>
          <w:p w14:paraId="78A7A9D5" w14:textId="77777777" w:rsidR="006C1E91" w:rsidRDefault="00000000">
            <w:pPr>
              <w:spacing w:after="0" w:line="240" w:lineRule="auto"/>
            </w:pPr>
            <w:r>
              <w:rPr>
                <w:b/>
                <w:sz w:val="18"/>
              </w:rPr>
              <w:t>Power / interest</w:t>
            </w:r>
          </w:p>
        </w:tc>
        <w:tc>
          <w:tcPr>
            <w:tcW w:w="4512" w:type="dxa"/>
            <w:shd w:val="clear" w:color="auto" w:fill="D9EAF7"/>
            <w:vAlign w:val="center"/>
          </w:tcPr>
          <w:p w14:paraId="532B51A1" w14:textId="77777777" w:rsidR="006C1E91" w:rsidRDefault="00000000">
            <w:pPr>
              <w:spacing w:after="0" w:line="240" w:lineRule="auto"/>
            </w:pPr>
            <w:r>
              <w:rPr>
                <w:b/>
                <w:sz w:val="18"/>
              </w:rPr>
              <w:t>Engagement approach</w:t>
            </w:r>
          </w:p>
        </w:tc>
      </w:tr>
      <w:tr w:rsidR="006C1E91" w14:paraId="42217B01" w14:textId="77777777">
        <w:trPr>
          <w:jc w:val="center"/>
        </w:trPr>
        <w:tc>
          <w:tcPr>
            <w:tcW w:w="4512" w:type="dxa"/>
            <w:vAlign w:val="center"/>
          </w:tcPr>
          <w:p w14:paraId="2D5C7D34" w14:textId="77777777" w:rsidR="006C1E91" w:rsidRDefault="00000000">
            <w:pPr>
              <w:spacing w:after="0" w:line="240" w:lineRule="auto"/>
            </w:pPr>
            <w:r>
              <w:rPr>
                <w:sz w:val="18"/>
              </w:rPr>
              <w:t>Local authority / programme board</w:t>
            </w:r>
          </w:p>
        </w:tc>
        <w:tc>
          <w:tcPr>
            <w:tcW w:w="4512" w:type="dxa"/>
            <w:vAlign w:val="center"/>
          </w:tcPr>
          <w:p w14:paraId="503C033D" w14:textId="77777777" w:rsidR="006C1E91" w:rsidRDefault="00000000">
            <w:pPr>
              <w:spacing w:after="0" w:line="240" w:lineRule="auto"/>
            </w:pPr>
            <w:r>
              <w:rPr>
                <w:sz w:val="18"/>
              </w:rPr>
              <w:t>High / High</w:t>
            </w:r>
          </w:p>
        </w:tc>
        <w:tc>
          <w:tcPr>
            <w:tcW w:w="4512" w:type="dxa"/>
            <w:vAlign w:val="center"/>
          </w:tcPr>
          <w:p w14:paraId="295522B6" w14:textId="77777777" w:rsidR="006C1E91" w:rsidRDefault="00000000">
            <w:pPr>
              <w:spacing w:after="0" w:line="240" w:lineRule="auto"/>
            </w:pPr>
            <w:r>
              <w:rPr>
                <w:sz w:val="18"/>
              </w:rPr>
              <w:t>Manage closely; stage-gate decisions; monthly reporting</w:t>
            </w:r>
          </w:p>
        </w:tc>
      </w:tr>
      <w:tr w:rsidR="006C1E91" w14:paraId="23A639E3" w14:textId="77777777">
        <w:trPr>
          <w:jc w:val="center"/>
        </w:trPr>
        <w:tc>
          <w:tcPr>
            <w:tcW w:w="4512" w:type="dxa"/>
            <w:vAlign w:val="center"/>
          </w:tcPr>
          <w:p w14:paraId="1978BBDE" w14:textId="77777777" w:rsidR="006C1E91" w:rsidRDefault="00000000">
            <w:pPr>
              <w:spacing w:after="0" w:line="240" w:lineRule="auto"/>
            </w:pPr>
            <w:r>
              <w:rPr>
                <w:sz w:val="18"/>
              </w:rPr>
              <w:t>Rail, bus and freight operators</w:t>
            </w:r>
          </w:p>
        </w:tc>
        <w:tc>
          <w:tcPr>
            <w:tcW w:w="4512" w:type="dxa"/>
            <w:vAlign w:val="center"/>
          </w:tcPr>
          <w:p w14:paraId="47CBF9B5" w14:textId="77777777" w:rsidR="006C1E91" w:rsidRDefault="00000000">
            <w:pPr>
              <w:spacing w:after="0" w:line="240" w:lineRule="auto"/>
            </w:pPr>
            <w:r>
              <w:rPr>
                <w:sz w:val="18"/>
              </w:rPr>
              <w:t>High / High</w:t>
            </w:r>
          </w:p>
        </w:tc>
        <w:tc>
          <w:tcPr>
            <w:tcW w:w="4512" w:type="dxa"/>
            <w:vAlign w:val="center"/>
          </w:tcPr>
          <w:p w14:paraId="77376839" w14:textId="77777777" w:rsidR="006C1E91" w:rsidRDefault="00000000">
            <w:pPr>
              <w:spacing w:after="0" w:line="240" w:lineRule="auto"/>
            </w:pPr>
            <w:r>
              <w:rPr>
                <w:sz w:val="18"/>
              </w:rPr>
              <w:t>Manage closely; co-design; integration forums; pilot ownership</w:t>
            </w:r>
          </w:p>
        </w:tc>
      </w:tr>
      <w:tr w:rsidR="006C1E91" w14:paraId="2D8D10E1" w14:textId="77777777">
        <w:trPr>
          <w:jc w:val="center"/>
        </w:trPr>
        <w:tc>
          <w:tcPr>
            <w:tcW w:w="4512" w:type="dxa"/>
            <w:vAlign w:val="center"/>
          </w:tcPr>
          <w:p w14:paraId="3B077196" w14:textId="77777777" w:rsidR="006C1E91" w:rsidRDefault="00000000">
            <w:pPr>
              <w:spacing w:after="0" w:line="240" w:lineRule="auto"/>
            </w:pPr>
            <w:r>
              <w:rPr>
                <w:sz w:val="18"/>
              </w:rPr>
              <w:t>Funders / regulators</w:t>
            </w:r>
          </w:p>
        </w:tc>
        <w:tc>
          <w:tcPr>
            <w:tcW w:w="4512" w:type="dxa"/>
            <w:vAlign w:val="center"/>
          </w:tcPr>
          <w:p w14:paraId="279D6335" w14:textId="77777777" w:rsidR="006C1E91" w:rsidRDefault="00000000">
            <w:pPr>
              <w:spacing w:after="0" w:line="240" w:lineRule="auto"/>
            </w:pPr>
            <w:r>
              <w:rPr>
                <w:sz w:val="18"/>
              </w:rPr>
              <w:t>High / Medium</w:t>
            </w:r>
          </w:p>
        </w:tc>
        <w:tc>
          <w:tcPr>
            <w:tcW w:w="4512" w:type="dxa"/>
            <w:vAlign w:val="center"/>
          </w:tcPr>
          <w:p w14:paraId="5BF3A851" w14:textId="77777777" w:rsidR="006C1E91" w:rsidRDefault="00000000">
            <w:pPr>
              <w:spacing w:after="0" w:line="240" w:lineRule="auto"/>
            </w:pPr>
            <w:r>
              <w:rPr>
                <w:sz w:val="18"/>
              </w:rPr>
              <w:t>Keep satisfied; assurance, compliance and exception reporting</w:t>
            </w:r>
          </w:p>
        </w:tc>
      </w:tr>
      <w:tr w:rsidR="006C1E91" w14:paraId="3B765D69" w14:textId="77777777">
        <w:trPr>
          <w:jc w:val="center"/>
        </w:trPr>
        <w:tc>
          <w:tcPr>
            <w:tcW w:w="4512" w:type="dxa"/>
            <w:vAlign w:val="center"/>
          </w:tcPr>
          <w:p w14:paraId="17CD5F55" w14:textId="77777777" w:rsidR="006C1E91" w:rsidRDefault="00000000">
            <w:pPr>
              <w:spacing w:after="0" w:line="240" w:lineRule="auto"/>
            </w:pPr>
            <w:r>
              <w:rPr>
                <w:sz w:val="18"/>
              </w:rPr>
              <w:t>Passengers / accessibility groups</w:t>
            </w:r>
          </w:p>
        </w:tc>
        <w:tc>
          <w:tcPr>
            <w:tcW w:w="4512" w:type="dxa"/>
            <w:vAlign w:val="center"/>
          </w:tcPr>
          <w:p w14:paraId="3CCF0051" w14:textId="77777777" w:rsidR="006C1E91" w:rsidRDefault="00000000">
            <w:pPr>
              <w:spacing w:after="0" w:line="240" w:lineRule="auto"/>
            </w:pPr>
            <w:r>
              <w:rPr>
                <w:sz w:val="18"/>
              </w:rPr>
              <w:t>Medium / High</w:t>
            </w:r>
          </w:p>
        </w:tc>
        <w:tc>
          <w:tcPr>
            <w:tcW w:w="4512" w:type="dxa"/>
            <w:vAlign w:val="center"/>
          </w:tcPr>
          <w:p w14:paraId="6C4C055B" w14:textId="77777777" w:rsidR="006C1E91" w:rsidRDefault="00000000">
            <w:pPr>
              <w:spacing w:after="0" w:line="240" w:lineRule="auto"/>
            </w:pPr>
            <w:r>
              <w:rPr>
                <w:sz w:val="18"/>
              </w:rPr>
              <w:t>Keep informed and consult through requirements, prototypes and pilot</w:t>
            </w:r>
          </w:p>
        </w:tc>
      </w:tr>
      <w:tr w:rsidR="006C1E91" w14:paraId="610F96DA" w14:textId="77777777">
        <w:trPr>
          <w:jc w:val="center"/>
        </w:trPr>
        <w:tc>
          <w:tcPr>
            <w:tcW w:w="4512" w:type="dxa"/>
            <w:vAlign w:val="center"/>
          </w:tcPr>
          <w:p w14:paraId="46EA4775" w14:textId="77777777" w:rsidR="006C1E91" w:rsidRDefault="00000000">
            <w:pPr>
              <w:spacing w:after="0" w:line="240" w:lineRule="auto"/>
            </w:pPr>
            <w:r>
              <w:rPr>
                <w:sz w:val="18"/>
              </w:rPr>
              <w:t>Local businesses</w:t>
            </w:r>
          </w:p>
        </w:tc>
        <w:tc>
          <w:tcPr>
            <w:tcW w:w="4512" w:type="dxa"/>
            <w:vAlign w:val="center"/>
          </w:tcPr>
          <w:p w14:paraId="24C423D4" w14:textId="77777777" w:rsidR="006C1E91" w:rsidRDefault="00000000">
            <w:pPr>
              <w:spacing w:after="0" w:line="240" w:lineRule="auto"/>
            </w:pPr>
            <w:r>
              <w:rPr>
                <w:sz w:val="18"/>
              </w:rPr>
              <w:t>Low–Medium / High</w:t>
            </w:r>
          </w:p>
        </w:tc>
        <w:tc>
          <w:tcPr>
            <w:tcW w:w="4512" w:type="dxa"/>
            <w:vAlign w:val="center"/>
          </w:tcPr>
          <w:p w14:paraId="139F4B11" w14:textId="77777777" w:rsidR="006C1E91" w:rsidRDefault="00000000">
            <w:pPr>
              <w:spacing w:after="0" w:line="240" w:lineRule="auto"/>
            </w:pPr>
            <w:r>
              <w:rPr>
                <w:sz w:val="18"/>
              </w:rPr>
              <w:t>Consult on freight/service disruption and benefits</w:t>
            </w:r>
          </w:p>
        </w:tc>
      </w:tr>
      <w:tr w:rsidR="006C1E91" w14:paraId="473FA239" w14:textId="77777777">
        <w:trPr>
          <w:jc w:val="center"/>
        </w:trPr>
        <w:tc>
          <w:tcPr>
            <w:tcW w:w="4512" w:type="dxa"/>
            <w:vAlign w:val="center"/>
          </w:tcPr>
          <w:p w14:paraId="2E1B1492" w14:textId="77777777" w:rsidR="006C1E91" w:rsidRDefault="00000000">
            <w:pPr>
              <w:spacing w:after="0" w:line="240" w:lineRule="auto"/>
            </w:pPr>
            <w:r>
              <w:rPr>
                <w:sz w:val="18"/>
              </w:rPr>
              <w:t>Media / wider public</w:t>
            </w:r>
          </w:p>
        </w:tc>
        <w:tc>
          <w:tcPr>
            <w:tcW w:w="4512" w:type="dxa"/>
            <w:vAlign w:val="center"/>
          </w:tcPr>
          <w:p w14:paraId="5FF0E3AD" w14:textId="77777777" w:rsidR="006C1E91" w:rsidRDefault="00000000">
            <w:pPr>
              <w:spacing w:after="0" w:line="240" w:lineRule="auto"/>
            </w:pPr>
            <w:r>
              <w:rPr>
                <w:sz w:val="18"/>
              </w:rPr>
              <w:t>Low / Variable</w:t>
            </w:r>
          </w:p>
        </w:tc>
        <w:tc>
          <w:tcPr>
            <w:tcW w:w="4512" w:type="dxa"/>
            <w:vAlign w:val="center"/>
          </w:tcPr>
          <w:p w14:paraId="375B5E5B" w14:textId="77777777" w:rsidR="006C1E91" w:rsidRDefault="00000000">
            <w:pPr>
              <w:spacing w:after="0" w:line="240" w:lineRule="auto"/>
            </w:pPr>
            <w:r>
              <w:rPr>
                <w:sz w:val="18"/>
              </w:rPr>
              <w:t>Monitor and provide controlled public updates</w:t>
            </w:r>
          </w:p>
        </w:tc>
      </w:tr>
    </w:tbl>
    <w:p w14:paraId="27781711" w14:textId="77777777" w:rsidR="003F4093" w:rsidRDefault="003F4093">
      <w:pPr>
        <w:jc w:val="center"/>
        <w:rPr>
          <w:b/>
          <w:sz w:val="20"/>
        </w:rPr>
      </w:pPr>
    </w:p>
    <w:p w14:paraId="6F3F4463" w14:textId="4CC7C908" w:rsidR="006C1E91" w:rsidRDefault="00000000">
      <w:pPr>
        <w:jc w:val="center"/>
      </w:pPr>
      <w:r>
        <w:rPr>
          <w:b/>
          <w:sz w:val="20"/>
        </w:rPr>
        <w:t>Table 5. Selected RACI allocation</w:t>
      </w:r>
    </w:p>
    <w:tbl>
      <w:tblPr>
        <w:tblStyle w:val="TableGrid"/>
        <w:tblW w:w="0" w:type="auto"/>
        <w:jc w:val="center"/>
        <w:tblLook w:val="04A0" w:firstRow="1" w:lastRow="0" w:firstColumn="1" w:lastColumn="0" w:noHBand="0" w:noVBand="1"/>
      </w:tblPr>
      <w:tblGrid>
        <w:gridCol w:w="2256"/>
        <w:gridCol w:w="2254"/>
        <w:gridCol w:w="2254"/>
        <w:gridCol w:w="2254"/>
        <w:gridCol w:w="2254"/>
        <w:gridCol w:w="2254"/>
      </w:tblGrid>
      <w:tr w:rsidR="006C1E91" w14:paraId="0F3432F8" w14:textId="77777777">
        <w:trPr>
          <w:tblHeader/>
          <w:jc w:val="center"/>
        </w:trPr>
        <w:tc>
          <w:tcPr>
            <w:tcW w:w="2256" w:type="dxa"/>
            <w:shd w:val="clear" w:color="auto" w:fill="D9EAF7"/>
            <w:vAlign w:val="center"/>
          </w:tcPr>
          <w:p w14:paraId="692F8871" w14:textId="77777777" w:rsidR="006C1E91" w:rsidRDefault="00000000">
            <w:pPr>
              <w:spacing w:after="0" w:line="240" w:lineRule="auto"/>
            </w:pPr>
            <w:r>
              <w:rPr>
                <w:b/>
                <w:sz w:val="16"/>
              </w:rPr>
              <w:t>Activity</w:t>
            </w:r>
          </w:p>
        </w:tc>
        <w:tc>
          <w:tcPr>
            <w:tcW w:w="2256" w:type="dxa"/>
            <w:shd w:val="clear" w:color="auto" w:fill="D9EAF7"/>
            <w:vAlign w:val="center"/>
          </w:tcPr>
          <w:p w14:paraId="5F924844" w14:textId="77777777" w:rsidR="006C1E91" w:rsidRDefault="00000000">
            <w:pPr>
              <w:spacing w:after="0" w:line="240" w:lineRule="auto"/>
            </w:pPr>
            <w:r>
              <w:rPr>
                <w:b/>
                <w:sz w:val="16"/>
              </w:rPr>
              <w:t>Sponsor</w:t>
            </w:r>
          </w:p>
        </w:tc>
        <w:tc>
          <w:tcPr>
            <w:tcW w:w="2256" w:type="dxa"/>
            <w:shd w:val="clear" w:color="auto" w:fill="D9EAF7"/>
            <w:vAlign w:val="center"/>
          </w:tcPr>
          <w:p w14:paraId="09EB4427" w14:textId="77777777" w:rsidR="006C1E91" w:rsidRDefault="00000000">
            <w:pPr>
              <w:spacing w:after="0" w:line="240" w:lineRule="auto"/>
            </w:pPr>
            <w:r>
              <w:rPr>
                <w:b/>
                <w:sz w:val="16"/>
              </w:rPr>
              <w:t>Project manager</w:t>
            </w:r>
          </w:p>
        </w:tc>
        <w:tc>
          <w:tcPr>
            <w:tcW w:w="2256" w:type="dxa"/>
            <w:shd w:val="clear" w:color="auto" w:fill="D9EAF7"/>
            <w:vAlign w:val="center"/>
          </w:tcPr>
          <w:p w14:paraId="21A251C7" w14:textId="77777777" w:rsidR="006C1E91" w:rsidRDefault="00000000">
            <w:pPr>
              <w:spacing w:after="0" w:line="240" w:lineRule="auto"/>
            </w:pPr>
            <w:r>
              <w:rPr>
                <w:b/>
                <w:sz w:val="16"/>
              </w:rPr>
              <w:t>Operators</w:t>
            </w:r>
          </w:p>
        </w:tc>
        <w:tc>
          <w:tcPr>
            <w:tcW w:w="2256" w:type="dxa"/>
            <w:shd w:val="clear" w:color="auto" w:fill="D9EAF7"/>
            <w:vAlign w:val="center"/>
          </w:tcPr>
          <w:p w14:paraId="6B280F50" w14:textId="77777777" w:rsidR="006C1E91" w:rsidRDefault="00000000">
            <w:pPr>
              <w:spacing w:after="0" w:line="240" w:lineRule="auto"/>
            </w:pPr>
            <w:r>
              <w:rPr>
                <w:b/>
                <w:sz w:val="16"/>
              </w:rPr>
              <w:t>Supplier</w:t>
            </w:r>
          </w:p>
        </w:tc>
        <w:tc>
          <w:tcPr>
            <w:tcW w:w="2256" w:type="dxa"/>
            <w:shd w:val="clear" w:color="auto" w:fill="D9EAF7"/>
            <w:vAlign w:val="center"/>
          </w:tcPr>
          <w:p w14:paraId="7AE06FF6" w14:textId="77777777" w:rsidR="006C1E91" w:rsidRDefault="00000000">
            <w:pPr>
              <w:spacing w:after="0" w:line="240" w:lineRule="auto"/>
            </w:pPr>
            <w:r>
              <w:rPr>
                <w:b/>
                <w:sz w:val="16"/>
              </w:rPr>
              <w:t>User reps</w:t>
            </w:r>
          </w:p>
        </w:tc>
      </w:tr>
      <w:tr w:rsidR="006C1E91" w14:paraId="3C427506" w14:textId="77777777">
        <w:trPr>
          <w:jc w:val="center"/>
        </w:trPr>
        <w:tc>
          <w:tcPr>
            <w:tcW w:w="2256" w:type="dxa"/>
            <w:vAlign w:val="center"/>
          </w:tcPr>
          <w:p w14:paraId="60941EA5" w14:textId="77777777" w:rsidR="006C1E91" w:rsidRDefault="00000000">
            <w:pPr>
              <w:spacing w:after="0" w:line="240" w:lineRule="auto"/>
            </w:pPr>
            <w:r>
              <w:rPr>
                <w:sz w:val="16"/>
              </w:rPr>
              <w:t>Business case</w:t>
            </w:r>
          </w:p>
        </w:tc>
        <w:tc>
          <w:tcPr>
            <w:tcW w:w="2256" w:type="dxa"/>
            <w:vAlign w:val="center"/>
          </w:tcPr>
          <w:p w14:paraId="2D6895E1" w14:textId="77777777" w:rsidR="006C1E91" w:rsidRDefault="00000000">
            <w:pPr>
              <w:spacing w:after="0" w:line="240" w:lineRule="auto"/>
            </w:pPr>
            <w:r>
              <w:rPr>
                <w:sz w:val="16"/>
              </w:rPr>
              <w:t>A</w:t>
            </w:r>
          </w:p>
        </w:tc>
        <w:tc>
          <w:tcPr>
            <w:tcW w:w="2256" w:type="dxa"/>
            <w:vAlign w:val="center"/>
          </w:tcPr>
          <w:p w14:paraId="204AAED5" w14:textId="77777777" w:rsidR="006C1E91" w:rsidRDefault="00000000">
            <w:pPr>
              <w:spacing w:after="0" w:line="240" w:lineRule="auto"/>
            </w:pPr>
            <w:r>
              <w:rPr>
                <w:sz w:val="16"/>
              </w:rPr>
              <w:t>R</w:t>
            </w:r>
          </w:p>
        </w:tc>
        <w:tc>
          <w:tcPr>
            <w:tcW w:w="2256" w:type="dxa"/>
            <w:vAlign w:val="center"/>
          </w:tcPr>
          <w:p w14:paraId="6C21EFE7" w14:textId="77777777" w:rsidR="006C1E91" w:rsidRDefault="00000000">
            <w:pPr>
              <w:spacing w:after="0" w:line="240" w:lineRule="auto"/>
            </w:pPr>
            <w:r>
              <w:rPr>
                <w:sz w:val="16"/>
              </w:rPr>
              <w:t>C</w:t>
            </w:r>
          </w:p>
        </w:tc>
        <w:tc>
          <w:tcPr>
            <w:tcW w:w="2256" w:type="dxa"/>
            <w:vAlign w:val="center"/>
          </w:tcPr>
          <w:p w14:paraId="6CFD588B" w14:textId="77777777" w:rsidR="006C1E91" w:rsidRDefault="00000000">
            <w:pPr>
              <w:spacing w:after="0" w:line="240" w:lineRule="auto"/>
            </w:pPr>
            <w:r>
              <w:rPr>
                <w:sz w:val="16"/>
              </w:rPr>
              <w:t>I</w:t>
            </w:r>
          </w:p>
        </w:tc>
        <w:tc>
          <w:tcPr>
            <w:tcW w:w="2256" w:type="dxa"/>
            <w:vAlign w:val="center"/>
          </w:tcPr>
          <w:p w14:paraId="4E3AAE6D" w14:textId="77777777" w:rsidR="006C1E91" w:rsidRDefault="00000000">
            <w:pPr>
              <w:spacing w:after="0" w:line="240" w:lineRule="auto"/>
            </w:pPr>
            <w:r>
              <w:rPr>
                <w:sz w:val="16"/>
              </w:rPr>
              <w:t>I</w:t>
            </w:r>
          </w:p>
        </w:tc>
      </w:tr>
      <w:tr w:rsidR="006C1E91" w14:paraId="5BB2F97D" w14:textId="77777777">
        <w:trPr>
          <w:jc w:val="center"/>
        </w:trPr>
        <w:tc>
          <w:tcPr>
            <w:tcW w:w="2256" w:type="dxa"/>
            <w:vAlign w:val="center"/>
          </w:tcPr>
          <w:p w14:paraId="5C903075" w14:textId="77777777" w:rsidR="006C1E91" w:rsidRDefault="00000000">
            <w:pPr>
              <w:spacing w:after="0" w:line="240" w:lineRule="auto"/>
            </w:pPr>
            <w:r>
              <w:rPr>
                <w:sz w:val="16"/>
              </w:rPr>
              <w:t>Requirements</w:t>
            </w:r>
          </w:p>
        </w:tc>
        <w:tc>
          <w:tcPr>
            <w:tcW w:w="2256" w:type="dxa"/>
            <w:vAlign w:val="center"/>
          </w:tcPr>
          <w:p w14:paraId="229FEB12" w14:textId="77777777" w:rsidR="006C1E91" w:rsidRDefault="00000000">
            <w:pPr>
              <w:spacing w:after="0" w:line="240" w:lineRule="auto"/>
            </w:pPr>
            <w:r>
              <w:rPr>
                <w:sz w:val="16"/>
              </w:rPr>
              <w:t>C</w:t>
            </w:r>
          </w:p>
        </w:tc>
        <w:tc>
          <w:tcPr>
            <w:tcW w:w="2256" w:type="dxa"/>
            <w:vAlign w:val="center"/>
          </w:tcPr>
          <w:p w14:paraId="6C09E0F6" w14:textId="77777777" w:rsidR="006C1E91" w:rsidRDefault="00000000">
            <w:pPr>
              <w:spacing w:after="0" w:line="240" w:lineRule="auto"/>
            </w:pPr>
            <w:r>
              <w:rPr>
                <w:sz w:val="16"/>
              </w:rPr>
              <w:t>A/R</w:t>
            </w:r>
          </w:p>
        </w:tc>
        <w:tc>
          <w:tcPr>
            <w:tcW w:w="2256" w:type="dxa"/>
            <w:vAlign w:val="center"/>
          </w:tcPr>
          <w:p w14:paraId="52082BE3" w14:textId="77777777" w:rsidR="006C1E91" w:rsidRDefault="00000000">
            <w:pPr>
              <w:spacing w:after="0" w:line="240" w:lineRule="auto"/>
            </w:pPr>
            <w:r>
              <w:rPr>
                <w:sz w:val="16"/>
              </w:rPr>
              <w:t>R</w:t>
            </w:r>
          </w:p>
        </w:tc>
        <w:tc>
          <w:tcPr>
            <w:tcW w:w="2256" w:type="dxa"/>
            <w:vAlign w:val="center"/>
          </w:tcPr>
          <w:p w14:paraId="1E887A4F" w14:textId="77777777" w:rsidR="006C1E91" w:rsidRDefault="00000000">
            <w:pPr>
              <w:spacing w:after="0" w:line="240" w:lineRule="auto"/>
            </w:pPr>
            <w:r>
              <w:rPr>
                <w:sz w:val="16"/>
              </w:rPr>
              <w:t>C</w:t>
            </w:r>
          </w:p>
        </w:tc>
        <w:tc>
          <w:tcPr>
            <w:tcW w:w="2256" w:type="dxa"/>
            <w:vAlign w:val="center"/>
          </w:tcPr>
          <w:p w14:paraId="74C8F02E" w14:textId="77777777" w:rsidR="006C1E91" w:rsidRDefault="00000000">
            <w:pPr>
              <w:spacing w:after="0" w:line="240" w:lineRule="auto"/>
            </w:pPr>
            <w:r>
              <w:rPr>
                <w:sz w:val="16"/>
              </w:rPr>
              <w:t>C</w:t>
            </w:r>
          </w:p>
        </w:tc>
      </w:tr>
      <w:tr w:rsidR="006C1E91" w14:paraId="3CC0A0E6" w14:textId="77777777">
        <w:trPr>
          <w:jc w:val="center"/>
        </w:trPr>
        <w:tc>
          <w:tcPr>
            <w:tcW w:w="2256" w:type="dxa"/>
            <w:vAlign w:val="center"/>
          </w:tcPr>
          <w:p w14:paraId="7C1A1616" w14:textId="77777777" w:rsidR="006C1E91" w:rsidRDefault="00000000">
            <w:pPr>
              <w:spacing w:after="0" w:line="240" w:lineRule="auto"/>
            </w:pPr>
            <w:r>
              <w:rPr>
                <w:sz w:val="16"/>
              </w:rPr>
              <w:t>Cyber / technical design</w:t>
            </w:r>
          </w:p>
        </w:tc>
        <w:tc>
          <w:tcPr>
            <w:tcW w:w="2256" w:type="dxa"/>
            <w:vAlign w:val="center"/>
          </w:tcPr>
          <w:p w14:paraId="0FCE367E" w14:textId="77777777" w:rsidR="006C1E91" w:rsidRDefault="00000000">
            <w:pPr>
              <w:spacing w:after="0" w:line="240" w:lineRule="auto"/>
            </w:pPr>
            <w:r>
              <w:rPr>
                <w:sz w:val="16"/>
              </w:rPr>
              <w:t>I</w:t>
            </w:r>
          </w:p>
        </w:tc>
        <w:tc>
          <w:tcPr>
            <w:tcW w:w="2256" w:type="dxa"/>
            <w:vAlign w:val="center"/>
          </w:tcPr>
          <w:p w14:paraId="750D33D8" w14:textId="77777777" w:rsidR="006C1E91" w:rsidRDefault="00000000">
            <w:pPr>
              <w:spacing w:after="0" w:line="240" w:lineRule="auto"/>
            </w:pPr>
            <w:r>
              <w:rPr>
                <w:sz w:val="16"/>
              </w:rPr>
              <w:t>A</w:t>
            </w:r>
          </w:p>
        </w:tc>
        <w:tc>
          <w:tcPr>
            <w:tcW w:w="2256" w:type="dxa"/>
            <w:vAlign w:val="center"/>
          </w:tcPr>
          <w:p w14:paraId="168AEEE4" w14:textId="77777777" w:rsidR="006C1E91" w:rsidRDefault="00000000">
            <w:pPr>
              <w:spacing w:after="0" w:line="240" w:lineRule="auto"/>
            </w:pPr>
            <w:r>
              <w:rPr>
                <w:sz w:val="16"/>
              </w:rPr>
              <w:t>C</w:t>
            </w:r>
          </w:p>
        </w:tc>
        <w:tc>
          <w:tcPr>
            <w:tcW w:w="2256" w:type="dxa"/>
            <w:vAlign w:val="center"/>
          </w:tcPr>
          <w:p w14:paraId="6AFB593F" w14:textId="77777777" w:rsidR="006C1E91" w:rsidRDefault="00000000">
            <w:pPr>
              <w:spacing w:after="0" w:line="240" w:lineRule="auto"/>
            </w:pPr>
            <w:r>
              <w:rPr>
                <w:sz w:val="16"/>
              </w:rPr>
              <w:t>R</w:t>
            </w:r>
          </w:p>
        </w:tc>
        <w:tc>
          <w:tcPr>
            <w:tcW w:w="2256" w:type="dxa"/>
            <w:vAlign w:val="center"/>
          </w:tcPr>
          <w:p w14:paraId="479BBD79" w14:textId="77777777" w:rsidR="006C1E91" w:rsidRDefault="00000000">
            <w:pPr>
              <w:spacing w:after="0" w:line="240" w:lineRule="auto"/>
            </w:pPr>
            <w:r>
              <w:rPr>
                <w:sz w:val="16"/>
              </w:rPr>
              <w:t>C</w:t>
            </w:r>
          </w:p>
        </w:tc>
      </w:tr>
      <w:tr w:rsidR="006C1E91" w14:paraId="1B699D25" w14:textId="77777777">
        <w:trPr>
          <w:jc w:val="center"/>
        </w:trPr>
        <w:tc>
          <w:tcPr>
            <w:tcW w:w="2256" w:type="dxa"/>
            <w:vAlign w:val="center"/>
          </w:tcPr>
          <w:p w14:paraId="44E97E82" w14:textId="77777777" w:rsidR="006C1E91" w:rsidRDefault="00000000">
            <w:pPr>
              <w:spacing w:after="0" w:line="240" w:lineRule="auto"/>
            </w:pPr>
            <w:r>
              <w:rPr>
                <w:sz w:val="16"/>
              </w:rPr>
              <w:t>Pilot acceptance</w:t>
            </w:r>
          </w:p>
        </w:tc>
        <w:tc>
          <w:tcPr>
            <w:tcW w:w="2256" w:type="dxa"/>
            <w:vAlign w:val="center"/>
          </w:tcPr>
          <w:p w14:paraId="4CA70ABB" w14:textId="77777777" w:rsidR="006C1E91" w:rsidRDefault="00000000">
            <w:pPr>
              <w:spacing w:after="0" w:line="240" w:lineRule="auto"/>
            </w:pPr>
            <w:r>
              <w:rPr>
                <w:sz w:val="16"/>
              </w:rPr>
              <w:t>I</w:t>
            </w:r>
          </w:p>
        </w:tc>
        <w:tc>
          <w:tcPr>
            <w:tcW w:w="2256" w:type="dxa"/>
            <w:vAlign w:val="center"/>
          </w:tcPr>
          <w:p w14:paraId="3F53890B" w14:textId="77777777" w:rsidR="006C1E91" w:rsidRDefault="00000000">
            <w:pPr>
              <w:spacing w:after="0" w:line="240" w:lineRule="auto"/>
            </w:pPr>
            <w:r>
              <w:rPr>
                <w:sz w:val="16"/>
              </w:rPr>
              <w:t>A/R</w:t>
            </w:r>
          </w:p>
        </w:tc>
        <w:tc>
          <w:tcPr>
            <w:tcW w:w="2256" w:type="dxa"/>
            <w:vAlign w:val="center"/>
          </w:tcPr>
          <w:p w14:paraId="02BD2E10" w14:textId="77777777" w:rsidR="006C1E91" w:rsidRDefault="00000000">
            <w:pPr>
              <w:spacing w:after="0" w:line="240" w:lineRule="auto"/>
            </w:pPr>
            <w:r>
              <w:rPr>
                <w:sz w:val="16"/>
              </w:rPr>
              <w:t>R</w:t>
            </w:r>
          </w:p>
        </w:tc>
        <w:tc>
          <w:tcPr>
            <w:tcW w:w="2256" w:type="dxa"/>
            <w:vAlign w:val="center"/>
          </w:tcPr>
          <w:p w14:paraId="2E9CBEBB" w14:textId="77777777" w:rsidR="006C1E91" w:rsidRDefault="00000000">
            <w:pPr>
              <w:spacing w:after="0" w:line="240" w:lineRule="auto"/>
            </w:pPr>
            <w:r>
              <w:rPr>
                <w:sz w:val="16"/>
              </w:rPr>
              <w:t>R</w:t>
            </w:r>
          </w:p>
        </w:tc>
        <w:tc>
          <w:tcPr>
            <w:tcW w:w="2256" w:type="dxa"/>
            <w:vAlign w:val="center"/>
          </w:tcPr>
          <w:p w14:paraId="4E4DD823" w14:textId="77777777" w:rsidR="006C1E91" w:rsidRDefault="00000000">
            <w:pPr>
              <w:spacing w:after="0" w:line="240" w:lineRule="auto"/>
            </w:pPr>
            <w:r>
              <w:rPr>
                <w:sz w:val="16"/>
              </w:rPr>
              <w:t>C</w:t>
            </w:r>
          </w:p>
        </w:tc>
      </w:tr>
      <w:tr w:rsidR="006C1E91" w14:paraId="747E5622" w14:textId="77777777">
        <w:trPr>
          <w:jc w:val="center"/>
        </w:trPr>
        <w:tc>
          <w:tcPr>
            <w:tcW w:w="2256" w:type="dxa"/>
            <w:vAlign w:val="center"/>
          </w:tcPr>
          <w:p w14:paraId="3DBE5388" w14:textId="77777777" w:rsidR="006C1E91" w:rsidRDefault="00000000">
            <w:pPr>
              <w:spacing w:after="0" w:line="240" w:lineRule="auto"/>
            </w:pPr>
            <w:r>
              <w:rPr>
                <w:sz w:val="16"/>
              </w:rPr>
              <w:t>Handover</w:t>
            </w:r>
          </w:p>
        </w:tc>
        <w:tc>
          <w:tcPr>
            <w:tcW w:w="2256" w:type="dxa"/>
            <w:vAlign w:val="center"/>
          </w:tcPr>
          <w:p w14:paraId="49975FFF" w14:textId="77777777" w:rsidR="006C1E91" w:rsidRDefault="00000000">
            <w:pPr>
              <w:spacing w:after="0" w:line="240" w:lineRule="auto"/>
            </w:pPr>
            <w:r>
              <w:rPr>
                <w:sz w:val="16"/>
              </w:rPr>
              <w:t>A</w:t>
            </w:r>
          </w:p>
        </w:tc>
        <w:tc>
          <w:tcPr>
            <w:tcW w:w="2256" w:type="dxa"/>
            <w:vAlign w:val="center"/>
          </w:tcPr>
          <w:p w14:paraId="4F4AA070" w14:textId="77777777" w:rsidR="006C1E91" w:rsidRDefault="00000000">
            <w:pPr>
              <w:spacing w:after="0" w:line="240" w:lineRule="auto"/>
            </w:pPr>
            <w:r>
              <w:rPr>
                <w:sz w:val="16"/>
              </w:rPr>
              <w:t>R</w:t>
            </w:r>
          </w:p>
        </w:tc>
        <w:tc>
          <w:tcPr>
            <w:tcW w:w="2256" w:type="dxa"/>
            <w:vAlign w:val="center"/>
          </w:tcPr>
          <w:p w14:paraId="7CF9CA9E" w14:textId="77777777" w:rsidR="006C1E91" w:rsidRDefault="00000000">
            <w:pPr>
              <w:spacing w:after="0" w:line="240" w:lineRule="auto"/>
            </w:pPr>
            <w:r>
              <w:rPr>
                <w:sz w:val="16"/>
              </w:rPr>
              <w:t>R</w:t>
            </w:r>
          </w:p>
        </w:tc>
        <w:tc>
          <w:tcPr>
            <w:tcW w:w="2256" w:type="dxa"/>
            <w:vAlign w:val="center"/>
          </w:tcPr>
          <w:p w14:paraId="15DEF8C0" w14:textId="77777777" w:rsidR="006C1E91" w:rsidRDefault="00000000">
            <w:pPr>
              <w:spacing w:after="0" w:line="240" w:lineRule="auto"/>
            </w:pPr>
            <w:r>
              <w:rPr>
                <w:sz w:val="16"/>
              </w:rPr>
              <w:t>C</w:t>
            </w:r>
          </w:p>
        </w:tc>
        <w:tc>
          <w:tcPr>
            <w:tcW w:w="2256" w:type="dxa"/>
            <w:vAlign w:val="center"/>
          </w:tcPr>
          <w:p w14:paraId="25F9A010" w14:textId="77777777" w:rsidR="006C1E91" w:rsidRDefault="00000000">
            <w:pPr>
              <w:spacing w:after="0" w:line="240" w:lineRule="auto"/>
            </w:pPr>
            <w:r>
              <w:rPr>
                <w:sz w:val="16"/>
              </w:rPr>
              <w:t>I</w:t>
            </w:r>
          </w:p>
        </w:tc>
      </w:tr>
    </w:tbl>
    <w:p w14:paraId="2DBB4BC4" w14:textId="77777777" w:rsidR="006C1E91" w:rsidRDefault="00000000">
      <w:pPr>
        <w:jc w:val="center"/>
      </w:pPr>
      <w:r>
        <w:rPr>
          <w:sz w:val="18"/>
        </w:rPr>
        <w:t>A = Accountable; R = Responsible; C = Consulted; I = Informed.</w:t>
      </w:r>
    </w:p>
    <w:p w14:paraId="063CDD14" w14:textId="77777777" w:rsidR="003F4093" w:rsidRDefault="003F4093">
      <w:pPr>
        <w:pStyle w:val="Heading2"/>
      </w:pPr>
    </w:p>
    <w:p w14:paraId="055669F6" w14:textId="4519B4E0" w:rsidR="006C1E91" w:rsidRDefault="00000000">
      <w:pPr>
        <w:pStyle w:val="Heading2"/>
      </w:pPr>
      <w:r>
        <w:t>8. Allocation of Resources</w:t>
      </w:r>
    </w:p>
    <w:p w14:paraId="5F2BA7FB" w14:textId="77777777" w:rsidR="006C1E91" w:rsidRDefault="00000000">
      <w:pPr>
        <w:jc w:val="both"/>
      </w:pPr>
      <w:r>
        <w:t xml:space="preserve">Resource allocation follows the WBS and project lifecycle rather than maintaining a fixed team of equal size for 24 months. The core team consists of the sponsor, project manager, business analyst, data/integration lead, cybersecurity lead, accessibility and user-experience specialist, commercial/procurement support and operator representatives. Supplier developers and integration engineers scale up during </w:t>
      </w:r>
      <w:r>
        <w:lastRenderedPageBreak/>
        <w:t>build, while test, assurance, training and change resources increase during pilot and rollout. Table 5 summarises the principal resources and the phases in which they are most critical.</w:t>
      </w:r>
    </w:p>
    <w:p w14:paraId="28D82911" w14:textId="77777777" w:rsidR="006C1E91" w:rsidRDefault="00000000">
      <w:pPr>
        <w:jc w:val="both"/>
      </w:pPr>
      <w:r>
        <w:t>This phased model reflects the reality that project teams rarely have perfect resources from the start. The Week 7 material identifies the risk of inherited teams, scarce specialist skills and outsourced capability. MetroFlow reduces this risk by defining role specifications early, identifying scarce capabilities such as transport systems integration and cybersecurity, and securing named deputies for critical roles. Where external suppliers are used, knowledge-transfer requirements are included in contracts so that operational capability does not disappear at handover.</w:t>
      </w:r>
    </w:p>
    <w:p w14:paraId="07AC45B3" w14:textId="77777777" w:rsidR="006C1E91" w:rsidRDefault="00000000">
      <w:pPr>
        <w:jc w:val="both"/>
      </w:pPr>
      <w:r>
        <w:t>Financial resources are controlled through a phased budget rather than an invented fixed total at this stage. The first baseline is established after requirements and architecture are sufficiently mature to support credible estimates. Budget categories include internal staff, specialist consultancy, software and integration, sensors and signage, cybersecurity assurance, accessibility testing, training and contingency. PMI (2021) supports tailoring control to uncertainty; accordingly, contingency is held centrally and released against approved risks rather than being treated as available spending. This improves transparency while allowing the project to respond to integration uncertainty.</w:t>
      </w:r>
    </w:p>
    <w:p w14:paraId="7E7A5FD4" w14:textId="77777777" w:rsidR="003F4093" w:rsidRDefault="003F4093">
      <w:pPr>
        <w:jc w:val="center"/>
        <w:rPr>
          <w:b/>
          <w:sz w:val="20"/>
        </w:rPr>
      </w:pPr>
    </w:p>
    <w:p w14:paraId="76FA934E" w14:textId="67FA0ABA" w:rsidR="006C1E91" w:rsidRDefault="00000000">
      <w:pPr>
        <w:jc w:val="center"/>
      </w:pPr>
      <w:r>
        <w:rPr>
          <w:b/>
          <w:sz w:val="20"/>
        </w:rPr>
        <w:t>Table 6. Resource allocation by project phase</w:t>
      </w:r>
    </w:p>
    <w:tbl>
      <w:tblPr>
        <w:tblStyle w:val="TableGrid"/>
        <w:tblW w:w="0" w:type="auto"/>
        <w:jc w:val="center"/>
        <w:tblLook w:val="04A0" w:firstRow="1" w:lastRow="0" w:firstColumn="1" w:lastColumn="0" w:noHBand="0" w:noVBand="1"/>
      </w:tblPr>
      <w:tblGrid>
        <w:gridCol w:w="4509"/>
        <w:gridCol w:w="4508"/>
        <w:gridCol w:w="4509"/>
      </w:tblGrid>
      <w:tr w:rsidR="006C1E91" w14:paraId="6B4FC959" w14:textId="77777777">
        <w:trPr>
          <w:tblHeader/>
          <w:jc w:val="center"/>
        </w:trPr>
        <w:tc>
          <w:tcPr>
            <w:tcW w:w="4512" w:type="dxa"/>
            <w:shd w:val="clear" w:color="auto" w:fill="D9EAF7"/>
            <w:vAlign w:val="center"/>
          </w:tcPr>
          <w:p w14:paraId="05F208C8" w14:textId="77777777" w:rsidR="006C1E91" w:rsidRDefault="00000000">
            <w:pPr>
              <w:spacing w:after="0" w:line="240" w:lineRule="auto"/>
            </w:pPr>
            <w:r>
              <w:rPr>
                <w:b/>
                <w:sz w:val="18"/>
              </w:rPr>
              <w:t>Resource / capability</w:t>
            </w:r>
          </w:p>
        </w:tc>
        <w:tc>
          <w:tcPr>
            <w:tcW w:w="4512" w:type="dxa"/>
            <w:shd w:val="clear" w:color="auto" w:fill="D9EAF7"/>
            <w:vAlign w:val="center"/>
          </w:tcPr>
          <w:p w14:paraId="31479448" w14:textId="77777777" w:rsidR="006C1E91" w:rsidRDefault="00000000">
            <w:pPr>
              <w:spacing w:after="0" w:line="240" w:lineRule="auto"/>
            </w:pPr>
            <w:r>
              <w:rPr>
                <w:b/>
                <w:sz w:val="18"/>
              </w:rPr>
              <w:t>Primary phases</w:t>
            </w:r>
          </w:p>
        </w:tc>
        <w:tc>
          <w:tcPr>
            <w:tcW w:w="4512" w:type="dxa"/>
            <w:shd w:val="clear" w:color="auto" w:fill="D9EAF7"/>
            <w:vAlign w:val="center"/>
          </w:tcPr>
          <w:p w14:paraId="22106DC4" w14:textId="77777777" w:rsidR="006C1E91" w:rsidRDefault="00000000">
            <w:pPr>
              <w:spacing w:after="0" w:line="240" w:lineRule="auto"/>
            </w:pPr>
            <w:r>
              <w:rPr>
                <w:b/>
                <w:sz w:val="18"/>
              </w:rPr>
              <w:t>Management rationale</w:t>
            </w:r>
          </w:p>
        </w:tc>
      </w:tr>
      <w:tr w:rsidR="006C1E91" w14:paraId="28027FD2" w14:textId="77777777">
        <w:trPr>
          <w:jc w:val="center"/>
        </w:trPr>
        <w:tc>
          <w:tcPr>
            <w:tcW w:w="4512" w:type="dxa"/>
            <w:vAlign w:val="center"/>
          </w:tcPr>
          <w:p w14:paraId="6EEC50AB" w14:textId="77777777" w:rsidR="006C1E91" w:rsidRDefault="00000000">
            <w:pPr>
              <w:spacing w:after="0" w:line="240" w:lineRule="auto"/>
            </w:pPr>
            <w:r>
              <w:rPr>
                <w:sz w:val="18"/>
              </w:rPr>
              <w:t>Project manager &amp; business analyst</w:t>
            </w:r>
          </w:p>
        </w:tc>
        <w:tc>
          <w:tcPr>
            <w:tcW w:w="4512" w:type="dxa"/>
            <w:vAlign w:val="center"/>
          </w:tcPr>
          <w:p w14:paraId="7ADF9B31" w14:textId="77777777" w:rsidR="006C1E91" w:rsidRDefault="00000000">
            <w:pPr>
              <w:spacing w:after="0" w:line="240" w:lineRule="auto"/>
            </w:pPr>
            <w:r>
              <w:rPr>
                <w:sz w:val="18"/>
              </w:rPr>
              <w:t>All phases</w:t>
            </w:r>
          </w:p>
        </w:tc>
        <w:tc>
          <w:tcPr>
            <w:tcW w:w="4512" w:type="dxa"/>
            <w:vAlign w:val="center"/>
          </w:tcPr>
          <w:p w14:paraId="6F51965E" w14:textId="77777777" w:rsidR="006C1E91" w:rsidRDefault="00000000">
            <w:pPr>
              <w:spacing w:after="0" w:line="240" w:lineRule="auto"/>
            </w:pPr>
            <w:r>
              <w:rPr>
                <w:sz w:val="18"/>
              </w:rPr>
              <w:t>Continuity of governance, requirements, decisions and control</w:t>
            </w:r>
          </w:p>
        </w:tc>
      </w:tr>
      <w:tr w:rsidR="006C1E91" w14:paraId="67858646" w14:textId="77777777">
        <w:trPr>
          <w:jc w:val="center"/>
        </w:trPr>
        <w:tc>
          <w:tcPr>
            <w:tcW w:w="4512" w:type="dxa"/>
            <w:vAlign w:val="center"/>
          </w:tcPr>
          <w:p w14:paraId="02EE75E2" w14:textId="77777777" w:rsidR="006C1E91" w:rsidRDefault="00000000">
            <w:pPr>
              <w:spacing w:after="0" w:line="240" w:lineRule="auto"/>
            </w:pPr>
            <w:r>
              <w:rPr>
                <w:sz w:val="18"/>
              </w:rPr>
              <w:t>Data / integration architect</w:t>
            </w:r>
          </w:p>
        </w:tc>
        <w:tc>
          <w:tcPr>
            <w:tcW w:w="4512" w:type="dxa"/>
            <w:vAlign w:val="center"/>
          </w:tcPr>
          <w:p w14:paraId="112D035F" w14:textId="77777777" w:rsidR="006C1E91" w:rsidRDefault="00000000">
            <w:pPr>
              <w:spacing w:after="0" w:line="240" w:lineRule="auto"/>
            </w:pPr>
            <w:r>
              <w:rPr>
                <w:sz w:val="18"/>
              </w:rPr>
              <w:t>Months 1–18</w:t>
            </w:r>
          </w:p>
        </w:tc>
        <w:tc>
          <w:tcPr>
            <w:tcW w:w="4512" w:type="dxa"/>
            <w:vAlign w:val="center"/>
          </w:tcPr>
          <w:p w14:paraId="06E703B2" w14:textId="77777777" w:rsidR="006C1E91" w:rsidRDefault="00000000">
            <w:pPr>
              <w:spacing w:after="0" w:line="240" w:lineRule="auto"/>
            </w:pPr>
            <w:r>
              <w:rPr>
                <w:sz w:val="18"/>
              </w:rPr>
              <w:t>Architecture, interfaces, legacy integration and technical decisions</w:t>
            </w:r>
          </w:p>
        </w:tc>
      </w:tr>
      <w:tr w:rsidR="006C1E91" w14:paraId="68A3FFA0" w14:textId="77777777">
        <w:trPr>
          <w:jc w:val="center"/>
        </w:trPr>
        <w:tc>
          <w:tcPr>
            <w:tcW w:w="4512" w:type="dxa"/>
            <w:vAlign w:val="center"/>
          </w:tcPr>
          <w:p w14:paraId="087D17A1" w14:textId="77777777" w:rsidR="006C1E91" w:rsidRDefault="00000000">
            <w:pPr>
              <w:spacing w:after="0" w:line="240" w:lineRule="auto"/>
            </w:pPr>
            <w:r>
              <w:rPr>
                <w:sz w:val="18"/>
              </w:rPr>
              <w:t>Cybersecurity &amp; data governance</w:t>
            </w:r>
          </w:p>
        </w:tc>
        <w:tc>
          <w:tcPr>
            <w:tcW w:w="4512" w:type="dxa"/>
            <w:vAlign w:val="center"/>
          </w:tcPr>
          <w:p w14:paraId="42003A0E" w14:textId="77777777" w:rsidR="006C1E91" w:rsidRDefault="00000000">
            <w:pPr>
              <w:spacing w:after="0" w:line="240" w:lineRule="auto"/>
            </w:pPr>
            <w:r>
              <w:rPr>
                <w:sz w:val="18"/>
              </w:rPr>
              <w:t>Months 1–21</w:t>
            </w:r>
          </w:p>
        </w:tc>
        <w:tc>
          <w:tcPr>
            <w:tcW w:w="4512" w:type="dxa"/>
            <w:vAlign w:val="center"/>
          </w:tcPr>
          <w:p w14:paraId="1DBFF844" w14:textId="77777777" w:rsidR="006C1E91" w:rsidRDefault="00000000">
            <w:pPr>
              <w:spacing w:after="0" w:line="240" w:lineRule="auto"/>
            </w:pPr>
            <w:r>
              <w:rPr>
                <w:sz w:val="18"/>
              </w:rPr>
              <w:t>Privacy-by-design, assurance and security acceptance</w:t>
            </w:r>
          </w:p>
        </w:tc>
      </w:tr>
      <w:tr w:rsidR="006C1E91" w14:paraId="2655452C" w14:textId="77777777">
        <w:trPr>
          <w:jc w:val="center"/>
        </w:trPr>
        <w:tc>
          <w:tcPr>
            <w:tcW w:w="4512" w:type="dxa"/>
            <w:vAlign w:val="center"/>
          </w:tcPr>
          <w:p w14:paraId="76927C6E" w14:textId="77777777" w:rsidR="006C1E91" w:rsidRDefault="00000000">
            <w:pPr>
              <w:spacing w:after="0" w:line="240" w:lineRule="auto"/>
            </w:pPr>
            <w:r>
              <w:rPr>
                <w:sz w:val="18"/>
              </w:rPr>
              <w:t>Accessibility / UX specialist</w:t>
            </w:r>
          </w:p>
        </w:tc>
        <w:tc>
          <w:tcPr>
            <w:tcW w:w="4512" w:type="dxa"/>
            <w:vAlign w:val="center"/>
          </w:tcPr>
          <w:p w14:paraId="6CBC89F6" w14:textId="77777777" w:rsidR="006C1E91" w:rsidRDefault="00000000">
            <w:pPr>
              <w:spacing w:after="0" w:line="240" w:lineRule="auto"/>
            </w:pPr>
            <w:r>
              <w:rPr>
                <w:sz w:val="18"/>
              </w:rPr>
              <w:t>Months 1–21</w:t>
            </w:r>
          </w:p>
        </w:tc>
        <w:tc>
          <w:tcPr>
            <w:tcW w:w="4512" w:type="dxa"/>
            <w:vAlign w:val="center"/>
          </w:tcPr>
          <w:p w14:paraId="180581E7" w14:textId="77777777" w:rsidR="006C1E91" w:rsidRDefault="00000000">
            <w:pPr>
              <w:spacing w:after="0" w:line="240" w:lineRule="auto"/>
            </w:pPr>
            <w:r>
              <w:rPr>
                <w:sz w:val="18"/>
              </w:rPr>
              <w:t>Accessible requirements, design, testing and acceptance</w:t>
            </w:r>
          </w:p>
        </w:tc>
      </w:tr>
      <w:tr w:rsidR="006C1E91" w14:paraId="07A99255" w14:textId="77777777">
        <w:trPr>
          <w:jc w:val="center"/>
        </w:trPr>
        <w:tc>
          <w:tcPr>
            <w:tcW w:w="4512" w:type="dxa"/>
            <w:vAlign w:val="center"/>
          </w:tcPr>
          <w:p w14:paraId="304B830D" w14:textId="77777777" w:rsidR="006C1E91" w:rsidRDefault="00000000">
            <w:pPr>
              <w:spacing w:after="0" w:line="240" w:lineRule="auto"/>
            </w:pPr>
            <w:r>
              <w:rPr>
                <w:sz w:val="18"/>
              </w:rPr>
              <w:t>Supplier development / integration team</w:t>
            </w:r>
          </w:p>
        </w:tc>
        <w:tc>
          <w:tcPr>
            <w:tcW w:w="4512" w:type="dxa"/>
            <w:vAlign w:val="center"/>
          </w:tcPr>
          <w:p w14:paraId="5BEF49EF" w14:textId="77777777" w:rsidR="006C1E91" w:rsidRDefault="00000000">
            <w:pPr>
              <w:spacing w:after="0" w:line="240" w:lineRule="auto"/>
            </w:pPr>
            <w:r>
              <w:rPr>
                <w:sz w:val="18"/>
              </w:rPr>
              <w:t>Months 7–18</w:t>
            </w:r>
          </w:p>
        </w:tc>
        <w:tc>
          <w:tcPr>
            <w:tcW w:w="4512" w:type="dxa"/>
            <w:vAlign w:val="center"/>
          </w:tcPr>
          <w:p w14:paraId="05F44938" w14:textId="77777777" w:rsidR="006C1E91" w:rsidRDefault="00000000">
            <w:pPr>
              <w:spacing w:after="0" w:line="240" w:lineRule="auto"/>
            </w:pPr>
            <w:r>
              <w:rPr>
                <w:sz w:val="18"/>
              </w:rPr>
              <w:t>Build, configuration and integration</w:t>
            </w:r>
          </w:p>
        </w:tc>
      </w:tr>
      <w:tr w:rsidR="006C1E91" w14:paraId="33300C7C" w14:textId="77777777">
        <w:trPr>
          <w:jc w:val="center"/>
        </w:trPr>
        <w:tc>
          <w:tcPr>
            <w:tcW w:w="4512" w:type="dxa"/>
            <w:vAlign w:val="center"/>
          </w:tcPr>
          <w:p w14:paraId="0F5F8812" w14:textId="77777777" w:rsidR="006C1E91" w:rsidRDefault="00000000">
            <w:pPr>
              <w:spacing w:after="0" w:line="240" w:lineRule="auto"/>
            </w:pPr>
            <w:r>
              <w:rPr>
                <w:sz w:val="18"/>
              </w:rPr>
              <w:t>Operator representatives</w:t>
            </w:r>
          </w:p>
        </w:tc>
        <w:tc>
          <w:tcPr>
            <w:tcW w:w="4512" w:type="dxa"/>
            <w:vAlign w:val="center"/>
          </w:tcPr>
          <w:p w14:paraId="5EF3CF10" w14:textId="77777777" w:rsidR="006C1E91" w:rsidRDefault="00000000">
            <w:pPr>
              <w:spacing w:after="0" w:line="240" w:lineRule="auto"/>
            </w:pPr>
            <w:r>
              <w:rPr>
                <w:sz w:val="18"/>
              </w:rPr>
              <w:t>Months 1–24</w:t>
            </w:r>
          </w:p>
        </w:tc>
        <w:tc>
          <w:tcPr>
            <w:tcW w:w="4512" w:type="dxa"/>
            <w:vAlign w:val="center"/>
          </w:tcPr>
          <w:p w14:paraId="4A5B7F50" w14:textId="77777777" w:rsidR="006C1E91" w:rsidRDefault="00000000">
            <w:pPr>
              <w:spacing w:after="0" w:line="240" w:lineRule="auto"/>
            </w:pPr>
            <w:r>
              <w:rPr>
                <w:sz w:val="18"/>
              </w:rPr>
              <w:t>Operational requirements, testing, adoption and handover</w:t>
            </w:r>
          </w:p>
        </w:tc>
      </w:tr>
      <w:tr w:rsidR="006C1E91" w14:paraId="7C3BE8CC" w14:textId="77777777">
        <w:trPr>
          <w:jc w:val="center"/>
        </w:trPr>
        <w:tc>
          <w:tcPr>
            <w:tcW w:w="4512" w:type="dxa"/>
            <w:vAlign w:val="center"/>
          </w:tcPr>
          <w:p w14:paraId="555BC484" w14:textId="77777777" w:rsidR="006C1E91" w:rsidRDefault="00000000">
            <w:pPr>
              <w:spacing w:after="0" w:line="240" w:lineRule="auto"/>
            </w:pPr>
            <w:r>
              <w:rPr>
                <w:sz w:val="18"/>
              </w:rPr>
              <w:t>Training / change support</w:t>
            </w:r>
          </w:p>
        </w:tc>
        <w:tc>
          <w:tcPr>
            <w:tcW w:w="4512" w:type="dxa"/>
            <w:vAlign w:val="center"/>
          </w:tcPr>
          <w:p w14:paraId="3C8EE321" w14:textId="77777777" w:rsidR="006C1E91" w:rsidRDefault="00000000">
            <w:pPr>
              <w:spacing w:after="0" w:line="240" w:lineRule="auto"/>
            </w:pPr>
            <w:r>
              <w:rPr>
                <w:sz w:val="18"/>
              </w:rPr>
              <w:t>Months 17–24</w:t>
            </w:r>
          </w:p>
        </w:tc>
        <w:tc>
          <w:tcPr>
            <w:tcW w:w="4512" w:type="dxa"/>
            <w:vAlign w:val="center"/>
          </w:tcPr>
          <w:p w14:paraId="50AC4766" w14:textId="77777777" w:rsidR="006C1E91" w:rsidRDefault="00000000">
            <w:pPr>
              <w:spacing w:after="0" w:line="240" w:lineRule="auto"/>
            </w:pPr>
            <w:r>
              <w:rPr>
                <w:sz w:val="18"/>
              </w:rPr>
              <w:t>Readiness, training, communications and adoption</w:t>
            </w:r>
          </w:p>
        </w:tc>
      </w:tr>
    </w:tbl>
    <w:p w14:paraId="215EC4A9" w14:textId="77777777" w:rsidR="006C1E91" w:rsidRDefault="00000000">
      <w:pPr>
        <w:pStyle w:val="Heading2"/>
      </w:pPr>
      <w:r>
        <w:lastRenderedPageBreak/>
        <w:t>9. Risk Analysis</w:t>
      </w:r>
    </w:p>
    <w:p w14:paraId="4BAB461C" w14:textId="77777777" w:rsidR="006C1E91" w:rsidRDefault="00000000">
      <w:pPr>
        <w:jc w:val="both"/>
      </w:pPr>
      <w:r>
        <w:t>Risk management is continuous because MetroFlow contains technical, organisational and operational uncertainty. Ward and Chapman (2003) argue that project risk management is stronger when it addresses uncertainty rather than only listing discrete threats. The initial risk register in Table 6 therefore identifies six priority risks: cyber or privacy breach; integration failure; operator resistance; procurement or cost delay; accessibility failure; and disruption caused by installation. Scores are preliminary and must be validated with stakeholders during initiation.</w:t>
      </w:r>
    </w:p>
    <w:p w14:paraId="04AD7B4A" w14:textId="77777777" w:rsidR="006C1E91" w:rsidRDefault="00000000">
      <w:pPr>
        <w:jc w:val="both"/>
      </w:pPr>
      <w:r>
        <w:t>Cyber and privacy risk receives the highest attention because MetroFlow combines operational data, user information and multiple interfaces. Controls include privacy-by-design, minimum necessary data collection, access controls, security testing and independent assurance before rollout. Integration failure is managed through open standards where possible, interface specifications, early technical proofs and staged integration rather than a single late system test. Operator resistance is treated as both a stakeholder and benefits risk; early co-design, clear operational ownership and pilot participation reduce the likelihood that a technically functional system is rejected in practice.</w:t>
      </w:r>
    </w:p>
    <w:p w14:paraId="0E5F7491" w14:textId="77777777" w:rsidR="006C1E91" w:rsidRDefault="00000000">
      <w:pPr>
        <w:jc w:val="both"/>
      </w:pPr>
      <w:r>
        <w:t>Procurement delay is significant because specialist suppliers and data agreements can affect the critical path. Staged procurement, early market engagement and clearly defined acceptance criteria reduce this exposure. Accessibility is treated as a quality gate rather than a feature that can be traded away. User testing with accessibility groups and independent assurance are therefore required before acceptance. Installation disruption is reduced through off-peak working, phased deployment and operational fallback procedures.</w:t>
      </w:r>
    </w:p>
    <w:p w14:paraId="7F07985E" w14:textId="77777777" w:rsidR="006C1E91" w:rsidRDefault="00000000">
      <w:pPr>
        <w:jc w:val="both"/>
      </w:pPr>
      <w:r>
        <w:t>The 5x5 probability-impact matrix provides prioritisation but does not create certainty. Numerical scores can encourage artificial precision, especially where evidence is weak. The register therefore records assumptions, triggers, owners and residual risk alongside the score. High risks are reviewed fortnightly by the project manager and monthly by the programme board. Risks above tolerance are escalated to the sponsor. The risk register is also linked to the schedule and change process: for example, a procurement delay may require re-sequencing, while an unresolved accessibility risk prevents the relevant stage gate from being passed. This integrated approach is more valuable than treating risk analysis as a one-off compliance exercise.</w:t>
      </w:r>
    </w:p>
    <w:p w14:paraId="616D491B" w14:textId="77777777" w:rsidR="006C1E91" w:rsidRDefault="00000000">
      <w:pPr>
        <w:jc w:val="center"/>
      </w:pPr>
      <w:r>
        <w:rPr>
          <w:b/>
          <w:sz w:val="20"/>
        </w:rPr>
        <w:lastRenderedPageBreak/>
        <w:t>Table 7. Preliminary MetroFlow risk register</w:t>
      </w:r>
    </w:p>
    <w:tbl>
      <w:tblPr>
        <w:tblStyle w:val="TableGrid"/>
        <w:tblW w:w="0" w:type="auto"/>
        <w:jc w:val="center"/>
        <w:tblLook w:val="04A0" w:firstRow="1" w:lastRow="0" w:firstColumn="1" w:lastColumn="0" w:noHBand="0" w:noVBand="1"/>
      </w:tblPr>
      <w:tblGrid>
        <w:gridCol w:w="1931"/>
        <w:gridCol w:w="1933"/>
        <w:gridCol w:w="1932"/>
        <w:gridCol w:w="1932"/>
        <w:gridCol w:w="1932"/>
        <w:gridCol w:w="1933"/>
        <w:gridCol w:w="1933"/>
      </w:tblGrid>
      <w:tr w:rsidR="006C1E91" w14:paraId="32D7D21A" w14:textId="77777777">
        <w:trPr>
          <w:tblHeader/>
          <w:jc w:val="center"/>
        </w:trPr>
        <w:tc>
          <w:tcPr>
            <w:tcW w:w="1934" w:type="dxa"/>
            <w:shd w:val="clear" w:color="auto" w:fill="D9EAF7"/>
            <w:vAlign w:val="center"/>
          </w:tcPr>
          <w:p w14:paraId="389A6D7F" w14:textId="77777777" w:rsidR="006C1E91" w:rsidRDefault="00000000">
            <w:pPr>
              <w:spacing w:after="0" w:line="240" w:lineRule="auto"/>
            </w:pPr>
            <w:r>
              <w:rPr>
                <w:b/>
                <w:sz w:val="15"/>
              </w:rPr>
              <w:t>ID</w:t>
            </w:r>
          </w:p>
        </w:tc>
        <w:tc>
          <w:tcPr>
            <w:tcW w:w="1934" w:type="dxa"/>
            <w:shd w:val="clear" w:color="auto" w:fill="D9EAF7"/>
            <w:vAlign w:val="center"/>
          </w:tcPr>
          <w:p w14:paraId="17676F11" w14:textId="77777777" w:rsidR="006C1E91" w:rsidRDefault="00000000">
            <w:pPr>
              <w:spacing w:after="0" w:line="240" w:lineRule="auto"/>
            </w:pPr>
            <w:r>
              <w:rPr>
                <w:b/>
                <w:sz w:val="15"/>
              </w:rPr>
              <w:t>Risk</w:t>
            </w:r>
          </w:p>
        </w:tc>
        <w:tc>
          <w:tcPr>
            <w:tcW w:w="1934" w:type="dxa"/>
            <w:shd w:val="clear" w:color="auto" w:fill="D9EAF7"/>
            <w:vAlign w:val="center"/>
          </w:tcPr>
          <w:p w14:paraId="761C8F0D" w14:textId="77777777" w:rsidR="006C1E91" w:rsidRDefault="00000000">
            <w:pPr>
              <w:spacing w:after="0" w:line="240" w:lineRule="auto"/>
            </w:pPr>
            <w:r>
              <w:rPr>
                <w:b/>
                <w:sz w:val="15"/>
              </w:rPr>
              <w:t>L</w:t>
            </w:r>
          </w:p>
        </w:tc>
        <w:tc>
          <w:tcPr>
            <w:tcW w:w="1934" w:type="dxa"/>
            <w:shd w:val="clear" w:color="auto" w:fill="D9EAF7"/>
            <w:vAlign w:val="center"/>
          </w:tcPr>
          <w:p w14:paraId="40A8E88C" w14:textId="77777777" w:rsidR="006C1E91" w:rsidRDefault="00000000">
            <w:pPr>
              <w:spacing w:after="0" w:line="240" w:lineRule="auto"/>
            </w:pPr>
            <w:r>
              <w:rPr>
                <w:b/>
                <w:sz w:val="15"/>
              </w:rPr>
              <w:t>I</w:t>
            </w:r>
          </w:p>
        </w:tc>
        <w:tc>
          <w:tcPr>
            <w:tcW w:w="1934" w:type="dxa"/>
            <w:shd w:val="clear" w:color="auto" w:fill="D9EAF7"/>
            <w:vAlign w:val="center"/>
          </w:tcPr>
          <w:p w14:paraId="2AEE223F" w14:textId="77777777" w:rsidR="006C1E91" w:rsidRDefault="00000000">
            <w:pPr>
              <w:spacing w:after="0" w:line="240" w:lineRule="auto"/>
            </w:pPr>
            <w:r>
              <w:rPr>
                <w:b/>
                <w:sz w:val="15"/>
              </w:rPr>
              <w:t>Score</w:t>
            </w:r>
          </w:p>
        </w:tc>
        <w:tc>
          <w:tcPr>
            <w:tcW w:w="1934" w:type="dxa"/>
            <w:shd w:val="clear" w:color="auto" w:fill="D9EAF7"/>
            <w:vAlign w:val="center"/>
          </w:tcPr>
          <w:p w14:paraId="0CA48722" w14:textId="77777777" w:rsidR="006C1E91" w:rsidRDefault="00000000">
            <w:pPr>
              <w:spacing w:after="0" w:line="240" w:lineRule="auto"/>
            </w:pPr>
            <w:r>
              <w:rPr>
                <w:b/>
                <w:sz w:val="15"/>
              </w:rPr>
              <w:t>Owner</w:t>
            </w:r>
          </w:p>
        </w:tc>
        <w:tc>
          <w:tcPr>
            <w:tcW w:w="1934" w:type="dxa"/>
            <w:shd w:val="clear" w:color="auto" w:fill="D9EAF7"/>
            <w:vAlign w:val="center"/>
          </w:tcPr>
          <w:p w14:paraId="1EE0D854" w14:textId="77777777" w:rsidR="006C1E91" w:rsidRDefault="00000000">
            <w:pPr>
              <w:spacing w:after="0" w:line="240" w:lineRule="auto"/>
            </w:pPr>
            <w:r>
              <w:rPr>
                <w:b/>
                <w:sz w:val="15"/>
              </w:rPr>
              <w:t>Primary response</w:t>
            </w:r>
          </w:p>
        </w:tc>
      </w:tr>
      <w:tr w:rsidR="006C1E91" w14:paraId="1CBD13C7" w14:textId="77777777">
        <w:trPr>
          <w:jc w:val="center"/>
        </w:trPr>
        <w:tc>
          <w:tcPr>
            <w:tcW w:w="1934" w:type="dxa"/>
            <w:vAlign w:val="center"/>
          </w:tcPr>
          <w:p w14:paraId="1CA40325" w14:textId="77777777" w:rsidR="006C1E91" w:rsidRDefault="00000000">
            <w:pPr>
              <w:spacing w:after="0" w:line="240" w:lineRule="auto"/>
            </w:pPr>
            <w:r>
              <w:rPr>
                <w:sz w:val="15"/>
              </w:rPr>
              <w:t>R1</w:t>
            </w:r>
          </w:p>
        </w:tc>
        <w:tc>
          <w:tcPr>
            <w:tcW w:w="1934" w:type="dxa"/>
            <w:vAlign w:val="center"/>
          </w:tcPr>
          <w:p w14:paraId="5B1951CB" w14:textId="77777777" w:rsidR="006C1E91" w:rsidRDefault="00000000">
            <w:pPr>
              <w:spacing w:after="0" w:line="240" w:lineRule="auto"/>
            </w:pPr>
            <w:r>
              <w:rPr>
                <w:sz w:val="15"/>
              </w:rPr>
              <w:t>Cyber/privacy breach</w:t>
            </w:r>
          </w:p>
        </w:tc>
        <w:tc>
          <w:tcPr>
            <w:tcW w:w="1934" w:type="dxa"/>
            <w:vAlign w:val="center"/>
          </w:tcPr>
          <w:p w14:paraId="7563D127" w14:textId="77777777" w:rsidR="006C1E91" w:rsidRDefault="00000000">
            <w:pPr>
              <w:spacing w:after="0" w:line="240" w:lineRule="auto"/>
            </w:pPr>
            <w:r>
              <w:rPr>
                <w:sz w:val="15"/>
              </w:rPr>
              <w:t>4</w:t>
            </w:r>
          </w:p>
        </w:tc>
        <w:tc>
          <w:tcPr>
            <w:tcW w:w="1934" w:type="dxa"/>
            <w:vAlign w:val="center"/>
          </w:tcPr>
          <w:p w14:paraId="115BC167" w14:textId="77777777" w:rsidR="006C1E91" w:rsidRDefault="00000000">
            <w:pPr>
              <w:spacing w:after="0" w:line="240" w:lineRule="auto"/>
            </w:pPr>
            <w:r>
              <w:rPr>
                <w:sz w:val="15"/>
              </w:rPr>
              <w:t>5</w:t>
            </w:r>
          </w:p>
        </w:tc>
        <w:tc>
          <w:tcPr>
            <w:tcW w:w="1934" w:type="dxa"/>
            <w:vAlign w:val="center"/>
          </w:tcPr>
          <w:p w14:paraId="0817460B" w14:textId="77777777" w:rsidR="006C1E91" w:rsidRDefault="00000000">
            <w:pPr>
              <w:spacing w:after="0" w:line="240" w:lineRule="auto"/>
            </w:pPr>
            <w:r>
              <w:rPr>
                <w:sz w:val="15"/>
              </w:rPr>
              <w:t>20</w:t>
            </w:r>
          </w:p>
        </w:tc>
        <w:tc>
          <w:tcPr>
            <w:tcW w:w="1934" w:type="dxa"/>
            <w:vAlign w:val="center"/>
          </w:tcPr>
          <w:p w14:paraId="7FE6BB41" w14:textId="77777777" w:rsidR="006C1E91" w:rsidRDefault="00000000">
            <w:pPr>
              <w:spacing w:after="0" w:line="240" w:lineRule="auto"/>
            </w:pPr>
            <w:r>
              <w:rPr>
                <w:sz w:val="15"/>
              </w:rPr>
              <w:t>Cyber lead</w:t>
            </w:r>
          </w:p>
        </w:tc>
        <w:tc>
          <w:tcPr>
            <w:tcW w:w="1934" w:type="dxa"/>
            <w:vAlign w:val="center"/>
          </w:tcPr>
          <w:p w14:paraId="51AAB3B5" w14:textId="77777777" w:rsidR="006C1E91" w:rsidRDefault="00000000">
            <w:pPr>
              <w:spacing w:after="0" w:line="240" w:lineRule="auto"/>
            </w:pPr>
            <w:r>
              <w:rPr>
                <w:sz w:val="15"/>
              </w:rPr>
              <w:t>Privacy-by-design; access control; independent security testing</w:t>
            </w:r>
          </w:p>
        </w:tc>
      </w:tr>
      <w:tr w:rsidR="006C1E91" w14:paraId="76728076" w14:textId="77777777">
        <w:trPr>
          <w:jc w:val="center"/>
        </w:trPr>
        <w:tc>
          <w:tcPr>
            <w:tcW w:w="1934" w:type="dxa"/>
            <w:vAlign w:val="center"/>
          </w:tcPr>
          <w:p w14:paraId="1CAC77C9" w14:textId="77777777" w:rsidR="006C1E91" w:rsidRDefault="00000000">
            <w:pPr>
              <w:spacing w:after="0" w:line="240" w:lineRule="auto"/>
            </w:pPr>
            <w:r>
              <w:rPr>
                <w:sz w:val="15"/>
              </w:rPr>
              <w:t>R2</w:t>
            </w:r>
          </w:p>
        </w:tc>
        <w:tc>
          <w:tcPr>
            <w:tcW w:w="1934" w:type="dxa"/>
            <w:vAlign w:val="center"/>
          </w:tcPr>
          <w:p w14:paraId="1F7C203B" w14:textId="77777777" w:rsidR="006C1E91" w:rsidRDefault="00000000">
            <w:pPr>
              <w:spacing w:after="0" w:line="240" w:lineRule="auto"/>
            </w:pPr>
            <w:r>
              <w:rPr>
                <w:sz w:val="15"/>
              </w:rPr>
              <w:t>Integration failure</w:t>
            </w:r>
          </w:p>
        </w:tc>
        <w:tc>
          <w:tcPr>
            <w:tcW w:w="1934" w:type="dxa"/>
            <w:vAlign w:val="center"/>
          </w:tcPr>
          <w:p w14:paraId="77ED3279" w14:textId="77777777" w:rsidR="006C1E91" w:rsidRDefault="00000000">
            <w:pPr>
              <w:spacing w:after="0" w:line="240" w:lineRule="auto"/>
            </w:pPr>
            <w:r>
              <w:rPr>
                <w:sz w:val="15"/>
              </w:rPr>
              <w:t>4</w:t>
            </w:r>
          </w:p>
        </w:tc>
        <w:tc>
          <w:tcPr>
            <w:tcW w:w="1934" w:type="dxa"/>
            <w:vAlign w:val="center"/>
          </w:tcPr>
          <w:p w14:paraId="61B65141" w14:textId="77777777" w:rsidR="006C1E91" w:rsidRDefault="00000000">
            <w:pPr>
              <w:spacing w:after="0" w:line="240" w:lineRule="auto"/>
            </w:pPr>
            <w:r>
              <w:rPr>
                <w:sz w:val="15"/>
              </w:rPr>
              <w:t>4</w:t>
            </w:r>
          </w:p>
        </w:tc>
        <w:tc>
          <w:tcPr>
            <w:tcW w:w="1934" w:type="dxa"/>
            <w:vAlign w:val="center"/>
          </w:tcPr>
          <w:p w14:paraId="2A5809D9" w14:textId="77777777" w:rsidR="006C1E91" w:rsidRDefault="00000000">
            <w:pPr>
              <w:spacing w:after="0" w:line="240" w:lineRule="auto"/>
            </w:pPr>
            <w:r>
              <w:rPr>
                <w:sz w:val="15"/>
              </w:rPr>
              <w:t>16</w:t>
            </w:r>
          </w:p>
        </w:tc>
        <w:tc>
          <w:tcPr>
            <w:tcW w:w="1934" w:type="dxa"/>
            <w:vAlign w:val="center"/>
          </w:tcPr>
          <w:p w14:paraId="0E7E9E81" w14:textId="77777777" w:rsidR="006C1E91" w:rsidRDefault="00000000">
            <w:pPr>
              <w:spacing w:after="0" w:line="240" w:lineRule="auto"/>
            </w:pPr>
            <w:r>
              <w:rPr>
                <w:sz w:val="15"/>
              </w:rPr>
              <w:t>Integration lead</w:t>
            </w:r>
          </w:p>
        </w:tc>
        <w:tc>
          <w:tcPr>
            <w:tcW w:w="1934" w:type="dxa"/>
            <w:vAlign w:val="center"/>
          </w:tcPr>
          <w:p w14:paraId="2A937815" w14:textId="77777777" w:rsidR="006C1E91" w:rsidRDefault="00000000">
            <w:pPr>
              <w:spacing w:after="0" w:line="240" w:lineRule="auto"/>
            </w:pPr>
            <w:r>
              <w:rPr>
                <w:sz w:val="15"/>
              </w:rPr>
              <w:t>Open standards; interface proofs; staged integration</w:t>
            </w:r>
          </w:p>
        </w:tc>
      </w:tr>
      <w:tr w:rsidR="006C1E91" w14:paraId="104E731E" w14:textId="77777777">
        <w:trPr>
          <w:jc w:val="center"/>
        </w:trPr>
        <w:tc>
          <w:tcPr>
            <w:tcW w:w="1934" w:type="dxa"/>
            <w:vAlign w:val="center"/>
          </w:tcPr>
          <w:p w14:paraId="21B72FF9" w14:textId="77777777" w:rsidR="006C1E91" w:rsidRDefault="00000000">
            <w:pPr>
              <w:spacing w:after="0" w:line="240" w:lineRule="auto"/>
            </w:pPr>
            <w:r>
              <w:rPr>
                <w:sz w:val="15"/>
              </w:rPr>
              <w:t>R3</w:t>
            </w:r>
          </w:p>
        </w:tc>
        <w:tc>
          <w:tcPr>
            <w:tcW w:w="1934" w:type="dxa"/>
            <w:vAlign w:val="center"/>
          </w:tcPr>
          <w:p w14:paraId="0BB815BD" w14:textId="77777777" w:rsidR="006C1E91" w:rsidRDefault="00000000">
            <w:pPr>
              <w:spacing w:after="0" w:line="240" w:lineRule="auto"/>
            </w:pPr>
            <w:r>
              <w:rPr>
                <w:sz w:val="15"/>
              </w:rPr>
              <w:t>Operator resistance</w:t>
            </w:r>
          </w:p>
        </w:tc>
        <w:tc>
          <w:tcPr>
            <w:tcW w:w="1934" w:type="dxa"/>
            <w:vAlign w:val="center"/>
          </w:tcPr>
          <w:p w14:paraId="3026A291" w14:textId="77777777" w:rsidR="006C1E91" w:rsidRDefault="00000000">
            <w:pPr>
              <w:spacing w:after="0" w:line="240" w:lineRule="auto"/>
            </w:pPr>
            <w:r>
              <w:rPr>
                <w:sz w:val="15"/>
              </w:rPr>
              <w:t>3</w:t>
            </w:r>
          </w:p>
        </w:tc>
        <w:tc>
          <w:tcPr>
            <w:tcW w:w="1934" w:type="dxa"/>
            <w:vAlign w:val="center"/>
          </w:tcPr>
          <w:p w14:paraId="55376346" w14:textId="77777777" w:rsidR="006C1E91" w:rsidRDefault="00000000">
            <w:pPr>
              <w:spacing w:after="0" w:line="240" w:lineRule="auto"/>
            </w:pPr>
            <w:r>
              <w:rPr>
                <w:sz w:val="15"/>
              </w:rPr>
              <w:t>4</w:t>
            </w:r>
          </w:p>
        </w:tc>
        <w:tc>
          <w:tcPr>
            <w:tcW w:w="1934" w:type="dxa"/>
            <w:vAlign w:val="center"/>
          </w:tcPr>
          <w:p w14:paraId="48E86306" w14:textId="77777777" w:rsidR="006C1E91" w:rsidRDefault="00000000">
            <w:pPr>
              <w:spacing w:after="0" w:line="240" w:lineRule="auto"/>
            </w:pPr>
            <w:r>
              <w:rPr>
                <w:sz w:val="15"/>
              </w:rPr>
              <w:t>12</w:t>
            </w:r>
          </w:p>
        </w:tc>
        <w:tc>
          <w:tcPr>
            <w:tcW w:w="1934" w:type="dxa"/>
            <w:vAlign w:val="center"/>
          </w:tcPr>
          <w:p w14:paraId="162BBAEB" w14:textId="77777777" w:rsidR="006C1E91" w:rsidRDefault="00000000">
            <w:pPr>
              <w:spacing w:after="0" w:line="240" w:lineRule="auto"/>
            </w:pPr>
            <w:r>
              <w:rPr>
                <w:sz w:val="15"/>
              </w:rPr>
              <w:t>PM / Ops lead</w:t>
            </w:r>
          </w:p>
        </w:tc>
        <w:tc>
          <w:tcPr>
            <w:tcW w:w="1934" w:type="dxa"/>
            <w:vAlign w:val="center"/>
          </w:tcPr>
          <w:p w14:paraId="26AE85C4" w14:textId="77777777" w:rsidR="006C1E91" w:rsidRDefault="00000000">
            <w:pPr>
              <w:spacing w:after="0" w:line="240" w:lineRule="auto"/>
            </w:pPr>
            <w:r>
              <w:rPr>
                <w:sz w:val="15"/>
              </w:rPr>
              <w:t>Co-design; pilot involvement; change support</w:t>
            </w:r>
          </w:p>
        </w:tc>
      </w:tr>
      <w:tr w:rsidR="006C1E91" w14:paraId="27B12F35" w14:textId="77777777">
        <w:trPr>
          <w:jc w:val="center"/>
        </w:trPr>
        <w:tc>
          <w:tcPr>
            <w:tcW w:w="1934" w:type="dxa"/>
            <w:vAlign w:val="center"/>
          </w:tcPr>
          <w:p w14:paraId="2CA3013E" w14:textId="77777777" w:rsidR="006C1E91" w:rsidRDefault="00000000">
            <w:pPr>
              <w:spacing w:after="0" w:line="240" w:lineRule="auto"/>
            </w:pPr>
            <w:r>
              <w:rPr>
                <w:sz w:val="15"/>
              </w:rPr>
              <w:t>R4</w:t>
            </w:r>
          </w:p>
        </w:tc>
        <w:tc>
          <w:tcPr>
            <w:tcW w:w="1934" w:type="dxa"/>
            <w:vAlign w:val="center"/>
          </w:tcPr>
          <w:p w14:paraId="04737BF9" w14:textId="77777777" w:rsidR="006C1E91" w:rsidRDefault="00000000">
            <w:pPr>
              <w:spacing w:after="0" w:line="240" w:lineRule="auto"/>
            </w:pPr>
            <w:r>
              <w:rPr>
                <w:sz w:val="15"/>
              </w:rPr>
              <w:t>Procurement / cost delay</w:t>
            </w:r>
          </w:p>
        </w:tc>
        <w:tc>
          <w:tcPr>
            <w:tcW w:w="1934" w:type="dxa"/>
            <w:vAlign w:val="center"/>
          </w:tcPr>
          <w:p w14:paraId="5D67A7C4" w14:textId="77777777" w:rsidR="006C1E91" w:rsidRDefault="00000000">
            <w:pPr>
              <w:spacing w:after="0" w:line="240" w:lineRule="auto"/>
            </w:pPr>
            <w:r>
              <w:rPr>
                <w:sz w:val="15"/>
              </w:rPr>
              <w:t>4</w:t>
            </w:r>
          </w:p>
        </w:tc>
        <w:tc>
          <w:tcPr>
            <w:tcW w:w="1934" w:type="dxa"/>
            <w:vAlign w:val="center"/>
          </w:tcPr>
          <w:p w14:paraId="6C9BFFC3" w14:textId="77777777" w:rsidR="006C1E91" w:rsidRDefault="00000000">
            <w:pPr>
              <w:spacing w:after="0" w:line="240" w:lineRule="auto"/>
            </w:pPr>
            <w:r>
              <w:rPr>
                <w:sz w:val="15"/>
              </w:rPr>
              <w:t>4</w:t>
            </w:r>
          </w:p>
        </w:tc>
        <w:tc>
          <w:tcPr>
            <w:tcW w:w="1934" w:type="dxa"/>
            <w:vAlign w:val="center"/>
          </w:tcPr>
          <w:p w14:paraId="37AFDBD1" w14:textId="77777777" w:rsidR="006C1E91" w:rsidRDefault="00000000">
            <w:pPr>
              <w:spacing w:after="0" w:line="240" w:lineRule="auto"/>
            </w:pPr>
            <w:r>
              <w:rPr>
                <w:sz w:val="15"/>
              </w:rPr>
              <w:t>16</w:t>
            </w:r>
          </w:p>
        </w:tc>
        <w:tc>
          <w:tcPr>
            <w:tcW w:w="1934" w:type="dxa"/>
            <w:vAlign w:val="center"/>
          </w:tcPr>
          <w:p w14:paraId="7090C40E" w14:textId="77777777" w:rsidR="006C1E91" w:rsidRDefault="00000000">
            <w:pPr>
              <w:spacing w:after="0" w:line="240" w:lineRule="auto"/>
            </w:pPr>
            <w:r>
              <w:rPr>
                <w:sz w:val="15"/>
              </w:rPr>
              <w:t>PM / Commercial lead</w:t>
            </w:r>
          </w:p>
        </w:tc>
        <w:tc>
          <w:tcPr>
            <w:tcW w:w="1934" w:type="dxa"/>
            <w:vAlign w:val="center"/>
          </w:tcPr>
          <w:p w14:paraId="7CBE32D6" w14:textId="77777777" w:rsidR="006C1E91" w:rsidRDefault="00000000">
            <w:pPr>
              <w:spacing w:after="0" w:line="240" w:lineRule="auto"/>
            </w:pPr>
            <w:r>
              <w:rPr>
                <w:sz w:val="15"/>
              </w:rPr>
              <w:t>Early market engagement; staged procurement; contingency</w:t>
            </w:r>
          </w:p>
        </w:tc>
      </w:tr>
      <w:tr w:rsidR="006C1E91" w14:paraId="3196BAEA" w14:textId="77777777">
        <w:trPr>
          <w:jc w:val="center"/>
        </w:trPr>
        <w:tc>
          <w:tcPr>
            <w:tcW w:w="1934" w:type="dxa"/>
            <w:vAlign w:val="center"/>
          </w:tcPr>
          <w:p w14:paraId="536CDAA5" w14:textId="77777777" w:rsidR="006C1E91" w:rsidRDefault="00000000">
            <w:pPr>
              <w:spacing w:after="0" w:line="240" w:lineRule="auto"/>
            </w:pPr>
            <w:r>
              <w:rPr>
                <w:sz w:val="15"/>
              </w:rPr>
              <w:t>R5</w:t>
            </w:r>
          </w:p>
        </w:tc>
        <w:tc>
          <w:tcPr>
            <w:tcW w:w="1934" w:type="dxa"/>
            <w:vAlign w:val="center"/>
          </w:tcPr>
          <w:p w14:paraId="120CD658" w14:textId="77777777" w:rsidR="006C1E91" w:rsidRDefault="00000000">
            <w:pPr>
              <w:spacing w:after="0" w:line="240" w:lineRule="auto"/>
            </w:pPr>
            <w:r>
              <w:rPr>
                <w:sz w:val="15"/>
              </w:rPr>
              <w:t>Accessibility gap</w:t>
            </w:r>
          </w:p>
        </w:tc>
        <w:tc>
          <w:tcPr>
            <w:tcW w:w="1934" w:type="dxa"/>
            <w:vAlign w:val="center"/>
          </w:tcPr>
          <w:p w14:paraId="11879EC0" w14:textId="77777777" w:rsidR="006C1E91" w:rsidRDefault="00000000">
            <w:pPr>
              <w:spacing w:after="0" w:line="240" w:lineRule="auto"/>
            </w:pPr>
            <w:r>
              <w:rPr>
                <w:sz w:val="15"/>
              </w:rPr>
              <w:t>3</w:t>
            </w:r>
          </w:p>
        </w:tc>
        <w:tc>
          <w:tcPr>
            <w:tcW w:w="1934" w:type="dxa"/>
            <w:vAlign w:val="center"/>
          </w:tcPr>
          <w:p w14:paraId="1AE1E8BF" w14:textId="77777777" w:rsidR="006C1E91" w:rsidRDefault="00000000">
            <w:pPr>
              <w:spacing w:after="0" w:line="240" w:lineRule="auto"/>
            </w:pPr>
            <w:r>
              <w:rPr>
                <w:sz w:val="15"/>
              </w:rPr>
              <w:t>5</w:t>
            </w:r>
          </w:p>
        </w:tc>
        <w:tc>
          <w:tcPr>
            <w:tcW w:w="1934" w:type="dxa"/>
            <w:vAlign w:val="center"/>
          </w:tcPr>
          <w:p w14:paraId="67AA9551" w14:textId="77777777" w:rsidR="006C1E91" w:rsidRDefault="00000000">
            <w:pPr>
              <w:spacing w:after="0" w:line="240" w:lineRule="auto"/>
            </w:pPr>
            <w:r>
              <w:rPr>
                <w:sz w:val="15"/>
              </w:rPr>
              <w:t>15</w:t>
            </w:r>
          </w:p>
        </w:tc>
        <w:tc>
          <w:tcPr>
            <w:tcW w:w="1934" w:type="dxa"/>
            <w:vAlign w:val="center"/>
          </w:tcPr>
          <w:p w14:paraId="162F2B88" w14:textId="77777777" w:rsidR="006C1E91" w:rsidRDefault="00000000">
            <w:pPr>
              <w:spacing w:after="0" w:line="240" w:lineRule="auto"/>
            </w:pPr>
            <w:r>
              <w:rPr>
                <w:sz w:val="15"/>
              </w:rPr>
              <w:t>Accessibility lead</w:t>
            </w:r>
          </w:p>
        </w:tc>
        <w:tc>
          <w:tcPr>
            <w:tcW w:w="1934" w:type="dxa"/>
            <w:vAlign w:val="center"/>
          </w:tcPr>
          <w:p w14:paraId="2AA5B17C" w14:textId="77777777" w:rsidR="006C1E91" w:rsidRDefault="00000000">
            <w:pPr>
              <w:spacing w:after="0" w:line="240" w:lineRule="auto"/>
            </w:pPr>
            <w:r>
              <w:rPr>
                <w:sz w:val="15"/>
              </w:rPr>
              <w:t>User testing; independent assurance; acceptance gate</w:t>
            </w:r>
          </w:p>
        </w:tc>
      </w:tr>
      <w:tr w:rsidR="006C1E91" w14:paraId="5E91CAD0" w14:textId="77777777">
        <w:trPr>
          <w:jc w:val="center"/>
        </w:trPr>
        <w:tc>
          <w:tcPr>
            <w:tcW w:w="1934" w:type="dxa"/>
            <w:vAlign w:val="center"/>
          </w:tcPr>
          <w:p w14:paraId="7E8D66D0" w14:textId="77777777" w:rsidR="006C1E91" w:rsidRDefault="00000000">
            <w:pPr>
              <w:spacing w:after="0" w:line="240" w:lineRule="auto"/>
            </w:pPr>
            <w:r>
              <w:rPr>
                <w:sz w:val="15"/>
              </w:rPr>
              <w:t>R6</w:t>
            </w:r>
          </w:p>
        </w:tc>
        <w:tc>
          <w:tcPr>
            <w:tcW w:w="1934" w:type="dxa"/>
            <w:vAlign w:val="center"/>
          </w:tcPr>
          <w:p w14:paraId="11AE4887" w14:textId="77777777" w:rsidR="006C1E91" w:rsidRDefault="00000000">
            <w:pPr>
              <w:spacing w:after="0" w:line="240" w:lineRule="auto"/>
            </w:pPr>
            <w:r>
              <w:rPr>
                <w:sz w:val="15"/>
              </w:rPr>
              <w:t>Installation disruption</w:t>
            </w:r>
          </w:p>
        </w:tc>
        <w:tc>
          <w:tcPr>
            <w:tcW w:w="1934" w:type="dxa"/>
            <w:vAlign w:val="center"/>
          </w:tcPr>
          <w:p w14:paraId="66212C65" w14:textId="77777777" w:rsidR="006C1E91" w:rsidRDefault="00000000">
            <w:pPr>
              <w:spacing w:after="0" w:line="240" w:lineRule="auto"/>
            </w:pPr>
            <w:r>
              <w:rPr>
                <w:sz w:val="15"/>
              </w:rPr>
              <w:t>3</w:t>
            </w:r>
          </w:p>
        </w:tc>
        <w:tc>
          <w:tcPr>
            <w:tcW w:w="1934" w:type="dxa"/>
            <w:vAlign w:val="center"/>
          </w:tcPr>
          <w:p w14:paraId="21B1183A" w14:textId="77777777" w:rsidR="006C1E91" w:rsidRDefault="00000000">
            <w:pPr>
              <w:spacing w:after="0" w:line="240" w:lineRule="auto"/>
            </w:pPr>
            <w:r>
              <w:rPr>
                <w:sz w:val="15"/>
              </w:rPr>
              <w:t>3</w:t>
            </w:r>
          </w:p>
        </w:tc>
        <w:tc>
          <w:tcPr>
            <w:tcW w:w="1934" w:type="dxa"/>
            <w:vAlign w:val="center"/>
          </w:tcPr>
          <w:p w14:paraId="21FB3460" w14:textId="77777777" w:rsidR="006C1E91" w:rsidRDefault="00000000">
            <w:pPr>
              <w:spacing w:after="0" w:line="240" w:lineRule="auto"/>
            </w:pPr>
            <w:r>
              <w:rPr>
                <w:sz w:val="15"/>
              </w:rPr>
              <w:t>9</w:t>
            </w:r>
          </w:p>
        </w:tc>
        <w:tc>
          <w:tcPr>
            <w:tcW w:w="1934" w:type="dxa"/>
            <w:vAlign w:val="center"/>
          </w:tcPr>
          <w:p w14:paraId="3D150F68" w14:textId="77777777" w:rsidR="006C1E91" w:rsidRDefault="00000000">
            <w:pPr>
              <w:spacing w:after="0" w:line="240" w:lineRule="auto"/>
            </w:pPr>
            <w:r>
              <w:rPr>
                <w:sz w:val="15"/>
              </w:rPr>
              <w:t>Deployment lead</w:t>
            </w:r>
          </w:p>
        </w:tc>
        <w:tc>
          <w:tcPr>
            <w:tcW w:w="1934" w:type="dxa"/>
            <w:vAlign w:val="center"/>
          </w:tcPr>
          <w:p w14:paraId="6BFCDC06" w14:textId="77777777" w:rsidR="006C1E91" w:rsidRDefault="00000000">
            <w:pPr>
              <w:spacing w:after="0" w:line="240" w:lineRule="auto"/>
            </w:pPr>
            <w:r>
              <w:rPr>
                <w:sz w:val="15"/>
              </w:rPr>
              <w:t>Off-peak installation; phased deployment; fallback plan</w:t>
            </w:r>
          </w:p>
        </w:tc>
      </w:tr>
    </w:tbl>
    <w:p w14:paraId="1A1E7857" w14:textId="77777777" w:rsidR="006C1E91" w:rsidRDefault="00000000">
      <w:pPr>
        <w:jc w:val="center"/>
      </w:pPr>
      <w:r>
        <w:rPr>
          <w:sz w:val="18"/>
        </w:rPr>
        <w:t>L = likelihood (1–5); I = impact (1–5). Scores are preliminary and subject to stakeholder validation during initiation.</w:t>
      </w:r>
    </w:p>
    <w:p w14:paraId="23F43EF1" w14:textId="77777777" w:rsidR="003F4093" w:rsidRDefault="003F4093">
      <w:pPr>
        <w:pStyle w:val="Heading2"/>
      </w:pPr>
    </w:p>
    <w:p w14:paraId="1DFB4EDD" w14:textId="37BB3530" w:rsidR="006C1E91" w:rsidRDefault="00000000">
      <w:pPr>
        <w:pStyle w:val="Heading2"/>
      </w:pPr>
      <w:r>
        <w:t>10. Conclusion</w:t>
      </w:r>
    </w:p>
    <w:p w14:paraId="4D0D4309" w14:textId="77777777" w:rsidR="006C1E91" w:rsidRDefault="00000000">
      <w:pPr>
        <w:jc w:val="both"/>
      </w:pPr>
      <w:r>
        <w:t>MetroFlow should proceed as a gated, pilot-led digital project within the wider transport-hub regeneration programme. The project has a clear purpose: provide a shared information and coordination platform that supports passengers, freight users and operators while improving the predictability of movement through the hub. The plan controls scope through a minimum viable platform, decomposes delivery through the WBS, sequences work through a reforecastable Gantt schedule, connects stakeholder needs to measurable value through the Quad Chart, clarifies accountability through RACI and allocates specialist resources according to lifecycle need.</w:t>
      </w:r>
    </w:p>
    <w:p w14:paraId="511F4C2E" w14:textId="7E0445D9" w:rsidR="006C1E91" w:rsidRDefault="00000000" w:rsidP="003F4093">
      <w:pPr>
        <w:jc w:val="both"/>
      </w:pPr>
      <w:r>
        <w:t xml:space="preserve">The central management judgement is that speed must not displace assurance. The 24-month target remains important, but safety, accessibility, cybersecurity and operational acceptance are protected as quality gates. Success is therefore defined not only by completing the project on time, but by achieving measurable improvements in crowding, freight dwell time, information availability and stakeholder confidence. The combination of structured control, active stakeholder involvement and continuous risk review provides the strongest basis for delivering </w:t>
      </w:r>
      <w:proofErr w:type="spellStart"/>
      <w:r>
        <w:t>MetroFlow</w:t>
      </w:r>
      <w:proofErr w:type="spellEnd"/>
      <w:r>
        <w:t xml:space="preserve"> successfully</w:t>
      </w:r>
      <w:r w:rsidR="003F4093">
        <w:t>.</w:t>
      </w:r>
    </w:p>
    <w:p w14:paraId="61A37436" w14:textId="04F89B49" w:rsidR="006C1E91" w:rsidRDefault="00000000" w:rsidP="003F4093">
      <w:r>
        <w:br w:type="page"/>
      </w:r>
      <w:r>
        <w:lastRenderedPageBreak/>
        <w:t>References</w:t>
      </w:r>
    </w:p>
    <w:p w14:paraId="56AE1A7A" w14:textId="08C1D329" w:rsidR="006C1E91" w:rsidRDefault="00000000">
      <w:pPr>
        <w:spacing w:after="80" w:line="276" w:lineRule="auto"/>
        <w:ind w:left="360" w:hanging="360"/>
      </w:pPr>
      <w:r>
        <w:t>Association for Project Management (APM) (2019) APM Body of Knowledge. 7th edn. Princes Risborough: Association for Project</w:t>
      </w:r>
      <w:r w:rsidR="003F4093">
        <w:t xml:space="preserve"> </w:t>
      </w:r>
      <w:r>
        <w:t>Management.</w:t>
      </w:r>
    </w:p>
    <w:p w14:paraId="703A9282" w14:textId="77777777" w:rsidR="006C1E91" w:rsidRDefault="00000000">
      <w:pPr>
        <w:spacing w:after="80" w:line="276" w:lineRule="auto"/>
        <w:ind w:left="360" w:hanging="360"/>
      </w:pPr>
      <w:r>
        <w:t>Atkinson, R. (1999) 'Project management: cost, time and quality, two best guesses and a phenomenon, its time to accept other success criteria', International Journal of Project Management, 17(6), pp. 337–342.</w:t>
      </w:r>
    </w:p>
    <w:p w14:paraId="12137D6A" w14:textId="77777777" w:rsidR="006C1E91" w:rsidRDefault="00000000">
      <w:pPr>
        <w:spacing w:after="80" w:line="276" w:lineRule="auto"/>
        <w:ind w:left="360" w:hanging="360"/>
      </w:pPr>
      <w:r>
        <w:t>Bryson, J.M. (2004) 'What to do when stakeholders matter: stakeholder identification and analysis techniques', Public Management Review, 6(1), pp. 21–53.</w:t>
      </w:r>
    </w:p>
    <w:p w14:paraId="10BF0C79" w14:textId="77777777" w:rsidR="006C1E91" w:rsidRDefault="00000000">
      <w:pPr>
        <w:spacing w:after="80" w:line="276" w:lineRule="auto"/>
        <w:ind w:left="360" w:hanging="360"/>
      </w:pPr>
      <w:r>
        <w:t>Department for Transport (2022) Inclusive Mobility. London: Department for Transport.</w:t>
      </w:r>
    </w:p>
    <w:p w14:paraId="0C4E43F2" w14:textId="77777777" w:rsidR="006C1E91" w:rsidRDefault="00000000">
      <w:pPr>
        <w:spacing w:after="80" w:line="276" w:lineRule="auto"/>
        <w:ind w:left="360" w:hanging="360"/>
      </w:pPr>
      <w:r>
        <w:t>Freeman, R.E. (1984) Strategic Management: A Stakeholder Approach. Boston: Pitman.</w:t>
      </w:r>
    </w:p>
    <w:p w14:paraId="3191410E" w14:textId="77777777" w:rsidR="006C1E91" w:rsidRDefault="00000000">
      <w:pPr>
        <w:spacing w:after="80" w:line="276" w:lineRule="auto"/>
        <w:ind w:left="360" w:hanging="360"/>
      </w:pPr>
      <w:r>
        <w:t>Geurs, K.T. and van Wee, B. (2004) 'Accessibility evaluation of land-use and transport strategies: review and research directions', Journal of Transport Geography, 12(2), pp. 127–140.</w:t>
      </w:r>
    </w:p>
    <w:p w14:paraId="2C797B06" w14:textId="77777777" w:rsidR="006C1E91" w:rsidRDefault="00000000">
      <w:pPr>
        <w:spacing w:after="80" w:line="276" w:lineRule="auto"/>
        <w:ind w:left="360" w:hanging="360"/>
      </w:pPr>
      <w:r>
        <w:t>Gibbs, G. (1988) Learning by Doing: A Guide to Teaching and Learning Methods. Oxford: Further Education Unit, Oxford Polytechnic.</w:t>
      </w:r>
    </w:p>
    <w:p w14:paraId="4B714CDA" w14:textId="77777777" w:rsidR="006C1E91" w:rsidRDefault="00000000">
      <w:pPr>
        <w:spacing w:after="80" w:line="276" w:lineRule="auto"/>
        <w:ind w:left="360" w:hanging="360"/>
      </w:pPr>
      <w:r>
        <w:t>Heagney, J. (2016) Fundamentals of Project Management. 5th edn. New York: AMACOM.</w:t>
      </w:r>
    </w:p>
    <w:p w14:paraId="549E1F76" w14:textId="77777777" w:rsidR="006C1E91" w:rsidRDefault="00000000">
      <w:pPr>
        <w:spacing w:after="80" w:line="276" w:lineRule="auto"/>
        <w:ind w:left="360" w:hanging="360"/>
      </w:pPr>
      <w:r>
        <w:t>Hofstede, G. and Hofstede, G.J. (2005) Cultures and Organizations: Software of the Mind. 2nd edn. New York: McGraw-Hill.</w:t>
      </w:r>
    </w:p>
    <w:p w14:paraId="5129CAA8" w14:textId="77777777" w:rsidR="006C1E91" w:rsidRDefault="00000000">
      <w:pPr>
        <w:spacing w:after="80" w:line="276" w:lineRule="auto"/>
        <w:ind w:left="360" w:hanging="360"/>
      </w:pPr>
      <w:r>
        <w:t>Lyons, G. (2018) 'Getting smart about urban mobility: aligning the paradigms of smart and sustainable', Transportation Research Part A: Policy and Practice, 115, pp. 4–14.</w:t>
      </w:r>
    </w:p>
    <w:p w14:paraId="4B50723C" w14:textId="77777777" w:rsidR="006C1E91" w:rsidRDefault="00000000">
      <w:pPr>
        <w:spacing w:after="80" w:line="276" w:lineRule="auto"/>
        <w:ind w:left="360" w:hanging="360"/>
      </w:pPr>
      <w:r>
        <w:t>Maylor, H. (2010) Project Management. 4th edn. Harlow: Pearson.</w:t>
      </w:r>
    </w:p>
    <w:p w14:paraId="683B5484" w14:textId="77777777" w:rsidR="006C1E91" w:rsidRDefault="00000000">
      <w:pPr>
        <w:spacing w:after="80" w:line="276" w:lineRule="auto"/>
        <w:ind w:left="360" w:hanging="360"/>
      </w:pPr>
      <w:r>
        <w:t>Project Management Institute (PMI) (2021) A Guide to the Project Management Body of Knowledge (PMBOK Guide). 7th edn. Newtown Square, PA: Project Management Institute.</w:t>
      </w:r>
    </w:p>
    <w:p w14:paraId="47263B4C" w14:textId="77777777" w:rsidR="006C1E91" w:rsidRDefault="00000000">
      <w:pPr>
        <w:spacing w:after="80" w:line="276" w:lineRule="auto"/>
        <w:ind w:left="360" w:hanging="360"/>
      </w:pPr>
      <w:r>
        <w:t>Roberts, P. (2011) Effective Project Management. London: Kogan Page.</w:t>
      </w:r>
    </w:p>
    <w:p w14:paraId="20BDA94E" w14:textId="77777777" w:rsidR="006C1E91" w:rsidRDefault="00000000">
      <w:pPr>
        <w:spacing w:after="80" w:line="276" w:lineRule="auto"/>
        <w:ind w:left="360" w:hanging="360"/>
      </w:pPr>
      <w:r>
        <w:t>Shenhar, A.J., Dvir, D., Levy, O. and Maltz, A.C. (2001) 'Project success: a multidimensional strategic concept', Long Range Planning, 34(6), pp. 699–725.</w:t>
      </w:r>
    </w:p>
    <w:p w14:paraId="2714CEE2" w14:textId="77777777" w:rsidR="006C1E91" w:rsidRDefault="00000000">
      <w:pPr>
        <w:spacing w:after="80" w:line="276" w:lineRule="auto"/>
        <w:ind w:left="360" w:hanging="360"/>
      </w:pPr>
      <w:r>
        <w:t>Ward, S. and Chapman, C. (2003) 'Transforming project risk management into project uncertainty management', International Journal of Project Management, 21(2), pp. 97–105.</w:t>
      </w:r>
    </w:p>
    <w:sectPr w:rsidR="006C1E91" w:rsidSect="00034616">
      <w:pgSz w:w="15840" w:h="12240"/>
      <w:pgMar w:top="1080" w:right="1152" w:bottom="1080" w:left="1152"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E26206E" w14:textId="77777777" w:rsidR="00624BEE" w:rsidRDefault="00624BEE">
      <w:pPr>
        <w:spacing w:after="0" w:line="240" w:lineRule="auto"/>
      </w:pPr>
      <w:r>
        <w:separator/>
      </w:r>
    </w:p>
  </w:endnote>
  <w:endnote w:type="continuationSeparator" w:id="0">
    <w:p w14:paraId="7F122163" w14:textId="77777777" w:rsidR="00624BEE" w:rsidRDefault="00624B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500052" w14:textId="77777777" w:rsidR="006C1E91" w:rsidRDefault="00000000">
    <w:pPr>
      <w:pStyle w:val="Footer"/>
      <w:jc w:val="center"/>
    </w:pPr>
    <w:r>
      <w:fldChar w:fldCharType="begin"/>
    </w:r>
    <w:r>
      <w:instrText xml:space="preserve"> PAGE </w:instrText>
    </w:r>
    <w:r w:rsidR="003F4093">
      <w:fldChar w:fldCharType="separate"/>
    </w:r>
    <w:r w:rsidR="003F409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EBC63B2" w14:textId="77777777" w:rsidR="00624BEE" w:rsidRDefault="00624BEE">
      <w:pPr>
        <w:spacing w:after="0" w:line="240" w:lineRule="auto"/>
      </w:pPr>
      <w:r>
        <w:separator/>
      </w:r>
    </w:p>
  </w:footnote>
  <w:footnote w:type="continuationSeparator" w:id="0">
    <w:p w14:paraId="0A01B3CE" w14:textId="77777777" w:rsidR="00624BEE" w:rsidRDefault="00624B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03961871">
    <w:abstractNumId w:val="8"/>
  </w:num>
  <w:num w:numId="2" w16cid:durableId="2100442230">
    <w:abstractNumId w:val="6"/>
  </w:num>
  <w:num w:numId="3" w16cid:durableId="832338117">
    <w:abstractNumId w:val="5"/>
  </w:num>
  <w:num w:numId="4" w16cid:durableId="1753239187">
    <w:abstractNumId w:val="4"/>
  </w:num>
  <w:num w:numId="5" w16cid:durableId="1675453337">
    <w:abstractNumId w:val="7"/>
  </w:num>
  <w:num w:numId="6" w16cid:durableId="1813253304">
    <w:abstractNumId w:val="3"/>
  </w:num>
  <w:num w:numId="7" w16cid:durableId="1667396267">
    <w:abstractNumId w:val="2"/>
  </w:num>
  <w:num w:numId="8" w16cid:durableId="1747341273">
    <w:abstractNumId w:val="1"/>
  </w:num>
  <w:num w:numId="9" w16cid:durableId="90857548">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3F4093"/>
    <w:rsid w:val="00624BEE"/>
    <w:rsid w:val="006C1E91"/>
    <w:rsid w:val="008865AE"/>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9E783AB"/>
  <w14:defaultImageDpi w14:val="300"/>
  <w15:docId w15:val="{97132C20-2D25-9648-8ED4-934CC21E4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Calibri" w:eastAsia="Calibri" w:hAnsi="Calibri"/>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7365D" w:themeColor="text2" w:themeShade="BF"/>
      <w:spacing w:val="5"/>
      <w:kern w:val="28"/>
      <w:sz w:val="4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4070</Words>
  <Characters>25521</Characters>
  <Application>Microsoft Office Word</Application>
  <DocSecurity>0</DocSecurity>
  <Lines>472</Lines>
  <Paragraphs>321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29270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MetroFlow LCLM5003 Project Management Portfolio - Working Draft</dc:title>
  <dc:subject>Parts A, B and C</dc:subject>
  <dc:creator>Rafal Boguszewski</dc:creator>
  <cp:keywords/>
  <dc:description>generated by python-docx</dc:description>
  <cp:lastModifiedBy>rafal boguszewski</cp:lastModifiedBy>
  <cp:revision>2</cp:revision>
  <dcterms:created xsi:type="dcterms:W3CDTF">2026-08-15T12:24:00Z</dcterms:created>
  <dcterms:modified xsi:type="dcterms:W3CDTF">2026-08-15T12:24:00Z</dcterms:modified>
  <cp:category/>
</cp:coreProperties>
</file>