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Calibri" w:cs="Calibri" w:eastAsia="Calibri" w:hAnsi="Calibri"/>
          <w:b w:val="1"/>
        </w:rPr>
      </w:pPr>
      <w:r w:rsidDel="00000000" w:rsidR="00000000" w:rsidRPr="00000000">
        <w:rPr>
          <w:rFonts w:ascii="Calibri" w:cs="Calibri" w:eastAsia="Calibri" w:hAnsi="Calibri"/>
          <w:b w:val="1"/>
          <w:u w:val="single"/>
          <w:rtl w:val="0"/>
        </w:rPr>
        <w:t xml:space="preserve">Wittgenstein suggests that ‘the peculiar grammar of the word “I”’ is liable to mislead us into thinking that there is a non-bodily entity, a ‘real I’ that ‘lives in my body’ (The Blue Book, p 66). How does it do this?</w:t>
      </w:r>
      <w:r w:rsidDel="00000000" w:rsidR="00000000" w:rsidRPr="00000000">
        <w:rPr>
          <w:rFonts w:ascii="Calibri" w:cs="Calibri" w:eastAsia="Calibri" w:hAnsi="Calibri"/>
          <w:b w:val="1"/>
          <w:rtl w:val="0"/>
        </w:rPr>
        <w:t xml:space="preserve"> </w:t>
      </w:r>
      <w:r w:rsidDel="00000000" w:rsidR="00000000" w:rsidRPr="00000000">
        <w:rPr>
          <w:rFonts w:ascii="Calibri" w:cs="Calibri" w:eastAsia="Calibri" w:hAnsi="Calibri"/>
          <w:b w:val="1"/>
          <w:rtl w:val="0"/>
        </w:rPr>
        <w:t xml:space="preserve">[2,500]</w:t>
      </w:r>
      <w:r w:rsidDel="00000000" w:rsidR="00000000" w:rsidRPr="00000000">
        <w:rPr>
          <w:rtl w:val="0"/>
        </w:rPr>
      </w:r>
    </w:p>
    <w:p w:rsidR="00000000" w:rsidDel="00000000" w:rsidP="00000000" w:rsidRDefault="00000000" w:rsidRPr="00000000" w14:paraId="00000002">
      <w:pPr>
        <w:rPr>
          <w:rFonts w:ascii="Calibri" w:cs="Calibri" w:eastAsia="Calibri" w:hAnsi="Calibri"/>
        </w:rPr>
      </w:pPr>
      <w:r w:rsidDel="00000000" w:rsidR="00000000" w:rsidRPr="00000000">
        <w:rPr>
          <w:rFonts w:ascii="Calibri" w:cs="Calibri" w:eastAsia="Calibri" w:hAnsi="Calibri"/>
          <w:rtl w:val="0"/>
        </w:rPr>
        <w:t xml:space="preserve">In discussing the self there are a number of different distinctions that must be made, one such distinction being, for example, the more traditional one dating back to Kant</w:t>
      </w:r>
      <w:r w:rsidDel="00000000" w:rsidR="00000000" w:rsidRPr="00000000">
        <w:rPr>
          <w:rFonts w:ascii="Calibri" w:cs="Calibri" w:eastAsia="Calibri" w:hAnsi="Calibri"/>
          <w:vertAlign w:val="superscript"/>
        </w:rPr>
        <w:footnoteReference w:customMarkFollows="0" w:id="0"/>
      </w:r>
      <w:r w:rsidDel="00000000" w:rsidR="00000000" w:rsidRPr="00000000">
        <w:rPr>
          <w:rFonts w:ascii="Calibri" w:cs="Calibri" w:eastAsia="Calibri" w:hAnsi="Calibri"/>
          <w:rtl w:val="0"/>
        </w:rPr>
        <w:t xml:space="preserve"> which concerns the differences between the consciousness of a the self in the capacity of an object and the consciousness of the self in the capacity of the subject; in self consciousness in the capacity of an object, say by being conscious of Budapest, the self is the subject of the thought where the object is Budapest, whereas being conscious of oneself entails being both the subject and object of the thought - while they are the same thing, there is a distinction between thinking oneself as a subject and as an object of thought.</w:t>
      </w:r>
      <w:r w:rsidDel="00000000" w:rsidR="00000000" w:rsidRPr="00000000">
        <w:rPr>
          <w:rFonts w:ascii="Calibri" w:cs="Calibri" w:eastAsia="Calibri" w:hAnsi="Calibri"/>
          <w:vertAlign w:val="superscript"/>
        </w:rPr>
        <w:footnoteReference w:customMarkFollows="0" w:id="1"/>
      </w:r>
      <w:r w:rsidDel="00000000" w:rsidR="00000000" w:rsidRPr="00000000">
        <w:rPr>
          <w:rtl w:val="0"/>
        </w:rPr>
      </w:r>
    </w:p>
    <w:p w:rsidR="00000000" w:rsidDel="00000000" w:rsidP="00000000" w:rsidRDefault="00000000" w:rsidRPr="00000000" w14:paraId="00000003">
      <w:pPr>
        <w:rPr>
          <w:rFonts w:ascii="Calibri" w:cs="Calibri" w:eastAsia="Calibri" w:hAnsi="Calibri"/>
        </w:rPr>
      </w:pPr>
      <w:r w:rsidDel="00000000" w:rsidR="00000000" w:rsidRPr="00000000">
        <w:rPr>
          <w:rtl w:val="0"/>
        </w:rPr>
      </w:r>
    </w:p>
    <w:p w:rsidR="00000000" w:rsidDel="00000000" w:rsidP="00000000" w:rsidRDefault="00000000" w:rsidRPr="00000000" w14:paraId="00000004">
      <w:pPr>
        <w:rPr>
          <w:rFonts w:ascii="Calibri" w:cs="Calibri" w:eastAsia="Calibri" w:hAnsi="Calibri"/>
          <w:color w:val="ff0000"/>
        </w:rPr>
      </w:pPr>
      <w:r w:rsidDel="00000000" w:rsidR="00000000" w:rsidRPr="00000000">
        <w:rPr>
          <w:rFonts w:ascii="Calibri" w:cs="Calibri" w:eastAsia="Calibri" w:hAnsi="Calibri"/>
          <w:rtl w:val="0"/>
        </w:rPr>
        <w:t xml:space="preserve">The philosophical analysis of the self and self consciousness has also tended to focus on the identification of the peculiarities of self consciousness that distinguish it from things other than oneself.</w:t>
      </w:r>
      <w:r w:rsidDel="00000000" w:rsidR="00000000" w:rsidRPr="00000000">
        <w:rPr>
          <w:rFonts w:ascii="Calibri" w:cs="Calibri" w:eastAsia="Calibri" w:hAnsi="Calibri"/>
          <w:vertAlign w:val="superscript"/>
        </w:rPr>
        <w:footnoteReference w:customMarkFollows="0" w:id="2"/>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rtl w:val="0"/>
        </w:rPr>
        <w:t xml:space="preserve">These peculiarities have sometimes included the infallibility or self intimation of self consciousness, where the infallibility of self consciousness may be in the sense that “when we believe that some fact about us obtains, it does”</w:t>
      </w:r>
      <w:r w:rsidDel="00000000" w:rsidR="00000000" w:rsidRPr="00000000">
        <w:rPr>
          <w:rFonts w:ascii="Calibri" w:cs="Calibri" w:eastAsia="Calibri" w:hAnsi="Calibri"/>
          <w:vertAlign w:val="superscript"/>
        </w:rPr>
        <w:footnoteReference w:customMarkFollows="0" w:id="3"/>
      </w:r>
      <w:r w:rsidDel="00000000" w:rsidR="00000000" w:rsidRPr="00000000">
        <w:rPr>
          <w:rFonts w:ascii="Calibri" w:cs="Calibri" w:eastAsia="Calibri" w:hAnsi="Calibri"/>
          <w:rtl w:val="0"/>
        </w:rPr>
        <w:t xml:space="preserve">, and where the self intimation of consciousness is “if a certain fact about us obtains, we are necessarily going to be conscious that it does”</w:t>
      </w:r>
      <w:r w:rsidDel="00000000" w:rsidR="00000000" w:rsidRPr="00000000">
        <w:rPr>
          <w:rFonts w:ascii="Calibri" w:cs="Calibri" w:eastAsia="Calibri" w:hAnsi="Calibri"/>
          <w:vertAlign w:val="superscript"/>
        </w:rPr>
        <w:footnoteReference w:customMarkFollows="0" w:id="4"/>
      </w:r>
      <w:r w:rsidDel="00000000" w:rsidR="00000000" w:rsidRPr="00000000">
        <w:rPr>
          <w:rFonts w:ascii="Calibri" w:cs="Calibri" w:eastAsia="Calibri" w:hAnsi="Calibri"/>
          <w:rtl w:val="0"/>
        </w:rPr>
        <w:t xml:space="preserve">, though it depends on the kinds of facts that are obtained - for example “I do not have a spot on my nose”. Another peculiarity, and one which Wittgenstein discusses in his Blue Book, is that of language, from which comes the possibility for error or a misidentification of self or a person</w:t>
      </w:r>
      <w:r w:rsidDel="00000000" w:rsidR="00000000" w:rsidRPr="00000000">
        <w:rPr>
          <w:rFonts w:ascii="Calibri" w:cs="Calibri" w:eastAsia="Calibri" w:hAnsi="Calibri"/>
          <w:vertAlign w:val="superscript"/>
        </w:rPr>
        <w:footnoteReference w:customMarkFollows="0" w:id="5"/>
      </w:r>
      <w:r w:rsidDel="00000000" w:rsidR="00000000" w:rsidRPr="00000000">
        <w:rPr>
          <w:rFonts w:ascii="Calibri" w:cs="Calibri" w:eastAsia="Calibri" w:hAnsi="Calibri"/>
          <w:rtl w:val="0"/>
        </w:rPr>
        <w:t xml:space="preserve">.</w:t>
      </w:r>
      <w:r w:rsidDel="00000000" w:rsidR="00000000" w:rsidRPr="00000000">
        <w:rPr>
          <w:rtl w:val="0"/>
        </w:rPr>
      </w:r>
    </w:p>
    <w:p w:rsidR="00000000" w:rsidDel="00000000" w:rsidP="00000000" w:rsidRDefault="00000000" w:rsidRPr="00000000" w14:paraId="00000005">
      <w:pPr>
        <w:rPr>
          <w:rFonts w:ascii="Calibri" w:cs="Calibri" w:eastAsia="Calibri" w:hAnsi="Calibri"/>
        </w:rPr>
      </w:pPr>
      <w:r w:rsidDel="00000000" w:rsidR="00000000" w:rsidRPr="00000000">
        <w:rPr>
          <w:rtl w:val="0"/>
        </w:rPr>
      </w:r>
    </w:p>
    <w:p w:rsidR="00000000" w:rsidDel="00000000" w:rsidP="00000000" w:rsidRDefault="00000000" w:rsidRPr="00000000" w14:paraId="00000006">
      <w:pPr>
        <w:rPr>
          <w:rFonts w:ascii="Calibri" w:cs="Calibri" w:eastAsia="Calibri" w:hAnsi="Calibri"/>
          <w:color w:val="ff0000"/>
        </w:rPr>
      </w:pPr>
      <w:bookmarkStart w:colFirst="0" w:colLast="0" w:name="_gjdgxs" w:id="0"/>
      <w:bookmarkEnd w:id="0"/>
      <w:r w:rsidDel="00000000" w:rsidR="00000000" w:rsidRPr="00000000">
        <w:rPr>
          <w:rFonts w:ascii="Calibri" w:cs="Calibri" w:eastAsia="Calibri" w:hAnsi="Calibri"/>
          <w:rtl w:val="0"/>
        </w:rPr>
        <w:t xml:space="preserve">Through this distinction between the consciousness of the self in the capacity of an object and the consciousness of the self in the capacity of the subject, such as the difference between being conscious of Budapest and being conscious of oneself, and the grammar of the word ‘I’ discussed by Wittgenstein, thus arises the idea of a non bodily entity that nevertheless exists within a person's body.</w:t>
      </w:r>
      <w:r w:rsidDel="00000000" w:rsidR="00000000" w:rsidRPr="00000000">
        <w:rPr>
          <w:rtl w:val="0"/>
        </w:rPr>
      </w:r>
    </w:p>
    <w:p w:rsidR="00000000" w:rsidDel="00000000" w:rsidP="00000000" w:rsidRDefault="00000000" w:rsidRPr="00000000" w14:paraId="00000007">
      <w:pPr>
        <w:rPr>
          <w:rFonts w:ascii="Calibri" w:cs="Calibri" w:eastAsia="Calibri" w:hAnsi="Calibri"/>
        </w:rPr>
      </w:pPr>
      <w:r w:rsidDel="00000000" w:rsidR="00000000" w:rsidRPr="00000000">
        <w:rPr>
          <w:rtl w:val="0"/>
        </w:rPr>
      </w:r>
    </w:p>
    <w:p w:rsidR="00000000" w:rsidDel="00000000" w:rsidP="00000000" w:rsidRDefault="00000000" w:rsidRPr="00000000" w14:paraId="00000008">
      <w:pPr>
        <w:rPr>
          <w:rFonts w:ascii="Calibri" w:cs="Calibri" w:eastAsia="Calibri" w:hAnsi="Calibri"/>
          <w:color w:val="ff0000"/>
        </w:rPr>
      </w:pPr>
      <w:r w:rsidDel="00000000" w:rsidR="00000000" w:rsidRPr="00000000">
        <w:rPr>
          <w:rFonts w:ascii="Calibri" w:cs="Calibri" w:eastAsia="Calibri" w:hAnsi="Calibri"/>
          <w:rtl w:val="0"/>
        </w:rPr>
        <w:t xml:space="preserve">The idea of the non bodily self has been an enduring idea throughout philosophy - Descartes himself was a proponent of the idea of the non-bodily self, saying that he was a “substance whose whole essence or nature is simply to think,”</w:t>
      </w:r>
      <w:r w:rsidDel="00000000" w:rsidR="00000000" w:rsidRPr="00000000">
        <w:rPr>
          <w:rFonts w:ascii="Calibri" w:cs="Calibri" w:eastAsia="Calibri" w:hAnsi="Calibri"/>
          <w:vertAlign w:val="superscript"/>
        </w:rPr>
        <w:footnoteReference w:customMarkFollows="0" w:id="6"/>
      </w:r>
      <w:r w:rsidDel="00000000" w:rsidR="00000000" w:rsidRPr="00000000">
        <w:rPr>
          <w:rFonts w:ascii="Calibri" w:cs="Calibri" w:eastAsia="Calibri" w:hAnsi="Calibri"/>
          <w:rtl w:val="0"/>
        </w:rPr>
        <w:t xml:space="preserve"> and that this substance “does not require any place, or depend on any material thing”</w:t>
      </w:r>
      <w:r w:rsidDel="00000000" w:rsidR="00000000" w:rsidRPr="00000000">
        <w:rPr>
          <w:rFonts w:ascii="Calibri" w:cs="Calibri" w:eastAsia="Calibri" w:hAnsi="Calibri"/>
          <w:vertAlign w:val="superscript"/>
        </w:rPr>
        <w:footnoteReference w:customMarkFollows="0" w:id="7"/>
      </w:r>
      <w:r w:rsidDel="00000000" w:rsidR="00000000" w:rsidRPr="00000000">
        <w:rPr>
          <w:rFonts w:ascii="Calibri" w:cs="Calibri" w:eastAsia="Calibri" w:hAnsi="Calibri"/>
          <w:rtl w:val="0"/>
        </w:rPr>
        <w:t xml:space="preserve">. Descartes, through imagining that he existed without a world or body within which to exist, came to the inference that self consciousness as well as the self in its entirety</w:t>
      </w:r>
      <w:r w:rsidDel="00000000" w:rsidR="00000000" w:rsidRPr="00000000">
        <w:rPr>
          <w:rFonts w:ascii="Calibri" w:cs="Calibri" w:eastAsia="Calibri" w:hAnsi="Calibri"/>
          <w:color w:val="ff0000"/>
          <w:rtl w:val="0"/>
        </w:rPr>
        <w:t xml:space="preserve"> </w:t>
      </w:r>
      <w:r w:rsidDel="00000000" w:rsidR="00000000" w:rsidRPr="00000000">
        <w:rPr>
          <w:rFonts w:ascii="Calibri" w:cs="Calibri" w:eastAsia="Calibri" w:hAnsi="Calibri"/>
          <w:rtl w:val="0"/>
        </w:rPr>
        <w:t xml:space="preserve">existed separate from the physical world through his ability to doubt and think, and concluded that this substance whose purpose was to think made up the soul that was entirely distinct from, and would continue to exist even without, the body.</w:t>
      </w:r>
      <w:r w:rsidDel="00000000" w:rsidR="00000000" w:rsidRPr="00000000">
        <w:rPr>
          <w:rFonts w:ascii="Calibri" w:cs="Calibri" w:eastAsia="Calibri" w:hAnsi="Calibri"/>
          <w:vertAlign w:val="superscript"/>
        </w:rPr>
        <w:footnoteReference w:customMarkFollows="0" w:id="8"/>
      </w:r>
      <w:r w:rsidDel="00000000" w:rsidR="00000000" w:rsidRPr="00000000">
        <w:rPr>
          <w:rFonts w:ascii="Calibri" w:cs="Calibri" w:eastAsia="Calibri" w:hAnsi="Calibri"/>
          <w:rtl w:val="0"/>
        </w:rPr>
        <w:t xml:space="preserve"> There has, however, also been a number of critics of this idea of the non-bodily entity that makes up the self and self consciousness, such as the one Wittgenstein explains as arising from the use of the word ‘I’ or the substance capable of thought that Descartes attributes to the soul; one such critic being David Hume, who in his book </w:t>
      </w:r>
      <w:r w:rsidDel="00000000" w:rsidR="00000000" w:rsidRPr="00000000">
        <w:rPr>
          <w:rFonts w:ascii="Calibri" w:cs="Calibri" w:eastAsia="Calibri" w:hAnsi="Calibri"/>
          <w:i w:val="1"/>
          <w:rtl w:val="0"/>
        </w:rPr>
        <w:t xml:space="preserve">A Treatise of Human Nature</w:t>
      </w:r>
      <w:r w:rsidDel="00000000" w:rsidR="00000000" w:rsidRPr="00000000">
        <w:rPr>
          <w:rFonts w:ascii="Calibri" w:cs="Calibri" w:eastAsia="Calibri" w:hAnsi="Calibri"/>
          <w:rtl w:val="0"/>
        </w:rPr>
        <w:t xml:space="preserve"> remarks that “when I enter most intimately into what I call myself, I always stumble on some particular perception or other”</w:t>
      </w:r>
      <w:r w:rsidDel="00000000" w:rsidR="00000000" w:rsidRPr="00000000">
        <w:rPr>
          <w:rFonts w:ascii="Calibri" w:cs="Calibri" w:eastAsia="Calibri" w:hAnsi="Calibri"/>
          <w:vertAlign w:val="superscript"/>
        </w:rPr>
        <w:footnoteReference w:customMarkFollows="0" w:id="9"/>
      </w:r>
      <w:r w:rsidDel="00000000" w:rsidR="00000000" w:rsidRPr="00000000">
        <w:rPr>
          <w:rFonts w:ascii="Calibri" w:cs="Calibri" w:eastAsia="Calibri" w:hAnsi="Calibri"/>
          <w:rtl w:val="0"/>
        </w:rPr>
        <w:t xml:space="preserve"> and that he can “never catch myself at any time without a perception”</w:t>
      </w:r>
      <w:r w:rsidDel="00000000" w:rsidR="00000000" w:rsidRPr="00000000">
        <w:rPr>
          <w:rFonts w:ascii="Calibri" w:cs="Calibri" w:eastAsia="Calibri" w:hAnsi="Calibri"/>
          <w:vertAlign w:val="superscript"/>
        </w:rPr>
        <w:footnoteReference w:customMarkFollows="0" w:id="10"/>
      </w:r>
      <w:r w:rsidDel="00000000" w:rsidR="00000000" w:rsidRPr="00000000">
        <w:rPr>
          <w:rFonts w:ascii="Calibri" w:cs="Calibri" w:eastAsia="Calibri" w:hAnsi="Calibri"/>
          <w:rtl w:val="0"/>
        </w:rPr>
        <w:t xml:space="preserve">; unlike Descartes, and like other Empiricist philosophers such as Berkeley</w:t>
      </w:r>
      <w:r w:rsidDel="00000000" w:rsidR="00000000" w:rsidRPr="00000000">
        <w:rPr>
          <w:rFonts w:ascii="Calibri" w:cs="Calibri" w:eastAsia="Calibri" w:hAnsi="Calibri"/>
          <w:vertAlign w:val="superscript"/>
        </w:rPr>
        <w:footnoteReference w:customMarkFollows="0" w:id="11"/>
      </w:r>
      <w:r w:rsidDel="00000000" w:rsidR="00000000" w:rsidRPr="00000000">
        <w:rPr>
          <w:rFonts w:ascii="Calibri" w:cs="Calibri" w:eastAsia="Calibri" w:hAnsi="Calibri"/>
          <w:rtl w:val="0"/>
        </w:rPr>
        <w:t xml:space="preserve">, Hume</w:t>
      </w:r>
      <w:r w:rsidDel="00000000" w:rsidR="00000000" w:rsidRPr="00000000">
        <w:rPr>
          <w:rFonts w:ascii="Calibri" w:cs="Calibri" w:eastAsia="Calibri" w:hAnsi="Calibri"/>
          <w:rtl w:val="0"/>
        </w:rPr>
        <w:t xml:space="preserve"> subscribed to the bundle theory, which states that things including the self is only a collection of properties.</w:t>
      </w:r>
      <w:r w:rsidDel="00000000" w:rsidR="00000000" w:rsidRPr="00000000">
        <w:rPr>
          <w:rFonts w:ascii="Calibri" w:cs="Calibri" w:eastAsia="Calibri" w:hAnsi="Calibri"/>
          <w:vertAlign w:val="superscript"/>
        </w:rPr>
        <w:footnoteReference w:customMarkFollows="0" w:id="12"/>
      </w:r>
      <w:r w:rsidDel="00000000" w:rsidR="00000000" w:rsidRPr="00000000">
        <w:rPr>
          <w:rFonts w:ascii="Calibri" w:cs="Calibri" w:eastAsia="Calibri" w:hAnsi="Calibri"/>
          <w:rtl w:val="0"/>
        </w:rPr>
        <w:t xml:space="preserve"> A tomato, for example, would be “nothing but roundness, redness, squashiness, juiciness, and so on”</w:t>
      </w:r>
      <w:r w:rsidDel="00000000" w:rsidR="00000000" w:rsidRPr="00000000">
        <w:rPr>
          <w:rFonts w:ascii="Calibri" w:cs="Calibri" w:eastAsia="Calibri" w:hAnsi="Calibri"/>
          <w:vertAlign w:val="superscript"/>
        </w:rPr>
        <w:footnoteReference w:customMarkFollows="0" w:id="13"/>
      </w:r>
      <w:r w:rsidDel="00000000" w:rsidR="00000000" w:rsidRPr="00000000">
        <w:rPr>
          <w:rFonts w:ascii="Calibri" w:cs="Calibri" w:eastAsia="Calibri" w:hAnsi="Calibri"/>
          <w:rtl w:val="0"/>
        </w:rPr>
        <w:t xml:space="preserve">, and that the self and the mind is just the same</w:t>
      </w:r>
      <w:r w:rsidDel="00000000" w:rsidR="00000000" w:rsidRPr="00000000">
        <w:rPr>
          <w:rFonts w:ascii="Calibri" w:cs="Calibri" w:eastAsia="Calibri" w:hAnsi="Calibri"/>
          <w:vertAlign w:val="superscript"/>
        </w:rPr>
        <w:footnoteReference w:customMarkFollows="0" w:id="14"/>
      </w:r>
      <w:r w:rsidDel="00000000" w:rsidR="00000000" w:rsidRPr="00000000">
        <w:rPr>
          <w:rFonts w:ascii="Calibri" w:cs="Calibri" w:eastAsia="Calibri" w:hAnsi="Calibri"/>
          <w:rtl w:val="0"/>
        </w:rPr>
        <w:t xml:space="preserve">.</w:t>
      </w:r>
      <w:r w:rsidDel="00000000" w:rsidR="00000000" w:rsidRPr="00000000">
        <w:rPr>
          <w:rtl w:val="0"/>
        </w:rPr>
      </w:r>
    </w:p>
    <w:p w:rsidR="00000000" w:rsidDel="00000000" w:rsidP="00000000" w:rsidRDefault="00000000" w:rsidRPr="00000000" w14:paraId="00000009">
      <w:pPr>
        <w:rPr>
          <w:rFonts w:ascii="Calibri" w:cs="Calibri" w:eastAsia="Calibri" w:hAnsi="Calibri"/>
        </w:rPr>
      </w:pPr>
      <w:r w:rsidDel="00000000" w:rsidR="00000000" w:rsidRPr="00000000">
        <w:rPr>
          <w:rtl w:val="0"/>
        </w:rPr>
      </w:r>
    </w:p>
    <w:p w:rsidR="00000000" w:rsidDel="00000000" w:rsidP="00000000" w:rsidRDefault="00000000" w:rsidRPr="00000000" w14:paraId="0000000A">
      <w:pPr>
        <w:rPr>
          <w:rFonts w:ascii="Calibri" w:cs="Calibri" w:eastAsia="Calibri" w:hAnsi="Calibri"/>
        </w:rPr>
      </w:pPr>
      <w:r w:rsidDel="00000000" w:rsidR="00000000" w:rsidRPr="00000000">
        <w:rPr>
          <w:rFonts w:ascii="Calibri" w:cs="Calibri" w:eastAsia="Calibri" w:hAnsi="Calibri"/>
          <w:rtl w:val="0"/>
        </w:rPr>
        <w:t xml:space="preserve">Another who did not agree with the view that the self was a seperate, non-bodily entity was Wittgenstein, who criticised in particular the effect the word and the grammar of the word ‘I’ can have on the view of the self, and how it can lead to the illusion of such an entity.</w:t>
      </w:r>
    </w:p>
    <w:p w:rsidR="00000000" w:rsidDel="00000000" w:rsidP="00000000" w:rsidRDefault="00000000" w:rsidRPr="00000000" w14:paraId="0000000B">
      <w:pPr>
        <w:rPr>
          <w:rFonts w:ascii="Calibri" w:cs="Calibri" w:eastAsia="Calibri" w:hAnsi="Calibri"/>
        </w:rPr>
      </w:pPr>
      <w:r w:rsidDel="00000000" w:rsidR="00000000" w:rsidRPr="00000000">
        <w:rPr>
          <w:rtl w:val="0"/>
        </w:rPr>
      </w:r>
    </w:p>
    <w:p w:rsidR="00000000" w:rsidDel="00000000" w:rsidP="00000000" w:rsidRDefault="00000000" w:rsidRPr="00000000" w14:paraId="0000000C">
      <w:pPr>
        <w:rPr>
          <w:rFonts w:ascii="Calibri" w:cs="Calibri" w:eastAsia="Calibri" w:hAnsi="Calibri"/>
          <w:color w:val="ff0000"/>
        </w:rPr>
      </w:pPr>
      <w:r w:rsidDel="00000000" w:rsidR="00000000" w:rsidRPr="00000000">
        <w:rPr>
          <w:rFonts w:ascii="Calibri" w:cs="Calibri" w:eastAsia="Calibri" w:hAnsi="Calibri"/>
          <w:rtl w:val="0"/>
        </w:rPr>
        <w:t xml:space="preserve">In his Blue Book, Wittgenstein discusses how the grammar of the word ‘I’ may mislead and suggest that there is a non-bodily entity that “lives in my body”</w:t>
      </w:r>
      <w:r w:rsidDel="00000000" w:rsidR="00000000" w:rsidRPr="00000000">
        <w:rPr>
          <w:rFonts w:ascii="Calibri" w:cs="Calibri" w:eastAsia="Calibri" w:hAnsi="Calibri"/>
          <w:vertAlign w:val="superscript"/>
        </w:rPr>
        <w:footnoteReference w:customMarkFollows="0" w:id="15"/>
      </w:r>
      <w:r w:rsidDel="00000000" w:rsidR="00000000" w:rsidRPr="00000000">
        <w:rPr>
          <w:rFonts w:ascii="Calibri" w:cs="Calibri" w:eastAsia="Calibri" w:hAnsi="Calibri"/>
          <w:rtl w:val="0"/>
        </w:rPr>
        <w:t xml:space="preserve"> through its use, and that this misinterpretation arises entirely from this use of the word ‘I’. He adds that in cases where the word ‘I’ is used as a subject, it isn’t used because a person is recognised by bodily characteristics which, thus, leads to the illusion of an entity which is non-bodily and immaterial, but which nevertheless remains within the body.</w:t>
      </w:r>
      <w:r w:rsidDel="00000000" w:rsidR="00000000" w:rsidRPr="00000000">
        <w:rPr>
          <w:rFonts w:ascii="Calibri" w:cs="Calibri" w:eastAsia="Calibri" w:hAnsi="Calibri"/>
          <w:vertAlign w:val="superscript"/>
        </w:rPr>
        <w:footnoteReference w:customMarkFollows="0" w:id="16"/>
      </w:r>
      <w:r w:rsidDel="00000000" w:rsidR="00000000" w:rsidRPr="00000000">
        <w:rPr>
          <w:rFonts w:ascii="Calibri" w:cs="Calibri" w:eastAsia="Calibri" w:hAnsi="Calibri"/>
          <w:rtl w:val="0"/>
        </w:rPr>
        <w:t xml:space="preserve"> For example, “I have a bump on my forehead” is the use of ‘I’ for an object, in this case the forehead; thus, its use relates to a bodily entity, whereas the use of ‘I’ as a subject, such as by saying “I think it will rain” no such bodily entity is referred to, thus creating the illusion that the self is a non-bodily entity.</w:t>
      </w:r>
      <w:r w:rsidDel="00000000" w:rsidR="00000000" w:rsidRPr="00000000">
        <w:rPr>
          <w:rtl w:val="0"/>
        </w:rPr>
      </w:r>
    </w:p>
    <w:p w:rsidR="00000000" w:rsidDel="00000000" w:rsidP="00000000" w:rsidRDefault="00000000" w:rsidRPr="00000000" w14:paraId="0000000D">
      <w:pPr>
        <w:rPr>
          <w:rFonts w:ascii="Calibri" w:cs="Calibri" w:eastAsia="Calibri" w:hAnsi="Calibri"/>
        </w:rPr>
      </w:pPr>
      <w:r w:rsidDel="00000000" w:rsidR="00000000" w:rsidRPr="00000000">
        <w:rPr>
          <w:rtl w:val="0"/>
        </w:rPr>
      </w:r>
    </w:p>
    <w:p w:rsidR="00000000" w:rsidDel="00000000" w:rsidP="00000000" w:rsidRDefault="00000000" w:rsidRPr="00000000" w14:paraId="0000000E">
      <w:pPr>
        <w:rPr>
          <w:rFonts w:ascii="Calibri" w:cs="Calibri" w:eastAsia="Calibri" w:hAnsi="Calibri"/>
        </w:rPr>
      </w:pPr>
      <w:r w:rsidDel="00000000" w:rsidR="00000000" w:rsidRPr="00000000">
        <w:rPr>
          <w:rFonts w:ascii="Calibri" w:cs="Calibri" w:eastAsia="Calibri" w:hAnsi="Calibri"/>
          <w:rtl w:val="0"/>
        </w:rPr>
        <w:t xml:space="preserve">In his posthumously published </w:t>
      </w:r>
      <w:r w:rsidDel="00000000" w:rsidR="00000000" w:rsidRPr="00000000">
        <w:rPr>
          <w:rFonts w:ascii="Calibri" w:cs="Calibri" w:eastAsia="Calibri" w:hAnsi="Calibri"/>
          <w:i w:val="1"/>
          <w:rtl w:val="0"/>
        </w:rPr>
        <w:t xml:space="preserve">Philosophical Investigations</w:t>
      </w:r>
      <w:r w:rsidDel="00000000" w:rsidR="00000000" w:rsidRPr="00000000">
        <w:rPr>
          <w:rFonts w:ascii="Calibri" w:cs="Calibri" w:eastAsia="Calibri" w:hAnsi="Calibri"/>
          <w:rtl w:val="0"/>
        </w:rPr>
        <w:t xml:space="preserve"> this aspect of the grammar of the word ‘I’ is further explained; here, he writes that the word ‘I’ is not the name of a person, just as the word ‘here’ is not the name of a place,</w:t>
      </w:r>
      <w:r w:rsidDel="00000000" w:rsidR="00000000" w:rsidRPr="00000000">
        <w:rPr>
          <w:rFonts w:ascii="Calibri" w:cs="Calibri" w:eastAsia="Calibri" w:hAnsi="Calibri"/>
          <w:vertAlign w:val="superscript"/>
        </w:rPr>
        <w:footnoteReference w:customMarkFollows="0" w:id="17"/>
      </w:r>
      <w:r w:rsidDel="00000000" w:rsidR="00000000" w:rsidRPr="00000000">
        <w:rPr>
          <w:rFonts w:ascii="Calibri" w:cs="Calibri" w:eastAsia="Calibri" w:hAnsi="Calibri"/>
          <w:rtl w:val="0"/>
        </w:rPr>
        <w:t xml:space="preserve"> implying that the word ‘I’ in certain sentences refers to an entity outside of the bodily self, the bodily self having a name that is not ‘I’ and thus not the subject that ‘I’ can or does refer to. Further, in his Blue Book he writes that there are two cases with which the word ‘I’ may be used, which he calls “the use as object”</w:t>
      </w:r>
      <w:r w:rsidDel="00000000" w:rsidR="00000000" w:rsidRPr="00000000">
        <w:rPr>
          <w:rFonts w:ascii="Calibri" w:cs="Calibri" w:eastAsia="Calibri" w:hAnsi="Calibri"/>
          <w:vertAlign w:val="superscript"/>
        </w:rPr>
        <w:footnoteReference w:customMarkFollows="0" w:id="18"/>
      </w:r>
      <w:r w:rsidDel="00000000" w:rsidR="00000000" w:rsidRPr="00000000">
        <w:rPr>
          <w:rFonts w:ascii="Calibri" w:cs="Calibri" w:eastAsia="Calibri" w:hAnsi="Calibri"/>
          <w:rtl w:val="0"/>
        </w:rPr>
        <w:t xml:space="preserve"> and “the use as subject”</w:t>
      </w:r>
      <w:r w:rsidDel="00000000" w:rsidR="00000000" w:rsidRPr="00000000">
        <w:rPr>
          <w:rFonts w:ascii="Calibri" w:cs="Calibri" w:eastAsia="Calibri" w:hAnsi="Calibri"/>
          <w:vertAlign w:val="superscript"/>
        </w:rPr>
        <w:footnoteReference w:customMarkFollows="0" w:id="19"/>
      </w:r>
      <w:r w:rsidDel="00000000" w:rsidR="00000000" w:rsidRPr="00000000">
        <w:rPr>
          <w:rFonts w:ascii="Calibri" w:cs="Calibri" w:eastAsia="Calibri" w:hAnsi="Calibri"/>
          <w:rtl w:val="0"/>
        </w:rPr>
        <w:t xml:space="preserve"> - for example, “I have grown six inches”</w:t>
      </w:r>
      <w:r w:rsidDel="00000000" w:rsidR="00000000" w:rsidRPr="00000000">
        <w:rPr>
          <w:rFonts w:ascii="Calibri" w:cs="Calibri" w:eastAsia="Calibri" w:hAnsi="Calibri"/>
          <w:vertAlign w:val="superscript"/>
        </w:rPr>
        <w:footnoteReference w:customMarkFollows="0" w:id="20"/>
      </w:r>
      <w:r w:rsidDel="00000000" w:rsidR="00000000" w:rsidRPr="00000000">
        <w:rPr>
          <w:rFonts w:ascii="Calibri" w:cs="Calibri" w:eastAsia="Calibri" w:hAnsi="Calibri"/>
          <w:rtl w:val="0"/>
        </w:rPr>
        <w:t xml:space="preserve"> would be a use of ‘I’ as an object, whereas “I have a toothache”</w:t>
      </w:r>
      <w:r w:rsidDel="00000000" w:rsidR="00000000" w:rsidRPr="00000000">
        <w:rPr>
          <w:rFonts w:ascii="Calibri" w:cs="Calibri" w:eastAsia="Calibri" w:hAnsi="Calibri"/>
          <w:vertAlign w:val="superscript"/>
        </w:rPr>
        <w:footnoteReference w:customMarkFollows="0" w:id="21"/>
      </w:r>
      <w:r w:rsidDel="00000000" w:rsidR="00000000" w:rsidRPr="00000000">
        <w:rPr>
          <w:rFonts w:ascii="Calibri" w:cs="Calibri" w:eastAsia="Calibri" w:hAnsi="Calibri"/>
          <w:rtl w:val="0"/>
        </w:rPr>
        <w:t xml:space="preserve"> and “I see so-and-so”</w:t>
      </w:r>
      <w:r w:rsidDel="00000000" w:rsidR="00000000" w:rsidRPr="00000000">
        <w:rPr>
          <w:rFonts w:ascii="Calibri" w:cs="Calibri" w:eastAsia="Calibri" w:hAnsi="Calibri"/>
          <w:vertAlign w:val="superscript"/>
        </w:rPr>
        <w:footnoteReference w:customMarkFollows="0" w:id="22"/>
      </w:r>
      <w:r w:rsidDel="00000000" w:rsidR="00000000" w:rsidRPr="00000000">
        <w:rPr>
          <w:rFonts w:ascii="Calibri" w:cs="Calibri" w:eastAsia="Calibri" w:hAnsi="Calibri"/>
          <w:rtl w:val="0"/>
        </w:rPr>
        <w:t xml:space="preserve"> would a use of ‘I’ as a subject. The cases of the first category, that of the use of ‘I’ as an object, require the recognition of a specific person, and thus arises the possibility of error, whereas in the second category, that where ‘I’ is the subject, no such possibility for error is possible.</w:t>
      </w:r>
    </w:p>
    <w:p w:rsidR="00000000" w:rsidDel="00000000" w:rsidP="00000000" w:rsidRDefault="00000000" w:rsidRPr="00000000" w14:paraId="0000000F">
      <w:pPr>
        <w:rPr>
          <w:rFonts w:ascii="Calibri" w:cs="Calibri" w:eastAsia="Calibri" w:hAnsi="Calibri"/>
        </w:rPr>
      </w:pPr>
      <w:r w:rsidDel="00000000" w:rsidR="00000000" w:rsidRPr="00000000">
        <w:rPr>
          <w:rtl w:val="0"/>
        </w:rPr>
      </w:r>
    </w:p>
    <w:p w:rsidR="00000000" w:rsidDel="00000000" w:rsidP="00000000" w:rsidRDefault="00000000" w:rsidRPr="00000000" w14:paraId="00000010">
      <w:pPr>
        <w:rPr>
          <w:rFonts w:ascii="Calibri" w:cs="Calibri" w:eastAsia="Calibri" w:hAnsi="Calibri"/>
          <w:color w:val="ff0000"/>
        </w:rPr>
      </w:pPr>
      <w:r w:rsidDel="00000000" w:rsidR="00000000" w:rsidRPr="00000000">
        <w:rPr>
          <w:rFonts w:ascii="Calibri" w:cs="Calibri" w:eastAsia="Calibri" w:hAnsi="Calibri"/>
          <w:rtl w:val="0"/>
        </w:rPr>
        <w:t xml:space="preserve">This lack of the possibility for mistaking who has the thought in the cases where ‘I’ is used as the subject mirrors Descartes’ observation that led to his conclusion that the self and the mind were comprised of a thinking, formless substance separate from material reality - Descartes’ inference that “‘I am thinking, therefore I exist’”</w:t>
      </w:r>
      <w:r w:rsidDel="00000000" w:rsidR="00000000" w:rsidRPr="00000000">
        <w:rPr>
          <w:rFonts w:ascii="Calibri" w:cs="Calibri" w:eastAsia="Calibri" w:hAnsi="Calibri"/>
          <w:vertAlign w:val="superscript"/>
        </w:rPr>
        <w:footnoteReference w:customMarkFollows="0" w:id="23"/>
      </w:r>
      <w:r w:rsidDel="00000000" w:rsidR="00000000" w:rsidRPr="00000000">
        <w:rPr>
          <w:rFonts w:ascii="Calibri" w:cs="Calibri" w:eastAsia="Calibri" w:hAnsi="Calibri"/>
          <w:rtl w:val="0"/>
        </w:rPr>
        <w:t xml:space="preserve"> does not allow for the possibility of misidentifying who it is that is thinking, just as the use of ‘I’ in cases where it is used as the subject leaves no possibility for misidentifying who it is who has the thought, which thus draws parallels with Descartes’ conclusion that the self is comprised of a substance without form.</w:t>
      </w:r>
      <w:r w:rsidDel="00000000" w:rsidR="00000000" w:rsidRPr="00000000">
        <w:rPr>
          <w:rtl w:val="0"/>
        </w:rPr>
      </w:r>
    </w:p>
    <w:p w:rsidR="00000000" w:rsidDel="00000000" w:rsidP="00000000" w:rsidRDefault="00000000" w:rsidRPr="00000000" w14:paraId="00000011">
      <w:pPr>
        <w:rPr>
          <w:rFonts w:ascii="Calibri" w:cs="Calibri" w:eastAsia="Calibri" w:hAnsi="Calibri"/>
        </w:rPr>
      </w:pPr>
      <w:r w:rsidDel="00000000" w:rsidR="00000000" w:rsidRPr="00000000">
        <w:rPr>
          <w:rtl w:val="0"/>
        </w:rPr>
      </w:r>
    </w:p>
    <w:p w:rsidR="00000000" w:rsidDel="00000000" w:rsidP="00000000" w:rsidRDefault="00000000" w:rsidRPr="00000000" w14:paraId="00000012">
      <w:pPr>
        <w:rPr>
          <w:rFonts w:ascii="Calibri" w:cs="Calibri" w:eastAsia="Calibri" w:hAnsi="Calibri"/>
        </w:rPr>
      </w:pPr>
      <w:r w:rsidDel="00000000" w:rsidR="00000000" w:rsidRPr="00000000">
        <w:rPr>
          <w:rFonts w:ascii="Calibri" w:cs="Calibri" w:eastAsia="Calibri" w:hAnsi="Calibri"/>
          <w:rtl w:val="0"/>
        </w:rPr>
        <w:t xml:space="preserve">However, Wittgenstein’s argument on how the grammar of the word ‘I’ can mislead and suggest a non-bodily self seems to disregard the context of how the word ‘I’ is actually understood, and how it actually functions in the sentences themselves, whether as object or subject; functionally, ‘I’ in his examples “I have grown six inches”</w:t>
      </w:r>
      <w:r w:rsidDel="00000000" w:rsidR="00000000" w:rsidRPr="00000000">
        <w:rPr>
          <w:rFonts w:ascii="Calibri" w:cs="Calibri" w:eastAsia="Calibri" w:hAnsi="Calibri"/>
          <w:vertAlign w:val="superscript"/>
        </w:rPr>
        <w:footnoteReference w:customMarkFollows="0" w:id="24"/>
      </w:r>
      <w:r w:rsidDel="00000000" w:rsidR="00000000" w:rsidRPr="00000000">
        <w:rPr>
          <w:rFonts w:ascii="Calibri" w:cs="Calibri" w:eastAsia="Calibri" w:hAnsi="Calibri"/>
          <w:rtl w:val="0"/>
        </w:rPr>
        <w:t xml:space="preserve"> and “I have a toothache”</w:t>
      </w:r>
      <w:r w:rsidDel="00000000" w:rsidR="00000000" w:rsidRPr="00000000">
        <w:rPr>
          <w:rFonts w:ascii="Calibri" w:cs="Calibri" w:eastAsia="Calibri" w:hAnsi="Calibri"/>
          <w:vertAlign w:val="superscript"/>
        </w:rPr>
        <w:footnoteReference w:customMarkFollows="0" w:id="25"/>
      </w:r>
      <w:r w:rsidDel="00000000" w:rsidR="00000000" w:rsidRPr="00000000">
        <w:rPr>
          <w:rFonts w:ascii="Calibri" w:cs="Calibri" w:eastAsia="Calibri" w:hAnsi="Calibri"/>
          <w:rtl w:val="0"/>
        </w:rPr>
        <w:t xml:space="preserve"> both refer to the self including the body, suggesting no such non-bodily self, and neither does the ‘I’ used in his example “I see so-and-so” suggest any such non-bodily entity; even without it referring directly to a body or part of the body no such non-bodily self can be inferred from this use of ‘I’.</w:t>
      </w:r>
    </w:p>
    <w:p w:rsidR="00000000" w:rsidDel="00000000" w:rsidP="00000000" w:rsidRDefault="00000000" w:rsidRPr="00000000" w14:paraId="00000013">
      <w:pPr>
        <w:rPr>
          <w:rFonts w:ascii="Calibri" w:cs="Calibri" w:eastAsia="Calibri" w:hAnsi="Calibri"/>
        </w:rPr>
      </w:pPr>
      <w:r w:rsidDel="00000000" w:rsidR="00000000" w:rsidRPr="00000000">
        <w:rPr>
          <w:rtl w:val="0"/>
        </w:rPr>
      </w:r>
    </w:p>
    <w:p w:rsidR="00000000" w:rsidDel="00000000" w:rsidP="00000000" w:rsidRDefault="00000000" w:rsidRPr="00000000" w14:paraId="00000014">
      <w:pPr>
        <w:rPr>
          <w:rFonts w:ascii="Calibri" w:cs="Calibri" w:eastAsia="Calibri" w:hAnsi="Calibri"/>
        </w:rPr>
      </w:pPr>
      <w:r w:rsidDel="00000000" w:rsidR="00000000" w:rsidRPr="00000000">
        <w:rPr>
          <w:rFonts w:ascii="Calibri" w:cs="Calibri" w:eastAsia="Calibri" w:hAnsi="Calibri"/>
          <w:rtl w:val="0"/>
        </w:rPr>
        <w:t xml:space="preserve">Wittgenstein himself acknowledges this, writing that while “”I” is not the name of a person, nor “here” of a place”,</w:t>
      </w:r>
      <w:r w:rsidDel="00000000" w:rsidR="00000000" w:rsidRPr="00000000">
        <w:rPr>
          <w:rFonts w:ascii="Calibri" w:cs="Calibri" w:eastAsia="Calibri" w:hAnsi="Calibri"/>
          <w:vertAlign w:val="superscript"/>
        </w:rPr>
        <w:footnoteReference w:customMarkFollows="0" w:id="26"/>
      </w:r>
      <w:r w:rsidDel="00000000" w:rsidR="00000000" w:rsidRPr="00000000">
        <w:rPr>
          <w:rFonts w:ascii="Calibri" w:cs="Calibri" w:eastAsia="Calibri" w:hAnsi="Calibri"/>
          <w:rtl w:val="0"/>
        </w:rPr>
        <w:t xml:space="preserve"> they are still “connected with names”</w:t>
      </w:r>
      <w:r w:rsidDel="00000000" w:rsidR="00000000" w:rsidRPr="00000000">
        <w:rPr>
          <w:rFonts w:ascii="Calibri" w:cs="Calibri" w:eastAsia="Calibri" w:hAnsi="Calibri"/>
          <w:vertAlign w:val="superscript"/>
        </w:rPr>
        <w:footnoteReference w:customMarkFollows="0" w:id="27"/>
      </w:r>
      <w:r w:rsidDel="00000000" w:rsidR="00000000" w:rsidRPr="00000000">
        <w:rPr>
          <w:rFonts w:ascii="Calibri" w:cs="Calibri" w:eastAsia="Calibri" w:hAnsi="Calibri"/>
          <w:rtl w:val="0"/>
        </w:rPr>
        <w:t xml:space="preserve">, and that while the use of the word ‘I’ as an object provides room for error in the misidentification of the person referred to, when used as a subject, such as by saying “I have a toothache”</w:t>
      </w:r>
      <w:r w:rsidDel="00000000" w:rsidR="00000000" w:rsidRPr="00000000">
        <w:rPr>
          <w:rFonts w:ascii="Calibri" w:cs="Calibri" w:eastAsia="Calibri" w:hAnsi="Calibri"/>
          <w:vertAlign w:val="superscript"/>
        </w:rPr>
        <w:footnoteReference w:customMarkFollows="0" w:id="28"/>
      </w:r>
      <w:r w:rsidDel="00000000" w:rsidR="00000000" w:rsidRPr="00000000">
        <w:rPr>
          <w:rFonts w:ascii="Calibri" w:cs="Calibri" w:eastAsia="Calibri" w:hAnsi="Calibri"/>
          <w:rtl w:val="0"/>
        </w:rPr>
        <w:t xml:space="preserve">, no such error is possible, and would in fact be a nonsensical question to ask.</w:t>
      </w:r>
      <w:r w:rsidDel="00000000" w:rsidR="00000000" w:rsidRPr="00000000">
        <w:rPr>
          <w:rFonts w:ascii="Calibri" w:cs="Calibri" w:eastAsia="Calibri" w:hAnsi="Calibri"/>
          <w:vertAlign w:val="superscript"/>
        </w:rPr>
        <w:footnoteReference w:customMarkFollows="0" w:id="29"/>
      </w:r>
      <w:r w:rsidDel="00000000" w:rsidR="00000000" w:rsidRPr="00000000">
        <w:rPr>
          <w:rFonts w:ascii="Calibri" w:cs="Calibri" w:eastAsia="Calibri" w:hAnsi="Calibri"/>
          <w:rtl w:val="0"/>
        </w:rPr>
        <w:t xml:space="preserve"> As Wittgenstein writes in his </w:t>
      </w:r>
      <w:r w:rsidDel="00000000" w:rsidR="00000000" w:rsidRPr="00000000">
        <w:rPr>
          <w:rFonts w:ascii="Calibri" w:cs="Calibri" w:eastAsia="Calibri" w:hAnsi="Calibri"/>
          <w:i w:val="1"/>
          <w:rtl w:val="0"/>
        </w:rPr>
        <w:t xml:space="preserve">Philosophical Investigations</w:t>
      </w:r>
      <w:r w:rsidDel="00000000" w:rsidR="00000000" w:rsidRPr="00000000">
        <w:rPr>
          <w:rFonts w:ascii="Calibri" w:cs="Calibri" w:eastAsia="Calibri" w:hAnsi="Calibri"/>
          <w:rtl w:val="0"/>
        </w:rPr>
        <w:t xml:space="preserve">, “When I say ‘I am in pain’, I do not point to a person who is in pain,”</w:t>
      </w:r>
      <w:r w:rsidDel="00000000" w:rsidR="00000000" w:rsidRPr="00000000">
        <w:rPr>
          <w:rFonts w:ascii="Calibri" w:cs="Calibri" w:eastAsia="Calibri" w:hAnsi="Calibri"/>
          <w:vertAlign w:val="superscript"/>
        </w:rPr>
        <w:footnoteReference w:customMarkFollows="0" w:id="30"/>
      </w:r>
      <w:r w:rsidDel="00000000" w:rsidR="00000000" w:rsidRPr="00000000">
        <w:rPr>
          <w:rFonts w:ascii="Calibri" w:cs="Calibri" w:eastAsia="Calibri" w:hAnsi="Calibri"/>
          <w:rtl w:val="0"/>
        </w:rPr>
        <w:t xml:space="preserve"> because he did not say that “such-and-such a person was in pain, but “I am...””</w:t>
      </w:r>
      <w:r w:rsidDel="00000000" w:rsidR="00000000" w:rsidRPr="00000000">
        <w:rPr>
          <w:rFonts w:ascii="Calibri" w:cs="Calibri" w:eastAsia="Calibri" w:hAnsi="Calibri"/>
          <w:vertAlign w:val="superscript"/>
        </w:rPr>
        <w:footnoteReference w:customMarkFollows="0" w:id="31"/>
      </w:r>
      <w:r w:rsidDel="00000000" w:rsidR="00000000" w:rsidRPr="00000000">
        <w:rPr>
          <w:rFonts w:ascii="Calibri" w:cs="Calibri" w:eastAsia="Calibri" w:hAnsi="Calibri"/>
          <w:rtl w:val="0"/>
        </w:rPr>
        <w:t xml:space="preserve">. As such, there is no need to identify which body is in pain, just as there is no need to identify where ‘here’ is.</w:t>
      </w:r>
    </w:p>
    <w:p w:rsidR="00000000" w:rsidDel="00000000" w:rsidP="00000000" w:rsidRDefault="00000000" w:rsidRPr="00000000" w14:paraId="00000015">
      <w:pPr>
        <w:rPr>
          <w:rFonts w:ascii="Calibri" w:cs="Calibri" w:eastAsia="Calibri" w:hAnsi="Calibri"/>
        </w:rPr>
      </w:pPr>
      <w:r w:rsidDel="00000000" w:rsidR="00000000" w:rsidRPr="00000000">
        <w:rPr>
          <w:rtl w:val="0"/>
        </w:rPr>
      </w:r>
    </w:p>
    <w:p w:rsidR="00000000" w:rsidDel="00000000" w:rsidP="00000000" w:rsidRDefault="00000000" w:rsidRPr="00000000" w14:paraId="00000016">
      <w:pPr>
        <w:rPr>
          <w:rFonts w:ascii="Calibri" w:cs="Calibri" w:eastAsia="Calibri" w:hAnsi="Calibri"/>
        </w:rPr>
      </w:pPr>
      <w:r w:rsidDel="00000000" w:rsidR="00000000" w:rsidRPr="00000000">
        <w:rPr>
          <w:rFonts w:ascii="Calibri" w:cs="Calibri" w:eastAsia="Calibri" w:hAnsi="Calibri"/>
          <w:rtl w:val="0"/>
        </w:rPr>
        <w:t xml:space="preserve">Ultimately, throughout both his Blue Book and his posthumously published Philosophical Investigations Wittgenstein explains how the grammar of the word ‘I’ is liable to mislead and generate the illusion that there is a non bodily self existing within the body; through its use as the subject of the sentence the word ‘I’ implies this entity as there is no possibility for misidentifying the person involved, while there is that possibility for error in cases where ‘I’ is used as the object, and this lack of possibility for error mirrors Descartes’ postulating that because he can think and doubt, and imagine an existence where he had no body, he exists separate from material reality; just as Descartes’ conclusion “I am thinking, therefore I exist”</w:t>
      </w:r>
      <w:r w:rsidDel="00000000" w:rsidR="00000000" w:rsidRPr="00000000">
        <w:rPr>
          <w:rFonts w:ascii="Calibri" w:cs="Calibri" w:eastAsia="Calibri" w:hAnsi="Calibri"/>
          <w:vertAlign w:val="superscript"/>
        </w:rPr>
        <w:footnoteReference w:customMarkFollows="0" w:id="32"/>
      </w:r>
      <w:r w:rsidDel="00000000" w:rsidR="00000000" w:rsidRPr="00000000">
        <w:rPr>
          <w:rFonts w:ascii="Calibri" w:cs="Calibri" w:eastAsia="Calibri" w:hAnsi="Calibri"/>
          <w:rtl w:val="0"/>
        </w:rPr>
        <w:t xml:space="preserve"> leaves no room for misidentifying who it is that is thinking, so too does the use of the word ‘I’ in cases where it is used as the subject.</w:t>
      </w:r>
    </w:p>
    <w:p w:rsidR="00000000" w:rsidDel="00000000" w:rsidP="00000000" w:rsidRDefault="00000000" w:rsidRPr="00000000" w14:paraId="00000017">
      <w:pPr>
        <w:rPr>
          <w:rFonts w:ascii="Calibri" w:cs="Calibri" w:eastAsia="Calibri" w:hAnsi="Calibri"/>
        </w:rPr>
      </w:pPr>
      <w:r w:rsidDel="00000000" w:rsidR="00000000" w:rsidRPr="00000000">
        <w:br w:type="page"/>
      </w:r>
      <w:r w:rsidDel="00000000" w:rsidR="00000000" w:rsidRPr="00000000">
        <w:rPr>
          <w:rtl w:val="0"/>
        </w:rPr>
      </w:r>
    </w:p>
    <w:p w:rsidR="00000000" w:rsidDel="00000000" w:rsidP="00000000" w:rsidRDefault="00000000" w:rsidRPr="00000000" w14:paraId="00000018">
      <w:pPr>
        <w:rPr>
          <w:rFonts w:ascii="Calibri" w:cs="Calibri" w:eastAsia="Calibri" w:hAnsi="Calibri"/>
        </w:rPr>
      </w:pPr>
      <w:r w:rsidDel="00000000" w:rsidR="00000000" w:rsidRPr="00000000">
        <w:rPr>
          <w:rFonts w:ascii="Calibri" w:cs="Calibri" w:eastAsia="Calibri" w:hAnsi="Calibri"/>
          <w:b w:val="1"/>
          <w:u w:val="single"/>
          <w:rtl w:val="0"/>
        </w:rPr>
        <w:t xml:space="preserve">Bibliography</w:t>
      </w:r>
      <w:r w:rsidDel="00000000" w:rsidR="00000000" w:rsidRPr="00000000">
        <w:rPr>
          <w:rtl w:val="0"/>
        </w:rPr>
      </w:r>
    </w:p>
    <w:p w:rsidR="00000000" w:rsidDel="00000000" w:rsidP="00000000" w:rsidRDefault="00000000" w:rsidRPr="00000000" w14:paraId="00000019">
      <w:pPr>
        <w:numPr>
          <w:ilvl w:val="0"/>
          <w:numId w:val="1"/>
        </w:numPr>
        <w:ind w:left="720" w:hanging="360"/>
        <w:rPr>
          <w:rFonts w:ascii="Calibri" w:cs="Calibri" w:eastAsia="Calibri" w:hAnsi="Calibri"/>
        </w:rPr>
      </w:pPr>
      <w:r w:rsidDel="00000000" w:rsidR="00000000" w:rsidRPr="00000000">
        <w:rPr>
          <w:rFonts w:ascii="Calibri" w:cs="Calibri" w:eastAsia="Calibri" w:hAnsi="Calibri"/>
          <w:rtl w:val="0"/>
        </w:rPr>
        <w:t xml:space="preserve">Kriegel, U (n.d.),</w:t>
      </w:r>
      <w:r w:rsidDel="00000000" w:rsidR="00000000" w:rsidRPr="00000000">
        <w:rPr>
          <w:rFonts w:ascii="Calibri" w:cs="Calibri" w:eastAsia="Calibri" w:hAnsi="Calibri"/>
          <w:i w:val="1"/>
          <w:rtl w:val="0"/>
        </w:rPr>
        <w:t xml:space="preserve"> Internet Encyclopedia of Philosophy,</w:t>
      </w:r>
      <w:r w:rsidDel="00000000" w:rsidR="00000000" w:rsidRPr="00000000">
        <w:rPr>
          <w:rFonts w:ascii="Calibri" w:cs="Calibri" w:eastAsia="Calibri" w:hAnsi="Calibri"/>
          <w:rtl w:val="0"/>
        </w:rPr>
        <w:t xml:space="preserve"> Available at: </w:t>
      </w:r>
      <w:hyperlink r:id="rId7">
        <w:r w:rsidDel="00000000" w:rsidR="00000000" w:rsidRPr="00000000">
          <w:rPr>
            <w:rFonts w:ascii="Calibri" w:cs="Calibri" w:eastAsia="Calibri" w:hAnsi="Calibri"/>
            <w:color w:val="1155cc"/>
            <w:u w:val="single"/>
            <w:rtl w:val="0"/>
          </w:rPr>
          <w:t xml:space="preserve">https://www.iep.utm.edu/self-con/</w:t>
        </w:r>
      </w:hyperlink>
      <w:r w:rsidDel="00000000" w:rsidR="00000000" w:rsidRPr="00000000">
        <w:rPr>
          <w:rFonts w:ascii="Calibri" w:cs="Calibri" w:eastAsia="Calibri" w:hAnsi="Calibri"/>
          <w:rtl w:val="0"/>
        </w:rPr>
        <w:t xml:space="preserve">, Accessed: 5/03/20</w:t>
      </w:r>
    </w:p>
    <w:p w:rsidR="00000000" w:rsidDel="00000000" w:rsidP="00000000" w:rsidRDefault="00000000" w:rsidRPr="00000000" w14:paraId="0000001A">
      <w:pPr>
        <w:numPr>
          <w:ilvl w:val="0"/>
          <w:numId w:val="1"/>
        </w:numPr>
        <w:ind w:left="720" w:hanging="360"/>
        <w:rPr>
          <w:rFonts w:ascii="Calibri" w:cs="Calibri" w:eastAsia="Calibri" w:hAnsi="Calibri"/>
        </w:rPr>
      </w:pPr>
      <w:r w:rsidDel="00000000" w:rsidR="00000000" w:rsidRPr="00000000">
        <w:rPr>
          <w:rFonts w:ascii="Calibri" w:cs="Calibri" w:eastAsia="Calibri" w:hAnsi="Calibri"/>
          <w:rtl w:val="0"/>
        </w:rPr>
        <w:t xml:space="preserve">Wittgenstein, L (1965), </w:t>
      </w:r>
      <w:r w:rsidDel="00000000" w:rsidR="00000000" w:rsidRPr="00000000">
        <w:rPr>
          <w:rFonts w:ascii="Calibri" w:cs="Calibri" w:eastAsia="Calibri" w:hAnsi="Calibri"/>
          <w:i w:val="1"/>
          <w:rtl w:val="0"/>
        </w:rPr>
        <w:t xml:space="preserve">Blue Book</w:t>
      </w:r>
      <w:r w:rsidDel="00000000" w:rsidR="00000000" w:rsidRPr="00000000">
        <w:rPr>
          <w:rtl w:val="0"/>
        </w:rPr>
      </w:r>
    </w:p>
    <w:p w:rsidR="00000000" w:rsidDel="00000000" w:rsidP="00000000" w:rsidRDefault="00000000" w:rsidRPr="00000000" w14:paraId="0000001B">
      <w:pPr>
        <w:numPr>
          <w:ilvl w:val="0"/>
          <w:numId w:val="1"/>
        </w:numPr>
        <w:ind w:left="720" w:hanging="360"/>
        <w:rPr>
          <w:rFonts w:ascii="Calibri" w:cs="Calibri" w:eastAsia="Calibri" w:hAnsi="Calibri"/>
        </w:rPr>
      </w:pPr>
      <w:r w:rsidDel="00000000" w:rsidR="00000000" w:rsidRPr="00000000">
        <w:rPr>
          <w:rFonts w:ascii="Calibri" w:cs="Calibri" w:eastAsia="Calibri" w:hAnsi="Calibri"/>
          <w:rtl w:val="0"/>
        </w:rPr>
        <w:t xml:space="preserve">Hume, D (1817), </w:t>
      </w:r>
      <w:r w:rsidDel="00000000" w:rsidR="00000000" w:rsidRPr="00000000">
        <w:rPr>
          <w:rFonts w:ascii="Calibri" w:cs="Calibri" w:eastAsia="Calibri" w:hAnsi="Calibri"/>
          <w:i w:val="1"/>
          <w:rtl w:val="0"/>
        </w:rPr>
        <w:t xml:space="preserve">A Treatise of Human Nature: Being an Attempt to Introduce the Experimental Method of Reasoning Into Moral Subjects, Volume 1</w:t>
      </w:r>
      <w:r w:rsidDel="00000000" w:rsidR="00000000" w:rsidRPr="00000000">
        <w:rPr>
          <w:rFonts w:ascii="Calibri" w:cs="Calibri" w:eastAsia="Calibri" w:hAnsi="Calibri"/>
          <w:rtl w:val="0"/>
        </w:rPr>
        <w:t xml:space="preserve">, Thomas and Joseph Allman</w:t>
      </w:r>
    </w:p>
    <w:p w:rsidR="00000000" w:rsidDel="00000000" w:rsidP="00000000" w:rsidRDefault="00000000" w:rsidRPr="00000000" w14:paraId="0000001C">
      <w:pPr>
        <w:numPr>
          <w:ilvl w:val="0"/>
          <w:numId w:val="1"/>
        </w:numPr>
        <w:ind w:left="720" w:hanging="360"/>
        <w:rPr>
          <w:rFonts w:ascii="Calibri" w:cs="Calibri" w:eastAsia="Calibri" w:hAnsi="Calibri"/>
        </w:rPr>
      </w:pPr>
      <w:r w:rsidDel="00000000" w:rsidR="00000000" w:rsidRPr="00000000">
        <w:rPr>
          <w:rFonts w:ascii="Calibri" w:cs="Calibri" w:eastAsia="Calibri" w:hAnsi="Calibri"/>
          <w:rtl w:val="0"/>
        </w:rPr>
        <w:t xml:space="preserve">Wittgenstein, L (2009), </w:t>
      </w:r>
      <w:r w:rsidDel="00000000" w:rsidR="00000000" w:rsidRPr="00000000">
        <w:rPr>
          <w:rFonts w:ascii="Calibri" w:cs="Calibri" w:eastAsia="Calibri" w:hAnsi="Calibri"/>
          <w:i w:val="1"/>
          <w:rtl w:val="0"/>
        </w:rPr>
        <w:t xml:space="preserve">Philosophical Investigations</w:t>
      </w:r>
      <w:r w:rsidDel="00000000" w:rsidR="00000000" w:rsidRPr="00000000">
        <w:rPr>
          <w:rFonts w:ascii="Calibri" w:cs="Calibri" w:eastAsia="Calibri" w:hAnsi="Calibri"/>
          <w:rtl w:val="0"/>
        </w:rPr>
        <w:t xml:space="preserve">, Ed. 4, John Wiley &amp; Sons</w:t>
      </w:r>
    </w:p>
    <w:p w:rsidR="00000000" w:rsidDel="00000000" w:rsidP="00000000" w:rsidRDefault="00000000" w:rsidRPr="00000000" w14:paraId="0000001D">
      <w:pPr>
        <w:numPr>
          <w:ilvl w:val="0"/>
          <w:numId w:val="1"/>
        </w:numPr>
        <w:ind w:left="720" w:hanging="360"/>
        <w:rPr>
          <w:rFonts w:ascii="Calibri" w:cs="Calibri" w:eastAsia="Calibri" w:hAnsi="Calibri"/>
        </w:rPr>
      </w:pPr>
      <w:r w:rsidDel="00000000" w:rsidR="00000000" w:rsidRPr="00000000">
        <w:rPr>
          <w:rFonts w:ascii="Calibri" w:cs="Calibri" w:eastAsia="Calibri" w:hAnsi="Calibri"/>
          <w:rtl w:val="0"/>
        </w:rPr>
        <w:t xml:space="preserve">Descartes, R (1985), </w:t>
      </w:r>
      <w:r w:rsidDel="00000000" w:rsidR="00000000" w:rsidRPr="00000000">
        <w:rPr>
          <w:rFonts w:ascii="Calibri" w:cs="Calibri" w:eastAsia="Calibri" w:hAnsi="Calibri"/>
          <w:i w:val="1"/>
          <w:rtl w:val="0"/>
        </w:rPr>
        <w:t xml:space="preserve"> The Philosophical Writings of Descartes</w:t>
      </w:r>
      <w:r w:rsidDel="00000000" w:rsidR="00000000" w:rsidRPr="00000000">
        <w:rPr>
          <w:rFonts w:ascii="Calibri" w:cs="Calibri" w:eastAsia="Calibri" w:hAnsi="Calibri"/>
          <w:rtl w:val="0"/>
        </w:rPr>
        <w:t xml:space="preserve">, translated by Cottingham. J, Stoothoff. R, Murdoch. D, Cambridge University Press</w:t>
      </w:r>
    </w:p>
    <w:p w:rsidR="00000000" w:rsidDel="00000000" w:rsidP="00000000" w:rsidRDefault="00000000" w:rsidRPr="00000000" w14:paraId="0000001E">
      <w:pPr>
        <w:numPr>
          <w:ilvl w:val="0"/>
          <w:numId w:val="1"/>
        </w:numPr>
        <w:ind w:left="720" w:hanging="360"/>
        <w:rPr>
          <w:rFonts w:ascii="Calibri" w:cs="Calibri" w:eastAsia="Calibri" w:hAnsi="Calibri"/>
          <w:u w:val="none"/>
        </w:rPr>
      </w:pPr>
      <w:r w:rsidDel="00000000" w:rsidR="00000000" w:rsidRPr="00000000">
        <w:rPr>
          <w:rFonts w:ascii="Calibri" w:cs="Calibri" w:eastAsia="Calibri" w:hAnsi="Calibri"/>
          <w:rtl w:val="0"/>
        </w:rPr>
        <w:t xml:space="preserve">Dicker, G (2002), </w:t>
      </w:r>
      <w:r w:rsidDel="00000000" w:rsidR="00000000" w:rsidRPr="00000000">
        <w:rPr>
          <w:rFonts w:ascii="Calibri" w:cs="Calibri" w:eastAsia="Calibri" w:hAnsi="Calibri"/>
          <w:i w:val="1"/>
          <w:rtl w:val="0"/>
        </w:rPr>
        <w:t xml:space="preserve">Hume's Epistemology and Metaphysics: An Introduction</w:t>
      </w:r>
      <w:r w:rsidDel="00000000" w:rsidR="00000000" w:rsidRPr="00000000">
        <w:rPr>
          <w:rFonts w:ascii="Calibri" w:cs="Calibri" w:eastAsia="Calibri" w:hAnsi="Calibri"/>
          <w:rtl w:val="0"/>
        </w:rPr>
        <w:t xml:space="preserve">, Routledge</w:t>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1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Kriegel, U (n.d.)</w:t>
      </w:r>
    </w:p>
  </w:footnote>
  <w:footnote w:id="1">
    <w:p w:rsidR="00000000" w:rsidDel="00000000" w:rsidP="00000000" w:rsidRDefault="00000000" w:rsidRPr="00000000" w14:paraId="0000002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Kriegel, U (n.d.)</w:t>
      </w:r>
    </w:p>
  </w:footnote>
  <w:footnote w:id="2">
    <w:p w:rsidR="00000000" w:rsidDel="00000000" w:rsidP="00000000" w:rsidRDefault="00000000" w:rsidRPr="00000000" w14:paraId="0000002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Kriegel, U (n.d.)</w:t>
      </w:r>
    </w:p>
  </w:footnote>
  <w:footnote w:id="3">
    <w:p w:rsidR="00000000" w:rsidDel="00000000" w:rsidP="00000000" w:rsidRDefault="00000000" w:rsidRPr="00000000" w14:paraId="0000002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Kriegel, U (n.d.)</w:t>
      </w:r>
    </w:p>
  </w:footnote>
  <w:footnote w:id="4">
    <w:p w:rsidR="00000000" w:rsidDel="00000000" w:rsidP="00000000" w:rsidRDefault="00000000" w:rsidRPr="00000000" w14:paraId="0000002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Kriegel, U (n.d.)</w:t>
      </w:r>
    </w:p>
  </w:footnote>
  <w:footnote w:id="5">
    <w:p w:rsidR="00000000" w:rsidDel="00000000" w:rsidP="00000000" w:rsidRDefault="00000000" w:rsidRPr="00000000" w14:paraId="0000002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Kriegel, U (n.d.)</w:t>
      </w:r>
    </w:p>
  </w:footnote>
  <w:footnote w:id="6">
    <w:p w:rsidR="00000000" w:rsidDel="00000000" w:rsidP="00000000" w:rsidRDefault="00000000" w:rsidRPr="00000000" w14:paraId="0000002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Descartes, R (1985), p. 127</w:t>
      </w:r>
    </w:p>
  </w:footnote>
  <w:footnote w:id="7">
    <w:p w:rsidR="00000000" w:rsidDel="00000000" w:rsidP="00000000" w:rsidRDefault="00000000" w:rsidRPr="00000000" w14:paraId="0000002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Descartes, R (1985), p. 127</w:t>
      </w:r>
    </w:p>
  </w:footnote>
  <w:footnote w:id="8">
    <w:p w:rsidR="00000000" w:rsidDel="00000000" w:rsidP="00000000" w:rsidRDefault="00000000" w:rsidRPr="00000000" w14:paraId="0000002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Descartes, R (1985), p. 127</w:t>
      </w:r>
    </w:p>
  </w:footnote>
  <w:footnote w:id="9">
    <w:p w:rsidR="00000000" w:rsidDel="00000000" w:rsidP="00000000" w:rsidRDefault="00000000" w:rsidRPr="00000000" w14:paraId="0000002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Hume, D (1817), p. 333</w:t>
      </w:r>
    </w:p>
  </w:footnote>
  <w:footnote w:id="10">
    <w:p w:rsidR="00000000" w:rsidDel="00000000" w:rsidP="00000000" w:rsidRDefault="00000000" w:rsidRPr="00000000" w14:paraId="0000002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Hume, D (1817), p. 333</w:t>
      </w:r>
    </w:p>
  </w:footnote>
  <w:footnote w:id="15">
    <w:p w:rsidR="00000000" w:rsidDel="00000000" w:rsidP="00000000" w:rsidRDefault="00000000" w:rsidRPr="00000000" w14:paraId="0000002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Wittgenstein, L (1965), p. 66</w:t>
      </w:r>
    </w:p>
  </w:footnote>
  <w:footnote w:id="16">
    <w:p w:rsidR="00000000" w:rsidDel="00000000" w:rsidP="00000000" w:rsidRDefault="00000000" w:rsidRPr="00000000" w14:paraId="0000002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Wittgenstein, L (1965), p. 66</w:t>
      </w:r>
    </w:p>
  </w:footnote>
  <w:footnote w:id="17">
    <w:p w:rsidR="00000000" w:rsidDel="00000000" w:rsidP="00000000" w:rsidRDefault="00000000" w:rsidRPr="00000000" w14:paraId="0000002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Wittgenstein, L (2009), p. 130</w:t>
      </w:r>
    </w:p>
  </w:footnote>
  <w:footnote w:id="18">
    <w:p w:rsidR="00000000" w:rsidDel="00000000" w:rsidP="00000000" w:rsidRDefault="00000000" w:rsidRPr="00000000" w14:paraId="0000002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Wittgenstein, L (1965), p. 66 - 67</w:t>
      </w:r>
    </w:p>
  </w:footnote>
  <w:footnote w:id="19">
    <w:p w:rsidR="00000000" w:rsidDel="00000000" w:rsidP="00000000" w:rsidRDefault="00000000" w:rsidRPr="00000000" w14:paraId="0000002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Wittgenstein, L (1965), p. 66 - 67</w:t>
      </w:r>
    </w:p>
  </w:footnote>
  <w:footnote w:id="20">
    <w:p w:rsidR="00000000" w:rsidDel="00000000" w:rsidP="00000000" w:rsidRDefault="00000000" w:rsidRPr="00000000" w14:paraId="0000002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Wittgenstein, L (1965), p. 66 - 67</w:t>
      </w:r>
    </w:p>
  </w:footnote>
  <w:footnote w:id="21">
    <w:p w:rsidR="00000000" w:rsidDel="00000000" w:rsidP="00000000" w:rsidRDefault="00000000" w:rsidRPr="00000000" w14:paraId="0000003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Wittgenstein, L (1965), p. 66 - 67</w:t>
      </w:r>
    </w:p>
  </w:footnote>
  <w:footnote w:id="22">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Wittgenstein, L (1965), p. 66 - 67</w:t>
      </w:r>
    </w:p>
  </w:footnote>
  <w:footnote w:id="11">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Dicker, G (2002), p. 15</w:t>
      </w:r>
    </w:p>
  </w:footnote>
  <w:footnote w:id="12">
    <w:p w:rsidR="00000000" w:rsidDel="00000000" w:rsidP="00000000" w:rsidRDefault="00000000" w:rsidRPr="00000000" w14:paraId="0000003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Dicker, G (2002), p. 15</w:t>
      </w:r>
    </w:p>
  </w:footnote>
  <w:footnote w:id="13">
    <w:p w:rsidR="00000000" w:rsidDel="00000000" w:rsidP="00000000" w:rsidRDefault="00000000" w:rsidRPr="00000000" w14:paraId="0000003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Dicker, G (2002), p. 15</w:t>
      </w:r>
    </w:p>
  </w:footnote>
  <w:footnote w:id="14">
    <w:p w:rsidR="00000000" w:rsidDel="00000000" w:rsidP="00000000" w:rsidRDefault="00000000" w:rsidRPr="00000000" w14:paraId="0000003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Dicker, G (2002), p. 21</w:t>
      </w:r>
    </w:p>
  </w:footnote>
  <w:footnote w:id="26">
    <w:p w:rsidR="00000000" w:rsidDel="00000000" w:rsidP="00000000" w:rsidRDefault="00000000" w:rsidRPr="00000000" w14:paraId="0000003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Wittgenstein, L (2009), p. 130</w:t>
      </w:r>
    </w:p>
  </w:footnote>
  <w:footnote w:id="27">
    <w:p w:rsidR="00000000" w:rsidDel="00000000" w:rsidP="00000000" w:rsidRDefault="00000000" w:rsidRPr="00000000" w14:paraId="0000003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Wittgenstein, L (2009), p. 130</w:t>
      </w:r>
    </w:p>
  </w:footnote>
  <w:footnote w:id="29">
    <w:p w:rsidR="00000000" w:rsidDel="00000000" w:rsidP="00000000" w:rsidRDefault="00000000" w:rsidRPr="00000000" w14:paraId="0000003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Wittgenstein, L (1965), p. 67</w:t>
      </w:r>
    </w:p>
  </w:footnote>
  <w:footnote w:id="31">
    <w:p w:rsidR="00000000" w:rsidDel="00000000" w:rsidP="00000000" w:rsidRDefault="00000000" w:rsidRPr="00000000" w14:paraId="000000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Wittgenstein, L (2009), p. 404</w:t>
      </w:r>
    </w:p>
  </w:footnote>
  <w:footnote w:id="30">
    <w:p w:rsidR="00000000" w:rsidDel="00000000" w:rsidP="00000000" w:rsidRDefault="00000000" w:rsidRPr="00000000" w14:paraId="000000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Wittgenstein, L (2009), p. 404</w:t>
      </w:r>
    </w:p>
  </w:footnote>
  <w:footnote w:id="23">
    <w:p w:rsidR="00000000" w:rsidDel="00000000" w:rsidP="00000000" w:rsidRDefault="00000000" w:rsidRPr="00000000" w14:paraId="000000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Descartes, R (1985), p. 127</w:t>
      </w:r>
    </w:p>
  </w:footnote>
  <w:footnote w:id="25">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Wittgenstein, L (1965), p. 66 - 67</w:t>
      </w:r>
    </w:p>
  </w:footnote>
  <w:footnote w:id="24">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Wittgenstein, L (1965), p. 66 - 67</w:t>
      </w:r>
    </w:p>
  </w:footnote>
  <w:footnote w:id="28">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Wittgenstein, L (1965), p. 66 - 67</w:t>
      </w:r>
    </w:p>
  </w:footnote>
  <w:footnote w:id="32">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Descartes, R (1985), p. 127</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iep.utm.edu/self-c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