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F01AE6" w14:textId="77777777" w:rsidR="00F145FF" w:rsidRPr="00ED575E" w:rsidRDefault="00BC558C" w:rsidP="00F145FF">
      <w:pPr>
        <w:pStyle w:val="NormalWeb"/>
        <w:spacing w:before="0" w:beforeAutospacing="0" w:after="0" w:afterAutospacing="0"/>
        <w:ind w:left="-180" w:right="-334"/>
        <w:rPr>
          <w:color w:val="auto"/>
        </w:rPr>
      </w:pPr>
      <w:r w:rsidRPr="00ED575E">
        <w:rPr>
          <w:b/>
          <w:color w:val="auto"/>
          <w:sz w:val="28"/>
          <w:szCs w:val="28"/>
        </w:rPr>
        <w:br/>
      </w:r>
      <w:r w:rsidR="00F145FF" w:rsidRPr="00ED575E">
        <w:rPr>
          <w:noProof/>
          <w:color w:val="auto"/>
        </w:rPr>
        <w:drawing>
          <wp:inline distT="0" distB="0" distL="0" distR="0" wp14:anchorId="2E2CD59E" wp14:editId="090BD655">
            <wp:extent cx="1910080" cy="634365"/>
            <wp:effectExtent l="25400" t="25400" r="7620" b="13335"/>
            <wp:docPr id="1" name="Picture 1"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0080" cy="634365"/>
                    </a:xfrm>
                    <a:prstGeom prst="rect">
                      <a:avLst/>
                    </a:prstGeom>
                    <a:noFill/>
                    <a:ln w="19050" cmpd="sng">
                      <a:solidFill>
                        <a:srgbClr val="000000"/>
                      </a:solidFill>
                      <a:miter lim="800000"/>
                      <a:headEnd/>
                      <a:tailEnd/>
                    </a:ln>
                    <a:effectLst/>
                  </pic:spPr>
                </pic:pic>
              </a:graphicData>
            </a:graphic>
          </wp:inline>
        </w:drawing>
      </w:r>
    </w:p>
    <w:p w14:paraId="6744A1D3" w14:textId="77777777" w:rsidR="00F145FF" w:rsidRPr="00ED575E" w:rsidRDefault="00F145FF" w:rsidP="00F145FF">
      <w:pPr>
        <w:pStyle w:val="NormalWeb"/>
        <w:spacing w:before="0" w:beforeAutospacing="0" w:after="0" w:afterAutospacing="0"/>
        <w:ind w:left="-180" w:right="-334"/>
        <w:rPr>
          <w:color w:val="auto"/>
        </w:rPr>
      </w:pPr>
    </w:p>
    <w:p w14:paraId="4F01054D" w14:textId="77777777" w:rsidR="00F145FF" w:rsidRPr="00ED575E" w:rsidRDefault="00F145FF" w:rsidP="00F145FF">
      <w:pPr>
        <w:pStyle w:val="NormalWeb"/>
        <w:spacing w:before="0" w:beforeAutospacing="0" w:after="0" w:afterAutospacing="0"/>
        <w:ind w:left="-180" w:right="-334"/>
        <w:rPr>
          <w:color w:val="auto"/>
        </w:rPr>
      </w:pPr>
    </w:p>
    <w:p w14:paraId="75353928" w14:textId="77777777" w:rsidR="00F145FF" w:rsidRPr="00ED575E" w:rsidRDefault="00F145FF" w:rsidP="00F145FF">
      <w:pPr>
        <w:pStyle w:val="NormalWeb"/>
        <w:spacing w:before="0" w:beforeAutospacing="0" w:after="0" w:afterAutospacing="0"/>
        <w:ind w:left="-180" w:right="-334"/>
        <w:jc w:val="center"/>
        <w:rPr>
          <w:rFonts w:ascii="Arial" w:hAnsi="Arial" w:cs="Arial"/>
          <w:b/>
          <w:color w:val="auto"/>
          <w:sz w:val="28"/>
          <w:szCs w:val="28"/>
        </w:rPr>
      </w:pPr>
      <w:r w:rsidRPr="00ED575E">
        <w:rPr>
          <w:rFonts w:ascii="Arial" w:hAnsi="Arial" w:cs="Arial"/>
          <w:b/>
          <w:color w:val="auto"/>
          <w:sz w:val="28"/>
          <w:szCs w:val="28"/>
        </w:rPr>
        <w:t xml:space="preserve">Postgraduate/Distance Learning </w:t>
      </w:r>
    </w:p>
    <w:p w14:paraId="15DE99BD" w14:textId="77777777" w:rsidR="00F145FF" w:rsidRPr="00ED575E" w:rsidRDefault="00F145FF" w:rsidP="00F145FF">
      <w:pPr>
        <w:pStyle w:val="NormalWeb"/>
        <w:spacing w:before="0" w:beforeAutospacing="0" w:after="0" w:afterAutospacing="0"/>
        <w:ind w:left="-180" w:right="-334"/>
        <w:jc w:val="center"/>
        <w:rPr>
          <w:rFonts w:ascii="Arial" w:hAnsi="Arial" w:cs="Arial"/>
          <w:b/>
          <w:color w:val="auto"/>
          <w:sz w:val="28"/>
          <w:szCs w:val="28"/>
        </w:rPr>
      </w:pPr>
      <w:r w:rsidRPr="00ED575E">
        <w:rPr>
          <w:rFonts w:ascii="Arial" w:hAnsi="Arial" w:cs="Arial"/>
          <w:b/>
          <w:color w:val="auto"/>
          <w:sz w:val="28"/>
          <w:szCs w:val="28"/>
        </w:rPr>
        <w:t>Assignment coversheet &amp; feedback form</w:t>
      </w:r>
    </w:p>
    <w:p w14:paraId="17BC91D9" w14:textId="77777777" w:rsidR="00F145FF" w:rsidRPr="00ED575E" w:rsidRDefault="00F145FF" w:rsidP="00F145FF">
      <w:pPr>
        <w:rPr>
          <w:sz w:val="28"/>
          <w:szCs w:val="28"/>
        </w:rPr>
      </w:pPr>
    </w:p>
    <w:p w14:paraId="3833EF6D" w14:textId="77777777" w:rsidR="00F145FF" w:rsidRPr="00ED575E" w:rsidRDefault="00F145FF" w:rsidP="00F145FF">
      <w:pPr>
        <w:pStyle w:val="Heading3"/>
        <w:jc w:val="center"/>
        <w:rPr>
          <w:color w:val="auto"/>
        </w:rPr>
      </w:pPr>
      <w:r w:rsidRPr="00ED575E">
        <w:rPr>
          <w:color w:val="auto"/>
        </w:rPr>
        <w:t>THIS SHEET MUST BE THE FIRST PAGE OF THE ASSIGNMENT YOU ARE SUBMITTING  (DO NOT SEND AS A SEPARATE FILE)</w:t>
      </w:r>
    </w:p>
    <w:p w14:paraId="3B74E7EA" w14:textId="77777777" w:rsidR="00F145FF" w:rsidRPr="00ED575E" w:rsidRDefault="00F145FF" w:rsidP="00F145FF">
      <w:pPr>
        <w:pStyle w:val="Heading3"/>
        <w:jc w:val="center"/>
        <w:rPr>
          <w:rFonts w:ascii="Trebuchet MS" w:hAnsi="Trebuchet MS"/>
          <w:color w:val="aut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ED575E" w:rsidRPr="00ED575E" w14:paraId="6BB1B984" w14:textId="77777777" w:rsidTr="00C45A81">
        <w:trPr>
          <w:trHeight w:val="614"/>
        </w:trPr>
        <w:tc>
          <w:tcPr>
            <w:tcW w:w="8856" w:type="dxa"/>
            <w:gridSpan w:val="5"/>
          </w:tcPr>
          <w:p w14:paraId="0EF1C225" w14:textId="77777777" w:rsidR="00F145FF" w:rsidRPr="00ED575E" w:rsidRDefault="00F145FF" w:rsidP="00C45A81">
            <w:pPr>
              <w:pStyle w:val="NormalWeb"/>
              <w:spacing w:before="0" w:beforeAutospacing="0" w:after="0" w:afterAutospacing="0"/>
              <w:ind w:right="34"/>
              <w:rPr>
                <w:rFonts w:ascii="Arial" w:hAnsi="Arial" w:cs="Arial"/>
                <w:color w:val="auto"/>
                <w:sz w:val="22"/>
                <w:szCs w:val="22"/>
              </w:rPr>
            </w:pPr>
            <w:r w:rsidRPr="00ED575E">
              <w:rPr>
                <w:rFonts w:ascii="Arial" w:hAnsi="Arial" w:cs="Arial"/>
                <w:b/>
                <w:color w:val="auto"/>
                <w:sz w:val="22"/>
                <w:szCs w:val="22"/>
              </w:rPr>
              <w:t>For completion by the student</w:t>
            </w:r>
            <w:r w:rsidRPr="00ED575E">
              <w:rPr>
                <w:rFonts w:ascii="Arial" w:hAnsi="Arial" w:cs="Arial"/>
                <w:color w:val="auto"/>
                <w:sz w:val="22"/>
                <w:szCs w:val="22"/>
              </w:rPr>
              <w:t xml:space="preserve">: </w:t>
            </w:r>
          </w:p>
        </w:tc>
      </w:tr>
      <w:tr w:rsidR="00ED575E" w:rsidRPr="00ED575E" w14:paraId="1A6C8BAA" w14:textId="77777777" w:rsidTr="00C45A81">
        <w:trPr>
          <w:trHeight w:val="557"/>
        </w:trPr>
        <w:tc>
          <w:tcPr>
            <w:tcW w:w="8856" w:type="dxa"/>
            <w:gridSpan w:val="5"/>
          </w:tcPr>
          <w:p w14:paraId="1C26E003" w14:textId="77777777" w:rsidR="00F145FF" w:rsidRPr="00ED575E" w:rsidRDefault="00F145FF" w:rsidP="00C45A81">
            <w:pPr>
              <w:pStyle w:val="NormalWeb"/>
              <w:spacing w:before="0" w:beforeAutospacing="0" w:after="0" w:afterAutospacing="0"/>
              <w:ind w:right="34"/>
              <w:rPr>
                <w:rFonts w:ascii="Arial" w:hAnsi="Arial" w:cs="Arial"/>
                <w:color w:val="auto"/>
                <w:sz w:val="22"/>
                <w:szCs w:val="22"/>
              </w:rPr>
            </w:pPr>
            <w:r w:rsidRPr="00ED575E">
              <w:rPr>
                <w:rFonts w:ascii="Arial" w:hAnsi="Arial" w:cs="Arial"/>
                <w:color w:val="auto"/>
                <w:sz w:val="22"/>
                <w:szCs w:val="22"/>
              </w:rPr>
              <w:t>Student Name:  Jake Eshelman</w:t>
            </w:r>
          </w:p>
        </w:tc>
      </w:tr>
      <w:tr w:rsidR="00ED575E" w:rsidRPr="00ED575E" w14:paraId="7407E512" w14:textId="77777777" w:rsidTr="00C45A81">
        <w:trPr>
          <w:trHeight w:val="849"/>
        </w:trPr>
        <w:tc>
          <w:tcPr>
            <w:tcW w:w="4788" w:type="dxa"/>
          </w:tcPr>
          <w:p w14:paraId="5136B18E" w14:textId="77777777" w:rsidR="00F145FF" w:rsidRPr="00ED575E" w:rsidRDefault="00F145FF" w:rsidP="00C45A81">
            <w:pPr>
              <w:pStyle w:val="NormalWeb"/>
              <w:ind w:right="34"/>
              <w:rPr>
                <w:rFonts w:ascii="Arial" w:hAnsi="Arial" w:cs="Arial"/>
                <w:color w:val="auto"/>
                <w:sz w:val="22"/>
                <w:szCs w:val="22"/>
              </w:rPr>
            </w:pPr>
            <w:r w:rsidRPr="00ED575E">
              <w:rPr>
                <w:rFonts w:ascii="Arial" w:hAnsi="Arial" w:cs="Arial"/>
                <w:color w:val="auto"/>
                <w:sz w:val="22"/>
                <w:szCs w:val="22"/>
              </w:rPr>
              <w:t>Module code: HPCA7013</w:t>
            </w:r>
            <w:r w:rsidRPr="00ED575E">
              <w:rPr>
                <w:rFonts w:ascii="Arial" w:hAnsi="Arial" w:cs="Arial"/>
                <w:color w:val="auto"/>
                <w:sz w:val="22"/>
                <w:szCs w:val="22"/>
              </w:rPr>
              <w:br/>
            </w:r>
          </w:p>
          <w:p w14:paraId="3A46624A" w14:textId="77777777" w:rsidR="00F145FF" w:rsidRPr="00ED575E" w:rsidRDefault="00F145FF" w:rsidP="00C45A81">
            <w:pPr>
              <w:pStyle w:val="NormalWeb"/>
              <w:spacing w:before="0" w:beforeAutospacing="0" w:after="0" w:afterAutospacing="0"/>
              <w:ind w:right="34"/>
              <w:rPr>
                <w:rFonts w:ascii="Arial" w:hAnsi="Arial" w:cs="Arial"/>
                <w:color w:val="auto"/>
                <w:sz w:val="22"/>
                <w:szCs w:val="22"/>
              </w:rPr>
            </w:pPr>
            <w:r w:rsidRPr="00ED575E">
              <w:rPr>
                <w:rFonts w:ascii="Arial" w:hAnsi="Arial" w:cs="Arial"/>
                <w:color w:val="auto"/>
                <w:sz w:val="22"/>
                <w:szCs w:val="22"/>
              </w:rPr>
              <w:t>Module title: Cosmology, Magic &amp; Divination</w:t>
            </w:r>
          </w:p>
          <w:p w14:paraId="39357239" w14:textId="77777777" w:rsidR="00F145FF" w:rsidRPr="00ED575E" w:rsidRDefault="00F145FF" w:rsidP="00C45A81">
            <w:pPr>
              <w:pStyle w:val="NormalWeb"/>
              <w:spacing w:before="0" w:beforeAutospacing="0" w:after="0" w:afterAutospacing="0"/>
              <w:ind w:right="34"/>
              <w:rPr>
                <w:rFonts w:ascii="Arial" w:hAnsi="Arial" w:cs="Arial"/>
                <w:color w:val="auto"/>
                <w:sz w:val="22"/>
                <w:szCs w:val="22"/>
              </w:rPr>
            </w:pPr>
          </w:p>
        </w:tc>
        <w:tc>
          <w:tcPr>
            <w:tcW w:w="2266" w:type="dxa"/>
            <w:gridSpan w:val="3"/>
          </w:tcPr>
          <w:p w14:paraId="526BB72B" w14:textId="77777777" w:rsidR="00F145FF" w:rsidRPr="00ED575E" w:rsidRDefault="00F145FF" w:rsidP="00C45A81">
            <w:pPr>
              <w:pStyle w:val="NormalWeb"/>
              <w:spacing w:before="0" w:beforeAutospacing="0" w:after="0" w:afterAutospacing="0"/>
              <w:ind w:right="34"/>
              <w:rPr>
                <w:rFonts w:ascii="Arial" w:hAnsi="Arial" w:cs="Arial"/>
                <w:color w:val="auto"/>
                <w:sz w:val="22"/>
                <w:szCs w:val="22"/>
              </w:rPr>
            </w:pPr>
            <w:r w:rsidRPr="00ED575E">
              <w:rPr>
                <w:rFonts w:ascii="Arial" w:hAnsi="Arial" w:cs="Arial"/>
                <w:color w:val="auto"/>
                <w:sz w:val="22"/>
                <w:szCs w:val="22"/>
              </w:rPr>
              <w:t>Student ID number:</w:t>
            </w:r>
            <w:r w:rsidRPr="00ED575E">
              <w:rPr>
                <w:rFonts w:ascii="Arial" w:hAnsi="Arial" w:cs="Arial"/>
                <w:color w:val="auto"/>
                <w:sz w:val="22"/>
                <w:szCs w:val="22"/>
              </w:rPr>
              <w:br/>
            </w:r>
            <w:r w:rsidRPr="00ED575E">
              <w:rPr>
                <w:rFonts w:ascii="Arial" w:hAnsi="Arial" w:cs="Arial"/>
                <w:color w:val="auto"/>
                <w:sz w:val="22"/>
                <w:szCs w:val="22"/>
              </w:rPr>
              <w:br/>
            </w:r>
            <w:r w:rsidRPr="00ED575E">
              <w:rPr>
                <w:rFonts w:ascii="Arial" w:hAnsi="Arial" w:cs="Arial"/>
                <w:color w:val="auto"/>
                <w:sz w:val="22"/>
                <w:szCs w:val="22"/>
              </w:rPr>
              <w:br/>
              <w:t>2025460</w:t>
            </w:r>
          </w:p>
        </w:tc>
        <w:tc>
          <w:tcPr>
            <w:tcW w:w="1802" w:type="dxa"/>
          </w:tcPr>
          <w:p w14:paraId="095ECAE2" w14:textId="77777777" w:rsidR="00F145FF" w:rsidRPr="00ED575E" w:rsidRDefault="00F145FF" w:rsidP="00C45A81">
            <w:pPr>
              <w:pStyle w:val="NormalWeb"/>
              <w:spacing w:before="0" w:beforeAutospacing="0" w:after="0" w:afterAutospacing="0"/>
              <w:ind w:right="34"/>
              <w:rPr>
                <w:rFonts w:ascii="Arial" w:hAnsi="Arial" w:cs="Arial"/>
                <w:color w:val="auto"/>
                <w:sz w:val="22"/>
                <w:szCs w:val="22"/>
              </w:rPr>
            </w:pPr>
            <w:r w:rsidRPr="00ED575E">
              <w:rPr>
                <w:rFonts w:ascii="Arial" w:hAnsi="Arial" w:cs="Arial"/>
                <w:color w:val="auto"/>
                <w:sz w:val="22"/>
                <w:szCs w:val="22"/>
              </w:rPr>
              <w:t>Educational support needs:</w:t>
            </w:r>
            <w:r w:rsidRPr="00ED575E">
              <w:rPr>
                <w:rFonts w:ascii="Arial" w:hAnsi="Arial" w:cs="Arial"/>
                <w:color w:val="auto"/>
                <w:sz w:val="22"/>
                <w:szCs w:val="22"/>
              </w:rPr>
              <w:br/>
            </w:r>
          </w:p>
          <w:p w14:paraId="149A06E9" w14:textId="77777777" w:rsidR="00F145FF" w:rsidRPr="00ED575E" w:rsidRDefault="00F145FF" w:rsidP="00C45A81">
            <w:pPr>
              <w:pStyle w:val="NormalWeb"/>
              <w:spacing w:before="0" w:beforeAutospacing="0" w:after="0" w:afterAutospacing="0"/>
              <w:ind w:right="34"/>
              <w:rPr>
                <w:rFonts w:ascii="Arial" w:hAnsi="Arial" w:cs="Arial"/>
                <w:color w:val="auto"/>
                <w:sz w:val="22"/>
                <w:szCs w:val="22"/>
              </w:rPr>
            </w:pPr>
            <w:r w:rsidRPr="00ED575E">
              <w:rPr>
                <w:rFonts w:ascii="Arial" w:hAnsi="Arial" w:cs="Arial"/>
                <w:color w:val="auto"/>
                <w:sz w:val="22"/>
                <w:szCs w:val="22"/>
              </w:rPr>
              <w:t>No</w:t>
            </w:r>
          </w:p>
        </w:tc>
      </w:tr>
      <w:tr w:rsidR="00ED575E" w:rsidRPr="00ED575E" w14:paraId="2DA0A3AD" w14:textId="77777777" w:rsidTr="00C45A81">
        <w:trPr>
          <w:trHeight w:val="1025"/>
        </w:trPr>
        <w:tc>
          <w:tcPr>
            <w:tcW w:w="8856" w:type="dxa"/>
            <w:gridSpan w:val="5"/>
          </w:tcPr>
          <w:p w14:paraId="6DEBC7DE" w14:textId="77777777" w:rsidR="00F145FF" w:rsidRPr="00ED575E" w:rsidRDefault="00F145FF" w:rsidP="00C45A81">
            <w:pPr>
              <w:pStyle w:val="NormalWeb"/>
              <w:ind w:right="34"/>
              <w:rPr>
                <w:rFonts w:ascii="Arial" w:hAnsi="Arial" w:cs="Arial"/>
                <w:color w:val="auto"/>
                <w:sz w:val="22"/>
                <w:szCs w:val="22"/>
              </w:rPr>
            </w:pPr>
            <w:r w:rsidRPr="00ED575E">
              <w:rPr>
                <w:rFonts w:ascii="Arial" w:hAnsi="Arial" w:cs="Arial"/>
                <w:color w:val="auto"/>
                <w:sz w:val="22"/>
                <w:szCs w:val="22"/>
              </w:rPr>
              <w:t>Module tutor: Crystal Addey, Dawn Collins &amp; Dorian Greenbaum</w:t>
            </w:r>
          </w:p>
          <w:p w14:paraId="095F71E2" w14:textId="77777777" w:rsidR="00F145FF" w:rsidRPr="00ED575E" w:rsidRDefault="00F145FF" w:rsidP="00C45A81">
            <w:pPr>
              <w:pStyle w:val="NormalWeb"/>
              <w:spacing w:before="0" w:beforeAutospacing="0" w:after="0" w:afterAutospacing="0"/>
              <w:ind w:right="34"/>
              <w:rPr>
                <w:rFonts w:ascii="Arial" w:hAnsi="Arial" w:cs="Arial"/>
                <w:color w:val="auto"/>
                <w:sz w:val="22"/>
                <w:szCs w:val="22"/>
              </w:rPr>
            </w:pPr>
            <w:r w:rsidRPr="00ED575E">
              <w:rPr>
                <w:rFonts w:ascii="Arial" w:hAnsi="Arial" w:cs="Arial"/>
                <w:color w:val="auto"/>
                <w:sz w:val="22"/>
                <w:szCs w:val="22"/>
              </w:rPr>
              <w:t>Assignment due date: 22 Mar, 2021</w:t>
            </w:r>
          </w:p>
        </w:tc>
      </w:tr>
      <w:tr w:rsidR="00ED575E" w:rsidRPr="00ED575E" w14:paraId="3F7C869E" w14:textId="77777777" w:rsidTr="00C45A81">
        <w:trPr>
          <w:trHeight w:val="978"/>
        </w:trPr>
        <w:tc>
          <w:tcPr>
            <w:tcW w:w="8856" w:type="dxa"/>
            <w:gridSpan w:val="5"/>
            <w:tcBorders>
              <w:bottom w:val="single" w:sz="4" w:space="0" w:color="000000"/>
            </w:tcBorders>
          </w:tcPr>
          <w:p w14:paraId="06B3DCA6" w14:textId="77777777" w:rsidR="00F145FF" w:rsidRPr="00ED575E" w:rsidRDefault="00F145FF" w:rsidP="00C45A81">
            <w:r w:rsidRPr="00ED575E">
              <w:t>If your module has multiple submissions please indicate which piece of work this is.</w:t>
            </w:r>
          </w:p>
          <w:p w14:paraId="3D2473A4" w14:textId="77777777" w:rsidR="00F145FF" w:rsidRPr="00ED575E" w:rsidRDefault="00F145FF" w:rsidP="00C45A81"/>
          <w:p w14:paraId="3A754248" w14:textId="77777777" w:rsidR="00F145FF" w:rsidRPr="00ED575E" w:rsidRDefault="00F145FF" w:rsidP="00C45A81">
            <w:r w:rsidRPr="00ED575E">
              <w:t>1</w:t>
            </w:r>
            <w:r w:rsidRPr="00ED575E">
              <w:rPr>
                <w:vertAlign w:val="superscript"/>
              </w:rPr>
              <w:t xml:space="preserve">st </w:t>
            </w:r>
            <w:r w:rsidRPr="00ED575E">
              <w:fldChar w:fldCharType="begin">
                <w:ffData>
                  <w:name w:val="Check13"/>
                  <w:enabled/>
                  <w:calcOnExit w:val="0"/>
                  <w:checkBox>
                    <w:sizeAuto/>
                    <w:default w:val="1"/>
                  </w:checkBox>
                </w:ffData>
              </w:fldChar>
            </w:r>
            <w:bookmarkStart w:id="0" w:name="Check13"/>
            <w:r w:rsidRPr="00ED575E">
              <w:instrText xml:space="preserve"> FORMCHECKBOX </w:instrText>
            </w:r>
            <w:r w:rsidR="00AA1801" w:rsidRPr="00ED575E">
              <w:fldChar w:fldCharType="separate"/>
            </w:r>
            <w:r w:rsidRPr="00ED575E">
              <w:fldChar w:fldCharType="end"/>
            </w:r>
            <w:bookmarkEnd w:id="0"/>
            <w:r w:rsidRPr="00ED575E">
              <w:t xml:space="preserve">    2</w:t>
            </w:r>
            <w:r w:rsidRPr="00ED575E">
              <w:rPr>
                <w:vertAlign w:val="superscript"/>
              </w:rPr>
              <w:t>nd</w:t>
            </w:r>
            <w:r w:rsidRPr="00ED575E">
              <w:t xml:space="preserve">  </w:t>
            </w:r>
            <w:r w:rsidRPr="00ED575E">
              <w:fldChar w:fldCharType="begin">
                <w:ffData>
                  <w:name w:val="Check14"/>
                  <w:enabled/>
                  <w:calcOnExit w:val="0"/>
                  <w:checkBox>
                    <w:sizeAuto/>
                    <w:default w:val="0"/>
                  </w:checkBox>
                </w:ffData>
              </w:fldChar>
            </w:r>
            <w:bookmarkStart w:id="1" w:name="Check14"/>
            <w:r w:rsidRPr="00ED575E">
              <w:instrText xml:space="preserve"> FORMCHECKBOX </w:instrText>
            </w:r>
            <w:r w:rsidR="00AA1801" w:rsidRPr="00ED575E">
              <w:fldChar w:fldCharType="separate"/>
            </w:r>
            <w:r w:rsidRPr="00ED575E">
              <w:fldChar w:fldCharType="end"/>
            </w:r>
            <w:bookmarkEnd w:id="1"/>
            <w:r w:rsidRPr="00ED575E">
              <w:t xml:space="preserve">     3</w:t>
            </w:r>
            <w:r w:rsidRPr="00ED575E">
              <w:rPr>
                <w:vertAlign w:val="superscript"/>
              </w:rPr>
              <w:t>rd</w:t>
            </w:r>
            <w:r w:rsidRPr="00ED575E">
              <w:t xml:space="preserve">  </w:t>
            </w:r>
            <w:r w:rsidRPr="00ED575E">
              <w:fldChar w:fldCharType="begin">
                <w:ffData>
                  <w:name w:val="Check15"/>
                  <w:enabled/>
                  <w:calcOnExit w:val="0"/>
                  <w:checkBox>
                    <w:sizeAuto/>
                    <w:default w:val="0"/>
                  </w:checkBox>
                </w:ffData>
              </w:fldChar>
            </w:r>
            <w:bookmarkStart w:id="2" w:name="Check15"/>
            <w:r w:rsidRPr="00ED575E">
              <w:instrText xml:space="preserve"> FORMCHECKBOX </w:instrText>
            </w:r>
            <w:r w:rsidR="00AA1801" w:rsidRPr="00ED575E">
              <w:fldChar w:fldCharType="separate"/>
            </w:r>
            <w:r w:rsidRPr="00ED575E">
              <w:fldChar w:fldCharType="end"/>
            </w:r>
            <w:bookmarkEnd w:id="2"/>
            <w:r w:rsidRPr="00ED575E">
              <w:t xml:space="preserve">      4</w:t>
            </w:r>
            <w:r w:rsidRPr="00ED575E">
              <w:rPr>
                <w:vertAlign w:val="superscript"/>
              </w:rPr>
              <w:t>th</w:t>
            </w:r>
            <w:r w:rsidRPr="00ED575E">
              <w:t xml:space="preserve"> </w:t>
            </w:r>
            <w:r w:rsidRPr="00ED575E">
              <w:fldChar w:fldCharType="begin">
                <w:ffData>
                  <w:name w:val="Check16"/>
                  <w:enabled/>
                  <w:calcOnExit w:val="0"/>
                  <w:checkBox>
                    <w:sizeAuto/>
                    <w:default w:val="0"/>
                  </w:checkBox>
                </w:ffData>
              </w:fldChar>
            </w:r>
            <w:bookmarkStart w:id="3" w:name="Check16"/>
            <w:r w:rsidRPr="00ED575E">
              <w:instrText xml:space="preserve"> FORMCHECKBOX </w:instrText>
            </w:r>
            <w:r w:rsidR="00AA1801" w:rsidRPr="00ED575E">
              <w:fldChar w:fldCharType="separate"/>
            </w:r>
            <w:r w:rsidRPr="00ED575E">
              <w:fldChar w:fldCharType="end"/>
            </w:r>
            <w:bookmarkEnd w:id="3"/>
            <w:r w:rsidRPr="00ED575E">
              <w:t xml:space="preserve">      5</w:t>
            </w:r>
            <w:r w:rsidRPr="00ED575E">
              <w:rPr>
                <w:vertAlign w:val="superscript"/>
              </w:rPr>
              <w:t>th</w:t>
            </w:r>
            <w:r w:rsidRPr="00ED575E">
              <w:t xml:space="preserve"> </w:t>
            </w:r>
            <w:r w:rsidRPr="00ED575E">
              <w:fldChar w:fldCharType="begin">
                <w:ffData>
                  <w:name w:val="Check17"/>
                  <w:enabled/>
                  <w:calcOnExit w:val="0"/>
                  <w:checkBox>
                    <w:sizeAuto/>
                    <w:default w:val="0"/>
                  </w:checkBox>
                </w:ffData>
              </w:fldChar>
            </w:r>
            <w:bookmarkStart w:id="4" w:name="Check17"/>
            <w:r w:rsidRPr="00ED575E">
              <w:instrText xml:space="preserve"> FORMCHECKBOX </w:instrText>
            </w:r>
            <w:r w:rsidR="00AA1801" w:rsidRPr="00ED575E">
              <w:fldChar w:fldCharType="separate"/>
            </w:r>
            <w:r w:rsidRPr="00ED575E">
              <w:fldChar w:fldCharType="end"/>
            </w:r>
            <w:bookmarkEnd w:id="4"/>
            <w:r w:rsidRPr="00ED575E">
              <w:t xml:space="preserve">      6</w:t>
            </w:r>
            <w:r w:rsidRPr="00ED575E">
              <w:rPr>
                <w:vertAlign w:val="superscript"/>
              </w:rPr>
              <w:t>th</w:t>
            </w:r>
            <w:r w:rsidRPr="00ED575E">
              <w:t xml:space="preserve"> </w:t>
            </w:r>
            <w:r w:rsidRPr="00ED575E">
              <w:fldChar w:fldCharType="begin">
                <w:ffData>
                  <w:name w:val="Check18"/>
                  <w:enabled/>
                  <w:calcOnExit w:val="0"/>
                  <w:checkBox>
                    <w:sizeAuto/>
                    <w:default w:val="0"/>
                  </w:checkBox>
                </w:ffData>
              </w:fldChar>
            </w:r>
            <w:bookmarkStart w:id="5" w:name="Check18"/>
            <w:r w:rsidRPr="00ED575E">
              <w:instrText xml:space="preserve"> FORMCHECKBOX </w:instrText>
            </w:r>
            <w:r w:rsidR="00AA1801" w:rsidRPr="00ED575E">
              <w:fldChar w:fldCharType="separate"/>
            </w:r>
            <w:r w:rsidRPr="00ED575E">
              <w:fldChar w:fldCharType="end"/>
            </w:r>
            <w:bookmarkEnd w:id="5"/>
          </w:p>
        </w:tc>
      </w:tr>
      <w:tr w:rsidR="00ED575E" w:rsidRPr="00ED575E" w14:paraId="0D71F346" w14:textId="77777777" w:rsidTr="00C45A81">
        <w:trPr>
          <w:trHeight w:val="978"/>
        </w:trPr>
        <w:tc>
          <w:tcPr>
            <w:tcW w:w="8856" w:type="dxa"/>
            <w:gridSpan w:val="5"/>
            <w:shd w:val="clear" w:color="auto" w:fill="D9D9D9"/>
          </w:tcPr>
          <w:p w14:paraId="274539A9" w14:textId="77777777" w:rsidR="00F145FF" w:rsidRPr="00ED575E" w:rsidRDefault="00F145FF" w:rsidP="00C45A81">
            <w:pPr>
              <w:pStyle w:val="NormalWeb"/>
              <w:spacing w:before="0" w:beforeAutospacing="0" w:after="0" w:afterAutospacing="0"/>
              <w:ind w:right="34"/>
              <w:rPr>
                <w:rFonts w:ascii="Arial" w:hAnsi="Arial" w:cs="Arial"/>
                <w:color w:val="auto"/>
                <w:sz w:val="22"/>
                <w:szCs w:val="22"/>
              </w:rPr>
            </w:pPr>
            <w:r w:rsidRPr="00ED575E">
              <w:rPr>
                <w:rFonts w:ascii="Arial" w:hAnsi="Arial" w:cs="Arial"/>
                <w:color w:val="auto"/>
                <w:sz w:val="22"/>
                <w:szCs w:val="22"/>
              </w:rPr>
              <w:t>I confirm that this is my original work and that I have adhered to the University policy on plagiarism.</w:t>
            </w:r>
          </w:p>
          <w:p w14:paraId="25C1CF34" w14:textId="77777777" w:rsidR="00F145FF" w:rsidRPr="00ED575E" w:rsidRDefault="00F145FF" w:rsidP="00C45A81">
            <w:pPr>
              <w:pStyle w:val="NormalWeb"/>
              <w:spacing w:before="0" w:beforeAutospacing="0" w:after="0" w:afterAutospacing="0"/>
              <w:ind w:right="34"/>
              <w:rPr>
                <w:rFonts w:ascii="Arial" w:hAnsi="Arial" w:cs="Arial"/>
                <w:color w:val="auto"/>
                <w:sz w:val="22"/>
                <w:szCs w:val="22"/>
              </w:rPr>
            </w:pPr>
            <w:r w:rsidRPr="00ED575E">
              <w:rPr>
                <w:rFonts w:ascii="Arial" w:hAnsi="Arial" w:cs="Arial"/>
                <w:color w:val="auto"/>
                <w:sz w:val="22"/>
                <w:szCs w:val="22"/>
              </w:rPr>
              <w:t>Signed ………………Jake Eshelman…………………</w:t>
            </w:r>
          </w:p>
          <w:p w14:paraId="1736CA52" w14:textId="77777777" w:rsidR="00F145FF" w:rsidRPr="00ED575E" w:rsidRDefault="00F145FF" w:rsidP="00C45A81">
            <w:pPr>
              <w:pStyle w:val="NormalWeb"/>
              <w:spacing w:before="0" w:beforeAutospacing="0" w:after="0" w:afterAutospacing="0"/>
              <w:ind w:right="34"/>
              <w:rPr>
                <w:rFonts w:ascii="Calibri" w:hAnsi="Calibri" w:cs="Calibri"/>
                <w:b/>
                <w:color w:val="auto"/>
                <w:sz w:val="44"/>
                <w:szCs w:val="44"/>
              </w:rPr>
            </w:pPr>
            <w:r w:rsidRPr="00ED575E">
              <w:rPr>
                <w:rFonts w:ascii="Calibri" w:hAnsi="Calibri" w:cs="Tahoma"/>
                <w:b/>
                <w:color w:val="auto"/>
                <w:sz w:val="24"/>
                <w:szCs w:val="24"/>
              </w:rPr>
              <w:br/>
              <w:t xml:space="preserve">Email submission: if you are submitting this form via email, please tick this box </w:t>
            </w:r>
            <w:r w:rsidRPr="00ED575E">
              <w:rPr>
                <w:rFonts w:ascii="Calibri" w:hAnsi="Calibri" w:cs="Calibri"/>
                <w:b/>
                <w:color w:val="auto"/>
                <w:sz w:val="22"/>
                <w:szCs w:val="22"/>
              </w:rPr>
              <w:fldChar w:fldCharType="begin">
                <w:ffData>
                  <w:name w:val="Check13"/>
                  <w:enabled/>
                  <w:calcOnExit w:val="0"/>
                  <w:checkBox>
                    <w:sizeAuto/>
                    <w:default w:val="1"/>
                  </w:checkBox>
                </w:ffData>
              </w:fldChar>
            </w:r>
            <w:r w:rsidRPr="00ED575E">
              <w:rPr>
                <w:rFonts w:ascii="Calibri" w:hAnsi="Calibri" w:cs="Calibri"/>
                <w:b/>
                <w:color w:val="auto"/>
                <w:sz w:val="22"/>
                <w:szCs w:val="22"/>
              </w:rPr>
              <w:instrText xml:space="preserve"> FORMCHECKBOX </w:instrText>
            </w:r>
            <w:r w:rsidR="00AA1801" w:rsidRPr="00ED575E">
              <w:rPr>
                <w:rFonts w:ascii="Calibri" w:hAnsi="Calibri" w:cs="Calibri"/>
                <w:b/>
                <w:color w:val="auto"/>
                <w:sz w:val="22"/>
                <w:szCs w:val="22"/>
              </w:rPr>
            </w:r>
            <w:r w:rsidR="00AA1801" w:rsidRPr="00ED575E">
              <w:rPr>
                <w:rFonts w:ascii="Calibri" w:hAnsi="Calibri" w:cs="Calibri"/>
                <w:b/>
                <w:color w:val="auto"/>
                <w:sz w:val="22"/>
                <w:szCs w:val="22"/>
              </w:rPr>
              <w:fldChar w:fldCharType="separate"/>
            </w:r>
            <w:r w:rsidRPr="00ED575E">
              <w:rPr>
                <w:rFonts w:ascii="Calibri" w:hAnsi="Calibri" w:cs="Calibri"/>
                <w:b/>
                <w:color w:val="auto"/>
                <w:sz w:val="22"/>
                <w:szCs w:val="22"/>
              </w:rPr>
              <w:fldChar w:fldCharType="end"/>
            </w:r>
          </w:p>
          <w:p w14:paraId="2BFC69C2" w14:textId="77777777" w:rsidR="00F145FF" w:rsidRPr="00ED575E" w:rsidRDefault="00F145FF" w:rsidP="00C45A81">
            <w:pPr>
              <w:pStyle w:val="NormalWeb"/>
              <w:spacing w:before="0" w:beforeAutospacing="0" w:after="0" w:afterAutospacing="0"/>
              <w:ind w:right="34"/>
              <w:rPr>
                <w:rFonts w:ascii="Arial" w:hAnsi="Arial" w:cs="Arial"/>
                <w:color w:val="auto"/>
                <w:sz w:val="22"/>
                <w:szCs w:val="22"/>
              </w:rPr>
            </w:pPr>
            <w:r w:rsidRPr="00ED575E">
              <w:rPr>
                <w:rFonts w:ascii="Calibri" w:hAnsi="Calibri" w:cs="Tahoma"/>
                <w:b/>
                <w:color w:val="auto"/>
                <w:sz w:val="24"/>
                <w:szCs w:val="24"/>
              </w:rPr>
              <w:t>(as a substitute for your signature) to confirm that you agree to the above declaration.</w:t>
            </w:r>
          </w:p>
        </w:tc>
      </w:tr>
      <w:tr w:rsidR="00ED575E" w:rsidRPr="00ED575E" w14:paraId="64FB5C5F" w14:textId="77777777" w:rsidTr="00C45A81">
        <w:trPr>
          <w:trHeight w:val="3972"/>
        </w:trPr>
        <w:tc>
          <w:tcPr>
            <w:tcW w:w="8856" w:type="dxa"/>
            <w:gridSpan w:val="5"/>
          </w:tcPr>
          <w:p w14:paraId="678E75F5" w14:textId="77777777" w:rsidR="00F145FF" w:rsidRPr="00ED575E" w:rsidRDefault="00F145FF" w:rsidP="00C45A81">
            <w:pPr>
              <w:rPr>
                <w:b/>
              </w:rPr>
            </w:pPr>
          </w:p>
          <w:p w14:paraId="5F501450" w14:textId="77777777" w:rsidR="00F145FF" w:rsidRPr="00ED575E" w:rsidRDefault="00F145FF" w:rsidP="00C45A81">
            <w:r w:rsidRPr="00ED575E">
              <w:rPr>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ED575E" w:rsidRPr="00ED575E" w14:paraId="699C8B37" w14:textId="77777777" w:rsidTr="00C45A81">
              <w:tc>
                <w:tcPr>
                  <w:tcW w:w="6970" w:type="dxa"/>
                </w:tcPr>
                <w:p w14:paraId="1E2838E0" w14:textId="77777777" w:rsidR="00F145FF" w:rsidRPr="00ED575E" w:rsidRDefault="00F145FF" w:rsidP="00C45A81">
                  <w:pPr>
                    <w:rPr>
                      <w:sz w:val="20"/>
                      <w:szCs w:val="20"/>
                    </w:rPr>
                  </w:pPr>
                </w:p>
                <w:p w14:paraId="081AADDD" w14:textId="77777777" w:rsidR="00F145FF" w:rsidRPr="00ED575E" w:rsidRDefault="00F145FF" w:rsidP="00C45A81">
                  <w:pPr>
                    <w:rPr>
                      <w:sz w:val="20"/>
                      <w:szCs w:val="20"/>
                    </w:rPr>
                  </w:pPr>
                  <w:r w:rsidRPr="00ED575E">
                    <w:rPr>
                      <w:sz w:val="20"/>
                      <w:szCs w:val="20"/>
                    </w:rPr>
                    <w:t>1</w:t>
                  </w:r>
                  <w:r w:rsidRPr="00ED575E">
                    <w:rPr>
                      <w:sz w:val="20"/>
                      <w:szCs w:val="20"/>
                      <w:vertAlign w:val="superscript"/>
                    </w:rPr>
                    <w:t>st</w:t>
                  </w:r>
                  <w:r w:rsidRPr="00ED575E">
                    <w:rPr>
                      <w:sz w:val="20"/>
                      <w:szCs w:val="20"/>
                    </w:rPr>
                    <w:t xml:space="preserve"> Marker’s Provisional mark</w:t>
                  </w:r>
                </w:p>
              </w:tc>
              <w:tc>
                <w:tcPr>
                  <w:tcW w:w="1660" w:type="dxa"/>
                </w:tcPr>
                <w:p w14:paraId="028CAB84" w14:textId="77777777" w:rsidR="00F145FF" w:rsidRPr="00ED575E" w:rsidRDefault="00F145FF" w:rsidP="00C45A81">
                  <w:pPr>
                    <w:rPr>
                      <w:sz w:val="20"/>
                      <w:szCs w:val="20"/>
                    </w:rPr>
                  </w:pPr>
                </w:p>
              </w:tc>
            </w:tr>
            <w:tr w:rsidR="00ED575E" w:rsidRPr="00ED575E" w14:paraId="2CF6D908" w14:textId="77777777" w:rsidTr="00C45A81">
              <w:tc>
                <w:tcPr>
                  <w:tcW w:w="6970" w:type="dxa"/>
                </w:tcPr>
                <w:p w14:paraId="3595B9E4" w14:textId="77777777" w:rsidR="00F145FF" w:rsidRPr="00ED575E" w:rsidRDefault="00F145FF" w:rsidP="00C45A81">
                  <w:pPr>
                    <w:rPr>
                      <w:sz w:val="20"/>
                      <w:szCs w:val="20"/>
                    </w:rPr>
                  </w:pPr>
                </w:p>
                <w:p w14:paraId="4C092270" w14:textId="77777777" w:rsidR="00F145FF" w:rsidRPr="00ED575E" w:rsidRDefault="00F145FF" w:rsidP="00C45A81">
                  <w:pPr>
                    <w:rPr>
                      <w:sz w:val="20"/>
                      <w:szCs w:val="20"/>
                    </w:rPr>
                  </w:pPr>
                  <w:r w:rsidRPr="00ED575E">
                    <w:rPr>
                      <w:sz w:val="20"/>
                      <w:szCs w:val="20"/>
                    </w:rPr>
                    <w:t>2</w:t>
                  </w:r>
                  <w:r w:rsidRPr="00ED575E">
                    <w:rPr>
                      <w:sz w:val="20"/>
                      <w:szCs w:val="20"/>
                      <w:vertAlign w:val="superscript"/>
                    </w:rPr>
                    <w:t>nd</w:t>
                  </w:r>
                  <w:r w:rsidRPr="00ED575E">
                    <w:rPr>
                      <w:sz w:val="20"/>
                      <w:szCs w:val="20"/>
                    </w:rPr>
                    <w:t xml:space="preserve"> Marker’s/Moderator’s provisional mark</w:t>
                  </w:r>
                </w:p>
              </w:tc>
              <w:tc>
                <w:tcPr>
                  <w:tcW w:w="1660" w:type="dxa"/>
                </w:tcPr>
                <w:p w14:paraId="157B0EE3" w14:textId="77777777" w:rsidR="00F145FF" w:rsidRPr="00ED575E" w:rsidRDefault="00F145FF" w:rsidP="00C45A81">
                  <w:pPr>
                    <w:rPr>
                      <w:sz w:val="20"/>
                      <w:szCs w:val="20"/>
                    </w:rPr>
                  </w:pPr>
                </w:p>
              </w:tc>
            </w:tr>
            <w:tr w:rsidR="00ED575E" w:rsidRPr="00ED575E" w14:paraId="464AEA10" w14:textId="77777777" w:rsidTr="00C45A81">
              <w:tc>
                <w:tcPr>
                  <w:tcW w:w="6970" w:type="dxa"/>
                </w:tcPr>
                <w:p w14:paraId="14F0D516" w14:textId="77777777" w:rsidR="00F145FF" w:rsidRPr="00ED575E" w:rsidRDefault="00F145FF" w:rsidP="00C45A81">
                  <w:pPr>
                    <w:rPr>
                      <w:sz w:val="20"/>
                      <w:szCs w:val="20"/>
                    </w:rPr>
                  </w:pPr>
                  <w:r w:rsidRPr="00ED575E">
                    <w:rPr>
                      <w:sz w:val="20"/>
                      <w:szCs w:val="20"/>
                    </w:rPr>
                    <w:t xml:space="preserve">Agreed Internal Mark: </w:t>
                  </w:r>
                </w:p>
                <w:p w14:paraId="762B63E9" w14:textId="77777777" w:rsidR="00F145FF" w:rsidRPr="00ED575E" w:rsidRDefault="00F145FF" w:rsidP="00C45A81">
                  <w:pPr>
                    <w:rPr>
                      <w:sz w:val="20"/>
                      <w:szCs w:val="20"/>
                      <w:highlight w:val="yellow"/>
                    </w:rPr>
                  </w:pPr>
                </w:p>
              </w:tc>
              <w:tc>
                <w:tcPr>
                  <w:tcW w:w="1660" w:type="dxa"/>
                </w:tcPr>
                <w:p w14:paraId="79A4E750" w14:textId="77777777" w:rsidR="00F145FF" w:rsidRPr="00ED575E" w:rsidRDefault="00F145FF" w:rsidP="00C45A81">
                  <w:pPr>
                    <w:rPr>
                      <w:sz w:val="20"/>
                      <w:szCs w:val="20"/>
                      <w:highlight w:val="yellow"/>
                    </w:rPr>
                  </w:pPr>
                </w:p>
              </w:tc>
            </w:tr>
            <w:tr w:rsidR="00ED575E" w:rsidRPr="00ED575E" w14:paraId="53CFCB45" w14:textId="77777777" w:rsidTr="00C45A81">
              <w:tc>
                <w:tcPr>
                  <w:tcW w:w="6970" w:type="dxa"/>
                </w:tcPr>
                <w:p w14:paraId="43024759" w14:textId="77777777" w:rsidR="00F145FF" w:rsidRPr="00ED575E" w:rsidRDefault="00F145FF" w:rsidP="00C45A81">
                  <w:pPr>
                    <w:rPr>
                      <w:sz w:val="20"/>
                      <w:szCs w:val="20"/>
                    </w:rPr>
                  </w:pPr>
                </w:p>
                <w:p w14:paraId="4977EB83" w14:textId="77777777" w:rsidR="00F145FF" w:rsidRPr="00ED575E" w:rsidRDefault="00F145FF" w:rsidP="00C45A81">
                  <w:pPr>
                    <w:rPr>
                      <w:sz w:val="20"/>
                      <w:szCs w:val="20"/>
                    </w:rPr>
                  </w:pPr>
                  <w:r w:rsidRPr="00ED575E">
                    <w:rPr>
                      <w:sz w:val="20"/>
                      <w:szCs w:val="20"/>
                    </w:rPr>
                    <w:t>External Examiner’s mark (if relevant)</w:t>
                  </w:r>
                </w:p>
              </w:tc>
              <w:tc>
                <w:tcPr>
                  <w:tcW w:w="1660" w:type="dxa"/>
                </w:tcPr>
                <w:p w14:paraId="1892D3B0" w14:textId="77777777" w:rsidR="00F145FF" w:rsidRPr="00ED575E" w:rsidRDefault="00F145FF" w:rsidP="00C45A81">
                  <w:pPr>
                    <w:rPr>
                      <w:sz w:val="20"/>
                      <w:szCs w:val="20"/>
                    </w:rPr>
                  </w:pPr>
                </w:p>
              </w:tc>
            </w:tr>
            <w:tr w:rsidR="00ED575E" w:rsidRPr="00ED575E" w14:paraId="417E2F16" w14:textId="77777777" w:rsidTr="00C45A81">
              <w:tc>
                <w:tcPr>
                  <w:tcW w:w="6970" w:type="dxa"/>
                </w:tcPr>
                <w:p w14:paraId="65B60914" w14:textId="77777777" w:rsidR="00F145FF" w:rsidRPr="00ED575E" w:rsidRDefault="00F145FF" w:rsidP="00C45A81">
                  <w:pPr>
                    <w:rPr>
                      <w:sz w:val="20"/>
                      <w:szCs w:val="20"/>
                    </w:rPr>
                  </w:pPr>
                </w:p>
                <w:p w14:paraId="13873D81" w14:textId="77777777" w:rsidR="00F145FF" w:rsidRPr="00ED575E" w:rsidRDefault="00F145FF" w:rsidP="00C45A81">
                  <w:pPr>
                    <w:rPr>
                      <w:b/>
                      <w:sz w:val="20"/>
                      <w:szCs w:val="20"/>
                    </w:rPr>
                  </w:pPr>
                  <w:r w:rsidRPr="00ED575E">
                    <w:rPr>
                      <w:b/>
                      <w:sz w:val="20"/>
                      <w:szCs w:val="20"/>
                    </w:rPr>
                    <w:t>Final Mark</w:t>
                  </w:r>
                </w:p>
                <w:p w14:paraId="464F2D4B" w14:textId="77777777" w:rsidR="00F145FF" w:rsidRPr="00ED575E" w:rsidRDefault="00F145FF" w:rsidP="00C45A81">
                  <w:pPr>
                    <w:rPr>
                      <w:sz w:val="20"/>
                      <w:szCs w:val="20"/>
                    </w:rPr>
                  </w:pPr>
                </w:p>
              </w:tc>
              <w:tc>
                <w:tcPr>
                  <w:tcW w:w="1660" w:type="dxa"/>
                </w:tcPr>
                <w:p w14:paraId="66896F42" w14:textId="77777777" w:rsidR="00F145FF" w:rsidRPr="00ED575E" w:rsidRDefault="00F145FF" w:rsidP="00C45A81">
                  <w:pPr>
                    <w:rPr>
                      <w:sz w:val="20"/>
                      <w:szCs w:val="20"/>
                    </w:rPr>
                  </w:pPr>
                </w:p>
              </w:tc>
            </w:tr>
          </w:tbl>
          <w:p w14:paraId="20E13F5A" w14:textId="77777777" w:rsidR="00F145FF" w:rsidRPr="00ED575E" w:rsidRDefault="00F145FF" w:rsidP="00C45A81">
            <w:pPr>
              <w:pStyle w:val="NormalWeb"/>
              <w:spacing w:before="0" w:beforeAutospacing="0" w:after="0" w:afterAutospacing="0"/>
              <w:ind w:left="142" w:right="34"/>
              <w:rPr>
                <w:rFonts w:ascii="Arial" w:hAnsi="Arial" w:cs="Arial"/>
                <w:b/>
                <w:color w:val="auto"/>
                <w:sz w:val="22"/>
                <w:szCs w:val="22"/>
              </w:rPr>
            </w:pPr>
          </w:p>
          <w:p w14:paraId="7C4829CC" w14:textId="77777777" w:rsidR="00F145FF" w:rsidRPr="00ED575E" w:rsidRDefault="00F145FF" w:rsidP="00C45A81">
            <w:pPr>
              <w:pStyle w:val="NormalWeb"/>
              <w:spacing w:before="0" w:beforeAutospacing="0" w:after="0" w:afterAutospacing="0"/>
              <w:ind w:left="142" w:right="34"/>
              <w:rPr>
                <w:rFonts w:ascii="Arial" w:hAnsi="Arial" w:cs="Arial"/>
                <w:color w:val="auto"/>
                <w:sz w:val="22"/>
                <w:szCs w:val="22"/>
              </w:rPr>
            </w:pPr>
            <w:r w:rsidRPr="00ED575E">
              <w:rPr>
                <w:rFonts w:ascii="Arial" w:hAnsi="Arial" w:cs="Arial"/>
                <w:b/>
                <w:color w:val="auto"/>
                <w:sz w:val="22"/>
                <w:szCs w:val="22"/>
              </w:rPr>
              <w:t>NB.</w:t>
            </w:r>
            <w:r w:rsidRPr="00ED575E">
              <w:rPr>
                <w:rFonts w:ascii="Arial" w:hAnsi="Arial" w:cs="Arial"/>
                <w:color w:val="auto"/>
                <w:sz w:val="22"/>
                <w:szCs w:val="22"/>
              </w:rPr>
              <w:t xml:space="preserve">  All marks are provisional until confirmed by the Final Examination Board.</w:t>
            </w:r>
          </w:p>
          <w:p w14:paraId="61780166" w14:textId="77777777" w:rsidR="00F145FF" w:rsidRPr="00ED575E" w:rsidRDefault="00F145FF" w:rsidP="00C45A81">
            <w:pPr>
              <w:pStyle w:val="NormalWeb"/>
              <w:spacing w:before="0" w:beforeAutospacing="0" w:after="0" w:afterAutospacing="0"/>
              <w:rPr>
                <w:rFonts w:ascii="Arial" w:hAnsi="Arial" w:cs="Arial"/>
                <w:b/>
                <w:color w:val="auto"/>
                <w:sz w:val="22"/>
                <w:szCs w:val="22"/>
              </w:rPr>
            </w:pPr>
          </w:p>
          <w:p w14:paraId="53DA98C5" w14:textId="77777777" w:rsidR="00F145FF" w:rsidRPr="00ED575E" w:rsidRDefault="00F145FF" w:rsidP="00C45A81">
            <w:pPr>
              <w:pStyle w:val="NormalWeb"/>
              <w:spacing w:before="0" w:beforeAutospacing="0" w:after="0" w:afterAutospacing="0"/>
              <w:rPr>
                <w:rFonts w:ascii="Arial" w:hAnsi="Arial" w:cs="Arial"/>
                <w:b/>
                <w:color w:val="auto"/>
                <w:sz w:val="22"/>
                <w:szCs w:val="22"/>
              </w:rPr>
            </w:pPr>
            <w:r w:rsidRPr="00ED575E">
              <w:rPr>
                <w:rFonts w:ascii="Arial" w:hAnsi="Arial" w:cs="Arial"/>
                <w:b/>
                <w:color w:val="auto"/>
                <w:sz w:val="22"/>
                <w:szCs w:val="22"/>
              </w:rPr>
              <w:t>For completion by Marker 1 :</w:t>
            </w:r>
            <w:r w:rsidRPr="00ED575E">
              <w:rPr>
                <w:rFonts w:ascii="Arial" w:hAnsi="Arial" w:cs="Arial"/>
                <w:b/>
                <w:color w:val="auto"/>
                <w:sz w:val="22"/>
                <w:szCs w:val="22"/>
              </w:rPr>
              <w:br/>
            </w:r>
            <w:r w:rsidRPr="00ED575E">
              <w:rPr>
                <w:rFonts w:ascii="Arial" w:hAnsi="Arial" w:cs="Arial"/>
                <w:color w:val="auto"/>
                <w:sz w:val="22"/>
                <w:szCs w:val="22"/>
              </w:rPr>
              <w:t>Comments:</w:t>
            </w:r>
          </w:p>
          <w:p w14:paraId="04239AEE" w14:textId="77777777" w:rsidR="00F145FF" w:rsidRPr="00ED575E" w:rsidRDefault="00F145FF" w:rsidP="00C45A81">
            <w:pPr>
              <w:pStyle w:val="NormalWeb"/>
              <w:rPr>
                <w:rFonts w:ascii="Arial" w:hAnsi="Arial" w:cs="Arial"/>
                <w:color w:val="auto"/>
                <w:sz w:val="22"/>
                <w:szCs w:val="22"/>
              </w:rPr>
            </w:pPr>
          </w:p>
        </w:tc>
      </w:tr>
      <w:tr w:rsidR="00ED575E" w:rsidRPr="00ED575E" w14:paraId="6BD54CF2" w14:textId="77777777" w:rsidTr="00C45A81">
        <w:trPr>
          <w:trHeight w:val="413"/>
        </w:trPr>
        <w:tc>
          <w:tcPr>
            <w:tcW w:w="6768" w:type="dxa"/>
            <w:gridSpan w:val="3"/>
          </w:tcPr>
          <w:p w14:paraId="1A13A665" w14:textId="77777777" w:rsidR="00F145FF" w:rsidRPr="00ED575E" w:rsidRDefault="00F145FF" w:rsidP="00C45A81">
            <w:pPr>
              <w:pStyle w:val="NormalWeb"/>
              <w:ind w:left="142" w:right="34"/>
              <w:rPr>
                <w:rFonts w:ascii="Arial" w:hAnsi="Arial" w:cs="Arial"/>
                <w:color w:val="auto"/>
                <w:sz w:val="22"/>
                <w:szCs w:val="22"/>
              </w:rPr>
            </w:pPr>
            <w:r w:rsidRPr="00ED575E">
              <w:rPr>
                <w:rFonts w:ascii="Arial" w:hAnsi="Arial" w:cs="Arial"/>
                <w:color w:val="auto"/>
                <w:sz w:val="22"/>
                <w:szCs w:val="22"/>
              </w:rPr>
              <w:t>Marker’s signature:</w:t>
            </w:r>
          </w:p>
        </w:tc>
        <w:tc>
          <w:tcPr>
            <w:tcW w:w="2088" w:type="dxa"/>
            <w:gridSpan w:val="2"/>
          </w:tcPr>
          <w:p w14:paraId="7EE32A28" w14:textId="77777777" w:rsidR="00F145FF" w:rsidRPr="00ED575E" w:rsidRDefault="00F145FF" w:rsidP="00C45A81">
            <w:pPr>
              <w:pStyle w:val="NormalWeb"/>
              <w:spacing w:after="0"/>
              <w:ind w:left="142" w:right="34"/>
              <w:rPr>
                <w:rFonts w:ascii="Arial" w:hAnsi="Arial" w:cs="Arial"/>
                <w:color w:val="auto"/>
                <w:sz w:val="22"/>
                <w:szCs w:val="22"/>
              </w:rPr>
            </w:pPr>
            <w:r w:rsidRPr="00ED575E">
              <w:rPr>
                <w:rFonts w:ascii="Arial" w:hAnsi="Arial" w:cs="Arial"/>
                <w:color w:val="auto"/>
                <w:sz w:val="22"/>
                <w:szCs w:val="22"/>
              </w:rPr>
              <w:t>Date:</w:t>
            </w:r>
          </w:p>
        </w:tc>
      </w:tr>
      <w:tr w:rsidR="00ED575E" w:rsidRPr="00ED575E" w14:paraId="0B9435E2" w14:textId="77777777" w:rsidTr="00C45A81">
        <w:tc>
          <w:tcPr>
            <w:tcW w:w="8856" w:type="dxa"/>
            <w:gridSpan w:val="5"/>
          </w:tcPr>
          <w:p w14:paraId="70F5C909" w14:textId="77777777" w:rsidR="00F145FF" w:rsidRPr="00ED575E" w:rsidRDefault="00F145FF" w:rsidP="00C45A81">
            <w:pPr>
              <w:pStyle w:val="NormalWeb"/>
              <w:spacing w:before="0" w:beforeAutospacing="0" w:after="0" w:afterAutospacing="0"/>
              <w:ind w:right="-334"/>
              <w:rPr>
                <w:rFonts w:ascii="Arial" w:hAnsi="Arial" w:cs="Arial"/>
                <w:bCs/>
                <w:i/>
                <w:color w:val="auto"/>
                <w:sz w:val="22"/>
                <w:szCs w:val="22"/>
              </w:rPr>
            </w:pPr>
          </w:p>
          <w:p w14:paraId="202E587B" w14:textId="77777777" w:rsidR="00F145FF" w:rsidRPr="00ED575E" w:rsidRDefault="00F145FF" w:rsidP="00C45A81">
            <w:pPr>
              <w:pStyle w:val="NormalWeb"/>
              <w:spacing w:before="0" w:beforeAutospacing="0" w:after="0" w:afterAutospacing="0"/>
              <w:ind w:right="-334"/>
              <w:rPr>
                <w:rFonts w:ascii="Arial" w:hAnsi="Arial" w:cs="Arial"/>
                <w:b/>
                <w:bCs/>
                <w:color w:val="auto"/>
                <w:sz w:val="22"/>
                <w:szCs w:val="22"/>
              </w:rPr>
            </w:pPr>
            <w:r w:rsidRPr="00ED575E">
              <w:rPr>
                <w:rFonts w:ascii="Arial" w:hAnsi="Arial" w:cs="Arial"/>
                <w:b/>
                <w:bCs/>
                <w:color w:val="auto"/>
                <w:sz w:val="22"/>
                <w:szCs w:val="22"/>
              </w:rPr>
              <w:t>For completion by Marker 2/Moderator:</w:t>
            </w:r>
          </w:p>
          <w:p w14:paraId="2D05240D" w14:textId="77777777" w:rsidR="00F145FF" w:rsidRPr="00ED575E" w:rsidRDefault="00F145FF" w:rsidP="00C45A81">
            <w:pPr>
              <w:pStyle w:val="NormalWeb"/>
              <w:spacing w:before="0" w:beforeAutospacing="0" w:after="0" w:afterAutospacing="0"/>
              <w:ind w:right="-334"/>
              <w:rPr>
                <w:rFonts w:ascii="Arial" w:hAnsi="Arial" w:cs="Arial"/>
                <w:bCs/>
                <w:color w:val="auto"/>
                <w:sz w:val="22"/>
                <w:szCs w:val="22"/>
              </w:rPr>
            </w:pPr>
            <w:r w:rsidRPr="00ED575E">
              <w:rPr>
                <w:rFonts w:ascii="Arial" w:hAnsi="Arial" w:cs="Arial"/>
                <w:bCs/>
                <w:color w:val="auto"/>
                <w:sz w:val="22"/>
                <w:szCs w:val="22"/>
              </w:rPr>
              <w:t>Comments:</w:t>
            </w:r>
          </w:p>
          <w:p w14:paraId="3944D77F" w14:textId="77777777" w:rsidR="00F145FF" w:rsidRPr="00ED575E" w:rsidRDefault="00F145FF" w:rsidP="00C45A81">
            <w:pPr>
              <w:pStyle w:val="NormalWeb"/>
              <w:spacing w:before="0" w:beforeAutospacing="0" w:after="0" w:afterAutospacing="0"/>
              <w:ind w:right="-334"/>
              <w:rPr>
                <w:rFonts w:ascii="Arial" w:hAnsi="Arial" w:cs="Arial"/>
                <w:bCs/>
                <w:color w:val="auto"/>
                <w:sz w:val="22"/>
                <w:szCs w:val="22"/>
              </w:rPr>
            </w:pPr>
          </w:p>
          <w:p w14:paraId="210BF5A3" w14:textId="77777777" w:rsidR="00F145FF" w:rsidRPr="00ED575E" w:rsidRDefault="00F145FF" w:rsidP="00C45A81">
            <w:pPr>
              <w:pStyle w:val="NormalWeb"/>
              <w:spacing w:before="0" w:beforeAutospacing="0" w:after="0" w:afterAutospacing="0"/>
              <w:ind w:right="-334"/>
              <w:rPr>
                <w:rFonts w:ascii="Arial" w:hAnsi="Arial" w:cs="Arial"/>
                <w:bCs/>
                <w:color w:val="auto"/>
                <w:sz w:val="22"/>
                <w:szCs w:val="22"/>
              </w:rPr>
            </w:pPr>
          </w:p>
          <w:p w14:paraId="62DB212A" w14:textId="77777777" w:rsidR="00F145FF" w:rsidRPr="00ED575E" w:rsidRDefault="00F145FF" w:rsidP="00C45A81">
            <w:pPr>
              <w:pStyle w:val="NormalWeb"/>
              <w:spacing w:before="0" w:beforeAutospacing="0" w:after="0" w:afterAutospacing="0"/>
              <w:ind w:right="-334"/>
              <w:rPr>
                <w:rFonts w:ascii="Arial" w:hAnsi="Arial" w:cs="Arial"/>
                <w:bCs/>
                <w:color w:val="auto"/>
                <w:sz w:val="22"/>
                <w:szCs w:val="22"/>
              </w:rPr>
            </w:pPr>
          </w:p>
        </w:tc>
      </w:tr>
      <w:tr w:rsidR="00ED575E" w:rsidRPr="00ED575E" w14:paraId="7803239E" w14:textId="77777777" w:rsidTr="00C45A81">
        <w:trPr>
          <w:trHeight w:val="720"/>
        </w:trPr>
        <w:tc>
          <w:tcPr>
            <w:tcW w:w="5211" w:type="dxa"/>
            <w:gridSpan w:val="2"/>
          </w:tcPr>
          <w:p w14:paraId="4FE3C89C" w14:textId="77777777" w:rsidR="00F145FF" w:rsidRPr="00ED575E" w:rsidRDefault="00F145FF" w:rsidP="00C45A81">
            <w:pPr>
              <w:pStyle w:val="NormalWeb"/>
              <w:spacing w:before="0" w:beforeAutospacing="0" w:after="0" w:afterAutospacing="0"/>
              <w:ind w:right="-334"/>
              <w:rPr>
                <w:rFonts w:ascii="Arial" w:hAnsi="Arial" w:cs="Arial"/>
                <w:bCs/>
                <w:color w:val="auto"/>
                <w:sz w:val="22"/>
                <w:szCs w:val="22"/>
              </w:rPr>
            </w:pPr>
            <w:r w:rsidRPr="00ED575E">
              <w:rPr>
                <w:rFonts w:ascii="Arial" w:hAnsi="Arial" w:cs="Arial"/>
                <w:bCs/>
                <w:color w:val="auto"/>
                <w:sz w:val="22"/>
                <w:szCs w:val="22"/>
              </w:rPr>
              <w:t>Marker’s Signature:</w:t>
            </w:r>
          </w:p>
        </w:tc>
        <w:tc>
          <w:tcPr>
            <w:tcW w:w="3645" w:type="dxa"/>
            <w:gridSpan w:val="3"/>
          </w:tcPr>
          <w:p w14:paraId="7093FAA3" w14:textId="77777777" w:rsidR="00F145FF" w:rsidRPr="00ED575E" w:rsidRDefault="00F145FF" w:rsidP="00C45A81">
            <w:pPr>
              <w:pStyle w:val="NormalWeb"/>
              <w:spacing w:before="0" w:beforeAutospacing="0" w:after="0" w:afterAutospacing="0"/>
              <w:ind w:right="-334"/>
              <w:rPr>
                <w:rFonts w:ascii="Arial" w:hAnsi="Arial" w:cs="Arial"/>
                <w:bCs/>
                <w:color w:val="auto"/>
                <w:sz w:val="22"/>
                <w:szCs w:val="22"/>
              </w:rPr>
            </w:pPr>
            <w:r w:rsidRPr="00ED575E">
              <w:rPr>
                <w:rFonts w:ascii="Arial" w:hAnsi="Arial" w:cs="Arial"/>
                <w:bCs/>
                <w:color w:val="auto"/>
                <w:sz w:val="22"/>
                <w:szCs w:val="22"/>
              </w:rPr>
              <w:t>Date:</w:t>
            </w:r>
          </w:p>
        </w:tc>
      </w:tr>
      <w:tr w:rsidR="00ED575E" w:rsidRPr="00ED575E" w14:paraId="2AD97296" w14:textId="77777777" w:rsidTr="00C45A81">
        <w:trPr>
          <w:trHeight w:val="720"/>
        </w:trPr>
        <w:tc>
          <w:tcPr>
            <w:tcW w:w="8856" w:type="dxa"/>
            <w:gridSpan w:val="5"/>
          </w:tcPr>
          <w:p w14:paraId="2B7A4D86" w14:textId="77777777" w:rsidR="00F145FF" w:rsidRPr="00ED575E" w:rsidRDefault="00F145FF" w:rsidP="00C45A81">
            <w:pPr>
              <w:rPr>
                <w:b/>
              </w:rPr>
            </w:pPr>
            <w:r w:rsidRPr="00ED575E">
              <w:rPr>
                <w:b/>
              </w:rPr>
              <w:t>AGREED INTERNAL MARK (where necessary):</w:t>
            </w:r>
          </w:p>
          <w:p w14:paraId="0DFCE187" w14:textId="77777777" w:rsidR="00F145FF" w:rsidRPr="00ED575E" w:rsidRDefault="00F145FF" w:rsidP="00C45A81">
            <w:pPr>
              <w:rPr>
                <w:b/>
              </w:rPr>
            </w:pPr>
          </w:p>
          <w:p w14:paraId="3964B556" w14:textId="77777777" w:rsidR="00F145FF" w:rsidRPr="00ED575E" w:rsidRDefault="00F145FF" w:rsidP="00C45A81">
            <w:pPr>
              <w:rPr>
                <w:b/>
              </w:rPr>
            </w:pPr>
            <w:r w:rsidRPr="00ED575E">
              <w:rPr>
                <w:b/>
              </w:rPr>
              <w:t>Comment on process of arriving at agreed mark:</w:t>
            </w:r>
          </w:p>
          <w:p w14:paraId="678D6E0B" w14:textId="77777777" w:rsidR="00F145FF" w:rsidRPr="00ED575E" w:rsidRDefault="00F145FF" w:rsidP="00C45A81">
            <w:pPr>
              <w:rPr>
                <w:b/>
              </w:rPr>
            </w:pPr>
          </w:p>
          <w:p w14:paraId="37C398FA" w14:textId="77777777" w:rsidR="00F145FF" w:rsidRPr="00ED575E" w:rsidRDefault="00F145FF" w:rsidP="00C45A81">
            <w:pPr>
              <w:rPr>
                <w:b/>
              </w:rPr>
            </w:pPr>
          </w:p>
          <w:p w14:paraId="0BF50E9F" w14:textId="77777777" w:rsidR="00F145FF" w:rsidRPr="00ED575E" w:rsidRDefault="00F145FF" w:rsidP="00C45A81">
            <w:pPr>
              <w:rPr>
                <w:b/>
              </w:rPr>
            </w:pPr>
          </w:p>
          <w:p w14:paraId="533EA7E0" w14:textId="77777777" w:rsidR="00F145FF" w:rsidRPr="00ED575E" w:rsidRDefault="00F145FF" w:rsidP="00C45A81">
            <w:pPr>
              <w:rPr>
                <w:b/>
              </w:rPr>
            </w:pPr>
            <w:r w:rsidRPr="00ED575E">
              <w:rPr>
                <w:b/>
              </w:rPr>
              <w:br/>
            </w:r>
          </w:p>
          <w:p w14:paraId="18A5C73F" w14:textId="77777777" w:rsidR="00F145FF" w:rsidRPr="00ED575E" w:rsidRDefault="00F145FF" w:rsidP="00C45A81">
            <w:pPr>
              <w:rPr>
                <w:b/>
              </w:rPr>
            </w:pPr>
          </w:p>
        </w:tc>
      </w:tr>
      <w:tr w:rsidR="00ED575E" w:rsidRPr="00ED575E" w14:paraId="06798870" w14:textId="77777777" w:rsidTr="00C45A81">
        <w:trPr>
          <w:trHeight w:val="720"/>
        </w:trPr>
        <w:tc>
          <w:tcPr>
            <w:tcW w:w="8856" w:type="dxa"/>
            <w:gridSpan w:val="5"/>
          </w:tcPr>
          <w:p w14:paraId="730DAEE5" w14:textId="77777777" w:rsidR="00F145FF" w:rsidRPr="00ED575E" w:rsidRDefault="00F145FF" w:rsidP="00C45A81">
            <w:pPr>
              <w:rPr>
                <w:b/>
              </w:rPr>
            </w:pPr>
            <w:r w:rsidRPr="00ED575E">
              <w:rPr>
                <w:b/>
              </w:rPr>
              <w:t>External Examiner’s comments (if relevant)</w:t>
            </w:r>
          </w:p>
          <w:p w14:paraId="6EFB6F30" w14:textId="77777777" w:rsidR="00F145FF" w:rsidRPr="00ED575E" w:rsidRDefault="00F145FF" w:rsidP="00C45A81">
            <w:pPr>
              <w:pStyle w:val="NormalWeb"/>
              <w:spacing w:before="0" w:beforeAutospacing="0" w:after="0" w:afterAutospacing="0"/>
              <w:ind w:right="-334"/>
              <w:rPr>
                <w:rFonts w:ascii="Arial" w:hAnsi="Arial" w:cs="Arial"/>
                <w:bCs/>
                <w:color w:val="auto"/>
                <w:sz w:val="22"/>
                <w:szCs w:val="22"/>
              </w:rPr>
            </w:pPr>
          </w:p>
          <w:p w14:paraId="3EE58923" w14:textId="62823B16" w:rsidR="00F145FF" w:rsidRPr="00ED575E" w:rsidRDefault="00F145FF" w:rsidP="00C45A81">
            <w:pPr>
              <w:pStyle w:val="NormalWeb"/>
              <w:spacing w:before="0" w:beforeAutospacing="0" w:after="0" w:afterAutospacing="0"/>
              <w:ind w:right="-334"/>
              <w:rPr>
                <w:rFonts w:ascii="Arial" w:hAnsi="Arial" w:cs="Arial"/>
                <w:bCs/>
                <w:color w:val="auto"/>
                <w:sz w:val="22"/>
                <w:szCs w:val="22"/>
              </w:rPr>
            </w:pPr>
            <w:r w:rsidRPr="00ED575E">
              <w:rPr>
                <w:rFonts w:ascii="Arial" w:hAnsi="Arial" w:cs="Arial"/>
                <w:bCs/>
                <w:color w:val="auto"/>
                <w:sz w:val="22"/>
                <w:szCs w:val="22"/>
              </w:rPr>
              <w:br/>
            </w:r>
          </w:p>
          <w:p w14:paraId="179E28DD" w14:textId="77777777" w:rsidR="00F145FF" w:rsidRPr="00ED575E" w:rsidRDefault="00F145FF" w:rsidP="00C45A81">
            <w:pPr>
              <w:pStyle w:val="NormalWeb"/>
              <w:spacing w:before="0" w:beforeAutospacing="0" w:after="0" w:afterAutospacing="0"/>
              <w:ind w:right="-334"/>
              <w:rPr>
                <w:rFonts w:ascii="Arial" w:hAnsi="Arial" w:cs="Arial"/>
                <w:bCs/>
                <w:color w:val="auto"/>
                <w:sz w:val="22"/>
                <w:szCs w:val="22"/>
              </w:rPr>
            </w:pPr>
          </w:p>
          <w:p w14:paraId="29925EEF" w14:textId="77777777" w:rsidR="00F145FF" w:rsidRPr="00ED575E" w:rsidRDefault="00F145FF" w:rsidP="00C45A81">
            <w:pPr>
              <w:pStyle w:val="NormalWeb"/>
              <w:spacing w:before="0" w:beforeAutospacing="0" w:after="0" w:afterAutospacing="0"/>
              <w:ind w:right="-334"/>
              <w:rPr>
                <w:rFonts w:ascii="Arial" w:hAnsi="Arial" w:cs="Arial"/>
                <w:bCs/>
                <w:color w:val="auto"/>
                <w:sz w:val="22"/>
                <w:szCs w:val="22"/>
              </w:rPr>
            </w:pPr>
          </w:p>
          <w:p w14:paraId="6F50B696" w14:textId="77777777" w:rsidR="00F145FF" w:rsidRPr="00ED575E" w:rsidRDefault="00F145FF" w:rsidP="00C45A81">
            <w:pPr>
              <w:pStyle w:val="NormalWeb"/>
              <w:spacing w:before="0" w:beforeAutospacing="0" w:after="0" w:afterAutospacing="0"/>
              <w:ind w:right="-334"/>
              <w:rPr>
                <w:rFonts w:ascii="Arial" w:hAnsi="Arial" w:cs="Arial"/>
                <w:bCs/>
                <w:color w:val="auto"/>
                <w:sz w:val="22"/>
                <w:szCs w:val="22"/>
              </w:rPr>
            </w:pPr>
          </w:p>
        </w:tc>
      </w:tr>
      <w:tr w:rsidR="00ED575E" w:rsidRPr="00ED575E" w14:paraId="396B1F02" w14:textId="77777777" w:rsidTr="00F145FF">
        <w:trPr>
          <w:trHeight w:val="440"/>
        </w:trPr>
        <w:tc>
          <w:tcPr>
            <w:tcW w:w="5211" w:type="dxa"/>
            <w:gridSpan w:val="2"/>
          </w:tcPr>
          <w:p w14:paraId="7F73F28C" w14:textId="77777777" w:rsidR="00F145FF" w:rsidRPr="00ED575E" w:rsidRDefault="00F145FF" w:rsidP="00C45A81">
            <w:r w:rsidRPr="00ED575E">
              <w:t>External Examiner’s Signature:</w:t>
            </w:r>
          </w:p>
        </w:tc>
        <w:tc>
          <w:tcPr>
            <w:tcW w:w="3645" w:type="dxa"/>
            <w:gridSpan w:val="3"/>
          </w:tcPr>
          <w:p w14:paraId="1E2CD81A" w14:textId="77777777" w:rsidR="00F145FF" w:rsidRPr="00ED575E" w:rsidRDefault="00F145FF" w:rsidP="00C45A81">
            <w:r w:rsidRPr="00ED575E">
              <w:t>Date:</w:t>
            </w:r>
          </w:p>
        </w:tc>
      </w:tr>
    </w:tbl>
    <w:p w14:paraId="00000002" w14:textId="52404EDC" w:rsidR="00C75DAA" w:rsidRPr="00ED575E" w:rsidRDefault="00BC558C">
      <w:pPr>
        <w:rPr>
          <w:b/>
          <w:sz w:val="28"/>
          <w:szCs w:val="28"/>
        </w:rPr>
      </w:pPr>
      <w:r w:rsidRPr="00ED575E">
        <w:rPr>
          <w:b/>
          <w:sz w:val="28"/>
          <w:szCs w:val="28"/>
        </w:rPr>
        <w:lastRenderedPageBreak/>
        <w:t xml:space="preserve">A Critical Review of Cicero’s Arguments </w:t>
      </w:r>
      <w:r w:rsidR="00ED575E">
        <w:rPr>
          <w:b/>
          <w:sz w:val="28"/>
          <w:szCs w:val="28"/>
        </w:rPr>
        <w:br/>
      </w:r>
      <w:r w:rsidRPr="00ED575E">
        <w:rPr>
          <w:b/>
          <w:sz w:val="28"/>
          <w:szCs w:val="28"/>
        </w:rPr>
        <w:t xml:space="preserve">Against Divination in De </w:t>
      </w:r>
      <w:r w:rsidR="00ED575E">
        <w:rPr>
          <w:b/>
          <w:sz w:val="28"/>
          <w:szCs w:val="28"/>
        </w:rPr>
        <w:t>divinatione</w:t>
      </w:r>
      <w:r w:rsidR="00ED575E">
        <w:rPr>
          <w:b/>
          <w:sz w:val="28"/>
          <w:szCs w:val="28"/>
        </w:rPr>
        <w:br/>
      </w:r>
    </w:p>
    <w:p w14:paraId="00000003" w14:textId="77777777" w:rsidR="00C75DAA" w:rsidRPr="00ED575E" w:rsidRDefault="00C75DAA">
      <w:pPr>
        <w:rPr>
          <w:b/>
        </w:rPr>
      </w:pPr>
    </w:p>
    <w:p w14:paraId="00000004" w14:textId="77777777" w:rsidR="00C75DAA" w:rsidRPr="00ED575E" w:rsidRDefault="00BC558C">
      <w:pPr>
        <w:rPr>
          <w:b/>
        </w:rPr>
      </w:pPr>
      <w:r w:rsidRPr="00ED575E">
        <w:rPr>
          <w:b/>
        </w:rPr>
        <w:t>Introduction</w:t>
      </w:r>
    </w:p>
    <w:p w14:paraId="00000005" w14:textId="7C4337E8" w:rsidR="00C75DAA" w:rsidRPr="00ED575E" w:rsidRDefault="00BC558C">
      <w:pPr>
        <w:ind w:firstLine="720"/>
      </w:pPr>
      <w:r w:rsidRPr="00ED575E">
        <w:t xml:space="preserve">In his </w:t>
      </w:r>
      <w:r w:rsidRPr="00ED575E">
        <w:rPr>
          <w:i/>
        </w:rPr>
        <w:t>De divinatione</w:t>
      </w:r>
      <w:r w:rsidRPr="00ED575E">
        <w:t>, Cicero crafts a dramatized, theoretical dialogue between himself (Marcus) and his brother Quintus in an effort to assess the legitimacy of divinatory practice toward the end of the Roman Empire.</w:t>
      </w:r>
      <w:r w:rsidR="00E76AF9" w:rsidRPr="00ED575E">
        <w:rPr>
          <w:rStyle w:val="FootnoteReference"/>
        </w:rPr>
        <w:footnoteReference w:id="1"/>
      </w:r>
      <w:r w:rsidRPr="00ED575E">
        <w:t xml:space="preserve"> Written in 45 BCE to supplement his prior work </w:t>
      </w:r>
      <w:r w:rsidRPr="00ED575E">
        <w:rPr>
          <w:i/>
        </w:rPr>
        <w:t>On the Nature of the Gods (De natura deorum),</w:t>
      </w:r>
      <w:r w:rsidRPr="00ED575E">
        <w:t xml:space="preserve"> Cicero leverages his skill as a lawyer, philosopher, augur, and avid statesman in dividing </w:t>
      </w:r>
      <w:r w:rsidRPr="00ED575E">
        <w:rPr>
          <w:i/>
        </w:rPr>
        <w:t xml:space="preserve">De divinatione </w:t>
      </w:r>
      <w:r w:rsidRPr="00ED575E">
        <w:t xml:space="preserve">into two books, wherein each character outlines his respective arguments for or against divination. </w:t>
      </w:r>
    </w:p>
    <w:p w14:paraId="00000006" w14:textId="77777777" w:rsidR="00C75DAA" w:rsidRPr="00ED575E" w:rsidRDefault="00C75DAA">
      <w:pPr>
        <w:ind w:firstLine="720"/>
      </w:pPr>
    </w:p>
    <w:p w14:paraId="00000007" w14:textId="0D65A44A" w:rsidR="00C75DAA" w:rsidRPr="00ED575E" w:rsidRDefault="00BC558C">
      <w:pPr>
        <w:ind w:firstLine="720"/>
      </w:pPr>
      <w:r w:rsidRPr="00ED575E">
        <w:t xml:space="preserve">In Book I, Quintus argues in </w:t>
      </w:r>
      <w:r w:rsidR="006A2746" w:rsidRPr="00ED575E">
        <w:t>favour</w:t>
      </w:r>
      <w:r w:rsidRPr="00ED575E">
        <w:t xml:space="preserve"> of divination, defining it as the 'foreseeing and foretelling of events considered as happening by chance.'</w:t>
      </w:r>
      <w:r w:rsidRPr="00ED575E">
        <w:rPr>
          <w:vertAlign w:val="superscript"/>
        </w:rPr>
        <w:footnoteReference w:id="2"/>
      </w:r>
      <w:r w:rsidRPr="00ED575E">
        <w:t xml:space="preserve"> He continues to distinguish two classes of divination. The first, he coins as divination through art, which employs collectively codified processes and operates through deduction. In this, he includes the practices of astrology, augury, lightning interpretation, and that of other natural phenomena</w:t>
      </w:r>
      <w:r w:rsidR="00B577CE" w:rsidRPr="00ED575E">
        <w:t>.</w:t>
      </w:r>
      <w:r w:rsidRPr="00ED575E">
        <w:rPr>
          <w:vertAlign w:val="superscript"/>
        </w:rPr>
        <w:footnoteReference w:id="3"/>
      </w:r>
      <w:r w:rsidRPr="00ED575E">
        <w:t xml:space="preserve"> Quintus then defines the second type of divination as natural, or devoid of art, in which the </w:t>
      </w:r>
      <w:r w:rsidR="00226D86" w:rsidRPr="00ED575E">
        <w:t xml:space="preserve">querent </w:t>
      </w:r>
      <w:r w:rsidRPr="00ED575E">
        <w:t>is directly connected to divine wisdom through embodied experience</w:t>
      </w:r>
      <w:r w:rsidR="00B577CE" w:rsidRPr="00ED575E">
        <w:t>.</w:t>
      </w:r>
      <w:r w:rsidRPr="00ED575E">
        <w:rPr>
          <w:vertAlign w:val="superscript"/>
        </w:rPr>
        <w:footnoteReference w:id="4"/>
      </w:r>
      <w:r w:rsidRPr="00ED575E">
        <w:t xml:space="preserve"> He argues that this approach is that of seers, prophets, and other individuals who can reach these states of frenzy or inspiration</w:t>
      </w:r>
      <w:r w:rsidR="00B577CE" w:rsidRPr="00ED575E">
        <w:t>.</w:t>
      </w:r>
      <w:r w:rsidRPr="00ED575E">
        <w:rPr>
          <w:vertAlign w:val="superscript"/>
        </w:rPr>
        <w:footnoteReference w:id="5"/>
      </w:r>
      <w:r w:rsidRPr="00ED575E">
        <w:t xml:space="preserve"> </w:t>
      </w:r>
    </w:p>
    <w:p w14:paraId="00000008" w14:textId="77777777" w:rsidR="00C75DAA" w:rsidRPr="00ED575E" w:rsidRDefault="00C75DAA">
      <w:pPr>
        <w:ind w:firstLine="720"/>
      </w:pPr>
    </w:p>
    <w:p w14:paraId="00000009" w14:textId="674079B6" w:rsidR="00C75DAA" w:rsidRPr="00ED575E" w:rsidRDefault="00BC558C">
      <w:pPr>
        <w:ind w:firstLine="720"/>
      </w:pPr>
      <w:r w:rsidRPr="00ED575E">
        <w:t>Taking the opposing stance in Book II, Marcus's character argues that divination doesn't exist—and furthermore, even if it did, it would be useless</w:t>
      </w:r>
      <w:r w:rsidR="00B577CE" w:rsidRPr="00ED575E">
        <w:t>.</w:t>
      </w:r>
      <w:r w:rsidRPr="00ED575E">
        <w:rPr>
          <w:vertAlign w:val="superscript"/>
        </w:rPr>
        <w:footnoteReference w:id="6"/>
      </w:r>
      <w:r w:rsidRPr="00ED575E">
        <w:t xml:space="preserve"> For Marcus, it is reason—not divination—that explains the human capacity to predict or foretell the future due to our ability to understand what he sees as the unvarying laws of nature</w:t>
      </w:r>
      <w:r w:rsidR="00B577CE" w:rsidRPr="00ED575E">
        <w:t>.</w:t>
      </w:r>
      <w:r w:rsidRPr="00ED575E">
        <w:rPr>
          <w:vertAlign w:val="superscript"/>
        </w:rPr>
        <w:footnoteReference w:id="7"/>
      </w:r>
      <w:r w:rsidRPr="00ED575E">
        <w:t xml:space="preserve"> </w:t>
      </w:r>
    </w:p>
    <w:p w14:paraId="0000000A" w14:textId="77777777" w:rsidR="00C75DAA" w:rsidRPr="00ED575E" w:rsidRDefault="00C75DAA"/>
    <w:p w14:paraId="0000000B" w14:textId="77777777" w:rsidR="00C75DAA" w:rsidRPr="00ED575E" w:rsidRDefault="00C75DAA"/>
    <w:p w14:paraId="0000000C" w14:textId="3F766EE2" w:rsidR="00C75DAA" w:rsidRPr="00ED575E" w:rsidRDefault="00BC558C">
      <w:pPr>
        <w:rPr>
          <w:b/>
        </w:rPr>
      </w:pPr>
      <w:r w:rsidRPr="00ED575E">
        <w:rPr>
          <w:b/>
        </w:rPr>
        <w:t xml:space="preserve">A Straw Man Built Up </w:t>
      </w:r>
      <w:r w:rsidR="006A2746" w:rsidRPr="00ED575E">
        <w:rPr>
          <w:b/>
        </w:rPr>
        <w:t>to</w:t>
      </w:r>
      <w:r w:rsidRPr="00ED575E">
        <w:rPr>
          <w:b/>
        </w:rPr>
        <w:t xml:space="preserve"> Burn</w:t>
      </w:r>
    </w:p>
    <w:p w14:paraId="0000000D" w14:textId="44660F24" w:rsidR="00C75DAA" w:rsidRPr="00ED575E" w:rsidRDefault="00BC558C">
      <w:pPr>
        <w:ind w:firstLine="720"/>
      </w:pPr>
      <w:r w:rsidRPr="00ED575E">
        <w:t xml:space="preserve">Although the two-book structure of </w:t>
      </w:r>
      <w:r w:rsidRPr="00ED575E">
        <w:rPr>
          <w:i/>
        </w:rPr>
        <w:t xml:space="preserve">De divinatione </w:t>
      </w:r>
      <w:r w:rsidRPr="00ED575E">
        <w:t xml:space="preserve">may seem like a fair exchange of ideas between equally curious characters, the mechanism of the dialogue suggests an omnipresent bias against divination. Granted, the dialectical exchange is valuable in that it enables Cicero to explore multiple sides of the debate in greater depth and detail. However, as an author, it also enables him to exert full control over the conversation. Rather than a true dialogue, this treatise might be more accurately described as a </w:t>
      </w:r>
      <w:r w:rsidR="006A2746" w:rsidRPr="00ED575E">
        <w:t>duelling</w:t>
      </w:r>
      <w:r w:rsidRPr="00ED575E">
        <w:t xml:space="preserve"> monologue, structured </w:t>
      </w:r>
      <w:r w:rsidRPr="00ED575E">
        <w:lastRenderedPageBreak/>
        <w:t xml:space="preserve">in such a way to suggest philosophical objectivity without actually maintaining it. </w:t>
      </w:r>
      <w:r w:rsidR="00791D44" w:rsidRPr="00ED575E">
        <w:t>While Beard</w:t>
      </w:r>
      <w:r w:rsidR="00791D44" w:rsidRPr="00ED575E">
        <w:rPr>
          <w:rStyle w:val="FootnoteReference"/>
        </w:rPr>
        <w:footnoteReference w:id="8"/>
      </w:r>
      <w:r w:rsidR="00791D44" w:rsidRPr="00ED575E">
        <w:t xml:space="preserve"> clearly demonstrates that Cicero’s authorial voice and opinions are not necessarily those expressed through his character Marcus, the structure of the dialogue itself nonetheless suggests </w:t>
      </w:r>
      <w:r w:rsidR="00E76AF9" w:rsidRPr="00ED575E">
        <w:t>the author’s</w:t>
      </w:r>
      <w:r w:rsidR="00791D44" w:rsidRPr="00ED575E">
        <w:t xml:space="preserve"> antipathy towards divination. As</w:t>
      </w:r>
      <w:r w:rsidRPr="00ED575E">
        <w:t xml:space="preserve"> Krostenko</w:t>
      </w:r>
      <w:r w:rsidRPr="00ED575E">
        <w:rPr>
          <w:vertAlign w:val="superscript"/>
        </w:rPr>
        <w:footnoteReference w:id="9"/>
      </w:r>
      <w:r w:rsidRPr="00ED575E">
        <w:t xml:space="preserve"> points out, there is a telling contrast between the seemingly disorganized oratory style of Quintus's arguments for divination in Book I and Marcus's highly organized, rational rebuttal in Book II. Whereas Krostenko views this disparity as a thematic expression of rival philosophical schools</w:t>
      </w:r>
      <w:r w:rsidR="00B14144" w:rsidRPr="00ED575E">
        <w:t xml:space="preserve"> embodied by each character</w:t>
      </w:r>
      <w:r w:rsidRPr="00ED575E">
        <w:t>, Goar</w:t>
      </w:r>
      <w:r w:rsidRPr="00ED575E">
        <w:rPr>
          <w:vertAlign w:val="superscript"/>
        </w:rPr>
        <w:footnoteReference w:id="10"/>
      </w:r>
      <w:r w:rsidRPr="00ED575E">
        <w:t xml:space="preserve"> argues that Cicero uses th</w:t>
      </w:r>
      <w:r w:rsidR="00B14144" w:rsidRPr="00ED575E">
        <w:t>is</w:t>
      </w:r>
      <w:r w:rsidRPr="00ED575E">
        <w:t xml:space="preserve"> dialogue structure</w:t>
      </w:r>
      <w:r w:rsidR="00B14144" w:rsidRPr="00ED575E">
        <w:t xml:space="preserve"> expressly</w:t>
      </w:r>
      <w:r w:rsidRPr="00ED575E">
        <w:t xml:space="preserve"> to cast doubt on divination </w:t>
      </w:r>
      <w:r w:rsidR="00B14144" w:rsidRPr="00ED575E">
        <w:t>in an effort to</w:t>
      </w:r>
      <w:r w:rsidRPr="00ED575E">
        <w:t xml:space="preserve"> undermine superstition altogether. The possibility that Cicero strategically builds a shaky argument in </w:t>
      </w:r>
      <w:r w:rsidR="006A2746" w:rsidRPr="00ED575E">
        <w:t>favour</w:t>
      </w:r>
      <w:r w:rsidRPr="00ED575E">
        <w:t xml:space="preserve"> of divination </w:t>
      </w:r>
      <w:r w:rsidRPr="00ED575E">
        <w:rPr>
          <w:i/>
        </w:rPr>
        <w:t>in order</w:t>
      </w:r>
      <w:r w:rsidRPr="00ED575E">
        <w:t xml:space="preserve"> to swiftly dismantle it—notably without offering Quintus's character the opportunity for a rebuttal—supports </w:t>
      </w:r>
      <w:r w:rsidR="00AD1C7A" w:rsidRPr="00ED575E">
        <w:t>Goar’s</w:t>
      </w:r>
      <w:r w:rsidRPr="00ED575E">
        <w:t xml:space="preserve"> assertion.  </w:t>
      </w:r>
    </w:p>
    <w:p w14:paraId="00000010" w14:textId="7B10F8C0" w:rsidR="00C75DAA" w:rsidRPr="00ED575E" w:rsidRDefault="00BC558C" w:rsidP="00D840DB">
      <w:r w:rsidRPr="00ED575E">
        <w:rPr>
          <w:i/>
        </w:rPr>
        <w:br/>
      </w:r>
      <w:r w:rsidRPr="00ED575E">
        <w:rPr>
          <w:i/>
        </w:rPr>
        <w:br/>
      </w:r>
      <w:r w:rsidRPr="00ED575E">
        <w:rPr>
          <w:b/>
        </w:rPr>
        <w:t xml:space="preserve">For or Against? Both and Neither. </w:t>
      </w:r>
      <w:r w:rsidRPr="00ED575E">
        <w:rPr>
          <w:b/>
          <w:i/>
        </w:rPr>
        <w:br/>
      </w:r>
      <w:r w:rsidRPr="00ED575E">
        <w:rPr>
          <w:b/>
          <w:i/>
        </w:rPr>
        <w:tab/>
      </w:r>
      <w:r w:rsidRPr="00ED575E">
        <w:t>Beyond the integral role dialogue plays in forwarding Cicero's agenda, many of the arguments surrounding divination reveal considerable problems, oversights, and contradictions. Though Cicero</w:t>
      </w:r>
      <w:r w:rsidR="00280142" w:rsidRPr="00ED575E">
        <w:t>’s characters explore the debate from multiple angles,</w:t>
      </w:r>
      <w:r w:rsidRPr="00ED575E">
        <w:t xml:space="preserve"> many of </w:t>
      </w:r>
      <w:r w:rsidR="00280142" w:rsidRPr="00ED575E">
        <w:t xml:space="preserve">his </w:t>
      </w:r>
      <w:r w:rsidRPr="00ED575E">
        <w:t>arguments for and against divination stumbl</w:t>
      </w:r>
      <w:r w:rsidR="00A33C86" w:rsidRPr="00ED575E">
        <w:t>e</w:t>
      </w:r>
      <w:r w:rsidRPr="00ED575E">
        <w:t xml:space="preserve"> over the same challenges, particularly those regarding the limitations of bodily perception, the unexplored questions of other-than-human agency, the non</w:t>
      </w:r>
      <w:r w:rsidR="006A2746" w:rsidRPr="00ED575E">
        <w:t xml:space="preserve"> </w:t>
      </w:r>
      <w:r w:rsidRPr="00ED575E">
        <w:t xml:space="preserve">sequitur of social participation, and the obscurity of omniscience. </w:t>
      </w:r>
      <w:r w:rsidRPr="00ED575E">
        <w:br/>
      </w:r>
    </w:p>
    <w:p w14:paraId="00000011" w14:textId="77777777" w:rsidR="00C75DAA" w:rsidRPr="00ED575E" w:rsidRDefault="00C75DAA"/>
    <w:p w14:paraId="00000012" w14:textId="77777777" w:rsidR="00C75DAA" w:rsidRPr="00ED575E" w:rsidRDefault="00BC558C">
      <w:r w:rsidRPr="00ED575E">
        <w:rPr>
          <w:b/>
        </w:rPr>
        <w:t>Body Image Issues</w:t>
      </w:r>
    </w:p>
    <w:p w14:paraId="00000013" w14:textId="4506BF4E" w:rsidR="00C75DAA" w:rsidRPr="00ED575E" w:rsidRDefault="00BC558C">
      <w:pPr>
        <w:ind w:firstLine="720"/>
      </w:pPr>
      <w:r w:rsidRPr="00ED575E">
        <w:t>While Quintus argues that the human body hinders true divination by corrupting the purity of the soul, Marcus locates the veracity of experience within the bodily senses to dismiss divination altogether</w:t>
      </w:r>
      <w:r w:rsidR="00B577CE" w:rsidRPr="00ED575E">
        <w:t>.</w:t>
      </w:r>
      <w:r w:rsidRPr="00ED575E">
        <w:rPr>
          <w:vertAlign w:val="superscript"/>
        </w:rPr>
        <w:footnoteReference w:id="11"/>
      </w:r>
      <w:r w:rsidRPr="00ED575E">
        <w:t xml:space="preserve"> In articulating a spectrum of rectitude within natural divination, Quintus argues that the soul must be completely unmitigated by the body in order to fully interact with the divine. He goes so far </w:t>
      </w:r>
      <w:r w:rsidR="00226D86" w:rsidRPr="00ED575E">
        <w:t xml:space="preserve">as </w:t>
      </w:r>
      <w:r w:rsidRPr="00ED575E">
        <w:t xml:space="preserve">to say </w:t>
      </w:r>
      <w:r w:rsidR="006A2746" w:rsidRPr="00ED575E">
        <w:t>that</w:t>
      </w:r>
      <w:r w:rsidRPr="00ED575E">
        <w:t xml:space="preserve"> 'the human soul never divines naturally unless it's entirely free from the body'</w:t>
      </w:r>
      <w:r w:rsidRPr="00ED575E">
        <w:rPr>
          <w:vertAlign w:val="superscript"/>
        </w:rPr>
        <w:footnoteReference w:id="12"/>
      </w:r>
      <w:r w:rsidRPr="00ED575E">
        <w:t xml:space="preserve">—a state which </w:t>
      </w:r>
      <w:r w:rsidR="006B31FB">
        <w:t xml:space="preserve">he argues </w:t>
      </w:r>
      <w:r w:rsidRPr="00ED575E">
        <w:t>can be achieved through dreaming and death.</w:t>
      </w:r>
      <w:r w:rsidRPr="00ED575E">
        <w:rPr>
          <w:vertAlign w:val="superscript"/>
        </w:rPr>
        <w:footnoteReference w:id="13"/>
      </w:r>
      <w:r w:rsidRPr="00ED575E">
        <w:t xml:space="preserve"> Following this logic, it appears rather asymptotic in that to be dead is to be a true diviner, at which point, what use might one have for divination? Extremes aside, when holding </w:t>
      </w:r>
      <w:r w:rsidRPr="00ED575E">
        <w:lastRenderedPageBreak/>
        <w:t>this conceptual framework next to artificial divination, Quintus seems to contradict himself, for an augur surely relies on his or her vision to find meaning in the flight of birds. Marcus retorts as much when he asks, 'is there any diviner, anywhere, who, if blind, like Tiresias, could tell the difference between white and black?'</w:t>
      </w:r>
      <w:r w:rsidRPr="00ED575E">
        <w:rPr>
          <w:vertAlign w:val="superscript"/>
        </w:rPr>
        <w:footnoteReference w:id="14"/>
      </w:r>
      <w:r w:rsidRPr="00ED575E">
        <w:t xml:space="preserve"> Here, Marcus latches on to the contradictory role of the body in Quintus's arguments for divination, revealing an unresolved conundrum: why does bodily experience </w:t>
      </w:r>
      <w:r w:rsidRPr="00ED575E">
        <w:rPr>
          <w:i/>
        </w:rPr>
        <w:t>subvert</w:t>
      </w:r>
      <w:r w:rsidRPr="00ED575E">
        <w:t xml:space="preserve"> natural divination when it is </w:t>
      </w:r>
      <w:r w:rsidRPr="00ED575E">
        <w:rPr>
          <w:i/>
        </w:rPr>
        <w:t xml:space="preserve">essential </w:t>
      </w:r>
      <w:r w:rsidRPr="00ED575E">
        <w:t>for artificial divination?</w:t>
      </w:r>
    </w:p>
    <w:p w14:paraId="00000014" w14:textId="77777777" w:rsidR="00C75DAA" w:rsidRPr="00ED575E" w:rsidRDefault="00C75DAA"/>
    <w:p w14:paraId="00000015" w14:textId="248A3953" w:rsidR="00C75DAA" w:rsidRPr="00ED575E" w:rsidRDefault="00BC558C">
      <w:pPr>
        <w:ind w:firstLine="720"/>
      </w:pPr>
      <w:r w:rsidRPr="00ED575E">
        <w:t xml:space="preserve">Marcus approaches the soul-body relationship in </w:t>
      </w:r>
      <w:r w:rsidR="006A2746" w:rsidRPr="00ED575E">
        <w:t>reverse but</w:t>
      </w:r>
      <w:r w:rsidRPr="00ED575E">
        <w:t xml:space="preserve"> ends up caught in a similar contradiction. Whereas Quintus views the corporeal experience as a </w:t>
      </w:r>
      <w:r w:rsidR="004D2F63" w:rsidRPr="00ED575E">
        <w:t>degenerative</w:t>
      </w:r>
      <w:r w:rsidRPr="00ED575E">
        <w:t xml:space="preserve"> influence on the soul, Marcus sees the body as a stabilizing force. He argues </w:t>
      </w:r>
      <w:r w:rsidR="006A2746" w:rsidRPr="00ED575E">
        <w:t>that</w:t>
      </w:r>
      <w:r w:rsidRPr="00ED575E">
        <w:t xml:space="preserve"> 'the eyes, in seeing correctly, employ a sense conferred by nature; while the soul [...] relies upon luck or chance.'</w:t>
      </w:r>
      <w:r w:rsidRPr="00ED575E">
        <w:rPr>
          <w:vertAlign w:val="superscript"/>
        </w:rPr>
        <w:footnoteReference w:id="15"/>
      </w:r>
      <w:r w:rsidRPr="00ED575E">
        <w:t xml:space="preserve"> Here, Marcus concludes that </w:t>
      </w:r>
      <w:r w:rsidRPr="00ED575E">
        <w:rPr>
          <w:i/>
        </w:rPr>
        <w:t>because</w:t>
      </w:r>
      <w:r w:rsidRPr="00ED575E">
        <w:t xml:space="preserve"> Quintus's natural divination operates on an extrasensory level that cannot be verified by our bodily senses, we cannot trust that it's real. </w:t>
      </w:r>
      <w:r w:rsidR="00A33C86" w:rsidRPr="00ED575E">
        <w:t xml:space="preserve">However, this is a logical pitfall that inaccurately presupposes that </w:t>
      </w:r>
      <w:r w:rsidR="00593B99" w:rsidRPr="00ED575E">
        <w:t xml:space="preserve">sensory experience </w:t>
      </w:r>
      <w:r w:rsidR="00593B99" w:rsidRPr="00ED575E">
        <w:t>accurately reflects reality</w:t>
      </w:r>
      <w:r w:rsidR="00593B99" w:rsidRPr="00ED575E">
        <w:t xml:space="preserve"> and that </w:t>
      </w:r>
      <w:r w:rsidRPr="00ED575E">
        <w:t xml:space="preserve">reality cannot be verified beyond the limits of </w:t>
      </w:r>
      <w:r w:rsidR="00593B99" w:rsidRPr="00ED575E">
        <w:t>sensory experience</w:t>
      </w:r>
      <w:r w:rsidRPr="00ED575E">
        <w:t xml:space="preserve">. </w:t>
      </w:r>
      <w:r w:rsidR="00A33C86" w:rsidRPr="00ED575E">
        <w:t>Ironically</w:t>
      </w:r>
      <w:r w:rsidRPr="00ED575E">
        <w:t xml:space="preserve">, Marcus later </w:t>
      </w:r>
      <w:r w:rsidR="00A33C86" w:rsidRPr="00ED575E">
        <w:t xml:space="preserve">contradicts himself in </w:t>
      </w:r>
      <w:r w:rsidRPr="00ED575E">
        <w:t>acknowledg</w:t>
      </w:r>
      <w:r w:rsidR="00A33C86" w:rsidRPr="00ED575E">
        <w:t>ing</w:t>
      </w:r>
      <w:r w:rsidRPr="00ED575E">
        <w:t xml:space="preserve"> the limits and imperfections of </w:t>
      </w:r>
      <w:r w:rsidR="00593B99" w:rsidRPr="00ED575E">
        <w:t>human perception</w:t>
      </w:r>
      <w:r w:rsidR="00A33C86" w:rsidRPr="00ED575E">
        <w:t>.</w:t>
      </w:r>
      <w:r w:rsidRPr="00ED575E">
        <w:t xml:space="preserve"> </w:t>
      </w:r>
      <w:r w:rsidR="00A33C86" w:rsidRPr="00ED575E">
        <w:t>W</w:t>
      </w:r>
      <w:r w:rsidRPr="00ED575E">
        <w:t>hen rebuking Quintus's account of a crown of herbs spontaneously appearing on Lysander's statue at Delphi,</w:t>
      </w:r>
      <w:r w:rsidR="00A33C86" w:rsidRPr="00ED575E">
        <w:t xml:space="preserve"> Marcus quips</w:t>
      </w:r>
      <w:r w:rsidRPr="00ED575E">
        <w:t>, 'imagination can make anything on top of a head look like a crown.'</w:t>
      </w:r>
      <w:r w:rsidRPr="00ED575E">
        <w:rPr>
          <w:vertAlign w:val="superscript"/>
        </w:rPr>
        <w:footnoteReference w:id="16"/>
      </w:r>
      <w:r w:rsidRPr="00ED575E">
        <w:t xml:space="preserve"> </w:t>
      </w:r>
      <w:r w:rsidR="00496B9E">
        <w:t>By</w:t>
      </w:r>
      <w:r w:rsidR="00656A03" w:rsidRPr="00ED575E">
        <w:t xml:space="preserve"> identifying</w:t>
      </w:r>
      <w:r w:rsidRPr="00ED575E">
        <w:t xml:space="preserve"> this grey area between vision and imagination, </w:t>
      </w:r>
      <w:r w:rsidR="00656A03" w:rsidRPr="00ED575E">
        <w:t>Marcus</w:t>
      </w:r>
      <w:r w:rsidR="00496B9E">
        <w:t xml:space="preserve"> also </w:t>
      </w:r>
      <w:r w:rsidRPr="00ED575E">
        <w:t xml:space="preserve">troubles his own </w:t>
      </w:r>
      <w:r w:rsidR="00F63E07">
        <w:rPr>
          <w:color w:val="000000" w:themeColor="text1"/>
        </w:rPr>
        <w:t>position</w:t>
      </w:r>
      <w:r w:rsidRPr="00F63E07">
        <w:rPr>
          <w:color w:val="000000" w:themeColor="text1"/>
        </w:rPr>
        <w:t xml:space="preserve"> that bodily perception is </w:t>
      </w:r>
      <w:r w:rsidR="00144D34">
        <w:rPr>
          <w:color w:val="000000" w:themeColor="text1"/>
        </w:rPr>
        <w:t>an infallible</w:t>
      </w:r>
      <w:r w:rsidRPr="00F63E07">
        <w:rPr>
          <w:color w:val="000000" w:themeColor="text1"/>
        </w:rPr>
        <w:t xml:space="preserve"> </w:t>
      </w:r>
      <w:r w:rsidR="00F63E07">
        <w:rPr>
          <w:color w:val="000000" w:themeColor="text1"/>
        </w:rPr>
        <w:t>means of quantifying</w:t>
      </w:r>
      <w:r w:rsidR="00496B9E">
        <w:rPr>
          <w:color w:val="000000" w:themeColor="text1"/>
        </w:rPr>
        <w:t xml:space="preserve"> experience</w:t>
      </w:r>
      <w:r w:rsidRPr="00ED575E">
        <w:t xml:space="preserve">. In doing so, he effectively undermines his dismissal of Quintus's </w:t>
      </w:r>
      <w:r w:rsidR="006A2746" w:rsidRPr="00ED575E">
        <w:t>argument</w:t>
      </w:r>
      <w:r w:rsidRPr="00ED575E">
        <w:t xml:space="preserve"> for the soul's cognitive potential independent of the body.</w:t>
      </w:r>
    </w:p>
    <w:p w14:paraId="00000016" w14:textId="77777777" w:rsidR="00C75DAA" w:rsidRPr="00ED575E" w:rsidRDefault="00C75DAA"/>
    <w:p w14:paraId="00000017" w14:textId="77777777" w:rsidR="00C75DAA" w:rsidRPr="00ED575E" w:rsidRDefault="00C75DAA"/>
    <w:p w14:paraId="00000018" w14:textId="77777777" w:rsidR="00C75DAA" w:rsidRPr="00ED575E" w:rsidRDefault="00BC558C">
      <w:pPr>
        <w:rPr>
          <w:b/>
        </w:rPr>
      </w:pPr>
      <w:r w:rsidRPr="00ED575E">
        <w:rPr>
          <w:b/>
        </w:rPr>
        <w:t>Anthropocentrism &amp; Other-Than-Human Agency</w:t>
      </w:r>
    </w:p>
    <w:p w14:paraId="00000019" w14:textId="24EBD7A3" w:rsidR="00C75DAA" w:rsidRPr="00ED575E" w:rsidRDefault="00BC558C">
      <w:pPr>
        <w:ind w:firstLine="720"/>
      </w:pPr>
      <w:r w:rsidRPr="00ED575E">
        <w:t xml:space="preserve">The natural and other-than-human world plays a problematic role in the logic underpinning Quintus's and Marcus's contrasting arguments on divination. Both characters presuppose that divination is solely a discourse between people and the gods, often mediated through manipulations of nature. For example, when </w:t>
      </w:r>
      <w:r w:rsidR="00656A03" w:rsidRPr="00ED575E">
        <w:t xml:space="preserve">discussing </w:t>
      </w:r>
      <w:r w:rsidR="00D02A2F">
        <w:t>birds that provide omens by their flight</w:t>
      </w:r>
      <w:r w:rsidRPr="00ED575E">
        <w:t>, Quintus states:</w:t>
      </w:r>
    </w:p>
    <w:p w14:paraId="0000001A" w14:textId="77777777" w:rsidR="00C75DAA" w:rsidRPr="00ED575E" w:rsidRDefault="00C75DAA">
      <w:pPr>
        <w:ind w:left="720"/>
      </w:pPr>
    </w:p>
    <w:p w14:paraId="0000001B" w14:textId="06BC4AAE" w:rsidR="00C75DAA" w:rsidRPr="00ED575E" w:rsidRDefault="00BC558C" w:rsidP="006A42A9">
      <w:pPr>
        <w:ind w:left="1440" w:right="1440"/>
      </w:pPr>
      <w:r w:rsidRPr="00ED575E">
        <w:t xml:space="preserve">For if every animal moves its body forward, sideways, or backward at will, [...] and performs these various motions almost mechanically; how much easier it is for such results to be accomplished by a god, </w:t>
      </w:r>
      <w:proofErr w:type="gramStart"/>
      <w:r w:rsidRPr="00ED575E">
        <w:t>whose</w:t>
      </w:r>
      <w:proofErr w:type="gramEnd"/>
      <w:r w:rsidRPr="00ED575E">
        <w:t xml:space="preserve"> divine will all things obey!</w:t>
      </w:r>
      <w:r w:rsidRPr="00ED575E">
        <w:rPr>
          <w:vertAlign w:val="superscript"/>
        </w:rPr>
        <w:footnoteReference w:id="17"/>
      </w:r>
      <w:r w:rsidRPr="00ED575E">
        <w:t xml:space="preserve"> </w:t>
      </w:r>
    </w:p>
    <w:p w14:paraId="0000001C" w14:textId="77777777" w:rsidR="00C75DAA" w:rsidRPr="00ED575E" w:rsidRDefault="00C75DAA"/>
    <w:p w14:paraId="0000001D" w14:textId="2D001549" w:rsidR="00C75DAA" w:rsidRPr="00ED575E" w:rsidRDefault="00BC558C">
      <w:r w:rsidRPr="00ED575E">
        <w:t>Quintus's a</w:t>
      </w:r>
      <w:r w:rsidR="00B379B6" w:rsidRPr="00ED575E">
        <w:t>rgument posits</w:t>
      </w:r>
      <w:r w:rsidRPr="00ED575E">
        <w:t xml:space="preserve"> the simultaneous agency of individual organisms to behave as they please, but to also be totally overtaken, like puppets, by the gods. This raises an important question: if the gods directly embody and influence birds, why not do the same to humans in order to deliver divine wisdom directly? </w:t>
      </w:r>
    </w:p>
    <w:p w14:paraId="0000001E" w14:textId="77777777" w:rsidR="00C75DAA" w:rsidRPr="00ED575E" w:rsidRDefault="00C75DAA"/>
    <w:p w14:paraId="0000001F" w14:textId="1220068D" w:rsidR="00C75DAA" w:rsidRPr="00ED575E" w:rsidRDefault="00BC558C">
      <w:pPr>
        <w:ind w:firstLine="720"/>
      </w:pPr>
      <w:r w:rsidRPr="00ED575E">
        <w:t xml:space="preserve">An unsatisfying answer might lie in </w:t>
      </w:r>
      <w:r w:rsidR="00191223" w:rsidRPr="00ED575E">
        <w:t>a</w:t>
      </w:r>
      <w:r w:rsidRPr="00ED575E">
        <w:t xml:space="preserve"> hierarchical cosmology that diminishes the natural world as a divine gift for the sole benefit of humans. Quintus asserts:</w:t>
      </w:r>
      <w:r w:rsidRPr="00ED575E">
        <w:br/>
      </w:r>
    </w:p>
    <w:p w14:paraId="00000020" w14:textId="77777777" w:rsidR="00C75DAA" w:rsidRPr="00ED575E" w:rsidRDefault="00BC558C" w:rsidP="006A42A9">
      <w:pPr>
        <w:ind w:left="1440" w:right="1440"/>
      </w:pPr>
      <w:r w:rsidRPr="00ED575E">
        <w:t>it is clear that divine nature would have done a vain thing if she had merely created iron, copper, silver, and gold and had not shown us how to reach the veins in which those metals lie. [...] With everything that the gods have given for the advantage of mankind, there has been joined some art whereby that advantage may be turned to account.</w:t>
      </w:r>
      <w:r w:rsidRPr="00ED575E">
        <w:rPr>
          <w:vertAlign w:val="superscript"/>
        </w:rPr>
        <w:footnoteReference w:id="18"/>
      </w:r>
    </w:p>
    <w:p w14:paraId="00000021" w14:textId="77777777" w:rsidR="00C75DAA" w:rsidRPr="00ED575E" w:rsidRDefault="00C75DAA">
      <w:pPr>
        <w:ind w:left="720" w:right="720"/>
      </w:pPr>
    </w:p>
    <w:p w14:paraId="00000022" w14:textId="19987F6C" w:rsidR="00C75DAA" w:rsidRPr="00ED575E" w:rsidRDefault="00BC558C">
      <w:pPr>
        <w:ind w:right="720"/>
      </w:pPr>
      <w:r w:rsidRPr="00ED575E">
        <w:t xml:space="preserve">Put another way, nature's value is one of utility—and by means of divination, the gods teach humans how to best enjoy the bounty they prepared for us. However, this worldview fails to establish that nature and divine messages are, in fact, explicitly meant to benefit humans. In this regard, </w:t>
      </w:r>
      <w:r w:rsidR="00191223" w:rsidRPr="00ED575E">
        <w:t>Quintus</w:t>
      </w:r>
      <w:r w:rsidR="00B379B6" w:rsidRPr="00ED575E">
        <w:t>,</w:t>
      </w:r>
      <w:r w:rsidR="00191223" w:rsidRPr="00ED575E">
        <w:t xml:space="preserve"> Marcus</w:t>
      </w:r>
      <w:r w:rsidR="00B379B6" w:rsidRPr="00ED575E">
        <w:t>, and Cicero</w:t>
      </w:r>
      <w:r w:rsidRPr="00ED575E">
        <w:t xml:space="preserve"> </w:t>
      </w:r>
      <w:r w:rsidR="00B379B6" w:rsidRPr="00ED575E">
        <w:t xml:space="preserve">all </w:t>
      </w:r>
      <w:r w:rsidRPr="00ED575E">
        <w:t>fail to consider the possibility that the gods may not always be talking to human</w:t>
      </w:r>
      <w:r w:rsidRPr="00ED575E">
        <w:rPr>
          <w:iCs/>
        </w:rPr>
        <w:t>s</w:t>
      </w:r>
      <w:r w:rsidRPr="00ED575E">
        <w:rPr>
          <w:i/>
        </w:rPr>
        <w:t xml:space="preserve">, </w:t>
      </w:r>
      <w:r w:rsidRPr="00ED575E">
        <w:t>if at all. Who is to say that a thunderbolt sent into the sea by Jupiter couldn't be a specific message for dolphins or whales?</w:t>
      </w:r>
      <w:r w:rsidRPr="00ED575E">
        <w:rPr>
          <w:vertAlign w:val="superscript"/>
        </w:rPr>
        <w:footnoteReference w:id="19"/>
      </w:r>
      <w:r w:rsidRPr="00ED575E">
        <w:t xml:space="preserve"> Or that a flock of birds couldn't be choreographed by the gods with the intent of delivering divine insights to horses or hedgehogs? Furthermore, the arguments leveraged by both Quintus and Marcus regarding the practice of augury presuppose that it's the gods and not the birds </w:t>
      </w:r>
      <w:r w:rsidRPr="00ED575E">
        <w:rPr>
          <w:i/>
        </w:rPr>
        <w:t>themselves</w:t>
      </w:r>
      <w:r w:rsidRPr="00ED575E">
        <w:t xml:space="preserve"> who author portents</w:t>
      </w:r>
      <w:r w:rsidR="00B577CE" w:rsidRPr="00ED575E">
        <w:t>.</w:t>
      </w:r>
      <w:r w:rsidRPr="00ED575E">
        <w:rPr>
          <w:vertAlign w:val="superscript"/>
        </w:rPr>
        <w:footnoteReference w:id="20"/>
      </w:r>
      <w:r w:rsidRPr="00ED575E">
        <w:t xml:space="preserve"> </w:t>
      </w:r>
    </w:p>
    <w:p w14:paraId="00000023" w14:textId="77777777" w:rsidR="00C75DAA" w:rsidRPr="00ED575E" w:rsidRDefault="00C75DAA">
      <w:pPr>
        <w:ind w:left="3600"/>
      </w:pPr>
    </w:p>
    <w:p w14:paraId="00000024" w14:textId="77777777" w:rsidR="00C75DAA" w:rsidRPr="00ED575E" w:rsidRDefault="00C75DAA">
      <w:pPr>
        <w:ind w:left="3600"/>
      </w:pPr>
    </w:p>
    <w:p w14:paraId="00000025" w14:textId="77777777" w:rsidR="00C75DAA" w:rsidRPr="00ED575E" w:rsidRDefault="00BC558C">
      <w:pPr>
        <w:rPr>
          <w:b/>
        </w:rPr>
      </w:pPr>
      <w:r w:rsidRPr="00ED575E">
        <w:rPr>
          <w:b/>
        </w:rPr>
        <w:t>The Problem of (un)Popular Opinion</w:t>
      </w:r>
    </w:p>
    <w:p w14:paraId="00000026" w14:textId="3DEE69BD" w:rsidR="00C75DAA" w:rsidRPr="00ED575E" w:rsidRDefault="00BC558C" w:rsidP="00201D77">
      <w:pPr>
        <w:ind w:firstLine="720"/>
      </w:pPr>
      <w:r w:rsidRPr="00ED575E">
        <w:t xml:space="preserve">Both characters erroneously look to the popularity of divinatory practice—or lack thereof—in a fraught attempt to justify its legitimacy. Quintus </w:t>
      </w:r>
      <w:r w:rsidR="00BB6AF7" w:rsidRPr="00ED575E">
        <w:t>argues</w:t>
      </w:r>
      <w:r w:rsidRPr="00ED575E">
        <w:t xml:space="preserve"> that </w:t>
      </w:r>
      <w:r w:rsidR="00201D77" w:rsidRPr="00ED575E">
        <w:t>the truth of divination is evidenced by an “unvarying belief of all ages” spanning across cultures, demographics, and histories.</w:t>
      </w:r>
      <w:r w:rsidRPr="00ED575E">
        <w:rPr>
          <w:vertAlign w:val="superscript"/>
        </w:rPr>
        <w:footnoteReference w:id="21"/>
      </w:r>
      <w:r w:rsidR="00201D77" w:rsidRPr="00ED575E">
        <w:t xml:space="preserve"> </w:t>
      </w:r>
      <w:r w:rsidRPr="00ED575E">
        <w:t>However, this argument falls flat by presupposing that countless people cannot be wrong. Conversely, Marcus declares that only crazy old women believe in fate and divination</w:t>
      </w:r>
      <w:r w:rsidR="00B577CE" w:rsidRPr="00ED575E">
        <w:t>.</w:t>
      </w:r>
      <w:r w:rsidRPr="00ED575E">
        <w:rPr>
          <w:vertAlign w:val="superscript"/>
        </w:rPr>
        <w:footnoteReference w:id="22"/>
      </w:r>
      <w:r w:rsidRPr="00ED575E">
        <w:t xml:space="preserve"> Similarly, this doesn't offer an actual critique regarding the veracity of </w:t>
      </w:r>
      <w:r w:rsidR="006A2746" w:rsidRPr="00ED575E">
        <w:t>divination but</w:t>
      </w:r>
      <w:r w:rsidRPr="00ED575E">
        <w:t xml:space="preserve"> is merely a value judgement about the character and numbers of its practitioners. </w:t>
      </w:r>
    </w:p>
    <w:p w14:paraId="00000027" w14:textId="77777777" w:rsidR="00C75DAA" w:rsidRPr="00ED575E" w:rsidRDefault="00C75DAA">
      <w:pPr>
        <w:rPr>
          <w:b/>
        </w:rPr>
      </w:pPr>
    </w:p>
    <w:p w14:paraId="00000029" w14:textId="081E27FD" w:rsidR="00C75DAA" w:rsidRPr="00ED575E" w:rsidRDefault="00ED575E">
      <w:pPr>
        <w:rPr>
          <w:b/>
        </w:rPr>
      </w:pPr>
      <w:r>
        <w:rPr>
          <w:b/>
        </w:rPr>
        <w:br/>
      </w:r>
      <w:r w:rsidR="00BC558C" w:rsidRPr="00ED575E">
        <w:rPr>
          <w:b/>
        </w:rPr>
        <w:t>The Omniscience Debacle</w:t>
      </w:r>
    </w:p>
    <w:p w14:paraId="0000002A" w14:textId="2161288F" w:rsidR="00C75DAA" w:rsidRPr="00ED575E" w:rsidRDefault="00BC558C">
      <w:pPr>
        <w:ind w:firstLine="720"/>
      </w:pPr>
      <w:r w:rsidRPr="00ED575E">
        <w:t xml:space="preserve">Extending well beyond the bounds of how Quintus defines divination, Marcus erroneously equates it with omniscience in an attempt to attack its legitimacy. Offering reason </w:t>
      </w:r>
      <w:r w:rsidRPr="00ED575E">
        <w:lastRenderedPageBreak/>
        <w:t xml:space="preserve">as a means to logically anticipate future events, Marcus turns his argument to consider </w:t>
      </w:r>
      <w:r w:rsidR="006A2746" w:rsidRPr="00ED575E">
        <w:t>skilful</w:t>
      </w:r>
      <w:r w:rsidRPr="00ED575E">
        <w:t xml:space="preserve"> trades. He muses: </w:t>
      </w:r>
      <w:r w:rsidRPr="00ED575E">
        <w:br/>
      </w:r>
    </w:p>
    <w:p w14:paraId="0000002B" w14:textId="57382509" w:rsidR="00C75DAA" w:rsidRPr="00ED575E" w:rsidRDefault="00EB0C64" w:rsidP="006A42A9">
      <w:pPr>
        <w:ind w:left="1440" w:right="720"/>
      </w:pPr>
      <w:r w:rsidRPr="00ED575E">
        <w:t>S</w:t>
      </w:r>
      <w:r w:rsidR="00BC558C" w:rsidRPr="00ED575E">
        <w:t>uppose I wished to read, write, or sing, or to play on the lute, or to solve some problem in geometry, physics, or logic, must I wait for a dream, or must I depend upon the peculiar knowledge which each of these several arts or sciences requires and without which none of them can be utilized or mastered?</w:t>
      </w:r>
      <w:r w:rsidR="00BC558C" w:rsidRPr="00ED575E">
        <w:rPr>
          <w:vertAlign w:val="superscript"/>
        </w:rPr>
        <w:footnoteReference w:id="23"/>
      </w:r>
      <w:r w:rsidR="00BC558C" w:rsidRPr="00ED575E">
        <w:t xml:space="preserve"> </w:t>
      </w:r>
    </w:p>
    <w:p w14:paraId="0000002C" w14:textId="77777777" w:rsidR="00C75DAA" w:rsidRPr="00ED575E" w:rsidRDefault="00C75DAA">
      <w:pPr>
        <w:ind w:left="720" w:right="720"/>
      </w:pPr>
    </w:p>
    <w:p w14:paraId="0000002D" w14:textId="7C08E1E3" w:rsidR="00C75DAA" w:rsidRPr="00ED575E" w:rsidRDefault="00BC558C">
      <w:r w:rsidRPr="00ED575E">
        <w:t>Compared to his previous definition of divination as a practice of foreseeing and foretelling future events</w:t>
      </w:r>
      <w:r w:rsidR="00B577CE" w:rsidRPr="00ED575E">
        <w:t>,</w:t>
      </w:r>
      <w:r w:rsidRPr="00ED575E">
        <w:rPr>
          <w:vertAlign w:val="superscript"/>
        </w:rPr>
        <w:footnoteReference w:id="24"/>
      </w:r>
      <w:r w:rsidRPr="00ED575E">
        <w:t xml:space="preserve"> it's a curious logical leap to discount divination on the basis that it doesn't impart a skill or boundless knowledge on the dreamer. After all, skill is not a future event, but a developmental process. Ironically, Marcus later reaches a similar impasse by highlighting the distinction between precognition and mastery. He clarifies, 'diviners do not [...] profess to tell whether geometrical figures are correctly drawn or not, for that is the business of mathematicians, not of seers.'</w:t>
      </w:r>
      <w:r w:rsidRPr="00ED575E">
        <w:rPr>
          <w:vertAlign w:val="superscript"/>
        </w:rPr>
        <w:footnoteReference w:id="25"/>
      </w:r>
      <w:r w:rsidRPr="00ED575E">
        <w:t xml:space="preserve"> Here, Marcus makes a valid, albeit implicit point. Since Quintus defines divination's goal as glimpsing future events, the fact that a diviner can't miraculously learn a musical instrument or access mathematical theory is immaterial. </w:t>
      </w:r>
      <w:r w:rsidR="006A2746" w:rsidRPr="00ED575E">
        <w:t>Therefore,</w:t>
      </w:r>
      <w:r w:rsidRPr="00ED575E">
        <w:t xml:space="preserve"> this distinction is not a sound condemnation of divination, but rather a straightforward delineation between different disciplines. </w:t>
      </w:r>
      <w:r w:rsidRPr="00ED575E">
        <w:br/>
      </w:r>
      <w:r w:rsidRPr="00ED575E">
        <w:tab/>
      </w:r>
      <w:r w:rsidRPr="00ED575E">
        <w:br/>
      </w:r>
      <w:r w:rsidRPr="00ED575E">
        <w:tab/>
        <w:t>Omniscience presents additional challenges for Cicero's arguments around divination, especially concerning the nature of the gods. In discussing how dreamers and prophets can see that which doesn't yet exist, Quintus appeals to divine intervention. He argues that if gods 'rule the universe by their foresight; and that they direct the affairs of men [...] then surely it must follow that the gods give to men signs of coming events.'</w:t>
      </w:r>
      <w:r w:rsidRPr="00ED575E">
        <w:rPr>
          <w:vertAlign w:val="superscript"/>
        </w:rPr>
        <w:footnoteReference w:id="26"/>
      </w:r>
      <w:r w:rsidRPr="00ED575E">
        <w:t xml:space="preserve"> It's a comforting thought, but as Krostenko</w:t>
      </w:r>
      <w:r w:rsidRPr="00ED575E">
        <w:rPr>
          <w:vertAlign w:val="superscript"/>
        </w:rPr>
        <w:footnoteReference w:id="27"/>
      </w:r>
      <w:r w:rsidRPr="00ED575E">
        <w:t xml:space="preserve"> articulates, this logic depends on a supposition that the gods act in certain and predictable ways. Without proving this to be true, Quintus's logic reveals an unresolved existential possibility that the gods might not care or bother to tell people what's around the corner. Similarly, it also doesn't consider that an unfolding divine event may require that people are unaware of it. Even assuming, as Denyer</w:t>
      </w:r>
      <w:r w:rsidRPr="00ED575E">
        <w:rPr>
          <w:vertAlign w:val="superscript"/>
        </w:rPr>
        <w:footnoteReference w:id="28"/>
      </w:r>
      <w:r w:rsidRPr="00ED575E">
        <w:t xml:space="preserve"> suggests, that humans lack the ability to alter events we have foreseen, it is not inconceivable that the gods may have reasons to withhold information about the future. </w:t>
      </w:r>
      <w:r w:rsidR="00EB0C64" w:rsidRPr="00ED575E">
        <w:t>A</w:t>
      </w:r>
      <w:r w:rsidRPr="00ED575E">
        <w:t xml:space="preserve"> surprise birthday party offers a timeless example of the role benevolent secrecy can play for the benefit of an individual. Finally, Quintus's conclusion also overlooks the possibility that all-knowing gods can direct the affairs of men just as effectively with or without portents, especially considering that a lack of communication is often a communication in and of itself.</w:t>
      </w:r>
    </w:p>
    <w:p w14:paraId="0000002E" w14:textId="77777777" w:rsidR="00C75DAA" w:rsidRPr="00ED575E" w:rsidRDefault="00C75DAA"/>
    <w:p w14:paraId="0000002F" w14:textId="77777777" w:rsidR="00C75DAA" w:rsidRPr="00ED575E" w:rsidRDefault="00C75DAA"/>
    <w:p w14:paraId="00000030" w14:textId="3D2CF9A7" w:rsidR="00C75DAA" w:rsidRPr="00ED575E" w:rsidRDefault="00BC558C">
      <w:pPr>
        <w:rPr>
          <w:b/>
        </w:rPr>
      </w:pPr>
      <w:r w:rsidRPr="00ED575E">
        <w:rPr>
          <w:b/>
        </w:rPr>
        <w:t>In Conclusion</w:t>
      </w:r>
      <w:r w:rsidR="00ED575E">
        <w:rPr>
          <w:b/>
        </w:rPr>
        <w:t>:</w:t>
      </w:r>
      <w:r w:rsidRPr="00ED575E">
        <w:rPr>
          <w:b/>
        </w:rPr>
        <w:t xml:space="preserve"> It's Inconclusive</w:t>
      </w:r>
    </w:p>
    <w:p w14:paraId="00000031" w14:textId="229E6901" w:rsidR="00C75DAA" w:rsidRPr="00ED575E" w:rsidRDefault="00BC558C">
      <w:r w:rsidRPr="00ED575E">
        <w:t xml:space="preserve">While Cicero's </w:t>
      </w:r>
      <w:r w:rsidRPr="00ED575E">
        <w:rPr>
          <w:i/>
        </w:rPr>
        <w:t>De divinatione</w:t>
      </w:r>
      <w:r w:rsidRPr="00ED575E">
        <w:t xml:space="preserve"> employs a wide variety of arguments for and against divination, the dialectic falls short of creating a clear and cohesive verdict. While dialogue is a useful literary device through which to compare competing philosophical principles, the structured exchange between Quintus and Marcus is muddied by the author's rhetorical </w:t>
      </w:r>
      <w:r w:rsidR="006A2746" w:rsidRPr="00ED575E">
        <w:t>manoeuvres</w:t>
      </w:r>
      <w:r w:rsidRPr="00ED575E">
        <w:t xml:space="preserve">, which suggest Cicero's overarching intention to discredit divination rather than examine it. Furthermore, many of the key arguments he makes on either side of divination suffer from similar </w:t>
      </w:r>
      <w:r w:rsidR="006A2746" w:rsidRPr="00ED575E">
        <w:t>blind spots</w:t>
      </w:r>
      <w:r w:rsidRPr="00ED575E">
        <w:t xml:space="preserve"> regarding the integrity of (extra)sensory experience, the myopathy of anthropocentrism, the irrelevance of popular opinion, and the specious presuppositions regarding omniscience. Knowingly or otherwise, perhaps Cicero critiques his own work best when he goads the Stoics for involving themselves in that which they can't ever explain</w:t>
      </w:r>
      <w:r w:rsidR="00B577CE" w:rsidRPr="00ED575E">
        <w:t>.</w:t>
      </w:r>
      <w:r w:rsidRPr="00ED575E">
        <w:rPr>
          <w:vertAlign w:val="superscript"/>
        </w:rPr>
        <w:footnoteReference w:id="29"/>
      </w:r>
      <w:r w:rsidRPr="00ED575E">
        <w:t xml:space="preserve"> </w:t>
      </w:r>
    </w:p>
    <w:p w14:paraId="322F0090" w14:textId="50356CCD" w:rsidR="00CE268D" w:rsidRPr="00ED575E" w:rsidRDefault="00CE268D"/>
    <w:p w14:paraId="2C9BE22B" w14:textId="73406276" w:rsidR="00CE268D" w:rsidRPr="00ED575E" w:rsidRDefault="00CE268D"/>
    <w:p w14:paraId="080E36B7" w14:textId="2455C90C" w:rsidR="00CE268D" w:rsidRPr="00ED575E" w:rsidRDefault="00CE268D"/>
    <w:p w14:paraId="0A0E9E8A" w14:textId="6DE4CB0E" w:rsidR="00CE268D" w:rsidRPr="00ED575E" w:rsidRDefault="00CE268D"/>
    <w:p w14:paraId="7D4EB764" w14:textId="4FDE7954" w:rsidR="00CE268D" w:rsidRPr="00ED575E" w:rsidRDefault="00CE268D"/>
    <w:p w14:paraId="24E16B0D" w14:textId="76D49BE6" w:rsidR="00CE268D" w:rsidRPr="00ED575E" w:rsidRDefault="00CE268D"/>
    <w:p w14:paraId="556DC003" w14:textId="6E6C1DDC" w:rsidR="00CE268D" w:rsidRPr="00ED575E" w:rsidRDefault="00CE268D"/>
    <w:p w14:paraId="44C27AE8" w14:textId="73F1E507" w:rsidR="00CE268D" w:rsidRPr="00ED575E" w:rsidRDefault="00CE268D"/>
    <w:p w14:paraId="21EC3A13" w14:textId="7E7CC08B" w:rsidR="00CE268D" w:rsidRPr="00ED575E" w:rsidRDefault="00CE268D"/>
    <w:p w14:paraId="12F385F1" w14:textId="23662254" w:rsidR="00CE268D" w:rsidRPr="00ED575E" w:rsidRDefault="00CE268D"/>
    <w:p w14:paraId="203FB7B3" w14:textId="77777777" w:rsidR="00CE268D" w:rsidRPr="00ED575E" w:rsidRDefault="00CE268D"/>
    <w:p w14:paraId="00000032" w14:textId="77777777" w:rsidR="00C75DAA" w:rsidRPr="00ED575E" w:rsidRDefault="00C75DAA">
      <w:pPr>
        <w:ind w:left="1440"/>
      </w:pPr>
    </w:p>
    <w:p w14:paraId="00000033" w14:textId="7BD8BAE7" w:rsidR="00C75DAA" w:rsidRPr="00ED575E" w:rsidRDefault="00C75DAA"/>
    <w:p w14:paraId="44873165" w14:textId="117EC4BD" w:rsidR="00F145FF" w:rsidRPr="00ED575E" w:rsidRDefault="00F145FF"/>
    <w:p w14:paraId="474E405B" w14:textId="2007B7A8" w:rsidR="00F145FF" w:rsidRPr="00ED575E" w:rsidRDefault="00F145FF"/>
    <w:p w14:paraId="631D5E47" w14:textId="78B6B71C" w:rsidR="00F145FF" w:rsidRPr="00ED575E" w:rsidRDefault="00F145FF"/>
    <w:p w14:paraId="149BADE7" w14:textId="01724B05" w:rsidR="00F145FF" w:rsidRDefault="00F145FF"/>
    <w:p w14:paraId="18B4C002" w14:textId="6936C140" w:rsidR="00ED575E" w:rsidRDefault="00ED575E"/>
    <w:p w14:paraId="74A0A640" w14:textId="5216E048" w:rsidR="00ED575E" w:rsidRDefault="00ED575E"/>
    <w:p w14:paraId="52A70DE3" w14:textId="6DCC8E3C" w:rsidR="00ED575E" w:rsidRDefault="00ED575E"/>
    <w:p w14:paraId="5B798CA8" w14:textId="6115E26B" w:rsidR="00ED575E" w:rsidRDefault="00ED575E"/>
    <w:p w14:paraId="1F9C1776" w14:textId="423CD59F" w:rsidR="00ED575E" w:rsidRDefault="00ED575E"/>
    <w:p w14:paraId="32DC00BD" w14:textId="3D15338B" w:rsidR="00ED575E" w:rsidRDefault="00ED575E"/>
    <w:p w14:paraId="71673003" w14:textId="1EA9DF19" w:rsidR="00ED575E" w:rsidRDefault="00ED575E"/>
    <w:p w14:paraId="75E08D3B" w14:textId="429717C1" w:rsidR="00ED575E" w:rsidRDefault="00ED575E"/>
    <w:p w14:paraId="397722C0" w14:textId="241B507E" w:rsidR="00ED575E" w:rsidRDefault="00ED575E"/>
    <w:p w14:paraId="46EBAA7E" w14:textId="59F890DE" w:rsidR="0038577D" w:rsidRDefault="0038577D"/>
    <w:p w14:paraId="2FDA8079" w14:textId="6C7F640B" w:rsidR="0038577D" w:rsidRDefault="0038577D"/>
    <w:p w14:paraId="6E2DDBC6" w14:textId="70553CC7" w:rsidR="0038577D" w:rsidRDefault="0038577D"/>
    <w:p w14:paraId="11099642" w14:textId="77777777" w:rsidR="0038577D" w:rsidRPr="00ED575E" w:rsidRDefault="0038577D"/>
    <w:p w14:paraId="00000034" w14:textId="0F25D5AD" w:rsidR="00C75DAA" w:rsidRPr="00ED575E" w:rsidRDefault="00BC558C">
      <w:pPr>
        <w:rPr>
          <w:b/>
        </w:rPr>
      </w:pPr>
      <w:r w:rsidRPr="00ED575E">
        <w:rPr>
          <w:b/>
        </w:rPr>
        <w:lastRenderedPageBreak/>
        <w:t>Reference</w:t>
      </w:r>
      <w:r w:rsidR="008C1234" w:rsidRPr="00ED575E">
        <w:rPr>
          <w:b/>
        </w:rPr>
        <w:t xml:space="preserve"> List</w:t>
      </w:r>
    </w:p>
    <w:p w14:paraId="476D9AB5" w14:textId="77777777" w:rsidR="006C6BCC" w:rsidRPr="006C6BCC" w:rsidRDefault="006C6BCC" w:rsidP="006C6BCC">
      <w:pPr>
        <w:rPr>
          <w:lang w:val="en-US"/>
        </w:rPr>
      </w:pPr>
      <w:r w:rsidRPr="006C6BCC">
        <w:t>Beard, Mary. “Cicero and Divination: The Formation of a Latin Discourse.” The Journal of Roman Studies, vol. 76, 1986, pp. 35. JSTOR, www.jstor.org/stable/300364. Accessed 12 Mar. 2021.</w:t>
      </w:r>
    </w:p>
    <w:p w14:paraId="00000036" w14:textId="77777777" w:rsidR="00C75DAA" w:rsidRPr="00ED575E" w:rsidRDefault="00C75DAA"/>
    <w:p w14:paraId="00000037" w14:textId="77777777" w:rsidR="00C75DAA" w:rsidRPr="00ED575E" w:rsidRDefault="00BC558C">
      <w:r w:rsidRPr="00ED575E">
        <w:t>Cicero, 'On Divination (De divinatione).' W. A. Falconer (ed. and trs.), Loeb Classical Library, Cambridge, MA: Harvard University Press, 1923</w:t>
      </w:r>
    </w:p>
    <w:p w14:paraId="00000038" w14:textId="77777777" w:rsidR="00C75DAA" w:rsidRPr="00ED575E" w:rsidRDefault="00BC558C">
      <w:r w:rsidRPr="00ED575E">
        <w:rPr>
          <w:b/>
        </w:rPr>
        <w:br/>
      </w:r>
      <w:r w:rsidRPr="00ED575E">
        <w:t>Denyer, Nicholas. 'The Case Against Divination: An Examination of Cicero's ‘De divinatione.’' Proceedings of the Cambridge Philological Society, no. 31 (211), 1985, pp. 1–10. JSTOR, www.jstor.org/stable/44696924. Accessed 08 Mar. 2021.</w:t>
      </w:r>
    </w:p>
    <w:p w14:paraId="00000039" w14:textId="77777777" w:rsidR="00C75DAA" w:rsidRPr="00ED575E" w:rsidRDefault="00C75DAA"/>
    <w:p w14:paraId="0000003A" w14:textId="77777777" w:rsidR="00C75DAA" w:rsidRPr="00ED575E" w:rsidRDefault="00BC558C">
      <w:r w:rsidRPr="00ED575E">
        <w:t>Goar, Robert J. 'The Purpose of De Divinatione.' Transactions and Proceedings of the American Philological Association, vol. 99, 1968, pp. 241–248. JSTOR, www.jstor.org/stable/2935842. Accessed 08 Mar. 2021.</w:t>
      </w:r>
      <w:r w:rsidRPr="00ED575E">
        <w:br/>
      </w:r>
    </w:p>
    <w:p w14:paraId="0000003B" w14:textId="77777777" w:rsidR="00C75DAA" w:rsidRPr="00ED575E" w:rsidRDefault="00BC558C">
      <w:r w:rsidRPr="00ED575E">
        <w:t>Krostenko, Brian A. 'Beyond (Dis)Belief: Rhetorical Form and Religious Symbol in Cicero's De Divinatione.' Transactions of the American Philological Association (1974-), vol. 130, 2000, pp. 353–391. JSTOR, www.jstor.org/stable/284315. Accessed 08 Mar. 2021.</w:t>
      </w:r>
    </w:p>
    <w:p w14:paraId="00000040" w14:textId="752C5869" w:rsidR="00C75DAA" w:rsidRPr="00ED575E" w:rsidRDefault="00BC558C" w:rsidP="008C1234">
      <w:r w:rsidRPr="00ED575E">
        <w:br/>
      </w:r>
    </w:p>
    <w:p w14:paraId="00000041" w14:textId="77777777" w:rsidR="00C75DAA" w:rsidRPr="00ED575E" w:rsidRDefault="00BC558C">
      <w:r w:rsidRPr="00ED575E">
        <w:br/>
      </w:r>
    </w:p>
    <w:sectPr w:rsidR="00C75DAA" w:rsidRPr="00ED575E">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0720D1" w14:textId="77777777" w:rsidR="00AA1801" w:rsidRDefault="00AA1801">
      <w:pPr>
        <w:spacing w:line="240" w:lineRule="auto"/>
      </w:pPr>
      <w:r>
        <w:separator/>
      </w:r>
    </w:p>
  </w:endnote>
  <w:endnote w:type="continuationSeparator" w:id="0">
    <w:p w14:paraId="1474CD91" w14:textId="77777777" w:rsidR="00AA1801" w:rsidRDefault="00AA18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altName w:val="Times New Roman"/>
    <w:panose1 w:val="02020603050405020304"/>
    <w:charset w:val="00"/>
    <w:family w:val="roman"/>
    <w:pitch w:val="variable"/>
    <w:sig w:usb0="20002A87" w:usb1="80000000" w:usb2="00000008"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rebuchet MS">
    <w:altName w:val="﷽﷽﷽﷽﷽﷽﷽﷽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7BD171" w14:textId="77777777" w:rsidR="00AA1801" w:rsidRDefault="00AA1801">
      <w:pPr>
        <w:spacing w:line="240" w:lineRule="auto"/>
      </w:pPr>
      <w:r>
        <w:separator/>
      </w:r>
    </w:p>
  </w:footnote>
  <w:footnote w:type="continuationSeparator" w:id="0">
    <w:p w14:paraId="5B8C2A30" w14:textId="77777777" w:rsidR="00AA1801" w:rsidRDefault="00AA1801">
      <w:pPr>
        <w:spacing w:line="240" w:lineRule="auto"/>
      </w:pPr>
      <w:r>
        <w:continuationSeparator/>
      </w:r>
    </w:p>
  </w:footnote>
  <w:footnote w:id="1">
    <w:p w14:paraId="741EC54E" w14:textId="77777777" w:rsidR="00E76AF9" w:rsidRPr="00024128" w:rsidRDefault="00E76AF9" w:rsidP="00E76AF9">
      <w:pPr>
        <w:pStyle w:val="FootnoteText"/>
        <w:rPr>
          <w:lang w:val="en-US"/>
        </w:rPr>
      </w:pPr>
      <w:r>
        <w:rPr>
          <w:rStyle w:val="FootnoteReference"/>
        </w:rPr>
        <w:footnoteRef/>
      </w:r>
      <w:r>
        <w:t xml:space="preserve"> </w:t>
      </w:r>
      <w:r>
        <w:rPr>
          <w:lang w:val="en-US"/>
        </w:rPr>
        <w:t>In</w:t>
      </w:r>
      <w:r w:rsidRPr="00024128">
        <w:rPr>
          <w:lang w:val="en-US"/>
        </w:rPr>
        <w:t xml:space="preserve"> this article</w:t>
      </w:r>
      <w:r>
        <w:rPr>
          <w:lang w:val="en-US"/>
        </w:rPr>
        <w:t>,</w:t>
      </w:r>
      <w:r w:rsidRPr="00024128">
        <w:rPr>
          <w:lang w:val="en-US"/>
        </w:rPr>
        <w:t xml:space="preserve"> 'Marcus' refers to the character in De Divinatione</w:t>
      </w:r>
      <w:r>
        <w:rPr>
          <w:lang w:val="en-US"/>
        </w:rPr>
        <w:t xml:space="preserve"> whereas</w:t>
      </w:r>
      <w:r w:rsidRPr="00024128">
        <w:rPr>
          <w:lang w:val="en-US"/>
        </w:rPr>
        <w:t xml:space="preserve"> 'Cicero' </w:t>
      </w:r>
      <w:r>
        <w:rPr>
          <w:lang w:val="en-US"/>
        </w:rPr>
        <w:t>refers to the author</w:t>
      </w:r>
      <w:r w:rsidRPr="00024128">
        <w:rPr>
          <w:lang w:val="en-US"/>
        </w:rPr>
        <w:t>.</w:t>
      </w:r>
    </w:p>
  </w:footnote>
  <w:footnote w:id="2">
    <w:p w14:paraId="00000042" w14:textId="3DDE19B9" w:rsidR="00C75DAA" w:rsidRDefault="00BC558C">
      <w:pPr>
        <w:spacing w:line="240" w:lineRule="auto"/>
        <w:rPr>
          <w:sz w:val="20"/>
          <w:szCs w:val="20"/>
        </w:rPr>
      </w:pPr>
      <w:r>
        <w:rPr>
          <w:vertAlign w:val="superscript"/>
        </w:rPr>
        <w:footnoteRef/>
      </w:r>
      <w:r>
        <w:rPr>
          <w:sz w:val="20"/>
          <w:szCs w:val="20"/>
        </w:rPr>
        <w:t xml:space="preserve"> Cicero, 'On Divination (De Divinatione).' W. A. Falconer (ed. and trs.), Loeb Classical Library, Cambridge, MA: Harvard University Press, 1923, p. 233.</w:t>
      </w:r>
      <w:r w:rsidR="00024128">
        <w:rPr>
          <w:sz w:val="20"/>
          <w:szCs w:val="20"/>
        </w:rPr>
        <w:t xml:space="preserve"> Book I, chapter 5.</w:t>
      </w:r>
      <w:r>
        <w:rPr>
          <w:sz w:val="20"/>
          <w:szCs w:val="20"/>
        </w:rPr>
        <w:t xml:space="preserve"> </w:t>
      </w:r>
    </w:p>
  </w:footnote>
  <w:footnote w:id="3">
    <w:p w14:paraId="00000043" w14:textId="04E8E750" w:rsidR="00C75DAA" w:rsidRDefault="00BC558C">
      <w:pPr>
        <w:spacing w:line="240" w:lineRule="auto"/>
        <w:rPr>
          <w:sz w:val="20"/>
          <w:szCs w:val="20"/>
        </w:rPr>
      </w:pPr>
      <w:r>
        <w:rPr>
          <w:vertAlign w:val="superscript"/>
        </w:rPr>
        <w:footnoteRef/>
      </w:r>
      <w:r>
        <w:rPr>
          <w:sz w:val="20"/>
          <w:szCs w:val="20"/>
        </w:rPr>
        <w:t xml:space="preserve"> Cicero, 'On Divination (De Divinatione).' p. 235. </w:t>
      </w:r>
      <w:r w:rsidR="00024128">
        <w:rPr>
          <w:sz w:val="20"/>
          <w:szCs w:val="20"/>
        </w:rPr>
        <w:t xml:space="preserve">Book I, chapter </w:t>
      </w:r>
      <w:r w:rsidR="00024128">
        <w:rPr>
          <w:sz w:val="20"/>
          <w:szCs w:val="20"/>
        </w:rPr>
        <w:t>6</w:t>
      </w:r>
      <w:r w:rsidR="00024128">
        <w:rPr>
          <w:sz w:val="20"/>
          <w:szCs w:val="20"/>
        </w:rPr>
        <w:t>.</w:t>
      </w:r>
    </w:p>
  </w:footnote>
  <w:footnote w:id="4">
    <w:p w14:paraId="00000044" w14:textId="44D5121D" w:rsidR="00C75DAA" w:rsidRDefault="00BC558C">
      <w:pPr>
        <w:spacing w:line="240" w:lineRule="auto"/>
        <w:rPr>
          <w:sz w:val="20"/>
          <w:szCs w:val="20"/>
        </w:rPr>
      </w:pPr>
      <w:r>
        <w:rPr>
          <w:vertAlign w:val="superscript"/>
        </w:rPr>
        <w:footnoteRef/>
      </w:r>
      <w:r>
        <w:rPr>
          <w:sz w:val="20"/>
          <w:szCs w:val="20"/>
        </w:rPr>
        <w:t xml:space="preserve"> </w:t>
      </w:r>
      <w:r w:rsidR="006A2746">
        <w:rPr>
          <w:sz w:val="20"/>
          <w:szCs w:val="20"/>
        </w:rPr>
        <w:t xml:space="preserve">Cicero, </w:t>
      </w:r>
      <w:r>
        <w:rPr>
          <w:sz w:val="20"/>
          <w:szCs w:val="20"/>
        </w:rPr>
        <w:t xml:space="preserve">p. 265. </w:t>
      </w:r>
      <w:r w:rsidR="00024128">
        <w:rPr>
          <w:sz w:val="20"/>
          <w:szCs w:val="20"/>
        </w:rPr>
        <w:t>Book I, chapter 18.</w:t>
      </w:r>
    </w:p>
  </w:footnote>
  <w:footnote w:id="5">
    <w:p w14:paraId="00000045" w14:textId="26FD755E" w:rsidR="00C75DAA" w:rsidRDefault="00BC558C">
      <w:pPr>
        <w:spacing w:line="240" w:lineRule="auto"/>
        <w:rPr>
          <w:sz w:val="20"/>
          <w:szCs w:val="20"/>
        </w:rPr>
      </w:pPr>
      <w:r>
        <w:rPr>
          <w:vertAlign w:val="superscript"/>
        </w:rPr>
        <w:footnoteRef/>
      </w:r>
      <w:r>
        <w:rPr>
          <w:sz w:val="20"/>
          <w:szCs w:val="20"/>
        </w:rPr>
        <w:t xml:space="preserve"> </w:t>
      </w:r>
      <w:r w:rsidR="006A2746">
        <w:rPr>
          <w:sz w:val="20"/>
          <w:szCs w:val="20"/>
        </w:rPr>
        <w:t xml:space="preserve">Cicero, </w:t>
      </w:r>
      <w:r>
        <w:rPr>
          <w:sz w:val="20"/>
          <w:szCs w:val="20"/>
        </w:rPr>
        <w:t>p. 235.</w:t>
      </w:r>
      <w:r w:rsidR="00024128" w:rsidRPr="00024128">
        <w:rPr>
          <w:sz w:val="20"/>
          <w:szCs w:val="20"/>
        </w:rPr>
        <w:t xml:space="preserve"> </w:t>
      </w:r>
      <w:r w:rsidR="00024128">
        <w:rPr>
          <w:sz w:val="20"/>
          <w:szCs w:val="20"/>
        </w:rPr>
        <w:t>Book I, chapter 6.</w:t>
      </w:r>
    </w:p>
  </w:footnote>
  <w:footnote w:id="6">
    <w:p w14:paraId="00000046" w14:textId="183319FC" w:rsidR="00C75DAA" w:rsidRDefault="00BC558C">
      <w:pPr>
        <w:spacing w:line="240" w:lineRule="auto"/>
        <w:rPr>
          <w:sz w:val="20"/>
          <w:szCs w:val="20"/>
        </w:rPr>
      </w:pPr>
      <w:r>
        <w:rPr>
          <w:vertAlign w:val="superscript"/>
        </w:rPr>
        <w:footnoteRef/>
      </w:r>
      <w:r>
        <w:rPr>
          <w:sz w:val="20"/>
          <w:szCs w:val="20"/>
        </w:rPr>
        <w:t xml:space="preserve"> </w:t>
      </w:r>
      <w:r w:rsidR="006A2746">
        <w:rPr>
          <w:sz w:val="20"/>
          <w:szCs w:val="20"/>
        </w:rPr>
        <w:t xml:space="preserve">Cicero, </w:t>
      </w:r>
      <w:r>
        <w:rPr>
          <w:sz w:val="20"/>
          <w:szCs w:val="20"/>
        </w:rPr>
        <w:t>p. 383.</w:t>
      </w:r>
      <w:r w:rsidR="00024128">
        <w:rPr>
          <w:sz w:val="20"/>
          <w:szCs w:val="20"/>
        </w:rPr>
        <w:t xml:space="preserve"> Book II, chapter 4.</w:t>
      </w:r>
    </w:p>
  </w:footnote>
  <w:footnote w:id="7">
    <w:p w14:paraId="00000047" w14:textId="5613AC78" w:rsidR="00C75DAA" w:rsidRDefault="00BC558C">
      <w:pPr>
        <w:spacing w:line="240" w:lineRule="auto"/>
        <w:rPr>
          <w:sz w:val="20"/>
          <w:szCs w:val="20"/>
        </w:rPr>
      </w:pPr>
      <w:r>
        <w:rPr>
          <w:vertAlign w:val="superscript"/>
        </w:rPr>
        <w:footnoteRef/>
      </w:r>
      <w:r>
        <w:rPr>
          <w:sz w:val="20"/>
          <w:szCs w:val="20"/>
        </w:rPr>
        <w:t xml:space="preserve"> </w:t>
      </w:r>
      <w:r w:rsidR="006A2746">
        <w:rPr>
          <w:sz w:val="20"/>
          <w:szCs w:val="20"/>
        </w:rPr>
        <w:t xml:space="preserve">Cicero, </w:t>
      </w:r>
      <w:r>
        <w:rPr>
          <w:sz w:val="20"/>
          <w:szCs w:val="20"/>
        </w:rPr>
        <w:t>p. 387-89.</w:t>
      </w:r>
      <w:r w:rsidR="00024128">
        <w:rPr>
          <w:sz w:val="20"/>
          <w:szCs w:val="20"/>
        </w:rPr>
        <w:t xml:space="preserve"> Book II, chapter 6.</w:t>
      </w:r>
    </w:p>
  </w:footnote>
  <w:footnote w:id="8">
    <w:p w14:paraId="1759A75D" w14:textId="09BB076D" w:rsidR="00791D44" w:rsidRPr="00791D44" w:rsidRDefault="00791D44">
      <w:pPr>
        <w:pStyle w:val="FootnoteText"/>
        <w:rPr>
          <w:lang w:val="en-US"/>
        </w:rPr>
      </w:pPr>
      <w:r>
        <w:rPr>
          <w:rStyle w:val="FootnoteReference"/>
        </w:rPr>
        <w:footnoteRef/>
      </w:r>
      <w:r>
        <w:t xml:space="preserve"> </w:t>
      </w:r>
      <w:r w:rsidRPr="00791D44">
        <w:t xml:space="preserve">Beard, Mary. “Cicero and Divination: The Formation of a Latin Discourse.” The Journal of Roman Studies, vol. 76, 1986, pp. </w:t>
      </w:r>
      <w:r w:rsidR="006C6BCC">
        <w:t>35</w:t>
      </w:r>
      <w:r w:rsidRPr="00791D44">
        <w:t>. JSTOR, www.jstor.org/stable/300364. Accessed 1</w:t>
      </w:r>
      <w:r w:rsidR="006C6BCC">
        <w:t>2</w:t>
      </w:r>
      <w:r w:rsidRPr="00791D44">
        <w:t xml:space="preserve"> Mar. 2021.</w:t>
      </w:r>
    </w:p>
  </w:footnote>
  <w:footnote w:id="9">
    <w:p w14:paraId="00000048" w14:textId="77777777" w:rsidR="00C75DAA" w:rsidRDefault="00BC558C">
      <w:pPr>
        <w:spacing w:line="240" w:lineRule="auto"/>
        <w:rPr>
          <w:sz w:val="20"/>
          <w:szCs w:val="20"/>
        </w:rPr>
      </w:pPr>
      <w:r>
        <w:rPr>
          <w:vertAlign w:val="superscript"/>
        </w:rPr>
        <w:footnoteRef/>
      </w:r>
      <w:r>
        <w:rPr>
          <w:sz w:val="20"/>
          <w:szCs w:val="20"/>
        </w:rPr>
        <w:t xml:space="preserve"> Krostenko, Brian A. 'Beyond (Dis)Belief: Rhetorical Form And Religious Symbol In Cicero's De Divinatione.' Transactions of the American Philological Association (1974-), vol. 130, 2000, pp. 353–391. JSTOR, www.jstor.org/stable/284315. Accessed 08 Mar. 2021, p. 371</w:t>
      </w:r>
    </w:p>
  </w:footnote>
  <w:footnote w:id="10">
    <w:p w14:paraId="00000049" w14:textId="77777777" w:rsidR="00C75DAA" w:rsidRDefault="00BC558C">
      <w:pPr>
        <w:spacing w:line="240" w:lineRule="auto"/>
        <w:rPr>
          <w:sz w:val="20"/>
          <w:szCs w:val="20"/>
        </w:rPr>
      </w:pPr>
      <w:r>
        <w:rPr>
          <w:vertAlign w:val="superscript"/>
        </w:rPr>
        <w:footnoteRef/>
      </w:r>
      <w:r>
        <w:rPr>
          <w:sz w:val="20"/>
          <w:szCs w:val="20"/>
        </w:rPr>
        <w:t xml:space="preserve"> Goar, Robert J. 'The Purpose Of De Divinatione.' Transactions and Proceedings of the American Philological Association, vol. 99, 1968, pp. 241–248. JSTOR, www.jstor.org/stable/2935842. Accessed 08 Mar. 2021, p. 246.</w:t>
      </w:r>
    </w:p>
  </w:footnote>
  <w:footnote w:id="11">
    <w:p w14:paraId="00000051" w14:textId="3ADA4C66" w:rsidR="00C75DAA" w:rsidRDefault="00BC558C">
      <w:pPr>
        <w:spacing w:line="240" w:lineRule="auto"/>
        <w:rPr>
          <w:sz w:val="20"/>
          <w:szCs w:val="20"/>
        </w:rPr>
      </w:pPr>
      <w:r>
        <w:rPr>
          <w:vertAlign w:val="superscript"/>
        </w:rPr>
        <w:footnoteRef/>
      </w:r>
      <w:r>
        <w:rPr>
          <w:sz w:val="20"/>
          <w:szCs w:val="20"/>
        </w:rPr>
        <w:t xml:space="preserve"> Cicero, </w:t>
      </w:r>
      <w:r w:rsidR="00830262">
        <w:rPr>
          <w:sz w:val="20"/>
          <w:szCs w:val="20"/>
        </w:rPr>
        <w:t xml:space="preserve">p. 301. </w:t>
      </w:r>
      <w:r w:rsidR="00830262">
        <w:rPr>
          <w:sz w:val="20"/>
          <w:szCs w:val="20"/>
        </w:rPr>
        <w:t xml:space="preserve">Book I, chapter 32. </w:t>
      </w:r>
      <w:r>
        <w:rPr>
          <w:sz w:val="20"/>
          <w:szCs w:val="20"/>
        </w:rPr>
        <w:t>Quintus argues, 'that portion which thinks and reasons is most vigorous when it is most distant from the body.</w:t>
      </w:r>
      <w:r w:rsidR="00830262">
        <w:rPr>
          <w:sz w:val="20"/>
          <w:szCs w:val="20"/>
        </w:rPr>
        <w:t xml:space="preserve">’ </w:t>
      </w:r>
      <w:r w:rsidR="00830262">
        <w:rPr>
          <w:sz w:val="20"/>
          <w:szCs w:val="20"/>
        </w:rPr>
        <w:br/>
        <w:t xml:space="preserve">    </w:t>
      </w:r>
      <w:r w:rsidR="00830262">
        <w:rPr>
          <w:sz w:val="20"/>
          <w:szCs w:val="20"/>
        </w:rPr>
        <w:t>p. 527. Book II, chapter 67</w:t>
      </w:r>
      <w:r w:rsidR="00830262">
        <w:rPr>
          <w:sz w:val="20"/>
          <w:szCs w:val="20"/>
        </w:rPr>
        <w:t>.</w:t>
      </w:r>
      <w:r>
        <w:rPr>
          <w:sz w:val="20"/>
          <w:szCs w:val="20"/>
        </w:rPr>
        <w:t xml:space="preserve"> Marcus rebukes, 'when the soul is supported by the bodily members and by the five senses its powers of perception, thought, and apprehension are more trustworthy.' </w:t>
      </w:r>
    </w:p>
  </w:footnote>
  <w:footnote w:id="12">
    <w:p w14:paraId="00000052" w14:textId="6C24A16E" w:rsidR="00C75DAA" w:rsidRDefault="00BC558C">
      <w:pPr>
        <w:spacing w:line="240" w:lineRule="auto"/>
        <w:rPr>
          <w:sz w:val="20"/>
          <w:szCs w:val="20"/>
        </w:rPr>
      </w:pPr>
      <w:r>
        <w:rPr>
          <w:vertAlign w:val="superscript"/>
        </w:rPr>
        <w:footnoteRef/>
      </w:r>
      <w:r>
        <w:rPr>
          <w:sz w:val="20"/>
          <w:szCs w:val="20"/>
        </w:rPr>
        <w:t xml:space="preserve"> </w:t>
      </w:r>
      <w:r w:rsidR="006A2746">
        <w:rPr>
          <w:sz w:val="20"/>
          <w:szCs w:val="20"/>
        </w:rPr>
        <w:t xml:space="preserve">Cicero, </w:t>
      </w:r>
      <w:r>
        <w:rPr>
          <w:sz w:val="20"/>
          <w:szCs w:val="20"/>
        </w:rPr>
        <w:t>p. 345.</w:t>
      </w:r>
      <w:r w:rsidR="00D065BC">
        <w:rPr>
          <w:sz w:val="20"/>
          <w:szCs w:val="20"/>
        </w:rPr>
        <w:t xml:space="preserve"> Book I, chapter 50.</w:t>
      </w:r>
    </w:p>
  </w:footnote>
  <w:footnote w:id="13">
    <w:p w14:paraId="00000053" w14:textId="36AEA370" w:rsidR="00C75DAA" w:rsidRDefault="00BC558C">
      <w:pPr>
        <w:spacing w:line="240" w:lineRule="auto"/>
        <w:rPr>
          <w:sz w:val="20"/>
          <w:szCs w:val="20"/>
        </w:rPr>
      </w:pPr>
      <w:r>
        <w:rPr>
          <w:vertAlign w:val="superscript"/>
        </w:rPr>
        <w:footnoteRef/>
      </w:r>
      <w:r>
        <w:rPr>
          <w:sz w:val="20"/>
          <w:szCs w:val="20"/>
        </w:rPr>
        <w:t xml:space="preserve"> </w:t>
      </w:r>
      <w:r w:rsidR="006A2746">
        <w:rPr>
          <w:sz w:val="20"/>
          <w:szCs w:val="20"/>
        </w:rPr>
        <w:t xml:space="preserve">Cicero, </w:t>
      </w:r>
      <w:r>
        <w:rPr>
          <w:sz w:val="20"/>
          <w:szCs w:val="20"/>
        </w:rPr>
        <w:t>p. 295.</w:t>
      </w:r>
      <w:r w:rsidR="00D065BC">
        <w:rPr>
          <w:sz w:val="20"/>
          <w:szCs w:val="20"/>
        </w:rPr>
        <w:t xml:space="preserve"> Book I, chapter 30.</w:t>
      </w:r>
    </w:p>
  </w:footnote>
  <w:footnote w:id="14">
    <w:p w14:paraId="00000054" w14:textId="6E25F831" w:rsidR="00C75DAA" w:rsidRDefault="00BC558C">
      <w:pPr>
        <w:spacing w:line="240" w:lineRule="auto"/>
        <w:rPr>
          <w:sz w:val="20"/>
          <w:szCs w:val="20"/>
        </w:rPr>
      </w:pPr>
      <w:r>
        <w:rPr>
          <w:vertAlign w:val="superscript"/>
        </w:rPr>
        <w:footnoteRef/>
      </w:r>
      <w:r>
        <w:rPr>
          <w:sz w:val="20"/>
          <w:szCs w:val="20"/>
        </w:rPr>
        <w:t xml:space="preserve"> </w:t>
      </w:r>
      <w:r w:rsidR="006A2746">
        <w:rPr>
          <w:sz w:val="20"/>
          <w:szCs w:val="20"/>
        </w:rPr>
        <w:t xml:space="preserve">Cicero, </w:t>
      </w:r>
      <w:r>
        <w:rPr>
          <w:sz w:val="20"/>
          <w:szCs w:val="20"/>
        </w:rPr>
        <w:t>p. 379.</w:t>
      </w:r>
      <w:r w:rsidR="00D065BC">
        <w:rPr>
          <w:sz w:val="20"/>
          <w:szCs w:val="20"/>
        </w:rPr>
        <w:t xml:space="preserve"> Book II, chapter 3. </w:t>
      </w:r>
    </w:p>
  </w:footnote>
  <w:footnote w:id="15">
    <w:p w14:paraId="00000055" w14:textId="3577C98E" w:rsidR="00C75DAA" w:rsidRDefault="00BC558C">
      <w:pPr>
        <w:spacing w:line="240" w:lineRule="auto"/>
        <w:rPr>
          <w:sz w:val="20"/>
          <w:szCs w:val="20"/>
        </w:rPr>
      </w:pPr>
      <w:r>
        <w:rPr>
          <w:vertAlign w:val="superscript"/>
        </w:rPr>
        <w:footnoteRef/>
      </w:r>
      <w:r>
        <w:rPr>
          <w:sz w:val="20"/>
          <w:szCs w:val="20"/>
        </w:rPr>
        <w:t xml:space="preserve"> </w:t>
      </w:r>
      <w:r w:rsidR="006A2746">
        <w:rPr>
          <w:sz w:val="20"/>
          <w:szCs w:val="20"/>
        </w:rPr>
        <w:t xml:space="preserve">Cicero, </w:t>
      </w:r>
      <w:r>
        <w:rPr>
          <w:sz w:val="20"/>
          <w:szCs w:val="20"/>
        </w:rPr>
        <w:t>p. 493.</w:t>
      </w:r>
      <w:r w:rsidR="00D065BC">
        <w:rPr>
          <w:sz w:val="20"/>
          <w:szCs w:val="20"/>
        </w:rPr>
        <w:t xml:space="preserve"> Book II, chapter 53.</w:t>
      </w:r>
    </w:p>
  </w:footnote>
  <w:footnote w:id="16">
    <w:p w14:paraId="00000056" w14:textId="0F65F52A" w:rsidR="00C75DAA" w:rsidRDefault="00BC558C">
      <w:pPr>
        <w:spacing w:line="240" w:lineRule="auto"/>
        <w:rPr>
          <w:sz w:val="20"/>
          <w:szCs w:val="20"/>
        </w:rPr>
      </w:pPr>
      <w:r>
        <w:rPr>
          <w:vertAlign w:val="superscript"/>
        </w:rPr>
        <w:footnoteRef/>
      </w:r>
      <w:r>
        <w:rPr>
          <w:sz w:val="20"/>
          <w:szCs w:val="20"/>
        </w:rPr>
        <w:t xml:space="preserve"> </w:t>
      </w:r>
      <w:r w:rsidR="006A2746">
        <w:rPr>
          <w:sz w:val="20"/>
          <w:szCs w:val="20"/>
        </w:rPr>
        <w:t xml:space="preserve">Cicero, </w:t>
      </w:r>
      <w:r>
        <w:rPr>
          <w:sz w:val="20"/>
          <w:szCs w:val="20"/>
        </w:rPr>
        <w:t>p. 447.</w:t>
      </w:r>
      <w:r w:rsidR="00CE13A7">
        <w:rPr>
          <w:sz w:val="20"/>
          <w:szCs w:val="20"/>
        </w:rPr>
        <w:t xml:space="preserve"> Book</w:t>
      </w:r>
      <w:r w:rsidR="00055F53">
        <w:rPr>
          <w:sz w:val="20"/>
          <w:szCs w:val="20"/>
        </w:rPr>
        <w:t xml:space="preserve"> II, chapter 32.</w:t>
      </w:r>
    </w:p>
  </w:footnote>
  <w:footnote w:id="17">
    <w:p w14:paraId="00000058" w14:textId="723329AC" w:rsidR="00C75DAA" w:rsidRDefault="00BC558C">
      <w:pPr>
        <w:spacing w:line="240" w:lineRule="auto"/>
        <w:rPr>
          <w:sz w:val="20"/>
          <w:szCs w:val="20"/>
        </w:rPr>
      </w:pPr>
      <w:r>
        <w:rPr>
          <w:vertAlign w:val="superscript"/>
        </w:rPr>
        <w:footnoteRef/>
      </w:r>
      <w:r>
        <w:rPr>
          <w:sz w:val="20"/>
          <w:szCs w:val="20"/>
        </w:rPr>
        <w:t xml:space="preserve"> Cicero, p. 355.</w:t>
      </w:r>
      <w:r w:rsidR="00055F53">
        <w:rPr>
          <w:sz w:val="20"/>
          <w:szCs w:val="20"/>
        </w:rPr>
        <w:t xml:space="preserve"> Book I, chapter 53.</w:t>
      </w:r>
    </w:p>
  </w:footnote>
  <w:footnote w:id="18">
    <w:p w14:paraId="00000059" w14:textId="76B442E2" w:rsidR="00C75DAA" w:rsidRDefault="00BC558C">
      <w:pPr>
        <w:spacing w:line="240" w:lineRule="auto"/>
        <w:rPr>
          <w:sz w:val="20"/>
          <w:szCs w:val="20"/>
        </w:rPr>
      </w:pPr>
      <w:r>
        <w:rPr>
          <w:vertAlign w:val="superscript"/>
        </w:rPr>
        <w:footnoteRef/>
      </w:r>
      <w:r>
        <w:rPr>
          <w:sz w:val="20"/>
          <w:szCs w:val="20"/>
        </w:rPr>
        <w:t xml:space="preserve"> </w:t>
      </w:r>
      <w:r w:rsidR="006A2746">
        <w:rPr>
          <w:sz w:val="20"/>
          <w:szCs w:val="20"/>
        </w:rPr>
        <w:t xml:space="preserve">Cicero, </w:t>
      </w:r>
      <w:r>
        <w:rPr>
          <w:sz w:val="20"/>
          <w:szCs w:val="20"/>
        </w:rPr>
        <w:t>p. 349.</w:t>
      </w:r>
      <w:r w:rsidR="00055F53">
        <w:rPr>
          <w:sz w:val="20"/>
          <w:szCs w:val="20"/>
        </w:rPr>
        <w:t xml:space="preserve"> Book I, chapter 51.</w:t>
      </w:r>
    </w:p>
  </w:footnote>
  <w:footnote w:id="19">
    <w:p w14:paraId="0000005A" w14:textId="495FF6CB" w:rsidR="00C75DAA" w:rsidRDefault="00BC558C">
      <w:pPr>
        <w:spacing w:line="240" w:lineRule="auto"/>
        <w:rPr>
          <w:sz w:val="20"/>
          <w:szCs w:val="20"/>
        </w:rPr>
      </w:pPr>
      <w:r>
        <w:rPr>
          <w:vertAlign w:val="superscript"/>
        </w:rPr>
        <w:footnoteRef/>
      </w:r>
      <w:r>
        <w:rPr>
          <w:sz w:val="20"/>
          <w:szCs w:val="20"/>
        </w:rPr>
        <w:t xml:space="preserve"> </w:t>
      </w:r>
      <w:r w:rsidR="006A2746">
        <w:rPr>
          <w:sz w:val="20"/>
          <w:szCs w:val="20"/>
        </w:rPr>
        <w:t xml:space="preserve">Cicero, </w:t>
      </w:r>
      <w:r>
        <w:rPr>
          <w:sz w:val="20"/>
          <w:szCs w:val="20"/>
        </w:rPr>
        <w:t xml:space="preserve">p. 419. </w:t>
      </w:r>
      <w:r w:rsidR="00BB6AF7">
        <w:rPr>
          <w:sz w:val="20"/>
          <w:szCs w:val="20"/>
        </w:rPr>
        <w:t xml:space="preserve">Book II, chapter 19. </w:t>
      </w:r>
      <w:r>
        <w:rPr>
          <w:sz w:val="20"/>
          <w:szCs w:val="20"/>
        </w:rPr>
        <w:t>“It is passing strange, if Jupiter warns us by means of thunderbolts, that he sends so many to no purpose! What, for example, is his object in hurling them into the middle of the sea?”</w:t>
      </w:r>
    </w:p>
  </w:footnote>
  <w:footnote w:id="20">
    <w:p w14:paraId="0000005B" w14:textId="4C81BA57" w:rsidR="00C75DAA" w:rsidRDefault="00BC558C">
      <w:pPr>
        <w:spacing w:line="240" w:lineRule="auto"/>
        <w:rPr>
          <w:sz w:val="20"/>
          <w:szCs w:val="20"/>
        </w:rPr>
      </w:pPr>
      <w:r>
        <w:rPr>
          <w:vertAlign w:val="superscript"/>
        </w:rPr>
        <w:footnoteRef/>
      </w:r>
      <w:r>
        <w:rPr>
          <w:sz w:val="20"/>
          <w:szCs w:val="20"/>
        </w:rPr>
        <w:t xml:space="preserve"> </w:t>
      </w:r>
      <w:r w:rsidR="006A2746">
        <w:rPr>
          <w:sz w:val="20"/>
          <w:szCs w:val="20"/>
        </w:rPr>
        <w:t xml:space="preserve">Cicero, </w:t>
      </w:r>
      <w:r>
        <w:rPr>
          <w:sz w:val="20"/>
          <w:szCs w:val="20"/>
        </w:rPr>
        <w:t>p. 461.</w:t>
      </w:r>
      <w:r w:rsidR="00BB6AF7">
        <w:rPr>
          <w:sz w:val="20"/>
          <w:szCs w:val="20"/>
        </w:rPr>
        <w:t xml:space="preserve"> Book II, chapter 38.</w:t>
      </w:r>
      <w:r>
        <w:rPr>
          <w:sz w:val="20"/>
          <w:szCs w:val="20"/>
        </w:rPr>
        <w:t xml:space="preserve"> If Cicero were alive and able, he may apply the same criticism to this argument as he did to Quintus: “It is your judgement, then, that those devoid of human learning are the authors of a divine science!” Until proven otherwise, it remains resolutely possible.</w:t>
      </w:r>
    </w:p>
  </w:footnote>
  <w:footnote w:id="21">
    <w:p w14:paraId="00000063" w14:textId="7F34F9BB" w:rsidR="00C75DAA" w:rsidRDefault="00BC558C">
      <w:pPr>
        <w:spacing w:line="240" w:lineRule="auto"/>
        <w:rPr>
          <w:sz w:val="20"/>
          <w:szCs w:val="20"/>
        </w:rPr>
      </w:pPr>
      <w:r>
        <w:rPr>
          <w:vertAlign w:val="superscript"/>
        </w:rPr>
        <w:footnoteRef/>
      </w:r>
      <w:r>
        <w:rPr>
          <w:sz w:val="20"/>
          <w:szCs w:val="20"/>
        </w:rPr>
        <w:t xml:space="preserve"> </w:t>
      </w:r>
      <w:r w:rsidR="006A2746">
        <w:rPr>
          <w:sz w:val="20"/>
          <w:szCs w:val="20"/>
        </w:rPr>
        <w:t>Cicero,</w:t>
      </w:r>
      <w:r>
        <w:rPr>
          <w:sz w:val="20"/>
          <w:szCs w:val="20"/>
        </w:rPr>
        <w:t xml:space="preserve"> p. 317.</w:t>
      </w:r>
      <w:r w:rsidR="00BB6AF7">
        <w:rPr>
          <w:sz w:val="20"/>
          <w:szCs w:val="20"/>
        </w:rPr>
        <w:t xml:space="preserve"> Book I, chapter 39. </w:t>
      </w:r>
    </w:p>
  </w:footnote>
  <w:footnote w:id="22">
    <w:p w14:paraId="00000064" w14:textId="7A098971" w:rsidR="00C75DAA" w:rsidRDefault="00BC558C">
      <w:pPr>
        <w:spacing w:line="240" w:lineRule="auto"/>
        <w:rPr>
          <w:sz w:val="20"/>
          <w:szCs w:val="20"/>
        </w:rPr>
      </w:pPr>
      <w:r>
        <w:rPr>
          <w:vertAlign w:val="superscript"/>
        </w:rPr>
        <w:footnoteRef/>
      </w:r>
      <w:r>
        <w:rPr>
          <w:sz w:val="20"/>
          <w:szCs w:val="20"/>
        </w:rPr>
        <w:t xml:space="preserve"> </w:t>
      </w:r>
      <w:r w:rsidR="006A2746">
        <w:rPr>
          <w:sz w:val="20"/>
          <w:szCs w:val="20"/>
        </w:rPr>
        <w:t xml:space="preserve">Cicero, </w:t>
      </w:r>
      <w:r>
        <w:rPr>
          <w:sz w:val="20"/>
          <w:szCs w:val="20"/>
        </w:rPr>
        <w:t>p. 391.</w:t>
      </w:r>
      <w:r w:rsidR="00BB6AF7">
        <w:rPr>
          <w:sz w:val="20"/>
          <w:szCs w:val="20"/>
        </w:rPr>
        <w:t xml:space="preserve"> Book II, chapter 7.</w:t>
      </w:r>
    </w:p>
  </w:footnote>
  <w:footnote w:id="23">
    <w:p w14:paraId="0000005C" w14:textId="00A81E00" w:rsidR="00C75DAA" w:rsidRDefault="00BC558C">
      <w:pPr>
        <w:spacing w:line="240" w:lineRule="auto"/>
        <w:rPr>
          <w:sz w:val="20"/>
          <w:szCs w:val="20"/>
        </w:rPr>
      </w:pPr>
      <w:r>
        <w:rPr>
          <w:vertAlign w:val="superscript"/>
        </w:rPr>
        <w:footnoteRef/>
      </w:r>
      <w:r>
        <w:rPr>
          <w:sz w:val="20"/>
          <w:szCs w:val="20"/>
        </w:rPr>
        <w:t xml:space="preserve"> </w:t>
      </w:r>
      <w:r w:rsidR="006A2746">
        <w:rPr>
          <w:sz w:val="20"/>
          <w:szCs w:val="20"/>
        </w:rPr>
        <w:t xml:space="preserve">Cicero, </w:t>
      </w:r>
      <w:r>
        <w:rPr>
          <w:sz w:val="20"/>
          <w:szCs w:val="20"/>
        </w:rPr>
        <w:t>p. 509.</w:t>
      </w:r>
      <w:r w:rsidR="00BB6AF7">
        <w:rPr>
          <w:sz w:val="20"/>
          <w:szCs w:val="20"/>
        </w:rPr>
        <w:t xml:space="preserve"> Book II, chapter 59. </w:t>
      </w:r>
    </w:p>
  </w:footnote>
  <w:footnote w:id="24">
    <w:p w14:paraId="00000067" w14:textId="10D95C0C" w:rsidR="00C75DAA" w:rsidRDefault="00BC558C">
      <w:pPr>
        <w:spacing w:line="240" w:lineRule="auto"/>
        <w:rPr>
          <w:sz w:val="20"/>
          <w:szCs w:val="20"/>
        </w:rPr>
      </w:pPr>
      <w:r>
        <w:rPr>
          <w:vertAlign w:val="superscript"/>
        </w:rPr>
        <w:footnoteRef/>
      </w:r>
      <w:r>
        <w:rPr>
          <w:sz w:val="20"/>
          <w:szCs w:val="20"/>
        </w:rPr>
        <w:t xml:space="preserve"> </w:t>
      </w:r>
      <w:r w:rsidR="006A2746">
        <w:rPr>
          <w:sz w:val="20"/>
          <w:szCs w:val="20"/>
        </w:rPr>
        <w:t xml:space="preserve">Cicero, </w:t>
      </w:r>
      <w:r>
        <w:rPr>
          <w:sz w:val="20"/>
          <w:szCs w:val="20"/>
        </w:rPr>
        <w:t>p. 233.</w:t>
      </w:r>
      <w:r w:rsidR="005552F3">
        <w:rPr>
          <w:sz w:val="20"/>
          <w:szCs w:val="20"/>
        </w:rPr>
        <w:t xml:space="preserve"> Book I, chapter 5.</w:t>
      </w:r>
    </w:p>
  </w:footnote>
  <w:footnote w:id="25">
    <w:p w14:paraId="0000005D" w14:textId="1ADE1DD7" w:rsidR="00C75DAA" w:rsidRDefault="00BC558C">
      <w:pPr>
        <w:spacing w:line="240" w:lineRule="auto"/>
        <w:rPr>
          <w:sz w:val="20"/>
          <w:szCs w:val="20"/>
        </w:rPr>
      </w:pPr>
      <w:r>
        <w:rPr>
          <w:vertAlign w:val="superscript"/>
        </w:rPr>
        <w:footnoteRef/>
      </w:r>
      <w:r>
        <w:rPr>
          <w:sz w:val="20"/>
          <w:szCs w:val="20"/>
        </w:rPr>
        <w:t xml:space="preserve"> </w:t>
      </w:r>
      <w:r w:rsidR="006A2746">
        <w:rPr>
          <w:sz w:val="20"/>
          <w:szCs w:val="20"/>
        </w:rPr>
        <w:t xml:space="preserve">Cicero, </w:t>
      </w:r>
      <w:r>
        <w:rPr>
          <w:sz w:val="20"/>
          <w:szCs w:val="20"/>
        </w:rPr>
        <w:t>p. 381.</w:t>
      </w:r>
      <w:r w:rsidR="005552F3">
        <w:rPr>
          <w:sz w:val="20"/>
          <w:szCs w:val="20"/>
        </w:rPr>
        <w:t xml:space="preserve"> Book II, chapter 3.</w:t>
      </w:r>
    </w:p>
  </w:footnote>
  <w:footnote w:id="26">
    <w:p w14:paraId="0000005E" w14:textId="647BEAC3" w:rsidR="00C75DAA" w:rsidRDefault="00BC558C">
      <w:pPr>
        <w:spacing w:line="240" w:lineRule="auto"/>
        <w:rPr>
          <w:sz w:val="20"/>
          <w:szCs w:val="20"/>
        </w:rPr>
      </w:pPr>
      <w:r>
        <w:rPr>
          <w:vertAlign w:val="superscript"/>
        </w:rPr>
        <w:footnoteRef/>
      </w:r>
      <w:r>
        <w:rPr>
          <w:sz w:val="20"/>
          <w:szCs w:val="20"/>
        </w:rPr>
        <w:t xml:space="preserve"> </w:t>
      </w:r>
      <w:r w:rsidR="006A2746">
        <w:rPr>
          <w:sz w:val="20"/>
          <w:szCs w:val="20"/>
        </w:rPr>
        <w:t xml:space="preserve">Cicero, </w:t>
      </w:r>
      <w:r>
        <w:rPr>
          <w:sz w:val="20"/>
          <w:szCs w:val="20"/>
        </w:rPr>
        <w:t>p. 351.</w:t>
      </w:r>
      <w:r w:rsidR="005552F3">
        <w:rPr>
          <w:sz w:val="20"/>
          <w:szCs w:val="20"/>
        </w:rPr>
        <w:t xml:space="preserve"> Book II, chapter 51.</w:t>
      </w:r>
    </w:p>
  </w:footnote>
  <w:footnote w:id="27">
    <w:p w14:paraId="0000005F" w14:textId="77777777" w:rsidR="00C75DAA" w:rsidRDefault="00BC558C">
      <w:pPr>
        <w:spacing w:line="240" w:lineRule="auto"/>
        <w:rPr>
          <w:sz w:val="20"/>
          <w:szCs w:val="20"/>
        </w:rPr>
      </w:pPr>
      <w:r>
        <w:rPr>
          <w:vertAlign w:val="superscript"/>
        </w:rPr>
        <w:footnoteRef/>
      </w:r>
      <w:r>
        <w:rPr>
          <w:sz w:val="20"/>
          <w:szCs w:val="20"/>
        </w:rPr>
        <w:t xml:space="preserve"> Krostenko, Brian A. 'Beyond (Dis)Belief." p. 357.</w:t>
      </w:r>
    </w:p>
  </w:footnote>
  <w:footnote w:id="28">
    <w:p w14:paraId="00000066" w14:textId="77777777" w:rsidR="00C75DAA" w:rsidRDefault="00BC558C">
      <w:pPr>
        <w:spacing w:line="240" w:lineRule="auto"/>
        <w:rPr>
          <w:sz w:val="20"/>
          <w:szCs w:val="20"/>
        </w:rPr>
      </w:pPr>
      <w:r>
        <w:rPr>
          <w:vertAlign w:val="superscript"/>
        </w:rPr>
        <w:footnoteRef/>
      </w:r>
      <w:r>
        <w:rPr>
          <w:sz w:val="20"/>
          <w:szCs w:val="20"/>
        </w:rPr>
        <w:t xml:space="preserve"> Denyer, Nicholas. 'The Case Against Divination.' p. 2. </w:t>
      </w:r>
    </w:p>
  </w:footnote>
  <w:footnote w:id="29">
    <w:p w14:paraId="00000065" w14:textId="77777777" w:rsidR="00C75DAA" w:rsidRDefault="00BC558C">
      <w:pPr>
        <w:spacing w:line="240" w:lineRule="auto"/>
        <w:rPr>
          <w:sz w:val="20"/>
          <w:szCs w:val="20"/>
        </w:rPr>
      </w:pPr>
      <w:r>
        <w:rPr>
          <w:vertAlign w:val="superscript"/>
        </w:rPr>
        <w:footnoteRef/>
      </w:r>
      <w:r>
        <w:rPr>
          <w:sz w:val="20"/>
          <w:szCs w:val="20"/>
        </w:rPr>
        <w:t xml:space="preserve"> Cicero, 'On Divination (De Divinatione).' p. 415.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5DAA"/>
    <w:rsid w:val="00024128"/>
    <w:rsid w:val="0005517C"/>
    <w:rsid w:val="00055F53"/>
    <w:rsid w:val="00144D34"/>
    <w:rsid w:val="00191223"/>
    <w:rsid w:val="00201D77"/>
    <w:rsid w:val="00226D86"/>
    <w:rsid w:val="00280142"/>
    <w:rsid w:val="0038577D"/>
    <w:rsid w:val="004470CB"/>
    <w:rsid w:val="00496B9E"/>
    <w:rsid w:val="004D2F63"/>
    <w:rsid w:val="005552F3"/>
    <w:rsid w:val="00593B99"/>
    <w:rsid w:val="00656A03"/>
    <w:rsid w:val="006A2746"/>
    <w:rsid w:val="006A42A9"/>
    <w:rsid w:val="006B31FB"/>
    <w:rsid w:val="006C6BCC"/>
    <w:rsid w:val="00791D44"/>
    <w:rsid w:val="00830262"/>
    <w:rsid w:val="008C1234"/>
    <w:rsid w:val="00A33C86"/>
    <w:rsid w:val="00AA1801"/>
    <w:rsid w:val="00AA5795"/>
    <w:rsid w:val="00AD1C7A"/>
    <w:rsid w:val="00AD6F30"/>
    <w:rsid w:val="00B14144"/>
    <w:rsid w:val="00B379B6"/>
    <w:rsid w:val="00B577CE"/>
    <w:rsid w:val="00BB6AF7"/>
    <w:rsid w:val="00BC558C"/>
    <w:rsid w:val="00BD01E7"/>
    <w:rsid w:val="00C75DAA"/>
    <w:rsid w:val="00C9499E"/>
    <w:rsid w:val="00CB53E6"/>
    <w:rsid w:val="00CE13A7"/>
    <w:rsid w:val="00CE268D"/>
    <w:rsid w:val="00D02A2F"/>
    <w:rsid w:val="00D065BC"/>
    <w:rsid w:val="00D840DB"/>
    <w:rsid w:val="00DE7C7D"/>
    <w:rsid w:val="00E76AF9"/>
    <w:rsid w:val="00EB0C64"/>
    <w:rsid w:val="00ED575E"/>
    <w:rsid w:val="00F145FF"/>
    <w:rsid w:val="00F63E07"/>
    <w:rsid w:val="00FF35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BE0F8"/>
  <w15:docId w15:val="{21B7E08D-C998-A74E-A145-C38F15269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rsid w:val="00F145FF"/>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FootnoteText">
    <w:name w:val="footnote text"/>
    <w:basedOn w:val="Normal"/>
    <w:link w:val="FootnoteTextChar"/>
    <w:uiPriority w:val="99"/>
    <w:semiHidden/>
    <w:unhideWhenUsed/>
    <w:rsid w:val="00024128"/>
    <w:pPr>
      <w:spacing w:line="240" w:lineRule="auto"/>
    </w:pPr>
    <w:rPr>
      <w:sz w:val="20"/>
      <w:szCs w:val="20"/>
    </w:rPr>
  </w:style>
  <w:style w:type="character" w:customStyle="1" w:styleId="FootnoteTextChar">
    <w:name w:val="Footnote Text Char"/>
    <w:basedOn w:val="DefaultParagraphFont"/>
    <w:link w:val="FootnoteText"/>
    <w:uiPriority w:val="99"/>
    <w:semiHidden/>
    <w:rsid w:val="00024128"/>
    <w:rPr>
      <w:sz w:val="20"/>
      <w:szCs w:val="20"/>
    </w:rPr>
  </w:style>
  <w:style w:type="character" w:styleId="FootnoteReference">
    <w:name w:val="footnote reference"/>
    <w:basedOn w:val="DefaultParagraphFont"/>
    <w:uiPriority w:val="99"/>
    <w:semiHidden/>
    <w:unhideWhenUsed/>
    <w:rsid w:val="00024128"/>
    <w:rPr>
      <w:vertAlign w:val="superscript"/>
    </w:rPr>
  </w:style>
  <w:style w:type="character" w:styleId="CommentReference">
    <w:name w:val="annotation reference"/>
    <w:basedOn w:val="DefaultParagraphFont"/>
    <w:uiPriority w:val="99"/>
    <w:semiHidden/>
    <w:unhideWhenUsed/>
    <w:rsid w:val="00791D44"/>
    <w:rPr>
      <w:sz w:val="16"/>
      <w:szCs w:val="16"/>
    </w:rPr>
  </w:style>
  <w:style w:type="paragraph" w:styleId="CommentText">
    <w:name w:val="annotation text"/>
    <w:basedOn w:val="Normal"/>
    <w:link w:val="CommentTextChar"/>
    <w:uiPriority w:val="99"/>
    <w:semiHidden/>
    <w:unhideWhenUsed/>
    <w:rsid w:val="00791D44"/>
    <w:pPr>
      <w:spacing w:line="240" w:lineRule="auto"/>
    </w:pPr>
    <w:rPr>
      <w:sz w:val="20"/>
      <w:szCs w:val="20"/>
    </w:rPr>
  </w:style>
  <w:style w:type="character" w:customStyle="1" w:styleId="CommentTextChar">
    <w:name w:val="Comment Text Char"/>
    <w:basedOn w:val="DefaultParagraphFont"/>
    <w:link w:val="CommentText"/>
    <w:uiPriority w:val="99"/>
    <w:semiHidden/>
    <w:rsid w:val="00791D44"/>
    <w:rPr>
      <w:sz w:val="20"/>
      <w:szCs w:val="20"/>
    </w:rPr>
  </w:style>
  <w:style w:type="paragraph" w:styleId="CommentSubject">
    <w:name w:val="annotation subject"/>
    <w:basedOn w:val="CommentText"/>
    <w:next w:val="CommentText"/>
    <w:link w:val="CommentSubjectChar"/>
    <w:uiPriority w:val="99"/>
    <w:semiHidden/>
    <w:unhideWhenUsed/>
    <w:rsid w:val="00791D44"/>
    <w:rPr>
      <w:b/>
      <w:bCs/>
    </w:rPr>
  </w:style>
  <w:style w:type="character" w:customStyle="1" w:styleId="CommentSubjectChar">
    <w:name w:val="Comment Subject Char"/>
    <w:basedOn w:val="CommentTextChar"/>
    <w:link w:val="CommentSubject"/>
    <w:uiPriority w:val="99"/>
    <w:semiHidden/>
    <w:rsid w:val="00791D4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666625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3DF765-65C4-E34E-9B20-FA520D19E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9</Pages>
  <Words>2433</Words>
  <Characters>13872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Eshelman, Jake</cp:lastModifiedBy>
  <cp:revision>30</cp:revision>
  <dcterms:created xsi:type="dcterms:W3CDTF">2021-03-15T15:27:00Z</dcterms:created>
  <dcterms:modified xsi:type="dcterms:W3CDTF">2021-03-21T00:39:00Z</dcterms:modified>
</cp:coreProperties>
</file>