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94F58" w14:textId="06BBD2C8" w:rsidR="00E868AF" w:rsidRDefault="00E868AF">
      <w:pPr>
        <w:rPr>
          <w:rFonts w:ascii="Arial" w:hAnsi="Arial" w:cs="Arial"/>
          <w:sz w:val="32"/>
          <w:szCs w:val="32"/>
          <w:lang w:val="en-GB"/>
        </w:rPr>
      </w:pPr>
      <w:r w:rsidRPr="00E868AF">
        <w:rPr>
          <w:rFonts w:ascii="Arial" w:hAnsi="Arial" w:cs="Arial"/>
          <w:sz w:val="32"/>
          <w:szCs w:val="32"/>
          <w:lang w:val="en-GB"/>
        </w:rPr>
        <w:t>A renewable wind energy</w:t>
      </w:r>
      <w:r w:rsidR="003E2BFE">
        <w:rPr>
          <w:rFonts w:ascii="Arial" w:hAnsi="Arial" w:cs="Arial"/>
          <w:sz w:val="32"/>
          <w:szCs w:val="32"/>
          <w:lang w:val="en-GB"/>
        </w:rPr>
        <w:t xml:space="preserve"> </w:t>
      </w:r>
      <w:r w:rsidR="002C0B86">
        <w:rPr>
          <w:rFonts w:ascii="Arial" w:hAnsi="Arial" w:cs="Arial"/>
          <w:sz w:val="32"/>
          <w:szCs w:val="32"/>
          <w:lang w:val="en-GB"/>
        </w:rPr>
        <w:t>farm</w:t>
      </w:r>
      <w:r w:rsidRPr="00E868AF">
        <w:rPr>
          <w:rFonts w:ascii="Arial" w:hAnsi="Arial" w:cs="Arial"/>
          <w:sz w:val="32"/>
          <w:szCs w:val="32"/>
          <w:lang w:val="en-GB"/>
        </w:rPr>
        <w:t xml:space="preserve"> in UK</w:t>
      </w:r>
    </w:p>
    <w:p w14:paraId="51B40B3E" w14:textId="6121DFD9" w:rsidR="00E868AF" w:rsidRDefault="00E868AF">
      <w:pPr>
        <w:rPr>
          <w:rFonts w:ascii="Arial" w:hAnsi="Arial" w:cs="Arial"/>
          <w:sz w:val="32"/>
          <w:szCs w:val="32"/>
          <w:lang w:val="en-GB"/>
        </w:rPr>
      </w:pPr>
      <w:r>
        <w:rPr>
          <w:rFonts w:ascii="Arial" w:hAnsi="Arial" w:cs="Arial"/>
          <w:sz w:val="32"/>
          <w:szCs w:val="32"/>
          <w:lang w:val="en-GB"/>
        </w:rPr>
        <w:t>Florentina Adelina Mazilu</w:t>
      </w:r>
    </w:p>
    <w:p w14:paraId="61F839CB" w14:textId="771CB817" w:rsidR="00E868AF" w:rsidRDefault="00E868AF">
      <w:pPr>
        <w:rPr>
          <w:rFonts w:ascii="Arial" w:hAnsi="Arial" w:cs="Arial"/>
          <w:sz w:val="32"/>
          <w:szCs w:val="32"/>
          <w:lang w:val="en-GB"/>
        </w:rPr>
      </w:pPr>
      <w:r>
        <w:rPr>
          <w:rFonts w:ascii="Arial" w:hAnsi="Arial" w:cs="Arial"/>
          <w:sz w:val="32"/>
          <w:szCs w:val="32"/>
          <w:lang w:val="en-GB"/>
        </w:rPr>
        <w:t>Student number: 2245649</w:t>
      </w:r>
    </w:p>
    <w:p w14:paraId="638E748F" w14:textId="5352C83D" w:rsidR="00E868AF" w:rsidRDefault="00E868AF">
      <w:pPr>
        <w:rPr>
          <w:rFonts w:ascii="Arial" w:hAnsi="Arial" w:cs="Arial"/>
          <w:sz w:val="32"/>
          <w:szCs w:val="32"/>
          <w:lang w:val="en-GB"/>
        </w:rPr>
      </w:pPr>
      <w:r>
        <w:rPr>
          <w:rFonts w:ascii="Arial" w:hAnsi="Arial" w:cs="Arial"/>
          <w:sz w:val="32"/>
          <w:szCs w:val="32"/>
          <w:lang w:val="en-GB"/>
        </w:rPr>
        <w:t>Lecturer: Masud Ibrahim</w:t>
      </w:r>
    </w:p>
    <w:p w14:paraId="7756C051" w14:textId="322CFF3A" w:rsidR="00E868AF" w:rsidRDefault="00E868AF">
      <w:pPr>
        <w:rPr>
          <w:rFonts w:ascii="Arial" w:hAnsi="Arial" w:cs="Arial"/>
          <w:sz w:val="32"/>
          <w:szCs w:val="32"/>
          <w:lang w:val="en-GB"/>
        </w:rPr>
      </w:pPr>
      <w:r>
        <w:rPr>
          <w:rFonts w:ascii="Arial" w:hAnsi="Arial" w:cs="Arial"/>
          <w:sz w:val="32"/>
          <w:szCs w:val="32"/>
          <w:lang w:val="en-GB"/>
        </w:rPr>
        <w:t>Module: LCMB7004</w:t>
      </w:r>
    </w:p>
    <w:p w14:paraId="0372112F" w14:textId="4A09DA52" w:rsidR="00E868AF" w:rsidRDefault="00E868AF">
      <w:pPr>
        <w:rPr>
          <w:rFonts w:ascii="Arial" w:hAnsi="Arial" w:cs="Arial"/>
          <w:sz w:val="32"/>
          <w:szCs w:val="32"/>
          <w:lang w:val="en-GB"/>
        </w:rPr>
      </w:pPr>
      <w:r>
        <w:rPr>
          <w:rFonts w:ascii="Arial" w:hAnsi="Arial" w:cs="Arial"/>
          <w:sz w:val="32"/>
          <w:szCs w:val="32"/>
          <w:lang w:val="en-GB"/>
        </w:rPr>
        <w:br w:type="page"/>
      </w:r>
    </w:p>
    <w:p w14:paraId="770946A1" w14:textId="199383A7" w:rsidR="00E868AF" w:rsidRPr="0034404B" w:rsidRDefault="00E868AF" w:rsidP="0034404B">
      <w:pPr>
        <w:pStyle w:val="Heading1"/>
        <w:rPr>
          <w:rFonts w:ascii="Arial" w:hAnsi="Arial" w:cs="Arial"/>
          <w:sz w:val="28"/>
          <w:szCs w:val="28"/>
          <w:lang w:val="en-GB"/>
        </w:rPr>
      </w:pPr>
      <w:bookmarkStart w:id="0" w:name="_Toc150096356"/>
      <w:r w:rsidRPr="0034404B">
        <w:rPr>
          <w:rFonts w:ascii="Arial" w:hAnsi="Arial" w:cs="Arial"/>
          <w:sz w:val="28"/>
          <w:szCs w:val="28"/>
          <w:lang w:val="en-GB"/>
        </w:rPr>
        <w:lastRenderedPageBreak/>
        <w:t>Executive summary</w:t>
      </w:r>
      <w:bookmarkEnd w:id="0"/>
    </w:p>
    <w:p w14:paraId="0950BCA4" w14:textId="44AEBA65" w:rsidR="00F765B1" w:rsidRDefault="00F765B1" w:rsidP="006C3A58">
      <w:pPr>
        <w:spacing w:line="360" w:lineRule="auto"/>
        <w:rPr>
          <w:rFonts w:ascii="Arial" w:hAnsi="Arial" w:cs="Arial"/>
          <w:sz w:val="24"/>
          <w:szCs w:val="24"/>
          <w:lang w:val="en-GB"/>
        </w:rPr>
      </w:pPr>
      <w:r w:rsidRPr="00F765B1">
        <w:rPr>
          <w:rFonts w:ascii="Arial" w:hAnsi="Arial" w:cs="Arial"/>
          <w:sz w:val="24"/>
          <w:szCs w:val="24"/>
          <w:lang w:val="en-GB"/>
        </w:rPr>
        <w:t>This paper focuses on the Eco-wind energy farm, a recently established enterprise aimed at achieving substantial financial gains and profitability via the provision of renewable and sustainable green energy. The farm's primary objective is to contribute to the reduction of greenhouse gas emissions and decrease dependency on fossil fuels for power generation. The organisation began its commercial operations by providing superior services to its clientele in comparison to its rivals. The primary objective of Eco-wind energy farm is to establish a robust client base by employing digital marketing strategies. The primary focal point of the business is around the cultivation of loyalty and trust among clients with regards to the services provided.</w:t>
      </w:r>
    </w:p>
    <w:p w14:paraId="4C390B85" w14:textId="11BF333B" w:rsidR="00F765B1" w:rsidRDefault="00F765B1" w:rsidP="006C3A58">
      <w:pPr>
        <w:spacing w:line="360" w:lineRule="auto"/>
        <w:rPr>
          <w:rFonts w:ascii="Arial" w:hAnsi="Arial" w:cs="Arial"/>
          <w:sz w:val="24"/>
          <w:szCs w:val="24"/>
          <w:lang w:val="en-GB"/>
        </w:rPr>
      </w:pPr>
      <w:r w:rsidRPr="00F765B1">
        <w:rPr>
          <w:rFonts w:ascii="Arial" w:hAnsi="Arial" w:cs="Arial"/>
          <w:sz w:val="24"/>
          <w:szCs w:val="24"/>
          <w:lang w:val="en-GB"/>
        </w:rPr>
        <w:t>Wind energy has become a vital part of global renewable energy due to climate change and the need for cleaner energy. A sustainable wind energy project's business plan is detailed in this executive brief, demonstrating its relevance and potential.</w:t>
      </w:r>
    </w:p>
    <w:p w14:paraId="7E03AA51" w14:textId="56891DC7" w:rsidR="006C3A58" w:rsidRDefault="006C3A58" w:rsidP="006C3A58">
      <w:pPr>
        <w:spacing w:line="360" w:lineRule="auto"/>
        <w:rPr>
          <w:rFonts w:ascii="Arial" w:hAnsi="Arial" w:cs="Arial"/>
          <w:sz w:val="24"/>
          <w:szCs w:val="24"/>
          <w:lang w:val="en-GB"/>
        </w:rPr>
      </w:pPr>
    </w:p>
    <w:p w14:paraId="19F240AB" w14:textId="77777777" w:rsidR="0034404B" w:rsidRDefault="006C3A58">
      <w:pPr>
        <w:rPr>
          <w:rFonts w:ascii="Arial" w:hAnsi="Arial" w:cs="Arial"/>
          <w:sz w:val="24"/>
          <w:szCs w:val="24"/>
          <w:lang w:val="en-GB"/>
        </w:rPr>
      </w:pPr>
      <w:r>
        <w:rPr>
          <w:rFonts w:ascii="Arial" w:hAnsi="Arial" w:cs="Arial"/>
          <w:sz w:val="24"/>
          <w:szCs w:val="24"/>
          <w:lang w:val="en-GB"/>
        </w:rPr>
        <w:br w:type="page"/>
      </w:r>
    </w:p>
    <w:sdt>
      <w:sdtPr>
        <w:rPr>
          <w:rFonts w:asciiTheme="minorHAnsi" w:eastAsiaTheme="minorHAnsi" w:hAnsiTheme="minorHAnsi" w:cstheme="minorBidi"/>
          <w:color w:val="auto"/>
          <w:kern w:val="2"/>
          <w:sz w:val="22"/>
          <w:szCs w:val="22"/>
          <w:lang w:val="ro-RO"/>
          <w14:ligatures w14:val="standardContextual"/>
        </w:rPr>
        <w:id w:val="2059192144"/>
        <w:docPartObj>
          <w:docPartGallery w:val="Table of Contents"/>
          <w:docPartUnique/>
        </w:docPartObj>
      </w:sdtPr>
      <w:sdtEndPr>
        <w:rPr>
          <w:b/>
          <w:bCs/>
          <w:noProof/>
        </w:rPr>
      </w:sdtEndPr>
      <w:sdtContent>
        <w:p w14:paraId="7DA79D09" w14:textId="23E9047F" w:rsidR="0034404B" w:rsidRDefault="0034404B">
          <w:pPr>
            <w:pStyle w:val="TOCHeading"/>
          </w:pPr>
          <w:r>
            <w:t>Contents</w:t>
          </w:r>
        </w:p>
        <w:p w14:paraId="54EAE885" w14:textId="774BED81" w:rsidR="00954E61" w:rsidRDefault="0034404B">
          <w:pPr>
            <w:pStyle w:val="TOC1"/>
            <w:tabs>
              <w:tab w:val="right" w:leader="dot" w:pos="9016"/>
            </w:tabs>
            <w:rPr>
              <w:rFonts w:eastAsiaTheme="minorEastAsia"/>
              <w:noProof/>
              <w:lang w:eastAsia="ro-RO"/>
            </w:rPr>
          </w:pPr>
          <w:r>
            <w:fldChar w:fldCharType="begin"/>
          </w:r>
          <w:r>
            <w:instrText xml:space="preserve"> TOC \o "1-3" \h \z \u </w:instrText>
          </w:r>
          <w:r>
            <w:fldChar w:fldCharType="separate"/>
          </w:r>
          <w:hyperlink w:anchor="_Toc150096356" w:history="1">
            <w:r w:rsidR="00954E61" w:rsidRPr="00EB3079">
              <w:rPr>
                <w:rStyle w:val="Hyperlink"/>
                <w:rFonts w:ascii="Arial" w:hAnsi="Arial" w:cs="Arial"/>
                <w:noProof/>
                <w:lang w:val="en-GB"/>
              </w:rPr>
              <w:t>Executive summary</w:t>
            </w:r>
            <w:r w:rsidR="00954E61">
              <w:rPr>
                <w:noProof/>
                <w:webHidden/>
              </w:rPr>
              <w:tab/>
            </w:r>
            <w:r w:rsidR="00954E61">
              <w:rPr>
                <w:noProof/>
                <w:webHidden/>
              </w:rPr>
              <w:fldChar w:fldCharType="begin"/>
            </w:r>
            <w:r w:rsidR="00954E61">
              <w:rPr>
                <w:noProof/>
                <w:webHidden/>
              </w:rPr>
              <w:instrText xml:space="preserve"> PAGEREF _Toc150096356 \h </w:instrText>
            </w:r>
            <w:r w:rsidR="00954E61">
              <w:rPr>
                <w:noProof/>
                <w:webHidden/>
              </w:rPr>
            </w:r>
            <w:r w:rsidR="00954E61">
              <w:rPr>
                <w:noProof/>
                <w:webHidden/>
              </w:rPr>
              <w:fldChar w:fldCharType="separate"/>
            </w:r>
            <w:r w:rsidR="00954E61">
              <w:rPr>
                <w:noProof/>
                <w:webHidden/>
              </w:rPr>
              <w:t>2</w:t>
            </w:r>
            <w:r w:rsidR="00954E61">
              <w:rPr>
                <w:noProof/>
                <w:webHidden/>
              </w:rPr>
              <w:fldChar w:fldCharType="end"/>
            </w:r>
          </w:hyperlink>
        </w:p>
        <w:p w14:paraId="52E70703" w14:textId="580518FD" w:rsidR="00954E61" w:rsidRDefault="00954E61">
          <w:pPr>
            <w:pStyle w:val="TOC1"/>
            <w:tabs>
              <w:tab w:val="right" w:leader="dot" w:pos="9016"/>
            </w:tabs>
            <w:rPr>
              <w:rFonts w:eastAsiaTheme="minorEastAsia"/>
              <w:noProof/>
              <w:lang w:eastAsia="ro-RO"/>
            </w:rPr>
          </w:pPr>
          <w:hyperlink w:anchor="_Toc150096357" w:history="1">
            <w:r w:rsidRPr="00EB3079">
              <w:rPr>
                <w:rStyle w:val="Hyperlink"/>
                <w:rFonts w:ascii="Arial" w:hAnsi="Arial" w:cs="Arial"/>
                <w:noProof/>
                <w:lang w:val="en-GB"/>
              </w:rPr>
              <w:t>1.Wind energy summary</w:t>
            </w:r>
            <w:r>
              <w:rPr>
                <w:noProof/>
                <w:webHidden/>
              </w:rPr>
              <w:tab/>
            </w:r>
            <w:r>
              <w:rPr>
                <w:noProof/>
                <w:webHidden/>
              </w:rPr>
              <w:fldChar w:fldCharType="begin"/>
            </w:r>
            <w:r>
              <w:rPr>
                <w:noProof/>
                <w:webHidden/>
              </w:rPr>
              <w:instrText xml:space="preserve"> PAGEREF _Toc150096357 \h </w:instrText>
            </w:r>
            <w:r>
              <w:rPr>
                <w:noProof/>
                <w:webHidden/>
              </w:rPr>
            </w:r>
            <w:r>
              <w:rPr>
                <w:noProof/>
                <w:webHidden/>
              </w:rPr>
              <w:fldChar w:fldCharType="separate"/>
            </w:r>
            <w:r>
              <w:rPr>
                <w:noProof/>
                <w:webHidden/>
              </w:rPr>
              <w:t>4</w:t>
            </w:r>
            <w:r>
              <w:rPr>
                <w:noProof/>
                <w:webHidden/>
              </w:rPr>
              <w:fldChar w:fldCharType="end"/>
            </w:r>
          </w:hyperlink>
        </w:p>
        <w:p w14:paraId="0404EFFC" w14:textId="72103C68" w:rsidR="00954E61" w:rsidRDefault="00954E61">
          <w:pPr>
            <w:pStyle w:val="TOC1"/>
            <w:tabs>
              <w:tab w:val="right" w:leader="dot" w:pos="9016"/>
            </w:tabs>
            <w:rPr>
              <w:rFonts w:eastAsiaTheme="minorEastAsia"/>
              <w:noProof/>
              <w:lang w:eastAsia="ro-RO"/>
            </w:rPr>
          </w:pPr>
          <w:hyperlink w:anchor="_Toc150096358" w:history="1">
            <w:r w:rsidRPr="00EB3079">
              <w:rPr>
                <w:rStyle w:val="Hyperlink"/>
                <w:rFonts w:ascii="Arial" w:hAnsi="Arial" w:cs="Arial"/>
                <w:noProof/>
                <w:lang w:val="en-GB"/>
              </w:rPr>
              <w:t>2.Eco-wind energy farm: overview of the business plan</w:t>
            </w:r>
            <w:r>
              <w:rPr>
                <w:noProof/>
                <w:webHidden/>
              </w:rPr>
              <w:tab/>
            </w:r>
            <w:r>
              <w:rPr>
                <w:noProof/>
                <w:webHidden/>
              </w:rPr>
              <w:fldChar w:fldCharType="begin"/>
            </w:r>
            <w:r>
              <w:rPr>
                <w:noProof/>
                <w:webHidden/>
              </w:rPr>
              <w:instrText xml:space="preserve"> PAGEREF _Toc150096358 \h </w:instrText>
            </w:r>
            <w:r>
              <w:rPr>
                <w:noProof/>
                <w:webHidden/>
              </w:rPr>
            </w:r>
            <w:r>
              <w:rPr>
                <w:noProof/>
                <w:webHidden/>
              </w:rPr>
              <w:fldChar w:fldCharType="separate"/>
            </w:r>
            <w:r>
              <w:rPr>
                <w:noProof/>
                <w:webHidden/>
              </w:rPr>
              <w:t>4</w:t>
            </w:r>
            <w:r>
              <w:rPr>
                <w:noProof/>
                <w:webHidden/>
              </w:rPr>
              <w:fldChar w:fldCharType="end"/>
            </w:r>
          </w:hyperlink>
        </w:p>
        <w:p w14:paraId="4C774D9E" w14:textId="178F3F69" w:rsidR="00954E61" w:rsidRDefault="00954E61">
          <w:pPr>
            <w:pStyle w:val="TOC1"/>
            <w:tabs>
              <w:tab w:val="right" w:leader="dot" w:pos="9016"/>
            </w:tabs>
            <w:rPr>
              <w:rFonts w:eastAsiaTheme="minorEastAsia"/>
              <w:noProof/>
              <w:lang w:eastAsia="ro-RO"/>
            </w:rPr>
          </w:pPr>
          <w:hyperlink w:anchor="_Toc150096359" w:history="1">
            <w:r w:rsidRPr="00EB3079">
              <w:rPr>
                <w:rStyle w:val="Hyperlink"/>
                <w:rFonts w:ascii="Arial" w:hAnsi="Arial" w:cs="Arial"/>
                <w:noProof/>
                <w:lang w:val="en-GB"/>
              </w:rPr>
              <w:t>2.1 Gap in the market</w:t>
            </w:r>
            <w:r>
              <w:rPr>
                <w:noProof/>
                <w:webHidden/>
              </w:rPr>
              <w:tab/>
            </w:r>
            <w:r>
              <w:rPr>
                <w:noProof/>
                <w:webHidden/>
              </w:rPr>
              <w:fldChar w:fldCharType="begin"/>
            </w:r>
            <w:r>
              <w:rPr>
                <w:noProof/>
                <w:webHidden/>
              </w:rPr>
              <w:instrText xml:space="preserve"> PAGEREF _Toc150096359 \h </w:instrText>
            </w:r>
            <w:r>
              <w:rPr>
                <w:noProof/>
                <w:webHidden/>
              </w:rPr>
            </w:r>
            <w:r>
              <w:rPr>
                <w:noProof/>
                <w:webHidden/>
              </w:rPr>
              <w:fldChar w:fldCharType="separate"/>
            </w:r>
            <w:r>
              <w:rPr>
                <w:noProof/>
                <w:webHidden/>
              </w:rPr>
              <w:t>5</w:t>
            </w:r>
            <w:r>
              <w:rPr>
                <w:noProof/>
                <w:webHidden/>
              </w:rPr>
              <w:fldChar w:fldCharType="end"/>
            </w:r>
          </w:hyperlink>
        </w:p>
        <w:p w14:paraId="17E993A6" w14:textId="26128518" w:rsidR="00954E61" w:rsidRDefault="00954E61">
          <w:pPr>
            <w:pStyle w:val="TOC1"/>
            <w:tabs>
              <w:tab w:val="right" w:leader="dot" w:pos="9016"/>
            </w:tabs>
            <w:rPr>
              <w:rFonts w:eastAsiaTheme="minorEastAsia"/>
              <w:noProof/>
              <w:lang w:eastAsia="ro-RO"/>
            </w:rPr>
          </w:pPr>
          <w:hyperlink w:anchor="_Toc150096360" w:history="1">
            <w:r w:rsidRPr="00EB3079">
              <w:rPr>
                <w:rStyle w:val="Hyperlink"/>
                <w:rFonts w:ascii="Arial" w:hAnsi="Arial" w:cs="Arial"/>
                <w:noProof/>
                <w:lang w:val="en-GB"/>
              </w:rPr>
              <w:t>2.3 SWOT analysis</w:t>
            </w:r>
            <w:r>
              <w:rPr>
                <w:noProof/>
                <w:webHidden/>
              </w:rPr>
              <w:tab/>
            </w:r>
            <w:r>
              <w:rPr>
                <w:noProof/>
                <w:webHidden/>
              </w:rPr>
              <w:fldChar w:fldCharType="begin"/>
            </w:r>
            <w:r>
              <w:rPr>
                <w:noProof/>
                <w:webHidden/>
              </w:rPr>
              <w:instrText xml:space="preserve"> PAGEREF _Toc150096360 \h </w:instrText>
            </w:r>
            <w:r>
              <w:rPr>
                <w:noProof/>
                <w:webHidden/>
              </w:rPr>
            </w:r>
            <w:r>
              <w:rPr>
                <w:noProof/>
                <w:webHidden/>
              </w:rPr>
              <w:fldChar w:fldCharType="separate"/>
            </w:r>
            <w:r>
              <w:rPr>
                <w:noProof/>
                <w:webHidden/>
              </w:rPr>
              <w:t>7</w:t>
            </w:r>
            <w:r>
              <w:rPr>
                <w:noProof/>
                <w:webHidden/>
              </w:rPr>
              <w:fldChar w:fldCharType="end"/>
            </w:r>
          </w:hyperlink>
        </w:p>
        <w:p w14:paraId="76D1F455" w14:textId="4B6DE0AE" w:rsidR="00954E61" w:rsidRDefault="00954E61">
          <w:pPr>
            <w:pStyle w:val="TOC1"/>
            <w:tabs>
              <w:tab w:val="right" w:leader="dot" w:pos="9016"/>
            </w:tabs>
            <w:rPr>
              <w:rFonts w:eastAsiaTheme="minorEastAsia"/>
              <w:noProof/>
              <w:lang w:eastAsia="ro-RO"/>
            </w:rPr>
          </w:pPr>
          <w:hyperlink w:anchor="_Toc150096361" w:history="1">
            <w:r w:rsidRPr="00EB3079">
              <w:rPr>
                <w:rStyle w:val="Hyperlink"/>
                <w:rFonts w:ascii="Arial" w:hAnsi="Arial" w:cs="Arial"/>
                <w:noProof/>
                <w:lang w:val="en-GB"/>
              </w:rPr>
              <w:t>2.4 Market segmentation and target market</w:t>
            </w:r>
            <w:r>
              <w:rPr>
                <w:noProof/>
                <w:webHidden/>
              </w:rPr>
              <w:tab/>
            </w:r>
            <w:r>
              <w:rPr>
                <w:noProof/>
                <w:webHidden/>
              </w:rPr>
              <w:fldChar w:fldCharType="begin"/>
            </w:r>
            <w:r>
              <w:rPr>
                <w:noProof/>
                <w:webHidden/>
              </w:rPr>
              <w:instrText xml:space="preserve"> PAGEREF _Toc150096361 \h </w:instrText>
            </w:r>
            <w:r>
              <w:rPr>
                <w:noProof/>
                <w:webHidden/>
              </w:rPr>
            </w:r>
            <w:r>
              <w:rPr>
                <w:noProof/>
                <w:webHidden/>
              </w:rPr>
              <w:fldChar w:fldCharType="separate"/>
            </w:r>
            <w:r>
              <w:rPr>
                <w:noProof/>
                <w:webHidden/>
              </w:rPr>
              <w:t>8</w:t>
            </w:r>
            <w:r>
              <w:rPr>
                <w:noProof/>
                <w:webHidden/>
              </w:rPr>
              <w:fldChar w:fldCharType="end"/>
            </w:r>
          </w:hyperlink>
        </w:p>
        <w:p w14:paraId="6F976773" w14:textId="13305BB4" w:rsidR="00954E61" w:rsidRDefault="00954E61">
          <w:pPr>
            <w:pStyle w:val="TOC1"/>
            <w:tabs>
              <w:tab w:val="right" w:leader="dot" w:pos="9016"/>
            </w:tabs>
            <w:rPr>
              <w:rFonts w:eastAsiaTheme="minorEastAsia"/>
              <w:noProof/>
              <w:lang w:eastAsia="ro-RO"/>
            </w:rPr>
          </w:pPr>
          <w:hyperlink w:anchor="_Toc150096362" w:history="1">
            <w:r w:rsidRPr="00EB3079">
              <w:rPr>
                <w:rStyle w:val="Hyperlink"/>
                <w:rFonts w:ascii="Arial" w:hAnsi="Arial" w:cs="Arial"/>
                <w:noProof/>
                <w:lang w:val="en-GB"/>
              </w:rPr>
              <w:t>2.5 Financial plan and funding requirements</w:t>
            </w:r>
            <w:r>
              <w:rPr>
                <w:noProof/>
                <w:webHidden/>
              </w:rPr>
              <w:tab/>
            </w:r>
            <w:r>
              <w:rPr>
                <w:noProof/>
                <w:webHidden/>
              </w:rPr>
              <w:fldChar w:fldCharType="begin"/>
            </w:r>
            <w:r>
              <w:rPr>
                <w:noProof/>
                <w:webHidden/>
              </w:rPr>
              <w:instrText xml:space="preserve"> PAGEREF _Toc150096362 \h </w:instrText>
            </w:r>
            <w:r>
              <w:rPr>
                <w:noProof/>
                <w:webHidden/>
              </w:rPr>
            </w:r>
            <w:r>
              <w:rPr>
                <w:noProof/>
                <w:webHidden/>
              </w:rPr>
              <w:fldChar w:fldCharType="separate"/>
            </w:r>
            <w:r>
              <w:rPr>
                <w:noProof/>
                <w:webHidden/>
              </w:rPr>
              <w:t>10</w:t>
            </w:r>
            <w:r>
              <w:rPr>
                <w:noProof/>
                <w:webHidden/>
              </w:rPr>
              <w:fldChar w:fldCharType="end"/>
            </w:r>
          </w:hyperlink>
        </w:p>
        <w:p w14:paraId="1E68894F" w14:textId="30B0D831" w:rsidR="00954E61" w:rsidRDefault="00954E61">
          <w:pPr>
            <w:pStyle w:val="TOC1"/>
            <w:tabs>
              <w:tab w:val="right" w:leader="dot" w:pos="9016"/>
            </w:tabs>
            <w:rPr>
              <w:rFonts w:eastAsiaTheme="minorEastAsia"/>
              <w:noProof/>
              <w:lang w:eastAsia="ro-RO"/>
            </w:rPr>
          </w:pPr>
          <w:hyperlink w:anchor="_Toc150096363" w:history="1">
            <w:r w:rsidRPr="00EB3079">
              <w:rPr>
                <w:rStyle w:val="Hyperlink"/>
                <w:rFonts w:ascii="Arial" w:hAnsi="Arial" w:cs="Arial"/>
                <w:noProof/>
                <w:lang w:val="en-GB"/>
              </w:rPr>
              <w:t>3.Conclusion</w:t>
            </w:r>
            <w:r>
              <w:rPr>
                <w:noProof/>
                <w:webHidden/>
              </w:rPr>
              <w:tab/>
            </w:r>
            <w:r>
              <w:rPr>
                <w:noProof/>
                <w:webHidden/>
              </w:rPr>
              <w:fldChar w:fldCharType="begin"/>
            </w:r>
            <w:r>
              <w:rPr>
                <w:noProof/>
                <w:webHidden/>
              </w:rPr>
              <w:instrText xml:space="preserve"> PAGEREF _Toc150096363 \h </w:instrText>
            </w:r>
            <w:r>
              <w:rPr>
                <w:noProof/>
                <w:webHidden/>
              </w:rPr>
            </w:r>
            <w:r>
              <w:rPr>
                <w:noProof/>
                <w:webHidden/>
              </w:rPr>
              <w:fldChar w:fldCharType="separate"/>
            </w:r>
            <w:r>
              <w:rPr>
                <w:noProof/>
                <w:webHidden/>
              </w:rPr>
              <w:t>11</w:t>
            </w:r>
            <w:r>
              <w:rPr>
                <w:noProof/>
                <w:webHidden/>
              </w:rPr>
              <w:fldChar w:fldCharType="end"/>
            </w:r>
          </w:hyperlink>
        </w:p>
        <w:p w14:paraId="2B687025" w14:textId="57D9D193" w:rsidR="00954E61" w:rsidRDefault="00954E61">
          <w:pPr>
            <w:pStyle w:val="TOC1"/>
            <w:tabs>
              <w:tab w:val="right" w:leader="dot" w:pos="9016"/>
            </w:tabs>
            <w:rPr>
              <w:rFonts w:eastAsiaTheme="minorEastAsia"/>
              <w:noProof/>
              <w:lang w:eastAsia="ro-RO"/>
            </w:rPr>
          </w:pPr>
          <w:hyperlink w:anchor="_Toc150096364" w:history="1">
            <w:r w:rsidRPr="00EB3079">
              <w:rPr>
                <w:rStyle w:val="Hyperlink"/>
                <w:rFonts w:ascii="Arial" w:hAnsi="Arial" w:cs="Arial"/>
                <w:noProof/>
                <w:lang w:val="en-GB"/>
              </w:rPr>
              <w:t>4.Reference list:</w:t>
            </w:r>
            <w:r>
              <w:rPr>
                <w:noProof/>
                <w:webHidden/>
              </w:rPr>
              <w:tab/>
            </w:r>
            <w:r>
              <w:rPr>
                <w:noProof/>
                <w:webHidden/>
              </w:rPr>
              <w:fldChar w:fldCharType="begin"/>
            </w:r>
            <w:r>
              <w:rPr>
                <w:noProof/>
                <w:webHidden/>
              </w:rPr>
              <w:instrText xml:space="preserve"> PAGEREF _Toc150096364 \h </w:instrText>
            </w:r>
            <w:r>
              <w:rPr>
                <w:noProof/>
                <w:webHidden/>
              </w:rPr>
            </w:r>
            <w:r>
              <w:rPr>
                <w:noProof/>
                <w:webHidden/>
              </w:rPr>
              <w:fldChar w:fldCharType="separate"/>
            </w:r>
            <w:r>
              <w:rPr>
                <w:noProof/>
                <w:webHidden/>
              </w:rPr>
              <w:t>13</w:t>
            </w:r>
            <w:r>
              <w:rPr>
                <w:noProof/>
                <w:webHidden/>
              </w:rPr>
              <w:fldChar w:fldCharType="end"/>
            </w:r>
          </w:hyperlink>
        </w:p>
        <w:p w14:paraId="224055F6" w14:textId="60A30A1D" w:rsidR="0034404B" w:rsidRDefault="0034404B">
          <w:r>
            <w:rPr>
              <w:b/>
              <w:bCs/>
              <w:noProof/>
            </w:rPr>
            <w:fldChar w:fldCharType="end"/>
          </w:r>
        </w:p>
      </w:sdtContent>
    </w:sdt>
    <w:p w14:paraId="65484AEF" w14:textId="0B42BA50" w:rsidR="00B86FE4" w:rsidRDefault="00B86FE4">
      <w:pPr>
        <w:rPr>
          <w:rFonts w:ascii="Arial" w:hAnsi="Arial" w:cs="Arial"/>
          <w:sz w:val="24"/>
          <w:szCs w:val="24"/>
          <w:lang w:val="en-GB"/>
        </w:rPr>
      </w:pPr>
      <w:r>
        <w:rPr>
          <w:rFonts w:ascii="Arial" w:hAnsi="Arial" w:cs="Arial"/>
          <w:sz w:val="24"/>
          <w:szCs w:val="24"/>
          <w:lang w:val="en-GB"/>
        </w:rPr>
        <w:br w:type="page"/>
      </w:r>
    </w:p>
    <w:p w14:paraId="5D0717A2" w14:textId="77777777" w:rsidR="006C3A58" w:rsidRDefault="006C3A58">
      <w:pPr>
        <w:rPr>
          <w:rFonts w:ascii="Arial" w:hAnsi="Arial" w:cs="Arial"/>
          <w:sz w:val="24"/>
          <w:szCs w:val="24"/>
          <w:lang w:val="en-GB"/>
        </w:rPr>
      </w:pPr>
    </w:p>
    <w:p w14:paraId="2C0BAA18" w14:textId="70E27DA2" w:rsidR="006C3A58" w:rsidRPr="0034404B" w:rsidRDefault="00D83B88" w:rsidP="0034404B">
      <w:pPr>
        <w:pStyle w:val="Heading1"/>
        <w:rPr>
          <w:rFonts w:ascii="Arial" w:hAnsi="Arial" w:cs="Arial"/>
          <w:sz w:val="28"/>
          <w:szCs w:val="28"/>
          <w:lang w:val="en-GB"/>
        </w:rPr>
      </w:pPr>
      <w:bookmarkStart w:id="1" w:name="_Toc150096357"/>
      <w:r>
        <w:rPr>
          <w:rFonts w:ascii="Arial" w:hAnsi="Arial" w:cs="Arial"/>
          <w:sz w:val="28"/>
          <w:szCs w:val="28"/>
          <w:lang w:val="en-GB"/>
        </w:rPr>
        <w:t>1.</w:t>
      </w:r>
      <w:r w:rsidR="000A57F5">
        <w:rPr>
          <w:rFonts w:ascii="Arial" w:hAnsi="Arial" w:cs="Arial"/>
          <w:sz w:val="28"/>
          <w:szCs w:val="28"/>
          <w:lang w:val="en-GB"/>
        </w:rPr>
        <w:t>Wind energy summary</w:t>
      </w:r>
      <w:bookmarkEnd w:id="1"/>
    </w:p>
    <w:p w14:paraId="708B8854" w14:textId="77777777" w:rsidR="004E5471" w:rsidRDefault="004E5471" w:rsidP="00D750A3">
      <w:pPr>
        <w:spacing w:line="360" w:lineRule="auto"/>
        <w:rPr>
          <w:rFonts w:ascii="Arial" w:hAnsi="Arial" w:cs="Arial"/>
          <w:sz w:val="24"/>
          <w:szCs w:val="24"/>
          <w:lang w:val="en-GB"/>
        </w:rPr>
      </w:pPr>
      <w:r w:rsidRPr="004E5471">
        <w:rPr>
          <w:rFonts w:ascii="Arial" w:hAnsi="Arial" w:cs="Arial"/>
          <w:sz w:val="24"/>
          <w:szCs w:val="24"/>
          <w:lang w:val="en-GB"/>
        </w:rPr>
        <w:t>Wind energy, according to Güney and Üstünda (2022), is not only distinguished by its purity and sustainability as a power source, but it also acts as a crucial catalyst in the global transition to a low-carbon future. The widespread application of this technology will reduce carbon emissions, stimulate economic growth, and help to the creation of a more resilient energy infrastructure.</w:t>
      </w:r>
    </w:p>
    <w:p w14:paraId="4C4B8A0C" w14:textId="77777777" w:rsidR="00227571" w:rsidRDefault="00227571" w:rsidP="00D750A3">
      <w:pPr>
        <w:spacing w:line="360" w:lineRule="auto"/>
        <w:rPr>
          <w:rFonts w:ascii="Arial" w:hAnsi="Arial" w:cs="Arial"/>
          <w:sz w:val="24"/>
          <w:szCs w:val="24"/>
          <w:lang w:val="en-GB"/>
        </w:rPr>
      </w:pPr>
      <w:r w:rsidRPr="00227571">
        <w:rPr>
          <w:rFonts w:ascii="Arial" w:hAnsi="Arial" w:cs="Arial"/>
          <w:sz w:val="24"/>
          <w:szCs w:val="24"/>
          <w:lang w:val="en-GB"/>
        </w:rPr>
        <w:t xml:space="preserve">Wind energy diversifies the energy portfolio and reduces fossil fuel dependency, improving energy security, says Saidur et al. (2011). This increases an economy's energy independence and resilience. Unlike traditional energy sources, renewable energy sources prevent air and water pollution, safeguard ecosystems, and mitigate mining and drilling impacts.  </w:t>
      </w:r>
    </w:p>
    <w:p w14:paraId="50D45D95" w14:textId="0A85DBBD" w:rsidR="00227571" w:rsidRDefault="00227571" w:rsidP="00D750A3">
      <w:pPr>
        <w:spacing w:line="360" w:lineRule="auto"/>
        <w:rPr>
          <w:rFonts w:ascii="Arial" w:hAnsi="Arial" w:cs="Arial"/>
          <w:sz w:val="24"/>
          <w:szCs w:val="24"/>
          <w:lang w:val="en-GB"/>
        </w:rPr>
      </w:pPr>
      <w:r w:rsidRPr="00227571">
        <w:rPr>
          <w:rFonts w:ascii="Arial" w:hAnsi="Arial" w:cs="Arial"/>
          <w:sz w:val="24"/>
          <w:szCs w:val="24"/>
          <w:lang w:val="en-GB"/>
        </w:rPr>
        <w:t>Wind energy has promising possibilities, a</w:t>
      </w:r>
      <w:r>
        <w:rPr>
          <w:rFonts w:ascii="Arial" w:hAnsi="Arial" w:cs="Arial"/>
          <w:sz w:val="24"/>
          <w:szCs w:val="24"/>
          <w:lang w:val="en-GB"/>
        </w:rPr>
        <w:t>s stated by</w:t>
      </w:r>
      <w:r w:rsidRPr="00227571">
        <w:rPr>
          <w:rFonts w:ascii="Arial" w:hAnsi="Arial" w:cs="Arial"/>
          <w:sz w:val="24"/>
          <w:szCs w:val="24"/>
          <w:lang w:val="en-GB"/>
        </w:rPr>
        <w:t xml:space="preserve"> Revel (2011). Wind power will be crucial to sustainability as governments globally commit to aggressive renewable energy objectives. Continuous research and development, grid infrastructure improvements, and energy storage may maximise wind energy's capability.  </w:t>
      </w:r>
    </w:p>
    <w:p w14:paraId="58CAE01C" w14:textId="0D45FBAA" w:rsidR="00D750A3" w:rsidRDefault="004E5471" w:rsidP="00D750A3">
      <w:pPr>
        <w:spacing w:line="360" w:lineRule="auto"/>
        <w:rPr>
          <w:rFonts w:ascii="Arial" w:hAnsi="Arial" w:cs="Arial"/>
          <w:sz w:val="24"/>
          <w:szCs w:val="24"/>
          <w:lang w:val="en-GB"/>
        </w:rPr>
      </w:pPr>
      <w:r>
        <w:rPr>
          <w:rFonts w:ascii="Arial" w:hAnsi="Arial" w:cs="Arial"/>
          <w:sz w:val="24"/>
          <w:szCs w:val="24"/>
          <w:lang w:val="en-GB"/>
        </w:rPr>
        <w:t>Eco-</w:t>
      </w:r>
      <w:r w:rsidR="00D750A3" w:rsidRPr="00D750A3">
        <w:rPr>
          <w:rFonts w:ascii="Arial" w:hAnsi="Arial" w:cs="Arial"/>
          <w:sz w:val="24"/>
          <w:szCs w:val="24"/>
          <w:lang w:val="en-GB"/>
        </w:rPr>
        <w:t xml:space="preserve">wind energy </w:t>
      </w:r>
      <w:r>
        <w:rPr>
          <w:rFonts w:ascii="Arial" w:hAnsi="Arial" w:cs="Arial"/>
          <w:sz w:val="24"/>
          <w:szCs w:val="24"/>
          <w:lang w:val="en-GB"/>
        </w:rPr>
        <w:t xml:space="preserve">farm </w:t>
      </w:r>
      <w:r w:rsidRPr="004E5471">
        <w:rPr>
          <w:rFonts w:ascii="Arial" w:hAnsi="Arial" w:cs="Arial"/>
          <w:sz w:val="24"/>
          <w:szCs w:val="24"/>
          <w:lang w:val="en-GB"/>
        </w:rPr>
        <w:t>concept promotes sustainability nationally. This business strategy describes how the solution solves gaps. Market trends, marketing mix research, and segmentation guide the company's strategy. Lists legal entity, projected budget, and purpose. Swot analysis helps company prospects understand their macroenvironment. Highlighting the sustainable wind energy company proposal's constraints shows potential implications. Business strategy culminates with important findings.</w:t>
      </w:r>
    </w:p>
    <w:p w14:paraId="475AC451" w14:textId="49288DB0" w:rsidR="00D750A3" w:rsidRPr="0034404B" w:rsidRDefault="00227571" w:rsidP="0034404B">
      <w:pPr>
        <w:pStyle w:val="Heading1"/>
        <w:rPr>
          <w:rFonts w:ascii="Arial" w:hAnsi="Arial" w:cs="Arial"/>
          <w:sz w:val="28"/>
          <w:szCs w:val="28"/>
          <w:lang w:val="en-GB"/>
        </w:rPr>
      </w:pPr>
      <w:bookmarkStart w:id="2" w:name="_Toc150096358"/>
      <w:r>
        <w:rPr>
          <w:rFonts w:ascii="Arial" w:hAnsi="Arial" w:cs="Arial"/>
          <w:sz w:val="28"/>
          <w:szCs w:val="28"/>
          <w:lang w:val="en-GB"/>
        </w:rPr>
        <w:t>2.</w:t>
      </w:r>
      <w:r w:rsidR="004E5471">
        <w:rPr>
          <w:rFonts w:ascii="Arial" w:hAnsi="Arial" w:cs="Arial"/>
          <w:sz w:val="28"/>
          <w:szCs w:val="28"/>
          <w:lang w:val="en-GB"/>
        </w:rPr>
        <w:t>Eco</w:t>
      </w:r>
      <w:r>
        <w:rPr>
          <w:rFonts w:ascii="Arial" w:hAnsi="Arial" w:cs="Arial"/>
          <w:sz w:val="28"/>
          <w:szCs w:val="28"/>
          <w:lang w:val="en-GB"/>
        </w:rPr>
        <w:t>-</w:t>
      </w:r>
      <w:r w:rsidR="004E5471">
        <w:rPr>
          <w:rFonts w:ascii="Arial" w:hAnsi="Arial" w:cs="Arial"/>
          <w:sz w:val="28"/>
          <w:szCs w:val="28"/>
          <w:lang w:val="en-GB"/>
        </w:rPr>
        <w:t>wind energy farm</w:t>
      </w:r>
      <w:r>
        <w:rPr>
          <w:rFonts w:ascii="Arial" w:hAnsi="Arial" w:cs="Arial"/>
          <w:sz w:val="28"/>
          <w:szCs w:val="28"/>
          <w:lang w:val="en-GB"/>
        </w:rPr>
        <w:t>: overview of the business plan</w:t>
      </w:r>
      <w:bookmarkEnd w:id="2"/>
    </w:p>
    <w:p w14:paraId="5560FF7A" w14:textId="76627D13" w:rsidR="003E2BFE" w:rsidRPr="003E2BFE" w:rsidRDefault="003E2BFE" w:rsidP="00D750A3">
      <w:pPr>
        <w:spacing w:line="360" w:lineRule="auto"/>
        <w:rPr>
          <w:rFonts w:ascii="Arial" w:hAnsi="Arial" w:cs="Arial"/>
          <w:sz w:val="24"/>
          <w:szCs w:val="24"/>
          <w:lang w:val="en-GB"/>
        </w:rPr>
      </w:pPr>
      <w:r w:rsidRPr="003E2BFE">
        <w:rPr>
          <w:rFonts w:ascii="Arial" w:hAnsi="Arial" w:cs="Arial"/>
          <w:sz w:val="24"/>
          <w:szCs w:val="24"/>
          <w:lang w:val="en-GB"/>
        </w:rPr>
        <w:t xml:space="preserve">Wind is a powerful partner in the battle against climate change in an era of clean energy. </w:t>
      </w:r>
      <w:r w:rsidR="00D11FFC">
        <w:rPr>
          <w:rFonts w:ascii="Arial" w:hAnsi="Arial" w:cs="Arial"/>
          <w:sz w:val="24"/>
          <w:szCs w:val="24"/>
          <w:lang w:val="en-GB"/>
        </w:rPr>
        <w:t>Eco-</w:t>
      </w:r>
      <w:r w:rsidRPr="003E2BFE">
        <w:rPr>
          <w:rFonts w:ascii="Arial" w:hAnsi="Arial" w:cs="Arial"/>
          <w:sz w:val="24"/>
          <w:szCs w:val="24"/>
          <w:lang w:val="en-GB"/>
        </w:rPr>
        <w:t xml:space="preserve">wind energy </w:t>
      </w:r>
      <w:r w:rsidR="002C0B86">
        <w:rPr>
          <w:rFonts w:ascii="Arial" w:hAnsi="Arial" w:cs="Arial"/>
          <w:sz w:val="24"/>
          <w:szCs w:val="24"/>
          <w:lang w:val="en-GB"/>
        </w:rPr>
        <w:t>farm</w:t>
      </w:r>
      <w:r w:rsidRPr="003E2BFE">
        <w:rPr>
          <w:rFonts w:ascii="Arial" w:hAnsi="Arial" w:cs="Arial"/>
          <w:sz w:val="24"/>
          <w:szCs w:val="24"/>
          <w:lang w:val="en-GB"/>
        </w:rPr>
        <w:t xml:space="preserve"> is a dedication to capturing wind power and a cleaner future.</w:t>
      </w:r>
      <w:r w:rsidR="009B7986" w:rsidRPr="009B7986">
        <w:t xml:space="preserve"> </w:t>
      </w:r>
      <w:r w:rsidR="009B7986" w:rsidRPr="009B7986">
        <w:rPr>
          <w:rFonts w:ascii="Arial" w:hAnsi="Arial" w:cs="Arial"/>
          <w:sz w:val="24"/>
          <w:szCs w:val="24"/>
          <w:lang w:val="en-GB"/>
        </w:rPr>
        <w:t xml:space="preserve">The objective of our endeavour is not just limited to the provision of renewable energy, but also encompasses the aspiration to motivate and facilitate constructive transformation in the </w:t>
      </w:r>
      <w:r w:rsidR="000424AE" w:rsidRPr="009B7986">
        <w:rPr>
          <w:rFonts w:ascii="Arial" w:hAnsi="Arial" w:cs="Arial"/>
          <w:sz w:val="24"/>
          <w:szCs w:val="24"/>
          <w:lang w:val="en-GB"/>
        </w:rPr>
        <w:t>way</w:t>
      </w:r>
      <w:r w:rsidR="009B7986" w:rsidRPr="009B7986">
        <w:rPr>
          <w:rFonts w:ascii="Arial" w:hAnsi="Arial" w:cs="Arial"/>
          <w:sz w:val="24"/>
          <w:szCs w:val="24"/>
          <w:lang w:val="en-GB"/>
        </w:rPr>
        <w:t xml:space="preserve"> we generate electricity for our global community. In the subsequent discussion, I will </w:t>
      </w:r>
      <w:r w:rsidR="002804D5">
        <w:rPr>
          <w:rFonts w:ascii="Arial" w:hAnsi="Arial" w:cs="Arial"/>
          <w:sz w:val="24"/>
          <w:szCs w:val="24"/>
          <w:lang w:val="en-GB"/>
        </w:rPr>
        <w:t>detail</w:t>
      </w:r>
      <w:r w:rsidR="009B7986" w:rsidRPr="009B7986">
        <w:rPr>
          <w:rFonts w:ascii="Arial" w:hAnsi="Arial" w:cs="Arial"/>
          <w:sz w:val="24"/>
          <w:szCs w:val="24"/>
          <w:lang w:val="en-GB"/>
        </w:rPr>
        <w:t xml:space="preserve"> the existing market void and the necessity for </w:t>
      </w:r>
      <w:r w:rsidR="009B7986" w:rsidRPr="009B7986">
        <w:rPr>
          <w:rFonts w:ascii="Arial" w:hAnsi="Arial" w:cs="Arial"/>
          <w:sz w:val="24"/>
          <w:szCs w:val="24"/>
          <w:lang w:val="en-GB"/>
        </w:rPr>
        <w:lastRenderedPageBreak/>
        <w:t xml:space="preserve">establishing a novel wind energy </w:t>
      </w:r>
      <w:r w:rsidR="002C0B86">
        <w:rPr>
          <w:rFonts w:ascii="Arial" w:hAnsi="Arial" w:cs="Arial"/>
          <w:sz w:val="24"/>
          <w:szCs w:val="24"/>
          <w:lang w:val="en-GB"/>
        </w:rPr>
        <w:t>farm</w:t>
      </w:r>
      <w:r w:rsidR="009B7986" w:rsidRPr="009B7986">
        <w:rPr>
          <w:rFonts w:ascii="Arial" w:hAnsi="Arial" w:cs="Arial"/>
          <w:sz w:val="24"/>
          <w:szCs w:val="24"/>
          <w:lang w:val="en-GB"/>
        </w:rPr>
        <w:t>. This will encompass an examination of the legislative framework, financial aspects, community involvement, and several other pertinent factors.</w:t>
      </w:r>
    </w:p>
    <w:p w14:paraId="485A15DC" w14:textId="3643D777" w:rsidR="00D750A3" w:rsidRPr="00D750A3" w:rsidRDefault="0044017E" w:rsidP="00D750A3">
      <w:pPr>
        <w:spacing w:line="360" w:lineRule="auto"/>
        <w:rPr>
          <w:rFonts w:ascii="Arial" w:hAnsi="Arial" w:cs="Arial"/>
          <w:sz w:val="24"/>
          <w:szCs w:val="24"/>
          <w:lang w:val="en-GB"/>
        </w:rPr>
      </w:pPr>
      <w:r w:rsidRPr="0044017E">
        <w:rPr>
          <w:rFonts w:ascii="Arial" w:hAnsi="Arial" w:cs="Arial"/>
          <w:sz w:val="24"/>
          <w:szCs w:val="24"/>
          <w:lang w:val="en-GB"/>
        </w:rPr>
        <w:t>The use of renewable energy sources holds significant significance in achieving the objectives outlined in climate change agreements, enhancing energy security, expanding electricity accessibility, and mitigating the adverse effects associated with the usage of fossil fuels (Stern, 20</w:t>
      </w:r>
      <w:r>
        <w:rPr>
          <w:rFonts w:ascii="Arial" w:hAnsi="Arial" w:cs="Arial"/>
          <w:sz w:val="24"/>
          <w:szCs w:val="24"/>
          <w:lang w:val="en-GB"/>
        </w:rPr>
        <w:t>14</w:t>
      </w:r>
      <w:r w:rsidRPr="0044017E">
        <w:rPr>
          <w:rFonts w:ascii="Arial" w:hAnsi="Arial" w:cs="Arial"/>
          <w:sz w:val="24"/>
          <w:szCs w:val="24"/>
          <w:lang w:val="en-GB"/>
        </w:rPr>
        <w:t xml:space="preserve">). The Sustainable Development </w:t>
      </w:r>
      <w:r w:rsidR="00F51D33" w:rsidRPr="0044017E">
        <w:rPr>
          <w:rFonts w:ascii="Arial" w:hAnsi="Arial" w:cs="Arial"/>
          <w:sz w:val="24"/>
          <w:szCs w:val="24"/>
          <w:lang w:val="en-GB"/>
        </w:rPr>
        <w:t>Goal,</w:t>
      </w:r>
      <w:r w:rsidRPr="0044017E">
        <w:rPr>
          <w:rFonts w:ascii="Arial" w:hAnsi="Arial" w:cs="Arial"/>
          <w:sz w:val="24"/>
          <w:szCs w:val="24"/>
          <w:lang w:val="en-GB"/>
        </w:rPr>
        <w:t xml:space="preserve"> as outlined by the United Nations (2019), emphasises the imperative of providing universal access to cheap, dependable, sustainable, and modern energy.</w:t>
      </w:r>
      <w:r w:rsidR="00F51D33" w:rsidRPr="00F51D33">
        <w:t xml:space="preserve"> </w:t>
      </w:r>
      <w:r w:rsidR="00F51D33" w:rsidRPr="00F51D33">
        <w:rPr>
          <w:rFonts w:ascii="Arial" w:hAnsi="Arial" w:cs="Arial"/>
          <w:sz w:val="24"/>
          <w:szCs w:val="24"/>
          <w:lang w:val="en-GB"/>
        </w:rPr>
        <w:t>According to the National Grid (202</w:t>
      </w:r>
      <w:r w:rsidR="00F51D33">
        <w:rPr>
          <w:rFonts w:ascii="Arial" w:hAnsi="Arial" w:cs="Arial"/>
          <w:sz w:val="24"/>
          <w:szCs w:val="24"/>
          <w:lang w:val="en-GB"/>
        </w:rPr>
        <w:t>3</w:t>
      </w:r>
      <w:r w:rsidR="00F51D33" w:rsidRPr="00F51D33">
        <w:rPr>
          <w:rFonts w:ascii="Arial" w:hAnsi="Arial" w:cs="Arial"/>
          <w:sz w:val="24"/>
          <w:szCs w:val="24"/>
          <w:lang w:val="en-GB"/>
        </w:rPr>
        <w:t>), the United Kingdom's objective of achieving net zero emissions by 2050 necessitates a pivotal component of transitioning to an electrical system that exclusively relies on 100% zero-carbon production. A significant portion of this transition is anticipated to be facilitated by the integration of renewable energy sources.</w:t>
      </w:r>
    </w:p>
    <w:p w14:paraId="3FAAD182" w14:textId="5D41846A" w:rsidR="0070330C" w:rsidRDefault="002A5C6C" w:rsidP="002A5C6C">
      <w:pPr>
        <w:spacing w:line="360" w:lineRule="auto"/>
        <w:rPr>
          <w:rFonts w:ascii="Arial" w:hAnsi="Arial" w:cs="Arial"/>
          <w:sz w:val="24"/>
          <w:szCs w:val="24"/>
          <w:lang w:val="en-GB"/>
        </w:rPr>
      </w:pPr>
      <w:r w:rsidRPr="002A5C6C">
        <w:rPr>
          <w:rFonts w:ascii="Arial" w:hAnsi="Arial" w:cs="Arial"/>
          <w:sz w:val="24"/>
          <w:szCs w:val="24"/>
          <w:lang w:val="en-GB"/>
        </w:rPr>
        <w:t>Wind is a naturally occurring atmospheric phenomena that is universally seen throughout all nations worldwide. To use the potential of wind energy, wind turbines can be deployed either on terrestrial sites or in offshore locations. Besides hydroelectric power, wind energy consumption is a prominent component within the renewable energy industry. According to Sadorsky (2021), wind energy consumption comprised 52% of the total global renewable energy consumption in 2017, while solar energy formed 21%</w:t>
      </w:r>
      <w:r w:rsidR="006D1890">
        <w:rPr>
          <w:rFonts w:ascii="Arial" w:hAnsi="Arial" w:cs="Arial"/>
          <w:sz w:val="24"/>
          <w:szCs w:val="24"/>
          <w:lang w:val="en-GB"/>
        </w:rPr>
        <w:t>.</w:t>
      </w:r>
    </w:p>
    <w:p w14:paraId="4D931E44" w14:textId="7960A146" w:rsidR="00227571" w:rsidRPr="00227571" w:rsidRDefault="00227571" w:rsidP="00227571">
      <w:pPr>
        <w:pStyle w:val="Heading1"/>
        <w:rPr>
          <w:rFonts w:ascii="Arial" w:hAnsi="Arial" w:cs="Arial"/>
          <w:sz w:val="24"/>
          <w:szCs w:val="24"/>
          <w:lang w:val="en-GB"/>
        </w:rPr>
      </w:pPr>
      <w:bookmarkStart w:id="3" w:name="_Toc150096359"/>
      <w:r w:rsidRPr="00227571">
        <w:rPr>
          <w:rFonts w:ascii="Arial" w:hAnsi="Arial" w:cs="Arial"/>
          <w:sz w:val="24"/>
          <w:szCs w:val="24"/>
          <w:lang w:val="en-GB"/>
        </w:rPr>
        <w:t>2.1 Gap in the market</w:t>
      </w:r>
      <w:bookmarkEnd w:id="3"/>
      <w:r w:rsidRPr="00227571">
        <w:rPr>
          <w:rFonts w:ascii="Arial" w:hAnsi="Arial" w:cs="Arial"/>
          <w:sz w:val="24"/>
          <w:szCs w:val="24"/>
          <w:lang w:val="en-GB"/>
        </w:rPr>
        <w:t xml:space="preserve"> </w:t>
      </w:r>
    </w:p>
    <w:p w14:paraId="3075BBEE" w14:textId="34CEDC66" w:rsidR="00227571" w:rsidRDefault="00E316CC" w:rsidP="002A5C6C">
      <w:pPr>
        <w:spacing w:line="360" w:lineRule="auto"/>
        <w:rPr>
          <w:rFonts w:ascii="Arial" w:hAnsi="Arial" w:cs="Arial"/>
          <w:sz w:val="24"/>
          <w:szCs w:val="24"/>
          <w:lang w:val="en-GB"/>
        </w:rPr>
      </w:pPr>
      <w:r w:rsidRPr="00E316CC">
        <w:rPr>
          <w:rFonts w:ascii="Arial" w:hAnsi="Arial" w:cs="Arial"/>
          <w:sz w:val="24"/>
          <w:szCs w:val="24"/>
          <w:lang w:val="en-GB"/>
        </w:rPr>
        <w:t xml:space="preserve">Diógenes et al. (2020) have recognised wind energy as a vital component within the domain of renewable energy. Nevertheless, the optimal functioning of existing wind farms may encounter challenges stemming from operational inefficiencies, the deterioration of equipment with time, and insufficient maintenance protocols. There is a recognised need for professional services that are designed to improve the operational efficiency and efficacy of wind energy infrastructure. </w:t>
      </w:r>
    </w:p>
    <w:p w14:paraId="7E58F4E5" w14:textId="6E4DC9DA" w:rsidR="00954E61" w:rsidRDefault="00954E61" w:rsidP="002A5C6C">
      <w:pPr>
        <w:spacing w:line="360" w:lineRule="auto"/>
        <w:rPr>
          <w:rFonts w:ascii="Arial" w:hAnsi="Arial" w:cs="Arial"/>
          <w:sz w:val="24"/>
          <w:szCs w:val="24"/>
          <w:lang w:val="en-GB"/>
        </w:rPr>
      </w:pPr>
      <w:r w:rsidRPr="00E552B8">
        <w:rPr>
          <w:rFonts w:ascii="Arial" w:hAnsi="Arial" w:cs="Arial"/>
          <w:sz w:val="24"/>
          <w:szCs w:val="24"/>
          <w:lang w:val="en-GB"/>
        </w:rPr>
        <w:t xml:space="preserve">Eco-wind energy farm, incorporating advanced technology, equipment improvements, maintenance enhancements, and operational modifications, aligns </w:t>
      </w:r>
      <w:r w:rsidRPr="00E552B8">
        <w:rPr>
          <w:rFonts w:ascii="Arial" w:hAnsi="Arial" w:cs="Arial"/>
          <w:sz w:val="24"/>
          <w:szCs w:val="24"/>
          <w:lang w:val="en-GB"/>
        </w:rPr>
        <w:lastRenderedPageBreak/>
        <w:t>with the United Kingdom's objective of attaining net zero carbon emissions by the year 2050 because is created from the need of all stated before</w:t>
      </w:r>
      <w:r>
        <w:rPr>
          <w:rFonts w:ascii="Arial" w:hAnsi="Arial" w:cs="Arial"/>
          <w:sz w:val="24"/>
          <w:szCs w:val="24"/>
          <w:lang w:val="en-GB"/>
        </w:rPr>
        <w:t>.</w:t>
      </w:r>
    </w:p>
    <w:p w14:paraId="236ADC9A" w14:textId="424C2D4D" w:rsidR="00DC71A3" w:rsidRDefault="00DC71A3" w:rsidP="002A5C6C">
      <w:pPr>
        <w:spacing w:line="360" w:lineRule="auto"/>
        <w:rPr>
          <w:rFonts w:ascii="Arial" w:hAnsi="Arial" w:cs="Arial"/>
          <w:sz w:val="24"/>
          <w:szCs w:val="24"/>
          <w:lang w:val="en-GB"/>
        </w:rPr>
      </w:pPr>
      <w:r w:rsidRPr="00DC71A3">
        <w:rPr>
          <w:rFonts w:ascii="Arial" w:hAnsi="Arial" w:cs="Arial"/>
          <w:sz w:val="24"/>
          <w:szCs w:val="24"/>
          <w:lang w:val="en-GB"/>
        </w:rPr>
        <w:t>According to the National Grid Electricity System Operator statistics cited by the BBC (2023), wind power emerged as the second most prominent electricity source in Great Britain during the year 2022.</w:t>
      </w:r>
    </w:p>
    <w:p w14:paraId="76639D5C" w14:textId="3BE35CED" w:rsidR="00DC71A3" w:rsidRDefault="00DC71A3" w:rsidP="002A5C6C">
      <w:pPr>
        <w:spacing w:line="360" w:lineRule="auto"/>
        <w:rPr>
          <w:rFonts w:ascii="Arial" w:hAnsi="Arial" w:cs="Arial"/>
          <w:sz w:val="24"/>
          <w:szCs w:val="24"/>
          <w:lang w:val="en-GB"/>
        </w:rPr>
      </w:pPr>
      <w:r>
        <w:rPr>
          <w:noProof/>
        </w:rPr>
        <w:drawing>
          <wp:inline distT="0" distB="0" distL="0" distR="0" wp14:anchorId="4BB1681E" wp14:editId="2A2923FB">
            <wp:extent cx="5848350" cy="2561975"/>
            <wp:effectExtent l="0" t="0" r="0" b="0"/>
            <wp:docPr id="1197697636" name="Picture 1" descr="A graph of energy consum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697636" name="Picture 1" descr="A graph of energy consump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3850" cy="2581907"/>
                    </a:xfrm>
                    <a:prstGeom prst="rect">
                      <a:avLst/>
                    </a:prstGeom>
                    <a:noFill/>
                    <a:ln>
                      <a:noFill/>
                    </a:ln>
                  </pic:spPr>
                </pic:pic>
              </a:graphicData>
            </a:graphic>
          </wp:inline>
        </w:drawing>
      </w:r>
    </w:p>
    <w:p w14:paraId="6E1BBC3E" w14:textId="77777777" w:rsidR="00DC71A3" w:rsidRDefault="00DC71A3" w:rsidP="002A5C6C">
      <w:pPr>
        <w:spacing w:line="360" w:lineRule="auto"/>
        <w:rPr>
          <w:rFonts w:ascii="Arial" w:hAnsi="Arial" w:cs="Arial"/>
          <w:sz w:val="24"/>
          <w:szCs w:val="24"/>
          <w:lang w:val="en-GB"/>
        </w:rPr>
      </w:pPr>
    </w:p>
    <w:p w14:paraId="6E51E378" w14:textId="4909A9C3" w:rsidR="00E552B8" w:rsidRDefault="00CA23D4" w:rsidP="00954E61">
      <w:pPr>
        <w:spacing w:line="360" w:lineRule="auto"/>
        <w:rPr>
          <w:rFonts w:ascii="Arial" w:hAnsi="Arial" w:cs="Arial"/>
          <w:sz w:val="24"/>
          <w:szCs w:val="24"/>
          <w:lang w:val="en-GB"/>
        </w:rPr>
      </w:pPr>
      <w:r>
        <w:rPr>
          <w:noProof/>
        </w:rPr>
        <w:drawing>
          <wp:inline distT="0" distB="0" distL="0" distR="0" wp14:anchorId="5EDDBCA6" wp14:editId="6BAE4A43">
            <wp:extent cx="5924550" cy="2657475"/>
            <wp:effectExtent l="0" t="0" r="0" b="9525"/>
            <wp:docPr id="1820831399" name="Picture 3" descr="A graph showing the power of electri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31399" name="Picture 3" descr="A graph showing the power of electricit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4550" cy="2657475"/>
                    </a:xfrm>
                    <a:prstGeom prst="rect">
                      <a:avLst/>
                    </a:prstGeom>
                    <a:noFill/>
                    <a:ln>
                      <a:noFill/>
                    </a:ln>
                  </pic:spPr>
                </pic:pic>
              </a:graphicData>
            </a:graphic>
          </wp:inline>
        </w:drawing>
      </w:r>
      <w:r w:rsidR="00E552B8" w:rsidRPr="00E552B8">
        <w:rPr>
          <w:rFonts w:ascii="Arial" w:hAnsi="Arial" w:cs="Arial"/>
          <w:sz w:val="24"/>
          <w:szCs w:val="24"/>
          <w:lang w:val="en-GB"/>
        </w:rPr>
        <w:t>.</w:t>
      </w:r>
      <w:r w:rsidR="00E552B8" w:rsidRPr="00B81505">
        <w:rPr>
          <w:rFonts w:ascii="Arial" w:hAnsi="Arial" w:cs="Arial"/>
          <w:b/>
          <w:bCs/>
          <w:sz w:val="24"/>
          <w:szCs w:val="24"/>
          <w:lang w:val="en-GB"/>
        </w:rPr>
        <w:t>2.2 Location and legal entity</w:t>
      </w:r>
    </w:p>
    <w:p w14:paraId="588259CD" w14:textId="6FDA906E" w:rsidR="002C0B86" w:rsidRDefault="00BF0206" w:rsidP="002A5C6C">
      <w:pPr>
        <w:spacing w:line="360" w:lineRule="auto"/>
        <w:rPr>
          <w:rFonts w:ascii="Arial" w:hAnsi="Arial" w:cs="Arial"/>
          <w:sz w:val="24"/>
          <w:szCs w:val="24"/>
          <w:lang w:val="en-GB"/>
        </w:rPr>
      </w:pPr>
      <w:r>
        <w:rPr>
          <w:rFonts w:ascii="Arial" w:hAnsi="Arial" w:cs="Arial"/>
          <w:sz w:val="24"/>
          <w:szCs w:val="24"/>
          <w:lang w:val="en-GB"/>
        </w:rPr>
        <w:t>Eco-</w:t>
      </w:r>
      <w:r w:rsidR="009A7E8E" w:rsidRPr="009A7E8E">
        <w:rPr>
          <w:rFonts w:ascii="Arial" w:hAnsi="Arial" w:cs="Arial"/>
          <w:sz w:val="24"/>
          <w:szCs w:val="24"/>
          <w:lang w:val="en-GB"/>
        </w:rPr>
        <w:t>wind</w:t>
      </w:r>
      <w:r>
        <w:rPr>
          <w:rFonts w:ascii="Arial" w:hAnsi="Arial" w:cs="Arial"/>
          <w:sz w:val="24"/>
          <w:szCs w:val="24"/>
          <w:lang w:val="en-GB"/>
        </w:rPr>
        <w:t xml:space="preserve"> energy</w:t>
      </w:r>
      <w:r w:rsidR="009A7E8E" w:rsidRPr="009A7E8E">
        <w:rPr>
          <w:rFonts w:ascii="Arial" w:hAnsi="Arial" w:cs="Arial"/>
          <w:sz w:val="24"/>
          <w:szCs w:val="24"/>
          <w:lang w:val="en-GB"/>
        </w:rPr>
        <w:t xml:space="preserve"> farm </w:t>
      </w:r>
      <w:r w:rsidR="00577F55">
        <w:rPr>
          <w:rFonts w:ascii="Arial" w:hAnsi="Arial" w:cs="Arial"/>
          <w:sz w:val="24"/>
          <w:szCs w:val="24"/>
          <w:lang w:val="en-GB"/>
        </w:rPr>
        <w:t xml:space="preserve">will be </w:t>
      </w:r>
      <w:r w:rsidR="009A7E8E" w:rsidRPr="009A7E8E">
        <w:rPr>
          <w:rFonts w:ascii="Arial" w:hAnsi="Arial" w:cs="Arial"/>
          <w:sz w:val="24"/>
          <w:szCs w:val="24"/>
          <w:lang w:val="en-GB"/>
        </w:rPr>
        <w:t xml:space="preserve">situated in the United Kingdom, specifically on the North Coast of Scotland, an area known for its very strong wind conditions, rendering it an optimal location for wind farm installations. </w:t>
      </w:r>
      <w:r w:rsidR="00B81505" w:rsidRPr="00B81505">
        <w:rPr>
          <w:rFonts w:ascii="Arial" w:hAnsi="Arial" w:cs="Arial"/>
          <w:sz w:val="24"/>
          <w:szCs w:val="24"/>
          <w:lang w:val="en-GB"/>
        </w:rPr>
        <w:t xml:space="preserve">Evans (2016) reports that Scottish wind farms produce 27% of their full capacity annually. Averaging 26%, English and </w:t>
      </w:r>
      <w:r w:rsidR="00B81505" w:rsidRPr="00B81505">
        <w:rPr>
          <w:rFonts w:ascii="Arial" w:hAnsi="Arial" w:cs="Arial"/>
          <w:sz w:val="24"/>
          <w:szCs w:val="24"/>
          <w:lang w:val="en-GB"/>
        </w:rPr>
        <w:lastRenderedPageBreak/>
        <w:t>Welsh wind farms produce less. Load factors for new building projects are expected to be 33% in Scotland and 30% in England and Wales.</w:t>
      </w:r>
    </w:p>
    <w:p w14:paraId="640D53EF" w14:textId="2D14C60E" w:rsidR="00E552B8" w:rsidRDefault="00F366DD" w:rsidP="002A5C6C">
      <w:pPr>
        <w:spacing w:line="360" w:lineRule="auto"/>
        <w:rPr>
          <w:rFonts w:ascii="Arial" w:hAnsi="Arial" w:cs="Arial"/>
          <w:sz w:val="24"/>
          <w:szCs w:val="24"/>
          <w:lang w:val="en-GB"/>
        </w:rPr>
      </w:pPr>
      <w:r w:rsidRPr="00F366DD">
        <w:rPr>
          <w:rFonts w:ascii="Arial" w:hAnsi="Arial" w:cs="Arial"/>
          <w:sz w:val="24"/>
          <w:szCs w:val="24"/>
          <w:lang w:val="en-GB"/>
        </w:rPr>
        <w:t xml:space="preserve">The selection of a legal entity is a crucial determination that establishes the framework, resources, and assets of an organisation. </w:t>
      </w:r>
      <w:r w:rsidR="00E552B8" w:rsidRPr="00E552B8">
        <w:rPr>
          <w:rFonts w:ascii="Arial" w:hAnsi="Arial" w:cs="Arial"/>
          <w:sz w:val="24"/>
          <w:szCs w:val="24"/>
          <w:lang w:val="en-GB"/>
        </w:rPr>
        <w:t>Various legal entities manage earnings and losses in different ways. Taxation, owner duties, and establishment processes matter to the legal entity (Dolnicar, 2022).</w:t>
      </w:r>
      <w:r w:rsidR="00E552B8" w:rsidRPr="00E552B8">
        <w:t xml:space="preserve"> </w:t>
      </w:r>
      <w:r w:rsidR="00E552B8" w:rsidRPr="00E552B8">
        <w:rPr>
          <w:rFonts w:ascii="Arial" w:hAnsi="Arial" w:cs="Arial"/>
          <w:sz w:val="24"/>
          <w:szCs w:val="24"/>
          <w:lang w:val="en-GB"/>
        </w:rPr>
        <w:t>Limited liability businesses resemble corporations and partnerships. McMaster and Vironen (2019) state that limited liability company owners are not liable for corporate debts. Flexible return distribution is another LLC feature.</w:t>
      </w:r>
      <w:r w:rsidR="00E552B8" w:rsidRPr="00E552B8">
        <w:t xml:space="preserve"> </w:t>
      </w:r>
      <w:r w:rsidR="00E552B8" w:rsidRPr="00E552B8">
        <w:rPr>
          <w:rFonts w:ascii="Arial" w:hAnsi="Arial" w:cs="Arial"/>
          <w:sz w:val="24"/>
          <w:szCs w:val="24"/>
          <w:lang w:val="en-GB"/>
        </w:rPr>
        <w:t xml:space="preserve">Limited liability company will handle Eco-wind energy farm. Organisations gain from protection and operational flexibility. Scottish startups appreciate it. Personal liability is </w:t>
      </w:r>
      <w:r w:rsidR="00E552B8" w:rsidRPr="00E552B8">
        <w:rPr>
          <w:rFonts w:ascii="Arial" w:hAnsi="Arial" w:cs="Arial"/>
          <w:sz w:val="24"/>
          <w:szCs w:val="24"/>
          <w:lang w:val="en-GB"/>
        </w:rPr>
        <w:t>reduced,</w:t>
      </w:r>
      <w:r w:rsidR="00E552B8" w:rsidRPr="00E552B8">
        <w:rPr>
          <w:rFonts w:ascii="Arial" w:hAnsi="Arial" w:cs="Arial"/>
          <w:sz w:val="24"/>
          <w:szCs w:val="24"/>
          <w:lang w:val="en-GB"/>
        </w:rPr>
        <w:t xml:space="preserve"> and assets are protected (Fennell and Garrod, 2022). This legal system supports wind farms and protects business stakeholders. Less administrative effort would help the organisation function smoothly (MacMillan, 2020).</w:t>
      </w:r>
    </w:p>
    <w:p w14:paraId="7097E7C2" w14:textId="3417498D" w:rsidR="002752CF" w:rsidRDefault="00B81505" w:rsidP="00B81505">
      <w:pPr>
        <w:pStyle w:val="Heading1"/>
        <w:rPr>
          <w:rFonts w:ascii="Arial" w:hAnsi="Arial" w:cs="Arial"/>
          <w:sz w:val="24"/>
          <w:szCs w:val="24"/>
          <w:lang w:val="en-GB"/>
        </w:rPr>
      </w:pPr>
      <w:bookmarkStart w:id="4" w:name="_Toc150096360"/>
      <w:r w:rsidRPr="00B81505">
        <w:rPr>
          <w:rFonts w:ascii="Arial" w:hAnsi="Arial" w:cs="Arial"/>
          <w:sz w:val="24"/>
          <w:szCs w:val="24"/>
          <w:lang w:val="en-GB"/>
        </w:rPr>
        <w:t>2.3 SWOT analysis</w:t>
      </w:r>
      <w:bookmarkEnd w:id="4"/>
    </w:p>
    <w:p w14:paraId="723A7D82" w14:textId="5C6254B7" w:rsidR="000C29BA" w:rsidRDefault="004831D9" w:rsidP="002752CF">
      <w:pPr>
        <w:spacing w:line="360" w:lineRule="auto"/>
        <w:rPr>
          <w:rFonts w:ascii="Arial" w:hAnsi="Arial" w:cs="Arial"/>
          <w:sz w:val="24"/>
          <w:szCs w:val="24"/>
          <w:lang w:val="en-GB"/>
        </w:rPr>
      </w:pPr>
      <w:r>
        <w:rPr>
          <w:rFonts w:ascii="Arial" w:hAnsi="Arial" w:cs="Arial"/>
          <w:sz w:val="24"/>
          <w:szCs w:val="24"/>
          <w:lang w:val="en-GB"/>
        </w:rPr>
        <w:t>Eco-</w:t>
      </w:r>
      <w:r w:rsidR="002752CF" w:rsidRPr="002752CF">
        <w:rPr>
          <w:rFonts w:ascii="Arial" w:hAnsi="Arial" w:cs="Arial"/>
          <w:sz w:val="24"/>
          <w:szCs w:val="24"/>
          <w:lang w:val="en-GB"/>
        </w:rPr>
        <w:t>wind</w:t>
      </w:r>
      <w:r>
        <w:rPr>
          <w:rFonts w:ascii="Arial" w:hAnsi="Arial" w:cs="Arial"/>
          <w:sz w:val="24"/>
          <w:szCs w:val="24"/>
          <w:lang w:val="en-GB"/>
        </w:rPr>
        <w:t xml:space="preserve"> energy</w:t>
      </w:r>
      <w:r w:rsidR="002752CF" w:rsidRPr="002752CF">
        <w:rPr>
          <w:rFonts w:ascii="Arial" w:hAnsi="Arial" w:cs="Arial"/>
          <w:sz w:val="24"/>
          <w:szCs w:val="24"/>
          <w:lang w:val="en-GB"/>
        </w:rPr>
        <w:t xml:space="preserve"> farm SWOT analysis reveals the company's strengths, weaknesses, opportunities, and threats.</w:t>
      </w:r>
    </w:p>
    <w:tbl>
      <w:tblPr>
        <w:tblW w:w="9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12"/>
        <w:gridCol w:w="4813"/>
      </w:tblGrid>
      <w:tr w:rsidR="000C29BA" w14:paraId="5449E384" w14:textId="77777777" w:rsidTr="00B81505">
        <w:trPr>
          <w:trHeight w:val="272"/>
        </w:trPr>
        <w:tc>
          <w:tcPr>
            <w:tcW w:w="4812" w:type="dxa"/>
            <w:shd w:val="clear" w:color="auto" w:fill="A64D79"/>
            <w:tcMar>
              <w:top w:w="100" w:type="dxa"/>
              <w:left w:w="100" w:type="dxa"/>
              <w:bottom w:w="100" w:type="dxa"/>
              <w:right w:w="100" w:type="dxa"/>
            </w:tcMar>
          </w:tcPr>
          <w:p w14:paraId="48EDE2C8" w14:textId="77777777" w:rsidR="000C29BA" w:rsidRPr="00591030" w:rsidRDefault="000C29BA" w:rsidP="00F4687C">
            <w:pPr>
              <w:widowControl w:val="0"/>
              <w:pBdr>
                <w:top w:val="nil"/>
                <w:left w:val="nil"/>
                <w:bottom w:val="nil"/>
                <w:right w:val="nil"/>
                <w:between w:val="nil"/>
              </w:pBdr>
              <w:spacing w:line="360" w:lineRule="auto"/>
              <w:jc w:val="center"/>
              <w:rPr>
                <w:rFonts w:ascii="Arial" w:eastAsia="Times New Roman" w:hAnsi="Arial" w:cs="Arial"/>
                <w:b/>
                <w:sz w:val="24"/>
                <w:szCs w:val="24"/>
              </w:rPr>
            </w:pPr>
            <w:r w:rsidRPr="00591030">
              <w:rPr>
                <w:rFonts w:ascii="Arial" w:eastAsia="Times New Roman" w:hAnsi="Arial" w:cs="Arial"/>
                <w:b/>
                <w:sz w:val="24"/>
                <w:szCs w:val="24"/>
              </w:rPr>
              <w:t xml:space="preserve">Strengths </w:t>
            </w:r>
          </w:p>
        </w:tc>
        <w:tc>
          <w:tcPr>
            <w:tcW w:w="4813" w:type="dxa"/>
            <w:shd w:val="clear" w:color="auto" w:fill="8E7CC3"/>
            <w:tcMar>
              <w:top w:w="100" w:type="dxa"/>
              <w:left w:w="100" w:type="dxa"/>
              <w:bottom w:w="100" w:type="dxa"/>
              <w:right w:w="100" w:type="dxa"/>
            </w:tcMar>
          </w:tcPr>
          <w:p w14:paraId="6921E48D" w14:textId="77777777" w:rsidR="000C29BA" w:rsidRPr="00591030" w:rsidRDefault="000C29BA" w:rsidP="00F4687C">
            <w:pPr>
              <w:widowControl w:val="0"/>
              <w:pBdr>
                <w:top w:val="nil"/>
                <w:left w:val="nil"/>
                <w:bottom w:val="nil"/>
                <w:right w:val="nil"/>
                <w:between w:val="nil"/>
              </w:pBdr>
              <w:spacing w:line="360" w:lineRule="auto"/>
              <w:jc w:val="center"/>
              <w:rPr>
                <w:rFonts w:ascii="Arial" w:eastAsia="Times New Roman" w:hAnsi="Arial" w:cs="Arial"/>
                <w:b/>
                <w:sz w:val="24"/>
                <w:szCs w:val="24"/>
              </w:rPr>
            </w:pPr>
            <w:r w:rsidRPr="00591030">
              <w:rPr>
                <w:rFonts w:ascii="Arial" w:eastAsia="Times New Roman" w:hAnsi="Arial" w:cs="Arial"/>
                <w:b/>
                <w:sz w:val="24"/>
                <w:szCs w:val="24"/>
              </w:rPr>
              <w:t xml:space="preserve">Weakness </w:t>
            </w:r>
          </w:p>
        </w:tc>
      </w:tr>
      <w:tr w:rsidR="000C29BA" w14:paraId="1ECC8C5F" w14:textId="77777777" w:rsidTr="00B81505">
        <w:trPr>
          <w:trHeight w:val="3235"/>
        </w:trPr>
        <w:tc>
          <w:tcPr>
            <w:tcW w:w="4812" w:type="dxa"/>
            <w:shd w:val="clear" w:color="auto" w:fill="C27BA0"/>
            <w:tcMar>
              <w:top w:w="100" w:type="dxa"/>
              <w:left w:w="100" w:type="dxa"/>
              <w:bottom w:w="100" w:type="dxa"/>
              <w:right w:w="100" w:type="dxa"/>
            </w:tcMar>
          </w:tcPr>
          <w:p w14:paraId="120FECC6" w14:textId="67344695" w:rsidR="000C29BA" w:rsidRPr="00591030" w:rsidRDefault="00E73E22" w:rsidP="000C29BA">
            <w:pPr>
              <w:widowControl w:val="0"/>
              <w:numPr>
                <w:ilvl w:val="0"/>
                <w:numId w:val="3"/>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The wind farm supports sustainability by generating clean, renewable energy and reducing greenhouse gas emissions.</w:t>
            </w:r>
            <w:r w:rsidR="004D1BA7" w:rsidRPr="00591030">
              <w:rPr>
                <w:rFonts w:ascii="Arial" w:eastAsia="Times New Roman" w:hAnsi="Arial" w:cs="Arial"/>
                <w:sz w:val="24"/>
                <w:szCs w:val="24"/>
              </w:rPr>
              <w:t>W</w:t>
            </w:r>
            <w:r w:rsidR="007139B4" w:rsidRPr="00591030">
              <w:rPr>
                <w:rFonts w:ascii="Arial" w:eastAsia="Times New Roman" w:hAnsi="Arial" w:cs="Arial"/>
                <w:sz w:val="24"/>
                <w:szCs w:val="24"/>
              </w:rPr>
              <w:t>ind</w:t>
            </w:r>
            <w:r w:rsidR="000C29BA" w:rsidRPr="00591030">
              <w:rPr>
                <w:rFonts w:ascii="Arial" w:eastAsia="Times New Roman" w:hAnsi="Arial" w:cs="Arial"/>
                <w:sz w:val="24"/>
                <w:szCs w:val="24"/>
              </w:rPr>
              <w:t xml:space="preserve"> </w:t>
            </w:r>
            <w:r w:rsidR="007139B4" w:rsidRPr="00591030">
              <w:rPr>
                <w:rFonts w:ascii="Arial" w:eastAsia="Times New Roman" w:hAnsi="Arial" w:cs="Arial"/>
                <w:sz w:val="24"/>
                <w:szCs w:val="24"/>
              </w:rPr>
              <w:t>paterns are generally consistent and predictable, allowing for reliable energy production</w:t>
            </w:r>
            <w:r w:rsidR="0046781F" w:rsidRPr="00591030">
              <w:rPr>
                <w:rFonts w:ascii="Arial" w:eastAsia="Times New Roman" w:hAnsi="Arial" w:cs="Arial"/>
                <w:sz w:val="24"/>
                <w:szCs w:val="24"/>
              </w:rPr>
              <w:t>.</w:t>
            </w:r>
          </w:p>
          <w:p w14:paraId="73A578FE" w14:textId="39A6D4AC" w:rsidR="007139B4" w:rsidRPr="00591030" w:rsidRDefault="004D1BA7" w:rsidP="000C29BA">
            <w:pPr>
              <w:widowControl w:val="0"/>
              <w:numPr>
                <w:ilvl w:val="0"/>
                <w:numId w:val="3"/>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W</w:t>
            </w:r>
            <w:r w:rsidR="007139B4" w:rsidRPr="00591030">
              <w:rPr>
                <w:rFonts w:ascii="Arial" w:eastAsia="Times New Roman" w:hAnsi="Arial" w:cs="Arial"/>
                <w:sz w:val="24"/>
                <w:szCs w:val="24"/>
              </w:rPr>
              <w:t>ind turbines have long operational life, with low maintanance cost ensuring a stable revenue stream</w:t>
            </w:r>
            <w:r w:rsidR="0046781F" w:rsidRPr="00591030">
              <w:rPr>
                <w:rFonts w:ascii="Arial" w:eastAsia="Times New Roman" w:hAnsi="Arial" w:cs="Arial"/>
                <w:sz w:val="24"/>
                <w:szCs w:val="24"/>
              </w:rPr>
              <w:t>.</w:t>
            </w:r>
          </w:p>
          <w:p w14:paraId="22E9BE42" w14:textId="77777777" w:rsidR="00E73E22" w:rsidRPr="00591030" w:rsidRDefault="00E73E22" w:rsidP="000C29BA">
            <w:pPr>
              <w:widowControl w:val="0"/>
              <w:numPr>
                <w:ilvl w:val="0"/>
                <w:numId w:val="3"/>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 xml:space="preserve">Economic benefits: employment creation, local economic stimulation, </w:t>
            </w:r>
            <w:r w:rsidRPr="00591030">
              <w:rPr>
                <w:rFonts w:ascii="Arial" w:eastAsia="Times New Roman" w:hAnsi="Arial" w:cs="Arial"/>
                <w:sz w:val="24"/>
                <w:szCs w:val="24"/>
              </w:rPr>
              <w:lastRenderedPageBreak/>
              <w:t>and landowner lease revenue.</w:t>
            </w:r>
          </w:p>
          <w:p w14:paraId="1E6B7680" w14:textId="6B89DCD5" w:rsidR="007139B4" w:rsidRPr="00591030" w:rsidRDefault="00E73E22" w:rsidP="000C29BA">
            <w:pPr>
              <w:widowControl w:val="0"/>
              <w:numPr>
                <w:ilvl w:val="0"/>
                <w:numId w:val="3"/>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Government incentives and suitable regulations promote wind energy growth.</w:t>
            </w:r>
          </w:p>
        </w:tc>
        <w:tc>
          <w:tcPr>
            <w:tcW w:w="4813" w:type="dxa"/>
            <w:shd w:val="clear" w:color="auto" w:fill="B4A7D6"/>
            <w:tcMar>
              <w:top w:w="100" w:type="dxa"/>
              <w:left w:w="100" w:type="dxa"/>
              <w:bottom w:w="100" w:type="dxa"/>
              <w:right w:w="100" w:type="dxa"/>
            </w:tcMar>
          </w:tcPr>
          <w:p w14:paraId="685B14AE" w14:textId="15382233" w:rsidR="007139B4" w:rsidRPr="00591030" w:rsidRDefault="007139B4" w:rsidP="000C29BA">
            <w:pPr>
              <w:widowControl w:val="0"/>
              <w:numPr>
                <w:ilvl w:val="0"/>
                <w:numId w:val="2"/>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lastRenderedPageBreak/>
              <w:t>Wind energy production is intermittent and dependent on wind speeds, resulting in limited energy output.</w:t>
            </w:r>
          </w:p>
          <w:p w14:paraId="73B62AF9" w14:textId="5B84BB70" w:rsidR="000C29BA" w:rsidRPr="00591030" w:rsidRDefault="000C29BA" w:rsidP="000C29BA">
            <w:pPr>
              <w:widowControl w:val="0"/>
              <w:numPr>
                <w:ilvl w:val="0"/>
                <w:numId w:val="2"/>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 xml:space="preserve">Expensive </w:t>
            </w:r>
            <w:r w:rsidR="00E73E22" w:rsidRPr="00591030">
              <w:rPr>
                <w:rFonts w:ascii="Arial" w:eastAsia="Times New Roman" w:hAnsi="Arial" w:cs="Arial"/>
                <w:sz w:val="24"/>
                <w:szCs w:val="24"/>
              </w:rPr>
              <w:t>: up front cost for land and turbines</w:t>
            </w:r>
            <w:r w:rsidR="004D1BA7" w:rsidRPr="00591030">
              <w:rPr>
                <w:rFonts w:ascii="Arial" w:eastAsia="Times New Roman" w:hAnsi="Arial" w:cs="Arial"/>
                <w:sz w:val="24"/>
                <w:szCs w:val="24"/>
              </w:rPr>
              <w:t>.</w:t>
            </w:r>
          </w:p>
          <w:p w14:paraId="2E9B81BA" w14:textId="77777777" w:rsidR="000C29BA" w:rsidRPr="00591030" w:rsidRDefault="000C29BA" w:rsidP="00F4687C">
            <w:pPr>
              <w:widowControl w:val="0"/>
              <w:pBdr>
                <w:top w:val="nil"/>
                <w:left w:val="nil"/>
                <w:bottom w:val="nil"/>
                <w:right w:val="nil"/>
                <w:between w:val="nil"/>
              </w:pBdr>
              <w:spacing w:line="360" w:lineRule="auto"/>
              <w:rPr>
                <w:rFonts w:ascii="Arial" w:eastAsia="Times New Roman" w:hAnsi="Arial" w:cs="Arial"/>
                <w:sz w:val="24"/>
                <w:szCs w:val="24"/>
              </w:rPr>
            </w:pPr>
          </w:p>
        </w:tc>
      </w:tr>
      <w:tr w:rsidR="000C29BA" w14:paraId="7047387A" w14:textId="77777777" w:rsidTr="00B81505">
        <w:trPr>
          <w:trHeight w:val="272"/>
        </w:trPr>
        <w:tc>
          <w:tcPr>
            <w:tcW w:w="4812" w:type="dxa"/>
            <w:shd w:val="clear" w:color="auto" w:fill="38761D"/>
            <w:tcMar>
              <w:top w:w="100" w:type="dxa"/>
              <w:left w:w="100" w:type="dxa"/>
              <w:bottom w:w="100" w:type="dxa"/>
              <w:right w:w="100" w:type="dxa"/>
            </w:tcMar>
          </w:tcPr>
          <w:p w14:paraId="2831DD26" w14:textId="77777777" w:rsidR="000C29BA" w:rsidRPr="00591030" w:rsidRDefault="000C29BA" w:rsidP="00F4687C">
            <w:pPr>
              <w:widowControl w:val="0"/>
              <w:pBdr>
                <w:top w:val="nil"/>
                <w:left w:val="nil"/>
                <w:bottom w:val="nil"/>
                <w:right w:val="nil"/>
                <w:between w:val="nil"/>
              </w:pBdr>
              <w:spacing w:line="360" w:lineRule="auto"/>
              <w:jc w:val="center"/>
              <w:rPr>
                <w:rFonts w:ascii="Arial" w:eastAsia="Times New Roman" w:hAnsi="Arial" w:cs="Arial"/>
                <w:b/>
                <w:sz w:val="24"/>
                <w:szCs w:val="24"/>
              </w:rPr>
            </w:pPr>
            <w:r w:rsidRPr="00591030">
              <w:rPr>
                <w:rFonts w:ascii="Arial" w:eastAsia="Times New Roman" w:hAnsi="Arial" w:cs="Arial"/>
                <w:b/>
                <w:sz w:val="24"/>
                <w:szCs w:val="24"/>
              </w:rPr>
              <w:t>Opportunities</w:t>
            </w:r>
          </w:p>
        </w:tc>
        <w:tc>
          <w:tcPr>
            <w:tcW w:w="4813" w:type="dxa"/>
            <w:shd w:val="clear" w:color="auto" w:fill="E69138"/>
            <w:tcMar>
              <w:top w:w="100" w:type="dxa"/>
              <w:left w:w="100" w:type="dxa"/>
              <w:bottom w:w="100" w:type="dxa"/>
              <w:right w:w="100" w:type="dxa"/>
            </w:tcMar>
          </w:tcPr>
          <w:p w14:paraId="1BFDBCF8" w14:textId="77777777" w:rsidR="000C29BA" w:rsidRPr="00591030" w:rsidRDefault="000C29BA" w:rsidP="00F4687C">
            <w:pPr>
              <w:widowControl w:val="0"/>
              <w:pBdr>
                <w:top w:val="nil"/>
                <w:left w:val="nil"/>
                <w:bottom w:val="nil"/>
                <w:right w:val="nil"/>
                <w:between w:val="nil"/>
              </w:pBdr>
              <w:spacing w:line="360" w:lineRule="auto"/>
              <w:jc w:val="center"/>
              <w:rPr>
                <w:rFonts w:ascii="Arial" w:eastAsia="Times New Roman" w:hAnsi="Arial" w:cs="Arial"/>
                <w:b/>
                <w:sz w:val="24"/>
                <w:szCs w:val="24"/>
              </w:rPr>
            </w:pPr>
            <w:r w:rsidRPr="00591030">
              <w:rPr>
                <w:rFonts w:ascii="Arial" w:eastAsia="Times New Roman" w:hAnsi="Arial" w:cs="Arial"/>
                <w:b/>
                <w:sz w:val="24"/>
                <w:szCs w:val="24"/>
              </w:rPr>
              <w:t>Threats</w:t>
            </w:r>
          </w:p>
        </w:tc>
      </w:tr>
      <w:tr w:rsidR="000C29BA" w14:paraId="1C753DD1" w14:textId="77777777" w:rsidTr="00B81505">
        <w:trPr>
          <w:trHeight w:val="1639"/>
        </w:trPr>
        <w:tc>
          <w:tcPr>
            <w:tcW w:w="4812" w:type="dxa"/>
            <w:shd w:val="clear" w:color="auto" w:fill="6AA84F"/>
            <w:tcMar>
              <w:top w:w="100" w:type="dxa"/>
              <w:left w:w="100" w:type="dxa"/>
              <w:bottom w:w="100" w:type="dxa"/>
              <w:right w:w="100" w:type="dxa"/>
            </w:tcMar>
          </w:tcPr>
          <w:p w14:paraId="5F9DC710" w14:textId="77777777" w:rsidR="00E73E22" w:rsidRPr="00591030" w:rsidRDefault="00E73E22" w:rsidP="000C29BA">
            <w:pPr>
              <w:widowControl w:val="0"/>
              <w:numPr>
                <w:ilvl w:val="0"/>
                <w:numId w:val="4"/>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Wind turbine technology may improve efficiency and save costs.</w:t>
            </w:r>
          </w:p>
          <w:p w14:paraId="062D2F73" w14:textId="0930CCA3" w:rsidR="000C29BA" w:rsidRPr="00591030" w:rsidRDefault="00E73E22" w:rsidP="000C29BA">
            <w:pPr>
              <w:widowControl w:val="0"/>
              <w:numPr>
                <w:ilvl w:val="0"/>
                <w:numId w:val="4"/>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Energy storage intergration: storage solutions such bateries</w:t>
            </w:r>
            <w:r w:rsidR="0046781F" w:rsidRPr="00591030">
              <w:rPr>
                <w:rFonts w:ascii="Arial" w:eastAsia="Times New Roman" w:hAnsi="Arial" w:cs="Arial"/>
                <w:sz w:val="24"/>
                <w:szCs w:val="24"/>
              </w:rPr>
              <w:t>.</w:t>
            </w:r>
          </w:p>
          <w:p w14:paraId="1E0F4AD3" w14:textId="3027387F" w:rsidR="00E73E22" w:rsidRPr="00591030" w:rsidRDefault="00E73E22" w:rsidP="000C29BA">
            <w:pPr>
              <w:widowControl w:val="0"/>
              <w:numPr>
                <w:ilvl w:val="0"/>
                <w:numId w:val="4"/>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The global shift toward renewable energy creates opportunities for wind expansion and investment</w:t>
            </w:r>
            <w:r w:rsidR="0046781F" w:rsidRPr="00591030">
              <w:rPr>
                <w:rFonts w:ascii="Arial" w:eastAsia="Times New Roman" w:hAnsi="Arial" w:cs="Arial"/>
                <w:sz w:val="24"/>
                <w:szCs w:val="24"/>
              </w:rPr>
              <w:t>.</w:t>
            </w:r>
          </w:p>
        </w:tc>
        <w:tc>
          <w:tcPr>
            <w:tcW w:w="4813" w:type="dxa"/>
            <w:shd w:val="clear" w:color="auto" w:fill="F6B26B"/>
            <w:tcMar>
              <w:top w:w="100" w:type="dxa"/>
              <w:left w:w="100" w:type="dxa"/>
              <w:bottom w:w="100" w:type="dxa"/>
              <w:right w:w="100" w:type="dxa"/>
            </w:tcMar>
          </w:tcPr>
          <w:p w14:paraId="4BB653BF" w14:textId="3A19B6F8" w:rsidR="000C29BA" w:rsidRPr="00591030" w:rsidRDefault="00E73E22" w:rsidP="000C29BA">
            <w:pPr>
              <w:widowControl w:val="0"/>
              <w:numPr>
                <w:ilvl w:val="0"/>
                <w:numId w:val="1"/>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Natural disaster: wind turbines are vulnerable to extreme wheather events</w:t>
            </w:r>
            <w:r w:rsidR="0046781F" w:rsidRPr="00591030">
              <w:rPr>
                <w:rFonts w:ascii="Arial" w:eastAsia="Times New Roman" w:hAnsi="Arial" w:cs="Arial"/>
                <w:sz w:val="24"/>
                <w:szCs w:val="24"/>
              </w:rPr>
              <w:t>.</w:t>
            </w:r>
          </w:p>
          <w:p w14:paraId="2CB7B116" w14:textId="6BAF2B36" w:rsidR="000C29BA" w:rsidRPr="00591030" w:rsidRDefault="000C29BA" w:rsidP="000C29BA">
            <w:pPr>
              <w:widowControl w:val="0"/>
              <w:numPr>
                <w:ilvl w:val="0"/>
                <w:numId w:val="1"/>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Changes in the policies</w:t>
            </w:r>
            <w:r w:rsidR="0046781F" w:rsidRPr="00591030">
              <w:rPr>
                <w:rFonts w:ascii="Arial" w:eastAsia="Times New Roman" w:hAnsi="Arial" w:cs="Arial"/>
                <w:sz w:val="24"/>
                <w:szCs w:val="24"/>
              </w:rPr>
              <w:t>.</w:t>
            </w:r>
            <w:r w:rsidRPr="00591030">
              <w:rPr>
                <w:rFonts w:ascii="Arial" w:eastAsia="Times New Roman" w:hAnsi="Arial" w:cs="Arial"/>
                <w:sz w:val="24"/>
                <w:szCs w:val="24"/>
              </w:rPr>
              <w:t xml:space="preserve"> </w:t>
            </w:r>
          </w:p>
          <w:p w14:paraId="1E1165A5" w14:textId="14B552CB" w:rsidR="000C29BA" w:rsidRPr="00591030" w:rsidRDefault="00E73E22" w:rsidP="000C29BA">
            <w:pPr>
              <w:widowControl w:val="0"/>
              <w:numPr>
                <w:ilvl w:val="0"/>
                <w:numId w:val="1"/>
              </w:numPr>
              <w:pBdr>
                <w:top w:val="nil"/>
                <w:left w:val="nil"/>
                <w:bottom w:val="nil"/>
                <w:right w:val="nil"/>
                <w:between w:val="nil"/>
              </w:pBdr>
              <w:spacing w:after="0" w:line="360" w:lineRule="auto"/>
              <w:rPr>
                <w:rFonts w:ascii="Arial" w:eastAsia="Times New Roman" w:hAnsi="Arial" w:cs="Arial"/>
                <w:sz w:val="24"/>
                <w:szCs w:val="24"/>
              </w:rPr>
            </w:pPr>
            <w:r w:rsidRPr="00591030">
              <w:rPr>
                <w:rFonts w:ascii="Arial" w:eastAsia="Times New Roman" w:hAnsi="Arial" w:cs="Arial"/>
                <w:sz w:val="24"/>
                <w:szCs w:val="24"/>
              </w:rPr>
              <w:t>Local communities may oppose wind farm projects due to concern about visual impact or other environmental factors.</w:t>
            </w:r>
          </w:p>
        </w:tc>
      </w:tr>
    </w:tbl>
    <w:p w14:paraId="6521D038" w14:textId="373FB58B" w:rsidR="00E73E22" w:rsidRDefault="00E73E22" w:rsidP="00E73E22">
      <w:pPr>
        <w:spacing w:line="360" w:lineRule="auto"/>
        <w:jc w:val="center"/>
        <w:rPr>
          <w:rFonts w:ascii="Arial" w:hAnsi="Arial" w:cs="Arial"/>
          <w:sz w:val="24"/>
          <w:szCs w:val="24"/>
          <w:lang w:val="en-GB"/>
        </w:rPr>
      </w:pPr>
      <w:r>
        <w:rPr>
          <w:rFonts w:ascii="Arial" w:hAnsi="Arial" w:cs="Arial"/>
          <w:sz w:val="24"/>
          <w:szCs w:val="24"/>
          <w:lang w:val="en-GB"/>
        </w:rPr>
        <w:t xml:space="preserve">Table </w:t>
      </w:r>
      <w:r w:rsidR="00FB24EA">
        <w:rPr>
          <w:rFonts w:ascii="Arial" w:hAnsi="Arial" w:cs="Arial"/>
          <w:sz w:val="24"/>
          <w:szCs w:val="24"/>
          <w:lang w:val="en-GB"/>
        </w:rPr>
        <w:t>1</w:t>
      </w:r>
      <w:r>
        <w:rPr>
          <w:rFonts w:ascii="Arial" w:hAnsi="Arial" w:cs="Arial"/>
          <w:sz w:val="24"/>
          <w:szCs w:val="24"/>
          <w:lang w:val="en-GB"/>
        </w:rPr>
        <w:t xml:space="preserve">. Swot analysis of proposed business </w:t>
      </w:r>
    </w:p>
    <w:p w14:paraId="70E66E7F" w14:textId="77777777" w:rsidR="00046403" w:rsidRDefault="00E73E22" w:rsidP="00E73E22">
      <w:pPr>
        <w:spacing w:line="360" w:lineRule="auto"/>
        <w:jc w:val="center"/>
        <w:rPr>
          <w:rFonts w:ascii="Arial" w:hAnsi="Arial" w:cs="Arial"/>
          <w:sz w:val="24"/>
          <w:szCs w:val="24"/>
          <w:lang w:val="en-GB"/>
        </w:rPr>
      </w:pPr>
      <w:r>
        <w:rPr>
          <w:rFonts w:ascii="Arial" w:hAnsi="Arial" w:cs="Arial"/>
          <w:sz w:val="24"/>
          <w:szCs w:val="24"/>
          <w:lang w:val="en-GB"/>
        </w:rPr>
        <w:t xml:space="preserve">Source: Author (2023) </w:t>
      </w:r>
    </w:p>
    <w:p w14:paraId="40FF8B3C" w14:textId="77777777" w:rsidR="006A1B96" w:rsidRDefault="00046403" w:rsidP="00046403">
      <w:pPr>
        <w:spacing w:line="360" w:lineRule="auto"/>
        <w:rPr>
          <w:rFonts w:ascii="Arial" w:hAnsi="Arial" w:cs="Arial"/>
          <w:sz w:val="24"/>
          <w:szCs w:val="24"/>
          <w:lang w:val="en-GB"/>
        </w:rPr>
      </w:pPr>
      <w:r w:rsidRPr="00046403">
        <w:rPr>
          <w:rFonts w:ascii="Arial" w:hAnsi="Arial" w:cs="Arial"/>
          <w:sz w:val="24"/>
          <w:szCs w:val="24"/>
          <w:lang w:val="en-GB"/>
        </w:rPr>
        <w:t>As stated by Litheko (2021), the company's services possess a distinctive quality as they incorporate renewable energy sources with the objective of safeguarding the environment and mitigating carbon emissions.</w:t>
      </w:r>
    </w:p>
    <w:p w14:paraId="20C0A76E" w14:textId="352C7ACF" w:rsidR="00B81505" w:rsidRPr="00B81505" w:rsidRDefault="00B81505" w:rsidP="00B81505">
      <w:pPr>
        <w:pStyle w:val="Heading1"/>
        <w:rPr>
          <w:rFonts w:ascii="Arial" w:hAnsi="Arial" w:cs="Arial"/>
          <w:sz w:val="24"/>
          <w:szCs w:val="24"/>
          <w:lang w:val="en-GB"/>
        </w:rPr>
      </w:pPr>
      <w:bookmarkStart w:id="5" w:name="_Toc150096361"/>
      <w:r w:rsidRPr="00B81505">
        <w:rPr>
          <w:rFonts w:ascii="Arial" w:hAnsi="Arial" w:cs="Arial"/>
          <w:sz w:val="24"/>
          <w:szCs w:val="24"/>
          <w:lang w:val="en-GB"/>
        </w:rPr>
        <w:t>2.4 Market segmentation and target market</w:t>
      </w:r>
      <w:bookmarkEnd w:id="5"/>
    </w:p>
    <w:p w14:paraId="42A3B02F" w14:textId="7A6180AA" w:rsidR="00EB18A4" w:rsidRDefault="00290726" w:rsidP="00046403">
      <w:pPr>
        <w:spacing w:line="360" w:lineRule="auto"/>
        <w:rPr>
          <w:rFonts w:ascii="Arial" w:hAnsi="Arial" w:cs="Arial"/>
          <w:sz w:val="24"/>
          <w:szCs w:val="24"/>
          <w:lang w:val="en-GB"/>
        </w:rPr>
      </w:pPr>
      <w:r w:rsidRPr="00290726">
        <w:rPr>
          <w:rFonts w:ascii="Arial" w:hAnsi="Arial" w:cs="Arial"/>
          <w:sz w:val="24"/>
          <w:szCs w:val="24"/>
          <w:lang w:val="en-GB"/>
        </w:rPr>
        <w:t>Market segmentation and targeting involve the identification of possible consumers, the selection of specific customers to pursue, and the creation of value for these focused customers (Capon &amp; Go, 2017). The method of achieving this objective is accomplished through the implementation of the segmentation, targeting, and positioning (STP) framework.</w:t>
      </w:r>
    </w:p>
    <w:p w14:paraId="550B463E" w14:textId="508CCD23" w:rsidR="00042B63" w:rsidRDefault="00042B63" w:rsidP="00046403">
      <w:pPr>
        <w:spacing w:line="360" w:lineRule="auto"/>
        <w:rPr>
          <w:rFonts w:ascii="Arial" w:hAnsi="Arial" w:cs="Arial"/>
          <w:sz w:val="24"/>
          <w:szCs w:val="24"/>
          <w:lang w:val="en-GB"/>
        </w:rPr>
      </w:pPr>
      <w:r w:rsidRPr="00042B63">
        <w:rPr>
          <w:rFonts w:ascii="Arial" w:hAnsi="Arial" w:cs="Arial"/>
          <w:sz w:val="24"/>
          <w:szCs w:val="24"/>
          <w:lang w:val="en-GB"/>
        </w:rPr>
        <w:lastRenderedPageBreak/>
        <w:t>Market segmentation is an essential component in the examination of distinct customer categories that a company intends to focus on, along with the potential consequences that may result from the implementation of a proposed business solution. According to Baker (2004</w:t>
      </w:r>
      <w:r w:rsidRPr="00042B63">
        <w:rPr>
          <w:rFonts w:ascii="Arial" w:hAnsi="Arial" w:cs="Arial"/>
          <w:sz w:val="24"/>
          <w:szCs w:val="24"/>
          <w:lang w:val="en-GB"/>
        </w:rPr>
        <w:t>), marketers</w:t>
      </w:r>
      <w:r w:rsidRPr="00042B63">
        <w:rPr>
          <w:rFonts w:ascii="Arial" w:hAnsi="Arial" w:cs="Arial"/>
          <w:sz w:val="24"/>
          <w:szCs w:val="24"/>
          <w:lang w:val="en-GB"/>
        </w:rPr>
        <w:t xml:space="preserve"> have devised four fundamental methods for segmenting consumer markets, including behavioural, demographic, psychographic, and geographic segmentation.</w:t>
      </w:r>
      <w:r w:rsidRPr="00042B63">
        <w:rPr>
          <w:rFonts w:ascii="Arial" w:hAnsi="Arial" w:cs="Arial"/>
          <w:sz w:val="24"/>
          <w:szCs w:val="24"/>
          <w:lang w:val="en-GB"/>
        </w:rPr>
        <w:t xml:space="preserve"> </w:t>
      </w:r>
    </w:p>
    <w:p w14:paraId="2B667EA6" w14:textId="77777777" w:rsidR="00BC57B4" w:rsidRDefault="00BC57B4" w:rsidP="00046403">
      <w:pPr>
        <w:spacing w:line="360" w:lineRule="auto"/>
        <w:rPr>
          <w:rFonts w:ascii="Arial" w:hAnsi="Arial" w:cs="Arial"/>
          <w:sz w:val="24"/>
          <w:szCs w:val="24"/>
          <w:lang w:val="en-GB"/>
        </w:rPr>
      </w:pPr>
      <w:r w:rsidRPr="00BC57B4">
        <w:rPr>
          <w:rFonts w:ascii="Arial" w:hAnsi="Arial" w:cs="Arial"/>
          <w:sz w:val="24"/>
          <w:szCs w:val="24"/>
          <w:lang w:val="en-GB"/>
        </w:rPr>
        <w:t>Behaviour segmentation can be divided into two distinct categories: consumers who are more likely to embrace wind energy despite the initial higher costs, driven by their environmental concerns; and late adopters who prefer to wait for wind energy to become more affordable and demonstrate proven success before making the switch (Presswire, 2018).</w:t>
      </w:r>
    </w:p>
    <w:p w14:paraId="781FD58C" w14:textId="12272766" w:rsidR="00BC57B4" w:rsidRDefault="00BC57B4" w:rsidP="00046403">
      <w:pPr>
        <w:spacing w:line="360" w:lineRule="auto"/>
        <w:rPr>
          <w:rFonts w:ascii="Arial" w:hAnsi="Arial" w:cs="Arial"/>
          <w:sz w:val="24"/>
          <w:szCs w:val="24"/>
          <w:lang w:val="en-GB"/>
        </w:rPr>
      </w:pPr>
      <w:r w:rsidRPr="00BC57B4">
        <w:rPr>
          <w:rFonts w:ascii="Arial" w:hAnsi="Arial" w:cs="Arial"/>
          <w:sz w:val="24"/>
          <w:szCs w:val="24"/>
          <w:lang w:val="en-GB"/>
        </w:rPr>
        <w:t xml:space="preserve">As defined by Barjak et al. (2022), psychographics </w:t>
      </w:r>
      <w:r w:rsidRPr="00BC57B4">
        <w:rPr>
          <w:rFonts w:ascii="Arial" w:hAnsi="Arial" w:cs="Arial"/>
          <w:sz w:val="24"/>
          <w:szCs w:val="24"/>
          <w:lang w:val="en-GB"/>
        </w:rPr>
        <w:t>encompasses</w:t>
      </w:r>
      <w:r w:rsidRPr="00BC57B4">
        <w:rPr>
          <w:rFonts w:ascii="Arial" w:hAnsi="Arial" w:cs="Arial"/>
          <w:sz w:val="24"/>
          <w:szCs w:val="24"/>
          <w:lang w:val="en-GB"/>
        </w:rPr>
        <w:t xml:space="preserve"> individuals who have a strong emphasis on environmental concerns and exhibit a proactive inclination to participate in initiatives aimed at minimising further damage to the environment</w:t>
      </w:r>
      <w:r>
        <w:rPr>
          <w:rFonts w:ascii="Arial" w:hAnsi="Arial" w:cs="Arial"/>
          <w:sz w:val="24"/>
          <w:szCs w:val="24"/>
          <w:lang w:val="en-GB"/>
        </w:rPr>
        <w:t>.</w:t>
      </w:r>
    </w:p>
    <w:p w14:paraId="0999ACA8" w14:textId="2ABEE339" w:rsidR="00FF352B" w:rsidRDefault="00FF352B" w:rsidP="00046403">
      <w:pPr>
        <w:spacing w:line="360" w:lineRule="auto"/>
        <w:rPr>
          <w:rFonts w:ascii="Arial" w:hAnsi="Arial" w:cs="Arial"/>
          <w:sz w:val="24"/>
          <w:szCs w:val="24"/>
          <w:lang w:val="en-GB"/>
        </w:rPr>
      </w:pPr>
      <w:r w:rsidRPr="00FF352B">
        <w:rPr>
          <w:rFonts w:ascii="Arial" w:hAnsi="Arial" w:cs="Arial"/>
          <w:sz w:val="24"/>
          <w:szCs w:val="24"/>
          <w:lang w:val="en-GB"/>
        </w:rPr>
        <w:t>Geographic segmentation can be divided into two separate categories: onshore wind farms, which are located on land and often found in regions typified by favourable wind conditions, and offshore wind farms, which are positioned in aquatic environments (Ladenburg and Lutzeyer, 2012).</w:t>
      </w:r>
    </w:p>
    <w:p w14:paraId="74A16681" w14:textId="25AD6F75" w:rsidR="001A1DC2" w:rsidRDefault="001A1DC2" w:rsidP="00046403">
      <w:pPr>
        <w:spacing w:line="360" w:lineRule="auto"/>
        <w:rPr>
          <w:rFonts w:ascii="Arial" w:hAnsi="Arial" w:cs="Arial"/>
          <w:sz w:val="24"/>
          <w:szCs w:val="24"/>
          <w:lang w:val="en-GB"/>
        </w:rPr>
      </w:pPr>
      <w:r w:rsidRPr="001A1DC2">
        <w:rPr>
          <w:rFonts w:ascii="Arial" w:hAnsi="Arial" w:cs="Arial"/>
          <w:sz w:val="24"/>
          <w:szCs w:val="24"/>
          <w:lang w:val="en-GB"/>
        </w:rPr>
        <w:t>The intended audience includes renewable energy advocates and residents of community wind energy projects. Additionally, businesses, factories, and industries trying to reduce energy costs and improve sustainability are covered.</w:t>
      </w:r>
    </w:p>
    <w:p w14:paraId="653406A5" w14:textId="5E007D34" w:rsidR="001A1DC2" w:rsidRDefault="001A1DC2" w:rsidP="00046403">
      <w:pPr>
        <w:spacing w:line="360" w:lineRule="auto"/>
        <w:rPr>
          <w:rFonts w:ascii="Arial" w:hAnsi="Arial" w:cs="Arial"/>
          <w:sz w:val="24"/>
          <w:szCs w:val="24"/>
          <w:lang w:val="en-GB"/>
        </w:rPr>
      </w:pPr>
      <w:r w:rsidRPr="001A1DC2">
        <w:rPr>
          <w:rFonts w:ascii="Arial" w:hAnsi="Arial" w:cs="Arial"/>
          <w:sz w:val="24"/>
          <w:szCs w:val="24"/>
          <w:lang w:val="en-GB"/>
        </w:rPr>
        <w:t>The Eco-wind energy farm will target potential customers using particular methods. Consumer-focused packages will be offered by the company. This helps one match their behaviour with Eco-wind energy farm's ideals. To satisfy different client segments, the suggested product would set fixed pricing for a certain time. New clients and referrals will receive a little incentive</w:t>
      </w:r>
      <w:r w:rsidR="000A57F5">
        <w:rPr>
          <w:rFonts w:ascii="Arial" w:hAnsi="Arial" w:cs="Arial"/>
          <w:sz w:val="24"/>
          <w:szCs w:val="24"/>
          <w:lang w:val="en-GB"/>
        </w:rPr>
        <w:t>.</w:t>
      </w:r>
    </w:p>
    <w:p w14:paraId="6E116EA0" w14:textId="67633D50" w:rsidR="00727585" w:rsidRDefault="00727585" w:rsidP="00046403">
      <w:pPr>
        <w:spacing w:line="360" w:lineRule="auto"/>
        <w:rPr>
          <w:rFonts w:ascii="Arial" w:hAnsi="Arial" w:cs="Arial"/>
          <w:sz w:val="24"/>
          <w:szCs w:val="24"/>
          <w:lang w:val="en-GB"/>
        </w:rPr>
      </w:pPr>
      <w:r w:rsidRPr="00727585">
        <w:rPr>
          <w:rFonts w:ascii="Arial" w:hAnsi="Arial" w:cs="Arial"/>
          <w:sz w:val="24"/>
          <w:szCs w:val="24"/>
          <w:lang w:val="en-GB"/>
        </w:rPr>
        <w:t>Internet development and conventional marketing methods have led to digital marketing strategies used by SMEs and major organisations. These organisations use data sciences and digital marketing to sell products, build brand recognition, and enter new markets (Saura, Palacios-Marqués and Ribeiro-Soriano, 2023).</w:t>
      </w:r>
    </w:p>
    <w:p w14:paraId="42360DC4" w14:textId="26913786" w:rsidR="0026112B" w:rsidRDefault="001A1DC2" w:rsidP="00046403">
      <w:pPr>
        <w:spacing w:line="360" w:lineRule="auto"/>
        <w:rPr>
          <w:rFonts w:ascii="Arial" w:hAnsi="Arial" w:cs="Arial"/>
          <w:sz w:val="24"/>
          <w:szCs w:val="24"/>
          <w:lang w:val="en-GB"/>
        </w:rPr>
      </w:pPr>
      <w:r w:rsidRPr="001A1DC2">
        <w:rPr>
          <w:rFonts w:ascii="Arial" w:hAnsi="Arial" w:cs="Arial"/>
          <w:sz w:val="24"/>
          <w:szCs w:val="24"/>
          <w:lang w:val="en-GB"/>
        </w:rPr>
        <w:lastRenderedPageBreak/>
        <w:t>The Eco-wind energy farm plans to provide an online platform with complete service and product information. Twitter, Facebook, and Instagram will be used to engage UK clients. Social media will be used to educate potential clients about renewable energy and sustainable business practises</w:t>
      </w:r>
      <w:r>
        <w:rPr>
          <w:rFonts w:ascii="Arial" w:hAnsi="Arial" w:cs="Arial"/>
          <w:sz w:val="24"/>
          <w:szCs w:val="24"/>
          <w:lang w:val="en-GB"/>
        </w:rPr>
        <w:t>.</w:t>
      </w:r>
      <w:r w:rsidRPr="001A1DC2">
        <w:t xml:space="preserve"> </w:t>
      </w:r>
      <w:r w:rsidRPr="001A1DC2">
        <w:rPr>
          <w:rFonts w:ascii="Arial" w:hAnsi="Arial" w:cs="Arial"/>
          <w:sz w:val="24"/>
          <w:szCs w:val="24"/>
          <w:lang w:val="en-GB"/>
        </w:rPr>
        <w:t>The company plans to provide environmental awareness workshops and lectures. The importance of sustainable practises will be explained. This strategy would also promote environmental conservation and renewable energy utilisation.</w:t>
      </w:r>
    </w:p>
    <w:p w14:paraId="4CFF3E61" w14:textId="076F3441" w:rsidR="00F765B1" w:rsidRPr="00F765B1" w:rsidRDefault="00F765B1" w:rsidP="00F765B1">
      <w:pPr>
        <w:pStyle w:val="Heading1"/>
        <w:rPr>
          <w:rFonts w:ascii="Arial" w:hAnsi="Arial" w:cs="Arial"/>
          <w:sz w:val="24"/>
          <w:szCs w:val="24"/>
          <w:lang w:val="en-GB"/>
        </w:rPr>
      </w:pPr>
      <w:bookmarkStart w:id="6" w:name="_Toc150096362"/>
      <w:r w:rsidRPr="00F765B1">
        <w:rPr>
          <w:rFonts w:ascii="Arial" w:hAnsi="Arial" w:cs="Arial"/>
          <w:sz w:val="24"/>
          <w:szCs w:val="24"/>
          <w:lang w:val="en-GB"/>
        </w:rPr>
        <w:t>2.</w:t>
      </w:r>
      <w:r>
        <w:rPr>
          <w:rFonts w:ascii="Arial" w:hAnsi="Arial" w:cs="Arial"/>
          <w:sz w:val="24"/>
          <w:szCs w:val="24"/>
          <w:lang w:val="en-GB"/>
        </w:rPr>
        <w:t>5</w:t>
      </w:r>
      <w:r w:rsidRPr="00F765B1">
        <w:rPr>
          <w:rFonts w:ascii="Arial" w:hAnsi="Arial" w:cs="Arial"/>
          <w:sz w:val="24"/>
          <w:szCs w:val="24"/>
          <w:lang w:val="en-GB"/>
        </w:rPr>
        <w:t xml:space="preserve"> Financial plan and funding requirements</w:t>
      </w:r>
      <w:bookmarkEnd w:id="6"/>
      <w:r w:rsidRPr="00F765B1">
        <w:rPr>
          <w:rFonts w:ascii="Arial" w:hAnsi="Arial" w:cs="Arial"/>
          <w:sz w:val="24"/>
          <w:szCs w:val="24"/>
          <w:lang w:val="en-GB"/>
        </w:rPr>
        <w:t xml:space="preserve"> </w:t>
      </w:r>
    </w:p>
    <w:p w14:paraId="1901CD17" w14:textId="1DAC3982" w:rsidR="00241857" w:rsidRDefault="00883517" w:rsidP="00046403">
      <w:pPr>
        <w:spacing w:line="360" w:lineRule="auto"/>
        <w:rPr>
          <w:rFonts w:ascii="Arial" w:hAnsi="Arial" w:cs="Arial"/>
          <w:sz w:val="24"/>
          <w:szCs w:val="24"/>
          <w:lang w:val="en-GB"/>
        </w:rPr>
      </w:pPr>
      <w:r w:rsidRPr="00883517">
        <w:rPr>
          <w:rFonts w:ascii="Arial" w:hAnsi="Arial" w:cs="Arial"/>
          <w:sz w:val="24"/>
          <w:szCs w:val="24"/>
          <w:lang w:val="en-GB"/>
        </w:rPr>
        <w:t>Installation of renewable sources like turbines, operational costs, staff training, and unexpected events are all part of the initial running costs. Briefly summarising the budget plan:</w:t>
      </w:r>
    </w:p>
    <w:tbl>
      <w:tblPr>
        <w:tblW w:w="89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69"/>
        <w:gridCol w:w="4470"/>
      </w:tblGrid>
      <w:tr w:rsidR="00591030" w14:paraId="14CCE176" w14:textId="77777777" w:rsidTr="00883517">
        <w:trPr>
          <w:trHeight w:val="372"/>
        </w:trPr>
        <w:tc>
          <w:tcPr>
            <w:tcW w:w="4469" w:type="dxa"/>
            <w:shd w:val="clear" w:color="auto" w:fill="E69138"/>
            <w:tcMar>
              <w:top w:w="100" w:type="dxa"/>
              <w:left w:w="100" w:type="dxa"/>
              <w:bottom w:w="100" w:type="dxa"/>
              <w:right w:w="100" w:type="dxa"/>
            </w:tcMar>
          </w:tcPr>
          <w:p w14:paraId="0242C379" w14:textId="77777777" w:rsidR="00591030" w:rsidRPr="00B53895" w:rsidRDefault="00591030" w:rsidP="00F4687C">
            <w:pPr>
              <w:widowControl w:val="0"/>
              <w:pBdr>
                <w:top w:val="nil"/>
                <w:left w:val="nil"/>
                <w:bottom w:val="nil"/>
                <w:right w:val="nil"/>
                <w:between w:val="nil"/>
              </w:pBdr>
              <w:spacing w:line="240" w:lineRule="auto"/>
              <w:jc w:val="center"/>
              <w:rPr>
                <w:rFonts w:ascii="Arial" w:eastAsia="Times New Roman" w:hAnsi="Arial" w:cs="Arial"/>
                <w:b/>
              </w:rPr>
            </w:pPr>
            <w:r w:rsidRPr="00B53895">
              <w:rPr>
                <w:rFonts w:ascii="Arial" w:eastAsia="Times New Roman" w:hAnsi="Arial" w:cs="Arial"/>
                <w:b/>
              </w:rPr>
              <w:t xml:space="preserve">Activities </w:t>
            </w:r>
          </w:p>
        </w:tc>
        <w:tc>
          <w:tcPr>
            <w:tcW w:w="4470" w:type="dxa"/>
            <w:shd w:val="clear" w:color="auto" w:fill="F9CB9C"/>
            <w:tcMar>
              <w:top w:w="100" w:type="dxa"/>
              <w:left w:w="100" w:type="dxa"/>
              <w:bottom w:w="100" w:type="dxa"/>
              <w:right w:w="100" w:type="dxa"/>
            </w:tcMar>
          </w:tcPr>
          <w:p w14:paraId="5651A251" w14:textId="77777777" w:rsidR="00591030" w:rsidRPr="00B53895" w:rsidRDefault="00591030" w:rsidP="00F4687C">
            <w:pPr>
              <w:widowControl w:val="0"/>
              <w:pBdr>
                <w:top w:val="nil"/>
                <w:left w:val="nil"/>
                <w:bottom w:val="nil"/>
                <w:right w:val="nil"/>
                <w:between w:val="nil"/>
              </w:pBdr>
              <w:spacing w:line="240" w:lineRule="auto"/>
              <w:jc w:val="center"/>
              <w:rPr>
                <w:rFonts w:ascii="Arial" w:eastAsia="Times New Roman" w:hAnsi="Arial" w:cs="Arial"/>
                <w:b/>
              </w:rPr>
            </w:pPr>
            <w:r w:rsidRPr="00B53895">
              <w:rPr>
                <w:rFonts w:ascii="Arial" w:eastAsia="Times New Roman" w:hAnsi="Arial" w:cs="Arial"/>
                <w:b/>
              </w:rPr>
              <w:t xml:space="preserve">Expense </w:t>
            </w:r>
          </w:p>
        </w:tc>
      </w:tr>
      <w:tr w:rsidR="00591030" w14:paraId="626227F0" w14:textId="77777777" w:rsidTr="00883517">
        <w:trPr>
          <w:trHeight w:val="841"/>
        </w:trPr>
        <w:tc>
          <w:tcPr>
            <w:tcW w:w="4469" w:type="dxa"/>
            <w:shd w:val="clear" w:color="auto" w:fill="E69138"/>
            <w:tcMar>
              <w:top w:w="100" w:type="dxa"/>
              <w:left w:w="100" w:type="dxa"/>
              <w:bottom w:w="100" w:type="dxa"/>
              <w:right w:w="100" w:type="dxa"/>
            </w:tcMar>
          </w:tcPr>
          <w:p w14:paraId="12F222CB" w14:textId="531D993E" w:rsidR="00591030" w:rsidRPr="0047219D" w:rsidRDefault="00591030" w:rsidP="00F4687C">
            <w:pPr>
              <w:widowControl w:val="0"/>
              <w:pBdr>
                <w:top w:val="nil"/>
                <w:left w:val="nil"/>
                <w:bottom w:val="nil"/>
                <w:right w:val="nil"/>
                <w:between w:val="nil"/>
              </w:pBdr>
              <w:spacing w:line="360" w:lineRule="auto"/>
              <w:jc w:val="both"/>
              <w:rPr>
                <w:rFonts w:ascii="Arial" w:eastAsia="Times New Roman" w:hAnsi="Arial" w:cs="Arial"/>
                <w:bCs/>
                <w:iCs/>
              </w:rPr>
            </w:pPr>
            <w:r w:rsidRPr="0047219D">
              <w:rPr>
                <w:rFonts w:ascii="Arial" w:eastAsia="Times New Roman" w:hAnsi="Arial" w:cs="Arial"/>
                <w:bCs/>
                <w:iCs/>
              </w:rPr>
              <w:t xml:space="preserve">Integrating </w:t>
            </w:r>
            <w:r w:rsidR="0047219D" w:rsidRPr="0047219D">
              <w:rPr>
                <w:rFonts w:ascii="Arial" w:eastAsia="Times New Roman" w:hAnsi="Arial" w:cs="Arial"/>
                <w:bCs/>
                <w:iCs/>
              </w:rPr>
              <w:t>wind turbines</w:t>
            </w:r>
            <w:r w:rsidRPr="0047219D">
              <w:rPr>
                <w:rFonts w:ascii="Arial" w:eastAsia="Times New Roman" w:hAnsi="Arial" w:cs="Arial"/>
                <w:bCs/>
                <w:iCs/>
              </w:rPr>
              <w:t>, energy storage systems</w:t>
            </w:r>
            <w:r w:rsidR="001F51AF">
              <w:rPr>
                <w:rFonts w:ascii="Arial" w:eastAsia="Times New Roman" w:hAnsi="Arial" w:cs="Arial"/>
                <w:bCs/>
                <w:iCs/>
              </w:rPr>
              <w:t xml:space="preserve"> and instalation cost</w:t>
            </w:r>
          </w:p>
        </w:tc>
        <w:tc>
          <w:tcPr>
            <w:tcW w:w="4470" w:type="dxa"/>
            <w:shd w:val="clear" w:color="auto" w:fill="F9CB9C"/>
            <w:tcMar>
              <w:top w:w="100" w:type="dxa"/>
              <w:left w:w="100" w:type="dxa"/>
              <w:bottom w:w="100" w:type="dxa"/>
              <w:right w:w="100" w:type="dxa"/>
            </w:tcMar>
          </w:tcPr>
          <w:p w14:paraId="6E2D7EB0" w14:textId="3E79F736" w:rsidR="00591030" w:rsidRPr="00B53895" w:rsidRDefault="00591030" w:rsidP="00F4687C">
            <w:pPr>
              <w:widowControl w:val="0"/>
              <w:pBdr>
                <w:top w:val="nil"/>
                <w:left w:val="nil"/>
                <w:bottom w:val="nil"/>
                <w:right w:val="nil"/>
                <w:between w:val="nil"/>
              </w:pBdr>
              <w:spacing w:line="360" w:lineRule="auto"/>
              <w:jc w:val="both"/>
              <w:rPr>
                <w:rFonts w:ascii="Arial" w:eastAsia="Times New Roman" w:hAnsi="Arial" w:cs="Arial"/>
              </w:rPr>
            </w:pPr>
            <w:r w:rsidRPr="00B53895">
              <w:rPr>
                <w:rFonts w:ascii="Arial" w:eastAsia="Times New Roman" w:hAnsi="Arial" w:cs="Arial"/>
              </w:rPr>
              <w:t>£</w:t>
            </w:r>
            <w:r w:rsidR="002752CD">
              <w:rPr>
                <w:rFonts w:ascii="Arial" w:eastAsia="Times New Roman" w:hAnsi="Arial" w:cs="Arial"/>
              </w:rPr>
              <w:t>1</w:t>
            </w:r>
            <w:r w:rsidR="00380065">
              <w:rPr>
                <w:rFonts w:ascii="Arial" w:eastAsia="Times New Roman" w:hAnsi="Arial" w:cs="Arial"/>
              </w:rPr>
              <w:t>5</w:t>
            </w:r>
            <w:r w:rsidR="002752CD">
              <w:rPr>
                <w:rFonts w:ascii="Arial" w:eastAsia="Times New Roman" w:hAnsi="Arial" w:cs="Arial"/>
              </w:rPr>
              <w:t>0</w:t>
            </w:r>
            <w:r w:rsidRPr="00B53895">
              <w:rPr>
                <w:rFonts w:ascii="Arial" w:eastAsia="Times New Roman" w:hAnsi="Arial" w:cs="Arial"/>
              </w:rPr>
              <w:t>,000</w:t>
            </w:r>
          </w:p>
        </w:tc>
      </w:tr>
      <w:tr w:rsidR="00591030" w14:paraId="4CFE090F" w14:textId="77777777" w:rsidTr="00883517">
        <w:trPr>
          <w:trHeight w:val="496"/>
        </w:trPr>
        <w:tc>
          <w:tcPr>
            <w:tcW w:w="4469" w:type="dxa"/>
            <w:shd w:val="clear" w:color="auto" w:fill="E69138"/>
            <w:tcMar>
              <w:top w:w="100" w:type="dxa"/>
              <w:left w:w="100" w:type="dxa"/>
              <w:bottom w:w="100" w:type="dxa"/>
              <w:right w:w="100" w:type="dxa"/>
            </w:tcMar>
          </w:tcPr>
          <w:p w14:paraId="6AA301B8" w14:textId="3D86A3C8" w:rsidR="00591030" w:rsidRPr="0047219D" w:rsidRDefault="006B79ED" w:rsidP="00F4687C">
            <w:pPr>
              <w:widowControl w:val="0"/>
              <w:pBdr>
                <w:top w:val="nil"/>
                <w:left w:val="nil"/>
                <w:bottom w:val="nil"/>
                <w:right w:val="nil"/>
                <w:between w:val="nil"/>
              </w:pBdr>
              <w:spacing w:line="360" w:lineRule="auto"/>
              <w:jc w:val="both"/>
              <w:rPr>
                <w:rFonts w:ascii="Arial" w:eastAsia="Times New Roman" w:hAnsi="Arial" w:cs="Arial"/>
                <w:bCs/>
                <w:iCs/>
              </w:rPr>
            </w:pPr>
            <w:r>
              <w:rPr>
                <w:rFonts w:ascii="Arial" w:eastAsia="Times New Roman" w:hAnsi="Arial" w:cs="Arial"/>
                <w:bCs/>
                <w:iCs/>
              </w:rPr>
              <w:t>Land and leasing expenses</w:t>
            </w:r>
            <w:r w:rsidR="00591030" w:rsidRPr="0047219D">
              <w:rPr>
                <w:rFonts w:ascii="Arial" w:eastAsia="Times New Roman" w:hAnsi="Arial" w:cs="Arial"/>
                <w:bCs/>
                <w:iCs/>
              </w:rPr>
              <w:t xml:space="preserve"> </w:t>
            </w:r>
          </w:p>
        </w:tc>
        <w:tc>
          <w:tcPr>
            <w:tcW w:w="4470" w:type="dxa"/>
            <w:shd w:val="clear" w:color="auto" w:fill="F9CB9C"/>
            <w:tcMar>
              <w:top w:w="100" w:type="dxa"/>
              <w:left w:w="100" w:type="dxa"/>
              <w:bottom w:w="100" w:type="dxa"/>
              <w:right w:w="100" w:type="dxa"/>
            </w:tcMar>
          </w:tcPr>
          <w:p w14:paraId="0A85E064" w14:textId="77777777" w:rsidR="00591030" w:rsidRPr="00B53895" w:rsidRDefault="00591030" w:rsidP="00F4687C">
            <w:pPr>
              <w:widowControl w:val="0"/>
              <w:spacing w:line="360" w:lineRule="auto"/>
              <w:jc w:val="both"/>
              <w:rPr>
                <w:rFonts w:ascii="Arial" w:eastAsia="Times New Roman" w:hAnsi="Arial" w:cs="Arial"/>
              </w:rPr>
            </w:pPr>
            <w:r w:rsidRPr="00B53895">
              <w:rPr>
                <w:rFonts w:ascii="Arial" w:eastAsia="Times New Roman" w:hAnsi="Arial" w:cs="Arial"/>
              </w:rPr>
              <w:t>£30,000</w:t>
            </w:r>
          </w:p>
        </w:tc>
      </w:tr>
      <w:tr w:rsidR="00591030" w14:paraId="59724860" w14:textId="77777777" w:rsidTr="00883517">
        <w:trPr>
          <w:trHeight w:val="841"/>
        </w:trPr>
        <w:tc>
          <w:tcPr>
            <w:tcW w:w="4469" w:type="dxa"/>
            <w:shd w:val="clear" w:color="auto" w:fill="E69138"/>
            <w:tcMar>
              <w:top w:w="100" w:type="dxa"/>
              <w:left w:w="100" w:type="dxa"/>
              <w:bottom w:w="100" w:type="dxa"/>
              <w:right w:w="100" w:type="dxa"/>
            </w:tcMar>
          </w:tcPr>
          <w:p w14:paraId="48AE6F26" w14:textId="77777777" w:rsidR="00591030" w:rsidRPr="0047219D" w:rsidRDefault="00591030" w:rsidP="00F4687C">
            <w:pPr>
              <w:widowControl w:val="0"/>
              <w:pBdr>
                <w:top w:val="nil"/>
                <w:left w:val="nil"/>
                <w:bottom w:val="nil"/>
                <w:right w:val="nil"/>
                <w:between w:val="nil"/>
              </w:pBdr>
              <w:spacing w:line="360" w:lineRule="auto"/>
              <w:jc w:val="both"/>
              <w:rPr>
                <w:rFonts w:ascii="Arial" w:eastAsia="Times New Roman" w:hAnsi="Arial" w:cs="Arial"/>
                <w:bCs/>
                <w:iCs/>
              </w:rPr>
            </w:pPr>
            <w:r w:rsidRPr="0047219D">
              <w:rPr>
                <w:rFonts w:ascii="Arial" w:eastAsia="Times New Roman" w:hAnsi="Arial" w:cs="Arial"/>
                <w:bCs/>
                <w:iCs/>
              </w:rPr>
              <w:t>Marketing through social media platforms such as Facebook, Twitter, and Instagram</w:t>
            </w:r>
          </w:p>
        </w:tc>
        <w:tc>
          <w:tcPr>
            <w:tcW w:w="4470" w:type="dxa"/>
            <w:shd w:val="clear" w:color="auto" w:fill="F9CB9C"/>
            <w:tcMar>
              <w:top w:w="100" w:type="dxa"/>
              <w:left w:w="100" w:type="dxa"/>
              <w:bottom w:w="100" w:type="dxa"/>
              <w:right w:w="100" w:type="dxa"/>
            </w:tcMar>
          </w:tcPr>
          <w:p w14:paraId="66EAD174" w14:textId="13BBA531" w:rsidR="00591030" w:rsidRPr="00B53895" w:rsidRDefault="00591030" w:rsidP="00F4687C">
            <w:pPr>
              <w:widowControl w:val="0"/>
              <w:spacing w:line="360" w:lineRule="auto"/>
              <w:jc w:val="both"/>
              <w:rPr>
                <w:rFonts w:ascii="Arial" w:eastAsia="Times New Roman" w:hAnsi="Arial" w:cs="Arial"/>
              </w:rPr>
            </w:pPr>
            <w:r w:rsidRPr="00B53895">
              <w:rPr>
                <w:rFonts w:ascii="Arial" w:eastAsia="Times New Roman" w:hAnsi="Arial" w:cs="Arial"/>
              </w:rPr>
              <w:t>£1</w:t>
            </w:r>
            <w:r w:rsidR="00C04A8A">
              <w:rPr>
                <w:rFonts w:ascii="Arial" w:eastAsia="Times New Roman" w:hAnsi="Arial" w:cs="Arial"/>
              </w:rPr>
              <w:t>0</w:t>
            </w:r>
            <w:r w:rsidRPr="00B53895">
              <w:rPr>
                <w:rFonts w:ascii="Arial" w:eastAsia="Times New Roman" w:hAnsi="Arial" w:cs="Arial"/>
              </w:rPr>
              <w:t>,000</w:t>
            </w:r>
          </w:p>
        </w:tc>
      </w:tr>
      <w:tr w:rsidR="00591030" w14:paraId="36346576" w14:textId="77777777" w:rsidTr="00883517">
        <w:trPr>
          <w:trHeight w:val="482"/>
        </w:trPr>
        <w:tc>
          <w:tcPr>
            <w:tcW w:w="4469" w:type="dxa"/>
            <w:shd w:val="clear" w:color="auto" w:fill="E69138"/>
            <w:tcMar>
              <w:top w:w="100" w:type="dxa"/>
              <w:left w:w="100" w:type="dxa"/>
              <w:bottom w:w="100" w:type="dxa"/>
              <w:right w:w="100" w:type="dxa"/>
            </w:tcMar>
          </w:tcPr>
          <w:p w14:paraId="104F60AC" w14:textId="77777777" w:rsidR="00591030" w:rsidRPr="0047219D" w:rsidRDefault="00591030" w:rsidP="00F4687C">
            <w:pPr>
              <w:widowControl w:val="0"/>
              <w:pBdr>
                <w:top w:val="nil"/>
                <w:left w:val="nil"/>
                <w:bottom w:val="nil"/>
                <w:right w:val="nil"/>
                <w:between w:val="nil"/>
              </w:pBdr>
              <w:spacing w:line="360" w:lineRule="auto"/>
              <w:jc w:val="both"/>
              <w:rPr>
                <w:rFonts w:ascii="Arial" w:eastAsia="Times New Roman" w:hAnsi="Arial" w:cs="Arial"/>
                <w:bCs/>
                <w:iCs/>
              </w:rPr>
            </w:pPr>
            <w:r w:rsidRPr="0047219D">
              <w:rPr>
                <w:rFonts w:ascii="Arial" w:eastAsia="Times New Roman" w:hAnsi="Arial" w:cs="Arial"/>
                <w:bCs/>
                <w:iCs/>
              </w:rPr>
              <w:t xml:space="preserve">Training and development programs </w:t>
            </w:r>
          </w:p>
        </w:tc>
        <w:tc>
          <w:tcPr>
            <w:tcW w:w="4470" w:type="dxa"/>
            <w:shd w:val="clear" w:color="auto" w:fill="F9CB9C"/>
            <w:tcMar>
              <w:top w:w="100" w:type="dxa"/>
              <w:left w:w="100" w:type="dxa"/>
              <w:bottom w:w="100" w:type="dxa"/>
              <w:right w:w="100" w:type="dxa"/>
            </w:tcMar>
          </w:tcPr>
          <w:p w14:paraId="503C5923" w14:textId="72E72644" w:rsidR="00591030" w:rsidRPr="00B53895" w:rsidRDefault="00591030" w:rsidP="00F4687C">
            <w:pPr>
              <w:widowControl w:val="0"/>
              <w:spacing w:line="360" w:lineRule="auto"/>
              <w:jc w:val="both"/>
              <w:rPr>
                <w:rFonts w:ascii="Arial" w:eastAsia="Times New Roman" w:hAnsi="Arial" w:cs="Arial"/>
              </w:rPr>
            </w:pPr>
            <w:r w:rsidRPr="00B53895">
              <w:rPr>
                <w:rFonts w:ascii="Arial" w:eastAsia="Times New Roman" w:hAnsi="Arial" w:cs="Arial"/>
              </w:rPr>
              <w:t>£</w:t>
            </w:r>
            <w:r w:rsidR="002D2D5E">
              <w:rPr>
                <w:rFonts w:ascii="Arial" w:eastAsia="Times New Roman" w:hAnsi="Arial" w:cs="Arial"/>
              </w:rPr>
              <w:t>1</w:t>
            </w:r>
            <w:r w:rsidR="00357412">
              <w:rPr>
                <w:rFonts w:ascii="Arial" w:eastAsia="Times New Roman" w:hAnsi="Arial" w:cs="Arial"/>
              </w:rPr>
              <w:t>0</w:t>
            </w:r>
            <w:r w:rsidRPr="00B53895">
              <w:rPr>
                <w:rFonts w:ascii="Arial" w:eastAsia="Times New Roman" w:hAnsi="Arial" w:cs="Arial"/>
              </w:rPr>
              <w:t>,000</w:t>
            </w:r>
          </w:p>
        </w:tc>
      </w:tr>
      <w:tr w:rsidR="00591030" w14:paraId="6AA27979" w14:textId="77777777" w:rsidTr="00883517">
        <w:trPr>
          <w:trHeight w:val="496"/>
        </w:trPr>
        <w:tc>
          <w:tcPr>
            <w:tcW w:w="4469" w:type="dxa"/>
            <w:shd w:val="clear" w:color="auto" w:fill="E69138"/>
            <w:tcMar>
              <w:top w:w="100" w:type="dxa"/>
              <w:left w:w="100" w:type="dxa"/>
              <w:bottom w:w="100" w:type="dxa"/>
              <w:right w:w="100" w:type="dxa"/>
            </w:tcMar>
          </w:tcPr>
          <w:p w14:paraId="1325403A" w14:textId="77777777" w:rsidR="00591030" w:rsidRPr="006C0AFA" w:rsidRDefault="00591030" w:rsidP="00F4687C">
            <w:pPr>
              <w:widowControl w:val="0"/>
              <w:pBdr>
                <w:top w:val="nil"/>
                <w:left w:val="nil"/>
                <w:bottom w:val="nil"/>
                <w:right w:val="nil"/>
                <w:between w:val="nil"/>
              </w:pBdr>
              <w:spacing w:line="360" w:lineRule="auto"/>
              <w:jc w:val="both"/>
              <w:rPr>
                <w:rFonts w:ascii="Arial" w:eastAsia="Times New Roman" w:hAnsi="Arial" w:cs="Arial"/>
                <w:bCs/>
                <w:iCs/>
              </w:rPr>
            </w:pPr>
            <w:r w:rsidRPr="006C0AFA">
              <w:rPr>
                <w:rFonts w:ascii="Arial" w:eastAsia="Times New Roman" w:hAnsi="Arial" w:cs="Arial"/>
                <w:bCs/>
                <w:iCs/>
              </w:rPr>
              <w:t>Operational units</w:t>
            </w:r>
          </w:p>
        </w:tc>
        <w:tc>
          <w:tcPr>
            <w:tcW w:w="4470" w:type="dxa"/>
            <w:shd w:val="clear" w:color="auto" w:fill="F9CB9C"/>
            <w:tcMar>
              <w:top w:w="100" w:type="dxa"/>
              <w:left w:w="100" w:type="dxa"/>
              <w:bottom w:w="100" w:type="dxa"/>
              <w:right w:w="100" w:type="dxa"/>
            </w:tcMar>
          </w:tcPr>
          <w:p w14:paraId="171DBB2D" w14:textId="32DF1C98" w:rsidR="00591030" w:rsidRPr="00B53895" w:rsidRDefault="00591030" w:rsidP="00F4687C">
            <w:pPr>
              <w:widowControl w:val="0"/>
              <w:spacing w:line="360" w:lineRule="auto"/>
              <w:jc w:val="both"/>
              <w:rPr>
                <w:rFonts w:ascii="Arial" w:eastAsia="Times New Roman" w:hAnsi="Arial" w:cs="Arial"/>
              </w:rPr>
            </w:pPr>
            <w:r w:rsidRPr="00B53895">
              <w:rPr>
                <w:rFonts w:ascii="Arial" w:eastAsia="Times New Roman" w:hAnsi="Arial" w:cs="Arial"/>
              </w:rPr>
              <w:t>£</w:t>
            </w:r>
            <w:r w:rsidR="002D2D5E">
              <w:rPr>
                <w:rFonts w:ascii="Arial" w:eastAsia="Times New Roman" w:hAnsi="Arial" w:cs="Arial"/>
              </w:rPr>
              <w:t>70</w:t>
            </w:r>
            <w:r w:rsidRPr="00B53895">
              <w:rPr>
                <w:rFonts w:ascii="Arial" w:eastAsia="Times New Roman" w:hAnsi="Arial" w:cs="Arial"/>
              </w:rPr>
              <w:t>,000</w:t>
            </w:r>
          </w:p>
        </w:tc>
      </w:tr>
      <w:tr w:rsidR="00591030" w14:paraId="35FA0A95" w14:textId="77777777" w:rsidTr="00883517">
        <w:trPr>
          <w:trHeight w:val="524"/>
        </w:trPr>
        <w:tc>
          <w:tcPr>
            <w:tcW w:w="4469" w:type="dxa"/>
            <w:shd w:val="clear" w:color="auto" w:fill="E69138"/>
            <w:tcMar>
              <w:top w:w="100" w:type="dxa"/>
              <w:left w:w="100" w:type="dxa"/>
              <w:bottom w:w="100" w:type="dxa"/>
              <w:right w:w="100" w:type="dxa"/>
            </w:tcMar>
          </w:tcPr>
          <w:p w14:paraId="761B05C6" w14:textId="4D7031FB" w:rsidR="00591030" w:rsidRPr="00965CC3" w:rsidRDefault="00F83D01" w:rsidP="00F4687C">
            <w:pPr>
              <w:widowControl w:val="0"/>
              <w:pBdr>
                <w:top w:val="nil"/>
                <w:left w:val="nil"/>
                <w:bottom w:val="nil"/>
                <w:right w:val="nil"/>
                <w:between w:val="nil"/>
              </w:pBdr>
              <w:spacing w:line="360" w:lineRule="auto"/>
              <w:jc w:val="both"/>
              <w:rPr>
                <w:rFonts w:ascii="Times New Roman" w:eastAsia="Times New Roman" w:hAnsi="Times New Roman" w:cs="Times New Roman"/>
                <w:bCs/>
                <w:iCs/>
                <w:sz w:val="24"/>
                <w:szCs w:val="24"/>
              </w:rPr>
            </w:pPr>
            <w:r w:rsidRPr="00965CC3">
              <w:rPr>
                <w:rFonts w:ascii="Times New Roman" w:eastAsia="Times New Roman" w:hAnsi="Times New Roman" w:cs="Times New Roman"/>
                <w:bCs/>
                <w:iCs/>
                <w:sz w:val="24"/>
                <w:szCs w:val="24"/>
              </w:rPr>
              <w:t xml:space="preserve">Initial maintenance and </w:t>
            </w:r>
            <w:r w:rsidR="00B406C1" w:rsidRPr="00965CC3">
              <w:rPr>
                <w:rFonts w:ascii="Times New Roman" w:eastAsia="Times New Roman" w:hAnsi="Times New Roman" w:cs="Times New Roman"/>
                <w:bCs/>
                <w:iCs/>
                <w:sz w:val="24"/>
                <w:szCs w:val="24"/>
              </w:rPr>
              <w:t>servicing equipment</w:t>
            </w:r>
          </w:p>
        </w:tc>
        <w:tc>
          <w:tcPr>
            <w:tcW w:w="4470" w:type="dxa"/>
            <w:shd w:val="clear" w:color="auto" w:fill="F9CB9C"/>
            <w:tcMar>
              <w:top w:w="100" w:type="dxa"/>
              <w:left w:w="100" w:type="dxa"/>
              <w:bottom w:w="100" w:type="dxa"/>
              <w:right w:w="100" w:type="dxa"/>
            </w:tcMar>
          </w:tcPr>
          <w:p w14:paraId="05B96F93" w14:textId="2260F313" w:rsidR="006C0AFA" w:rsidRDefault="00591030" w:rsidP="006C0AFA">
            <w:pPr>
              <w:widowControl w:val="0"/>
              <w:tabs>
                <w:tab w:val="left" w:pos="289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CC5B12">
              <w:rPr>
                <w:rFonts w:ascii="Times New Roman" w:eastAsia="Times New Roman" w:hAnsi="Times New Roman" w:cs="Times New Roman"/>
                <w:sz w:val="24"/>
                <w:szCs w:val="24"/>
              </w:rPr>
              <w:t>35</w:t>
            </w:r>
            <w:r>
              <w:rPr>
                <w:rFonts w:ascii="Times New Roman" w:eastAsia="Times New Roman" w:hAnsi="Times New Roman" w:cs="Times New Roman"/>
                <w:sz w:val="24"/>
                <w:szCs w:val="24"/>
              </w:rPr>
              <w:t>,000</w:t>
            </w:r>
            <w:r w:rsidR="006C0AFA">
              <w:rPr>
                <w:rFonts w:ascii="Times New Roman" w:eastAsia="Times New Roman" w:hAnsi="Times New Roman" w:cs="Times New Roman"/>
                <w:sz w:val="24"/>
                <w:szCs w:val="24"/>
              </w:rPr>
              <w:tab/>
            </w:r>
          </w:p>
        </w:tc>
      </w:tr>
      <w:tr w:rsidR="006C0AFA" w14:paraId="36D04D7E" w14:textId="77777777" w:rsidTr="00883517">
        <w:trPr>
          <w:trHeight w:val="524"/>
        </w:trPr>
        <w:tc>
          <w:tcPr>
            <w:tcW w:w="4469" w:type="dxa"/>
            <w:shd w:val="clear" w:color="auto" w:fill="E69138"/>
            <w:tcMar>
              <w:top w:w="100" w:type="dxa"/>
              <w:left w:w="100" w:type="dxa"/>
              <w:bottom w:w="100" w:type="dxa"/>
              <w:right w:w="100" w:type="dxa"/>
            </w:tcMar>
          </w:tcPr>
          <w:p w14:paraId="68D3E5D4" w14:textId="5C55E988" w:rsidR="006C0AFA" w:rsidRPr="006C0AFA" w:rsidRDefault="006C0AFA" w:rsidP="00F4687C">
            <w:pPr>
              <w:widowControl w:val="0"/>
              <w:pBdr>
                <w:top w:val="nil"/>
                <w:left w:val="nil"/>
                <w:bottom w:val="nil"/>
                <w:right w:val="nil"/>
                <w:between w:val="nil"/>
              </w:pBd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Licenses and permits </w:t>
            </w:r>
          </w:p>
        </w:tc>
        <w:tc>
          <w:tcPr>
            <w:tcW w:w="4470" w:type="dxa"/>
            <w:shd w:val="clear" w:color="auto" w:fill="F9CB9C"/>
            <w:tcMar>
              <w:top w:w="100" w:type="dxa"/>
              <w:left w:w="100" w:type="dxa"/>
              <w:bottom w:w="100" w:type="dxa"/>
              <w:right w:w="100" w:type="dxa"/>
            </w:tcMar>
          </w:tcPr>
          <w:p w14:paraId="2424E776" w14:textId="72493016" w:rsidR="006C0AFA" w:rsidRDefault="0095033A" w:rsidP="006C0AFA">
            <w:pPr>
              <w:widowControl w:val="0"/>
              <w:tabs>
                <w:tab w:val="left" w:pos="289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1F4FD0">
              <w:rPr>
                <w:rFonts w:ascii="Times New Roman" w:eastAsia="Times New Roman" w:hAnsi="Times New Roman" w:cs="Times New Roman"/>
                <w:sz w:val="24"/>
                <w:szCs w:val="24"/>
              </w:rPr>
              <w:t>,</w:t>
            </w:r>
            <w:r>
              <w:rPr>
                <w:rFonts w:ascii="Times New Roman" w:eastAsia="Times New Roman" w:hAnsi="Times New Roman" w:cs="Times New Roman"/>
                <w:sz w:val="24"/>
                <w:szCs w:val="24"/>
              </w:rPr>
              <w:t>000</w:t>
            </w:r>
          </w:p>
        </w:tc>
      </w:tr>
      <w:tr w:rsidR="006C0AFA" w14:paraId="7DE5FF0B" w14:textId="77777777" w:rsidTr="00883517">
        <w:trPr>
          <w:trHeight w:val="524"/>
        </w:trPr>
        <w:tc>
          <w:tcPr>
            <w:tcW w:w="4469" w:type="dxa"/>
            <w:shd w:val="clear" w:color="auto" w:fill="E69138"/>
            <w:tcMar>
              <w:top w:w="100" w:type="dxa"/>
              <w:left w:w="100" w:type="dxa"/>
              <w:bottom w:w="100" w:type="dxa"/>
              <w:right w:w="100" w:type="dxa"/>
            </w:tcMar>
          </w:tcPr>
          <w:p w14:paraId="0ACC1ECE" w14:textId="62109E49" w:rsidR="006C0AFA" w:rsidRPr="006C0AFA" w:rsidRDefault="00B406C1" w:rsidP="00F4687C">
            <w:pPr>
              <w:widowControl w:val="0"/>
              <w:pBdr>
                <w:top w:val="nil"/>
                <w:left w:val="nil"/>
                <w:bottom w:val="nil"/>
                <w:right w:val="nil"/>
                <w:between w:val="nil"/>
              </w:pBd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Other expenses</w:t>
            </w:r>
          </w:p>
        </w:tc>
        <w:tc>
          <w:tcPr>
            <w:tcW w:w="4470" w:type="dxa"/>
            <w:shd w:val="clear" w:color="auto" w:fill="F9CB9C"/>
            <w:tcMar>
              <w:top w:w="100" w:type="dxa"/>
              <w:left w:w="100" w:type="dxa"/>
              <w:bottom w:w="100" w:type="dxa"/>
              <w:right w:w="100" w:type="dxa"/>
            </w:tcMar>
          </w:tcPr>
          <w:p w14:paraId="53C66A39" w14:textId="443A6B93" w:rsidR="006C0AFA" w:rsidRDefault="001F4FD0" w:rsidP="006C0AFA">
            <w:pPr>
              <w:widowControl w:val="0"/>
              <w:tabs>
                <w:tab w:val="left" w:pos="289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591030" w14:paraId="2A3C8013" w14:textId="77777777" w:rsidTr="00883517">
        <w:trPr>
          <w:trHeight w:val="205"/>
        </w:trPr>
        <w:tc>
          <w:tcPr>
            <w:tcW w:w="4469" w:type="dxa"/>
            <w:shd w:val="clear" w:color="auto" w:fill="E69138"/>
            <w:tcMar>
              <w:top w:w="100" w:type="dxa"/>
              <w:left w:w="100" w:type="dxa"/>
              <w:bottom w:w="100" w:type="dxa"/>
              <w:right w:w="100" w:type="dxa"/>
            </w:tcMar>
          </w:tcPr>
          <w:p w14:paraId="5474C819" w14:textId="77777777" w:rsidR="00591030" w:rsidRDefault="00591030" w:rsidP="00F4687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Total </w:t>
            </w:r>
          </w:p>
        </w:tc>
        <w:tc>
          <w:tcPr>
            <w:tcW w:w="4470" w:type="dxa"/>
            <w:shd w:val="clear" w:color="auto" w:fill="F9CB9C"/>
            <w:tcMar>
              <w:top w:w="100" w:type="dxa"/>
              <w:left w:w="100" w:type="dxa"/>
              <w:bottom w:w="100" w:type="dxa"/>
              <w:right w:w="100" w:type="dxa"/>
            </w:tcMar>
          </w:tcPr>
          <w:p w14:paraId="1F2D5C59" w14:textId="6F64FA6D" w:rsidR="00591030" w:rsidRDefault="00591030" w:rsidP="00F4687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14F99">
              <w:rPr>
                <w:rFonts w:ascii="Times New Roman" w:eastAsia="Times New Roman" w:hAnsi="Times New Roman" w:cs="Times New Roman"/>
                <w:sz w:val="24"/>
                <w:szCs w:val="24"/>
              </w:rPr>
              <w:t>335</w:t>
            </w:r>
            <w:r>
              <w:rPr>
                <w:rFonts w:ascii="Times New Roman" w:eastAsia="Times New Roman" w:hAnsi="Times New Roman" w:cs="Times New Roman"/>
                <w:sz w:val="24"/>
                <w:szCs w:val="24"/>
              </w:rPr>
              <w:t>, 000</w:t>
            </w:r>
          </w:p>
        </w:tc>
      </w:tr>
    </w:tbl>
    <w:p w14:paraId="48871BD0" w14:textId="68CA9F31" w:rsidR="00591030" w:rsidRDefault="004A700D" w:rsidP="004A700D">
      <w:pPr>
        <w:spacing w:line="360" w:lineRule="auto"/>
        <w:jc w:val="center"/>
        <w:rPr>
          <w:rFonts w:ascii="Arial" w:hAnsi="Arial" w:cs="Arial"/>
          <w:sz w:val="24"/>
          <w:szCs w:val="24"/>
          <w:lang w:val="en-GB"/>
        </w:rPr>
      </w:pPr>
      <w:r>
        <w:rPr>
          <w:rFonts w:ascii="Arial" w:hAnsi="Arial" w:cs="Arial"/>
          <w:sz w:val="24"/>
          <w:szCs w:val="24"/>
          <w:lang w:val="en-GB"/>
        </w:rPr>
        <w:t>Table</w:t>
      </w:r>
      <w:r w:rsidR="009309F1">
        <w:rPr>
          <w:rFonts w:ascii="Arial" w:hAnsi="Arial" w:cs="Arial"/>
          <w:sz w:val="24"/>
          <w:szCs w:val="24"/>
          <w:lang w:val="en-GB"/>
        </w:rPr>
        <w:t xml:space="preserve"> </w:t>
      </w:r>
      <w:r w:rsidR="00FB24EA">
        <w:rPr>
          <w:rFonts w:ascii="Arial" w:hAnsi="Arial" w:cs="Arial"/>
          <w:sz w:val="24"/>
          <w:szCs w:val="24"/>
          <w:lang w:val="en-GB"/>
        </w:rPr>
        <w:t>2</w:t>
      </w:r>
      <w:r w:rsidR="009309F1">
        <w:rPr>
          <w:rFonts w:ascii="Arial" w:hAnsi="Arial" w:cs="Arial"/>
          <w:sz w:val="24"/>
          <w:szCs w:val="24"/>
          <w:lang w:val="en-GB"/>
        </w:rPr>
        <w:t>. Initial budget plan</w:t>
      </w:r>
      <w:r w:rsidR="0079604C">
        <w:rPr>
          <w:rFonts w:ascii="Arial" w:hAnsi="Arial" w:cs="Arial"/>
          <w:sz w:val="24"/>
          <w:szCs w:val="24"/>
          <w:lang w:val="en-GB"/>
        </w:rPr>
        <w:t xml:space="preserve"> 2023</w:t>
      </w:r>
    </w:p>
    <w:p w14:paraId="0722B8EA" w14:textId="290E416D" w:rsidR="009309F1" w:rsidRDefault="009309F1" w:rsidP="004A700D">
      <w:pPr>
        <w:spacing w:line="360" w:lineRule="auto"/>
        <w:jc w:val="center"/>
        <w:rPr>
          <w:rFonts w:ascii="Arial" w:hAnsi="Arial" w:cs="Arial"/>
          <w:sz w:val="24"/>
          <w:szCs w:val="24"/>
          <w:lang w:val="en-GB"/>
        </w:rPr>
      </w:pPr>
      <w:r>
        <w:rPr>
          <w:rFonts w:ascii="Arial" w:hAnsi="Arial" w:cs="Arial"/>
          <w:sz w:val="24"/>
          <w:szCs w:val="24"/>
          <w:lang w:val="en-GB"/>
        </w:rPr>
        <w:lastRenderedPageBreak/>
        <w:t>Source: Author (2023)</w:t>
      </w:r>
    </w:p>
    <w:p w14:paraId="4B53986C" w14:textId="77777777" w:rsidR="00CE7F1A" w:rsidRDefault="00A91277" w:rsidP="00A91277">
      <w:pPr>
        <w:spacing w:line="360" w:lineRule="auto"/>
        <w:rPr>
          <w:rFonts w:ascii="Arial" w:hAnsi="Arial" w:cs="Arial"/>
          <w:sz w:val="24"/>
          <w:szCs w:val="24"/>
          <w:lang w:val="en-GB"/>
        </w:rPr>
      </w:pPr>
      <w:r w:rsidRPr="00A91277">
        <w:rPr>
          <w:rFonts w:ascii="Arial" w:hAnsi="Arial" w:cs="Arial"/>
          <w:sz w:val="24"/>
          <w:szCs w:val="24"/>
          <w:lang w:val="en-GB"/>
        </w:rPr>
        <w:t>Based on the information provided by GOV.UK (2021), it is said that offshore wind energy will get an annual financing of £200 million. Specifically, an initial allocation of £24 million will be dedicated to floating offshore wind projects, while £20 million will be directed towards tidal stream projects. Notably, this funding also encompasses solar and onshore wind initiatives, marking their inclusion for the first time since 2015.</w:t>
      </w:r>
    </w:p>
    <w:p w14:paraId="4ECF2DA3" w14:textId="1234EC60" w:rsidR="00A91277" w:rsidRDefault="00D73EE9" w:rsidP="00A91277">
      <w:pPr>
        <w:spacing w:line="360" w:lineRule="auto"/>
        <w:rPr>
          <w:rFonts w:ascii="Arial" w:hAnsi="Arial" w:cs="Arial"/>
          <w:sz w:val="24"/>
          <w:szCs w:val="24"/>
          <w:lang w:val="en-GB"/>
        </w:rPr>
      </w:pPr>
      <w:r w:rsidRPr="00D73EE9">
        <w:rPr>
          <w:rFonts w:ascii="Arial" w:hAnsi="Arial" w:cs="Arial"/>
          <w:sz w:val="24"/>
          <w:szCs w:val="24"/>
          <w:lang w:val="en-GB"/>
        </w:rPr>
        <w:t>In order to get the necessary funding, it would be necessary to obtain an external grant</w:t>
      </w:r>
      <w:r w:rsidR="00430DB1">
        <w:rPr>
          <w:rFonts w:ascii="Arial" w:hAnsi="Arial" w:cs="Arial"/>
          <w:sz w:val="24"/>
          <w:szCs w:val="24"/>
          <w:lang w:val="en-GB"/>
        </w:rPr>
        <w:t xml:space="preserve"> of £3</w:t>
      </w:r>
      <w:r w:rsidR="00246ACF">
        <w:rPr>
          <w:rFonts w:ascii="Arial" w:hAnsi="Arial" w:cs="Arial"/>
          <w:sz w:val="24"/>
          <w:szCs w:val="24"/>
          <w:lang w:val="en-GB"/>
        </w:rPr>
        <w:t>5</w:t>
      </w:r>
      <w:r w:rsidR="00430DB1">
        <w:rPr>
          <w:rFonts w:ascii="Arial" w:hAnsi="Arial" w:cs="Arial"/>
          <w:sz w:val="24"/>
          <w:szCs w:val="24"/>
          <w:lang w:val="en-GB"/>
        </w:rPr>
        <w:t>,000</w:t>
      </w:r>
      <w:r w:rsidRPr="00D73EE9">
        <w:rPr>
          <w:rFonts w:ascii="Arial" w:hAnsi="Arial" w:cs="Arial"/>
          <w:sz w:val="24"/>
          <w:szCs w:val="24"/>
          <w:lang w:val="en-GB"/>
        </w:rPr>
        <w:t xml:space="preserve"> from </w:t>
      </w:r>
      <w:r w:rsidR="00B3136B">
        <w:rPr>
          <w:rFonts w:ascii="Arial" w:hAnsi="Arial" w:cs="Arial"/>
          <w:sz w:val="24"/>
          <w:szCs w:val="24"/>
          <w:lang w:val="en-GB"/>
        </w:rPr>
        <w:t>the Government</w:t>
      </w:r>
      <w:r w:rsidR="004B5331">
        <w:rPr>
          <w:rFonts w:ascii="Arial" w:hAnsi="Arial" w:cs="Arial"/>
          <w:sz w:val="24"/>
          <w:szCs w:val="24"/>
          <w:lang w:val="en-GB"/>
        </w:rPr>
        <w:t xml:space="preserve"> or </w:t>
      </w:r>
      <w:r w:rsidR="00276A4E">
        <w:rPr>
          <w:rFonts w:ascii="Arial" w:hAnsi="Arial" w:cs="Arial"/>
          <w:sz w:val="24"/>
          <w:szCs w:val="24"/>
          <w:lang w:val="en-GB"/>
        </w:rPr>
        <w:t xml:space="preserve">foundations </w:t>
      </w:r>
      <w:r w:rsidRPr="00D73EE9">
        <w:rPr>
          <w:rFonts w:ascii="Arial" w:hAnsi="Arial" w:cs="Arial"/>
          <w:sz w:val="24"/>
          <w:szCs w:val="24"/>
          <w:lang w:val="en-GB"/>
        </w:rPr>
        <w:t>and a</w:t>
      </w:r>
      <w:r w:rsidR="00C21ABD">
        <w:rPr>
          <w:rFonts w:ascii="Arial" w:hAnsi="Arial" w:cs="Arial"/>
          <w:sz w:val="24"/>
          <w:szCs w:val="24"/>
          <w:lang w:val="en-GB"/>
        </w:rPr>
        <w:t>n</w:t>
      </w:r>
      <w:r w:rsidRPr="00D73EE9">
        <w:rPr>
          <w:rFonts w:ascii="Arial" w:hAnsi="Arial" w:cs="Arial"/>
          <w:sz w:val="24"/>
          <w:szCs w:val="24"/>
          <w:lang w:val="en-GB"/>
        </w:rPr>
        <w:t xml:space="preserve"> </w:t>
      </w:r>
      <w:r w:rsidR="00C21ABD">
        <w:rPr>
          <w:rFonts w:ascii="Arial" w:hAnsi="Arial" w:cs="Arial"/>
          <w:sz w:val="24"/>
          <w:szCs w:val="24"/>
          <w:lang w:val="en-GB"/>
        </w:rPr>
        <w:t>interest free loan</w:t>
      </w:r>
      <w:r w:rsidR="00DD1FEB">
        <w:rPr>
          <w:rFonts w:ascii="Arial" w:hAnsi="Arial" w:cs="Arial"/>
          <w:sz w:val="24"/>
          <w:szCs w:val="24"/>
          <w:lang w:val="en-GB"/>
        </w:rPr>
        <w:t xml:space="preserve"> from Scottish </w:t>
      </w:r>
      <w:r w:rsidR="00D1477E">
        <w:rPr>
          <w:rFonts w:ascii="Arial" w:hAnsi="Arial" w:cs="Arial"/>
          <w:sz w:val="24"/>
          <w:szCs w:val="24"/>
          <w:lang w:val="en-GB"/>
        </w:rPr>
        <w:t>Enterprise</w:t>
      </w:r>
      <w:r w:rsidR="005D0DEF">
        <w:rPr>
          <w:rFonts w:ascii="Arial" w:hAnsi="Arial" w:cs="Arial"/>
          <w:sz w:val="24"/>
          <w:szCs w:val="24"/>
          <w:lang w:val="en-GB"/>
        </w:rPr>
        <w:t xml:space="preserve"> of £</w:t>
      </w:r>
      <w:r w:rsidR="00240CFC">
        <w:rPr>
          <w:rFonts w:ascii="Arial" w:hAnsi="Arial" w:cs="Arial"/>
          <w:sz w:val="24"/>
          <w:szCs w:val="24"/>
          <w:lang w:val="en-GB"/>
        </w:rPr>
        <w:t>250,000</w:t>
      </w:r>
      <w:r w:rsidR="00240CFC" w:rsidRPr="00D73EE9">
        <w:rPr>
          <w:rFonts w:ascii="Arial" w:hAnsi="Arial" w:cs="Arial"/>
          <w:sz w:val="24"/>
          <w:szCs w:val="24"/>
          <w:lang w:val="en-GB"/>
        </w:rPr>
        <w:t>.</w:t>
      </w:r>
      <w:r w:rsidR="00240CFC">
        <w:rPr>
          <w:rFonts w:ascii="Arial" w:hAnsi="Arial" w:cs="Arial"/>
          <w:sz w:val="24"/>
          <w:szCs w:val="24"/>
          <w:lang w:val="en-GB"/>
        </w:rPr>
        <w:t xml:space="preserve"> The</w:t>
      </w:r>
      <w:r w:rsidR="00FE5ACA">
        <w:rPr>
          <w:rFonts w:ascii="Arial" w:hAnsi="Arial" w:cs="Arial"/>
          <w:sz w:val="24"/>
          <w:szCs w:val="24"/>
          <w:lang w:val="en-GB"/>
        </w:rPr>
        <w:t xml:space="preserve"> rest of £50,000 are personal investment</w:t>
      </w:r>
      <w:r w:rsidR="00CB28CF">
        <w:rPr>
          <w:rFonts w:ascii="Arial" w:hAnsi="Arial" w:cs="Arial"/>
          <w:sz w:val="24"/>
          <w:szCs w:val="24"/>
          <w:lang w:val="en-GB"/>
        </w:rPr>
        <w:t>.</w:t>
      </w:r>
      <w:r w:rsidRPr="00D73EE9">
        <w:rPr>
          <w:rFonts w:ascii="Arial" w:hAnsi="Arial" w:cs="Arial"/>
          <w:sz w:val="24"/>
          <w:szCs w:val="24"/>
          <w:lang w:val="en-GB"/>
        </w:rPr>
        <w:t xml:space="preserve"> </w:t>
      </w:r>
      <w:r w:rsidR="003F2422" w:rsidRPr="003F2422">
        <w:rPr>
          <w:rFonts w:ascii="Arial" w:hAnsi="Arial" w:cs="Arial"/>
          <w:sz w:val="24"/>
          <w:szCs w:val="24"/>
          <w:lang w:val="en-GB"/>
        </w:rPr>
        <w:t>Scotland benefits from a wide array of financial schemes that cater to varied demographics. Foundation Scotland (2022) states that a portion of its funding are accessible across Scotland, while some are targeted towards certain geographical regions or thematic areas.</w:t>
      </w:r>
      <w:r w:rsidR="002E5AB1">
        <w:rPr>
          <w:rFonts w:ascii="Arial" w:hAnsi="Arial" w:cs="Arial"/>
          <w:sz w:val="24"/>
          <w:szCs w:val="24"/>
          <w:lang w:val="en-GB"/>
        </w:rPr>
        <w:t xml:space="preserve"> </w:t>
      </w:r>
      <w:r w:rsidR="00CE7F1A" w:rsidRPr="00CE7F1A">
        <w:rPr>
          <w:rFonts w:ascii="Arial" w:hAnsi="Arial" w:cs="Arial"/>
          <w:sz w:val="24"/>
          <w:szCs w:val="24"/>
          <w:lang w:val="en-GB"/>
        </w:rPr>
        <w:t>According to Scottish Enterprise (2023), the Scottish Loan Scheme offers loan assistance ranging from £250,000 to £2 million to Scottish enterprises with a growth-oriented emphasis, provided they possess a credible business strategy and have a clear capacity to repay the borrowed amount.</w:t>
      </w:r>
      <w:r w:rsidR="00CE7F1A">
        <w:rPr>
          <w:rFonts w:ascii="Arial" w:hAnsi="Arial" w:cs="Arial"/>
          <w:sz w:val="24"/>
          <w:szCs w:val="24"/>
          <w:lang w:val="en-GB"/>
        </w:rPr>
        <w:t xml:space="preserve"> </w:t>
      </w:r>
      <w:r w:rsidRPr="00D73EE9">
        <w:rPr>
          <w:rFonts w:ascii="Arial" w:hAnsi="Arial" w:cs="Arial"/>
          <w:sz w:val="24"/>
          <w:szCs w:val="24"/>
          <w:lang w:val="en-GB"/>
        </w:rPr>
        <w:t>This will facilitate the alignment with the Eco-wind energy farm's dedication to upholding environmental sustainability.</w:t>
      </w:r>
    </w:p>
    <w:tbl>
      <w:tblPr>
        <w:tblStyle w:val="TableGrid"/>
        <w:tblW w:w="0" w:type="auto"/>
        <w:tblLook w:val="04A0" w:firstRow="1" w:lastRow="0" w:firstColumn="1" w:lastColumn="0" w:noHBand="0" w:noVBand="1"/>
      </w:tblPr>
      <w:tblGrid>
        <w:gridCol w:w="1389"/>
        <w:gridCol w:w="1217"/>
        <w:gridCol w:w="1282"/>
        <w:gridCol w:w="1282"/>
        <w:gridCol w:w="1282"/>
        <w:gridCol w:w="1282"/>
        <w:gridCol w:w="1282"/>
      </w:tblGrid>
      <w:tr w:rsidR="00C35298" w14:paraId="15478455" w14:textId="0AD76CA3" w:rsidTr="00115E9C">
        <w:tc>
          <w:tcPr>
            <w:tcW w:w="1890" w:type="dxa"/>
          </w:tcPr>
          <w:p w14:paraId="13E73EE5" w14:textId="70938684"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Cash in flow</w:t>
            </w:r>
          </w:p>
        </w:tc>
        <w:tc>
          <w:tcPr>
            <w:tcW w:w="1691" w:type="dxa"/>
          </w:tcPr>
          <w:p w14:paraId="2964A62B" w14:textId="3F2EF5B6"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Budget- starting point</w:t>
            </w:r>
          </w:p>
        </w:tc>
        <w:tc>
          <w:tcPr>
            <w:tcW w:w="1343" w:type="dxa"/>
          </w:tcPr>
          <w:p w14:paraId="088DA298" w14:textId="4840EC4F"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Year 1</w:t>
            </w:r>
          </w:p>
        </w:tc>
        <w:tc>
          <w:tcPr>
            <w:tcW w:w="1134" w:type="dxa"/>
          </w:tcPr>
          <w:p w14:paraId="685C4F13" w14:textId="684C8B9E"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Year 2</w:t>
            </w:r>
          </w:p>
        </w:tc>
        <w:tc>
          <w:tcPr>
            <w:tcW w:w="1134" w:type="dxa"/>
          </w:tcPr>
          <w:p w14:paraId="2D77B107" w14:textId="7AAD755B"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Year 3</w:t>
            </w:r>
          </w:p>
        </w:tc>
        <w:tc>
          <w:tcPr>
            <w:tcW w:w="912" w:type="dxa"/>
          </w:tcPr>
          <w:p w14:paraId="010E0116" w14:textId="0DD4A576"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Year 4</w:t>
            </w:r>
          </w:p>
        </w:tc>
        <w:tc>
          <w:tcPr>
            <w:tcW w:w="912" w:type="dxa"/>
          </w:tcPr>
          <w:p w14:paraId="056F5713" w14:textId="6D3589BA"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Year 5</w:t>
            </w:r>
          </w:p>
        </w:tc>
      </w:tr>
      <w:tr w:rsidR="00C35298" w14:paraId="728FC5EB" w14:textId="1B6C2DAD" w:rsidTr="00115E9C">
        <w:tc>
          <w:tcPr>
            <w:tcW w:w="1890" w:type="dxa"/>
          </w:tcPr>
          <w:p w14:paraId="27F79A87" w14:textId="682E7A82"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Total anticipated sales</w:t>
            </w:r>
          </w:p>
        </w:tc>
        <w:tc>
          <w:tcPr>
            <w:tcW w:w="1691" w:type="dxa"/>
          </w:tcPr>
          <w:p w14:paraId="60F00229" w14:textId="46A7DD44"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343" w:type="dxa"/>
          </w:tcPr>
          <w:p w14:paraId="61C3F906" w14:textId="52FAC293"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3</w:t>
            </w:r>
            <w:r w:rsidR="00C35298">
              <w:rPr>
                <w:rFonts w:ascii="Arial" w:hAnsi="Arial" w:cs="Arial"/>
                <w:sz w:val="24"/>
                <w:szCs w:val="24"/>
                <w:lang w:val="en-GB"/>
              </w:rPr>
              <w:t>,</w:t>
            </w:r>
            <w:r>
              <w:rPr>
                <w:rFonts w:ascii="Arial" w:hAnsi="Arial" w:cs="Arial"/>
                <w:sz w:val="24"/>
                <w:szCs w:val="24"/>
                <w:lang w:val="en-GB"/>
              </w:rPr>
              <w:t>845</w:t>
            </w:r>
            <w:r w:rsidR="00C35298">
              <w:rPr>
                <w:rFonts w:ascii="Arial" w:hAnsi="Arial" w:cs="Arial"/>
                <w:sz w:val="24"/>
                <w:szCs w:val="24"/>
                <w:lang w:val="en-GB"/>
              </w:rPr>
              <w:t>,</w:t>
            </w:r>
            <w:r>
              <w:rPr>
                <w:rFonts w:ascii="Arial" w:hAnsi="Arial" w:cs="Arial"/>
                <w:sz w:val="24"/>
                <w:szCs w:val="24"/>
                <w:lang w:val="en-GB"/>
              </w:rPr>
              <w:t>000</w:t>
            </w:r>
          </w:p>
        </w:tc>
        <w:tc>
          <w:tcPr>
            <w:tcW w:w="1134" w:type="dxa"/>
          </w:tcPr>
          <w:p w14:paraId="50AAC6EE" w14:textId="2C4993EB"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000</w:t>
            </w:r>
            <w:r w:rsidR="00C35298">
              <w:rPr>
                <w:rFonts w:ascii="Arial" w:hAnsi="Arial" w:cs="Arial"/>
                <w:sz w:val="24"/>
                <w:szCs w:val="24"/>
                <w:lang w:val="en-GB"/>
              </w:rPr>
              <w:t>,</w:t>
            </w:r>
            <w:r>
              <w:rPr>
                <w:rFonts w:ascii="Arial" w:hAnsi="Arial" w:cs="Arial"/>
                <w:sz w:val="24"/>
                <w:szCs w:val="24"/>
                <w:lang w:val="en-GB"/>
              </w:rPr>
              <w:t>000</w:t>
            </w:r>
          </w:p>
        </w:tc>
        <w:tc>
          <w:tcPr>
            <w:tcW w:w="1134" w:type="dxa"/>
          </w:tcPr>
          <w:p w14:paraId="1F66031A" w14:textId="6062980C"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100</w:t>
            </w:r>
            <w:r w:rsidR="00C35298">
              <w:rPr>
                <w:rFonts w:ascii="Arial" w:hAnsi="Arial" w:cs="Arial"/>
                <w:sz w:val="24"/>
                <w:szCs w:val="24"/>
                <w:lang w:val="en-GB"/>
              </w:rPr>
              <w:t>,</w:t>
            </w:r>
            <w:r>
              <w:rPr>
                <w:rFonts w:ascii="Arial" w:hAnsi="Arial" w:cs="Arial"/>
                <w:sz w:val="24"/>
                <w:szCs w:val="24"/>
                <w:lang w:val="en-GB"/>
              </w:rPr>
              <w:t>000</w:t>
            </w:r>
          </w:p>
        </w:tc>
        <w:tc>
          <w:tcPr>
            <w:tcW w:w="912" w:type="dxa"/>
          </w:tcPr>
          <w:p w14:paraId="38FA3F7A" w14:textId="00D0A0F9"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250</w:t>
            </w:r>
            <w:r w:rsidR="00C35298">
              <w:rPr>
                <w:rFonts w:ascii="Arial" w:hAnsi="Arial" w:cs="Arial"/>
                <w:sz w:val="24"/>
                <w:szCs w:val="24"/>
                <w:lang w:val="en-GB"/>
              </w:rPr>
              <w:t>,</w:t>
            </w:r>
            <w:r>
              <w:rPr>
                <w:rFonts w:ascii="Arial" w:hAnsi="Arial" w:cs="Arial"/>
                <w:sz w:val="24"/>
                <w:szCs w:val="24"/>
                <w:lang w:val="en-GB"/>
              </w:rPr>
              <w:t>000</w:t>
            </w:r>
          </w:p>
        </w:tc>
        <w:tc>
          <w:tcPr>
            <w:tcW w:w="912" w:type="dxa"/>
          </w:tcPr>
          <w:p w14:paraId="2020FB0D" w14:textId="7184E776"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350</w:t>
            </w:r>
            <w:r w:rsidR="00C35298">
              <w:rPr>
                <w:rFonts w:ascii="Arial" w:hAnsi="Arial" w:cs="Arial"/>
                <w:sz w:val="24"/>
                <w:szCs w:val="24"/>
                <w:lang w:val="en-GB"/>
              </w:rPr>
              <w:t>,</w:t>
            </w:r>
            <w:r>
              <w:rPr>
                <w:rFonts w:ascii="Arial" w:hAnsi="Arial" w:cs="Arial"/>
                <w:sz w:val="24"/>
                <w:szCs w:val="24"/>
                <w:lang w:val="en-GB"/>
              </w:rPr>
              <w:t>000</w:t>
            </w:r>
          </w:p>
        </w:tc>
      </w:tr>
      <w:tr w:rsidR="00C35298" w14:paraId="32BF9AB4" w14:textId="2C4BD3DA" w:rsidTr="00115E9C">
        <w:tc>
          <w:tcPr>
            <w:tcW w:w="1890" w:type="dxa"/>
          </w:tcPr>
          <w:p w14:paraId="10A8BF36" w14:textId="4A23D24F"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Start-up loan</w:t>
            </w:r>
          </w:p>
        </w:tc>
        <w:tc>
          <w:tcPr>
            <w:tcW w:w="1691" w:type="dxa"/>
          </w:tcPr>
          <w:p w14:paraId="34BC3164" w14:textId="12B095CD"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£250</w:t>
            </w:r>
            <w:r w:rsidR="00C35298">
              <w:rPr>
                <w:rFonts w:ascii="Arial" w:hAnsi="Arial" w:cs="Arial"/>
                <w:sz w:val="24"/>
                <w:szCs w:val="24"/>
                <w:lang w:val="en-GB"/>
              </w:rPr>
              <w:t>,</w:t>
            </w:r>
            <w:r>
              <w:rPr>
                <w:rFonts w:ascii="Arial" w:hAnsi="Arial" w:cs="Arial"/>
                <w:sz w:val="24"/>
                <w:szCs w:val="24"/>
                <w:lang w:val="en-GB"/>
              </w:rPr>
              <w:t>000</w:t>
            </w:r>
          </w:p>
        </w:tc>
        <w:tc>
          <w:tcPr>
            <w:tcW w:w="1343" w:type="dxa"/>
          </w:tcPr>
          <w:p w14:paraId="33B581AD" w14:textId="30E059C3"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547F7B0A" w14:textId="29E06270"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1F1054A1" w14:textId="202D18F0"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0F3AFC66" w14:textId="39F19650"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740B1986" w14:textId="37D6801E"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r>
      <w:tr w:rsidR="00C35298" w14:paraId="17269C88" w14:textId="68DF26E2" w:rsidTr="00115E9C">
        <w:trPr>
          <w:trHeight w:val="439"/>
        </w:trPr>
        <w:tc>
          <w:tcPr>
            <w:tcW w:w="1890" w:type="dxa"/>
          </w:tcPr>
          <w:p w14:paraId="7B9EA8E7" w14:textId="4C92E12B"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Investment by the owner</w:t>
            </w:r>
          </w:p>
        </w:tc>
        <w:tc>
          <w:tcPr>
            <w:tcW w:w="1691" w:type="dxa"/>
          </w:tcPr>
          <w:p w14:paraId="10C2AAFE" w14:textId="1B6F9DBC"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£50</w:t>
            </w:r>
            <w:r w:rsidR="00C35298">
              <w:rPr>
                <w:rFonts w:ascii="Arial" w:hAnsi="Arial" w:cs="Arial"/>
                <w:sz w:val="24"/>
                <w:szCs w:val="24"/>
                <w:lang w:val="en-GB"/>
              </w:rPr>
              <w:t>,</w:t>
            </w:r>
            <w:r>
              <w:rPr>
                <w:rFonts w:ascii="Arial" w:hAnsi="Arial" w:cs="Arial"/>
                <w:sz w:val="24"/>
                <w:szCs w:val="24"/>
                <w:lang w:val="en-GB"/>
              </w:rPr>
              <w:t>000</w:t>
            </w:r>
          </w:p>
        </w:tc>
        <w:tc>
          <w:tcPr>
            <w:tcW w:w="1343" w:type="dxa"/>
          </w:tcPr>
          <w:p w14:paraId="1282E70F" w14:textId="67051212"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4C7A4FBB" w14:textId="48932D62"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0C80F2FE" w14:textId="5140D135"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24BE70A9" w14:textId="33D0261B"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53E39A05" w14:textId="3AFDC089"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r>
      <w:tr w:rsidR="00C35298" w14:paraId="0A4B15FF" w14:textId="5D989D90" w:rsidTr="00115E9C">
        <w:tc>
          <w:tcPr>
            <w:tcW w:w="1890" w:type="dxa"/>
          </w:tcPr>
          <w:p w14:paraId="3F4FC11B" w14:textId="63D18E5E"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Grant</w:t>
            </w:r>
          </w:p>
        </w:tc>
        <w:tc>
          <w:tcPr>
            <w:tcW w:w="1691" w:type="dxa"/>
          </w:tcPr>
          <w:p w14:paraId="71B00F62" w14:textId="788801C3"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£35</w:t>
            </w:r>
            <w:r w:rsidR="00C35298">
              <w:rPr>
                <w:rFonts w:ascii="Arial" w:hAnsi="Arial" w:cs="Arial"/>
                <w:sz w:val="24"/>
                <w:szCs w:val="24"/>
                <w:lang w:val="en-GB"/>
              </w:rPr>
              <w:t>,</w:t>
            </w:r>
            <w:r>
              <w:rPr>
                <w:rFonts w:ascii="Arial" w:hAnsi="Arial" w:cs="Arial"/>
                <w:sz w:val="24"/>
                <w:szCs w:val="24"/>
                <w:lang w:val="en-GB"/>
              </w:rPr>
              <w:t>000</w:t>
            </w:r>
          </w:p>
        </w:tc>
        <w:tc>
          <w:tcPr>
            <w:tcW w:w="1343" w:type="dxa"/>
          </w:tcPr>
          <w:p w14:paraId="31E1B079" w14:textId="4AA67723"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5413C09E" w14:textId="6F3551C1"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1134" w:type="dxa"/>
          </w:tcPr>
          <w:p w14:paraId="183DA75F" w14:textId="6B8E435C"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236DE8C4" w14:textId="5352A795"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c>
          <w:tcPr>
            <w:tcW w:w="912" w:type="dxa"/>
          </w:tcPr>
          <w:p w14:paraId="42E17ECB" w14:textId="24F3EDCD"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0</w:t>
            </w:r>
          </w:p>
        </w:tc>
      </w:tr>
      <w:tr w:rsidR="00C35298" w14:paraId="2AC399C6" w14:textId="5FCA17A6" w:rsidTr="00115E9C">
        <w:tc>
          <w:tcPr>
            <w:tcW w:w="1890" w:type="dxa"/>
          </w:tcPr>
          <w:p w14:paraId="423D5775" w14:textId="203D68C1" w:rsidR="00115E9C" w:rsidRDefault="00115E9C" w:rsidP="00A91277">
            <w:pPr>
              <w:spacing w:line="360" w:lineRule="auto"/>
              <w:rPr>
                <w:rFonts w:ascii="Arial" w:hAnsi="Arial" w:cs="Arial"/>
                <w:sz w:val="24"/>
                <w:szCs w:val="24"/>
                <w:lang w:val="en-GB"/>
              </w:rPr>
            </w:pPr>
            <w:r>
              <w:rPr>
                <w:rFonts w:ascii="Arial" w:hAnsi="Arial" w:cs="Arial"/>
                <w:sz w:val="24"/>
                <w:szCs w:val="24"/>
                <w:lang w:val="en-GB"/>
              </w:rPr>
              <w:lastRenderedPageBreak/>
              <w:t>Total cash in flow</w:t>
            </w:r>
          </w:p>
        </w:tc>
        <w:tc>
          <w:tcPr>
            <w:tcW w:w="1691" w:type="dxa"/>
          </w:tcPr>
          <w:p w14:paraId="4650F494" w14:textId="280645D7" w:rsidR="00115E9C" w:rsidRDefault="00115E9C" w:rsidP="00A91277">
            <w:pPr>
              <w:spacing w:line="360" w:lineRule="auto"/>
              <w:rPr>
                <w:rFonts w:ascii="Arial" w:hAnsi="Arial" w:cs="Arial"/>
                <w:sz w:val="24"/>
                <w:szCs w:val="24"/>
                <w:lang w:val="en-GB"/>
              </w:rPr>
            </w:pPr>
          </w:p>
        </w:tc>
        <w:tc>
          <w:tcPr>
            <w:tcW w:w="1343" w:type="dxa"/>
          </w:tcPr>
          <w:p w14:paraId="251FE1D2" w14:textId="0CA73E73"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180</w:t>
            </w:r>
            <w:r w:rsidR="00C35298">
              <w:rPr>
                <w:rFonts w:ascii="Arial" w:hAnsi="Arial" w:cs="Arial"/>
                <w:sz w:val="24"/>
                <w:szCs w:val="24"/>
                <w:lang w:val="en-GB"/>
              </w:rPr>
              <w:t>,</w:t>
            </w:r>
            <w:r>
              <w:rPr>
                <w:rFonts w:ascii="Arial" w:hAnsi="Arial" w:cs="Arial"/>
                <w:sz w:val="24"/>
                <w:szCs w:val="24"/>
                <w:lang w:val="en-GB"/>
              </w:rPr>
              <w:t>00</w:t>
            </w:r>
            <w:r w:rsidR="00C35298">
              <w:rPr>
                <w:rFonts w:ascii="Arial" w:hAnsi="Arial" w:cs="Arial"/>
                <w:sz w:val="24"/>
                <w:szCs w:val="24"/>
                <w:lang w:val="en-GB"/>
              </w:rPr>
              <w:t>0</w:t>
            </w:r>
          </w:p>
        </w:tc>
        <w:tc>
          <w:tcPr>
            <w:tcW w:w="1134" w:type="dxa"/>
          </w:tcPr>
          <w:p w14:paraId="3CBAB46B" w14:textId="102FD42B"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000</w:t>
            </w:r>
            <w:r w:rsidR="00C35298">
              <w:rPr>
                <w:rFonts w:ascii="Arial" w:hAnsi="Arial" w:cs="Arial"/>
                <w:sz w:val="24"/>
                <w:szCs w:val="24"/>
                <w:lang w:val="en-GB"/>
              </w:rPr>
              <w:t>,</w:t>
            </w:r>
            <w:r>
              <w:rPr>
                <w:rFonts w:ascii="Arial" w:hAnsi="Arial" w:cs="Arial"/>
                <w:sz w:val="24"/>
                <w:szCs w:val="24"/>
                <w:lang w:val="en-GB"/>
              </w:rPr>
              <w:t>000</w:t>
            </w:r>
          </w:p>
        </w:tc>
        <w:tc>
          <w:tcPr>
            <w:tcW w:w="1134" w:type="dxa"/>
          </w:tcPr>
          <w:p w14:paraId="1BDA8E8C" w14:textId="7ACAE7C9"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100</w:t>
            </w:r>
            <w:r w:rsidR="00C35298">
              <w:rPr>
                <w:rFonts w:ascii="Arial" w:hAnsi="Arial" w:cs="Arial"/>
                <w:sz w:val="24"/>
                <w:szCs w:val="24"/>
                <w:lang w:val="en-GB"/>
              </w:rPr>
              <w:t>,</w:t>
            </w:r>
            <w:r>
              <w:rPr>
                <w:rFonts w:ascii="Arial" w:hAnsi="Arial" w:cs="Arial"/>
                <w:sz w:val="24"/>
                <w:szCs w:val="24"/>
                <w:lang w:val="en-GB"/>
              </w:rPr>
              <w:t>000</w:t>
            </w:r>
          </w:p>
        </w:tc>
        <w:tc>
          <w:tcPr>
            <w:tcW w:w="912" w:type="dxa"/>
          </w:tcPr>
          <w:p w14:paraId="48B0F439" w14:textId="6BAD670F"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250</w:t>
            </w:r>
            <w:r w:rsidR="00C35298">
              <w:rPr>
                <w:rFonts w:ascii="Arial" w:hAnsi="Arial" w:cs="Arial"/>
                <w:sz w:val="24"/>
                <w:szCs w:val="24"/>
                <w:lang w:val="en-GB"/>
              </w:rPr>
              <w:t>,</w:t>
            </w:r>
            <w:r>
              <w:rPr>
                <w:rFonts w:ascii="Arial" w:hAnsi="Arial" w:cs="Arial"/>
                <w:sz w:val="24"/>
                <w:szCs w:val="24"/>
                <w:lang w:val="en-GB"/>
              </w:rPr>
              <w:t>000</w:t>
            </w:r>
          </w:p>
        </w:tc>
        <w:tc>
          <w:tcPr>
            <w:tcW w:w="912" w:type="dxa"/>
          </w:tcPr>
          <w:p w14:paraId="66FA1657" w14:textId="1BA800F0" w:rsidR="00115E9C" w:rsidRDefault="00115E9C" w:rsidP="00A91277">
            <w:pPr>
              <w:spacing w:line="360" w:lineRule="auto"/>
              <w:rPr>
                <w:rFonts w:ascii="Arial" w:hAnsi="Arial" w:cs="Arial"/>
                <w:sz w:val="24"/>
                <w:szCs w:val="24"/>
                <w:lang w:val="en-GB"/>
              </w:rPr>
            </w:pPr>
            <w:r>
              <w:rPr>
                <w:rFonts w:ascii="Arial" w:hAnsi="Arial" w:cs="Arial"/>
                <w:sz w:val="24"/>
                <w:szCs w:val="24"/>
                <w:lang w:val="en-GB"/>
              </w:rPr>
              <w:t>4</w:t>
            </w:r>
            <w:r w:rsidR="00C35298">
              <w:rPr>
                <w:rFonts w:ascii="Arial" w:hAnsi="Arial" w:cs="Arial"/>
                <w:sz w:val="24"/>
                <w:szCs w:val="24"/>
                <w:lang w:val="en-GB"/>
              </w:rPr>
              <w:t>,</w:t>
            </w:r>
            <w:r>
              <w:rPr>
                <w:rFonts w:ascii="Arial" w:hAnsi="Arial" w:cs="Arial"/>
                <w:sz w:val="24"/>
                <w:szCs w:val="24"/>
                <w:lang w:val="en-GB"/>
              </w:rPr>
              <w:t>350</w:t>
            </w:r>
            <w:r w:rsidR="00C35298">
              <w:rPr>
                <w:rFonts w:ascii="Arial" w:hAnsi="Arial" w:cs="Arial"/>
                <w:sz w:val="24"/>
                <w:szCs w:val="24"/>
                <w:lang w:val="en-GB"/>
              </w:rPr>
              <w:t>,</w:t>
            </w:r>
            <w:r>
              <w:rPr>
                <w:rFonts w:ascii="Arial" w:hAnsi="Arial" w:cs="Arial"/>
                <w:sz w:val="24"/>
                <w:szCs w:val="24"/>
                <w:lang w:val="en-GB"/>
              </w:rPr>
              <w:t>000</w:t>
            </w:r>
          </w:p>
        </w:tc>
      </w:tr>
    </w:tbl>
    <w:p w14:paraId="3265AF83" w14:textId="0D09BF96" w:rsidR="00FB24EA" w:rsidRDefault="00FB24EA" w:rsidP="00FB24EA">
      <w:pPr>
        <w:spacing w:line="360" w:lineRule="auto"/>
        <w:jc w:val="right"/>
        <w:rPr>
          <w:rFonts w:ascii="Arial" w:hAnsi="Arial" w:cs="Arial"/>
          <w:sz w:val="24"/>
          <w:szCs w:val="24"/>
          <w:lang w:val="en-GB"/>
        </w:rPr>
      </w:pPr>
      <w:r>
        <w:rPr>
          <w:rFonts w:ascii="Arial" w:hAnsi="Arial" w:cs="Arial"/>
          <w:sz w:val="24"/>
          <w:szCs w:val="24"/>
          <w:lang w:val="en-GB"/>
        </w:rPr>
        <w:t>Table 3. Cash in flow statement</w:t>
      </w:r>
      <w:r w:rsidR="00C35298">
        <w:rPr>
          <w:rFonts w:ascii="Arial" w:hAnsi="Arial" w:cs="Arial"/>
          <w:sz w:val="24"/>
          <w:szCs w:val="24"/>
          <w:lang w:val="en-GB"/>
        </w:rPr>
        <w:t xml:space="preserve"> in millions £</w:t>
      </w:r>
      <w:r>
        <w:rPr>
          <w:rFonts w:ascii="Arial" w:hAnsi="Arial" w:cs="Arial"/>
          <w:sz w:val="24"/>
          <w:szCs w:val="24"/>
          <w:lang w:val="en-GB"/>
        </w:rPr>
        <w:t xml:space="preserve"> </w:t>
      </w:r>
      <w:r w:rsidR="00C35298">
        <w:rPr>
          <w:rFonts w:ascii="Arial" w:hAnsi="Arial" w:cs="Arial"/>
          <w:sz w:val="24"/>
          <w:szCs w:val="24"/>
          <w:lang w:val="en-GB"/>
        </w:rPr>
        <w:t>(</w:t>
      </w:r>
      <w:r>
        <w:rPr>
          <w:rFonts w:ascii="Arial" w:hAnsi="Arial" w:cs="Arial"/>
          <w:sz w:val="24"/>
          <w:szCs w:val="24"/>
          <w:lang w:val="en-GB"/>
        </w:rPr>
        <w:t>2023</w:t>
      </w:r>
      <w:r w:rsidR="00115E9C">
        <w:rPr>
          <w:rFonts w:ascii="Arial" w:hAnsi="Arial" w:cs="Arial"/>
          <w:sz w:val="24"/>
          <w:szCs w:val="24"/>
          <w:lang w:val="en-GB"/>
        </w:rPr>
        <w:t>-2027</w:t>
      </w:r>
      <w:r w:rsidR="00C35298">
        <w:rPr>
          <w:rFonts w:ascii="Arial" w:hAnsi="Arial" w:cs="Arial"/>
          <w:sz w:val="24"/>
          <w:szCs w:val="24"/>
          <w:lang w:val="en-GB"/>
        </w:rPr>
        <w:t>)</w:t>
      </w:r>
    </w:p>
    <w:tbl>
      <w:tblPr>
        <w:tblStyle w:val="TableGrid"/>
        <w:tblW w:w="0" w:type="auto"/>
        <w:tblLook w:val="04A0" w:firstRow="1" w:lastRow="0" w:firstColumn="1" w:lastColumn="0" w:noHBand="0" w:noVBand="1"/>
      </w:tblPr>
      <w:tblGrid>
        <w:gridCol w:w="1649"/>
        <w:gridCol w:w="1227"/>
        <w:gridCol w:w="1228"/>
        <w:gridCol w:w="1228"/>
        <w:gridCol w:w="1228"/>
        <w:gridCol w:w="1228"/>
        <w:gridCol w:w="1228"/>
      </w:tblGrid>
      <w:tr w:rsidR="00115E9C" w14:paraId="198727E1" w14:textId="60893E53" w:rsidTr="00115E9C">
        <w:tc>
          <w:tcPr>
            <w:tcW w:w="1649" w:type="dxa"/>
          </w:tcPr>
          <w:p w14:paraId="345D2D92" w14:textId="53EA98E3"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Cash out flow</w:t>
            </w:r>
          </w:p>
        </w:tc>
        <w:tc>
          <w:tcPr>
            <w:tcW w:w="1227" w:type="dxa"/>
          </w:tcPr>
          <w:p w14:paraId="75AA18D2" w14:textId="2D75B587"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Starting point</w:t>
            </w:r>
          </w:p>
        </w:tc>
        <w:tc>
          <w:tcPr>
            <w:tcW w:w="1228" w:type="dxa"/>
          </w:tcPr>
          <w:p w14:paraId="446583F8" w14:textId="388FD43F"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 xml:space="preserve">Year 1 </w:t>
            </w:r>
          </w:p>
        </w:tc>
        <w:tc>
          <w:tcPr>
            <w:tcW w:w="1228" w:type="dxa"/>
          </w:tcPr>
          <w:p w14:paraId="7CC3428D" w14:textId="27EC32C8"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Year 2</w:t>
            </w:r>
          </w:p>
        </w:tc>
        <w:tc>
          <w:tcPr>
            <w:tcW w:w="1228" w:type="dxa"/>
          </w:tcPr>
          <w:p w14:paraId="11EDF967" w14:textId="02C3B0C4"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Year 3</w:t>
            </w:r>
          </w:p>
        </w:tc>
        <w:tc>
          <w:tcPr>
            <w:tcW w:w="1228" w:type="dxa"/>
          </w:tcPr>
          <w:p w14:paraId="3A27244E" w14:textId="3DD88907"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Year 4</w:t>
            </w:r>
          </w:p>
        </w:tc>
        <w:tc>
          <w:tcPr>
            <w:tcW w:w="1228" w:type="dxa"/>
          </w:tcPr>
          <w:p w14:paraId="0C28E460" w14:textId="7B7833E0"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Year 5</w:t>
            </w:r>
          </w:p>
        </w:tc>
      </w:tr>
      <w:tr w:rsidR="00115E9C" w14:paraId="584596E4" w14:textId="17CDF1C5" w:rsidTr="00115E9C">
        <w:tc>
          <w:tcPr>
            <w:tcW w:w="1649" w:type="dxa"/>
          </w:tcPr>
          <w:p w14:paraId="71119251" w14:textId="0B410BFE"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Land and leasing expenses</w:t>
            </w:r>
          </w:p>
        </w:tc>
        <w:tc>
          <w:tcPr>
            <w:tcW w:w="1227" w:type="dxa"/>
          </w:tcPr>
          <w:p w14:paraId="4A271461" w14:textId="77777777" w:rsidR="00115E9C" w:rsidRDefault="00115E9C" w:rsidP="00FB24EA">
            <w:pPr>
              <w:spacing w:line="360" w:lineRule="auto"/>
              <w:rPr>
                <w:rFonts w:ascii="Arial" w:hAnsi="Arial" w:cs="Arial"/>
                <w:sz w:val="24"/>
                <w:szCs w:val="24"/>
                <w:lang w:val="en-GB"/>
              </w:rPr>
            </w:pPr>
          </w:p>
        </w:tc>
        <w:tc>
          <w:tcPr>
            <w:tcW w:w="1228" w:type="dxa"/>
          </w:tcPr>
          <w:p w14:paraId="4CAE43AF" w14:textId="4A078FC5" w:rsidR="00115E9C" w:rsidRDefault="00115E9C" w:rsidP="00FB24EA">
            <w:pPr>
              <w:spacing w:line="360" w:lineRule="auto"/>
              <w:rPr>
                <w:rFonts w:ascii="Arial" w:hAnsi="Arial" w:cs="Arial"/>
                <w:sz w:val="24"/>
                <w:szCs w:val="24"/>
                <w:lang w:val="en-GB"/>
              </w:rPr>
            </w:pPr>
            <w:r>
              <w:rPr>
                <w:rFonts w:ascii="Arial" w:hAnsi="Arial" w:cs="Arial"/>
                <w:sz w:val="24"/>
                <w:szCs w:val="24"/>
                <w:lang w:val="en-GB"/>
              </w:rPr>
              <w:t>30</w:t>
            </w:r>
            <w:r w:rsidR="00C35298">
              <w:rPr>
                <w:rFonts w:ascii="Arial" w:hAnsi="Arial" w:cs="Arial"/>
                <w:sz w:val="24"/>
                <w:szCs w:val="24"/>
                <w:lang w:val="en-GB"/>
              </w:rPr>
              <w:t>,</w:t>
            </w:r>
            <w:r>
              <w:rPr>
                <w:rFonts w:ascii="Arial" w:hAnsi="Arial" w:cs="Arial"/>
                <w:sz w:val="24"/>
                <w:szCs w:val="24"/>
                <w:lang w:val="en-GB"/>
              </w:rPr>
              <w:t>000</w:t>
            </w:r>
          </w:p>
        </w:tc>
        <w:tc>
          <w:tcPr>
            <w:tcW w:w="1228" w:type="dxa"/>
          </w:tcPr>
          <w:p w14:paraId="602D5077" w14:textId="1F234DD6"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30,300</w:t>
            </w:r>
          </w:p>
        </w:tc>
        <w:tc>
          <w:tcPr>
            <w:tcW w:w="1228" w:type="dxa"/>
          </w:tcPr>
          <w:p w14:paraId="2C2F88BA" w14:textId="286DD958"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30,500</w:t>
            </w:r>
          </w:p>
        </w:tc>
        <w:tc>
          <w:tcPr>
            <w:tcW w:w="1228" w:type="dxa"/>
          </w:tcPr>
          <w:p w14:paraId="012DBD02" w14:textId="1937CD34"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30,700</w:t>
            </w:r>
          </w:p>
        </w:tc>
        <w:tc>
          <w:tcPr>
            <w:tcW w:w="1228" w:type="dxa"/>
          </w:tcPr>
          <w:p w14:paraId="52C0E390" w14:textId="0CC7FB44"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30,900</w:t>
            </w:r>
          </w:p>
        </w:tc>
      </w:tr>
      <w:tr w:rsidR="00115E9C" w14:paraId="57297331" w14:textId="4CE6F2B7" w:rsidTr="00115E9C">
        <w:tc>
          <w:tcPr>
            <w:tcW w:w="1649" w:type="dxa"/>
          </w:tcPr>
          <w:p w14:paraId="00BA97E0" w14:textId="5D5151C6" w:rsidR="00115E9C" w:rsidRDefault="00C35298" w:rsidP="00FB24EA">
            <w:pPr>
              <w:spacing w:line="360" w:lineRule="auto"/>
              <w:rPr>
                <w:rFonts w:ascii="Arial" w:hAnsi="Arial" w:cs="Arial"/>
                <w:sz w:val="24"/>
                <w:szCs w:val="24"/>
                <w:lang w:val="en-GB"/>
              </w:rPr>
            </w:pPr>
            <w:r w:rsidRPr="0047219D">
              <w:rPr>
                <w:rFonts w:ascii="Arial" w:eastAsia="Times New Roman" w:hAnsi="Arial" w:cs="Arial"/>
                <w:bCs/>
                <w:iCs/>
              </w:rPr>
              <w:t>Integrating wind turbines, energy storage systems</w:t>
            </w:r>
            <w:r>
              <w:rPr>
                <w:rFonts w:ascii="Arial" w:eastAsia="Times New Roman" w:hAnsi="Arial" w:cs="Arial"/>
                <w:bCs/>
                <w:iCs/>
              </w:rPr>
              <w:t xml:space="preserve"> and instalation cost</w:t>
            </w:r>
          </w:p>
        </w:tc>
        <w:tc>
          <w:tcPr>
            <w:tcW w:w="1227" w:type="dxa"/>
          </w:tcPr>
          <w:p w14:paraId="11612732" w14:textId="6EFF1C18"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150,000</w:t>
            </w:r>
          </w:p>
        </w:tc>
        <w:tc>
          <w:tcPr>
            <w:tcW w:w="1228" w:type="dxa"/>
          </w:tcPr>
          <w:p w14:paraId="1E8CB4A1" w14:textId="4BE5ADFE"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2FD20DAA" w14:textId="4550CB0E"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452E89C8" w14:textId="478AB380"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10098F89" w14:textId="2F15000E"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52FA236E" w14:textId="53AFE8A9" w:rsidR="00115E9C" w:rsidRDefault="00C35298" w:rsidP="00FB24EA">
            <w:pPr>
              <w:spacing w:line="360" w:lineRule="auto"/>
              <w:rPr>
                <w:rFonts w:ascii="Arial" w:hAnsi="Arial" w:cs="Arial"/>
                <w:sz w:val="24"/>
                <w:szCs w:val="24"/>
                <w:lang w:val="en-GB"/>
              </w:rPr>
            </w:pPr>
            <w:r>
              <w:rPr>
                <w:rFonts w:ascii="Arial" w:hAnsi="Arial" w:cs="Arial"/>
                <w:sz w:val="24"/>
                <w:szCs w:val="24"/>
                <w:lang w:val="en-GB"/>
              </w:rPr>
              <w:t>0</w:t>
            </w:r>
          </w:p>
        </w:tc>
      </w:tr>
      <w:tr w:rsidR="00115E9C" w14:paraId="657C6623" w14:textId="612E21B4" w:rsidTr="00115E9C">
        <w:tc>
          <w:tcPr>
            <w:tcW w:w="1649" w:type="dxa"/>
          </w:tcPr>
          <w:p w14:paraId="6C3515D2" w14:textId="2A0E44D6" w:rsidR="00115E9C" w:rsidRDefault="00965CC3" w:rsidP="00FB24EA">
            <w:pPr>
              <w:spacing w:line="360" w:lineRule="auto"/>
              <w:rPr>
                <w:rFonts w:ascii="Arial" w:hAnsi="Arial" w:cs="Arial"/>
                <w:sz w:val="24"/>
                <w:szCs w:val="24"/>
                <w:lang w:val="en-GB"/>
              </w:rPr>
            </w:pPr>
            <w:r w:rsidRPr="0047219D">
              <w:rPr>
                <w:rFonts w:ascii="Arial" w:eastAsia="Times New Roman" w:hAnsi="Arial" w:cs="Arial"/>
                <w:bCs/>
                <w:iCs/>
              </w:rPr>
              <w:t>Marketing through social media platforms such as Facebook, Twitter, and Instagram</w:t>
            </w:r>
          </w:p>
        </w:tc>
        <w:tc>
          <w:tcPr>
            <w:tcW w:w="1227" w:type="dxa"/>
          </w:tcPr>
          <w:p w14:paraId="4B931AEA" w14:textId="130987E8"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c>
          <w:tcPr>
            <w:tcW w:w="1228" w:type="dxa"/>
          </w:tcPr>
          <w:p w14:paraId="1C46E21B" w14:textId="131909DE" w:rsidR="00115E9C" w:rsidRDefault="007C157F"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7638712E" w14:textId="6E96E1F2"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850</w:t>
            </w:r>
          </w:p>
        </w:tc>
        <w:tc>
          <w:tcPr>
            <w:tcW w:w="1228" w:type="dxa"/>
          </w:tcPr>
          <w:p w14:paraId="39466C46" w14:textId="0C9EF0FD"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900</w:t>
            </w:r>
          </w:p>
        </w:tc>
        <w:tc>
          <w:tcPr>
            <w:tcW w:w="1228" w:type="dxa"/>
          </w:tcPr>
          <w:p w14:paraId="3B5B1FEE" w14:textId="75A12704"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950</w:t>
            </w:r>
          </w:p>
        </w:tc>
        <w:tc>
          <w:tcPr>
            <w:tcW w:w="1228" w:type="dxa"/>
          </w:tcPr>
          <w:p w14:paraId="41CFE210" w14:textId="48D8F1FC"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1,000</w:t>
            </w:r>
          </w:p>
        </w:tc>
      </w:tr>
      <w:tr w:rsidR="00115E9C" w14:paraId="45F66D0E" w14:textId="5F205A53" w:rsidTr="00115E9C">
        <w:tc>
          <w:tcPr>
            <w:tcW w:w="1649" w:type="dxa"/>
          </w:tcPr>
          <w:p w14:paraId="70673277" w14:textId="6F45016E" w:rsidR="00115E9C" w:rsidRDefault="00965CC3" w:rsidP="00FB24EA">
            <w:pPr>
              <w:spacing w:line="360" w:lineRule="auto"/>
              <w:rPr>
                <w:rFonts w:ascii="Arial" w:hAnsi="Arial" w:cs="Arial"/>
                <w:sz w:val="24"/>
                <w:szCs w:val="24"/>
                <w:lang w:val="en-GB"/>
              </w:rPr>
            </w:pPr>
            <w:r w:rsidRPr="0047219D">
              <w:rPr>
                <w:rFonts w:ascii="Arial" w:eastAsia="Times New Roman" w:hAnsi="Arial" w:cs="Arial"/>
                <w:bCs/>
                <w:iCs/>
              </w:rPr>
              <w:t>Training and development programs</w:t>
            </w:r>
          </w:p>
        </w:tc>
        <w:tc>
          <w:tcPr>
            <w:tcW w:w="1227" w:type="dxa"/>
          </w:tcPr>
          <w:p w14:paraId="4207F2B2" w14:textId="326D0D1F"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c>
          <w:tcPr>
            <w:tcW w:w="1228" w:type="dxa"/>
          </w:tcPr>
          <w:p w14:paraId="16167405" w14:textId="54801B19" w:rsidR="00115E9C" w:rsidRDefault="00115E9C" w:rsidP="00FB24EA">
            <w:pPr>
              <w:spacing w:line="360" w:lineRule="auto"/>
              <w:rPr>
                <w:rFonts w:ascii="Arial" w:hAnsi="Arial" w:cs="Arial"/>
                <w:sz w:val="24"/>
                <w:szCs w:val="24"/>
                <w:lang w:val="en-GB"/>
              </w:rPr>
            </w:pPr>
          </w:p>
        </w:tc>
        <w:tc>
          <w:tcPr>
            <w:tcW w:w="1228" w:type="dxa"/>
          </w:tcPr>
          <w:p w14:paraId="30C05E09" w14:textId="006AC615"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2,300</w:t>
            </w:r>
          </w:p>
        </w:tc>
        <w:tc>
          <w:tcPr>
            <w:tcW w:w="1228" w:type="dxa"/>
          </w:tcPr>
          <w:p w14:paraId="72ED1676" w14:textId="3D514E5F"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2,500</w:t>
            </w:r>
          </w:p>
        </w:tc>
        <w:tc>
          <w:tcPr>
            <w:tcW w:w="1228" w:type="dxa"/>
          </w:tcPr>
          <w:p w14:paraId="31627F46" w14:textId="6BF4D04F"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2,700</w:t>
            </w:r>
          </w:p>
        </w:tc>
        <w:tc>
          <w:tcPr>
            <w:tcW w:w="1228" w:type="dxa"/>
          </w:tcPr>
          <w:p w14:paraId="77360C2C" w14:textId="6AC5DF57" w:rsidR="00115E9C" w:rsidRDefault="00965CC3" w:rsidP="00FB24EA">
            <w:pPr>
              <w:spacing w:line="360" w:lineRule="auto"/>
              <w:rPr>
                <w:rFonts w:ascii="Arial" w:hAnsi="Arial" w:cs="Arial"/>
                <w:sz w:val="24"/>
                <w:szCs w:val="24"/>
                <w:lang w:val="en-GB"/>
              </w:rPr>
            </w:pPr>
            <w:r>
              <w:rPr>
                <w:rFonts w:ascii="Arial" w:hAnsi="Arial" w:cs="Arial"/>
                <w:sz w:val="24"/>
                <w:szCs w:val="24"/>
                <w:lang w:val="en-GB"/>
              </w:rPr>
              <w:t>3,000</w:t>
            </w:r>
          </w:p>
        </w:tc>
      </w:tr>
      <w:tr w:rsidR="00965CC3" w14:paraId="7C09C455" w14:textId="77777777" w:rsidTr="00115E9C">
        <w:tc>
          <w:tcPr>
            <w:tcW w:w="1649" w:type="dxa"/>
          </w:tcPr>
          <w:p w14:paraId="183E822E" w14:textId="77777777" w:rsidR="00965CC3" w:rsidRDefault="00965CC3" w:rsidP="00FB24EA">
            <w:pPr>
              <w:spacing w:line="360" w:lineRule="auto"/>
              <w:rPr>
                <w:rFonts w:ascii="Arial" w:eastAsia="Times New Roman" w:hAnsi="Arial" w:cs="Arial"/>
                <w:bCs/>
                <w:iCs/>
              </w:rPr>
            </w:pPr>
          </w:p>
          <w:p w14:paraId="33C87496" w14:textId="2F17DAFF" w:rsidR="00965CC3" w:rsidRPr="0047219D" w:rsidRDefault="00965CC3" w:rsidP="00FB24EA">
            <w:pPr>
              <w:spacing w:line="360" w:lineRule="auto"/>
              <w:rPr>
                <w:rFonts w:ascii="Arial" w:eastAsia="Times New Roman" w:hAnsi="Arial" w:cs="Arial"/>
                <w:bCs/>
                <w:iCs/>
              </w:rPr>
            </w:pPr>
            <w:r w:rsidRPr="006C0AFA">
              <w:rPr>
                <w:rFonts w:ascii="Arial" w:eastAsia="Times New Roman" w:hAnsi="Arial" w:cs="Arial"/>
                <w:bCs/>
                <w:iCs/>
              </w:rPr>
              <w:t>Operational units</w:t>
            </w:r>
          </w:p>
        </w:tc>
        <w:tc>
          <w:tcPr>
            <w:tcW w:w="1227" w:type="dxa"/>
          </w:tcPr>
          <w:p w14:paraId="2C2D678C" w14:textId="2278AED6"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70,000</w:t>
            </w:r>
          </w:p>
        </w:tc>
        <w:tc>
          <w:tcPr>
            <w:tcW w:w="1228" w:type="dxa"/>
          </w:tcPr>
          <w:p w14:paraId="64EA4385" w14:textId="77777777" w:rsidR="00965CC3" w:rsidRDefault="00965CC3" w:rsidP="00FB24EA">
            <w:pPr>
              <w:spacing w:line="360" w:lineRule="auto"/>
              <w:rPr>
                <w:rFonts w:ascii="Arial" w:hAnsi="Arial" w:cs="Arial"/>
                <w:sz w:val="24"/>
                <w:szCs w:val="24"/>
                <w:lang w:val="en-GB"/>
              </w:rPr>
            </w:pPr>
          </w:p>
        </w:tc>
        <w:tc>
          <w:tcPr>
            <w:tcW w:w="1228" w:type="dxa"/>
          </w:tcPr>
          <w:p w14:paraId="0A2D211B" w14:textId="609B9C66"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005BCFD8" w14:textId="4CCBD2B7"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5D414C70" w14:textId="425F9245"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2D1E3CA8" w14:textId="677B2819"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r>
      <w:tr w:rsidR="00965CC3" w14:paraId="5658FE12" w14:textId="77777777" w:rsidTr="00115E9C">
        <w:tc>
          <w:tcPr>
            <w:tcW w:w="1649" w:type="dxa"/>
          </w:tcPr>
          <w:p w14:paraId="7B9F524F" w14:textId="4B3B26D0" w:rsidR="00965CC3" w:rsidRDefault="00965CC3" w:rsidP="00FB24EA">
            <w:pPr>
              <w:spacing w:line="360" w:lineRule="auto"/>
              <w:rPr>
                <w:rFonts w:ascii="Arial" w:eastAsia="Times New Roman" w:hAnsi="Arial" w:cs="Arial"/>
                <w:bCs/>
                <w:iCs/>
              </w:rPr>
            </w:pPr>
            <w:r w:rsidRPr="00965CC3">
              <w:rPr>
                <w:rFonts w:ascii="Times New Roman" w:eastAsia="Times New Roman" w:hAnsi="Times New Roman" w:cs="Times New Roman"/>
                <w:bCs/>
                <w:iCs/>
                <w:sz w:val="24"/>
                <w:szCs w:val="24"/>
              </w:rPr>
              <w:t>Initial maintenance and servicing equipment</w:t>
            </w:r>
          </w:p>
        </w:tc>
        <w:tc>
          <w:tcPr>
            <w:tcW w:w="1227" w:type="dxa"/>
          </w:tcPr>
          <w:p w14:paraId="2A25A267" w14:textId="6E73CCCA"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35,000</w:t>
            </w:r>
          </w:p>
        </w:tc>
        <w:tc>
          <w:tcPr>
            <w:tcW w:w="1228" w:type="dxa"/>
          </w:tcPr>
          <w:p w14:paraId="00D40D15" w14:textId="77777777" w:rsidR="00965CC3" w:rsidRDefault="00965CC3" w:rsidP="00FB24EA">
            <w:pPr>
              <w:spacing w:line="360" w:lineRule="auto"/>
              <w:rPr>
                <w:rFonts w:ascii="Arial" w:hAnsi="Arial" w:cs="Arial"/>
                <w:sz w:val="24"/>
                <w:szCs w:val="24"/>
                <w:lang w:val="en-GB"/>
              </w:rPr>
            </w:pPr>
          </w:p>
        </w:tc>
        <w:tc>
          <w:tcPr>
            <w:tcW w:w="1228" w:type="dxa"/>
          </w:tcPr>
          <w:p w14:paraId="620692ED" w14:textId="28C6EC6E"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c>
          <w:tcPr>
            <w:tcW w:w="1228" w:type="dxa"/>
          </w:tcPr>
          <w:p w14:paraId="313F860F" w14:textId="5277DED7"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c>
          <w:tcPr>
            <w:tcW w:w="1228" w:type="dxa"/>
          </w:tcPr>
          <w:p w14:paraId="6D06CB55" w14:textId="3BAD25D9"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c>
          <w:tcPr>
            <w:tcW w:w="1228" w:type="dxa"/>
          </w:tcPr>
          <w:p w14:paraId="38B36C92" w14:textId="2C47F863"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10,000</w:t>
            </w:r>
          </w:p>
        </w:tc>
      </w:tr>
      <w:tr w:rsidR="00965CC3" w14:paraId="787196FE" w14:textId="77777777" w:rsidTr="00115E9C">
        <w:tc>
          <w:tcPr>
            <w:tcW w:w="1649" w:type="dxa"/>
          </w:tcPr>
          <w:p w14:paraId="71EF716F" w14:textId="18787129" w:rsidR="00965CC3" w:rsidRPr="00965CC3" w:rsidRDefault="00965CC3" w:rsidP="00FB24EA">
            <w:pPr>
              <w:spacing w:line="360" w:lineRule="auto"/>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Licenses and permits</w:t>
            </w:r>
          </w:p>
        </w:tc>
        <w:tc>
          <w:tcPr>
            <w:tcW w:w="1227" w:type="dxa"/>
          </w:tcPr>
          <w:p w14:paraId="09DFAB7C" w14:textId="4C3A9A71"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5,000</w:t>
            </w:r>
          </w:p>
        </w:tc>
        <w:tc>
          <w:tcPr>
            <w:tcW w:w="1228" w:type="dxa"/>
          </w:tcPr>
          <w:p w14:paraId="64C266C5" w14:textId="77777777" w:rsidR="00965CC3" w:rsidRDefault="00965CC3" w:rsidP="00FB24EA">
            <w:pPr>
              <w:spacing w:line="360" w:lineRule="auto"/>
              <w:rPr>
                <w:rFonts w:ascii="Arial" w:hAnsi="Arial" w:cs="Arial"/>
                <w:sz w:val="24"/>
                <w:szCs w:val="24"/>
                <w:lang w:val="en-GB"/>
              </w:rPr>
            </w:pPr>
          </w:p>
        </w:tc>
        <w:tc>
          <w:tcPr>
            <w:tcW w:w="1228" w:type="dxa"/>
          </w:tcPr>
          <w:p w14:paraId="10ED92A6" w14:textId="6010CA33"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051FA02F" w14:textId="7F29F75E"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2950CF31" w14:textId="0803C01F"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c>
          <w:tcPr>
            <w:tcW w:w="1228" w:type="dxa"/>
          </w:tcPr>
          <w:p w14:paraId="1C295369" w14:textId="12EE1931" w:rsidR="00965CC3" w:rsidRDefault="00965CC3" w:rsidP="00FB24EA">
            <w:pPr>
              <w:spacing w:line="360" w:lineRule="auto"/>
              <w:rPr>
                <w:rFonts w:ascii="Arial" w:hAnsi="Arial" w:cs="Arial"/>
                <w:sz w:val="24"/>
                <w:szCs w:val="24"/>
                <w:lang w:val="en-GB"/>
              </w:rPr>
            </w:pPr>
            <w:r>
              <w:rPr>
                <w:rFonts w:ascii="Arial" w:hAnsi="Arial" w:cs="Arial"/>
                <w:sz w:val="24"/>
                <w:szCs w:val="24"/>
                <w:lang w:val="en-GB"/>
              </w:rPr>
              <w:t>0</w:t>
            </w:r>
          </w:p>
        </w:tc>
      </w:tr>
      <w:tr w:rsidR="00965CC3" w14:paraId="1D381FC9" w14:textId="77777777" w:rsidTr="00115E9C">
        <w:tc>
          <w:tcPr>
            <w:tcW w:w="1649" w:type="dxa"/>
          </w:tcPr>
          <w:p w14:paraId="6785E766" w14:textId="6F5D05F2" w:rsidR="00965CC3" w:rsidRDefault="00A67E0B" w:rsidP="00FB24EA">
            <w:pPr>
              <w:spacing w:line="360" w:lineRule="auto"/>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lastRenderedPageBreak/>
              <w:t>Other expenses</w:t>
            </w:r>
          </w:p>
        </w:tc>
        <w:tc>
          <w:tcPr>
            <w:tcW w:w="1227" w:type="dxa"/>
          </w:tcPr>
          <w:p w14:paraId="170B32E9" w14:textId="715226C8" w:rsidR="00965CC3"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c>
          <w:tcPr>
            <w:tcW w:w="1228" w:type="dxa"/>
          </w:tcPr>
          <w:p w14:paraId="23ACDBFA" w14:textId="77777777" w:rsidR="00965CC3" w:rsidRDefault="00965CC3" w:rsidP="00FB24EA">
            <w:pPr>
              <w:spacing w:line="360" w:lineRule="auto"/>
              <w:rPr>
                <w:rFonts w:ascii="Arial" w:hAnsi="Arial" w:cs="Arial"/>
                <w:sz w:val="24"/>
                <w:szCs w:val="24"/>
                <w:lang w:val="en-GB"/>
              </w:rPr>
            </w:pPr>
          </w:p>
        </w:tc>
        <w:tc>
          <w:tcPr>
            <w:tcW w:w="1228" w:type="dxa"/>
          </w:tcPr>
          <w:p w14:paraId="397FDCAA" w14:textId="77777777" w:rsidR="00965CC3" w:rsidRDefault="00965CC3" w:rsidP="00FB24EA">
            <w:pPr>
              <w:spacing w:line="360" w:lineRule="auto"/>
              <w:rPr>
                <w:rFonts w:ascii="Arial" w:hAnsi="Arial" w:cs="Arial"/>
                <w:sz w:val="24"/>
                <w:szCs w:val="24"/>
                <w:lang w:val="en-GB"/>
              </w:rPr>
            </w:pPr>
          </w:p>
        </w:tc>
        <w:tc>
          <w:tcPr>
            <w:tcW w:w="1228" w:type="dxa"/>
          </w:tcPr>
          <w:p w14:paraId="79412D3C" w14:textId="77777777" w:rsidR="00965CC3" w:rsidRDefault="00965CC3" w:rsidP="00FB24EA">
            <w:pPr>
              <w:spacing w:line="360" w:lineRule="auto"/>
              <w:rPr>
                <w:rFonts w:ascii="Arial" w:hAnsi="Arial" w:cs="Arial"/>
                <w:sz w:val="24"/>
                <w:szCs w:val="24"/>
                <w:lang w:val="en-GB"/>
              </w:rPr>
            </w:pPr>
          </w:p>
        </w:tc>
        <w:tc>
          <w:tcPr>
            <w:tcW w:w="1228" w:type="dxa"/>
          </w:tcPr>
          <w:p w14:paraId="547161F0" w14:textId="77777777" w:rsidR="00965CC3" w:rsidRDefault="00965CC3" w:rsidP="00FB24EA">
            <w:pPr>
              <w:spacing w:line="360" w:lineRule="auto"/>
              <w:rPr>
                <w:rFonts w:ascii="Arial" w:hAnsi="Arial" w:cs="Arial"/>
                <w:sz w:val="24"/>
                <w:szCs w:val="24"/>
                <w:lang w:val="en-GB"/>
              </w:rPr>
            </w:pPr>
          </w:p>
        </w:tc>
        <w:tc>
          <w:tcPr>
            <w:tcW w:w="1228" w:type="dxa"/>
          </w:tcPr>
          <w:p w14:paraId="1CC719DE" w14:textId="77777777" w:rsidR="00965CC3" w:rsidRDefault="00965CC3" w:rsidP="00FB24EA">
            <w:pPr>
              <w:spacing w:line="360" w:lineRule="auto"/>
              <w:rPr>
                <w:rFonts w:ascii="Arial" w:hAnsi="Arial" w:cs="Arial"/>
                <w:sz w:val="24"/>
                <w:szCs w:val="24"/>
                <w:lang w:val="en-GB"/>
              </w:rPr>
            </w:pPr>
          </w:p>
        </w:tc>
      </w:tr>
      <w:tr w:rsidR="00A67E0B" w14:paraId="6CB01873" w14:textId="77777777" w:rsidTr="00115E9C">
        <w:tc>
          <w:tcPr>
            <w:tcW w:w="1649" w:type="dxa"/>
          </w:tcPr>
          <w:p w14:paraId="7E2BC7E2" w14:textId="736DFD3D" w:rsidR="00A67E0B" w:rsidRDefault="00A67E0B" w:rsidP="00FB24EA">
            <w:pPr>
              <w:spacing w:line="360" w:lineRule="auto"/>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Salary</w:t>
            </w:r>
          </w:p>
        </w:tc>
        <w:tc>
          <w:tcPr>
            <w:tcW w:w="1227" w:type="dxa"/>
          </w:tcPr>
          <w:p w14:paraId="70A0312B" w14:textId="77777777" w:rsidR="00A67E0B" w:rsidRDefault="00A67E0B" w:rsidP="00FB24EA">
            <w:pPr>
              <w:spacing w:line="360" w:lineRule="auto"/>
              <w:rPr>
                <w:rFonts w:ascii="Arial" w:hAnsi="Arial" w:cs="Arial"/>
                <w:sz w:val="24"/>
                <w:szCs w:val="24"/>
                <w:lang w:val="en-GB"/>
              </w:rPr>
            </w:pPr>
          </w:p>
        </w:tc>
        <w:tc>
          <w:tcPr>
            <w:tcW w:w="1228" w:type="dxa"/>
          </w:tcPr>
          <w:p w14:paraId="4C8B396E" w14:textId="74FB9D11"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35,000</w:t>
            </w:r>
          </w:p>
        </w:tc>
        <w:tc>
          <w:tcPr>
            <w:tcW w:w="1228" w:type="dxa"/>
          </w:tcPr>
          <w:p w14:paraId="1426FFB7" w14:textId="78ADFCA4"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35,000</w:t>
            </w:r>
          </w:p>
        </w:tc>
        <w:tc>
          <w:tcPr>
            <w:tcW w:w="1228" w:type="dxa"/>
          </w:tcPr>
          <w:p w14:paraId="372CBF49" w14:textId="182509C5"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35,000</w:t>
            </w:r>
          </w:p>
        </w:tc>
        <w:tc>
          <w:tcPr>
            <w:tcW w:w="1228" w:type="dxa"/>
          </w:tcPr>
          <w:p w14:paraId="4AB32903" w14:textId="1D5E0207"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37,000</w:t>
            </w:r>
          </w:p>
        </w:tc>
        <w:tc>
          <w:tcPr>
            <w:tcW w:w="1228" w:type="dxa"/>
          </w:tcPr>
          <w:p w14:paraId="56393B98" w14:textId="3E01B9B7"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37,000</w:t>
            </w:r>
          </w:p>
        </w:tc>
      </w:tr>
      <w:tr w:rsidR="00A67E0B" w14:paraId="004EAD0F" w14:textId="77777777" w:rsidTr="00115E9C">
        <w:tc>
          <w:tcPr>
            <w:tcW w:w="1649" w:type="dxa"/>
          </w:tcPr>
          <w:p w14:paraId="772B0435" w14:textId="5C8A8C6D" w:rsidR="00A67E0B" w:rsidRDefault="00A67E0B" w:rsidP="00FB24EA">
            <w:pPr>
              <w:spacing w:line="360" w:lineRule="auto"/>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Loan repayments</w:t>
            </w:r>
          </w:p>
        </w:tc>
        <w:tc>
          <w:tcPr>
            <w:tcW w:w="1227" w:type="dxa"/>
          </w:tcPr>
          <w:p w14:paraId="484D5BF1" w14:textId="77777777" w:rsidR="00A67E0B" w:rsidRDefault="00A67E0B" w:rsidP="00FB24EA">
            <w:pPr>
              <w:spacing w:line="360" w:lineRule="auto"/>
              <w:rPr>
                <w:rFonts w:ascii="Arial" w:hAnsi="Arial" w:cs="Arial"/>
                <w:sz w:val="24"/>
                <w:szCs w:val="24"/>
                <w:lang w:val="en-GB"/>
              </w:rPr>
            </w:pPr>
          </w:p>
        </w:tc>
        <w:tc>
          <w:tcPr>
            <w:tcW w:w="1228" w:type="dxa"/>
          </w:tcPr>
          <w:p w14:paraId="5ACCFB99" w14:textId="14B8EEF6"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c>
          <w:tcPr>
            <w:tcW w:w="1228" w:type="dxa"/>
          </w:tcPr>
          <w:p w14:paraId="04DD0EA0" w14:textId="2953EB1C"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c>
          <w:tcPr>
            <w:tcW w:w="1228" w:type="dxa"/>
          </w:tcPr>
          <w:p w14:paraId="2F86D523" w14:textId="7224D315"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c>
          <w:tcPr>
            <w:tcW w:w="1228" w:type="dxa"/>
          </w:tcPr>
          <w:p w14:paraId="62AB5E5A" w14:textId="0E8971DF"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c>
          <w:tcPr>
            <w:tcW w:w="1228" w:type="dxa"/>
          </w:tcPr>
          <w:p w14:paraId="634F9D34" w14:textId="2E5EC23F"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25,000</w:t>
            </w:r>
          </w:p>
        </w:tc>
      </w:tr>
      <w:tr w:rsidR="00A67E0B" w14:paraId="00B33C9F" w14:textId="77777777" w:rsidTr="00115E9C">
        <w:tc>
          <w:tcPr>
            <w:tcW w:w="1649" w:type="dxa"/>
          </w:tcPr>
          <w:p w14:paraId="1A0D67DB" w14:textId="10D07ECB" w:rsidR="00A67E0B" w:rsidRDefault="00A67E0B" w:rsidP="00FB24EA">
            <w:pPr>
              <w:spacing w:line="360" w:lineRule="auto"/>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Total </w:t>
            </w:r>
            <w:r w:rsidR="007C157F">
              <w:rPr>
                <w:rFonts w:ascii="Times New Roman" w:eastAsia="Times New Roman" w:hAnsi="Times New Roman" w:cs="Times New Roman"/>
                <w:bCs/>
                <w:iCs/>
                <w:sz w:val="24"/>
                <w:szCs w:val="24"/>
              </w:rPr>
              <w:t>cash out flow</w:t>
            </w:r>
          </w:p>
        </w:tc>
        <w:tc>
          <w:tcPr>
            <w:tcW w:w="1227" w:type="dxa"/>
          </w:tcPr>
          <w:p w14:paraId="0F56011F" w14:textId="77777777" w:rsidR="00A67E0B" w:rsidRDefault="00A67E0B" w:rsidP="00FB24EA">
            <w:pPr>
              <w:spacing w:line="360" w:lineRule="auto"/>
              <w:rPr>
                <w:rFonts w:ascii="Arial" w:hAnsi="Arial" w:cs="Arial"/>
                <w:sz w:val="24"/>
                <w:szCs w:val="24"/>
                <w:lang w:val="en-GB"/>
              </w:rPr>
            </w:pPr>
          </w:p>
        </w:tc>
        <w:tc>
          <w:tcPr>
            <w:tcW w:w="1228" w:type="dxa"/>
          </w:tcPr>
          <w:p w14:paraId="7175BD74" w14:textId="14447729" w:rsidR="00A67E0B" w:rsidRDefault="00A67E0B" w:rsidP="00FB24EA">
            <w:pPr>
              <w:spacing w:line="360" w:lineRule="auto"/>
              <w:rPr>
                <w:rFonts w:ascii="Arial" w:hAnsi="Arial" w:cs="Arial"/>
                <w:sz w:val="24"/>
                <w:szCs w:val="24"/>
                <w:lang w:val="en-GB"/>
              </w:rPr>
            </w:pPr>
            <w:r>
              <w:rPr>
                <w:rFonts w:ascii="Arial" w:hAnsi="Arial" w:cs="Arial"/>
                <w:sz w:val="24"/>
                <w:szCs w:val="24"/>
                <w:lang w:val="en-GB"/>
              </w:rPr>
              <w:t>395,000</w:t>
            </w:r>
          </w:p>
        </w:tc>
        <w:tc>
          <w:tcPr>
            <w:tcW w:w="1228" w:type="dxa"/>
          </w:tcPr>
          <w:p w14:paraId="4CF1F803" w14:textId="2A0C3A0B" w:rsidR="00A67E0B" w:rsidRDefault="007C157F" w:rsidP="00FB24EA">
            <w:pPr>
              <w:spacing w:line="360" w:lineRule="auto"/>
              <w:rPr>
                <w:rFonts w:ascii="Arial" w:hAnsi="Arial" w:cs="Arial"/>
                <w:sz w:val="24"/>
                <w:szCs w:val="24"/>
                <w:lang w:val="en-GB"/>
              </w:rPr>
            </w:pPr>
            <w:r>
              <w:rPr>
                <w:rFonts w:ascii="Arial" w:hAnsi="Arial" w:cs="Arial"/>
                <w:sz w:val="24"/>
                <w:szCs w:val="24"/>
                <w:lang w:val="en-GB"/>
              </w:rPr>
              <w:t>103,450</w:t>
            </w:r>
          </w:p>
        </w:tc>
        <w:tc>
          <w:tcPr>
            <w:tcW w:w="1228" w:type="dxa"/>
          </w:tcPr>
          <w:p w14:paraId="79C46214" w14:textId="5A472D26" w:rsidR="00A67E0B" w:rsidRDefault="007C157F" w:rsidP="00FB24EA">
            <w:pPr>
              <w:spacing w:line="360" w:lineRule="auto"/>
              <w:rPr>
                <w:rFonts w:ascii="Arial" w:hAnsi="Arial" w:cs="Arial"/>
                <w:sz w:val="24"/>
                <w:szCs w:val="24"/>
                <w:lang w:val="en-GB"/>
              </w:rPr>
            </w:pPr>
            <w:r>
              <w:rPr>
                <w:rFonts w:ascii="Arial" w:hAnsi="Arial" w:cs="Arial"/>
                <w:sz w:val="24"/>
                <w:szCs w:val="24"/>
                <w:lang w:val="en-GB"/>
              </w:rPr>
              <w:t>103,900</w:t>
            </w:r>
          </w:p>
        </w:tc>
        <w:tc>
          <w:tcPr>
            <w:tcW w:w="1228" w:type="dxa"/>
          </w:tcPr>
          <w:p w14:paraId="7DF3950B" w14:textId="1C342D04" w:rsidR="00A67E0B" w:rsidRDefault="007C157F" w:rsidP="00FB24EA">
            <w:pPr>
              <w:spacing w:line="360" w:lineRule="auto"/>
              <w:rPr>
                <w:rFonts w:ascii="Arial" w:hAnsi="Arial" w:cs="Arial"/>
                <w:sz w:val="24"/>
                <w:szCs w:val="24"/>
                <w:lang w:val="en-GB"/>
              </w:rPr>
            </w:pPr>
            <w:r>
              <w:rPr>
                <w:rFonts w:ascii="Arial" w:hAnsi="Arial" w:cs="Arial"/>
                <w:sz w:val="24"/>
                <w:szCs w:val="24"/>
                <w:lang w:val="en-GB"/>
              </w:rPr>
              <w:t>106,350</w:t>
            </w:r>
          </w:p>
        </w:tc>
        <w:tc>
          <w:tcPr>
            <w:tcW w:w="1228" w:type="dxa"/>
          </w:tcPr>
          <w:p w14:paraId="04A9C9E6" w14:textId="4C0F0795" w:rsidR="00A67E0B" w:rsidRDefault="007C157F" w:rsidP="00FB24EA">
            <w:pPr>
              <w:spacing w:line="360" w:lineRule="auto"/>
              <w:rPr>
                <w:rFonts w:ascii="Arial" w:hAnsi="Arial" w:cs="Arial"/>
                <w:sz w:val="24"/>
                <w:szCs w:val="24"/>
                <w:lang w:val="en-GB"/>
              </w:rPr>
            </w:pPr>
            <w:r>
              <w:rPr>
                <w:rFonts w:ascii="Arial" w:hAnsi="Arial" w:cs="Arial"/>
                <w:sz w:val="24"/>
                <w:szCs w:val="24"/>
                <w:lang w:val="en-GB"/>
              </w:rPr>
              <w:t>106,900</w:t>
            </w:r>
          </w:p>
        </w:tc>
      </w:tr>
    </w:tbl>
    <w:p w14:paraId="1C1C08EC" w14:textId="52962B72" w:rsidR="00FB24EA" w:rsidRDefault="007C157F" w:rsidP="007C157F">
      <w:pPr>
        <w:spacing w:line="360" w:lineRule="auto"/>
        <w:jc w:val="right"/>
        <w:rPr>
          <w:rFonts w:ascii="Arial" w:hAnsi="Arial" w:cs="Arial"/>
          <w:sz w:val="24"/>
          <w:szCs w:val="24"/>
          <w:lang w:val="en-GB"/>
        </w:rPr>
      </w:pPr>
      <w:r>
        <w:rPr>
          <w:rFonts w:ascii="Arial" w:hAnsi="Arial" w:cs="Arial"/>
          <w:sz w:val="24"/>
          <w:szCs w:val="24"/>
          <w:lang w:val="en-GB"/>
        </w:rPr>
        <w:t>Table 4 Cash out flow statement in millions £ (2023-2027)</w:t>
      </w:r>
    </w:p>
    <w:p w14:paraId="38ECA9AC" w14:textId="7FAFFB4A" w:rsidR="006554DC" w:rsidRPr="0034404B" w:rsidRDefault="00883517" w:rsidP="0034404B">
      <w:pPr>
        <w:pStyle w:val="Heading1"/>
        <w:rPr>
          <w:rFonts w:ascii="Arial" w:hAnsi="Arial" w:cs="Arial"/>
          <w:sz w:val="28"/>
          <w:szCs w:val="28"/>
          <w:lang w:val="en-GB"/>
        </w:rPr>
      </w:pPr>
      <w:bookmarkStart w:id="7" w:name="_Toc150096363"/>
      <w:r>
        <w:rPr>
          <w:rFonts w:ascii="Arial" w:hAnsi="Arial" w:cs="Arial"/>
          <w:sz w:val="28"/>
          <w:szCs w:val="28"/>
          <w:lang w:val="en-GB"/>
        </w:rPr>
        <w:t>3.</w:t>
      </w:r>
      <w:r w:rsidR="006554DC" w:rsidRPr="0034404B">
        <w:rPr>
          <w:rFonts w:ascii="Arial" w:hAnsi="Arial" w:cs="Arial"/>
          <w:sz w:val="28"/>
          <w:szCs w:val="28"/>
          <w:lang w:val="en-GB"/>
        </w:rPr>
        <w:t>Conclusion</w:t>
      </w:r>
      <w:bookmarkEnd w:id="7"/>
    </w:p>
    <w:p w14:paraId="03DE06F1" w14:textId="7441A8EB" w:rsidR="006554DC" w:rsidRDefault="00EC58E4" w:rsidP="006554DC">
      <w:pPr>
        <w:spacing w:line="360" w:lineRule="auto"/>
        <w:rPr>
          <w:rFonts w:ascii="Arial" w:hAnsi="Arial" w:cs="Arial"/>
          <w:sz w:val="24"/>
          <w:szCs w:val="24"/>
          <w:lang w:val="en-GB"/>
        </w:rPr>
      </w:pPr>
      <w:r w:rsidRPr="00EC58E4">
        <w:rPr>
          <w:rFonts w:ascii="Arial" w:hAnsi="Arial" w:cs="Arial"/>
          <w:sz w:val="24"/>
          <w:szCs w:val="24"/>
          <w:lang w:val="en-GB"/>
        </w:rPr>
        <w:t>In summary, wind energy plays a crucial role in the worldwide shift towards clean and renewable sources of energy. Wind farms have emerged as a pivotal player in the endeavour to mitigate carbon emissions and cultivate a greener energy sector, owing to their enormous wind resources, technical progress, and governmental backing.</w:t>
      </w:r>
    </w:p>
    <w:p w14:paraId="3BB296BE" w14:textId="2BFAC8D8" w:rsidR="00EC58E4" w:rsidRDefault="006D7646" w:rsidP="006554DC">
      <w:pPr>
        <w:spacing w:line="360" w:lineRule="auto"/>
        <w:rPr>
          <w:rFonts w:ascii="Arial" w:hAnsi="Arial" w:cs="Arial"/>
          <w:sz w:val="24"/>
          <w:szCs w:val="24"/>
          <w:lang w:val="en-GB"/>
        </w:rPr>
      </w:pPr>
      <w:r w:rsidRPr="006D7646">
        <w:rPr>
          <w:rFonts w:ascii="Arial" w:hAnsi="Arial" w:cs="Arial"/>
          <w:sz w:val="24"/>
          <w:szCs w:val="24"/>
          <w:lang w:val="en-GB"/>
        </w:rPr>
        <w:t>The United Kingdom, with a special focus on Scotland, presents a very favourable environment for wind energy projects because to its expansive coastlines, proactive governmental activities, and abundant wind resources.</w:t>
      </w:r>
      <w:r>
        <w:rPr>
          <w:rFonts w:ascii="Arial" w:hAnsi="Arial" w:cs="Arial"/>
          <w:sz w:val="24"/>
          <w:szCs w:val="24"/>
          <w:lang w:val="en-GB"/>
        </w:rPr>
        <w:t xml:space="preserve"> </w:t>
      </w:r>
      <w:r w:rsidRPr="006D7646">
        <w:rPr>
          <w:rFonts w:ascii="Arial" w:hAnsi="Arial" w:cs="Arial"/>
          <w:sz w:val="24"/>
          <w:szCs w:val="24"/>
          <w:lang w:val="en-GB"/>
        </w:rPr>
        <w:t>Scotland's potential as a favourable centre for the development and investment of wind energy is evident.</w:t>
      </w:r>
    </w:p>
    <w:p w14:paraId="152E9657" w14:textId="62F7847B" w:rsidR="006D7646" w:rsidRDefault="00042E67" w:rsidP="006554DC">
      <w:pPr>
        <w:spacing w:line="360" w:lineRule="auto"/>
        <w:rPr>
          <w:rFonts w:ascii="Arial" w:hAnsi="Arial" w:cs="Arial"/>
          <w:sz w:val="24"/>
          <w:szCs w:val="24"/>
          <w:lang w:val="en-GB"/>
        </w:rPr>
      </w:pPr>
      <w:r w:rsidRPr="00042E67">
        <w:rPr>
          <w:rFonts w:ascii="Arial" w:hAnsi="Arial" w:cs="Arial"/>
          <w:sz w:val="24"/>
          <w:szCs w:val="24"/>
          <w:lang w:val="en-GB"/>
        </w:rPr>
        <w:t xml:space="preserve">With the ongoing emphasis on tackling climate change, renewable energy has emerged as a prominent area of focus. Within this domain, wind energy has garnered significant attention as a promising solution, propelling us towards a future characterised by sustainability and environmental friendliness. This statement highlights the significance of human invention and collaboration, which contribute to environmental and economic advantages for communities and the global </w:t>
      </w:r>
      <w:r w:rsidR="00394D5B" w:rsidRPr="00042E67">
        <w:rPr>
          <w:rFonts w:ascii="Arial" w:hAnsi="Arial" w:cs="Arial"/>
          <w:sz w:val="24"/>
          <w:szCs w:val="24"/>
          <w:lang w:val="en-GB"/>
        </w:rPr>
        <w:t>population</w:t>
      </w:r>
      <w:r w:rsidRPr="00042E67">
        <w:rPr>
          <w:rFonts w:ascii="Arial" w:hAnsi="Arial" w:cs="Arial"/>
          <w:sz w:val="24"/>
          <w:szCs w:val="24"/>
          <w:lang w:val="en-GB"/>
        </w:rPr>
        <w:t>.</w:t>
      </w:r>
    </w:p>
    <w:p w14:paraId="211489E5" w14:textId="77777777" w:rsidR="006D7646" w:rsidRPr="006554DC" w:rsidRDefault="006D7646" w:rsidP="006554DC">
      <w:pPr>
        <w:spacing w:line="360" w:lineRule="auto"/>
        <w:rPr>
          <w:rFonts w:ascii="Arial" w:hAnsi="Arial" w:cs="Arial"/>
          <w:sz w:val="24"/>
          <w:szCs w:val="24"/>
          <w:lang w:val="en-GB"/>
        </w:rPr>
      </w:pPr>
    </w:p>
    <w:p w14:paraId="38C61697" w14:textId="77777777" w:rsidR="00C21ABD" w:rsidRDefault="00C21ABD" w:rsidP="00A91277">
      <w:pPr>
        <w:spacing w:line="360" w:lineRule="auto"/>
        <w:rPr>
          <w:rFonts w:ascii="Arial" w:hAnsi="Arial" w:cs="Arial"/>
          <w:sz w:val="24"/>
          <w:szCs w:val="24"/>
          <w:lang w:val="en-GB"/>
        </w:rPr>
      </w:pPr>
    </w:p>
    <w:p w14:paraId="0725614D" w14:textId="77777777" w:rsidR="009309F1" w:rsidRDefault="009309F1" w:rsidP="009309F1">
      <w:pPr>
        <w:spacing w:line="360" w:lineRule="auto"/>
        <w:rPr>
          <w:rFonts w:ascii="Arial" w:hAnsi="Arial" w:cs="Arial"/>
          <w:sz w:val="24"/>
          <w:szCs w:val="24"/>
          <w:lang w:val="en-GB"/>
        </w:rPr>
      </w:pPr>
    </w:p>
    <w:p w14:paraId="618175B9" w14:textId="77777777" w:rsidR="007930C0" w:rsidRDefault="007930C0" w:rsidP="00046403">
      <w:pPr>
        <w:spacing w:line="360" w:lineRule="auto"/>
        <w:rPr>
          <w:rFonts w:ascii="Arial" w:hAnsi="Arial" w:cs="Arial"/>
          <w:sz w:val="24"/>
          <w:szCs w:val="24"/>
          <w:lang w:val="en-GB"/>
        </w:rPr>
      </w:pPr>
    </w:p>
    <w:p w14:paraId="19148F6B" w14:textId="0F9783B0" w:rsidR="00D750A3" w:rsidRDefault="00D750A3" w:rsidP="00046403">
      <w:pPr>
        <w:spacing w:line="360" w:lineRule="auto"/>
        <w:rPr>
          <w:rFonts w:ascii="Arial" w:hAnsi="Arial" w:cs="Arial"/>
          <w:sz w:val="24"/>
          <w:szCs w:val="24"/>
          <w:lang w:val="en-GB"/>
        </w:rPr>
      </w:pPr>
      <w:r>
        <w:rPr>
          <w:rFonts w:ascii="Arial" w:hAnsi="Arial" w:cs="Arial"/>
          <w:sz w:val="24"/>
          <w:szCs w:val="24"/>
          <w:lang w:val="en-GB"/>
        </w:rPr>
        <w:br w:type="page"/>
      </w:r>
    </w:p>
    <w:p w14:paraId="457A78B5" w14:textId="797902F1" w:rsidR="00D750A3" w:rsidRPr="0034404B" w:rsidRDefault="00883517" w:rsidP="0034404B">
      <w:pPr>
        <w:pStyle w:val="Heading1"/>
        <w:rPr>
          <w:rFonts w:ascii="Arial" w:hAnsi="Arial" w:cs="Arial"/>
          <w:sz w:val="28"/>
          <w:szCs w:val="28"/>
          <w:lang w:val="en-GB"/>
        </w:rPr>
      </w:pPr>
      <w:bookmarkStart w:id="8" w:name="_Toc150096364"/>
      <w:r>
        <w:rPr>
          <w:rFonts w:ascii="Arial" w:hAnsi="Arial" w:cs="Arial"/>
          <w:sz w:val="28"/>
          <w:szCs w:val="28"/>
          <w:lang w:val="en-GB"/>
        </w:rPr>
        <w:lastRenderedPageBreak/>
        <w:t>4.</w:t>
      </w:r>
      <w:r w:rsidR="00D750A3" w:rsidRPr="0034404B">
        <w:rPr>
          <w:rFonts w:ascii="Arial" w:hAnsi="Arial" w:cs="Arial"/>
          <w:sz w:val="28"/>
          <w:szCs w:val="28"/>
          <w:lang w:val="en-GB"/>
        </w:rPr>
        <w:t>Reference list:</w:t>
      </w:r>
      <w:bookmarkEnd w:id="8"/>
    </w:p>
    <w:p w14:paraId="306CF34C" w14:textId="77777777" w:rsidR="00035455" w:rsidRDefault="00035455" w:rsidP="00440FE7">
      <w:pPr>
        <w:spacing w:after="200" w:line="360" w:lineRule="auto"/>
        <w:jc w:val="both"/>
      </w:pPr>
      <w:r>
        <w:t>Baker, M. (2004) Marketing Theory, London, Thomson Learning.</w:t>
      </w:r>
    </w:p>
    <w:p w14:paraId="5EBE6DE5" w14:textId="77777777" w:rsidR="00035455" w:rsidRPr="00321742" w:rsidRDefault="00035455" w:rsidP="00440FE7">
      <w:pPr>
        <w:spacing w:after="200" w:line="360" w:lineRule="auto"/>
        <w:jc w:val="both"/>
        <w:rPr>
          <w:rFonts w:ascii="Times New Roman" w:eastAsia="Times New Roman" w:hAnsi="Times New Roman" w:cs="Times New Roman"/>
          <w:color w:val="222222"/>
          <w:sz w:val="24"/>
          <w:szCs w:val="24"/>
          <w:highlight w:val="white"/>
        </w:rPr>
      </w:pPr>
      <w:r>
        <w:rPr>
          <w:rFonts w:ascii="Roboto" w:hAnsi="Roboto"/>
          <w:color w:val="000000"/>
          <w:sz w:val="21"/>
          <w:szCs w:val="21"/>
          <w:shd w:val="clear" w:color="auto" w:fill="FFFFFF"/>
        </w:rPr>
        <w:t>Barjak, F., Lindeque, J., Koch, J. and Soland, M. (2022) 'Segmenting household electricity customers with quantitative and qualitative approaches', </w:t>
      </w:r>
      <w:r>
        <w:rPr>
          <w:rFonts w:ascii="Roboto" w:hAnsi="Roboto"/>
          <w:i/>
          <w:iCs/>
          <w:color w:val="000000"/>
          <w:sz w:val="21"/>
          <w:szCs w:val="21"/>
          <w:shd w:val="clear" w:color="auto" w:fill="FFFFFF"/>
        </w:rPr>
        <w:t>Renewable &amp; sustainable energy reviews, </w:t>
      </w:r>
      <w:r>
        <w:rPr>
          <w:rFonts w:ascii="Roboto" w:hAnsi="Roboto"/>
          <w:color w:val="000000"/>
          <w:sz w:val="21"/>
          <w:szCs w:val="21"/>
          <w:shd w:val="clear" w:color="auto" w:fill="FFFFFF"/>
        </w:rPr>
        <w:t>157, pp. 112014 Available at: </w:t>
      </w:r>
      <w:hyperlink r:id="rId10" w:tgtFrame="_blank" w:history="1">
        <w:r>
          <w:rPr>
            <w:rStyle w:val="Hyperlink"/>
            <w:rFonts w:ascii="Roboto" w:hAnsi="Roboto"/>
            <w:color w:val="0066CC"/>
            <w:sz w:val="21"/>
            <w:szCs w:val="21"/>
            <w:shd w:val="clear" w:color="auto" w:fill="FFFFFF"/>
          </w:rPr>
          <w:t>https://doi.org/10.1016/j.rser.2021.112014.</w:t>
        </w:r>
      </w:hyperlink>
    </w:p>
    <w:p w14:paraId="4A8AC860" w14:textId="77777777" w:rsidR="00035455" w:rsidRDefault="00035455" w:rsidP="00D750A3">
      <w:pPr>
        <w:spacing w:line="360" w:lineRule="auto"/>
      </w:pPr>
      <w:r>
        <w:t>BBC (2023)</w:t>
      </w:r>
      <w:r w:rsidRPr="00227571">
        <w:rPr>
          <w:i/>
          <w:iCs/>
        </w:rPr>
        <w:t>’Wind is main source of UK electricity for first time’.</w:t>
      </w:r>
      <w:r>
        <w:t xml:space="preserve"> Available at: </w:t>
      </w:r>
      <w:hyperlink r:id="rId11" w:history="1">
        <w:r w:rsidRPr="00C63C33">
          <w:rPr>
            <w:rStyle w:val="Hyperlink"/>
          </w:rPr>
          <w:t>https://www.bbc.co.uk/news/science-environment-65557469</w:t>
        </w:r>
      </w:hyperlink>
      <w:r>
        <w:t xml:space="preserve"> (Accessed 27 October 2023).</w:t>
      </w:r>
    </w:p>
    <w:p w14:paraId="4935F114" w14:textId="77777777" w:rsidR="00035455" w:rsidRPr="00321742" w:rsidRDefault="00035455" w:rsidP="000B3FD7">
      <w:pPr>
        <w:spacing w:after="200" w:line="360" w:lineRule="auto"/>
        <w:jc w:val="both"/>
        <w:rPr>
          <w:rFonts w:ascii="Times New Roman" w:eastAsia="Times New Roman" w:hAnsi="Times New Roman" w:cs="Times New Roman"/>
          <w:color w:val="222222"/>
          <w:sz w:val="24"/>
          <w:szCs w:val="24"/>
          <w:highlight w:val="white"/>
        </w:rPr>
      </w:pPr>
      <w:r>
        <w:rPr>
          <w:rFonts w:ascii="Roboto" w:hAnsi="Roboto"/>
          <w:color w:val="000000"/>
          <w:sz w:val="21"/>
          <w:szCs w:val="21"/>
          <w:shd w:val="clear" w:color="auto" w:fill="FFFFFF"/>
        </w:rPr>
        <w:t>'Biggest ever renewable energy support scheme opens', (2021) </w:t>
      </w:r>
      <w:r>
        <w:rPr>
          <w:rFonts w:ascii="Roboto" w:hAnsi="Roboto"/>
          <w:i/>
          <w:iCs/>
          <w:color w:val="000000"/>
          <w:sz w:val="21"/>
          <w:szCs w:val="21"/>
          <w:shd w:val="clear" w:color="auto" w:fill="FFFFFF"/>
        </w:rPr>
        <w:t>Energy Monitor Worldwide, </w:t>
      </w:r>
      <w:r>
        <w:rPr>
          <w:rFonts w:ascii="Roboto" w:hAnsi="Roboto"/>
          <w:color w:val="000000"/>
          <w:sz w:val="21"/>
          <w:szCs w:val="21"/>
          <w:shd w:val="clear" w:color="auto" w:fill="FFFFFF"/>
        </w:rPr>
        <w:t>Dec 13,.</w:t>
      </w:r>
    </w:p>
    <w:p w14:paraId="356E5CD1" w14:textId="77777777" w:rsidR="00035455" w:rsidRDefault="00035455" w:rsidP="000B3FD7">
      <w:pPr>
        <w:spacing w:after="200" w:line="360" w:lineRule="auto"/>
        <w:jc w:val="both"/>
        <w:rPr>
          <w:rFonts w:ascii="Times New Roman" w:eastAsia="Times New Roman" w:hAnsi="Times New Roman" w:cs="Times New Roman"/>
          <w:color w:val="222222"/>
          <w:sz w:val="24"/>
          <w:szCs w:val="24"/>
          <w:highlight w:val="white"/>
        </w:rPr>
      </w:pPr>
      <w:r>
        <w:rPr>
          <w:rFonts w:ascii="Roboto" w:hAnsi="Roboto"/>
          <w:color w:val="000000"/>
          <w:sz w:val="21"/>
          <w:szCs w:val="21"/>
          <w:shd w:val="clear" w:color="auto" w:fill="FFFFFF"/>
        </w:rPr>
        <w:t>Capon, N. and Go, F. (2017) 'MARKET SEGMENTATION AND TARGETING'</w:t>
      </w:r>
      <w:r>
        <w:rPr>
          <w:rFonts w:ascii="Roboto" w:hAnsi="Roboto"/>
          <w:i/>
          <w:iCs/>
          <w:color w:val="000000"/>
          <w:sz w:val="21"/>
          <w:szCs w:val="21"/>
          <w:shd w:val="clear" w:color="auto" w:fill="FFFFFF"/>
        </w:rPr>
        <w:t>Frameworks for Market Strategy</w:t>
      </w:r>
      <w:r>
        <w:rPr>
          <w:rFonts w:ascii="Roboto" w:hAnsi="Roboto"/>
          <w:color w:val="000000"/>
          <w:sz w:val="21"/>
          <w:szCs w:val="21"/>
          <w:shd w:val="clear" w:color="auto" w:fill="FFFFFF"/>
        </w:rPr>
        <w:t> Routledge, pp. 203-223.</w:t>
      </w:r>
    </w:p>
    <w:p w14:paraId="65EB7B84" w14:textId="77777777" w:rsidR="00035455" w:rsidRDefault="00035455" w:rsidP="00440FE7">
      <w:pPr>
        <w:spacing w:after="200" w:line="360" w:lineRule="auto"/>
        <w:jc w:val="both"/>
        <w:rPr>
          <w:rFonts w:ascii="Roboto" w:hAnsi="Roboto"/>
          <w:color w:val="000000"/>
          <w:sz w:val="21"/>
          <w:szCs w:val="21"/>
          <w:shd w:val="clear" w:color="auto" w:fill="FFFFFF"/>
        </w:rPr>
      </w:pPr>
      <w:r>
        <w:rPr>
          <w:rFonts w:ascii="Roboto" w:hAnsi="Roboto"/>
          <w:color w:val="000000"/>
          <w:sz w:val="21"/>
          <w:szCs w:val="21"/>
          <w:shd w:val="clear" w:color="auto" w:fill="FFFFFF"/>
        </w:rPr>
        <w:t>Danièle Revel (2011) </w:t>
      </w:r>
      <w:r>
        <w:rPr>
          <w:rFonts w:ascii="Roboto" w:hAnsi="Roboto"/>
          <w:i/>
          <w:iCs/>
          <w:color w:val="000000"/>
          <w:sz w:val="21"/>
          <w:szCs w:val="21"/>
          <w:shd w:val="clear" w:color="auto" w:fill="FFFFFF"/>
        </w:rPr>
        <w:t>Wind energy targets for 2020 and 2030. </w:t>
      </w:r>
      <w:r>
        <w:rPr>
          <w:rFonts w:ascii="Roboto" w:hAnsi="Roboto"/>
          <w:color w:val="000000"/>
          <w:sz w:val="21"/>
          <w:szCs w:val="21"/>
          <w:shd w:val="clear" w:color="auto" w:fill="FFFFFF"/>
        </w:rPr>
        <w:t>Available at: </w:t>
      </w:r>
      <w:hyperlink r:id="rId12" w:tgtFrame="_blank" w:history="1">
        <w:r>
          <w:rPr>
            <w:rStyle w:val="Hyperlink"/>
            <w:rFonts w:ascii="Roboto" w:hAnsi="Roboto"/>
            <w:color w:val="0066CC"/>
            <w:sz w:val="21"/>
            <w:szCs w:val="21"/>
            <w:shd w:val="clear" w:color="auto" w:fill="FFFFFF"/>
          </w:rPr>
          <w:t>http://energieclimat.hypotheses.org/3995</w:t>
        </w:r>
      </w:hyperlink>
      <w:r>
        <w:rPr>
          <w:rFonts w:ascii="Roboto" w:hAnsi="Roboto"/>
          <w:color w:val="000000"/>
          <w:sz w:val="21"/>
          <w:szCs w:val="21"/>
          <w:shd w:val="clear" w:color="auto" w:fill="FFFFFF"/>
        </w:rPr>
        <w:t> (Accessed</w:t>
      </w:r>
      <w:r>
        <w:rPr>
          <w:rFonts w:ascii="Roboto" w:hAnsi="Roboto"/>
          <w:color w:val="000000"/>
          <w:sz w:val="21"/>
          <w:szCs w:val="21"/>
          <w:shd w:val="clear" w:color="auto" w:fill="FFFFFF"/>
        </w:rPr>
        <w:t xml:space="preserve"> 26 October 2023).</w:t>
      </w:r>
    </w:p>
    <w:p w14:paraId="15EE5CA2" w14:textId="77777777" w:rsidR="00035455" w:rsidRDefault="00035455" w:rsidP="00440FE7">
      <w:pPr>
        <w:spacing w:after="200" w:line="360" w:lineRule="auto"/>
        <w:jc w:val="both"/>
      </w:pPr>
      <w:r>
        <w:rPr>
          <w:rFonts w:ascii="Roboto" w:hAnsi="Roboto"/>
          <w:color w:val="000000"/>
          <w:sz w:val="21"/>
          <w:szCs w:val="21"/>
          <w:shd w:val="clear" w:color="auto" w:fill="FFFFFF"/>
        </w:rPr>
        <w:t>Diógenes, J.R.F., Claro, J., Rodrigues, J.C. and Loureiro, M.V. (2020) 'Barriers to onshore wind energy implementation: A systematic review', </w:t>
      </w:r>
      <w:r>
        <w:rPr>
          <w:rFonts w:ascii="Roboto" w:hAnsi="Roboto"/>
          <w:i/>
          <w:iCs/>
          <w:color w:val="000000"/>
          <w:sz w:val="21"/>
          <w:szCs w:val="21"/>
          <w:shd w:val="clear" w:color="auto" w:fill="FFFFFF"/>
        </w:rPr>
        <w:t>Energy research &amp; social science, </w:t>
      </w:r>
      <w:r>
        <w:rPr>
          <w:rFonts w:ascii="Roboto" w:hAnsi="Roboto"/>
          <w:color w:val="000000"/>
          <w:sz w:val="21"/>
          <w:szCs w:val="21"/>
          <w:shd w:val="clear" w:color="auto" w:fill="FFFFFF"/>
        </w:rPr>
        <w:t>60, pp. 101337 Available at: </w:t>
      </w:r>
      <w:hyperlink r:id="rId13" w:tgtFrame="_blank" w:history="1">
        <w:r>
          <w:rPr>
            <w:rStyle w:val="Hyperlink"/>
            <w:rFonts w:ascii="Roboto" w:hAnsi="Roboto"/>
            <w:color w:val="0066CC"/>
            <w:sz w:val="21"/>
            <w:szCs w:val="21"/>
            <w:shd w:val="clear" w:color="auto" w:fill="FFFFFF"/>
          </w:rPr>
          <w:t>https://doi.org/10.1016/j.erss.2019.101337.</w:t>
        </w:r>
      </w:hyperlink>
    </w:p>
    <w:p w14:paraId="746478FB" w14:textId="77777777" w:rsidR="00035455" w:rsidRDefault="00035455" w:rsidP="00F366DD">
      <w:pPr>
        <w:spacing w:after="200" w:line="360" w:lineRule="auto"/>
        <w:jc w:val="both"/>
        <w:rPr>
          <w:rFonts w:ascii="Times New Roman" w:eastAsia="Times New Roman" w:hAnsi="Times New Roman" w:cs="Times New Roman"/>
          <w:color w:val="222222"/>
          <w:sz w:val="24"/>
          <w:szCs w:val="24"/>
          <w:highlight w:val="white"/>
        </w:rPr>
      </w:pPr>
      <w:r w:rsidRPr="00321742">
        <w:rPr>
          <w:rFonts w:ascii="Times New Roman" w:eastAsia="Times New Roman" w:hAnsi="Times New Roman" w:cs="Times New Roman"/>
          <w:color w:val="222222"/>
          <w:sz w:val="24"/>
          <w:szCs w:val="24"/>
          <w:highlight w:val="white"/>
        </w:rPr>
        <w:t xml:space="preserve">Dolnicar, S.(2022). Market segmentation for e-tourism. In </w:t>
      </w:r>
      <w:r w:rsidRPr="00321742">
        <w:rPr>
          <w:rFonts w:ascii="Times New Roman" w:eastAsia="Times New Roman" w:hAnsi="Times New Roman" w:cs="Times New Roman"/>
          <w:i/>
          <w:color w:val="222222"/>
          <w:sz w:val="24"/>
          <w:szCs w:val="24"/>
          <w:highlight w:val="white"/>
        </w:rPr>
        <w:t>Handbook of e-Tourism</w:t>
      </w:r>
      <w:r w:rsidRPr="00321742">
        <w:rPr>
          <w:rFonts w:ascii="Times New Roman" w:eastAsia="Times New Roman" w:hAnsi="Times New Roman" w:cs="Times New Roman"/>
          <w:color w:val="222222"/>
          <w:sz w:val="24"/>
          <w:szCs w:val="24"/>
          <w:highlight w:val="white"/>
        </w:rPr>
        <w:t xml:space="preserve"> (pp. 849-863). Cham: Springer International Publishing.</w:t>
      </w:r>
    </w:p>
    <w:p w14:paraId="4D8235FC"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t xml:space="preserve">Evans, S (2016)’ Factcheck: Wich part of the UK are windy enough for widfarms?’ Carbon Brief, Available at: </w:t>
      </w:r>
      <w:hyperlink r:id="rId14" w:history="1">
        <w:r w:rsidRPr="00C63C33">
          <w:rPr>
            <w:rStyle w:val="Hyperlink"/>
            <w:rFonts w:ascii="Roboto" w:hAnsi="Roboto"/>
            <w:sz w:val="21"/>
            <w:szCs w:val="21"/>
            <w:shd w:val="clear" w:color="auto" w:fill="FFFFFF"/>
          </w:rPr>
          <w:t>https://www.carbonbrief.org/factcheck-which-parts-of-the-uk-are-windy-enough-for-windfarms/</w:t>
        </w:r>
      </w:hyperlink>
      <w:r>
        <w:rPr>
          <w:rFonts w:ascii="Roboto" w:hAnsi="Roboto"/>
          <w:color w:val="000000"/>
          <w:sz w:val="21"/>
          <w:szCs w:val="21"/>
          <w:shd w:val="clear" w:color="auto" w:fill="FFFFFF"/>
        </w:rPr>
        <w:t xml:space="preserve"> (Accessed 27 October 2023).</w:t>
      </w:r>
    </w:p>
    <w:p w14:paraId="175DE7AE" w14:textId="77777777" w:rsidR="00035455" w:rsidRDefault="00035455" w:rsidP="00440FE7">
      <w:pPr>
        <w:spacing w:after="200" w:line="360" w:lineRule="auto"/>
        <w:jc w:val="both"/>
      </w:pPr>
      <w:r>
        <w:rPr>
          <w:rFonts w:ascii="Roboto" w:hAnsi="Roboto"/>
          <w:color w:val="000000"/>
          <w:sz w:val="21"/>
          <w:szCs w:val="21"/>
          <w:shd w:val="clear" w:color="auto" w:fill="FFFFFF"/>
        </w:rPr>
        <w:t>Fennell, D.A. and Garrod, B. (2022) 'Seeking a deeper level of responsibility for inclusive (eco)tourism duty and the pinnacle of practice', </w:t>
      </w:r>
      <w:r>
        <w:rPr>
          <w:rFonts w:ascii="Roboto" w:hAnsi="Roboto"/>
          <w:i/>
          <w:iCs/>
          <w:color w:val="000000"/>
          <w:sz w:val="21"/>
          <w:szCs w:val="21"/>
          <w:shd w:val="clear" w:color="auto" w:fill="FFFFFF"/>
        </w:rPr>
        <w:t>Journal of sustainable tourism, </w:t>
      </w:r>
      <w:r>
        <w:rPr>
          <w:rFonts w:ascii="Roboto" w:hAnsi="Roboto"/>
          <w:color w:val="000000"/>
          <w:sz w:val="21"/>
          <w:szCs w:val="21"/>
          <w:shd w:val="clear" w:color="auto" w:fill="FFFFFF"/>
        </w:rPr>
        <w:t>30(6), pp. 1403-1422 Available at: </w:t>
      </w:r>
      <w:hyperlink r:id="rId15" w:tgtFrame="_blank" w:history="1">
        <w:r>
          <w:rPr>
            <w:rStyle w:val="Hyperlink"/>
            <w:rFonts w:ascii="Roboto" w:hAnsi="Roboto"/>
            <w:color w:val="0066CC"/>
            <w:sz w:val="21"/>
            <w:szCs w:val="21"/>
            <w:shd w:val="clear" w:color="auto" w:fill="FFFFFF"/>
          </w:rPr>
          <w:t>https://doi.org/10.1080/09669582.2021.1951278.</w:t>
        </w:r>
      </w:hyperlink>
    </w:p>
    <w:p w14:paraId="088DBD9B"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t>Foundation Scotland (2022)</w:t>
      </w:r>
      <w:r w:rsidRPr="00227571">
        <w:rPr>
          <w:rFonts w:ascii="Roboto" w:hAnsi="Roboto"/>
          <w:i/>
          <w:iCs/>
          <w:color w:val="000000"/>
          <w:sz w:val="21"/>
          <w:szCs w:val="21"/>
          <w:shd w:val="clear" w:color="auto" w:fill="FFFFFF"/>
        </w:rPr>
        <w:t>’Funding available’</w:t>
      </w:r>
      <w:r>
        <w:rPr>
          <w:rFonts w:ascii="Roboto" w:hAnsi="Roboto"/>
          <w:color w:val="000000"/>
          <w:sz w:val="21"/>
          <w:szCs w:val="21"/>
          <w:shd w:val="clear" w:color="auto" w:fill="FFFFFF"/>
        </w:rPr>
        <w:t xml:space="preserve"> .Available at: </w:t>
      </w:r>
      <w:hyperlink r:id="rId16" w:history="1">
        <w:r w:rsidRPr="00C63C33">
          <w:rPr>
            <w:rStyle w:val="Hyperlink"/>
            <w:rFonts w:ascii="Roboto" w:hAnsi="Roboto"/>
            <w:sz w:val="21"/>
            <w:szCs w:val="21"/>
            <w:shd w:val="clear" w:color="auto" w:fill="FFFFFF"/>
          </w:rPr>
          <w:t>https://www.foundationscotland.org.uk/apply-for-funding/funding-available</w:t>
        </w:r>
      </w:hyperlink>
      <w:r>
        <w:rPr>
          <w:rFonts w:ascii="Roboto" w:hAnsi="Roboto"/>
          <w:color w:val="000000"/>
          <w:sz w:val="21"/>
          <w:szCs w:val="21"/>
          <w:shd w:val="clear" w:color="auto" w:fill="FFFFFF"/>
        </w:rPr>
        <w:t xml:space="preserve"> (Accessed 27 October 2023).</w:t>
      </w:r>
    </w:p>
    <w:p w14:paraId="40AF8A0C" w14:textId="77777777" w:rsidR="00035455" w:rsidRDefault="00035455" w:rsidP="00440FE7">
      <w:pPr>
        <w:spacing w:after="200" w:line="360" w:lineRule="auto"/>
        <w:jc w:val="both"/>
        <w:rPr>
          <w:rFonts w:ascii="Roboto" w:hAnsi="Roboto"/>
          <w:color w:val="000000"/>
          <w:sz w:val="21"/>
          <w:szCs w:val="21"/>
          <w:shd w:val="clear" w:color="auto" w:fill="FFFFFF"/>
        </w:rPr>
      </w:pPr>
      <w:r>
        <w:rPr>
          <w:rFonts w:ascii="Roboto" w:hAnsi="Roboto"/>
          <w:color w:val="000000"/>
          <w:sz w:val="21"/>
          <w:szCs w:val="21"/>
          <w:shd w:val="clear" w:color="auto" w:fill="FFFFFF"/>
        </w:rPr>
        <w:t>'Global Small Wind Turbines Market 2018 Share, Size, Trend, Segmentation and Forecast to 2025', (2018) </w:t>
      </w:r>
      <w:r>
        <w:rPr>
          <w:rFonts w:ascii="Roboto" w:hAnsi="Roboto"/>
          <w:i/>
          <w:iCs/>
          <w:color w:val="000000"/>
          <w:sz w:val="21"/>
          <w:szCs w:val="21"/>
          <w:shd w:val="clear" w:color="auto" w:fill="FFFFFF"/>
        </w:rPr>
        <w:t>M2 Presswire, </w:t>
      </w:r>
      <w:r>
        <w:rPr>
          <w:rFonts w:ascii="Roboto" w:hAnsi="Roboto"/>
          <w:color w:val="000000"/>
          <w:sz w:val="21"/>
          <w:szCs w:val="21"/>
          <w:shd w:val="clear" w:color="auto" w:fill="FFFFFF"/>
        </w:rPr>
        <w:t>Feb 20, .</w:t>
      </w:r>
    </w:p>
    <w:p w14:paraId="294FC4AE"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lastRenderedPageBreak/>
        <w:t>Güney, T. and Üstündağ, E. (2022) 'Wind energy and CO2 emissions: AMG estimations for selected countries', </w:t>
      </w:r>
      <w:r>
        <w:rPr>
          <w:rFonts w:ascii="Roboto" w:hAnsi="Roboto"/>
          <w:i/>
          <w:iCs/>
          <w:color w:val="000000"/>
          <w:sz w:val="21"/>
          <w:szCs w:val="21"/>
          <w:shd w:val="clear" w:color="auto" w:fill="FFFFFF"/>
        </w:rPr>
        <w:t>Environmental science and pollution research international, </w:t>
      </w:r>
      <w:r>
        <w:rPr>
          <w:rFonts w:ascii="Roboto" w:hAnsi="Roboto"/>
          <w:color w:val="000000"/>
          <w:sz w:val="21"/>
          <w:szCs w:val="21"/>
          <w:shd w:val="clear" w:color="auto" w:fill="FFFFFF"/>
        </w:rPr>
        <w:t>29(15), pp. 21303-21313 Available at: </w:t>
      </w:r>
      <w:hyperlink r:id="rId17" w:tgtFrame="_blank" w:history="1">
        <w:r>
          <w:rPr>
            <w:rStyle w:val="Hyperlink"/>
            <w:rFonts w:ascii="Roboto" w:hAnsi="Roboto"/>
            <w:color w:val="0066CC"/>
            <w:sz w:val="21"/>
            <w:szCs w:val="21"/>
            <w:shd w:val="clear" w:color="auto" w:fill="FFFFFF"/>
          </w:rPr>
          <w:t>https://doi.org/10.1007/s11356-021-17382-w.</w:t>
        </w:r>
      </w:hyperlink>
      <w:r>
        <w:t xml:space="preserve"> </w:t>
      </w:r>
    </w:p>
    <w:p w14:paraId="74390446" w14:textId="77777777" w:rsidR="00035455" w:rsidRDefault="00035455" w:rsidP="00440FE7">
      <w:pPr>
        <w:spacing w:after="200" w:line="360" w:lineRule="auto"/>
        <w:jc w:val="both"/>
      </w:pPr>
      <w:r>
        <w:rPr>
          <w:rFonts w:ascii="Roboto" w:hAnsi="Roboto"/>
          <w:color w:val="000000"/>
          <w:sz w:val="21"/>
          <w:szCs w:val="21"/>
          <w:shd w:val="clear" w:color="auto" w:fill="FFFFFF"/>
        </w:rPr>
        <w:t>Ladenburg, J. and Lutzeyer, S. (2012) 'The economics of visual disamenity reductions of offshore wind farms—Review and suggestions from an emerging field', </w:t>
      </w:r>
      <w:r>
        <w:rPr>
          <w:rFonts w:ascii="Roboto" w:hAnsi="Roboto"/>
          <w:i/>
          <w:iCs/>
          <w:color w:val="000000"/>
          <w:sz w:val="21"/>
          <w:szCs w:val="21"/>
          <w:shd w:val="clear" w:color="auto" w:fill="FFFFFF"/>
        </w:rPr>
        <w:t>Renewable &amp; sustainable energy reviews, </w:t>
      </w:r>
      <w:r>
        <w:rPr>
          <w:rFonts w:ascii="Roboto" w:hAnsi="Roboto"/>
          <w:color w:val="000000"/>
          <w:sz w:val="21"/>
          <w:szCs w:val="21"/>
          <w:shd w:val="clear" w:color="auto" w:fill="FFFFFF"/>
        </w:rPr>
        <w:t>16(9), pp. 6793-6802 Available at: </w:t>
      </w:r>
      <w:hyperlink r:id="rId18" w:tgtFrame="_blank" w:history="1">
        <w:r>
          <w:rPr>
            <w:rStyle w:val="Hyperlink"/>
            <w:rFonts w:ascii="Roboto" w:hAnsi="Roboto"/>
            <w:color w:val="0066CC"/>
            <w:sz w:val="21"/>
            <w:szCs w:val="21"/>
            <w:shd w:val="clear" w:color="auto" w:fill="FFFFFF"/>
          </w:rPr>
          <w:t>https://doi.org/10.1016/j.rser.2012.08.017.</w:t>
        </w:r>
      </w:hyperlink>
    </w:p>
    <w:p w14:paraId="4A65F30E" w14:textId="77777777" w:rsidR="00035455" w:rsidRDefault="00035455" w:rsidP="000B3FD7">
      <w:pPr>
        <w:spacing w:after="200" w:line="360" w:lineRule="auto"/>
        <w:jc w:val="both"/>
      </w:pPr>
      <w:r>
        <w:rPr>
          <w:rFonts w:ascii="Roboto" w:hAnsi="Roboto"/>
          <w:color w:val="000000"/>
          <w:sz w:val="21"/>
          <w:szCs w:val="21"/>
          <w:shd w:val="clear" w:color="auto" w:fill="FFFFFF"/>
        </w:rPr>
        <w:t>Litheko, A. (2021) 'Small Tourism Business Growth Through Eco-tourism in Mahikeng, South Africa', </w:t>
      </w:r>
      <w:r>
        <w:rPr>
          <w:rFonts w:ascii="Roboto" w:hAnsi="Roboto"/>
          <w:i/>
          <w:iCs/>
          <w:color w:val="000000"/>
          <w:sz w:val="21"/>
          <w:szCs w:val="21"/>
          <w:shd w:val="clear" w:color="auto" w:fill="FFFFFF"/>
        </w:rPr>
        <w:t>African journal of hospitality, tourism and leisure, </w:t>
      </w:r>
      <w:r>
        <w:rPr>
          <w:rFonts w:ascii="Roboto" w:hAnsi="Roboto"/>
          <w:color w:val="000000"/>
          <w:sz w:val="21"/>
          <w:szCs w:val="21"/>
          <w:shd w:val="clear" w:color="auto" w:fill="FFFFFF"/>
        </w:rPr>
        <w:t>10(1)(10(1)), pp. 256-269 Available at: </w:t>
      </w:r>
      <w:hyperlink r:id="rId19" w:tgtFrame="_blank" w:history="1">
        <w:r>
          <w:rPr>
            <w:rStyle w:val="Hyperlink"/>
            <w:rFonts w:ascii="Roboto" w:hAnsi="Roboto"/>
            <w:color w:val="0066CC"/>
            <w:sz w:val="21"/>
            <w:szCs w:val="21"/>
            <w:shd w:val="clear" w:color="auto" w:fill="FFFFFF"/>
          </w:rPr>
          <w:t>https://doi.org/10.46222/ajhtl.19770720-100.</w:t>
        </w:r>
      </w:hyperlink>
    </w:p>
    <w:p w14:paraId="442A4337" w14:textId="77777777" w:rsidR="00035455" w:rsidRDefault="00035455" w:rsidP="000B3FD7">
      <w:pPr>
        <w:spacing w:after="200" w:line="360" w:lineRule="auto"/>
        <w:jc w:val="both"/>
        <w:rPr>
          <w:rFonts w:ascii="Times New Roman" w:eastAsia="Times New Roman" w:hAnsi="Times New Roman" w:cs="Times New Roman"/>
          <w:color w:val="222222"/>
          <w:sz w:val="24"/>
          <w:szCs w:val="24"/>
          <w:highlight w:val="white"/>
        </w:rPr>
      </w:pPr>
      <w:r w:rsidRPr="00321742">
        <w:rPr>
          <w:rFonts w:ascii="Times New Roman" w:eastAsia="Times New Roman" w:hAnsi="Times New Roman" w:cs="Times New Roman"/>
          <w:color w:val="222222"/>
          <w:sz w:val="24"/>
          <w:szCs w:val="24"/>
          <w:highlight w:val="white"/>
        </w:rPr>
        <w:t xml:space="preserve">MacMillan, D.C. (2020). Towards a rewilding strategy for Scotland. </w:t>
      </w:r>
      <w:r w:rsidRPr="00321742">
        <w:rPr>
          <w:rFonts w:ascii="Times New Roman" w:eastAsia="Times New Roman" w:hAnsi="Times New Roman" w:cs="Times New Roman"/>
          <w:i/>
          <w:color w:val="222222"/>
          <w:sz w:val="24"/>
          <w:szCs w:val="24"/>
          <w:highlight w:val="white"/>
        </w:rPr>
        <w:t>Scottish Forestry74</w:t>
      </w:r>
      <w:r w:rsidRPr="00321742">
        <w:rPr>
          <w:rFonts w:ascii="Times New Roman" w:eastAsia="Times New Roman" w:hAnsi="Times New Roman" w:cs="Times New Roman"/>
          <w:color w:val="222222"/>
          <w:sz w:val="24"/>
          <w:szCs w:val="24"/>
          <w:highlight w:val="white"/>
        </w:rPr>
        <w:t>, pp.30-33.</w:t>
      </w:r>
    </w:p>
    <w:p w14:paraId="24617ABC" w14:textId="77777777" w:rsidR="00035455" w:rsidRDefault="00035455" w:rsidP="00440FE7">
      <w:pPr>
        <w:spacing w:after="200" w:line="360" w:lineRule="auto"/>
        <w:jc w:val="both"/>
        <w:rPr>
          <w:rFonts w:ascii="Times New Roman" w:eastAsia="Times New Roman" w:hAnsi="Times New Roman" w:cs="Times New Roman"/>
          <w:color w:val="222222"/>
          <w:sz w:val="24"/>
          <w:szCs w:val="24"/>
          <w:highlight w:val="white"/>
        </w:rPr>
      </w:pPr>
      <w:r w:rsidRPr="00321742">
        <w:rPr>
          <w:rFonts w:ascii="Times New Roman" w:eastAsia="Times New Roman" w:hAnsi="Times New Roman" w:cs="Times New Roman"/>
          <w:color w:val="222222"/>
          <w:sz w:val="24"/>
          <w:szCs w:val="24"/>
          <w:highlight w:val="white"/>
        </w:rPr>
        <w:t>McMaster, I. and Vironen, H.(2019). European territorial cooperation in Scotland post 2020.</w:t>
      </w:r>
    </w:p>
    <w:p w14:paraId="4AAE4B66"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t>National Grid (2023)</w:t>
      </w:r>
      <w:r w:rsidRPr="004E5471">
        <w:rPr>
          <w:rFonts w:ascii="Roboto" w:hAnsi="Roboto"/>
          <w:i/>
          <w:iCs/>
          <w:color w:val="000000"/>
          <w:sz w:val="21"/>
          <w:szCs w:val="21"/>
          <w:shd w:val="clear" w:color="auto" w:fill="FFFFFF"/>
        </w:rPr>
        <w:t>’How much of UK’s energy is renewable ?’</w:t>
      </w:r>
      <w:r>
        <w:rPr>
          <w:rFonts w:ascii="Roboto" w:hAnsi="Roboto"/>
          <w:color w:val="000000"/>
          <w:sz w:val="21"/>
          <w:szCs w:val="21"/>
          <w:shd w:val="clear" w:color="auto" w:fill="FFFFFF"/>
        </w:rPr>
        <w:t xml:space="preserve">. Available at: </w:t>
      </w:r>
      <w:hyperlink r:id="rId20" w:history="1">
        <w:r w:rsidRPr="00C63C33">
          <w:rPr>
            <w:rStyle w:val="Hyperlink"/>
            <w:rFonts w:ascii="Roboto" w:hAnsi="Roboto"/>
            <w:sz w:val="21"/>
            <w:szCs w:val="21"/>
            <w:shd w:val="clear" w:color="auto" w:fill="FFFFFF"/>
          </w:rPr>
          <w:t>https://www.nationalgrid.com/stories/energy-explained/how-much-uks-energy-renewable</w:t>
        </w:r>
      </w:hyperlink>
      <w:r>
        <w:rPr>
          <w:rFonts w:ascii="Roboto" w:hAnsi="Roboto"/>
          <w:color w:val="000000"/>
          <w:sz w:val="21"/>
          <w:szCs w:val="21"/>
          <w:shd w:val="clear" w:color="auto" w:fill="FFFFFF"/>
        </w:rPr>
        <w:t xml:space="preserve"> (Accessed 25 October 2023).</w:t>
      </w:r>
    </w:p>
    <w:p w14:paraId="1B8F5E60" w14:textId="77777777" w:rsidR="00035455" w:rsidRDefault="00035455" w:rsidP="00D750A3">
      <w:pPr>
        <w:spacing w:line="360" w:lineRule="auto"/>
      </w:pPr>
      <w:r>
        <w:rPr>
          <w:rFonts w:ascii="Roboto" w:hAnsi="Roboto"/>
          <w:color w:val="000000"/>
          <w:sz w:val="21"/>
          <w:szCs w:val="21"/>
          <w:shd w:val="clear" w:color="auto" w:fill="FFFFFF"/>
        </w:rPr>
        <w:t>Sadorsky, P. (2021) 'Wind energy for sustainable development: Driving factors and future outlook', </w:t>
      </w:r>
      <w:r>
        <w:rPr>
          <w:rFonts w:ascii="Roboto" w:hAnsi="Roboto"/>
          <w:i/>
          <w:iCs/>
          <w:color w:val="000000"/>
          <w:sz w:val="21"/>
          <w:szCs w:val="21"/>
          <w:shd w:val="clear" w:color="auto" w:fill="FFFFFF"/>
        </w:rPr>
        <w:t>Journal of cleaner production, </w:t>
      </w:r>
      <w:r>
        <w:rPr>
          <w:rFonts w:ascii="Roboto" w:hAnsi="Roboto"/>
          <w:color w:val="000000"/>
          <w:sz w:val="21"/>
          <w:szCs w:val="21"/>
          <w:shd w:val="clear" w:color="auto" w:fill="FFFFFF"/>
        </w:rPr>
        <w:t>289, pp. 125779 Available at: </w:t>
      </w:r>
      <w:hyperlink r:id="rId21" w:tgtFrame="_blank" w:history="1">
        <w:r>
          <w:rPr>
            <w:rStyle w:val="Hyperlink"/>
            <w:rFonts w:ascii="Roboto" w:hAnsi="Roboto"/>
            <w:color w:val="0066CC"/>
            <w:sz w:val="21"/>
            <w:szCs w:val="21"/>
            <w:shd w:val="clear" w:color="auto" w:fill="FFFFFF"/>
          </w:rPr>
          <w:t>https://doi.org/10.1016/j.jclepro.2020.125779.</w:t>
        </w:r>
      </w:hyperlink>
    </w:p>
    <w:p w14:paraId="662445F1" w14:textId="77777777" w:rsidR="00035455" w:rsidRDefault="00035455" w:rsidP="00D750A3">
      <w:pPr>
        <w:spacing w:line="360" w:lineRule="auto"/>
      </w:pPr>
      <w:r>
        <w:rPr>
          <w:rFonts w:ascii="Roboto" w:hAnsi="Roboto"/>
          <w:color w:val="000000"/>
          <w:sz w:val="21"/>
          <w:szCs w:val="21"/>
          <w:shd w:val="clear" w:color="auto" w:fill="FFFFFF"/>
        </w:rPr>
        <w:t>Saidur, R., Rahim, N.A., Islam, M.R. and Solangi, K.H. (2011) 'Environmental impact of wind energy', </w:t>
      </w:r>
      <w:r>
        <w:rPr>
          <w:rFonts w:ascii="Roboto" w:hAnsi="Roboto"/>
          <w:i/>
          <w:iCs/>
          <w:color w:val="000000"/>
          <w:sz w:val="21"/>
          <w:szCs w:val="21"/>
          <w:shd w:val="clear" w:color="auto" w:fill="FFFFFF"/>
        </w:rPr>
        <w:t>Renewable &amp; sustainable energy reviews, </w:t>
      </w:r>
      <w:r>
        <w:rPr>
          <w:rFonts w:ascii="Roboto" w:hAnsi="Roboto"/>
          <w:color w:val="000000"/>
          <w:sz w:val="21"/>
          <w:szCs w:val="21"/>
          <w:shd w:val="clear" w:color="auto" w:fill="FFFFFF"/>
        </w:rPr>
        <w:t>15(5), pp. 2423-2430 Available at: </w:t>
      </w:r>
      <w:hyperlink r:id="rId22" w:tgtFrame="_blank" w:history="1">
        <w:r>
          <w:rPr>
            <w:rStyle w:val="Hyperlink"/>
            <w:rFonts w:ascii="Roboto" w:hAnsi="Roboto"/>
            <w:color w:val="0066CC"/>
            <w:sz w:val="21"/>
            <w:szCs w:val="21"/>
            <w:shd w:val="clear" w:color="auto" w:fill="FFFFFF"/>
          </w:rPr>
          <w:t>https://doi.org/10.1016/j.rser.2011.02.024.</w:t>
        </w:r>
      </w:hyperlink>
    </w:p>
    <w:p w14:paraId="189C09D1" w14:textId="77777777" w:rsidR="00035455" w:rsidRDefault="00035455" w:rsidP="00440FE7">
      <w:pPr>
        <w:spacing w:after="200" w:line="360" w:lineRule="auto"/>
        <w:jc w:val="both"/>
      </w:pPr>
      <w:r>
        <w:rPr>
          <w:rFonts w:ascii="Roboto" w:hAnsi="Roboto"/>
          <w:color w:val="000000"/>
          <w:sz w:val="21"/>
          <w:szCs w:val="21"/>
          <w:shd w:val="clear" w:color="auto" w:fill="FFFFFF"/>
        </w:rPr>
        <w:t>Saura, J.R., Palacios-Marqués, D. and Ribeiro-Soriano, D. (2023) 'Digital marketing in SMEs via data-driven strategies: Reviewing the current state of research', </w:t>
      </w:r>
      <w:r>
        <w:rPr>
          <w:rFonts w:ascii="Roboto" w:hAnsi="Roboto"/>
          <w:i/>
          <w:iCs/>
          <w:color w:val="000000"/>
          <w:sz w:val="21"/>
          <w:szCs w:val="21"/>
          <w:shd w:val="clear" w:color="auto" w:fill="FFFFFF"/>
        </w:rPr>
        <w:t>Journal of small business management, </w:t>
      </w:r>
      <w:r>
        <w:rPr>
          <w:rFonts w:ascii="Roboto" w:hAnsi="Roboto"/>
          <w:color w:val="000000"/>
          <w:sz w:val="21"/>
          <w:szCs w:val="21"/>
          <w:shd w:val="clear" w:color="auto" w:fill="FFFFFF"/>
        </w:rPr>
        <w:t>61(3), pp. 1278-1313 Available at: </w:t>
      </w:r>
      <w:hyperlink r:id="rId23" w:tgtFrame="_blank" w:history="1">
        <w:r>
          <w:rPr>
            <w:rStyle w:val="Hyperlink"/>
            <w:rFonts w:ascii="Roboto" w:hAnsi="Roboto"/>
            <w:color w:val="0066CC"/>
            <w:sz w:val="21"/>
            <w:szCs w:val="21"/>
            <w:shd w:val="clear" w:color="auto" w:fill="FFFFFF"/>
          </w:rPr>
          <w:t>https://doi.org/10.1080/00472778.2021.1955127.</w:t>
        </w:r>
      </w:hyperlink>
    </w:p>
    <w:p w14:paraId="3531538B"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t>Scottish Enterprise (2023)</w:t>
      </w:r>
      <w:r w:rsidRPr="004E5471">
        <w:rPr>
          <w:rFonts w:ascii="Roboto" w:hAnsi="Roboto"/>
          <w:i/>
          <w:iCs/>
          <w:color w:val="000000"/>
          <w:sz w:val="21"/>
          <w:szCs w:val="21"/>
          <w:shd w:val="clear" w:color="auto" w:fill="FFFFFF"/>
        </w:rPr>
        <w:t>’What is the Scottish Loan Scheme?’</w:t>
      </w:r>
      <w:r>
        <w:rPr>
          <w:rFonts w:ascii="Roboto" w:hAnsi="Roboto"/>
          <w:color w:val="000000"/>
          <w:sz w:val="21"/>
          <w:szCs w:val="21"/>
          <w:shd w:val="clear" w:color="auto" w:fill="FFFFFF"/>
        </w:rPr>
        <w:t xml:space="preserve">. Available at: </w:t>
      </w:r>
      <w:hyperlink r:id="rId24" w:history="1">
        <w:r w:rsidRPr="00C63C33">
          <w:rPr>
            <w:rStyle w:val="Hyperlink"/>
            <w:rFonts w:ascii="Roboto" w:hAnsi="Roboto"/>
            <w:sz w:val="21"/>
            <w:szCs w:val="21"/>
            <w:shd w:val="clear" w:color="auto" w:fill="FFFFFF"/>
          </w:rPr>
          <w:t>https://www.scottish-enterprise.com/support-for-businesses/funding-and-grants/accessing-finance-and-attracting-investment/scottish-loan-scheme</w:t>
        </w:r>
      </w:hyperlink>
      <w:r>
        <w:rPr>
          <w:rFonts w:ascii="Roboto" w:hAnsi="Roboto"/>
          <w:color w:val="000000"/>
          <w:sz w:val="21"/>
          <w:szCs w:val="21"/>
          <w:shd w:val="clear" w:color="auto" w:fill="FFFFFF"/>
        </w:rPr>
        <w:t xml:space="preserve"> (Accessed 28 October 2023).</w:t>
      </w:r>
    </w:p>
    <w:p w14:paraId="405ED350" w14:textId="77777777" w:rsidR="00035455" w:rsidRPr="00720CE6" w:rsidRDefault="00035455" w:rsidP="00720CE6">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t>Stern, N. (2014) </w:t>
      </w:r>
      <w:r>
        <w:rPr>
          <w:rFonts w:ascii="Roboto" w:hAnsi="Roboto"/>
          <w:i/>
          <w:iCs/>
          <w:color w:val="000000"/>
          <w:sz w:val="21"/>
          <w:szCs w:val="21"/>
          <w:shd w:val="clear" w:color="auto" w:fill="FFFFFF"/>
        </w:rPr>
        <w:t>Growth, climate and collaboration: towards agreement in Paris 2015</w:t>
      </w:r>
      <w:r>
        <w:rPr>
          <w:rFonts w:ascii="Roboto" w:hAnsi="Roboto"/>
          <w:color w:val="000000"/>
          <w:sz w:val="21"/>
          <w:szCs w:val="21"/>
          <w:shd w:val="clear" w:color="auto" w:fill="FFFFFF"/>
        </w:rPr>
        <w:t> Centre for Climate Change Economics and Policy and Grantham Research Institute on Climate Change and the Environment.</w:t>
      </w:r>
      <w:r w:rsidRPr="006B086E">
        <w:rPr>
          <w:rFonts w:ascii="Arial" w:hAnsi="Arial" w:cs="Arial"/>
          <w:color w:val="000000"/>
          <w:shd w:val="clear" w:color="auto" w:fill="FFFFFF"/>
        </w:rPr>
        <w:t xml:space="preserve"> </w:t>
      </w:r>
    </w:p>
    <w:p w14:paraId="10DD7969" w14:textId="77777777" w:rsidR="00035455" w:rsidRDefault="00035455" w:rsidP="00D750A3">
      <w:pPr>
        <w:spacing w:line="360" w:lineRule="auto"/>
        <w:rPr>
          <w:rFonts w:ascii="Roboto" w:hAnsi="Roboto"/>
          <w:color w:val="000000"/>
          <w:sz w:val="21"/>
          <w:szCs w:val="21"/>
          <w:shd w:val="clear" w:color="auto" w:fill="FFFFFF"/>
        </w:rPr>
      </w:pPr>
      <w:r>
        <w:rPr>
          <w:rFonts w:ascii="Roboto" w:hAnsi="Roboto"/>
          <w:color w:val="000000"/>
          <w:sz w:val="21"/>
          <w:szCs w:val="21"/>
          <w:shd w:val="clear" w:color="auto" w:fill="FFFFFF"/>
        </w:rPr>
        <w:lastRenderedPageBreak/>
        <w:t>UNDP (2019)</w:t>
      </w:r>
      <w:r w:rsidRPr="00720CE6">
        <w:rPr>
          <w:rFonts w:ascii="Arial" w:hAnsi="Arial" w:cs="Arial"/>
          <w:color w:val="000000"/>
          <w:shd w:val="clear" w:color="auto" w:fill="FFFFFF"/>
        </w:rPr>
        <w:t xml:space="preserve"> </w:t>
      </w:r>
      <w:r w:rsidRPr="004E5471">
        <w:rPr>
          <w:rFonts w:ascii="Arial" w:hAnsi="Arial" w:cs="Arial"/>
          <w:i/>
          <w:iCs/>
          <w:color w:val="000000"/>
          <w:shd w:val="clear" w:color="auto" w:fill="FFFFFF"/>
        </w:rPr>
        <w:t>’United Nations Development-Sustainable development goals’</w:t>
      </w:r>
      <w:r>
        <w:rPr>
          <w:rFonts w:ascii="Arial" w:hAnsi="Arial" w:cs="Arial"/>
          <w:color w:val="000000"/>
          <w:shd w:val="clear" w:color="auto" w:fill="FFFFFF"/>
        </w:rPr>
        <w:t>.</w:t>
      </w:r>
      <w:r>
        <w:rPr>
          <w:rFonts w:ascii="Roboto" w:hAnsi="Roboto"/>
          <w:color w:val="000000"/>
          <w:sz w:val="21"/>
          <w:szCs w:val="21"/>
          <w:shd w:val="clear" w:color="auto" w:fill="FFFFFF"/>
        </w:rPr>
        <w:t xml:space="preserve"> Available at: </w:t>
      </w:r>
      <w:hyperlink r:id="rId25" w:history="1">
        <w:r w:rsidRPr="00C63C33">
          <w:rPr>
            <w:rStyle w:val="Hyperlink"/>
            <w:rFonts w:ascii="Roboto" w:hAnsi="Roboto"/>
            <w:sz w:val="21"/>
            <w:szCs w:val="21"/>
            <w:shd w:val="clear" w:color="auto" w:fill="FFFFFF"/>
          </w:rPr>
          <w:t>https://www.undp.org/sustainable-development-goals/responsible-consumption-and-production?gad_source=1&amp;gclid=EAIaIQobChMI7aSClqKbggMVFMXtCh3Hng4-EAAYAiAAEgLtUfD_BwE</w:t>
        </w:r>
      </w:hyperlink>
      <w:r>
        <w:rPr>
          <w:rFonts w:ascii="Roboto" w:hAnsi="Roboto"/>
          <w:color w:val="000000"/>
          <w:sz w:val="21"/>
          <w:szCs w:val="21"/>
          <w:shd w:val="clear" w:color="auto" w:fill="FFFFFF"/>
        </w:rPr>
        <w:t xml:space="preserve"> (Accessed 26 October 2023).</w:t>
      </w:r>
    </w:p>
    <w:p w14:paraId="50988950" w14:textId="77777777" w:rsidR="00440FE7" w:rsidRDefault="00440FE7" w:rsidP="00F366DD">
      <w:pPr>
        <w:spacing w:after="200" w:line="360" w:lineRule="auto"/>
        <w:jc w:val="both"/>
        <w:rPr>
          <w:rFonts w:ascii="Times New Roman" w:eastAsia="Times New Roman" w:hAnsi="Times New Roman" w:cs="Times New Roman"/>
          <w:color w:val="222222"/>
          <w:sz w:val="24"/>
          <w:szCs w:val="24"/>
          <w:highlight w:val="white"/>
        </w:rPr>
      </w:pPr>
    </w:p>
    <w:p w14:paraId="1FEDAA09" w14:textId="77777777" w:rsidR="00440FE7" w:rsidRPr="00321742" w:rsidRDefault="00440FE7" w:rsidP="00F366DD">
      <w:pPr>
        <w:spacing w:after="200" w:line="360" w:lineRule="auto"/>
        <w:jc w:val="both"/>
        <w:rPr>
          <w:rFonts w:ascii="Times New Roman" w:eastAsia="Times New Roman" w:hAnsi="Times New Roman" w:cs="Times New Roman"/>
          <w:color w:val="222222"/>
          <w:sz w:val="24"/>
          <w:szCs w:val="24"/>
          <w:highlight w:val="white"/>
        </w:rPr>
      </w:pPr>
    </w:p>
    <w:p w14:paraId="23D6BAC4" w14:textId="77777777" w:rsidR="00F366DD" w:rsidRDefault="00F366DD" w:rsidP="00D750A3">
      <w:pPr>
        <w:spacing w:line="360" w:lineRule="auto"/>
        <w:rPr>
          <w:rFonts w:ascii="Roboto" w:hAnsi="Roboto"/>
          <w:color w:val="000000"/>
          <w:sz w:val="21"/>
          <w:szCs w:val="21"/>
          <w:shd w:val="clear" w:color="auto" w:fill="FFFFFF"/>
        </w:rPr>
      </w:pPr>
    </w:p>
    <w:p w14:paraId="38179DCA" w14:textId="77777777" w:rsidR="009A7E8E" w:rsidRDefault="009A7E8E" w:rsidP="00D750A3">
      <w:pPr>
        <w:spacing w:line="360" w:lineRule="auto"/>
        <w:rPr>
          <w:rFonts w:ascii="Roboto" w:hAnsi="Roboto"/>
          <w:color w:val="000000"/>
          <w:sz w:val="21"/>
          <w:szCs w:val="21"/>
          <w:shd w:val="clear" w:color="auto" w:fill="FFFFFF"/>
        </w:rPr>
      </w:pPr>
    </w:p>
    <w:p w14:paraId="5B429A0B" w14:textId="77777777" w:rsidR="0044017E" w:rsidRPr="0044017E" w:rsidRDefault="0044017E" w:rsidP="00D750A3">
      <w:pPr>
        <w:spacing w:line="360" w:lineRule="auto"/>
        <w:rPr>
          <w:rFonts w:ascii="Arial" w:hAnsi="Arial" w:cs="Arial"/>
          <w:sz w:val="24"/>
          <w:szCs w:val="24"/>
          <w:lang w:val="en-GB"/>
        </w:rPr>
      </w:pPr>
    </w:p>
    <w:sectPr w:rsidR="0044017E" w:rsidRPr="0044017E" w:rsidSect="006C3A58">
      <w:footerReference w:type="defaul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81D12" w14:textId="77777777" w:rsidR="00000B77" w:rsidRDefault="00000B77" w:rsidP="006C3A58">
      <w:pPr>
        <w:spacing w:after="0" w:line="240" w:lineRule="auto"/>
      </w:pPr>
      <w:r>
        <w:separator/>
      </w:r>
    </w:p>
  </w:endnote>
  <w:endnote w:type="continuationSeparator" w:id="0">
    <w:p w14:paraId="149A5A1E" w14:textId="77777777" w:rsidR="00000B77" w:rsidRDefault="00000B77" w:rsidP="006C3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B5E03" w14:textId="77777777" w:rsidR="006C3A58" w:rsidRDefault="006C3A5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1337038" w14:textId="77777777" w:rsidR="006C3A58" w:rsidRDefault="006C3A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B4EB2" w14:textId="77777777" w:rsidR="006C3A58" w:rsidRDefault="006C3A5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121078C" w14:textId="77777777" w:rsidR="006C3A58" w:rsidRDefault="006C3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D809B" w14:textId="77777777" w:rsidR="00000B77" w:rsidRDefault="00000B77" w:rsidP="006C3A58">
      <w:pPr>
        <w:spacing w:after="0" w:line="240" w:lineRule="auto"/>
      </w:pPr>
      <w:r>
        <w:separator/>
      </w:r>
    </w:p>
  </w:footnote>
  <w:footnote w:type="continuationSeparator" w:id="0">
    <w:p w14:paraId="6EF73932" w14:textId="77777777" w:rsidR="00000B77" w:rsidRDefault="00000B77" w:rsidP="006C3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7E5A"/>
    <w:multiLevelType w:val="hybridMultilevel"/>
    <w:tmpl w:val="0AEC64D4"/>
    <w:lvl w:ilvl="0" w:tplc="A7DAC634">
      <w:start w:val="1"/>
      <w:numFmt w:val="bullet"/>
      <w:lvlText w:val=""/>
      <w:lvlJc w:val="left"/>
      <w:pPr>
        <w:tabs>
          <w:tab w:val="num" w:pos="720"/>
        </w:tabs>
        <w:ind w:left="720" w:hanging="360"/>
      </w:pPr>
      <w:rPr>
        <w:rFonts w:ascii="Wingdings" w:hAnsi="Wingdings" w:hint="default"/>
      </w:rPr>
    </w:lvl>
    <w:lvl w:ilvl="1" w:tplc="41E084C6" w:tentative="1">
      <w:start w:val="1"/>
      <w:numFmt w:val="bullet"/>
      <w:lvlText w:val=""/>
      <w:lvlJc w:val="left"/>
      <w:pPr>
        <w:tabs>
          <w:tab w:val="num" w:pos="1440"/>
        </w:tabs>
        <w:ind w:left="1440" w:hanging="360"/>
      </w:pPr>
      <w:rPr>
        <w:rFonts w:ascii="Wingdings" w:hAnsi="Wingdings" w:hint="default"/>
      </w:rPr>
    </w:lvl>
    <w:lvl w:ilvl="2" w:tplc="30522E92" w:tentative="1">
      <w:start w:val="1"/>
      <w:numFmt w:val="bullet"/>
      <w:lvlText w:val=""/>
      <w:lvlJc w:val="left"/>
      <w:pPr>
        <w:tabs>
          <w:tab w:val="num" w:pos="2160"/>
        </w:tabs>
        <w:ind w:left="2160" w:hanging="360"/>
      </w:pPr>
      <w:rPr>
        <w:rFonts w:ascii="Wingdings" w:hAnsi="Wingdings" w:hint="default"/>
      </w:rPr>
    </w:lvl>
    <w:lvl w:ilvl="3" w:tplc="19DA1AE0" w:tentative="1">
      <w:start w:val="1"/>
      <w:numFmt w:val="bullet"/>
      <w:lvlText w:val=""/>
      <w:lvlJc w:val="left"/>
      <w:pPr>
        <w:tabs>
          <w:tab w:val="num" w:pos="2880"/>
        </w:tabs>
        <w:ind w:left="2880" w:hanging="360"/>
      </w:pPr>
      <w:rPr>
        <w:rFonts w:ascii="Wingdings" w:hAnsi="Wingdings" w:hint="default"/>
      </w:rPr>
    </w:lvl>
    <w:lvl w:ilvl="4" w:tplc="4274A950" w:tentative="1">
      <w:start w:val="1"/>
      <w:numFmt w:val="bullet"/>
      <w:lvlText w:val=""/>
      <w:lvlJc w:val="left"/>
      <w:pPr>
        <w:tabs>
          <w:tab w:val="num" w:pos="3600"/>
        </w:tabs>
        <w:ind w:left="3600" w:hanging="360"/>
      </w:pPr>
      <w:rPr>
        <w:rFonts w:ascii="Wingdings" w:hAnsi="Wingdings" w:hint="default"/>
      </w:rPr>
    </w:lvl>
    <w:lvl w:ilvl="5" w:tplc="0F163444" w:tentative="1">
      <w:start w:val="1"/>
      <w:numFmt w:val="bullet"/>
      <w:lvlText w:val=""/>
      <w:lvlJc w:val="left"/>
      <w:pPr>
        <w:tabs>
          <w:tab w:val="num" w:pos="4320"/>
        </w:tabs>
        <w:ind w:left="4320" w:hanging="360"/>
      </w:pPr>
      <w:rPr>
        <w:rFonts w:ascii="Wingdings" w:hAnsi="Wingdings" w:hint="default"/>
      </w:rPr>
    </w:lvl>
    <w:lvl w:ilvl="6" w:tplc="6E8EB988" w:tentative="1">
      <w:start w:val="1"/>
      <w:numFmt w:val="bullet"/>
      <w:lvlText w:val=""/>
      <w:lvlJc w:val="left"/>
      <w:pPr>
        <w:tabs>
          <w:tab w:val="num" w:pos="5040"/>
        </w:tabs>
        <w:ind w:left="5040" w:hanging="360"/>
      </w:pPr>
      <w:rPr>
        <w:rFonts w:ascii="Wingdings" w:hAnsi="Wingdings" w:hint="default"/>
      </w:rPr>
    </w:lvl>
    <w:lvl w:ilvl="7" w:tplc="1A2690FE" w:tentative="1">
      <w:start w:val="1"/>
      <w:numFmt w:val="bullet"/>
      <w:lvlText w:val=""/>
      <w:lvlJc w:val="left"/>
      <w:pPr>
        <w:tabs>
          <w:tab w:val="num" w:pos="5760"/>
        </w:tabs>
        <w:ind w:left="5760" w:hanging="360"/>
      </w:pPr>
      <w:rPr>
        <w:rFonts w:ascii="Wingdings" w:hAnsi="Wingdings" w:hint="default"/>
      </w:rPr>
    </w:lvl>
    <w:lvl w:ilvl="8" w:tplc="FAA6510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7201E5C"/>
    <w:multiLevelType w:val="multilevel"/>
    <w:tmpl w:val="CDA6D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581DFD"/>
    <w:multiLevelType w:val="multilevel"/>
    <w:tmpl w:val="5C188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B82428"/>
    <w:multiLevelType w:val="multilevel"/>
    <w:tmpl w:val="9572E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DC3310"/>
    <w:multiLevelType w:val="multilevel"/>
    <w:tmpl w:val="3800C4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4208772">
    <w:abstractNumId w:val="2"/>
  </w:num>
  <w:num w:numId="2" w16cid:durableId="1222012903">
    <w:abstractNumId w:val="3"/>
  </w:num>
  <w:num w:numId="3" w16cid:durableId="555897754">
    <w:abstractNumId w:val="4"/>
  </w:num>
  <w:num w:numId="4" w16cid:durableId="1142428530">
    <w:abstractNumId w:val="1"/>
  </w:num>
  <w:num w:numId="5" w16cid:durableId="205083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8AF"/>
    <w:rsid w:val="00000B77"/>
    <w:rsid w:val="00035455"/>
    <w:rsid w:val="0003720F"/>
    <w:rsid w:val="000424AE"/>
    <w:rsid w:val="00042B63"/>
    <w:rsid w:val="00042E67"/>
    <w:rsid w:val="00046403"/>
    <w:rsid w:val="000A57F5"/>
    <w:rsid w:val="000B3FD7"/>
    <w:rsid w:val="000C29BA"/>
    <w:rsid w:val="00115E9C"/>
    <w:rsid w:val="00173F25"/>
    <w:rsid w:val="001775BA"/>
    <w:rsid w:val="001A1DC2"/>
    <w:rsid w:val="001F4FD0"/>
    <w:rsid w:val="001F51AF"/>
    <w:rsid w:val="00227571"/>
    <w:rsid w:val="00240CFC"/>
    <w:rsid w:val="00241857"/>
    <w:rsid w:val="00246ACF"/>
    <w:rsid w:val="0026112B"/>
    <w:rsid w:val="0027508E"/>
    <w:rsid w:val="002752CD"/>
    <w:rsid w:val="002752CF"/>
    <w:rsid w:val="00276A4E"/>
    <w:rsid w:val="002804D5"/>
    <w:rsid w:val="00290726"/>
    <w:rsid w:val="002A5C6C"/>
    <w:rsid w:val="002B1138"/>
    <w:rsid w:val="002B4DC2"/>
    <w:rsid w:val="002C0B86"/>
    <w:rsid w:val="002D2D5E"/>
    <w:rsid w:val="002E5AB1"/>
    <w:rsid w:val="00322FE2"/>
    <w:rsid w:val="0034404B"/>
    <w:rsid w:val="003474C6"/>
    <w:rsid w:val="00357412"/>
    <w:rsid w:val="00380065"/>
    <w:rsid w:val="00394D5B"/>
    <w:rsid w:val="003E2BFE"/>
    <w:rsid w:val="003F2422"/>
    <w:rsid w:val="003F455B"/>
    <w:rsid w:val="00413C22"/>
    <w:rsid w:val="00414F99"/>
    <w:rsid w:val="00430DB1"/>
    <w:rsid w:val="0044017E"/>
    <w:rsid w:val="00440FE7"/>
    <w:rsid w:val="0046781F"/>
    <w:rsid w:val="0047219D"/>
    <w:rsid w:val="004831D9"/>
    <w:rsid w:val="004A700D"/>
    <w:rsid w:val="004B5331"/>
    <w:rsid w:val="004D1BA7"/>
    <w:rsid w:val="004E5471"/>
    <w:rsid w:val="00527A59"/>
    <w:rsid w:val="00577F55"/>
    <w:rsid w:val="00591030"/>
    <w:rsid w:val="005D0DEF"/>
    <w:rsid w:val="006554DC"/>
    <w:rsid w:val="006A1B96"/>
    <w:rsid w:val="006A1F09"/>
    <w:rsid w:val="006B79ED"/>
    <w:rsid w:val="006C0AFA"/>
    <w:rsid w:val="006C3A58"/>
    <w:rsid w:val="006D1890"/>
    <w:rsid w:val="006D7646"/>
    <w:rsid w:val="0070330C"/>
    <w:rsid w:val="007139B4"/>
    <w:rsid w:val="00720CE6"/>
    <w:rsid w:val="00727585"/>
    <w:rsid w:val="007704DA"/>
    <w:rsid w:val="007930C0"/>
    <w:rsid w:val="0079604C"/>
    <w:rsid w:val="007B6F08"/>
    <w:rsid w:val="007C157F"/>
    <w:rsid w:val="00802816"/>
    <w:rsid w:val="00883517"/>
    <w:rsid w:val="008B36FD"/>
    <w:rsid w:val="008D0B7C"/>
    <w:rsid w:val="009309F1"/>
    <w:rsid w:val="0095033A"/>
    <w:rsid w:val="00954E61"/>
    <w:rsid w:val="00965CC3"/>
    <w:rsid w:val="009A7E8E"/>
    <w:rsid w:val="009B7986"/>
    <w:rsid w:val="009C714D"/>
    <w:rsid w:val="00A67E0B"/>
    <w:rsid w:val="00A8264D"/>
    <w:rsid w:val="00A91277"/>
    <w:rsid w:val="00A91FC0"/>
    <w:rsid w:val="00AD0DCB"/>
    <w:rsid w:val="00B3136B"/>
    <w:rsid w:val="00B406C1"/>
    <w:rsid w:val="00B53895"/>
    <w:rsid w:val="00B73059"/>
    <w:rsid w:val="00B81505"/>
    <w:rsid w:val="00B86FE4"/>
    <w:rsid w:val="00BC57B4"/>
    <w:rsid w:val="00BF0206"/>
    <w:rsid w:val="00C04A8A"/>
    <w:rsid w:val="00C21ABD"/>
    <w:rsid w:val="00C35298"/>
    <w:rsid w:val="00C80644"/>
    <w:rsid w:val="00CA23D4"/>
    <w:rsid w:val="00CB28CF"/>
    <w:rsid w:val="00CC5B12"/>
    <w:rsid w:val="00CE7F1A"/>
    <w:rsid w:val="00D11FFC"/>
    <w:rsid w:val="00D1477E"/>
    <w:rsid w:val="00D221C9"/>
    <w:rsid w:val="00D73EE9"/>
    <w:rsid w:val="00D750A3"/>
    <w:rsid w:val="00D811BA"/>
    <w:rsid w:val="00D83B88"/>
    <w:rsid w:val="00DA0ADA"/>
    <w:rsid w:val="00DC71A3"/>
    <w:rsid w:val="00DD1FEB"/>
    <w:rsid w:val="00E316CC"/>
    <w:rsid w:val="00E42ADF"/>
    <w:rsid w:val="00E552B8"/>
    <w:rsid w:val="00E73E22"/>
    <w:rsid w:val="00E868AF"/>
    <w:rsid w:val="00EA19C8"/>
    <w:rsid w:val="00EA2353"/>
    <w:rsid w:val="00EB18A4"/>
    <w:rsid w:val="00EC58E4"/>
    <w:rsid w:val="00F366DD"/>
    <w:rsid w:val="00F51D33"/>
    <w:rsid w:val="00F765B1"/>
    <w:rsid w:val="00F81B4E"/>
    <w:rsid w:val="00F83D01"/>
    <w:rsid w:val="00F855D2"/>
    <w:rsid w:val="00FB24EA"/>
    <w:rsid w:val="00FD299A"/>
    <w:rsid w:val="00FE5ACA"/>
    <w:rsid w:val="00FF352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C95D3"/>
  <w15:chartTrackingRefBased/>
  <w15:docId w15:val="{CDDFCAAE-CF2C-4873-9390-9FCEF1D09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13C2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o-RO"/>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A58"/>
  </w:style>
  <w:style w:type="paragraph" w:styleId="Footer">
    <w:name w:val="footer"/>
    <w:basedOn w:val="Normal"/>
    <w:link w:val="FooterChar"/>
    <w:uiPriority w:val="99"/>
    <w:unhideWhenUsed/>
    <w:rsid w:val="006C3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A58"/>
  </w:style>
  <w:style w:type="character" w:styleId="Hyperlink">
    <w:name w:val="Hyperlink"/>
    <w:basedOn w:val="DefaultParagraphFont"/>
    <w:uiPriority w:val="99"/>
    <w:unhideWhenUsed/>
    <w:rsid w:val="00720CE6"/>
    <w:rPr>
      <w:color w:val="0563C1" w:themeColor="hyperlink"/>
      <w:u w:val="single"/>
    </w:rPr>
  </w:style>
  <w:style w:type="character" w:styleId="UnresolvedMention">
    <w:name w:val="Unresolved Mention"/>
    <w:basedOn w:val="DefaultParagraphFont"/>
    <w:uiPriority w:val="99"/>
    <w:semiHidden/>
    <w:unhideWhenUsed/>
    <w:rsid w:val="00720CE6"/>
    <w:rPr>
      <w:color w:val="605E5C"/>
      <w:shd w:val="clear" w:color="auto" w:fill="E1DFDD"/>
    </w:rPr>
  </w:style>
  <w:style w:type="character" w:customStyle="1" w:styleId="Heading1Char">
    <w:name w:val="Heading 1 Char"/>
    <w:basedOn w:val="DefaultParagraphFont"/>
    <w:link w:val="Heading1"/>
    <w:uiPriority w:val="9"/>
    <w:rsid w:val="00413C22"/>
    <w:rPr>
      <w:rFonts w:ascii="Times New Roman" w:eastAsia="Times New Roman" w:hAnsi="Times New Roman" w:cs="Times New Roman"/>
      <w:b/>
      <w:bCs/>
      <w:kern w:val="36"/>
      <w:sz w:val="48"/>
      <w:szCs w:val="48"/>
      <w:lang w:eastAsia="ro-RO"/>
      <w14:ligatures w14:val="none"/>
    </w:rPr>
  </w:style>
  <w:style w:type="paragraph" w:styleId="TOCHeading">
    <w:name w:val="TOC Heading"/>
    <w:basedOn w:val="Heading1"/>
    <w:next w:val="Normal"/>
    <w:uiPriority w:val="39"/>
    <w:unhideWhenUsed/>
    <w:qFormat/>
    <w:rsid w:val="002B4DC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4404B"/>
    <w:pPr>
      <w:spacing w:after="100"/>
    </w:pPr>
  </w:style>
  <w:style w:type="table" w:styleId="TableGrid">
    <w:name w:val="Table Grid"/>
    <w:basedOn w:val="TableNormal"/>
    <w:uiPriority w:val="39"/>
    <w:rsid w:val="00FB24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833094">
      <w:bodyDiv w:val="1"/>
      <w:marLeft w:val="0"/>
      <w:marRight w:val="0"/>
      <w:marTop w:val="0"/>
      <w:marBottom w:val="0"/>
      <w:divBdr>
        <w:top w:val="none" w:sz="0" w:space="0" w:color="auto"/>
        <w:left w:val="none" w:sz="0" w:space="0" w:color="auto"/>
        <w:bottom w:val="none" w:sz="0" w:space="0" w:color="auto"/>
        <w:right w:val="none" w:sz="0" w:space="0" w:color="auto"/>
      </w:divBdr>
    </w:div>
    <w:div w:id="1415974438">
      <w:bodyDiv w:val="1"/>
      <w:marLeft w:val="0"/>
      <w:marRight w:val="0"/>
      <w:marTop w:val="0"/>
      <w:marBottom w:val="0"/>
      <w:divBdr>
        <w:top w:val="none" w:sz="0" w:space="0" w:color="auto"/>
        <w:left w:val="none" w:sz="0" w:space="0" w:color="auto"/>
        <w:bottom w:val="none" w:sz="0" w:space="0" w:color="auto"/>
        <w:right w:val="none" w:sz="0" w:space="0" w:color="auto"/>
      </w:divBdr>
    </w:div>
    <w:div w:id="1718386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erss.2019.101337." TargetMode="External"/><Relationship Id="rId18" Type="http://schemas.openxmlformats.org/officeDocument/2006/relationships/hyperlink" Target="https://doi.org/10.1016/j.rser.2012.08.01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jclepro.2020.125779." TargetMode="External"/><Relationship Id="rId7" Type="http://schemas.openxmlformats.org/officeDocument/2006/relationships/endnotes" Target="endnotes.xml"/><Relationship Id="rId12" Type="http://schemas.openxmlformats.org/officeDocument/2006/relationships/hyperlink" Target="http://energieclimat.hypotheses.org/3995" TargetMode="External"/><Relationship Id="rId17" Type="http://schemas.openxmlformats.org/officeDocument/2006/relationships/hyperlink" Target="https://doi.org/10.1007/s11356-021-17382-w." TargetMode="External"/><Relationship Id="rId25" Type="http://schemas.openxmlformats.org/officeDocument/2006/relationships/hyperlink" Target="https://www.undp.org/sustainable-development-goals/responsible-consumption-and-production?gad_source=1&amp;gclid=EAIaIQobChMI7aSClqKbggMVFMXtCh3Hng4-EAAYAiAAEgLtUfD_BwE" TargetMode="External"/><Relationship Id="rId2" Type="http://schemas.openxmlformats.org/officeDocument/2006/relationships/numbering" Target="numbering.xml"/><Relationship Id="rId16" Type="http://schemas.openxmlformats.org/officeDocument/2006/relationships/hyperlink" Target="https://www.foundationscotland.org.uk/apply-for-funding/funding-available" TargetMode="External"/><Relationship Id="rId20" Type="http://schemas.openxmlformats.org/officeDocument/2006/relationships/hyperlink" Target="https://www.nationalgrid.com/stories/energy-explained/how-much-uks-energy-renewab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science-environment-65557469" TargetMode="External"/><Relationship Id="rId24" Type="http://schemas.openxmlformats.org/officeDocument/2006/relationships/hyperlink" Target="https://www.scottish-enterprise.com/support-for-businesses/funding-and-grants/accessing-finance-and-attracting-investment/scottish-loan-scheme" TargetMode="External"/><Relationship Id="rId5" Type="http://schemas.openxmlformats.org/officeDocument/2006/relationships/webSettings" Target="webSettings.xml"/><Relationship Id="rId15" Type="http://schemas.openxmlformats.org/officeDocument/2006/relationships/hyperlink" Target="https://doi.org/10.1080/09669582.2021.1951278." TargetMode="External"/><Relationship Id="rId23" Type="http://schemas.openxmlformats.org/officeDocument/2006/relationships/hyperlink" Target="https://doi.org/10.1080/00472778.2021.1955127." TargetMode="External"/><Relationship Id="rId28" Type="http://schemas.openxmlformats.org/officeDocument/2006/relationships/fontTable" Target="fontTable.xml"/><Relationship Id="rId10" Type="http://schemas.openxmlformats.org/officeDocument/2006/relationships/hyperlink" Target="https://doi.org/10.1016/j.rser.2021.112014." TargetMode="External"/><Relationship Id="rId19" Type="http://schemas.openxmlformats.org/officeDocument/2006/relationships/hyperlink" Target="https://doi.org/10.46222/ajhtl.19770720-10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rbonbrief.org/factcheck-which-parts-of-the-uk-are-windy-enough-for-windfarms/" TargetMode="External"/><Relationship Id="rId22" Type="http://schemas.openxmlformats.org/officeDocument/2006/relationships/hyperlink" Target="https://doi.org/10.1016/j.rser.2011.02.024."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CCDEE-7987-43BA-8661-F8E4837EF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3418</Words>
  <Characters>19827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Mihailescu</dc:creator>
  <cp:keywords/>
  <dc:description/>
  <cp:lastModifiedBy>Adelina Mihailescu</cp:lastModifiedBy>
  <cp:revision>2</cp:revision>
  <dcterms:created xsi:type="dcterms:W3CDTF">2023-11-06T11:53:00Z</dcterms:created>
  <dcterms:modified xsi:type="dcterms:W3CDTF">2023-11-06T11:53:00Z</dcterms:modified>
</cp:coreProperties>
</file>