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CC30A" w14:textId="66C79E81" w:rsidR="00B63373" w:rsidRPr="00B63373" w:rsidRDefault="00B63373">
      <w:pPr>
        <w:rPr>
          <w:sz w:val="32"/>
          <w:szCs w:val="32"/>
        </w:rPr>
      </w:pPr>
    </w:p>
    <w:p w14:paraId="3C7A4380" w14:textId="05EA2E01" w:rsidR="00B63373" w:rsidRPr="00B63373" w:rsidRDefault="00B63373">
      <w:pPr>
        <w:rPr>
          <w:sz w:val="32"/>
          <w:szCs w:val="32"/>
        </w:rPr>
      </w:pPr>
    </w:p>
    <w:p w14:paraId="72B3062A" w14:textId="63B5F3EF" w:rsidR="00B63373" w:rsidRPr="00B63373" w:rsidRDefault="00B63373">
      <w:pPr>
        <w:rPr>
          <w:sz w:val="32"/>
          <w:szCs w:val="32"/>
        </w:rPr>
      </w:pPr>
    </w:p>
    <w:p w14:paraId="12A82748" w14:textId="193532B8" w:rsidR="00B63373" w:rsidRPr="00B37108" w:rsidRDefault="00B63373">
      <w:pPr>
        <w:rPr>
          <w:b/>
          <w:bCs/>
          <w:sz w:val="32"/>
          <w:szCs w:val="32"/>
          <w:u w:val="single"/>
        </w:rPr>
      </w:pPr>
      <w:r w:rsidRPr="00B37108">
        <w:rPr>
          <w:b/>
          <w:bCs/>
          <w:sz w:val="32"/>
          <w:szCs w:val="32"/>
          <w:u w:val="single"/>
        </w:rPr>
        <w:t xml:space="preserve">Contract Law Assignment </w:t>
      </w:r>
      <w:r w:rsidR="00B37108" w:rsidRPr="00B37108">
        <w:rPr>
          <w:b/>
          <w:bCs/>
          <w:sz w:val="32"/>
          <w:szCs w:val="32"/>
          <w:u w:val="single"/>
        </w:rPr>
        <w:t xml:space="preserve">2: </w:t>
      </w:r>
      <w:r w:rsidRPr="00B37108">
        <w:rPr>
          <w:b/>
          <w:bCs/>
          <w:sz w:val="32"/>
          <w:szCs w:val="32"/>
          <w:u w:val="single"/>
        </w:rPr>
        <w:t>2021</w:t>
      </w:r>
    </w:p>
    <w:p w14:paraId="5930B292" w14:textId="154523E6" w:rsidR="00E4610B" w:rsidRPr="00B63373" w:rsidRDefault="00E4610B">
      <w:pPr>
        <w:rPr>
          <w:sz w:val="32"/>
          <w:szCs w:val="32"/>
        </w:rPr>
      </w:pPr>
    </w:p>
    <w:p w14:paraId="4AC60107" w14:textId="02B1C2D5" w:rsidR="00B37108" w:rsidRDefault="00B37108">
      <w:pPr>
        <w:rPr>
          <w:sz w:val="32"/>
          <w:szCs w:val="32"/>
        </w:rPr>
      </w:pPr>
    </w:p>
    <w:p w14:paraId="24A7BF72" w14:textId="0DA05136" w:rsidR="00B37108" w:rsidRDefault="00B37108">
      <w:pPr>
        <w:rPr>
          <w:sz w:val="32"/>
          <w:szCs w:val="32"/>
        </w:rPr>
      </w:pPr>
    </w:p>
    <w:p w14:paraId="4975BFB8" w14:textId="77777777" w:rsidR="00676E8C" w:rsidRDefault="00B63373" w:rsidP="00B37108">
      <w:pPr>
        <w:tabs>
          <w:tab w:val="left" w:pos="6284"/>
        </w:tabs>
        <w:rPr>
          <w:sz w:val="32"/>
          <w:szCs w:val="32"/>
        </w:rPr>
      </w:pPr>
      <w:r w:rsidRPr="00B63373">
        <w:rPr>
          <w:sz w:val="32"/>
          <w:szCs w:val="32"/>
        </w:rPr>
        <w:t>Ella-</w:t>
      </w:r>
      <w:proofErr w:type="spellStart"/>
      <w:r w:rsidRPr="00B63373">
        <w:rPr>
          <w:sz w:val="32"/>
          <w:szCs w:val="32"/>
        </w:rPr>
        <w:t>louise</w:t>
      </w:r>
      <w:proofErr w:type="spellEnd"/>
      <w:r w:rsidRPr="00B63373">
        <w:rPr>
          <w:sz w:val="32"/>
          <w:szCs w:val="32"/>
        </w:rPr>
        <w:t xml:space="preserve"> Tucker</w:t>
      </w:r>
    </w:p>
    <w:p w14:paraId="4DAB766C" w14:textId="47F2D22C" w:rsidR="00B37108" w:rsidRDefault="00B37108" w:rsidP="00B37108">
      <w:pPr>
        <w:tabs>
          <w:tab w:val="left" w:pos="6284"/>
        </w:tabs>
        <w:rPr>
          <w:sz w:val="32"/>
          <w:szCs w:val="32"/>
        </w:rPr>
      </w:pPr>
      <w:r>
        <w:rPr>
          <w:sz w:val="32"/>
          <w:szCs w:val="32"/>
        </w:rPr>
        <w:tab/>
      </w:r>
    </w:p>
    <w:p w14:paraId="0F804DD0" w14:textId="444B468E" w:rsidR="00B37108" w:rsidRDefault="00B37108">
      <w:pPr>
        <w:rPr>
          <w:sz w:val="32"/>
          <w:szCs w:val="32"/>
        </w:rPr>
      </w:pPr>
    </w:p>
    <w:p w14:paraId="55E9FB14" w14:textId="3951EA06" w:rsidR="00B37108" w:rsidRDefault="00B37108">
      <w:pPr>
        <w:rPr>
          <w:sz w:val="32"/>
          <w:szCs w:val="32"/>
        </w:rPr>
      </w:pPr>
      <w:r>
        <w:rPr>
          <w:sz w:val="32"/>
          <w:szCs w:val="32"/>
        </w:rPr>
        <w:t>Duress and Undue Influence.</w:t>
      </w:r>
    </w:p>
    <w:p w14:paraId="3DC35D1F" w14:textId="385C9515" w:rsidR="00B63373" w:rsidRPr="00B63373" w:rsidRDefault="00B63373" w:rsidP="00B37108">
      <w:pPr>
        <w:tabs>
          <w:tab w:val="left" w:pos="7686"/>
        </w:tabs>
        <w:rPr>
          <w:sz w:val="32"/>
          <w:szCs w:val="32"/>
        </w:rPr>
      </w:pPr>
      <w:r w:rsidRPr="00B63373">
        <w:rPr>
          <w:sz w:val="32"/>
          <w:szCs w:val="32"/>
        </w:rPr>
        <w:t xml:space="preserve"> </w:t>
      </w:r>
      <w:r w:rsidR="00B37108">
        <w:rPr>
          <w:sz w:val="32"/>
          <w:szCs w:val="32"/>
        </w:rPr>
        <w:tab/>
      </w:r>
    </w:p>
    <w:p w14:paraId="0F482B68" w14:textId="77777777" w:rsidR="00B63373" w:rsidRPr="00B63373" w:rsidRDefault="00B63373">
      <w:pPr>
        <w:rPr>
          <w:sz w:val="32"/>
          <w:szCs w:val="32"/>
        </w:rPr>
      </w:pPr>
    </w:p>
    <w:p w14:paraId="25B34CBD" w14:textId="31D2EF2F" w:rsidR="00B63373" w:rsidRPr="00B63373" w:rsidRDefault="00B63373" w:rsidP="00B37108">
      <w:pPr>
        <w:tabs>
          <w:tab w:val="left" w:pos="6358"/>
        </w:tabs>
        <w:rPr>
          <w:sz w:val="32"/>
          <w:szCs w:val="32"/>
        </w:rPr>
      </w:pPr>
      <w:r w:rsidRPr="00B63373">
        <w:rPr>
          <w:sz w:val="32"/>
          <w:szCs w:val="32"/>
        </w:rPr>
        <w:t xml:space="preserve">1902729 </w:t>
      </w:r>
      <w:r w:rsidR="00B37108">
        <w:rPr>
          <w:sz w:val="32"/>
          <w:szCs w:val="32"/>
        </w:rPr>
        <w:tab/>
      </w:r>
    </w:p>
    <w:p w14:paraId="05EC576E" w14:textId="1DC62F02" w:rsidR="00B63373" w:rsidRPr="00B63373" w:rsidRDefault="00634177">
      <w:pPr>
        <w:rPr>
          <w:sz w:val="32"/>
          <w:szCs w:val="32"/>
        </w:rPr>
      </w:pPr>
      <w:r>
        <w:rPr>
          <w:sz w:val="32"/>
          <w:szCs w:val="32"/>
        </w:rPr>
        <w:t>Louise Holmes</w:t>
      </w:r>
    </w:p>
    <w:p w14:paraId="55FE568A" w14:textId="194ACBE5" w:rsidR="00B63373" w:rsidRDefault="00B63373"/>
    <w:p w14:paraId="657CC8E9" w14:textId="7F347FBD" w:rsidR="00B63373" w:rsidRDefault="00B63373"/>
    <w:p w14:paraId="1C15617C" w14:textId="7B499435" w:rsidR="00B63373" w:rsidRDefault="00B63373"/>
    <w:p w14:paraId="10D01098" w14:textId="606B3AD6" w:rsidR="00001454" w:rsidRPr="00751CB3" w:rsidRDefault="00B00B69" w:rsidP="00EF10E0">
      <w:pPr>
        <w:ind w:left="720" w:hanging="720"/>
      </w:pPr>
      <w:r>
        <w:t xml:space="preserve"> </w:t>
      </w:r>
    </w:p>
    <w:p w14:paraId="7343795C" w14:textId="7E93AF09" w:rsidR="001B0E5C" w:rsidRDefault="001B0E5C" w:rsidP="008B22C9">
      <w:pPr>
        <w:rPr>
          <w:rFonts w:ascii="Times New Roman" w:hAnsi="Times New Roman" w:cs="Times New Roman"/>
          <w:sz w:val="24"/>
          <w:szCs w:val="24"/>
        </w:rPr>
      </w:pPr>
    </w:p>
    <w:p w14:paraId="02AEECC7" w14:textId="0BBE2F31" w:rsidR="001B0E5C" w:rsidRDefault="001B0E5C" w:rsidP="008B22C9">
      <w:pPr>
        <w:rPr>
          <w:rFonts w:ascii="Times New Roman" w:hAnsi="Times New Roman" w:cs="Times New Roman"/>
          <w:sz w:val="24"/>
          <w:szCs w:val="24"/>
        </w:rPr>
      </w:pPr>
    </w:p>
    <w:p w14:paraId="1A251451" w14:textId="1B8923A9" w:rsidR="001B0E5C" w:rsidRDefault="001B0E5C" w:rsidP="008B22C9">
      <w:pPr>
        <w:rPr>
          <w:rFonts w:ascii="Times New Roman" w:hAnsi="Times New Roman" w:cs="Times New Roman"/>
          <w:sz w:val="24"/>
          <w:szCs w:val="24"/>
        </w:rPr>
      </w:pPr>
    </w:p>
    <w:p w14:paraId="7729D67B" w14:textId="1B162B34" w:rsidR="001B0E5C" w:rsidRDefault="001B0E5C" w:rsidP="008B22C9">
      <w:pPr>
        <w:rPr>
          <w:rFonts w:ascii="Times New Roman" w:hAnsi="Times New Roman" w:cs="Times New Roman"/>
          <w:sz w:val="24"/>
          <w:szCs w:val="24"/>
        </w:rPr>
      </w:pPr>
    </w:p>
    <w:p w14:paraId="430421CE" w14:textId="307CD352" w:rsidR="005C0E3A" w:rsidRDefault="005C0E3A">
      <w:pPr>
        <w:pStyle w:val="NormalWeb"/>
        <w:spacing w:before="0" w:beforeAutospacing="0" w:after="0" w:afterAutospacing="0"/>
        <w:divId w:val="1063288357"/>
        <w:rPr>
          <w:color w:val="0E101A"/>
        </w:rPr>
      </w:pPr>
      <w:r>
        <w:rPr>
          <w:color w:val="0E101A"/>
        </w:rPr>
        <w:lastRenderedPageBreak/>
        <w:t>This essay will discuss and evaluate the extent to which the courtroom will uphold a contract of which has been entered into under coercion or where the lack of free will is evident. The doctrines of undue influence and duress will be explored, discussing how the modern courtrooms now evaluate cases based on the changes made to the doctrines over the years. </w:t>
      </w:r>
    </w:p>
    <w:p w14:paraId="3FC3CAEE" w14:textId="554CD3A4" w:rsidR="00CD6A6D" w:rsidRDefault="00CD6A6D">
      <w:pPr>
        <w:pStyle w:val="NormalWeb"/>
        <w:spacing w:before="0" w:beforeAutospacing="0" w:after="0" w:afterAutospacing="0"/>
        <w:divId w:val="1063288357"/>
        <w:rPr>
          <w:color w:val="0E101A"/>
        </w:rPr>
      </w:pPr>
    </w:p>
    <w:p w14:paraId="7F6029D8" w14:textId="77777777" w:rsidR="00CD6A6D" w:rsidRDefault="00CD6A6D">
      <w:pPr>
        <w:pStyle w:val="NormalWeb"/>
        <w:spacing w:before="0" w:beforeAutospacing="0" w:after="0" w:afterAutospacing="0"/>
        <w:divId w:val="1063288357"/>
        <w:rPr>
          <w:color w:val="0E101A"/>
        </w:rPr>
      </w:pPr>
    </w:p>
    <w:p w14:paraId="60B8ED4C" w14:textId="77777777" w:rsidR="00CD6A6D" w:rsidRDefault="005C0E3A">
      <w:pPr>
        <w:pStyle w:val="NormalWeb"/>
        <w:spacing w:before="0" w:beforeAutospacing="0" w:after="0" w:afterAutospacing="0"/>
        <w:divId w:val="1063288357"/>
        <w:rPr>
          <w:color w:val="0E101A"/>
        </w:rPr>
      </w:pPr>
      <w:r>
        <w:rPr>
          <w:color w:val="0E101A"/>
        </w:rPr>
        <w:t xml:space="preserve">Duress and Undue Influence are doctrines of which are outlined in many cases throughout contract law, essentially denoting that a party has been forced into the creation of a contract. </w:t>
      </w:r>
    </w:p>
    <w:p w14:paraId="1091B993" w14:textId="0EEB28AC" w:rsidR="005C0E3A" w:rsidRDefault="005C0E3A">
      <w:pPr>
        <w:pStyle w:val="NormalWeb"/>
        <w:spacing w:before="0" w:beforeAutospacing="0" w:after="0" w:afterAutospacing="0"/>
        <w:divId w:val="1063288357"/>
        <w:rPr>
          <w:color w:val="0E101A"/>
        </w:rPr>
      </w:pPr>
      <w:r>
        <w:rPr>
          <w:color w:val="0E101A"/>
        </w:rPr>
        <w:t>When these circumstances arise, the contract becomes </w:t>
      </w:r>
      <w:r>
        <w:rPr>
          <w:rStyle w:val="Emphasis"/>
          <w:color w:val="0E101A"/>
        </w:rPr>
        <w:t>classified as an invalid agreement (Chen-Wishart,2009). If an individual is found to</w:t>
      </w:r>
      <w:r>
        <w:rPr>
          <w:color w:val="0E101A"/>
        </w:rPr>
        <w:t> have entered into a contract under the virtue of improper pressure, the law may then decide to intervene for the safety of the party (</w:t>
      </w:r>
      <w:proofErr w:type="spellStart"/>
      <w:r>
        <w:rPr>
          <w:color w:val="0E101A"/>
        </w:rPr>
        <w:t>Devenney</w:t>
      </w:r>
      <w:proofErr w:type="spellEnd"/>
      <w:r>
        <w:rPr>
          <w:color w:val="0E101A"/>
        </w:rPr>
        <w:t xml:space="preserve"> et al.,2019,p.109). </w:t>
      </w:r>
    </w:p>
    <w:p w14:paraId="6E83F61E" w14:textId="77777777" w:rsidR="00C1171B" w:rsidRDefault="00C1171B">
      <w:pPr>
        <w:pStyle w:val="NormalWeb"/>
        <w:spacing w:before="0" w:beforeAutospacing="0" w:after="0" w:afterAutospacing="0"/>
        <w:divId w:val="1063288357"/>
        <w:rPr>
          <w:color w:val="0E101A"/>
        </w:rPr>
      </w:pPr>
    </w:p>
    <w:p w14:paraId="4188F8CB" w14:textId="77777777" w:rsidR="005C0E3A" w:rsidRDefault="005C0E3A">
      <w:pPr>
        <w:pStyle w:val="NormalWeb"/>
        <w:spacing w:before="0" w:beforeAutospacing="0" w:after="0" w:afterAutospacing="0"/>
        <w:divId w:val="1063288357"/>
        <w:rPr>
          <w:color w:val="0E101A"/>
        </w:rPr>
      </w:pPr>
      <w:r>
        <w:rPr>
          <w:color w:val="0E101A"/>
        </w:rPr>
        <w:t>Though very similar, Duress and Undue Influence have slightly different fundamental concepts. The pressure of the contract must be improper, and a mere allegation of unequal bargaining power or unfairness in the terms will not justify the intervention of the law (Smith,1997). Duress at common law is where a party has been forced into entering a contract, much like undue influence. However, duress is limited and confined to situations in which actual or threatened violence is calculated to produce a fear of the loss of life or actual bodily harm to the party (Murphy,2014) as shown in </w:t>
      </w:r>
      <w:r>
        <w:rPr>
          <w:rStyle w:val="Emphasis"/>
          <w:color w:val="0E101A"/>
        </w:rPr>
        <w:t>Barton v Armstrong [1976]. </w:t>
      </w:r>
      <w:r>
        <w:rPr>
          <w:color w:val="0E101A"/>
        </w:rPr>
        <w:t>Typically, a claim of duress would also be constituted for the threat towards the person's goods, as opposed to the person, e.g. threat to burn down their home or to take away their goods if payment wasn’t remunerated as seen in the case of </w:t>
      </w:r>
      <w:r>
        <w:rPr>
          <w:rStyle w:val="Emphasis"/>
          <w:color w:val="0E101A"/>
        </w:rPr>
        <w:t>Maskell v Horner [1915]. </w:t>
      </w:r>
      <w:r>
        <w:rPr>
          <w:color w:val="0E101A"/>
        </w:rPr>
        <w:t>Undue Influence provides relief from contracts that have been entered into by some form of improper pressure. Undue Influence is wider than the concept of duress and often occurs when there is a relationship between both parties of which has been used and exploited to gain an unfair contractual advantage (Poole,2012) as seen in the familiar case of </w:t>
      </w:r>
      <w:r>
        <w:rPr>
          <w:rStyle w:val="Emphasis"/>
          <w:color w:val="0E101A"/>
        </w:rPr>
        <w:t>Williams v Bayley [1866]. </w:t>
      </w:r>
    </w:p>
    <w:p w14:paraId="5F40260C" w14:textId="77777777" w:rsidR="00965985" w:rsidRDefault="00965985">
      <w:pPr>
        <w:pStyle w:val="NormalWeb"/>
        <w:spacing w:before="0" w:beforeAutospacing="0" w:after="0" w:afterAutospacing="0"/>
        <w:divId w:val="1063288357"/>
        <w:rPr>
          <w:color w:val="0E101A"/>
        </w:rPr>
      </w:pPr>
    </w:p>
    <w:p w14:paraId="1FC94869" w14:textId="77777777" w:rsidR="00965985" w:rsidRDefault="005C0E3A">
      <w:pPr>
        <w:pStyle w:val="NormalWeb"/>
        <w:spacing w:before="0" w:beforeAutospacing="0" w:after="0" w:afterAutospacing="0"/>
        <w:divId w:val="1063288357"/>
        <w:rPr>
          <w:color w:val="0E101A"/>
        </w:rPr>
      </w:pPr>
      <w:r>
        <w:rPr>
          <w:color w:val="0E101A"/>
        </w:rPr>
        <w:t>Earlier stages of the development of duress in contract law meant that it was quite a limited and confined topic in the courtroom, of which was previously constricted to being recognised as toward the person, involving threats of physical or actual violence towards the compliant (Loke,2017). An agreement to pay for goods under duress was also enforceable, as emphasised in the case of </w:t>
      </w:r>
      <w:r>
        <w:rPr>
          <w:rStyle w:val="Emphasis"/>
          <w:color w:val="0E101A"/>
        </w:rPr>
        <w:t>Pao On v Lau Yiu [1980].</w:t>
      </w:r>
      <w:r>
        <w:rPr>
          <w:color w:val="0E101A"/>
        </w:rPr>
        <w:t> Looking at this case, the privy council identified four factors of which needed clarification. These were; did the person claiming to be coerced protest? Did that person have any other course of action available to them, or was this the only one? Were they advised independently? Did they take steps into evasion of the contract?</w:t>
      </w:r>
      <w:r>
        <w:rPr>
          <w:rStyle w:val="Emphasis"/>
          <w:color w:val="0E101A"/>
        </w:rPr>
        <w:t> </w:t>
      </w:r>
      <w:r>
        <w:rPr>
          <w:color w:val="0E101A"/>
        </w:rPr>
        <w:t xml:space="preserve">It has always been recognised that if a person was forced unwillingly and without their own free will into entering a contract, it would therefore equate to the entitlement of relief in the courts. (Beatson,2002). The law has always stated that a contract must always be entered into in full free will and without coercion where an individual of which entered into a contract as a result of threat or threats against the person would therefore not be contractually bound as seen in the </w:t>
      </w:r>
      <w:proofErr w:type="spellStart"/>
      <w:r>
        <w:rPr>
          <w:color w:val="0E101A"/>
        </w:rPr>
        <w:t>unconscionability</w:t>
      </w:r>
      <w:proofErr w:type="spellEnd"/>
      <w:r>
        <w:rPr>
          <w:color w:val="0E101A"/>
        </w:rPr>
        <w:t xml:space="preserve"> case of </w:t>
      </w:r>
      <w:r>
        <w:rPr>
          <w:rStyle w:val="Emphasis"/>
          <w:color w:val="0E101A"/>
        </w:rPr>
        <w:t>Denning J, John Lee&amp; Son (Grantham) Ltd v Railway Executive [1949].</w:t>
      </w:r>
      <w:r>
        <w:rPr>
          <w:color w:val="0E101A"/>
        </w:rPr>
        <w:t>  </w:t>
      </w:r>
    </w:p>
    <w:p w14:paraId="77C4F6A9" w14:textId="77777777" w:rsidR="00965985" w:rsidRDefault="00965985">
      <w:pPr>
        <w:pStyle w:val="NormalWeb"/>
        <w:spacing w:before="0" w:beforeAutospacing="0" w:after="0" w:afterAutospacing="0"/>
        <w:divId w:val="1063288357"/>
        <w:rPr>
          <w:color w:val="0E101A"/>
        </w:rPr>
      </w:pPr>
    </w:p>
    <w:p w14:paraId="3EBD6D05" w14:textId="5A379666" w:rsidR="005C0E3A" w:rsidRDefault="005C0E3A">
      <w:pPr>
        <w:pStyle w:val="NormalWeb"/>
        <w:spacing w:before="0" w:beforeAutospacing="0" w:after="0" w:afterAutospacing="0"/>
        <w:divId w:val="1063288357"/>
        <w:rPr>
          <w:color w:val="0E101A"/>
        </w:rPr>
      </w:pPr>
      <w:r>
        <w:rPr>
          <w:color w:val="0E101A"/>
        </w:rPr>
        <w:t xml:space="preserve">The doctrine of economic duress is a recent exploration that the courts have started to acknowledge often, economic duress is the threats towards goods and the idea of where the threat toward goods can be just as compelling as a threat against the person themselves </w:t>
      </w:r>
      <w:r>
        <w:rPr>
          <w:color w:val="0E101A"/>
        </w:rPr>
        <w:lastRenderedPageBreak/>
        <w:t>(Gooch and Williams,2015) an example of economic duress is demonstrated in the well-known case of </w:t>
      </w:r>
      <w:r>
        <w:rPr>
          <w:rStyle w:val="Emphasis"/>
          <w:color w:val="0E101A"/>
        </w:rPr>
        <w:t>Occidental Worldwide Investment v Skibs (The Siboen and The Sibotre) [1976] </w:t>
      </w:r>
      <w:r>
        <w:rPr>
          <w:color w:val="0E101A"/>
        </w:rPr>
        <w:t>On par with the narrow doctrine of duress at law, the equitable notion of undue influence originated. However, both duress and undue influence remain unclear and unresolved (Ceil,2015). The relief however was limited and confined to situations that evolved into the fear of loss of life or actual bodily harm as shown in </w:t>
      </w:r>
      <w:r>
        <w:rPr>
          <w:rStyle w:val="Emphasis"/>
          <w:color w:val="0E101A"/>
        </w:rPr>
        <w:t>R v Miller [1983].</w:t>
      </w:r>
      <w:r>
        <w:rPr>
          <w:color w:val="0E101A"/>
        </w:rPr>
        <w:t> A threat of imprisonment, or to the person's goods rather than toward the person could also constitute a claim of duress in some circumstances (Columbia Law Review,1923). </w:t>
      </w:r>
    </w:p>
    <w:p w14:paraId="2F54DC9D" w14:textId="77777777" w:rsidR="00965985" w:rsidRDefault="00965985">
      <w:pPr>
        <w:pStyle w:val="NormalWeb"/>
        <w:spacing w:before="0" w:beforeAutospacing="0" w:after="0" w:afterAutospacing="0"/>
        <w:divId w:val="1063288357"/>
        <w:rPr>
          <w:color w:val="0E101A"/>
        </w:rPr>
      </w:pPr>
    </w:p>
    <w:p w14:paraId="040C3A87" w14:textId="21CF78AA" w:rsidR="005C0E3A" w:rsidRDefault="005C0E3A">
      <w:pPr>
        <w:pStyle w:val="NormalWeb"/>
        <w:spacing w:before="0" w:beforeAutospacing="0" w:after="0" w:afterAutospacing="0"/>
        <w:divId w:val="1063288357"/>
        <w:rPr>
          <w:color w:val="0E101A"/>
        </w:rPr>
      </w:pPr>
      <w:r>
        <w:rPr>
          <w:color w:val="0E101A"/>
        </w:rPr>
        <w:t>The modern view towards duress is represented in the case of </w:t>
      </w:r>
      <w:r>
        <w:rPr>
          <w:rStyle w:val="Emphasis"/>
          <w:color w:val="0E101A"/>
        </w:rPr>
        <w:t>R v Attorney General for England and Wales [2003]. </w:t>
      </w:r>
      <w:r>
        <w:rPr>
          <w:color w:val="0E101A"/>
        </w:rPr>
        <w:t xml:space="preserve">This was a privy council case of which consisted of “R” (a soldier) of which was made to sign a confidentiality agreement within the SAS claiming he would not leak information and if the contract wasn’t </w:t>
      </w:r>
      <w:proofErr w:type="gramStart"/>
      <w:r>
        <w:rPr>
          <w:color w:val="0E101A"/>
        </w:rPr>
        <w:t>signed</w:t>
      </w:r>
      <w:proofErr w:type="gramEnd"/>
      <w:r>
        <w:rPr>
          <w:color w:val="0E101A"/>
        </w:rPr>
        <w:t xml:space="preserve"> he would be required to leave the SAS. His agreement was breached when he left the regiment and spilled information from when he was inside of the force. The soldier attempted to constitute a claim for duress and undue influence, of which the courts of New Zealand held that the soldier was able to claim successfully. However, shortly after the court of appeal reversed the decision by the privy council and decided that a claim of duress was not the correct way to deal with the case. Lord </w:t>
      </w:r>
      <w:proofErr w:type="spellStart"/>
      <w:r>
        <w:rPr>
          <w:color w:val="0E101A"/>
        </w:rPr>
        <w:t>Scarman</w:t>
      </w:r>
      <w:proofErr w:type="spellEnd"/>
      <w:r>
        <w:rPr>
          <w:color w:val="0E101A"/>
        </w:rPr>
        <w:t xml:space="preserve"> identified two broad elements of duress in the case of </w:t>
      </w:r>
      <w:r>
        <w:rPr>
          <w:rStyle w:val="Emphasis"/>
          <w:color w:val="0E101A"/>
        </w:rPr>
        <w:t>Universe Tankships Inc of Monrovia v International Transport Workers Federation, The “Universe Sentinel” [1983]. </w:t>
      </w:r>
      <w:r>
        <w:rPr>
          <w:color w:val="0E101A"/>
        </w:rPr>
        <w:t>Lord Hoffman’s starting point to the broadening of the elements of duress came from this case and was then outlined in cases such as </w:t>
      </w:r>
      <w:r>
        <w:rPr>
          <w:rStyle w:val="Emphasis"/>
          <w:color w:val="0E101A"/>
        </w:rPr>
        <w:t>Skeate v Beale [1840]. </w:t>
      </w:r>
      <w:r>
        <w:rPr>
          <w:color w:val="0E101A"/>
        </w:rPr>
        <w:t xml:space="preserve">The two broad elements of duress outlined by Lord </w:t>
      </w:r>
      <w:proofErr w:type="spellStart"/>
      <w:r>
        <w:rPr>
          <w:color w:val="0E101A"/>
        </w:rPr>
        <w:t>Scarman</w:t>
      </w:r>
      <w:proofErr w:type="spellEnd"/>
      <w:r>
        <w:rPr>
          <w:color w:val="0E101A"/>
        </w:rPr>
        <w:t xml:space="preserve"> were pressure amounting to the compulsion of the will of the victim and also illegitimacy of the pressure. Illegitimacy looks at exactly what the person giving the threat is trying to achieve (</w:t>
      </w:r>
      <w:proofErr w:type="spellStart"/>
      <w:r>
        <w:rPr>
          <w:color w:val="0E101A"/>
        </w:rPr>
        <w:t>Wadlington</w:t>
      </w:r>
      <w:proofErr w:type="spellEnd"/>
      <w:r>
        <w:rPr>
          <w:color w:val="0E101A"/>
        </w:rPr>
        <w:t xml:space="preserve"> and Krause,1972). Lord Hoffman confirmed this with his statement in the case of </w:t>
      </w:r>
      <w:r>
        <w:rPr>
          <w:rStyle w:val="Emphasis"/>
          <w:color w:val="0E101A"/>
        </w:rPr>
        <w:t>Thorne v Motor Trade Association [1937]. </w:t>
      </w:r>
      <w:r>
        <w:rPr>
          <w:color w:val="0E101A"/>
        </w:rPr>
        <w:t>“The ordinary blackmailer normally threatens to do what he has a perfect right to do, namely communicate some compromising conduct to a person whose knowledge is likely to affect the person threatened. What he has to justify is not the threat, but the demand of money” (GLE.,1938).</w:t>
      </w:r>
    </w:p>
    <w:p w14:paraId="4E95C2DF" w14:textId="77777777" w:rsidR="00965985" w:rsidRDefault="00965985">
      <w:pPr>
        <w:pStyle w:val="NormalWeb"/>
        <w:spacing w:before="0" w:beforeAutospacing="0" w:after="0" w:afterAutospacing="0"/>
        <w:divId w:val="1063288357"/>
        <w:rPr>
          <w:color w:val="0E101A"/>
        </w:rPr>
      </w:pPr>
    </w:p>
    <w:p w14:paraId="642DFB1F" w14:textId="65A0381E" w:rsidR="005C0E3A" w:rsidRDefault="005C0E3A">
      <w:pPr>
        <w:pStyle w:val="NormalWeb"/>
        <w:spacing w:before="0" w:beforeAutospacing="0" w:after="0" w:afterAutospacing="0"/>
        <w:divId w:val="1063288357"/>
        <w:rPr>
          <w:color w:val="0E101A"/>
        </w:rPr>
      </w:pPr>
      <w:r>
        <w:rPr>
          <w:color w:val="0E101A"/>
        </w:rPr>
        <w:t xml:space="preserve">Economic duress takes place when one party to an existing agreement demands a variation in their favour and instead uses means of a threat to break the original contractual terms if the other party does not agree with them (Fleming,1989). Kerr J stated after the well-known case of “The </w:t>
      </w:r>
      <w:proofErr w:type="spellStart"/>
      <w:r>
        <w:rPr>
          <w:color w:val="0E101A"/>
        </w:rPr>
        <w:t>Siboen</w:t>
      </w:r>
      <w:proofErr w:type="spellEnd"/>
      <w:r>
        <w:rPr>
          <w:color w:val="0E101A"/>
        </w:rPr>
        <w:t xml:space="preserve"> and </w:t>
      </w:r>
      <w:proofErr w:type="spellStart"/>
      <w:r>
        <w:rPr>
          <w:color w:val="0E101A"/>
        </w:rPr>
        <w:t>Sibotre</w:t>
      </w:r>
      <w:proofErr w:type="spellEnd"/>
      <w:r>
        <w:rPr>
          <w:color w:val="0E101A"/>
        </w:rPr>
        <w:t>” as discussed above that “where there exists coercion of the will to violate the consent, it should be possible to set the contract aside”. The courts now state that illegitimate pressure may also include economic threats such as those of breaking a contract. This has caused difficulty in ascertaining what constitutes legally illegitimate economic pressure (Law,2018). Some may argue that it is no longer a necessity to distinguish economic duress from the general doctrine of duress, but to instead constitute it as one form, however, some also argue that it is easier to distinguish between actual illegitimate pressure and mere illegitimate pressure by doing so (Beale and Tallon,2002).</w:t>
      </w:r>
    </w:p>
    <w:p w14:paraId="4617192F" w14:textId="77777777" w:rsidR="00AC18E0" w:rsidRDefault="005C0E3A">
      <w:pPr>
        <w:pStyle w:val="NormalWeb"/>
        <w:spacing w:before="0" w:beforeAutospacing="0" w:after="0" w:afterAutospacing="0"/>
        <w:divId w:val="1063288357"/>
        <w:rPr>
          <w:color w:val="0E101A"/>
        </w:rPr>
      </w:pPr>
      <w:r>
        <w:rPr>
          <w:color w:val="0E101A"/>
        </w:rPr>
        <w:t>It’s notably important that beneficial to a successful claim of economic duress are three indispensable components. Illegitimate pressure (actual) applied to the claimant, the illegitimate pressure must have been as significant as to cause the claimant to enter into the contract under coercion with the lack of free will and also the effect of the pressure and making sure that there was a lack of practical choice for the claimant, and their only option was signing into the contract (Phang,1990). This was made evident in the case of </w:t>
      </w:r>
      <w:r>
        <w:rPr>
          <w:rStyle w:val="Emphasis"/>
          <w:color w:val="0E101A"/>
        </w:rPr>
        <w:t xml:space="preserve">North </w:t>
      </w:r>
      <w:r>
        <w:rPr>
          <w:rStyle w:val="Emphasis"/>
          <w:color w:val="0E101A"/>
        </w:rPr>
        <w:lastRenderedPageBreak/>
        <w:t>Ocean Shipping Co. Ltd v Hyundai Construction Co Ltd [1979] </w:t>
      </w:r>
      <w:r>
        <w:rPr>
          <w:color w:val="0E101A"/>
        </w:rPr>
        <w:t>also commonly known as the case of “The Atlantic Baron”.</w:t>
      </w:r>
    </w:p>
    <w:p w14:paraId="21779C14" w14:textId="77777777" w:rsidR="00AC18E0" w:rsidRDefault="00AC18E0">
      <w:pPr>
        <w:pStyle w:val="NormalWeb"/>
        <w:spacing w:before="0" w:beforeAutospacing="0" w:after="0" w:afterAutospacing="0"/>
        <w:divId w:val="1063288357"/>
        <w:rPr>
          <w:color w:val="0E101A"/>
        </w:rPr>
      </w:pPr>
    </w:p>
    <w:p w14:paraId="5307C94D" w14:textId="7F2DF75D" w:rsidR="005C0E3A" w:rsidRDefault="005C0E3A">
      <w:pPr>
        <w:pStyle w:val="NormalWeb"/>
        <w:spacing w:before="0" w:beforeAutospacing="0" w:after="0" w:afterAutospacing="0"/>
        <w:divId w:val="1063288357"/>
        <w:rPr>
          <w:color w:val="0E101A"/>
        </w:rPr>
      </w:pPr>
      <w:r>
        <w:rPr>
          <w:color w:val="0E101A"/>
        </w:rPr>
        <w:t xml:space="preserve"> Economic duress is still a situation of which is more than often misunderstood, and it is often equally reasonable to only categorise a situation as duress if the party did have other options available to them as shown in the case of </w:t>
      </w:r>
      <w:r>
        <w:rPr>
          <w:rStyle w:val="Emphasis"/>
          <w:color w:val="0E101A"/>
        </w:rPr>
        <w:t>Regina v Lambert [2001] </w:t>
      </w:r>
      <w:r>
        <w:rPr>
          <w:color w:val="0E101A"/>
        </w:rPr>
        <w:t>where the individual was caught carrying illegal substances, however, claimed he didn’t know what was in the bag and was carrying due to being forced without free will, leading to them pushing a case of duress towards the compliant. However, it was later decided that the party had other options, and was able to say no and walk away from the bag without knowing it withheld illegal substances, it was evident the party had other options available therefore a case of duress was inconsistent. On the decision of the courts, the threat of unlawful actions may amount to duress if they leave the compliant with no other option but to abide with the opposing party (Adams and Brownsword,2007). Threats of unlawful action of which amount to duress was shown in the case of </w:t>
      </w:r>
      <w:r>
        <w:rPr>
          <w:rStyle w:val="Emphasis"/>
          <w:color w:val="0E101A"/>
        </w:rPr>
        <w:t>Griffin v Griffin [2000]</w:t>
      </w:r>
      <w:r>
        <w:rPr>
          <w:color w:val="0E101A"/>
        </w:rPr>
        <w:t> where the defendant made a successful claim to duress, due to the fact he was forced into marriage with a lady with whom he got pregnant on holidays and never intended on marrying her but was left with no other option. The case of </w:t>
      </w:r>
      <w:r>
        <w:rPr>
          <w:rStyle w:val="Emphasis"/>
          <w:color w:val="0E101A"/>
        </w:rPr>
        <w:t>CTN Cash and Carry v Gallagher [1994] </w:t>
      </w:r>
      <w:r>
        <w:rPr>
          <w:color w:val="0E101A"/>
        </w:rPr>
        <w:t>however contradicts this notion, where cigarettes were sent to the wrong address by the defendant, and later stolen. The defendant claimed it was at the risk of the complaint and therefore threatened to withdraw the contractual agreement until payment was received, however later it was revealed that after the payment was made the terms of the credit agreement stated that it could be withdrawn at any time, therefore there was no wrongdoing and no claim for duress. The outcome of both these cases constitutes the argument that duress and undue influence are still notions of which are incomplete.</w:t>
      </w:r>
    </w:p>
    <w:p w14:paraId="410D4647" w14:textId="77777777" w:rsidR="00AC18E0" w:rsidRDefault="00AC18E0">
      <w:pPr>
        <w:pStyle w:val="NormalWeb"/>
        <w:spacing w:before="0" w:beforeAutospacing="0" w:after="0" w:afterAutospacing="0"/>
        <w:divId w:val="1063288357"/>
        <w:rPr>
          <w:color w:val="0E101A"/>
        </w:rPr>
      </w:pPr>
    </w:p>
    <w:p w14:paraId="6CC25E2B" w14:textId="04AB7752" w:rsidR="005C0E3A" w:rsidRDefault="005C0E3A">
      <w:pPr>
        <w:pStyle w:val="NormalWeb"/>
        <w:spacing w:before="0" w:beforeAutospacing="0" w:after="0" w:afterAutospacing="0"/>
        <w:divId w:val="1063288357"/>
        <w:rPr>
          <w:color w:val="0E101A"/>
        </w:rPr>
      </w:pPr>
      <w:r>
        <w:rPr>
          <w:color w:val="0E101A"/>
        </w:rPr>
        <w:t>The undue influence could previously be subcategorized into two different formations. Actual undue influence, and presumed undue influence (Kaiser and Brookner,2000) as shown in the case of </w:t>
      </w:r>
      <w:r>
        <w:rPr>
          <w:rStyle w:val="Emphasis"/>
          <w:color w:val="0E101A"/>
        </w:rPr>
        <w:t>Barclays Bank plc v O’Brien [1994].</w:t>
      </w:r>
      <w:r>
        <w:rPr>
          <w:color w:val="0E101A"/>
        </w:rPr>
        <w:t> However, this was before the case of </w:t>
      </w:r>
      <w:r>
        <w:rPr>
          <w:rStyle w:val="Emphasis"/>
          <w:color w:val="0E101A"/>
        </w:rPr>
        <w:t>Royal Bank of Scotland v Etridge (No 2) [2001]. </w:t>
      </w:r>
      <w:r>
        <w:rPr>
          <w:color w:val="0E101A"/>
        </w:rPr>
        <w:t> </w:t>
      </w:r>
    </w:p>
    <w:p w14:paraId="07EB47D2" w14:textId="77777777" w:rsidR="00AC18E0" w:rsidRDefault="00AC18E0">
      <w:pPr>
        <w:pStyle w:val="NormalWeb"/>
        <w:spacing w:before="0" w:beforeAutospacing="0" w:after="0" w:afterAutospacing="0"/>
        <w:divId w:val="1063288357"/>
        <w:rPr>
          <w:color w:val="0E101A"/>
        </w:rPr>
      </w:pPr>
    </w:p>
    <w:p w14:paraId="77A39798" w14:textId="354DE231" w:rsidR="005C0E3A" w:rsidRDefault="005C0E3A">
      <w:pPr>
        <w:pStyle w:val="NormalWeb"/>
        <w:spacing w:before="0" w:beforeAutospacing="0" w:after="0" w:afterAutospacing="0"/>
        <w:divId w:val="1063288357"/>
        <w:rPr>
          <w:color w:val="0E101A"/>
        </w:rPr>
      </w:pPr>
      <w:r>
        <w:rPr>
          <w:color w:val="0E101A"/>
        </w:rPr>
        <w:t>Actual undue influence requires proof that the contract was entered into as a result of actual influence, with the claimant having to assert and prove the acts of which they are claiming (Winder,1939) this example was shown in </w:t>
      </w:r>
      <w:r>
        <w:rPr>
          <w:rStyle w:val="Emphasis"/>
          <w:color w:val="0E101A"/>
        </w:rPr>
        <w:t>Bank of Credit Commerce International v Aboody [1990]. </w:t>
      </w:r>
      <w:r>
        <w:rPr>
          <w:color w:val="0E101A"/>
        </w:rPr>
        <w:t>It was also stated that a successful claim of actual undue influence as oppose to presumed would mean that the party making the allegation must show evidence of them suffering a manifested disadvantage.</w:t>
      </w:r>
    </w:p>
    <w:p w14:paraId="6FBFEC37" w14:textId="77777777" w:rsidR="00AC18E0" w:rsidRDefault="00AC18E0">
      <w:pPr>
        <w:pStyle w:val="NormalWeb"/>
        <w:spacing w:before="0" w:beforeAutospacing="0" w:after="0" w:afterAutospacing="0"/>
        <w:divId w:val="1063288357"/>
        <w:rPr>
          <w:color w:val="0E101A"/>
        </w:rPr>
      </w:pPr>
    </w:p>
    <w:p w14:paraId="59FBABB6" w14:textId="039AFE55" w:rsidR="005C0E3A" w:rsidRDefault="005C0E3A">
      <w:pPr>
        <w:pStyle w:val="NormalWeb"/>
        <w:spacing w:before="0" w:beforeAutospacing="0" w:after="0" w:afterAutospacing="0"/>
        <w:divId w:val="1063288357"/>
        <w:rPr>
          <w:color w:val="0E101A"/>
        </w:rPr>
      </w:pPr>
      <w:r>
        <w:rPr>
          <w:color w:val="0E101A"/>
        </w:rPr>
        <w:t>Presumed undue influence on the other hand as seen in </w:t>
      </w:r>
      <w:r>
        <w:rPr>
          <w:rStyle w:val="Emphasis"/>
          <w:color w:val="0E101A"/>
        </w:rPr>
        <w:t>Allcard v Skinner [1887] </w:t>
      </w:r>
      <w:r>
        <w:rPr>
          <w:color w:val="0E101A"/>
        </w:rPr>
        <w:t xml:space="preserve">refers to when a presumption of undue influence is raised between familiar parties, </w:t>
      </w:r>
      <w:proofErr w:type="gramStart"/>
      <w:r>
        <w:rPr>
          <w:color w:val="0E101A"/>
        </w:rPr>
        <w:t>e.g.</w:t>
      </w:r>
      <w:proofErr w:type="gramEnd"/>
      <w:r>
        <w:rPr>
          <w:color w:val="0E101A"/>
        </w:rPr>
        <w:t xml:space="preserve"> parents, partners, and friends. Under Class 2a of presumed undue influence, there is no formal requirement of proof for a successful claim against the opponent. Instead, however, it must be asserted that there was a relationship of which as a matter of law gives rise to presumption and also ensuring that the transaction is one of which cannot be explained by the relationships of the parties readily (Ohrenstein,2019). In class 2b of presumed undue influence it denotes that there must be that there is no special familiar relationship as seen in those of 2A, however, a relationship of trust and confidence would be viable similar to those of </w:t>
      </w:r>
      <w:r>
        <w:rPr>
          <w:rStyle w:val="Emphasis"/>
          <w:color w:val="0E101A"/>
        </w:rPr>
        <w:t xml:space="preserve">Lloyds Bank v Bundy [1975] </w:t>
      </w:r>
    </w:p>
    <w:p w14:paraId="26F74AF2" w14:textId="12E566E0" w:rsidR="005C0E3A" w:rsidRDefault="005C0E3A">
      <w:pPr>
        <w:pStyle w:val="NormalWeb"/>
        <w:spacing w:before="0" w:beforeAutospacing="0" w:after="0" w:afterAutospacing="0"/>
        <w:divId w:val="1063288357"/>
        <w:rPr>
          <w:color w:val="0E101A"/>
        </w:rPr>
      </w:pPr>
      <w:r>
        <w:rPr>
          <w:color w:val="0E101A"/>
        </w:rPr>
        <w:lastRenderedPageBreak/>
        <w:t>A successful plea of undue influence would make the contract voidable (Goff and Jones 1978). Following the case mentioned of Royal Bank of Scotland (No 2), there have been decisions from the House of Lords to abolish the idea of different components of undue influence and instead presume it as one doctrine of which no matter what nature was, to instead consider a matter of different facts in the outcome of one event of undue influence. Though the many principles are still referred to in the courtroom, it is now required that more sufficient evidence is provided for cases of undue influence, even in those cases of which would previously have been classified under 2A or 2B of presumed undue influence, therefore making it a lot more difficult for the claimant to get a chance of success (Cope,1985).</w:t>
      </w:r>
    </w:p>
    <w:p w14:paraId="05A85C25" w14:textId="77777777" w:rsidR="00E73132" w:rsidRDefault="00E73132">
      <w:pPr>
        <w:pStyle w:val="NormalWeb"/>
        <w:spacing w:before="0" w:beforeAutospacing="0" w:after="0" w:afterAutospacing="0"/>
        <w:divId w:val="1063288357"/>
        <w:rPr>
          <w:color w:val="0E101A"/>
        </w:rPr>
      </w:pPr>
    </w:p>
    <w:p w14:paraId="7802F9FB" w14:textId="77777777" w:rsidR="005C0E3A" w:rsidRDefault="005C0E3A">
      <w:pPr>
        <w:pStyle w:val="NormalWeb"/>
        <w:spacing w:before="0" w:beforeAutospacing="0" w:after="0" w:afterAutospacing="0"/>
        <w:divId w:val="1063288357"/>
        <w:rPr>
          <w:color w:val="0E101A"/>
        </w:rPr>
      </w:pPr>
      <w:r>
        <w:rPr>
          <w:color w:val="0E101A"/>
        </w:rPr>
        <w:t>It can be and has been arguable that duress and undue influence are very similar concepts of which were discussed prior. It has been disclosed that many believe both concepts should be intertwined and instead form one doctrine of illegitimate pressure. However, the doctrines all work in different ways, and toward different complaints. </w:t>
      </w:r>
    </w:p>
    <w:p w14:paraId="4504194C" w14:textId="031A4C26" w:rsidR="00F54024" w:rsidRPr="00F363D3" w:rsidRDefault="00F54024">
      <w:pPr>
        <w:pStyle w:val="NormalWeb"/>
        <w:spacing w:before="0" w:beforeAutospacing="0" w:after="0" w:afterAutospacing="0"/>
        <w:divId w:val="1245605530"/>
        <w:rPr>
          <w:rFonts w:ascii="Arial" w:hAnsi="Arial" w:cs="Arial"/>
          <w:color w:val="0E101A"/>
        </w:rPr>
      </w:pPr>
      <w:r w:rsidRPr="00F363D3">
        <w:rPr>
          <w:rFonts w:ascii="Arial" w:hAnsi="Arial" w:cs="Arial"/>
          <w:color w:val="0E101A"/>
        </w:rPr>
        <w:t> </w:t>
      </w:r>
    </w:p>
    <w:p w14:paraId="6EFB064E" w14:textId="2F2DD386" w:rsidR="001B0E5C" w:rsidRPr="00F363D3" w:rsidRDefault="001B0E5C" w:rsidP="008B22C9">
      <w:pPr>
        <w:rPr>
          <w:rFonts w:ascii="Arial" w:hAnsi="Arial" w:cs="Arial"/>
          <w:sz w:val="24"/>
          <w:szCs w:val="24"/>
        </w:rPr>
      </w:pPr>
    </w:p>
    <w:p w14:paraId="0C1898D2" w14:textId="26AB5B4D" w:rsidR="001B0E5C" w:rsidRPr="00F363D3" w:rsidRDefault="001B0E5C" w:rsidP="008B22C9">
      <w:pPr>
        <w:rPr>
          <w:rFonts w:ascii="Arial" w:hAnsi="Arial" w:cs="Arial"/>
          <w:sz w:val="24"/>
          <w:szCs w:val="24"/>
        </w:rPr>
      </w:pPr>
    </w:p>
    <w:p w14:paraId="16DA567E" w14:textId="5134D81E" w:rsidR="001B0E5C" w:rsidRPr="00F363D3" w:rsidRDefault="001B0E5C" w:rsidP="008B22C9">
      <w:pPr>
        <w:rPr>
          <w:rFonts w:ascii="Arial" w:hAnsi="Arial" w:cs="Arial"/>
          <w:sz w:val="24"/>
          <w:szCs w:val="24"/>
        </w:rPr>
      </w:pPr>
    </w:p>
    <w:p w14:paraId="7353E783" w14:textId="74E58D04" w:rsidR="001B0E5C" w:rsidRPr="00F363D3" w:rsidRDefault="001B0E5C" w:rsidP="008B22C9">
      <w:pPr>
        <w:rPr>
          <w:rFonts w:ascii="Arial" w:hAnsi="Arial" w:cs="Arial"/>
          <w:sz w:val="24"/>
          <w:szCs w:val="24"/>
        </w:rPr>
      </w:pPr>
    </w:p>
    <w:p w14:paraId="255FB92F" w14:textId="644FF4BF" w:rsidR="001B0E5C" w:rsidRPr="00F363D3" w:rsidRDefault="001B0E5C" w:rsidP="008B22C9">
      <w:pPr>
        <w:rPr>
          <w:rFonts w:ascii="Arial" w:hAnsi="Arial" w:cs="Arial"/>
          <w:sz w:val="24"/>
          <w:szCs w:val="24"/>
        </w:rPr>
      </w:pPr>
    </w:p>
    <w:p w14:paraId="6A6D37D3" w14:textId="7B037DD4" w:rsidR="001B0E5C" w:rsidRPr="00F363D3" w:rsidRDefault="001B0E5C" w:rsidP="008B22C9">
      <w:pPr>
        <w:rPr>
          <w:rFonts w:ascii="Arial" w:hAnsi="Arial" w:cs="Arial"/>
          <w:sz w:val="24"/>
          <w:szCs w:val="24"/>
        </w:rPr>
      </w:pPr>
    </w:p>
    <w:p w14:paraId="26A54582" w14:textId="77777777" w:rsidR="00F55DFA" w:rsidRDefault="00F55DFA" w:rsidP="008B22C9">
      <w:pPr>
        <w:rPr>
          <w:rFonts w:ascii="Arial" w:hAnsi="Arial" w:cs="Arial"/>
          <w:b/>
          <w:bCs/>
          <w:sz w:val="24"/>
          <w:szCs w:val="24"/>
          <w:u w:val="single"/>
        </w:rPr>
      </w:pPr>
    </w:p>
    <w:p w14:paraId="17ECD9B0" w14:textId="77777777" w:rsidR="00F55DFA" w:rsidRDefault="00F55DFA" w:rsidP="008B22C9">
      <w:pPr>
        <w:rPr>
          <w:rFonts w:ascii="Arial" w:hAnsi="Arial" w:cs="Arial"/>
          <w:b/>
          <w:bCs/>
          <w:sz w:val="24"/>
          <w:szCs w:val="24"/>
          <w:u w:val="single"/>
        </w:rPr>
      </w:pPr>
    </w:p>
    <w:p w14:paraId="5411FC3C" w14:textId="77777777" w:rsidR="00F55DFA" w:rsidRDefault="00F55DFA" w:rsidP="008B22C9">
      <w:pPr>
        <w:rPr>
          <w:rFonts w:ascii="Arial" w:hAnsi="Arial" w:cs="Arial"/>
          <w:b/>
          <w:bCs/>
          <w:sz w:val="24"/>
          <w:szCs w:val="24"/>
          <w:u w:val="single"/>
        </w:rPr>
      </w:pPr>
    </w:p>
    <w:p w14:paraId="7FC9D79F" w14:textId="77777777" w:rsidR="00F55DFA" w:rsidRDefault="00F55DFA" w:rsidP="008B22C9">
      <w:pPr>
        <w:rPr>
          <w:rFonts w:ascii="Arial" w:hAnsi="Arial" w:cs="Arial"/>
          <w:b/>
          <w:bCs/>
          <w:sz w:val="24"/>
          <w:szCs w:val="24"/>
          <w:u w:val="single"/>
        </w:rPr>
      </w:pPr>
    </w:p>
    <w:p w14:paraId="303ED54F" w14:textId="77777777" w:rsidR="00F55DFA" w:rsidRDefault="00F55DFA" w:rsidP="008B22C9">
      <w:pPr>
        <w:rPr>
          <w:rFonts w:ascii="Arial" w:hAnsi="Arial" w:cs="Arial"/>
          <w:b/>
          <w:bCs/>
          <w:sz w:val="24"/>
          <w:szCs w:val="24"/>
          <w:u w:val="single"/>
        </w:rPr>
      </w:pPr>
    </w:p>
    <w:p w14:paraId="48FE58C6" w14:textId="77777777" w:rsidR="00F55DFA" w:rsidRDefault="00F55DFA" w:rsidP="008B22C9">
      <w:pPr>
        <w:rPr>
          <w:rFonts w:ascii="Arial" w:hAnsi="Arial" w:cs="Arial"/>
          <w:b/>
          <w:bCs/>
          <w:sz w:val="24"/>
          <w:szCs w:val="24"/>
          <w:u w:val="single"/>
        </w:rPr>
      </w:pPr>
    </w:p>
    <w:p w14:paraId="0AFC9E1A" w14:textId="77777777" w:rsidR="00F55DFA" w:rsidRDefault="00F55DFA" w:rsidP="008B22C9">
      <w:pPr>
        <w:rPr>
          <w:rFonts w:ascii="Arial" w:hAnsi="Arial" w:cs="Arial"/>
          <w:b/>
          <w:bCs/>
          <w:sz w:val="24"/>
          <w:szCs w:val="24"/>
          <w:u w:val="single"/>
        </w:rPr>
      </w:pPr>
    </w:p>
    <w:p w14:paraId="67A34DFA" w14:textId="77777777" w:rsidR="00F55DFA" w:rsidRDefault="00F55DFA" w:rsidP="008B22C9">
      <w:pPr>
        <w:rPr>
          <w:rFonts w:ascii="Arial" w:hAnsi="Arial" w:cs="Arial"/>
          <w:b/>
          <w:bCs/>
          <w:sz w:val="24"/>
          <w:szCs w:val="24"/>
          <w:u w:val="single"/>
        </w:rPr>
      </w:pPr>
    </w:p>
    <w:p w14:paraId="58A80FAF" w14:textId="77777777" w:rsidR="00F55DFA" w:rsidRDefault="00F55DFA" w:rsidP="008B22C9">
      <w:pPr>
        <w:rPr>
          <w:rFonts w:ascii="Arial" w:hAnsi="Arial" w:cs="Arial"/>
          <w:b/>
          <w:bCs/>
          <w:sz w:val="24"/>
          <w:szCs w:val="24"/>
          <w:u w:val="single"/>
        </w:rPr>
      </w:pPr>
    </w:p>
    <w:p w14:paraId="259A5D02" w14:textId="77777777" w:rsidR="00F55DFA" w:rsidRDefault="00F55DFA" w:rsidP="008B22C9">
      <w:pPr>
        <w:rPr>
          <w:rFonts w:ascii="Arial" w:hAnsi="Arial" w:cs="Arial"/>
          <w:b/>
          <w:bCs/>
          <w:sz w:val="24"/>
          <w:szCs w:val="24"/>
          <w:u w:val="single"/>
        </w:rPr>
      </w:pPr>
    </w:p>
    <w:p w14:paraId="40A333C8" w14:textId="77777777" w:rsidR="00F55DFA" w:rsidRDefault="00F55DFA" w:rsidP="008B22C9">
      <w:pPr>
        <w:rPr>
          <w:rFonts w:ascii="Arial" w:hAnsi="Arial" w:cs="Arial"/>
          <w:b/>
          <w:bCs/>
          <w:sz w:val="24"/>
          <w:szCs w:val="24"/>
          <w:u w:val="single"/>
        </w:rPr>
      </w:pPr>
    </w:p>
    <w:p w14:paraId="1E6AB166" w14:textId="77777777" w:rsidR="00F55DFA" w:rsidRDefault="00F55DFA" w:rsidP="008B22C9">
      <w:pPr>
        <w:rPr>
          <w:rFonts w:ascii="Arial" w:hAnsi="Arial" w:cs="Arial"/>
          <w:b/>
          <w:bCs/>
          <w:sz w:val="24"/>
          <w:szCs w:val="24"/>
          <w:u w:val="single"/>
        </w:rPr>
      </w:pPr>
    </w:p>
    <w:p w14:paraId="4FFF2899" w14:textId="084AD974" w:rsidR="001B0E5C" w:rsidRDefault="00183A2F" w:rsidP="008B22C9">
      <w:pPr>
        <w:rPr>
          <w:rFonts w:ascii="Arial" w:hAnsi="Arial" w:cs="Arial"/>
          <w:b/>
          <w:bCs/>
          <w:sz w:val="24"/>
          <w:szCs w:val="24"/>
          <w:u w:val="single"/>
        </w:rPr>
      </w:pPr>
      <w:r w:rsidRPr="00F363D3">
        <w:rPr>
          <w:rFonts w:ascii="Arial" w:hAnsi="Arial" w:cs="Arial"/>
          <w:b/>
          <w:bCs/>
          <w:sz w:val="24"/>
          <w:szCs w:val="24"/>
          <w:u w:val="single"/>
        </w:rPr>
        <w:lastRenderedPageBreak/>
        <w:t xml:space="preserve">Reference List: </w:t>
      </w:r>
    </w:p>
    <w:p w14:paraId="081F81FA" w14:textId="1D699BD0" w:rsidR="00F55DFA" w:rsidRDefault="00F55DFA" w:rsidP="006E7E0D">
      <w:pPr>
        <w:pStyle w:val="NormalWeb"/>
        <w:spacing w:before="0" w:beforeAutospacing="0" w:after="240" w:afterAutospacing="0" w:line="360" w:lineRule="auto"/>
        <w:rPr>
          <w:rFonts w:ascii="Arial" w:hAnsi="Arial" w:cs="Arial"/>
        </w:rPr>
      </w:pPr>
      <w:r w:rsidRPr="00BE6928">
        <w:rPr>
          <w:rFonts w:ascii="Arial" w:hAnsi="Arial" w:cs="Arial"/>
        </w:rPr>
        <w:t xml:space="preserve">Adams, J. and </w:t>
      </w:r>
      <w:proofErr w:type="spellStart"/>
      <w:r w:rsidRPr="00BE6928">
        <w:rPr>
          <w:rFonts w:ascii="Arial" w:hAnsi="Arial" w:cs="Arial"/>
        </w:rPr>
        <w:t>Brownsword</w:t>
      </w:r>
      <w:proofErr w:type="spellEnd"/>
      <w:r w:rsidRPr="00BE6928">
        <w:rPr>
          <w:rFonts w:ascii="Arial" w:hAnsi="Arial" w:cs="Arial"/>
        </w:rPr>
        <w:t xml:space="preserve">, R. (2007). </w:t>
      </w:r>
      <w:r w:rsidRPr="00BE6928">
        <w:rPr>
          <w:rFonts w:ascii="Arial" w:hAnsi="Arial" w:cs="Arial"/>
          <w:i/>
          <w:iCs/>
        </w:rPr>
        <w:t>Understanding contract law</w:t>
      </w:r>
      <w:r w:rsidRPr="00BE6928">
        <w:rPr>
          <w:rFonts w:ascii="Arial" w:hAnsi="Arial" w:cs="Arial"/>
        </w:rPr>
        <w:t>. London: Sweet &amp; Maxwell.</w:t>
      </w:r>
    </w:p>
    <w:p w14:paraId="778B30F5" w14:textId="17CEC49E" w:rsidR="00206888" w:rsidRDefault="00206888" w:rsidP="006E7E0D">
      <w:pPr>
        <w:pStyle w:val="NormalWeb"/>
        <w:spacing w:before="0" w:beforeAutospacing="0" w:after="240" w:afterAutospacing="0" w:line="360" w:lineRule="auto"/>
        <w:rPr>
          <w:rFonts w:ascii="Arial" w:hAnsi="Arial" w:cs="Arial"/>
        </w:rPr>
      </w:pPr>
      <w:r w:rsidRPr="00BE6928">
        <w:rPr>
          <w:rFonts w:ascii="Arial" w:hAnsi="Arial" w:cs="Arial"/>
        </w:rPr>
        <w:t xml:space="preserve">Beale, H.G. and </w:t>
      </w:r>
      <w:proofErr w:type="spellStart"/>
      <w:r w:rsidRPr="00BE6928">
        <w:rPr>
          <w:rFonts w:ascii="Arial" w:hAnsi="Arial" w:cs="Arial"/>
        </w:rPr>
        <w:t>Tallon</w:t>
      </w:r>
      <w:proofErr w:type="spellEnd"/>
      <w:r w:rsidRPr="00BE6928">
        <w:rPr>
          <w:rFonts w:ascii="Arial" w:hAnsi="Arial" w:cs="Arial"/>
        </w:rPr>
        <w:t xml:space="preserve">, D. (2002). </w:t>
      </w:r>
      <w:r w:rsidRPr="00BE6928">
        <w:rPr>
          <w:rFonts w:ascii="Arial" w:hAnsi="Arial" w:cs="Arial"/>
          <w:i/>
          <w:iCs/>
        </w:rPr>
        <w:t>Contract law</w:t>
      </w:r>
      <w:r w:rsidRPr="00BE6928">
        <w:rPr>
          <w:rFonts w:ascii="Arial" w:hAnsi="Arial" w:cs="Arial"/>
        </w:rPr>
        <w:t xml:space="preserve">. Oxford </w:t>
      </w:r>
      <w:proofErr w:type="gramStart"/>
      <w:r w:rsidRPr="00BE6928">
        <w:rPr>
          <w:rFonts w:ascii="Arial" w:hAnsi="Arial" w:cs="Arial"/>
        </w:rPr>
        <w:t>England ;</w:t>
      </w:r>
      <w:proofErr w:type="gramEnd"/>
      <w:r w:rsidRPr="00BE6928">
        <w:rPr>
          <w:rFonts w:ascii="Arial" w:hAnsi="Arial" w:cs="Arial"/>
        </w:rPr>
        <w:t xml:space="preserve"> Portland, Or.: Hart Pub.</w:t>
      </w:r>
    </w:p>
    <w:p w14:paraId="513A126B" w14:textId="77777777" w:rsidR="00703852" w:rsidRDefault="00F55DFA" w:rsidP="00F55DFA">
      <w:pPr>
        <w:pStyle w:val="NormalWeb"/>
        <w:spacing w:before="0" w:beforeAutospacing="0" w:after="240" w:afterAutospacing="0" w:line="360" w:lineRule="auto"/>
        <w:rPr>
          <w:rFonts w:ascii="Arial" w:hAnsi="Arial" w:cs="Arial"/>
        </w:rPr>
      </w:pPr>
      <w:r w:rsidRPr="00BE6928">
        <w:rPr>
          <w:rFonts w:ascii="Arial" w:hAnsi="Arial" w:cs="Arial"/>
        </w:rPr>
        <w:t xml:space="preserve">Ceil, C. (2015). Contractual Free Will: Doctrines of Economic Duress &amp; Undue Influence. </w:t>
      </w:r>
      <w:r w:rsidRPr="00BE6928">
        <w:rPr>
          <w:rFonts w:ascii="Arial" w:hAnsi="Arial" w:cs="Arial"/>
          <w:i/>
          <w:iCs/>
        </w:rPr>
        <w:t>SSRN Electronic Journal</w:t>
      </w:r>
      <w:r w:rsidRPr="00BE6928">
        <w:rPr>
          <w:rFonts w:ascii="Arial" w:hAnsi="Arial" w:cs="Arial"/>
        </w:rPr>
        <w:t>.</w:t>
      </w:r>
    </w:p>
    <w:p w14:paraId="581DE753" w14:textId="77777777" w:rsidR="00703852" w:rsidRDefault="006B2B89" w:rsidP="00703852">
      <w:pPr>
        <w:pStyle w:val="NormalWeb"/>
        <w:spacing w:before="0" w:beforeAutospacing="0" w:after="240" w:afterAutospacing="0" w:line="360" w:lineRule="auto"/>
        <w:rPr>
          <w:rFonts w:ascii="Arial" w:hAnsi="Arial" w:cs="Arial"/>
        </w:rPr>
      </w:pPr>
      <w:r w:rsidRPr="00BE6928">
        <w:rPr>
          <w:rFonts w:ascii="Arial" w:hAnsi="Arial" w:cs="Arial"/>
        </w:rPr>
        <w:t>Chen-</w:t>
      </w:r>
      <w:proofErr w:type="spellStart"/>
      <w:r w:rsidRPr="00BE6928">
        <w:rPr>
          <w:rFonts w:ascii="Arial" w:hAnsi="Arial" w:cs="Arial"/>
        </w:rPr>
        <w:t>Wishart</w:t>
      </w:r>
      <w:proofErr w:type="spellEnd"/>
      <w:r w:rsidRPr="00BE6928">
        <w:rPr>
          <w:rFonts w:ascii="Arial" w:hAnsi="Arial" w:cs="Arial"/>
        </w:rPr>
        <w:t xml:space="preserve">, M. (2009). Consideration and Serious Intention. </w:t>
      </w:r>
      <w:r w:rsidRPr="00BE6928">
        <w:rPr>
          <w:rFonts w:ascii="Arial" w:hAnsi="Arial" w:cs="Arial"/>
          <w:i/>
          <w:iCs/>
        </w:rPr>
        <w:t>Singapore journal of legal studies</w:t>
      </w:r>
      <w:r w:rsidRPr="00BE6928">
        <w:rPr>
          <w:rFonts w:ascii="Arial" w:hAnsi="Arial" w:cs="Arial"/>
        </w:rPr>
        <w:t>, pp.434–456.</w:t>
      </w:r>
    </w:p>
    <w:p w14:paraId="51B934E0" w14:textId="38C12DBE" w:rsidR="00703852" w:rsidRDefault="00703852" w:rsidP="00703852">
      <w:pPr>
        <w:pStyle w:val="NormalWeb"/>
        <w:spacing w:before="0" w:beforeAutospacing="0" w:after="240" w:afterAutospacing="0" w:line="360" w:lineRule="auto"/>
        <w:rPr>
          <w:rFonts w:ascii="Arial" w:hAnsi="Arial" w:cs="Arial"/>
        </w:rPr>
      </w:pPr>
      <w:r w:rsidRPr="00BE6928">
        <w:rPr>
          <w:rFonts w:ascii="Arial" w:hAnsi="Arial" w:cs="Arial"/>
        </w:rPr>
        <w:t xml:space="preserve">Columbia Law Review (1923). Bills and Notes. Duress. Threats of Imprisonment. </w:t>
      </w:r>
      <w:r w:rsidRPr="00BE6928">
        <w:rPr>
          <w:rFonts w:ascii="Arial" w:hAnsi="Arial" w:cs="Arial"/>
          <w:i/>
          <w:iCs/>
        </w:rPr>
        <w:t>Columbia Law Review</w:t>
      </w:r>
      <w:r w:rsidRPr="00BE6928">
        <w:rPr>
          <w:rFonts w:ascii="Arial" w:hAnsi="Arial" w:cs="Arial"/>
        </w:rPr>
        <w:t>, 23(1), p.71.</w:t>
      </w:r>
    </w:p>
    <w:p w14:paraId="66049EAC" w14:textId="357845A5" w:rsidR="0085090F" w:rsidRDefault="0085090F" w:rsidP="00703852">
      <w:pPr>
        <w:pStyle w:val="NormalWeb"/>
        <w:spacing w:before="0" w:beforeAutospacing="0" w:after="240" w:afterAutospacing="0" w:line="360" w:lineRule="auto"/>
        <w:rPr>
          <w:rFonts w:ascii="Arial" w:hAnsi="Arial" w:cs="Arial"/>
        </w:rPr>
      </w:pPr>
      <w:r w:rsidRPr="00BE6928">
        <w:rPr>
          <w:rFonts w:ascii="Arial" w:hAnsi="Arial" w:cs="Arial"/>
        </w:rPr>
        <w:t xml:space="preserve">Cope, M. (1985). </w:t>
      </w:r>
      <w:r w:rsidRPr="00BE6928">
        <w:rPr>
          <w:rFonts w:ascii="Arial" w:hAnsi="Arial" w:cs="Arial"/>
          <w:i/>
          <w:iCs/>
        </w:rPr>
        <w:t>Duress, undue influence and unconscientious bargain</w:t>
      </w:r>
      <w:r w:rsidRPr="00BE6928">
        <w:rPr>
          <w:rFonts w:ascii="Arial" w:hAnsi="Arial" w:cs="Arial"/>
        </w:rPr>
        <w:t xml:space="preserve">. North </w:t>
      </w:r>
      <w:proofErr w:type="spellStart"/>
      <w:r w:rsidRPr="00BE6928">
        <w:rPr>
          <w:rFonts w:ascii="Arial" w:hAnsi="Arial" w:cs="Arial"/>
        </w:rPr>
        <w:t>Ryde</w:t>
      </w:r>
      <w:proofErr w:type="spellEnd"/>
      <w:r w:rsidRPr="00BE6928">
        <w:rPr>
          <w:rFonts w:ascii="Arial" w:hAnsi="Arial" w:cs="Arial"/>
        </w:rPr>
        <w:t>: Law Book Company.</w:t>
      </w:r>
    </w:p>
    <w:p w14:paraId="63C15E8F" w14:textId="05CC4384" w:rsidR="00AE0F23" w:rsidRDefault="006B2B89" w:rsidP="00703852">
      <w:pPr>
        <w:pStyle w:val="NormalWeb"/>
        <w:spacing w:before="0" w:beforeAutospacing="0" w:after="240" w:afterAutospacing="0" w:line="360" w:lineRule="auto"/>
        <w:rPr>
          <w:rFonts w:ascii="Arial" w:hAnsi="Arial" w:cs="Arial"/>
        </w:rPr>
      </w:pPr>
      <w:r w:rsidRPr="00BE6928">
        <w:rPr>
          <w:rFonts w:ascii="Arial" w:hAnsi="Arial" w:cs="Arial"/>
        </w:rPr>
        <w:t xml:space="preserve"> </w:t>
      </w:r>
      <w:proofErr w:type="spellStart"/>
      <w:r w:rsidR="00AE0F23" w:rsidRPr="00BE6928">
        <w:rPr>
          <w:rFonts w:ascii="Arial" w:hAnsi="Arial" w:cs="Arial"/>
        </w:rPr>
        <w:t>Devenney</w:t>
      </w:r>
      <w:proofErr w:type="spellEnd"/>
      <w:r w:rsidR="00AE0F23" w:rsidRPr="00BE6928">
        <w:rPr>
          <w:rFonts w:ascii="Arial" w:hAnsi="Arial" w:cs="Arial"/>
        </w:rPr>
        <w:t xml:space="preserve">, J., Wilson, S., </w:t>
      </w:r>
      <w:proofErr w:type="spellStart"/>
      <w:r w:rsidR="00AE0F23" w:rsidRPr="00BE6928">
        <w:rPr>
          <w:rFonts w:ascii="Arial" w:hAnsi="Arial" w:cs="Arial"/>
        </w:rPr>
        <w:t>Sandford</w:t>
      </w:r>
      <w:proofErr w:type="spellEnd"/>
      <w:r w:rsidR="00AE0F23" w:rsidRPr="00BE6928">
        <w:rPr>
          <w:rFonts w:ascii="Arial" w:hAnsi="Arial" w:cs="Arial"/>
        </w:rPr>
        <w:t xml:space="preserve">-Couch, C. and Chandler, A. (2019). </w:t>
      </w:r>
      <w:r w:rsidR="00AE0F23" w:rsidRPr="00BE6928">
        <w:rPr>
          <w:rFonts w:ascii="Arial" w:hAnsi="Arial" w:cs="Arial"/>
          <w:i/>
          <w:iCs/>
        </w:rPr>
        <w:t>Concentrate Questions and Answers Contract Law</w:t>
      </w:r>
      <w:r w:rsidR="00AE0F23" w:rsidRPr="00BE6928">
        <w:rPr>
          <w:rFonts w:ascii="Arial" w:hAnsi="Arial" w:cs="Arial"/>
        </w:rPr>
        <w:t>. Oxford University Press, p.109.</w:t>
      </w:r>
    </w:p>
    <w:p w14:paraId="20E6AD6B" w14:textId="77777777" w:rsidR="0085090F" w:rsidRPr="00BE6928" w:rsidRDefault="0085090F" w:rsidP="006E7E0D">
      <w:pPr>
        <w:pStyle w:val="NormalWeb"/>
        <w:spacing w:before="0" w:beforeAutospacing="0" w:after="240" w:afterAutospacing="0" w:line="360" w:lineRule="auto"/>
        <w:rPr>
          <w:rFonts w:ascii="Arial" w:hAnsi="Arial" w:cs="Arial"/>
        </w:rPr>
      </w:pPr>
      <w:r w:rsidRPr="00BE6928">
        <w:rPr>
          <w:rFonts w:ascii="Arial" w:hAnsi="Arial" w:cs="Arial"/>
        </w:rPr>
        <w:t xml:space="preserve">Fleming, D. (1989). Contract—Economic Duress—Consideration. </w:t>
      </w:r>
      <w:r w:rsidRPr="00BE6928">
        <w:rPr>
          <w:rFonts w:ascii="Arial" w:hAnsi="Arial" w:cs="Arial"/>
          <w:i/>
          <w:iCs/>
        </w:rPr>
        <w:t>The Cambridge Law Journal</w:t>
      </w:r>
      <w:r w:rsidRPr="00BE6928">
        <w:rPr>
          <w:rFonts w:ascii="Arial" w:hAnsi="Arial" w:cs="Arial"/>
        </w:rPr>
        <w:t>, 48(3), pp.362–363.</w:t>
      </w:r>
    </w:p>
    <w:p w14:paraId="69A3761C" w14:textId="77777777" w:rsidR="0085090F" w:rsidRPr="00BE6928" w:rsidRDefault="0085090F" w:rsidP="006E7E0D">
      <w:pPr>
        <w:pStyle w:val="NormalWeb"/>
        <w:spacing w:before="0" w:beforeAutospacing="0" w:after="240" w:afterAutospacing="0" w:line="360" w:lineRule="auto"/>
        <w:rPr>
          <w:rFonts w:ascii="Arial" w:hAnsi="Arial" w:cs="Arial"/>
        </w:rPr>
      </w:pPr>
      <w:r w:rsidRPr="00BE6928">
        <w:rPr>
          <w:rFonts w:ascii="Arial" w:hAnsi="Arial" w:cs="Arial"/>
        </w:rPr>
        <w:t xml:space="preserve">G. L. E. (1938). Tort—Interference with Trade—Legality of Demand for Money as Alternative to Putting a Trader on Stop List—Demanding Money with Menaces—Demand Held to be Made with Reasonable and Probable Cause. </w:t>
      </w:r>
      <w:r w:rsidRPr="00BE6928">
        <w:rPr>
          <w:rFonts w:ascii="Arial" w:hAnsi="Arial" w:cs="Arial"/>
          <w:i/>
          <w:iCs/>
        </w:rPr>
        <w:t>The Cambridge Law Journal</w:t>
      </w:r>
      <w:r w:rsidRPr="00BE6928">
        <w:rPr>
          <w:rFonts w:ascii="Arial" w:hAnsi="Arial" w:cs="Arial"/>
        </w:rPr>
        <w:t>, 6(3), pp.440–441.</w:t>
      </w:r>
    </w:p>
    <w:p w14:paraId="7E52B962" w14:textId="77777777" w:rsidR="00847125" w:rsidRPr="00BE6928" w:rsidRDefault="00847125" w:rsidP="006E7E0D">
      <w:pPr>
        <w:pStyle w:val="NormalWeb"/>
        <w:spacing w:before="0" w:beforeAutospacing="0" w:after="240" w:afterAutospacing="0" w:line="360" w:lineRule="auto"/>
        <w:rPr>
          <w:rFonts w:ascii="Arial" w:hAnsi="Arial" w:cs="Arial"/>
        </w:rPr>
      </w:pPr>
      <w:r w:rsidRPr="00BE6928">
        <w:rPr>
          <w:rFonts w:ascii="Arial" w:hAnsi="Arial" w:cs="Arial"/>
        </w:rPr>
        <w:t xml:space="preserve">Goff, R. and Jones, G.H. (1978). </w:t>
      </w:r>
      <w:r w:rsidRPr="00BE6928">
        <w:rPr>
          <w:rFonts w:ascii="Arial" w:hAnsi="Arial" w:cs="Arial"/>
          <w:i/>
          <w:iCs/>
        </w:rPr>
        <w:t>The law of restitution</w:t>
      </w:r>
      <w:r w:rsidRPr="00BE6928">
        <w:rPr>
          <w:rFonts w:ascii="Arial" w:hAnsi="Arial" w:cs="Arial"/>
        </w:rPr>
        <w:t>. London: Sweet &amp; Maxwell.</w:t>
      </w:r>
    </w:p>
    <w:p w14:paraId="5D5F416B" w14:textId="5A8825B3" w:rsidR="00847125" w:rsidRDefault="00847125" w:rsidP="006E7E0D">
      <w:pPr>
        <w:pStyle w:val="NormalWeb"/>
        <w:spacing w:before="0" w:beforeAutospacing="0" w:after="240" w:afterAutospacing="0" w:line="360" w:lineRule="auto"/>
        <w:rPr>
          <w:rFonts w:ascii="Arial" w:hAnsi="Arial" w:cs="Arial"/>
        </w:rPr>
      </w:pPr>
      <w:r w:rsidRPr="00BE6928">
        <w:rPr>
          <w:rFonts w:ascii="Arial" w:hAnsi="Arial" w:cs="Arial"/>
        </w:rPr>
        <w:t xml:space="preserve">Gooch, G. and Williams, M. (2015). </w:t>
      </w:r>
      <w:r w:rsidRPr="00BE6928">
        <w:rPr>
          <w:rFonts w:ascii="Arial" w:hAnsi="Arial" w:cs="Arial"/>
          <w:i/>
          <w:iCs/>
        </w:rPr>
        <w:t>A Dictionary of Law Enforcement</w:t>
      </w:r>
      <w:r w:rsidRPr="00BE6928">
        <w:rPr>
          <w:rFonts w:ascii="Arial" w:hAnsi="Arial" w:cs="Arial"/>
        </w:rPr>
        <w:t>. New York: Oxford University Press.</w:t>
      </w:r>
    </w:p>
    <w:p w14:paraId="1030157F" w14:textId="519B58C1" w:rsidR="00847125" w:rsidRDefault="00847125" w:rsidP="006E7E0D">
      <w:pPr>
        <w:pStyle w:val="NormalWeb"/>
        <w:spacing w:before="0" w:beforeAutospacing="0" w:after="240" w:afterAutospacing="0" w:line="360" w:lineRule="auto"/>
        <w:rPr>
          <w:rFonts w:ascii="Arial" w:hAnsi="Arial" w:cs="Arial"/>
        </w:rPr>
      </w:pPr>
      <w:r w:rsidRPr="00BE6928">
        <w:rPr>
          <w:rFonts w:ascii="Arial" w:hAnsi="Arial" w:cs="Arial"/>
        </w:rPr>
        <w:t xml:space="preserve">Law, J. (2018). Economic Duress. </w:t>
      </w:r>
      <w:r w:rsidRPr="00BE6928">
        <w:rPr>
          <w:rFonts w:ascii="Arial" w:hAnsi="Arial" w:cs="Arial"/>
          <w:i/>
          <w:iCs/>
        </w:rPr>
        <w:t>Oxford University Press</w:t>
      </w:r>
      <w:r w:rsidRPr="00BE6928">
        <w:rPr>
          <w:rFonts w:ascii="Arial" w:hAnsi="Arial" w:cs="Arial"/>
        </w:rPr>
        <w:t>, (9780198802525).</w:t>
      </w:r>
    </w:p>
    <w:p w14:paraId="4C97A89A" w14:textId="6ED0C5C1" w:rsidR="0085090F" w:rsidRPr="00BE6928" w:rsidRDefault="00D347FA" w:rsidP="006E7E0D">
      <w:pPr>
        <w:pStyle w:val="NormalWeb"/>
        <w:spacing w:before="0" w:beforeAutospacing="0" w:after="240" w:afterAutospacing="0" w:line="360" w:lineRule="auto"/>
        <w:rPr>
          <w:rFonts w:ascii="Arial" w:hAnsi="Arial" w:cs="Arial"/>
        </w:rPr>
      </w:pPr>
      <w:proofErr w:type="spellStart"/>
      <w:r w:rsidRPr="00BE6928">
        <w:rPr>
          <w:rFonts w:ascii="Arial" w:hAnsi="Arial" w:cs="Arial"/>
        </w:rPr>
        <w:lastRenderedPageBreak/>
        <w:t>Loke</w:t>
      </w:r>
      <w:proofErr w:type="spellEnd"/>
      <w:r w:rsidRPr="00BE6928">
        <w:rPr>
          <w:rFonts w:ascii="Arial" w:hAnsi="Arial" w:cs="Arial"/>
        </w:rPr>
        <w:t xml:space="preserve">, A.F.H. (2017). Excusable consent in duress. </w:t>
      </w:r>
      <w:r w:rsidRPr="00BE6928">
        <w:rPr>
          <w:rFonts w:ascii="Arial" w:hAnsi="Arial" w:cs="Arial"/>
          <w:i/>
          <w:iCs/>
        </w:rPr>
        <w:t>Society of Legal Scholars</w:t>
      </w:r>
      <w:r w:rsidRPr="00BE6928">
        <w:rPr>
          <w:rFonts w:ascii="Arial" w:hAnsi="Arial" w:cs="Arial"/>
        </w:rPr>
        <w:t>, 36(1), pp.418–436.</w:t>
      </w:r>
    </w:p>
    <w:p w14:paraId="5E288C3E" w14:textId="1E4DF11F" w:rsidR="00F22C50" w:rsidRDefault="00F22C50">
      <w:pPr>
        <w:pStyle w:val="NormalWeb"/>
        <w:spacing w:before="0" w:beforeAutospacing="0" w:after="240" w:afterAutospacing="0" w:line="360" w:lineRule="auto"/>
        <w:divId w:val="681007015"/>
        <w:rPr>
          <w:rFonts w:ascii="Arial" w:hAnsi="Arial" w:cs="Arial"/>
        </w:rPr>
      </w:pPr>
      <w:r w:rsidRPr="00BE6928">
        <w:rPr>
          <w:rFonts w:ascii="Arial" w:hAnsi="Arial" w:cs="Arial"/>
        </w:rPr>
        <w:t xml:space="preserve">Murphy, J. (2014). Understanding Intimidation. </w:t>
      </w:r>
      <w:r w:rsidRPr="00BE6928">
        <w:rPr>
          <w:rFonts w:ascii="Arial" w:hAnsi="Arial" w:cs="Arial"/>
          <w:i/>
          <w:iCs/>
        </w:rPr>
        <w:t>The Modern Law Review</w:t>
      </w:r>
      <w:r w:rsidRPr="00BE6928">
        <w:rPr>
          <w:rFonts w:ascii="Arial" w:hAnsi="Arial" w:cs="Arial"/>
        </w:rPr>
        <w:t>, 77(1), pp.33–59.</w:t>
      </w:r>
    </w:p>
    <w:p w14:paraId="2F27EB35" w14:textId="417DD2FA" w:rsidR="009A3775" w:rsidRDefault="009A3775" w:rsidP="009A3775">
      <w:pPr>
        <w:pStyle w:val="NormalWeb"/>
        <w:spacing w:before="0" w:beforeAutospacing="0" w:after="240" w:afterAutospacing="0" w:line="360" w:lineRule="auto"/>
        <w:rPr>
          <w:rFonts w:ascii="Arial" w:hAnsi="Arial" w:cs="Arial"/>
        </w:rPr>
      </w:pPr>
      <w:proofErr w:type="spellStart"/>
      <w:r w:rsidRPr="00BE6928">
        <w:rPr>
          <w:rFonts w:ascii="Arial" w:hAnsi="Arial" w:cs="Arial"/>
        </w:rPr>
        <w:t>Ohrenstein</w:t>
      </w:r>
      <w:proofErr w:type="spellEnd"/>
      <w:r w:rsidRPr="00BE6928">
        <w:rPr>
          <w:rFonts w:ascii="Arial" w:hAnsi="Arial" w:cs="Arial"/>
        </w:rPr>
        <w:t xml:space="preserve">, D. (2019). Undue Influence and Duress. </w:t>
      </w:r>
      <w:r w:rsidRPr="00BE6928">
        <w:rPr>
          <w:rFonts w:ascii="Arial" w:hAnsi="Arial" w:cs="Arial"/>
          <w:i/>
          <w:iCs/>
        </w:rPr>
        <w:t>Radcliffe Chambers</w:t>
      </w:r>
      <w:r w:rsidRPr="00BE6928">
        <w:rPr>
          <w:rFonts w:ascii="Arial" w:hAnsi="Arial" w:cs="Arial"/>
        </w:rPr>
        <w:t>, pp.1–14.</w:t>
      </w:r>
    </w:p>
    <w:p w14:paraId="227408AD" w14:textId="18B53DE0" w:rsidR="00D347FA" w:rsidRPr="00BE6928" w:rsidRDefault="00D347FA" w:rsidP="00D347FA">
      <w:pPr>
        <w:pStyle w:val="NormalWeb"/>
        <w:spacing w:before="0" w:beforeAutospacing="0" w:after="240" w:afterAutospacing="0" w:line="360" w:lineRule="auto"/>
        <w:rPr>
          <w:rFonts w:ascii="Arial" w:hAnsi="Arial" w:cs="Arial"/>
        </w:rPr>
      </w:pPr>
      <w:proofErr w:type="spellStart"/>
      <w:r w:rsidRPr="00BE6928">
        <w:rPr>
          <w:rFonts w:ascii="Arial" w:hAnsi="Arial" w:cs="Arial"/>
        </w:rPr>
        <w:t>Phang</w:t>
      </w:r>
      <w:proofErr w:type="spellEnd"/>
      <w:r w:rsidRPr="00BE6928">
        <w:rPr>
          <w:rFonts w:ascii="Arial" w:hAnsi="Arial" w:cs="Arial"/>
        </w:rPr>
        <w:t xml:space="preserve">, A. (1990). Whither Economic Duress? Reflections on Two Recent Cases. </w:t>
      </w:r>
      <w:r w:rsidRPr="00BE6928">
        <w:rPr>
          <w:rFonts w:ascii="Arial" w:hAnsi="Arial" w:cs="Arial"/>
          <w:i/>
          <w:iCs/>
        </w:rPr>
        <w:t>The Modern Law Review</w:t>
      </w:r>
      <w:r w:rsidRPr="00BE6928">
        <w:rPr>
          <w:rFonts w:ascii="Arial" w:hAnsi="Arial" w:cs="Arial"/>
        </w:rPr>
        <w:t>, 53(1), pp.107–116.</w:t>
      </w:r>
    </w:p>
    <w:p w14:paraId="538F2B5F" w14:textId="77777777" w:rsidR="00872093" w:rsidRPr="00BE6928" w:rsidRDefault="00872093">
      <w:pPr>
        <w:pStyle w:val="NormalWeb"/>
        <w:spacing w:before="0" w:beforeAutospacing="0" w:after="240" w:afterAutospacing="0" w:line="360" w:lineRule="auto"/>
        <w:divId w:val="614139937"/>
        <w:rPr>
          <w:rFonts w:ascii="Arial" w:hAnsi="Arial" w:cs="Arial"/>
        </w:rPr>
      </w:pPr>
      <w:r w:rsidRPr="00BE6928">
        <w:rPr>
          <w:rFonts w:ascii="Arial" w:hAnsi="Arial" w:cs="Arial"/>
        </w:rPr>
        <w:t xml:space="preserve">Poole, J. (2012). </w:t>
      </w:r>
      <w:r w:rsidRPr="00BE6928">
        <w:rPr>
          <w:rFonts w:ascii="Arial" w:hAnsi="Arial" w:cs="Arial"/>
          <w:i/>
          <w:iCs/>
        </w:rPr>
        <w:t>Casebook on Contract Law. 2012.</w:t>
      </w:r>
      <w:r w:rsidRPr="00BE6928">
        <w:rPr>
          <w:rFonts w:ascii="Arial" w:hAnsi="Arial" w:cs="Arial"/>
        </w:rPr>
        <w:t xml:space="preserve"> 11th ed. Oxford: Oxford University Press.</w:t>
      </w:r>
    </w:p>
    <w:p w14:paraId="753935B0" w14:textId="77FDB14F" w:rsidR="00113F82" w:rsidRPr="00BE6928" w:rsidRDefault="009647D7">
      <w:pPr>
        <w:pStyle w:val="NormalWeb"/>
        <w:spacing w:before="0" w:beforeAutospacing="0" w:after="240" w:afterAutospacing="0" w:line="360" w:lineRule="auto"/>
        <w:divId w:val="1848521710"/>
        <w:rPr>
          <w:rFonts w:ascii="Arial" w:hAnsi="Arial" w:cs="Arial"/>
        </w:rPr>
      </w:pPr>
      <w:r w:rsidRPr="00BE6928">
        <w:rPr>
          <w:rFonts w:ascii="Arial" w:hAnsi="Arial" w:cs="Arial"/>
        </w:rPr>
        <w:t xml:space="preserve">Smith, S.A. (1997). Contracting Under Pressure: A Theory of Duress. </w:t>
      </w:r>
      <w:r w:rsidRPr="00BE6928">
        <w:rPr>
          <w:rFonts w:ascii="Arial" w:hAnsi="Arial" w:cs="Arial"/>
          <w:i/>
          <w:iCs/>
        </w:rPr>
        <w:t>The Cambridge Law Journal</w:t>
      </w:r>
      <w:r w:rsidRPr="00BE6928">
        <w:rPr>
          <w:rFonts w:ascii="Arial" w:hAnsi="Arial" w:cs="Arial"/>
        </w:rPr>
        <w:t>, 56(2), pp.343–373.</w:t>
      </w:r>
      <w:r w:rsidR="00563411" w:rsidRPr="00BE6928">
        <w:rPr>
          <w:rFonts w:ascii="Arial" w:hAnsi="Arial" w:cs="Arial"/>
        </w:rPr>
        <w:t xml:space="preserve">Law, J. (2018). Economic Duress. </w:t>
      </w:r>
      <w:r w:rsidR="00563411" w:rsidRPr="00BE6928">
        <w:rPr>
          <w:rFonts w:ascii="Arial" w:hAnsi="Arial" w:cs="Arial"/>
          <w:i/>
          <w:iCs/>
        </w:rPr>
        <w:t>Oxford University Press</w:t>
      </w:r>
      <w:r w:rsidR="00563411" w:rsidRPr="00BE6928">
        <w:rPr>
          <w:rFonts w:ascii="Arial" w:hAnsi="Arial" w:cs="Arial"/>
        </w:rPr>
        <w:t>, (9780198802525).</w:t>
      </w:r>
    </w:p>
    <w:p w14:paraId="259B6FDB" w14:textId="4E1042D2" w:rsidR="00066B41" w:rsidRPr="00BE6928" w:rsidRDefault="009A3775" w:rsidP="009A3775">
      <w:pPr>
        <w:pStyle w:val="NormalWeb"/>
        <w:spacing w:before="0" w:beforeAutospacing="0" w:after="240" w:afterAutospacing="0" w:line="360" w:lineRule="auto"/>
        <w:rPr>
          <w:rFonts w:ascii="Arial" w:hAnsi="Arial" w:cs="Arial"/>
        </w:rPr>
      </w:pPr>
      <w:proofErr w:type="spellStart"/>
      <w:r w:rsidRPr="00BE6928">
        <w:rPr>
          <w:rFonts w:ascii="Arial" w:hAnsi="Arial" w:cs="Arial"/>
        </w:rPr>
        <w:t>Wadlington</w:t>
      </w:r>
      <w:proofErr w:type="spellEnd"/>
      <w:r w:rsidRPr="00BE6928">
        <w:rPr>
          <w:rFonts w:ascii="Arial" w:hAnsi="Arial" w:cs="Arial"/>
        </w:rPr>
        <w:t xml:space="preserve">, W. and Krause, H.D. (1972). Illegitimacy: Law and Social Policy. </w:t>
      </w:r>
      <w:r w:rsidRPr="00BE6928">
        <w:rPr>
          <w:rFonts w:ascii="Arial" w:hAnsi="Arial" w:cs="Arial"/>
          <w:i/>
          <w:iCs/>
        </w:rPr>
        <w:t>Virginia Law Review</w:t>
      </w:r>
      <w:r w:rsidRPr="00BE6928">
        <w:rPr>
          <w:rFonts w:ascii="Arial" w:hAnsi="Arial" w:cs="Arial"/>
        </w:rPr>
        <w:t>, 58(1), p.188.</w:t>
      </w:r>
    </w:p>
    <w:p w14:paraId="5660C854" w14:textId="77777777" w:rsidR="009F217F" w:rsidRPr="00BE6928" w:rsidRDefault="009F217F">
      <w:pPr>
        <w:pStyle w:val="NormalWeb"/>
        <w:spacing w:before="0" w:beforeAutospacing="0" w:after="240" w:afterAutospacing="0" w:line="360" w:lineRule="auto"/>
        <w:divId w:val="1202129193"/>
        <w:rPr>
          <w:rFonts w:ascii="Arial" w:hAnsi="Arial" w:cs="Arial"/>
        </w:rPr>
      </w:pPr>
      <w:r w:rsidRPr="00BE6928">
        <w:rPr>
          <w:rFonts w:ascii="Arial" w:hAnsi="Arial" w:cs="Arial"/>
        </w:rPr>
        <w:t xml:space="preserve">Winder, W.H.D. (1939). Undue Influence and Coercion. </w:t>
      </w:r>
      <w:r w:rsidRPr="00BE6928">
        <w:rPr>
          <w:rFonts w:ascii="Arial" w:hAnsi="Arial" w:cs="Arial"/>
          <w:i/>
          <w:iCs/>
        </w:rPr>
        <w:t>The Modern Law Review</w:t>
      </w:r>
      <w:r w:rsidRPr="00BE6928">
        <w:rPr>
          <w:rFonts w:ascii="Arial" w:hAnsi="Arial" w:cs="Arial"/>
        </w:rPr>
        <w:t>, 3(2), pp.97–120.</w:t>
      </w:r>
    </w:p>
    <w:p w14:paraId="5E08F2DF" w14:textId="3D5BCD6E" w:rsidR="00563411" w:rsidRPr="00BE6928" w:rsidRDefault="00563411">
      <w:pPr>
        <w:pStyle w:val="NormalWeb"/>
        <w:spacing w:before="0" w:beforeAutospacing="0" w:after="240" w:afterAutospacing="0" w:line="360" w:lineRule="auto"/>
        <w:divId w:val="1125469355"/>
        <w:rPr>
          <w:rFonts w:ascii="Arial" w:hAnsi="Arial" w:cs="Arial"/>
        </w:rPr>
      </w:pPr>
    </w:p>
    <w:p w14:paraId="05E4D10D" w14:textId="77777777" w:rsidR="00113F82" w:rsidRPr="00BE6928" w:rsidRDefault="00113F82">
      <w:pPr>
        <w:pStyle w:val="NormalWeb"/>
        <w:spacing w:before="0" w:beforeAutospacing="0" w:after="240" w:afterAutospacing="0" w:line="360" w:lineRule="auto"/>
        <w:divId w:val="1125469355"/>
        <w:rPr>
          <w:rFonts w:ascii="Arial" w:hAnsi="Arial" w:cs="Arial"/>
        </w:rPr>
      </w:pPr>
    </w:p>
    <w:p w14:paraId="3B78CEA1" w14:textId="77777777" w:rsidR="00872093" w:rsidRPr="00BE6928" w:rsidRDefault="00872093">
      <w:pPr>
        <w:pStyle w:val="NormalWeb"/>
        <w:spacing w:before="0" w:beforeAutospacing="0" w:after="240" w:afterAutospacing="0" w:line="360" w:lineRule="auto"/>
        <w:divId w:val="681007015"/>
        <w:rPr>
          <w:rFonts w:ascii="Arial" w:hAnsi="Arial" w:cs="Arial"/>
        </w:rPr>
      </w:pPr>
    </w:p>
    <w:p w14:paraId="216CCA5A" w14:textId="0C5572D0" w:rsidR="00183A2F" w:rsidRPr="00BE6928" w:rsidRDefault="00183A2F" w:rsidP="008B22C9">
      <w:pPr>
        <w:rPr>
          <w:rFonts w:ascii="Arial" w:hAnsi="Arial" w:cs="Arial"/>
          <w:sz w:val="24"/>
          <w:szCs w:val="24"/>
        </w:rPr>
      </w:pPr>
    </w:p>
    <w:p w14:paraId="201A876E" w14:textId="77777777" w:rsidR="00183A2F" w:rsidRPr="00BE6928" w:rsidRDefault="00183A2F" w:rsidP="008B22C9">
      <w:pPr>
        <w:rPr>
          <w:rFonts w:ascii="Arial" w:hAnsi="Arial" w:cs="Arial"/>
          <w:b/>
          <w:bCs/>
          <w:sz w:val="24"/>
          <w:szCs w:val="24"/>
          <w:u w:val="single"/>
        </w:rPr>
      </w:pPr>
    </w:p>
    <w:p w14:paraId="4EA09BCE" w14:textId="77777777" w:rsidR="00183A2F" w:rsidRPr="00BE6928" w:rsidRDefault="00183A2F" w:rsidP="008B22C9">
      <w:pPr>
        <w:rPr>
          <w:rFonts w:ascii="Arial" w:hAnsi="Arial" w:cs="Arial"/>
          <w:b/>
          <w:bCs/>
          <w:sz w:val="24"/>
          <w:szCs w:val="24"/>
          <w:u w:val="single"/>
        </w:rPr>
      </w:pPr>
    </w:p>
    <w:p w14:paraId="6C3FF9BD" w14:textId="77777777" w:rsidR="00183A2F" w:rsidRPr="00BE6928" w:rsidRDefault="00183A2F" w:rsidP="008B22C9">
      <w:pPr>
        <w:rPr>
          <w:rFonts w:ascii="Arial" w:hAnsi="Arial" w:cs="Arial"/>
          <w:b/>
          <w:bCs/>
          <w:sz w:val="24"/>
          <w:szCs w:val="24"/>
          <w:u w:val="single"/>
        </w:rPr>
      </w:pPr>
    </w:p>
    <w:p w14:paraId="0EA30028" w14:textId="77777777" w:rsidR="00183A2F" w:rsidRPr="00F363D3" w:rsidRDefault="00183A2F" w:rsidP="008B22C9">
      <w:pPr>
        <w:rPr>
          <w:rFonts w:ascii="Arial" w:hAnsi="Arial" w:cs="Arial"/>
          <w:b/>
          <w:bCs/>
          <w:sz w:val="24"/>
          <w:szCs w:val="24"/>
          <w:u w:val="single"/>
        </w:rPr>
      </w:pPr>
    </w:p>
    <w:p w14:paraId="654061D4" w14:textId="36A86554" w:rsidR="00DB4876" w:rsidRDefault="00E10342" w:rsidP="008B22C9">
      <w:pPr>
        <w:rPr>
          <w:rFonts w:ascii="Arial" w:hAnsi="Arial" w:cs="Arial"/>
          <w:b/>
          <w:bCs/>
          <w:sz w:val="24"/>
          <w:szCs w:val="24"/>
          <w:u w:val="single"/>
        </w:rPr>
      </w:pPr>
      <w:r w:rsidRPr="00F363D3">
        <w:rPr>
          <w:rFonts w:ascii="Arial" w:hAnsi="Arial" w:cs="Arial"/>
          <w:b/>
          <w:bCs/>
          <w:sz w:val="24"/>
          <w:szCs w:val="24"/>
          <w:u w:val="single"/>
        </w:rPr>
        <w:lastRenderedPageBreak/>
        <w:t>Case list</w:t>
      </w:r>
      <w:r w:rsidR="00744B73" w:rsidRPr="00F363D3">
        <w:rPr>
          <w:rFonts w:ascii="Arial" w:hAnsi="Arial" w:cs="Arial"/>
          <w:b/>
          <w:bCs/>
          <w:sz w:val="24"/>
          <w:szCs w:val="24"/>
          <w:u w:val="single"/>
        </w:rPr>
        <w:t>:</w:t>
      </w:r>
      <w:r w:rsidRPr="00F363D3">
        <w:rPr>
          <w:rFonts w:ascii="Arial" w:hAnsi="Arial" w:cs="Arial"/>
          <w:b/>
          <w:bCs/>
          <w:sz w:val="24"/>
          <w:szCs w:val="24"/>
          <w:u w:val="single"/>
        </w:rPr>
        <w:t xml:space="preserve"> </w:t>
      </w:r>
    </w:p>
    <w:p w14:paraId="754429AB" w14:textId="377B62CC" w:rsidR="004C46CE" w:rsidRPr="004C46CE" w:rsidRDefault="004C46CE" w:rsidP="004C46CE">
      <w:pPr>
        <w:pStyle w:val="NormalWeb"/>
        <w:shd w:val="clear" w:color="auto" w:fill="FFFFFF"/>
        <w:spacing w:before="0" w:beforeAutospacing="0"/>
        <w:rPr>
          <w:rFonts w:ascii="Arial" w:eastAsia="Times New Roman" w:hAnsi="Arial" w:cs="Arial"/>
          <w:i/>
          <w:iCs/>
          <w:color w:val="4D5156"/>
          <w:shd w:val="clear" w:color="auto" w:fill="FFFFFF"/>
        </w:rPr>
      </w:pPr>
      <w:proofErr w:type="spellStart"/>
      <w:r w:rsidRPr="00FF6EAA">
        <w:rPr>
          <w:rFonts w:ascii="Arial" w:eastAsia="Times New Roman" w:hAnsi="Arial" w:cs="Arial"/>
          <w:i/>
          <w:iCs/>
          <w:color w:val="4D5156"/>
          <w:shd w:val="clear" w:color="auto" w:fill="FFFFFF"/>
        </w:rPr>
        <w:t>Allcard</w:t>
      </w:r>
      <w:proofErr w:type="spellEnd"/>
      <w:r w:rsidRPr="00FF6EAA">
        <w:rPr>
          <w:rFonts w:ascii="Arial" w:eastAsia="Times New Roman" w:hAnsi="Arial" w:cs="Arial"/>
          <w:i/>
          <w:iCs/>
          <w:color w:val="4D5156"/>
          <w:shd w:val="clear" w:color="auto" w:fill="FFFFFF"/>
        </w:rPr>
        <w:t xml:space="preserve"> v Skinner [1887] 36 </w:t>
      </w:r>
      <w:proofErr w:type="spellStart"/>
      <w:r w:rsidRPr="00FF6EAA">
        <w:rPr>
          <w:rFonts w:ascii="Arial" w:eastAsia="Times New Roman" w:hAnsi="Arial" w:cs="Arial"/>
          <w:i/>
          <w:iCs/>
          <w:color w:val="4D5156"/>
          <w:shd w:val="clear" w:color="auto" w:fill="FFFFFF"/>
        </w:rPr>
        <w:t>Ch</w:t>
      </w:r>
      <w:proofErr w:type="spellEnd"/>
      <w:r w:rsidRPr="00FF6EAA">
        <w:rPr>
          <w:rFonts w:ascii="Arial" w:eastAsia="Times New Roman" w:hAnsi="Arial" w:cs="Arial"/>
          <w:i/>
          <w:iCs/>
          <w:color w:val="4D5156"/>
          <w:shd w:val="clear" w:color="auto" w:fill="FFFFFF"/>
        </w:rPr>
        <w:t xml:space="preserve"> D 145 </w:t>
      </w:r>
    </w:p>
    <w:p w14:paraId="2A0F99BE" w14:textId="0FE6490B" w:rsidR="00E40EAA" w:rsidRPr="00066588" w:rsidRDefault="00066588" w:rsidP="00066588">
      <w:pPr>
        <w:pStyle w:val="NormalWeb"/>
        <w:shd w:val="clear" w:color="auto" w:fill="FFFFFF"/>
        <w:spacing w:before="0" w:beforeAutospacing="0"/>
        <w:rPr>
          <w:rStyle w:val="Strong"/>
          <w:rFonts w:ascii="Arial" w:eastAsia="Times New Roman" w:hAnsi="Arial" w:cs="Arial"/>
          <w:b w:val="0"/>
          <w:bCs w:val="0"/>
          <w:i/>
          <w:iCs/>
          <w:color w:val="4D5156"/>
          <w:spacing w:val="0"/>
          <w:shd w:val="clear" w:color="auto" w:fill="FFFFFF"/>
        </w:rPr>
      </w:pPr>
      <w:r w:rsidRPr="00FF6EAA">
        <w:rPr>
          <w:rStyle w:val="Emphasis"/>
          <w:rFonts w:ascii="Arial" w:eastAsia="Times New Roman" w:hAnsi="Arial" w:cs="Arial"/>
          <w:i/>
          <w:iCs/>
          <w:color w:val="5F6368"/>
          <w:sz w:val="24"/>
          <w:szCs w:val="24"/>
          <w:shd w:val="clear" w:color="auto" w:fill="FFFFFF"/>
        </w:rPr>
        <w:t>Bank of Credit and Commerce International v Aboody</w:t>
      </w:r>
      <w:r w:rsidRPr="00FF6EAA">
        <w:rPr>
          <w:rFonts w:ascii="Arial" w:eastAsia="Times New Roman" w:hAnsi="Arial" w:cs="Arial"/>
          <w:i/>
          <w:iCs/>
          <w:color w:val="4D5156"/>
          <w:shd w:val="clear" w:color="auto" w:fill="FFFFFF"/>
        </w:rPr>
        <w:t> [1990] 1 QB 923</w:t>
      </w:r>
    </w:p>
    <w:p w14:paraId="016875D6" w14:textId="77777777" w:rsidR="00E40EAA" w:rsidRPr="00FF6EAA" w:rsidRDefault="00E40EAA" w:rsidP="008B22C9">
      <w:pPr>
        <w:rPr>
          <w:rStyle w:val="Strong"/>
          <w:rFonts w:ascii="Arial" w:eastAsia="Times New Roman" w:hAnsi="Arial" w:cs="Arial"/>
          <w:b w:val="0"/>
          <w:bCs w:val="0"/>
          <w:i/>
          <w:iCs/>
          <w:color w:val="212529"/>
          <w:sz w:val="24"/>
          <w:szCs w:val="24"/>
          <w:shd w:val="clear" w:color="auto" w:fill="FFFFFF"/>
        </w:rPr>
      </w:pPr>
      <w:r w:rsidRPr="00FF6EAA">
        <w:rPr>
          <w:rStyle w:val="Strong"/>
          <w:rFonts w:ascii="Arial" w:eastAsia="Times New Roman" w:hAnsi="Arial" w:cs="Arial"/>
          <w:b w:val="0"/>
          <w:bCs w:val="0"/>
          <w:i/>
          <w:iCs/>
          <w:color w:val="212529"/>
          <w:sz w:val="24"/>
          <w:szCs w:val="24"/>
          <w:shd w:val="clear" w:color="auto" w:fill="FFFFFF"/>
        </w:rPr>
        <w:t>Barclays Bank plc v O’Brien [1994] 1 AC 180</w:t>
      </w:r>
    </w:p>
    <w:p w14:paraId="734E05F8" w14:textId="043F46C8" w:rsidR="003D4C14" w:rsidRDefault="00871F07" w:rsidP="003D4C14">
      <w:pPr>
        <w:pStyle w:val="NormalWeb"/>
        <w:shd w:val="clear" w:color="auto" w:fill="FFFFFF"/>
        <w:spacing w:before="0" w:beforeAutospacing="0"/>
        <w:divId w:val="1479153565"/>
        <w:rPr>
          <w:rStyle w:val="Strong"/>
          <w:rFonts w:ascii="Arial" w:hAnsi="Arial" w:cs="Arial"/>
          <w:b w:val="0"/>
          <w:bCs w:val="0"/>
          <w:i/>
          <w:iCs/>
          <w:color w:val="212529"/>
        </w:rPr>
      </w:pPr>
      <w:r w:rsidRPr="00FF6EAA">
        <w:rPr>
          <w:rStyle w:val="Strong"/>
          <w:rFonts w:ascii="Arial" w:hAnsi="Arial" w:cs="Arial"/>
          <w:b w:val="0"/>
          <w:bCs w:val="0"/>
          <w:i/>
          <w:iCs/>
          <w:color w:val="212529"/>
        </w:rPr>
        <w:t>Barton v Armstrong [1976] AC 104</w:t>
      </w:r>
    </w:p>
    <w:p w14:paraId="02025EEC" w14:textId="77777777" w:rsidR="002A2187" w:rsidRPr="00FF6EAA" w:rsidRDefault="002A2187" w:rsidP="006E7E0D">
      <w:pPr>
        <w:shd w:val="clear" w:color="auto" w:fill="FFFFFF"/>
        <w:rPr>
          <w:rFonts w:ascii="Arial" w:eastAsia="Times New Roman" w:hAnsi="Arial" w:cs="Arial"/>
          <w:i/>
          <w:iCs/>
          <w:color w:val="000000"/>
          <w:sz w:val="24"/>
          <w:szCs w:val="24"/>
        </w:rPr>
      </w:pPr>
      <w:r w:rsidRPr="00FF6EAA">
        <w:rPr>
          <w:rFonts w:ascii="Arial" w:eastAsia="Times New Roman" w:hAnsi="Arial" w:cs="Arial"/>
          <w:i/>
          <w:iCs/>
          <w:color w:val="000000"/>
          <w:sz w:val="24"/>
          <w:szCs w:val="24"/>
        </w:rPr>
        <w:t xml:space="preserve">Denning J, John Lee &amp; Son (Grantham) Ltd v Railway Executive [1949] 2 All ER 581 at 584 </w:t>
      </w:r>
    </w:p>
    <w:p w14:paraId="21288661" w14:textId="77777777" w:rsidR="004C46CE" w:rsidRPr="00FF6EAA" w:rsidRDefault="004C46CE"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Griffin v Griffin [2002] EWCA Civ 119</w:t>
      </w:r>
    </w:p>
    <w:p w14:paraId="1A18E5E3" w14:textId="77777777" w:rsidR="00D47AF2" w:rsidRPr="00FF6EAA" w:rsidRDefault="00D47AF2" w:rsidP="006E7E0D">
      <w:pPr>
        <w:rPr>
          <w:rStyle w:val="Strong"/>
          <w:rFonts w:ascii="Arial" w:eastAsia="Times New Roman" w:hAnsi="Arial" w:cs="Arial"/>
          <w:b w:val="0"/>
          <w:bCs w:val="0"/>
          <w:i/>
          <w:iCs/>
          <w:color w:val="212529"/>
          <w:sz w:val="24"/>
          <w:szCs w:val="24"/>
          <w:shd w:val="clear" w:color="auto" w:fill="FFFFFF"/>
        </w:rPr>
      </w:pPr>
      <w:proofErr w:type="spellStart"/>
      <w:r w:rsidRPr="00FF6EAA">
        <w:rPr>
          <w:rStyle w:val="Strong"/>
          <w:rFonts w:ascii="Arial" w:eastAsia="Times New Roman" w:hAnsi="Arial" w:cs="Arial"/>
          <w:b w:val="0"/>
          <w:bCs w:val="0"/>
          <w:i/>
          <w:iCs/>
          <w:color w:val="212529"/>
          <w:sz w:val="24"/>
          <w:szCs w:val="24"/>
          <w:shd w:val="clear" w:color="auto" w:fill="FFFFFF"/>
        </w:rPr>
        <w:t>Maskell</w:t>
      </w:r>
      <w:proofErr w:type="spellEnd"/>
      <w:r w:rsidRPr="00FF6EAA">
        <w:rPr>
          <w:rStyle w:val="Strong"/>
          <w:rFonts w:ascii="Arial" w:eastAsia="Times New Roman" w:hAnsi="Arial" w:cs="Arial"/>
          <w:b w:val="0"/>
          <w:bCs w:val="0"/>
          <w:i/>
          <w:iCs/>
          <w:color w:val="212529"/>
          <w:sz w:val="24"/>
          <w:szCs w:val="24"/>
          <w:shd w:val="clear" w:color="auto" w:fill="FFFFFF"/>
        </w:rPr>
        <w:t xml:space="preserve"> v Horner [1915] 3 KB 106</w:t>
      </w:r>
    </w:p>
    <w:p w14:paraId="0238980C" w14:textId="77777777" w:rsidR="00D47AF2" w:rsidRPr="00FF6EAA" w:rsidRDefault="00D47AF2"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North Ocean Shipping Co v Hyundai Construction Co (The Atlantic Baron) [1979] QB 705</w:t>
      </w:r>
    </w:p>
    <w:p w14:paraId="2A55BBCC" w14:textId="77777777" w:rsidR="00D47AF2" w:rsidRPr="00FF6EAA" w:rsidRDefault="00D47AF2"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 xml:space="preserve">Occidental Worldwide Investment v </w:t>
      </w:r>
      <w:proofErr w:type="spellStart"/>
      <w:r w:rsidRPr="00FF6EAA">
        <w:rPr>
          <w:rFonts w:ascii="Arial" w:eastAsia="Times New Roman" w:hAnsi="Arial" w:cs="Arial"/>
          <w:i/>
          <w:iCs/>
          <w:color w:val="000000"/>
        </w:rPr>
        <w:t>Skibs</w:t>
      </w:r>
      <w:proofErr w:type="spellEnd"/>
      <w:r w:rsidRPr="00FF6EAA">
        <w:rPr>
          <w:rFonts w:ascii="Arial" w:eastAsia="Times New Roman" w:hAnsi="Arial" w:cs="Arial"/>
          <w:i/>
          <w:iCs/>
          <w:color w:val="000000"/>
        </w:rPr>
        <w:t xml:space="preserve"> (The </w:t>
      </w:r>
      <w:proofErr w:type="spellStart"/>
      <w:r w:rsidRPr="00FF6EAA">
        <w:rPr>
          <w:rFonts w:ascii="Arial" w:eastAsia="Times New Roman" w:hAnsi="Arial" w:cs="Arial"/>
          <w:i/>
          <w:iCs/>
          <w:color w:val="000000"/>
        </w:rPr>
        <w:t>Siboen</w:t>
      </w:r>
      <w:proofErr w:type="spellEnd"/>
      <w:r w:rsidRPr="00FF6EAA">
        <w:rPr>
          <w:rFonts w:ascii="Arial" w:eastAsia="Times New Roman" w:hAnsi="Arial" w:cs="Arial"/>
          <w:i/>
          <w:iCs/>
          <w:color w:val="000000"/>
        </w:rPr>
        <w:t xml:space="preserve"> and The </w:t>
      </w:r>
      <w:proofErr w:type="spellStart"/>
      <w:r w:rsidRPr="00FF6EAA">
        <w:rPr>
          <w:rFonts w:ascii="Arial" w:eastAsia="Times New Roman" w:hAnsi="Arial" w:cs="Arial"/>
          <w:i/>
          <w:iCs/>
          <w:color w:val="000000"/>
        </w:rPr>
        <w:t>Sibotre</w:t>
      </w:r>
      <w:proofErr w:type="spellEnd"/>
      <w:r w:rsidRPr="00FF6EAA">
        <w:rPr>
          <w:rFonts w:ascii="Arial" w:eastAsia="Times New Roman" w:hAnsi="Arial" w:cs="Arial"/>
          <w:i/>
          <w:iCs/>
          <w:color w:val="000000"/>
        </w:rPr>
        <w:t>) [1976] 1 Lloyds Rep 293</w:t>
      </w:r>
    </w:p>
    <w:p w14:paraId="3DAD0FB0" w14:textId="77777777" w:rsidR="001C2F55" w:rsidRDefault="00D47AF2" w:rsidP="001C2F55">
      <w:pPr>
        <w:shd w:val="clear" w:color="auto" w:fill="FFFFFF"/>
        <w:rPr>
          <w:rFonts w:ascii="Arial" w:eastAsia="Times New Roman" w:hAnsi="Arial" w:cs="Arial"/>
          <w:i/>
          <w:iCs/>
          <w:color w:val="000000"/>
          <w:sz w:val="24"/>
          <w:szCs w:val="24"/>
        </w:rPr>
      </w:pPr>
      <w:proofErr w:type="spellStart"/>
      <w:r w:rsidRPr="00FF6EAA">
        <w:rPr>
          <w:rFonts w:ascii="Arial" w:eastAsia="Times New Roman" w:hAnsi="Arial" w:cs="Arial"/>
          <w:i/>
          <w:iCs/>
          <w:color w:val="000000"/>
          <w:sz w:val="24"/>
          <w:szCs w:val="24"/>
        </w:rPr>
        <w:t>Pao</w:t>
      </w:r>
      <w:proofErr w:type="spellEnd"/>
      <w:r w:rsidRPr="00FF6EAA">
        <w:rPr>
          <w:rFonts w:ascii="Arial" w:eastAsia="Times New Roman" w:hAnsi="Arial" w:cs="Arial"/>
          <w:i/>
          <w:iCs/>
          <w:color w:val="000000"/>
          <w:sz w:val="24"/>
          <w:szCs w:val="24"/>
        </w:rPr>
        <w:t xml:space="preserve"> On v Lau </w:t>
      </w:r>
      <w:proofErr w:type="spellStart"/>
      <w:r w:rsidRPr="00FF6EAA">
        <w:rPr>
          <w:rFonts w:ascii="Arial" w:eastAsia="Times New Roman" w:hAnsi="Arial" w:cs="Arial"/>
          <w:i/>
          <w:iCs/>
          <w:color w:val="000000"/>
          <w:sz w:val="24"/>
          <w:szCs w:val="24"/>
        </w:rPr>
        <w:t>Yiu</w:t>
      </w:r>
      <w:proofErr w:type="spellEnd"/>
      <w:r w:rsidRPr="00FF6EAA">
        <w:rPr>
          <w:rFonts w:ascii="Arial" w:eastAsia="Times New Roman" w:hAnsi="Arial" w:cs="Arial"/>
          <w:i/>
          <w:iCs/>
          <w:color w:val="000000"/>
          <w:sz w:val="24"/>
          <w:szCs w:val="24"/>
        </w:rPr>
        <w:t xml:space="preserve"> [1980] AC 614</w:t>
      </w:r>
    </w:p>
    <w:p w14:paraId="6CCDF3A7" w14:textId="7BAAB03A" w:rsidR="001C2F55" w:rsidRPr="001C2F55" w:rsidRDefault="001C2F55" w:rsidP="001C2F55">
      <w:pPr>
        <w:shd w:val="clear" w:color="auto" w:fill="FFFFFF"/>
        <w:rPr>
          <w:rFonts w:ascii="Arial" w:eastAsia="Times New Roman" w:hAnsi="Arial" w:cs="Arial"/>
          <w:i/>
          <w:iCs/>
          <w:color w:val="000000"/>
          <w:sz w:val="24"/>
          <w:szCs w:val="24"/>
        </w:rPr>
      </w:pPr>
      <w:r>
        <w:rPr>
          <w:rFonts w:ascii="Arial" w:eastAsia="Times New Roman" w:hAnsi="Arial" w:cs="Arial"/>
          <w:i/>
          <w:iCs/>
          <w:color w:val="000000"/>
          <w:sz w:val="24"/>
          <w:szCs w:val="24"/>
        </w:rPr>
        <w:t xml:space="preserve">R </w:t>
      </w:r>
      <w:r w:rsidRPr="00FF6EAA">
        <w:rPr>
          <w:rFonts w:ascii="Arial" w:eastAsia="Times New Roman" w:hAnsi="Arial" w:cs="Arial"/>
          <w:i/>
          <w:iCs/>
          <w:color w:val="000000"/>
        </w:rPr>
        <w:t>v Lambert [2001] UKHL 37</w:t>
      </w:r>
    </w:p>
    <w:p w14:paraId="37BF8106" w14:textId="7A509CE7" w:rsidR="0051612E" w:rsidRDefault="0051612E"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 xml:space="preserve">R v Miller [1983] </w:t>
      </w:r>
      <w:proofErr w:type="gramStart"/>
      <w:r w:rsidRPr="00FF6EAA">
        <w:rPr>
          <w:rFonts w:ascii="Arial" w:eastAsia="Times New Roman" w:hAnsi="Arial" w:cs="Arial"/>
          <w:i/>
          <w:iCs/>
          <w:color w:val="000000"/>
        </w:rPr>
        <w:t>2  AC</w:t>
      </w:r>
      <w:proofErr w:type="gramEnd"/>
      <w:r w:rsidRPr="00FF6EAA">
        <w:rPr>
          <w:rFonts w:ascii="Arial" w:eastAsia="Times New Roman" w:hAnsi="Arial" w:cs="Arial"/>
          <w:i/>
          <w:iCs/>
          <w:color w:val="000000"/>
        </w:rPr>
        <w:t xml:space="preserve"> 163Occidental Worldwide Investment v </w:t>
      </w:r>
      <w:proofErr w:type="spellStart"/>
      <w:r w:rsidRPr="00FF6EAA">
        <w:rPr>
          <w:rFonts w:ascii="Arial" w:eastAsia="Times New Roman" w:hAnsi="Arial" w:cs="Arial"/>
          <w:i/>
          <w:iCs/>
          <w:color w:val="000000"/>
        </w:rPr>
        <w:t>Skibs</w:t>
      </w:r>
      <w:proofErr w:type="spellEnd"/>
      <w:r w:rsidRPr="00FF6EAA">
        <w:rPr>
          <w:rFonts w:ascii="Arial" w:eastAsia="Times New Roman" w:hAnsi="Arial" w:cs="Arial"/>
          <w:i/>
          <w:iCs/>
          <w:color w:val="000000"/>
        </w:rPr>
        <w:t xml:space="preserve"> (The </w:t>
      </w:r>
      <w:proofErr w:type="spellStart"/>
      <w:r w:rsidRPr="00FF6EAA">
        <w:rPr>
          <w:rFonts w:ascii="Arial" w:eastAsia="Times New Roman" w:hAnsi="Arial" w:cs="Arial"/>
          <w:i/>
          <w:iCs/>
          <w:color w:val="000000"/>
        </w:rPr>
        <w:t>Siboen</w:t>
      </w:r>
      <w:proofErr w:type="spellEnd"/>
      <w:r w:rsidRPr="00FF6EAA">
        <w:rPr>
          <w:rFonts w:ascii="Arial" w:eastAsia="Times New Roman" w:hAnsi="Arial" w:cs="Arial"/>
          <w:i/>
          <w:iCs/>
          <w:color w:val="000000"/>
        </w:rPr>
        <w:t xml:space="preserve"> and The </w:t>
      </w:r>
      <w:proofErr w:type="spellStart"/>
      <w:r w:rsidRPr="00FF6EAA">
        <w:rPr>
          <w:rFonts w:ascii="Arial" w:eastAsia="Times New Roman" w:hAnsi="Arial" w:cs="Arial"/>
          <w:i/>
          <w:iCs/>
          <w:color w:val="000000"/>
        </w:rPr>
        <w:t>Sibotre</w:t>
      </w:r>
      <w:proofErr w:type="spellEnd"/>
      <w:r w:rsidRPr="00FF6EAA">
        <w:rPr>
          <w:rFonts w:ascii="Arial" w:eastAsia="Times New Roman" w:hAnsi="Arial" w:cs="Arial"/>
          <w:i/>
          <w:iCs/>
          <w:color w:val="000000"/>
        </w:rPr>
        <w:t>) [1976] 1 Lloyds Rep 293</w:t>
      </w:r>
    </w:p>
    <w:p w14:paraId="01A03B24" w14:textId="62EC9841" w:rsidR="00D7790B" w:rsidRPr="00FF6EAA" w:rsidRDefault="00D7790B"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 xml:space="preserve">Royal Bank of Scotland v </w:t>
      </w:r>
      <w:proofErr w:type="spellStart"/>
      <w:r w:rsidRPr="00FF6EAA">
        <w:rPr>
          <w:rFonts w:ascii="Arial" w:eastAsia="Times New Roman" w:hAnsi="Arial" w:cs="Arial"/>
          <w:i/>
          <w:iCs/>
          <w:color w:val="000000"/>
        </w:rPr>
        <w:t>Etridge</w:t>
      </w:r>
      <w:proofErr w:type="spellEnd"/>
      <w:r w:rsidRPr="00FF6EAA">
        <w:rPr>
          <w:rFonts w:ascii="Arial" w:eastAsia="Times New Roman" w:hAnsi="Arial" w:cs="Arial"/>
          <w:i/>
          <w:iCs/>
          <w:color w:val="000000"/>
        </w:rPr>
        <w:t xml:space="preserve"> (No 2) [2002] UKHL 44 </w:t>
      </w:r>
    </w:p>
    <w:p w14:paraId="0DCA78C2" w14:textId="77777777" w:rsidR="0051612E" w:rsidRPr="00FF6EAA" w:rsidRDefault="0051612E" w:rsidP="006E7E0D">
      <w:pPr>
        <w:pStyle w:val="NormalWeb"/>
        <w:shd w:val="clear" w:color="auto" w:fill="FFFFFF"/>
        <w:spacing w:before="0" w:beforeAutospacing="0"/>
        <w:rPr>
          <w:rFonts w:ascii="Arial" w:eastAsia="Times New Roman" w:hAnsi="Arial" w:cs="Arial"/>
          <w:i/>
          <w:iCs/>
          <w:color w:val="000000"/>
        </w:rPr>
      </w:pPr>
      <w:proofErr w:type="spellStart"/>
      <w:r w:rsidRPr="00FF6EAA">
        <w:rPr>
          <w:rFonts w:ascii="Arial" w:eastAsia="Times New Roman" w:hAnsi="Arial" w:cs="Arial"/>
          <w:i/>
          <w:iCs/>
          <w:color w:val="000000"/>
        </w:rPr>
        <w:t>Skeate</w:t>
      </w:r>
      <w:proofErr w:type="spellEnd"/>
      <w:r w:rsidRPr="00FF6EAA">
        <w:rPr>
          <w:rFonts w:ascii="Arial" w:eastAsia="Times New Roman" w:hAnsi="Arial" w:cs="Arial"/>
          <w:i/>
          <w:iCs/>
          <w:color w:val="000000"/>
        </w:rPr>
        <w:t xml:space="preserve"> v Beale [1840] 11 </w:t>
      </w:r>
      <w:proofErr w:type="spellStart"/>
      <w:r w:rsidRPr="00FF6EAA">
        <w:rPr>
          <w:rFonts w:ascii="Arial" w:eastAsia="Times New Roman" w:hAnsi="Arial" w:cs="Arial"/>
          <w:i/>
          <w:iCs/>
          <w:color w:val="000000"/>
        </w:rPr>
        <w:t>Ad&amp;El</w:t>
      </w:r>
      <w:proofErr w:type="spellEnd"/>
      <w:r w:rsidRPr="00FF6EAA">
        <w:rPr>
          <w:rFonts w:ascii="Arial" w:eastAsia="Times New Roman" w:hAnsi="Arial" w:cs="Arial"/>
          <w:i/>
          <w:iCs/>
          <w:color w:val="000000"/>
        </w:rPr>
        <w:t xml:space="preserve"> 983</w:t>
      </w:r>
    </w:p>
    <w:p w14:paraId="01389585" w14:textId="77777777" w:rsidR="0051612E" w:rsidRPr="00FF6EAA" w:rsidRDefault="0051612E" w:rsidP="006E7E0D">
      <w:pPr>
        <w:pStyle w:val="NormalWeb"/>
        <w:shd w:val="clear" w:color="auto" w:fill="FFFFFF"/>
        <w:spacing w:before="0" w:beforeAutospacing="0"/>
        <w:rPr>
          <w:rFonts w:ascii="Arial" w:eastAsia="Times New Roman" w:hAnsi="Arial" w:cs="Arial"/>
          <w:i/>
          <w:iCs/>
          <w:color w:val="000000"/>
        </w:rPr>
      </w:pPr>
      <w:r w:rsidRPr="00FF6EAA">
        <w:rPr>
          <w:rFonts w:ascii="Arial" w:eastAsia="Times New Roman" w:hAnsi="Arial" w:cs="Arial"/>
          <w:i/>
          <w:iCs/>
          <w:color w:val="000000"/>
        </w:rPr>
        <w:t>Thorne v Motor Trade Association [1937] HL</w:t>
      </w:r>
    </w:p>
    <w:p w14:paraId="35E14C28" w14:textId="6C3002AC" w:rsidR="002A2187" w:rsidRPr="0051612E" w:rsidRDefault="0051612E" w:rsidP="0051612E">
      <w:pPr>
        <w:pStyle w:val="NormalWeb"/>
        <w:shd w:val="clear" w:color="auto" w:fill="FFFFFF"/>
        <w:spacing w:before="0" w:beforeAutospacing="0"/>
        <w:rPr>
          <w:rStyle w:val="Strong"/>
          <w:rFonts w:ascii="Arial" w:eastAsia="Times New Roman" w:hAnsi="Arial" w:cs="Arial"/>
          <w:b w:val="0"/>
          <w:bCs w:val="0"/>
          <w:i/>
          <w:iCs/>
          <w:color w:val="000000"/>
          <w:spacing w:val="0"/>
        </w:rPr>
      </w:pPr>
      <w:r w:rsidRPr="00FF6EAA">
        <w:rPr>
          <w:rFonts w:ascii="Arial" w:eastAsia="Times New Roman" w:hAnsi="Arial" w:cs="Arial"/>
          <w:i/>
          <w:iCs/>
          <w:color w:val="000000"/>
        </w:rPr>
        <w:t xml:space="preserve">Universe </w:t>
      </w:r>
      <w:proofErr w:type="spellStart"/>
      <w:r w:rsidRPr="00FF6EAA">
        <w:rPr>
          <w:rFonts w:ascii="Arial" w:eastAsia="Times New Roman" w:hAnsi="Arial" w:cs="Arial"/>
          <w:i/>
          <w:iCs/>
          <w:color w:val="000000"/>
        </w:rPr>
        <w:t>Tankships</w:t>
      </w:r>
      <w:proofErr w:type="spellEnd"/>
      <w:r w:rsidRPr="00FF6EAA">
        <w:rPr>
          <w:rFonts w:ascii="Arial" w:eastAsia="Times New Roman" w:hAnsi="Arial" w:cs="Arial"/>
          <w:i/>
          <w:iCs/>
          <w:color w:val="000000"/>
        </w:rPr>
        <w:t xml:space="preserve"> v International Transport Workers Federation, The Universe Sentinel [1983] 1AC 366 </w:t>
      </w:r>
    </w:p>
    <w:p w14:paraId="3442853C" w14:textId="62A382E4" w:rsidR="009268F7" w:rsidRPr="00FF6EAA" w:rsidRDefault="003D4C14" w:rsidP="0060709E">
      <w:pPr>
        <w:pStyle w:val="NormalWeb"/>
        <w:shd w:val="clear" w:color="auto" w:fill="FFFFFF"/>
        <w:spacing w:before="0" w:beforeAutospacing="0"/>
        <w:divId w:val="1479153565"/>
        <w:rPr>
          <w:rStyle w:val="Strong"/>
          <w:rFonts w:ascii="Arial" w:hAnsi="Arial" w:cs="Arial"/>
          <w:b w:val="0"/>
          <w:bCs w:val="0"/>
          <w:i/>
          <w:iCs/>
          <w:color w:val="212529"/>
        </w:rPr>
      </w:pPr>
      <w:r w:rsidRPr="00FF6EAA">
        <w:rPr>
          <w:rStyle w:val="Strong"/>
          <w:rFonts w:ascii="Arial" w:hAnsi="Arial" w:cs="Arial"/>
          <w:b w:val="0"/>
          <w:bCs w:val="0"/>
          <w:i/>
          <w:iCs/>
          <w:color w:val="212529"/>
        </w:rPr>
        <w:t>Williams v Bayley [1886] LR 1 HL 200</w:t>
      </w:r>
    </w:p>
    <w:p w14:paraId="11654623" w14:textId="2999DD17" w:rsidR="00FC0371" w:rsidRPr="00FF6EAA" w:rsidRDefault="00FC0371" w:rsidP="00C95D24">
      <w:pPr>
        <w:pStyle w:val="NormalWeb"/>
        <w:shd w:val="clear" w:color="auto" w:fill="FFFFFF"/>
        <w:spacing w:before="0" w:beforeAutospacing="0"/>
        <w:divId w:val="1280915830"/>
        <w:rPr>
          <w:rFonts w:ascii="Arial" w:eastAsia="Times New Roman" w:hAnsi="Arial" w:cs="Arial"/>
          <w:i/>
          <w:iCs/>
          <w:color w:val="000000"/>
        </w:rPr>
      </w:pPr>
    </w:p>
    <w:p w14:paraId="6C769278" w14:textId="0B2F7501" w:rsidR="00687101" w:rsidRPr="00FF6EAA" w:rsidRDefault="00687101" w:rsidP="00C56D36">
      <w:pPr>
        <w:pStyle w:val="NormalWeb"/>
        <w:shd w:val="clear" w:color="auto" w:fill="FFFFFF"/>
        <w:spacing w:before="0" w:beforeAutospacing="0"/>
        <w:divId w:val="1280915830"/>
        <w:rPr>
          <w:rFonts w:ascii="Arial" w:eastAsia="Times New Roman" w:hAnsi="Arial" w:cs="Arial"/>
          <w:i/>
          <w:iCs/>
          <w:color w:val="4D5156"/>
          <w:shd w:val="clear" w:color="auto" w:fill="FFFFFF"/>
        </w:rPr>
      </w:pPr>
    </w:p>
    <w:sectPr w:rsidR="00687101" w:rsidRPr="00FF6EAA" w:rsidSect="00203D58">
      <w:headerReference w:type="default" r:id="rId8"/>
      <w:footerReference w:type="default" r:id="rId9"/>
      <w:pgSz w:w="11906" w:h="16838"/>
      <w:pgMar w:top="1440" w:right="1440" w:bottom="1440" w:left="1440" w:header="708" w:footer="708" w:gutter="0"/>
      <w:pgBorders w:offsetFrom="page">
        <w:top w:val="single" w:sz="4" w:space="24" w:color="FFFFFF" w:themeColor="background1"/>
        <w:left w:val="single" w:sz="4" w:space="24" w:color="FFFFFF" w:themeColor="background1"/>
        <w:bottom w:val="single" w:sz="4" w:space="24" w:color="FFFFFF" w:themeColor="background1"/>
        <w:right w:val="single" w:sz="4" w:space="24" w:color="FFFFFF" w:themeColor="background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860E8" w14:textId="77777777" w:rsidR="00833BA9" w:rsidRDefault="00833BA9" w:rsidP="00AA79C8">
      <w:pPr>
        <w:spacing w:after="0" w:line="240" w:lineRule="auto"/>
      </w:pPr>
      <w:r>
        <w:separator/>
      </w:r>
    </w:p>
  </w:endnote>
  <w:endnote w:type="continuationSeparator" w:id="0">
    <w:p w14:paraId="2411CBE2" w14:textId="77777777" w:rsidR="00833BA9" w:rsidRDefault="00833BA9" w:rsidP="00AA7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Rockwell">
    <w:panose1 w:val="020606030202050204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30CEA" w14:textId="77777777" w:rsidR="00AA79C8" w:rsidRDefault="00AA79C8">
    <w:pPr>
      <w:pStyle w:val="Footer"/>
    </w:pPr>
  </w:p>
  <w:p w14:paraId="5DCE7F43" w14:textId="77777777" w:rsidR="00AA79C8" w:rsidRDefault="00AA79C8">
    <w:pPr>
      <w:pStyle w:val="Footer"/>
      <w:rPr>
        <w:noProof/>
      </w:rPr>
    </w:pPr>
  </w:p>
  <w:p w14:paraId="3557B36B" w14:textId="77777777" w:rsidR="00AA79C8" w:rsidRDefault="00AA79C8">
    <w:pPr>
      <w:pStyle w:val="Footer"/>
      <w:rPr>
        <w:noProof/>
      </w:rPr>
    </w:pPr>
  </w:p>
  <w:p w14:paraId="126DC18D" w14:textId="55F50F45" w:rsidR="00AA79C8" w:rsidRDefault="00AA79C8">
    <w:pPr>
      <w:pStyle w:val="Footer"/>
    </w:pPr>
    <w:r>
      <w:rPr>
        <w:noProof/>
      </w:rPr>
      <w:drawing>
        <wp:anchor distT="0" distB="0" distL="114300" distR="114300" simplePos="0" relativeHeight="251657216" behindDoc="0" locked="0" layoutInCell="1" allowOverlap="1" wp14:anchorId="3497E600" wp14:editId="780E5935">
          <wp:simplePos x="0" y="0"/>
          <wp:positionH relativeFrom="column">
            <wp:posOffset>4648200</wp:posOffset>
          </wp:positionH>
          <wp:positionV relativeFrom="paragraph">
            <wp:posOffset>31115</wp:posOffset>
          </wp:positionV>
          <wp:extent cx="1543050" cy="511175"/>
          <wp:effectExtent l="0" t="0" r="0"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543050" cy="511175"/>
                  </a:xfrm>
                  <a:prstGeom prst="rect">
                    <a:avLst/>
                  </a:prstGeom>
                </pic:spPr>
              </pic:pic>
            </a:graphicData>
          </a:graphic>
          <wp14:sizeRelH relativeFrom="margin">
            <wp14:pctWidth>0</wp14:pctWidth>
          </wp14:sizeRelH>
          <wp14:sizeRelV relativeFrom="margin">
            <wp14:pctHeight>0</wp14:pctHeight>
          </wp14:sizeRelV>
        </wp:anchor>
      </w:drawing>
    </w:r>
    <w:r>
      <w:t>Ella-Louise Tucker</w:t>
    </w:r>
  </w:p>
  <w:p w14:paraId="440F7B4B" w14:textId="1BEBD5E7" w:rsidR="00AA79C8" w:rsidRDefault="00AA79C8">
    <w:pPr>
      <w:pStyle w:val="Footer"/>
      <w:rPr>
        <w:noProof/>
      </w:rPr>
    </w:pPr>
  </w:p>
  <w:p w14:paraId="1AE2E4F8" w14:textId="7605A72C" w:rsidR="00AA79C8" w:rsidRDefault="00AA79C8">
    <w:pPr>
      <w:pStyle w:val="Footer"/>
    </w:pPr>
    <w:r>
      <w:t>1902729</w:t>
    </w:r>
  </w:p>
  <w:p w14:paraId="3E0264D6" w14:textId="77777777" w:rsidR="00AA79C8" w:rsidRDefault="00AA7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F19EA" w14:textId="77777777" w:rsidR="00833BA9" w:rsidRDefault="00833BA9" w:rsidP="00AA79C8">
      <w:pPr>
        <w:spacing w:after="0" w:line="240" w:lineRule="auto"/>
      </w:pPr>
      <w:r>
        <w:separator/>
      </w:r>
    </w:p>
  </w:footnote>
  <w:footnote w:type="continuationSeparator" w:id="0">
    <w:p w14:paraId="69C3A7B6" w14:textId="77777777" w:rsidR="00833BA9" w:rsidRDefault="00833BA9" w:rsidP="00AA7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9E3D6" w14:textId="5496BE70" w:rsidR="00930D4A" w:rsidRDefault="00930D4A" w:rsidP="00930D4A">
    <w:pPr>
      <w:pStyle w:val="Header"/>
    </w:pPr>
    <w:r>
      <w:rPr>
        <w:noProof/>
      </w:rPr>
      <w:drawing>
        <wp:anchor distT="0" distB="0" distL="114300" distR="114300" simplePos="0" relativeHeight="251660288" behindDoc="0" locked="0" layoutInCell="1" allowOverlap="1" wp14:anchorId="24CF6B3F" wp14:editId="03409967">
          <wp:simplePos x="0" y="0"/>
          <wp:positionH relativeFrom="column">
            <wp:posOffset>-499730</wp:posOffset>
          </wp:positionH>
          <wp:positionV relativeFrom="paragraph">
            <wp:posOffset>-300252</wp:posOffset>
          </wp:positionV>
          <wp:extent cx="1801368" cy="597408"/>
          <wp:effectExtent l="0" t="0" r="0" b="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anchor>
      </w:drawing>
    </w:r>
    <w:r>
      <w:ptab w:relativeTo="margin" w:alignment="center" w:leader="none"/>
    </w:r>
    <w:r>
      <w:tab/>
      <w:t xml:space="preserve">Assignment </w:t>
    </w:r>
    <w:r w:rsidR="00072B53">
      <w:t>2</w:t>
    </w:r>
    <w:r>
      <w:t>-Contract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C3EAE"/>
    <w:multiLevelType w:val="hybridMultilevel"/>
    <w:tmpl w:val="3B440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9C3D69"/>
    <w:multiLevelType w:val="hybridMultilevel"/>
    <w:tmpl w:val="3EF01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9C8"/>
    <w:rsid w:val="0000085E"/>
    <w:rsid w:val="00001454"/>
    <w:rsid w:val="0000473F"/>
    <w:rsid w:val="00006444"/>
    <w:rsid w:val="0001235C"/>
    <w:rsid w:val="0001356F"/>
    <w:rsid w:val="000219F4"/>
    <w:rsid w:val="00024A7B"/>
    <w:rsid w:val="00025547"/>
    <w:rsid w:val="000343DA"/>
    <w:rsid w:val="0003759B"/>
    <w:rsid w:val="00040082"/>
    <w:rsid w:val="000400DA"/>
    <w:rsid w:val="00041057"/>
    <w:rsid w:val="00041540"/>
    <w:rsid w:val="0004200C"/>
    <w:rsid w:val="00043A2F"/>
    <w:rsid w:val="000445A4"/>
    <w:rsid w:val="00044840"/>
    <w:rsid w:val="00045ABF"/>
    <w:rsid w:val="000462AF"/>
    <w:rsid w:val="00062C49"/>
    <w:rsid w:val="0006571A"/>
    <w:rsid w:val="00066588"/>
    <w:rsid w:val="00066B41"/>
    <w:rsid w:val="000700CE"/>
    <w:rsid w:val="00072B53"/>
    <w:rsid w:val="000735CF"/>
    <w:rsid w:val="000752E5"/>
    <w:rsid w:val="00077FE8"/>
    <w:rsid w:val="00082337"/>
    <w:rsid w:val="00083F85"/>
    <w:rsid w:val="00091177"/>
    <w:rsid w:val="0009159B"/>
    <w:rsid w:val="00092B8B"/>
    <w:rsid w:val="00093C7D"/>
    <w:rsid w:val="0009401A"/>
    <w:rsid w:val="00094892"/>
    <w:rsid w:val="00095097"/>
    <w:rsid w:val="00095BF6"/>
    <w:rsid w:val="000966CD"/>
    <w:rsid w:val="000A2F64"/>
    <w:rsid w:val="000A391B"/>
    <w:rsid w:val="000A6FDB"/>
    <w:rsid w:val="000B315A"/>
    <w:rsid w:val="000B3CB4"/>
    <w:rsid w:val="000B6FF8"/>
    <w:rsid w:val="000C22A6"/>
    <w:rsid w:val="000C245C"/>
    <w:rsid w:val="000C4B39"/>
    <w:rsid w:val="000C6A26"/>
    <w:rsid w:val="000D08A2"/>
    <w:rsid w:val="000D24A6"/>
    <w:rsid w:val="000D429C"/>
    <w:rsid w:val="000D4822"/>
    <w:rsid w:val="000D5645"/>
    <w:rsid w:val="000D6ED2"/>
    <w:rsid w:val="000E31DB"/>
    <w:rsid w:val="000E3828"/>
    <w:rsid w:val="000E5DA9"/>
    <w:rsid w:val="000F2994"/>
    <w:rsid w:val="000F37EA"/>
    <w:rsid w:val="000F72D7"/>
    <w:rsid w:val="000F7EE7"/>
    <w:rsid w:val="0010059C"/>
    <w:rsid w:val="00100E64"/>
    <w:rsid w:val="00107861"/>
    <w:rsid w:val="001131B2"/>
    <w:rsid w:val="00113F82"/>
    <w:rsid w:val="00114237"/>
    <w:rsid w:val="0011460B"/>
    <w:rsid w:val="00114F5B"/>
    <w:rsid w:val="0012141D"/>
    <w:rsid w:val="00122797"/>
    <w:rsid w:val="0012332A"/>
    <w:rsid w:val="0012707A"/>
    <w:rsid w:val="00131E40"/>
    <w:rsid w:val="0013647C"/>
    <w:rsid w:val="00136F26"/>
    <w:rsid w:val="00140B65"/>
    <w:rsid w:val="00140F9C"/>
    <w:rsid w:val="00141499"/>
    <w:rsid w:val="00141892"/>
    <w:rsid w:val="0014551C"/>
    <w:rsid w:val="00146CD7"/>
    <w:rsid w:val="001516FA"/>
    <w:rsid w:val="00151969"/>
    <w:rsid w:val="00155078"/>
    <w:rsid w:val="00156852"/>
    <w:rsid w:val="00160E53"/>
    <w:rsid w:val="00161B8C"/>
    <w:rsid w:val="0016371D"/>
    <w:rsid w:val="00164B28"/>
    <w:rsid w:val="001675FF"/>
    <w:rsid w:val="00171ECD"/>
    <w:rsid w:val="00173F9F"/>
    <w:rsid w:val="0017634C"/>
    <w:rsid w:val="00176486"/>
    <w:rsid w:val="00181385"/>
    <w:rsid w:val="001819C4"/>
    <w:rsid w:val="00182EFB"/>
    <w:rsid w:val="00183A2F"/>
    <w:rsid w:val="00184494"/>
    <w:rsid w:val="00185B51"/>
    <w:rsid w:val="00190889"/>
    <w:rsid w:val="00191AF5"/>
    <w:rsid w:val="001A55FF"/>
    <w:rsid w:val="001A6469"/>
    <w:rsid w:val="001A6775"/>
    <w:rsid w:val="001B0E5C"/>
    <w:rsid w:val="001B2B50"/>
    <w:rsid w:val="001B3226"/>
    <w:rsid w:val="001B350A"/>
    <w:rsid w:val="001B73B3"/>
    <w:rsid w:val="001C00FC"/>
    <w:rsid w:val="001C286A"/>
    <w:rsid w:val="001C2F55"/>
    <w:rsid w:val="001D0B35"/>
    <w:rsid w:val="001D2BF9"/>
    <w:rsid w:val="001D470F"/>
    <w:rsid w:val="001D6CBA"/>
    <w:rsid w:val="001D7D64"/>
    <w:rsid w:val="001E4EE3"/>
    <w:rsid w:val="001E5A14"/>
    <w:rsid w:val="001F6B7E"/>
    <w:rsid w:val="001F71B2"/>
    <w:rsid w:val="002011B0"/>
    <w:rsid w:val="002024FB"/>
    <w:rsid w:val="00203D58"/>
    <w:rsid w:val="002053A7"/>
    <w:rsid w:val="00206888"/>
    <w:rsid w:val="00210599"/>
    <w:rsid w:val="002113A6"/>
    <w:rsid w:val="0021216A"/>
    <w:rsid w:val="00220A0C"/>
    <w:rsid w:val="0022595F"/>
    <w:rsid w:val="00226A7D"/>
    <w:rsid w:val="0023111B"/>
    <w:rsid w:val="00232A17"/>
    <w:rsid w:val="00233192"/>
    <w:rsid w:val="002340A5"/>
    <w:rsid w:val="00244921"/>
    <w:rsid w:val="00244EB0"/>
    <w:rsid w:val="00246D16"/>
    <w:rsid w:val="00252A17"/>
    <w:rsid w:val="0025380E"/>
    <w:rsid w:val="00253859"/>
    <w:rsid w:val="002554F5"/>
    <w:rsid w:val="00255AE0"/>
    <w:rsid w:val="00256CA3"/>
    <w:rsid w:val="002613AC"/>
    <w:rsid w:val="002625F5"/>
    <w:rsid w:val="00262B9B"/>
    <w:rsid w:val="00264E21"/>
    <w:rsid w:val="00265A73"/>
    <w:rsid w:val="00271931"/>
    <w:rsid w:val="00275099"/>
    <w:rsid w:val="002910DE"/>
    <w:rsid w:val="00291C70"/>
    <w:rsid w:val="00295DE6"/>
    <w:rsid w:val="002A0E18"/>
    <w:rsid w:val="002A1ADA"/>
    <w:rsid w:val="002A2187"/>
    <w:rsid w:val="002A470A"/>
    <w:rsid w:val="002B2102"/>
    <w:rsid w:val="002B3CE9"/>
    <w:rsid w:val="002C541A"/>
    <w:rsid w:val="002C7A82"/>
    <w:rsid w:val="002D17D8"/>
    <w:rsid w:val="002D3BB6"/>
    <w:rsid w:val="002D404E"/>
    <w:rsid w:val="002D4979"/>
    <w:rsid w:val="002F0D29"/>
    <w:rsid w:val="002F13CB"/>
    <w:rsid w:val="002F30D8"/>
    <w:rsid w:val="002F3A52"/>
    <w:rsid w:val="00301A41"/>
    <w:rsid w:val="00302652"/>
    <w:rsid w:val="003043DF"/>
    <w:rsid w:val="0030456D"/>
    <w:rsid w:val="003074F4"/>
    <w:rsid w:val="0031018B"/>
    <w:rsid w:val="0031243F"/>
    <w:rsid w:val="003130A2"/>
    <w:rsid w:val="00320C0D"/>
    <w:rsid w:val="00323A28"/>
    <w:rsid w:val="00324B4E"/>
    <w:rsid w:val="00325AED"/>
    <w:rsid w:val="00327ED3"/>
    <w:rsid w:val="003318D8"/>
    <w:rsid w:val="00332B5A"/>
    <w:rsid w:val="00334D49"/>
    <w:rsid w:val="00335298"/>
    <w:rsid w:val="0034225D"/>
    <w:rsid w:val="003423B4"/>
    <w:rsid w:val="00343A26"/>
    <w:rsid w:val="00346C2B"/>
    <w:rsid w:val="003542E9"/>
    <w:rsid w:val="00354D3D"/>
    <w:rsid w:val="003606F9"/>
    <w:rsid w:val="00365897"/>
    <w:rsid w:val="00366954"/>
    <w:rsid w:val="00372059"/>
    <w:rsid w:val="003720FE"/>
    <w:rsid w:val="00376209"/>
    <w:rsid w:val="0037648F"/>
    <w:rsid w:val="003829A3"/>
    <w:rsid w:val="00390248"/>
    <w:rsid w:val="00392B98"/>
    <w:rsid w:val="00397249"/>
    <w:rsid w:val="003A0EF2"/>
    <w:rsid w:val="003A501F"/>
    <w:rsid w:val="003A7160"/>
    <w:rsid w:val="003B4F36"/>
    <w:rsid w:val="003B75D7"/>
    <w:rsid w:val="003D232E"/>
    <w:rsid w:val="003D4C14"/>
    <w:rsid w:val="003E0084"/>
    <w:rsid w:val="003E0450"/>
    <w:rsid w:val="003E2C1A"/>
    <w:rsid w:val="003E2E18"/>
    <w:rsid w:val="003E3AB8"/>
    <w:rsid w:val="003E7926"/>
    <w:rsid w:val="003F65DE"/>
    <w:rsid w:val="003F7B92"/>
    <w:rsid w:val="00401404"/>
    <w:rsid w:val="00402FDC"/>
    <w:rsid w:val="00404D74"/>
    <w:rsid w:val="00412597"/>
    <w:rsid w:val="00413D6F"/>
    <w:rsid w:val="00426945"/>
    <w:rsid w:val="004276A4"/>
    <w:rsid w:val="004312C6"/>
    <w:rsid w:val="00435E46"/>
    <w:rsid w:val="00436DD0"/>
    <w:rsid w:val="00440FEE"/>
    <w:rsid w:val="00441BFD"/>
    <w:rsid w:val="00451C2C"/>
    <w:rsid w:val="004564F5"/>
    <w:rsid w:val="0046065D"/>
    <w:rsid w:val="00461B1E"/>
    <w:rsid w:val="0046249E"/>
    <w:rsid w:val="0046251F"/>
    <w:rsid w:val="00467361"/>
    <w:rsid w:val="00470C0D"/>
    <w:rsid w:val="004765E9"/>
    <w:rsid w:val="004776D6"/>
    <w:rsid w:val="00482FFD"/>
    <w:rsid w:val="0048438F"/>
    <w:rsid w:val="0048666F"/>
    <w:rsid w:val="00486861"/>
    <w:rsid w:val="00486EA1"/>
    <w:rsid w:val="00494DA2"/>
    <w:rsid w:val="004A0742"/>
    <w:rsid w:val="004A1A9B"/>
    <w:rsid w:val="004A25C1"/>
    <w:rsid w:val="004B6D1B"/>
    <w:rsid w:val="004B733F"/>
    <w:rsid w:val="004C2B1D"/>
    <w:rsid w:val="004C330A"/>
    <w:rsid w:val="004C46CE"/>
    <w:rsid w:val="004C7234"/>
    <w:rsid w:val="004D34CB"/>
    <w:rsid w:val="004D4174"/>
    <w:rsid w:val="004D4C97"/>
    <w:rsid w:val="004E209B"/>
    <w:rsid w:val="004E2A31"/>
    <w:rsid w:val="004E4E60"/>
    <w:rsid w:val="004E6ACD"/>
    <w:rsid w:val="004E6B6C"/>
    <w:rsid w:val="004E7DB3"/>
    <w:rsid w:val="004F0B7C"/>
    <w:rsid w:val="004F154E"/>
    <w:rsid w:val="004F1699"/>
    <w:rsid w:val="004F4000"/>
    <w:rsid w:val="004F4476"/>
    <w:rsid w:val="0050067E"/>
    <w:rsid w:val="00511568"/>
    <w:rsid w:val="0051316F"/>
    <w:rsid w:val="0051564D"/>
    <w:rsid w:val="0051612E"/>
    <w:rsid w:val="00516BA0"/>
    <w:rsid w:val="00517A45"/>
    <w:rsid w:val="00523B9A"/>
    <w:rsid w:val="005256D6"/>
    <w:rsid w:val="00531B54"/>
    <w:rsid w:val="00533B06"/>
    <w:rsid w:val="00537DA2"/>
    <w:rsid w:val="00541B52"/>
    <w:rsid w:val="005433A7"/>
    <w:rsid w:val="00543795"/>
    <w:rsid w:val="00544E86"/>
    <w:rsid w:val="005511B4"/>
    <w:rsid w:val="005517AB"/>
    <w:rsid w:val="005618D3"/>
    <w:rsid w:val="00563411"/>
    <w:rsid w:val="00565304"/>
    <w:rsid w:val="005738E0"/>
    <w:rsid w:val="00574596"/>
    <w:rsid w:val="005803FD"/>
    <w:rsid w:val="00580E2A"/>
    <w:rsid w:val="00583790"/>
    <w:rsid w:val="005918AE"/>
    <w:rsid w:val="00593B08"/>
    <w:rsid w:val="00596650"/>
    <w:rsid w:val="005A1C14"/>
    <w:rsid w:val="005A6C46"/>
    <w:rsid w:val="005A74A4"/>
    <w:rsid w:val="005A7BBF"/>
    <w:rsid w:val="005B102E"/>
    <w:rsid w:val="005B3875"/>
    <w:rsid w:val="005B55C1"/>
    <w:rsid w:val="005C0E3A"/>
    <w:rsid w:val="005C41B8"/>
    <w:rsid w:val="005C52E5"/>
    <w:rsid w:val="005D0DEC"/>
    <w:rsid w:val="005D6596"/>
    <w:rsid w:val="005D75CC"/>
    <w:rsid w:val="005E5E09"/>
    <w:rsid w:val="005F1051"/>
    <w:rsid w:val="0060435F"/>
    <w:rsid w:val="00606C43"/>
    <w:rsid w:val="00606D47"/>
    <w:rsid w:val="0060709E"/>
    <w:rsid w:val="00610544"/>
    <w:rsid w:val="006110D5"/>
    <w:rsid w:val="00621A6A"/>
    <w:rsid w:val="00621E79"/>
    <w:rsid w:val="006248E3"/>
    <w:rsid w:val="00627C5F"/>
    <w:rsid w:val="00631800"/>
    <w:rsid w:val="0063264A"/>
    <w:rsid w:val="00634177"/>
    <w:rsid w:val="00634B51"/>
    <w:rsid w:val="00651F80"/>
    <w:rsid w:val="006524CC"/>
    <w:rsid w:val="00656F90"/>
    <w:rsid w:val="0066109A"/>
    <w:rsid w:val="0066158B"/>
    <w:rsid w:val="0066184C"/>
    <w:rsid w:val="00665070"/>
    <w:rsid w:val="006655A7"/>
    <w:rsid w:val="006655C7"/>
    <w:rsid w:val="0067149E"/>
    <w:rsid w:val="00676B14"/>
    <w:rsid w:val="00676E8C"/>
    <w:rsid w:val="00682885"/>
    <w:rsid w:val="00684DBD"/>
    <w:rsid w:val="00687101"/>
    <w:rsid w:val="00690BA7"/>
    <w:rsid w:val="0069378C"/>
    <w:rsid w:val="0069779F"/>
    <w:rsid w:val="006A1008"/>
    <w:rsid w:val="006A2000"/>
    <w:rsid w:val="006A2264"/>
    <w:rsid w:val="006A7AD6"/>
    <w:rsid w:val="006B2B89"/>
    <w:rsid w:val="006C0918"/>
    <w:rsid w:val="006C198A"/>
    <w:rsid w:val="006C1A9A"/>
    <w:rsid w:val="006C3DFD"/>
    <w:rsid w:val="006C4544"/>
    <w:rsid w:val="006C5EDD"/>
    <w:rsid w:val="006D7CCC"/>
    <w:rsid w:val="006D7F03"/>
    <w:rsid w:val="006E32AC"/>
    <w:rsid w:val="006E7353"/>
    <w:rsid w:val="006E7CAB"/>
    <w:rsid w:val="006F00DE"/>
    <w:rsid w:val="006F4B6A"/>
    <w:rsid w:val="006F4D04"/>
    <w:rsid w:val="006F6577"/>
    <w:rsid w:val="007003E8"/>
    <w:rsid w:val="00703852"/>
    <w:rsid w:val="007069CE"/>
    <w:rsid w:val="00711AA4"/>
    <w:rsid w:val="0071293F"/>
    <w:rsid w:val="0071318C"/>
    <w:rsid w:val="007149E9"/>
    <w:rsid w:val="00724632"/>
    <w:rsid w:val="00735972"/>
    <w:rsid w:val="00736297"/>
    <w:rsid w:val="00744B73"/>
    <w:rsid w:val="00746B1E"/>
    <w:rsid w:val="00747AFB"/>
    <w:rsid w:val="00751A48"/>
    <w:rsid w:val="00751A7D"/>
    <w:rsid w:val="00751CB3"/>
    <w:rsid w:val="00752E8E"/>
    <w:rsid w:val="007568F4"/>
    <w:rsid w:val="00756B6F"/>
    <w:rsid w:val="00760AC3"/>
    <w:rsid w:val="00762A8A"/>
    <w:rsid w:val="00765792"/>
    <w:rsid w:val="00765D81"/>
    <w:rsid w:val="00767628"/>
    <w:rsid w:val="00773DD0"/>
    <w:rsid w:val="0078275A"/>
    <w:rsid w:val="00782F6D"/>
    <w:rsid w:val="00783BE7"/>
    <w:rsid w:val="00790D1C"/>
    <w:rsid w:val="007947B7"/>
    <w:rsid w:val="00795220"/>
    <w:rsid w:val="00795FD8"/>
    <w:rsid w:val="007A2128"/>
    <w:rsid w:val="007B0690"/>
    <w:rsid w:val="007B6686"/>
    <w:rsid w:val="007C1C3C"/>
    <w:rsid w:val="007C4A8F"/>
    <w:rsid w:val="007C6F32"/>
    <w:rsid w:val="007D0E73"/>
    <w:rsid w:val="007D3599"/>
    <w:rsid w:val="007D369A"/>
    <w:rsid w:val="007D36F2"/>
    <w:rsid w:val="007D51B2"/>
    <w:rsid w:val="007D5B64"/>
    <w:rsid w:val="007E0BD2"/>
    <w:rsid w:val="007E6EAD"/>
    <w:rsid w:val="007F0934"/>
    <w:rsid w:val="00805126"/>
    <w:rsid w:val="00806F93"/>
    <w:rsid w:val="008150B6"/>
    <w:rsid w:val="008154CE"/>
    <w:rsid w:val="00820BCA"/>
    <w:rsid w:val="00822F66"/>
    <w:rsid w:val="00830994"/>
    <w:rsid w:val="00831F88"/>
    <w:rsid w:val="00833BA9"/>
    <w:rsid w:val="00835A3C"/>
    <w:rsid w:val="00835F73"/>
    <w:rsid w:val="00837A1D"/>
    <w:rsid w:val="00847125"/>
    <w:rsid w:val="0085090F"/>
    <w:rsid w:val="00854646"/>
    <w:rsid w:val="008556DB"/>
    <w:rsid w:val="00855806"/>
    <w:rsid w:val="00857BB5"/>
    <w:rsid w:val="00857D4F"/>
    <w:rsid w:val="00861995"/>
    <w:rsid w:val="00865671"/>
    <w:rsid w:val="00871F07"/>
    <w:rsid w:val="00872093"/>
    <w:rsid w:val="00872475"/>
    <w:rsid w:val="00872ACA"/>
    <w:rsid w:val="0087403A"/>
    <w:rsid w:val="00874988"/>
    <w:rsid w:val="008755D5"/>
    <w:rsid w:val="008761CE"/>
    <w:rsid w:val="00880191"/>
    <w:rsid w:val="0088096B"/>
    <w:rsid w:val="008829B0"/>
    <w:rsid w:val="008837C3"/>
    <w:rsid w:val="00887F36"/>
    <w:rsid w:val="008952F0"/>
    <w:rsid w:val="00895E88"/>
    <w:rsid w:val="00896000"/>
    <w:rsid w:val="008967A8"/>
    <w:rsid w:val="00896CEB"/>
    <w:rsid w:val="00897245"/>
    <w:rsid w:val="008A0346"/>
    <w:rsid w:val="008A05AA"/>
    <w:rsid w:val="008A3E36"/>
    <w:rsid w:val="008A43FA"/>
    <w:rsid w:val="008A5DB7"/>
    <w:rsid w:val="008A6D86"/>
    <w:rsid w:val="008B046B"/>
    <w:rsid w:val="008B22C9"/>
    <w:rsid w:val="008C6639"/>
    <w:rsid w:val="008D0DA2"/>
    <w:rsid w:val="008D2F63"/>
    <w:rsid w:val="008E039B"/>
    <w:rsid w:val="008F2B31"/>
    <w:rsid w:val="008F3667"/>
    <w:rsid w:val="008F54A4"/>
    <w:rsid w:val="008F5B1E"/>
    <w:rsid w:val="009008E5"/>
    <w:rsid w:val="00903369"/>
    <w:rsid w:val="009100BE"/>
    <w:rsid w:val="00910155"/>
    <w:rsid w:val="009121EE"/>
    <w:rsid w:val="009147D0"/>
    <w:rsid w:val="0091493F"/>
    <w:rsid w:val="0091495A"/>
    <w:rsid w:val="00921D7E"/>
    <w:rsid w:val="009268F7"/>
    <w:rsid w:val="00927C54"/>
    <w:rsid w:val="00927CA4"/>
    <w:rsid w:val="00930D4A"/>
    <w:rsid w:val="00930EBD"/>
    <w:rsid w:val="00934671"/>
    <w:rsid w:val="009466A2"/>
    <w:rsid w:val="0094778B"/>
    <w:rsid w:val="00950F14"/>
    <w:rsid w:val="00955C23"/>
    <w:rsid w:val="00956D61"/>
    <w:rsid w:val="00957453"/>
    <w:rsid w:val="009647D7"/>
    <w:rsid w:val="00965985"/>
    <w:rsid w:val="0097303D"/>
    <w:rsid w:val="00975468"/>
    <w:rsid w:val="00984234"/>
    <w:rsid w:val="00985175"/>
    <w:rsid w:val="00990E2F"/>
    <w:rsid w:val="00991CBE"/>
    <w:rsid w:val="00992CEE"/>
    <w:rsid w:val="0099537B"/>
    <w:rsid w:val="009A3775"/>
    <w:rsid w:val="009A63BF"/>
    <w:rsid w:val="009B10A5"/>
    <w:rsid w:val="009B1228"/>
    <w:rsid w:val="009B4E9E"/>
    <w:rsid w:val="009C2C33"/>
    <w:rsid w:val="009C33F7"/>
    <w:rsid w:val="009C3836"/>
    <w:rsid w:val="009C7E3E"/>
    <w:rsid w:val="009D1043"/>
    <w:rsid w:val="009D25F1"/>
    <w:rsid w:val="009D2EB0"/>
    <w:rsid w:val="009D466D"/>
    <w:rsid w:val="009D5991"/>
    <w:rsid w:val="009D6886"/>
    <w:rsid w:val="009D6981"/>
    <w:rsid w:val="009E3759"/>
    <w:rsid w:val="009F0226"/>
    <w:rsid w:val="009F0AA3"/>
    <w:rsid w:val="009F217F"/>
    <w:rsid w:val="009F3578"/>
    <w:rsid w:val="009F5CE5"/>
    <w:rsid w:val="00A02120"/>
    <w:rsid w:val="00A024BB"/>
    <w:rsid w:val="00A11BB4"/>
    <w:rsid w:val="00A12115"/>
    <w:rsid w:val="00A176F4"/>
    <w:rsid w:val="00A20A92"/>
    <w:rsid w:val="00A2361B"/>
    <w:rsid w:val="00A23B39"/>
    <w:rsid w:val="00A25824"/>
    <w:rsid w:val="00A25D4E"/>
    <w:rsid w:val="00A25EEE"/>
    <w:rsid w:val="00A307D8"/>
    <w:rsid w:val="00A371D0"/>
    <w:rsid w:val="00A40E92"/>
    <w:rsid w:val="00A41DCC"/>
    <w:rsid w:val="00A42586"/>
    <w:rsid w:val="00A448CD"/>
    <w:rsid w:val="00A458F0"/>
    <w:rsid w:val="00A46FA2"/>
    <w:rsid w:val="00A47221"/>
    <w:rsid w:val="00A51BE3"/>
    <w:rsid w:val="00A54531"/>
    <w:rsid w:val="00A60909"/>
    <w:rsid w:val="00A63044"/>
    <w:rsid w:val="00A63106"/>
    <w:rsid w:val="00A67169"/>
    <w:rsid w:val="00A67CE8"/>
    <w:rsid w:val="00A77D3E"/>
    <w:rsid w:val="00A83536"/>
    <w:rsid w:val="00A84429"/>
    <w:rsid w:val="00A90765"/>
    <w:rsid w:val="00AA0DCC"/>
    <w:rsid w:val="00AA4B49"/>
    <w:rsid w:val="00AA68C7"/>
    <w:rsid w:val="00AA6D20"/>
    <w:rsid w:val="00AA79C8"/>
    <w:rsid w:val="00AB2F98"/>
    <w:rsid w:val="00AB4881"/>
    <w:rsid w:val="00AC15D3"/>
    <w:rsid w:val="00AC18E0"/>
    <w:rsid w:val="00AC2AC9"/>
    <w:rsid w:val="00AD0251"/>
    <w:rsid w:val="00AE0F23"/>
    <w:rsid w:val="00AE21AB"/>
    <w:rsid w:val="00AF293C"/>
    <w:rsid w:val="00AF30F9"/>
    <w:rsid w:val="00B00B69"/>
    <w:rsid w:val="00B0298E"/>
    <w:rsid w:val="00B06298"/>
    <w:rsid w:val="00B06B3D"/>
    <w:rsid w:val="00B07344"/>
    <w:rsid w:val="00B24340"/>
    <w:rsid w:val="00B37108"/>
    <w:rsid w:val="00B42BF2"/>
    <w:rsid w:val="00B42E42"/>
    <w:rsid w:val="00B44FAF"/>
    <w:rsid w:val="00B47353"/>
    <w:rsid w:val="00B51026"/>
    <w:rsid w:val="00B5116E"/>
    <w:rsid w:val="00B5303C"/>
    <w:rsid w:val="00B57234"/>
    <w:rsid w:val="00B621AC"/>
    <w:rsid w:val="00B63373"/>
    <w:rsid w:val="00B71D3A"/>
    <w:rsid w:val="00B722C3"/>
    <w:rsid w:val="00B76201"/>
    <w:rsid w:val="00B7796D"/>
    <w:rsid w:val="00B80355"/>
    <w:rsid w:val="00B81722"/>
    <w:rsid w:val="00B81F63"/>
    <w:rsid w:val="00B830EB"/>
    <w:rsid w:val="00B90ACB"/>
    <w:rsid w:val="00BA5B7E"/>
    <w:rsid w:val="00BB3A00"/>
    <w:rsid w:val="00BB7031"/>
    <w:rsid w:val="00BC353C"/>
    <w:rsid w:val="00BC7AD7"/>
    <w:rsid w:val="00BD602B"/>
    <w:rsid w:val="00BE6832"/>
    <w:rsid w:val="00BE6928"/>
    <w:rsid w:val="00BF3CA4"/>
    <w:rsid w:val="00BF672F"/>
    <w:rsid w:val="00C00F9E"/>
    <w:rsid w:val="00C02134"/>
    <w:rsid w:val="00C03EED"/>
    <w:rsid w:val="00C1171B"/>
    <w:rsid w:val="00C12772"/>
    <w:rsid w:val="00C12ED9"/>
    <w:rsid w:val="00C2220C"/>
    <w:rsid w:val="00C268AF"/>
    <w:rsid w:val="00C26D1F"/>
    <w:rsid w:val="00C3099E"/>
    <w:rsid w:val="00C31192"/>
    <w:rsid w:val="00C316E9"/>
    <w:rsid w:val="00C32BA8"/>
    <w:rsid w:val="00C3341F"/>
    <w:rsid w:val="00C3517A"/>
    <w:rsid w:val="00C42CD3"/>
    <w:rsid w:val="00C46F71"/>
    <w:rsid w:val="00C4753D"/>
    <w:rsid w:val="00C54504"/>
    <w:rsid w:val="00C56D36"/>
    <w:rsid w:val="00C5711A"/>
    <w:rsid w:val="00C60490"/>
    <w:rsid w:val="00C635FD"/>
    <w:rsid w:val="00C63680"/>
    <w:rsid w:val="00C642F6"/>
    <w:rsid w:val="00C64C2D"/>
    <w:rsid w:val="00C71E1B"/>
    <w:rsid w:val="00C72417"/>
    <w:rsid w:val="00C73D4F"/>
    <w:rsid w:val="00C83A5B"/>
    <w:rsid w:val="00C86976"/>
    <w:rsid w:val="00C87F3A"/>
    <w:rsid w:val="00C90E25"/>
    <w:rsid w:val="00C90E5D"/>
    <w:rsid w:val="00C91057"/>
    <w:rsid w:val="00C91E7E"/>
    <w:rsid w:val="00C95D24"/>
    <w:rsid w:val="00C97D81"/>
    <w:rsid w:val="00CA158D"/>
    <w:rsid w:val="00CA6441"/>
    <w:rsid w:val="00CB484B"/>
    <w:rsid w:val="00CB5FE9"/>
    <w:rsid w:val="00CC256B"/>
    <w:rsid w:val="00CC396B"/>
    <w:rsid w:val="00CC3BF5"/>
    <w:rsid w:val="00CC466E"/>
    <w:rsid w:val="00CC4809"/>
    <w:rsid w:val="00CD0FF4"/>
    <w:rsid w:val="00CD4497"/>
    <w:rsid w:val="00CD6A6D"/>
    <w:rsid w:val="00CD6EEE"/>
    <w:rsid w:val="00CE2837"/>
    <w:rsid w:val="00CF1EA3"/>
    <w:rsid w:val="00CF1F00"/>
    <w:rsid w:val="00CF5396"/>
    <w:rsid w:val="00CF73E3"/>
    <w:rsid w:val="00CF7A73"/>
    <w:rsid w:val="00D0486D"/>
    <w:rsid w:val="00D0773A"/>
    <w:rsid w:val="00D07A6B"/>
    <w:rsid w:val="00D14B13"/>
    <w:rsid w:val="00D16289"/>
    <w:rsid w:val="00D178A9"/>
    <w:rsid w:val="00D17CB7"/>
    <w:rsid w:val="00D20BD4"/>
    <w:rsid w:val="00D2110E"/>
    <w:rsid w:val="00D21E59"/>
    <w:rsid w:val="00D227FC"/>
    <w:rsid w:val="00D253B1"/>
    <w:rsid w:val="00D30444"/>
    <w:rsid w:val="00D3071A"/>
    <w:rsid w:val="00D32341"/>
    <w:rsid w:val="00D347FA"/>
    <w:rsid w:val="00D40762"/>
    <w:rsid w:val="00D43193"/>
    <w:rsid w:val="00D470D1"/>
    <w:rsid w:val="00D47AF2"/>
    <w:rsid w:val="00D547B2"/>
    <w:rsid w:val="00D579BD"/>
    <w:rsid w:val="00D770BF"/>
    <w:rsid w:val="00D7790B"/>
    <w:rsid w:val="00D81148"/>
    <w:rsid w:val="00D834B9"/>
    <w:rsid w:val="00D85C96"/>
    <w:rsid w:val="00D94AAF"/>
    <w:rsid w:val="00D97CE3"/>
    <w:rsid w:val="00DA4D5B"/>
    <w:rsid w:val="00DA5359"/>
    <w:rsid w:val="00DB4876"/>
    <w:rsid w:val="00DC4C38"/>
    <w:rsid w:val="00DD0493"/>
    <w:rsid w:val="00DD6397"/>
    <w:rsid w:val="00DE07E9"/>
    <w:rsid w:val="00DE0877"/>
    <w:rsid w:val="00DE238A"/>
    <w:rsid w:val="00DE53FC"/>
    <w:rsid w:val="00DE6C46"/>
    <w:rsid w:val="00DF03D2"/>
    <w:rsid w:val="00DF16CF"/>
    <w:rsid w:val="00DF2C8B"/>
    <w:rsid w:val="00DF6CA6"/>
    <w:rsid w:val="00E04B33"/>
    <w:rsid w:val="00E04D12"/>
    <w:rsid w:val="00E04E9E"/>
    <w:rsid w:val="00E07648"/>
    <w:rsid w:val="00E10342"/>
    <w:rsid w:val="00E1051F"/>
    <w:rsid w:val="00E10EFE"/>
    <w:rsid w:val="00E12A02"/>
    <w:rsid w:val="00E22458"/>
    <w:rsid w:val="00E2343E"/>
    <w:rsid w:val="00E26ECB"/>
    <w:rsid w:val="00E34281"/>
    <w:rsid w:val="00E40EAA"/>
    <w:rsid w:val="00E414FE"/>
    <w:rsid w:val="00E4610B"/>
    <w:rsid w:val="00E46FA9"/>
    <w:rsid w:val="00E55B87"/>
    <w:rsid w:val="00E55C45"/>
    <w:rsid w:val="00E60A01"/>
    <w:rsid w:val="00E67236"/>
    <w:rsid w:val="00E73132"/>
    <w:rsid w:val="00E7413C"/>
    <w:rsid w:val="00E806EB"/>
    <w:rsid w:val="00E81D7C"/>
    <w:rsid w:val="00E86E93"/>
    <w:rsid w:val="00E87966"/>
    <w:rsid w:val="00E91A21"/>
    <w:rsid w:val="00E93A6A"/>
    <w:rsid w:val="00EA2107"/>
    <w:rsid w:val="00EA42A2"/>
    <w:rsid w:val="00EA4FAE"/>
    <w:rsid w:val="00EB0765"/>
    <w:rsid w:val="00EB0E94"/>
    <w:rsid w:val="00EB74CF"/>
    <w:rsid w:val="00EB7995"/>
    <w:rsid w:val="00EC76BE"/>
    <w:rsid w:val="00EC7C2A"/>
    <w:rsid w:val="00ED1840"/>
    <w:rsid w:val="00ED2B4A"/>
    <w:rsid w:val="00ED3183"/>
    <w:rsid w:val="00ED34D4"/>
    <w:rsid w:val="00ED3B41"/>
    <w:rsid w:val="00EE12BE"/>
    <w:rsid w:val="00EE1AB5"/>
    <w:rsid w:val="00EE4BB4"/>
    <w:rsid w:val="00EF10E0"/>
    <w:rsid w:val="00EF1456"/>
    <w:rsid w:val="00EF45A9"/>
    <w:rsid w:val="00EF64E7"/>
    <w:rsid w:val="00EF668A"/>
    <w:rsid w:val="00EF719E"/>
    <w:rsid w:val="00F01C92"/>
    <w:rsid w:val="00F04FA5"/>
    <w:rsid w:val="00F06121"/>
    <w:rsid w:val="00F0663A"/>
    <w:rsid w:val="00F07E3E"/>
    <w:rsid w:val="00F1058B"/>
    <w:rsid w:val="00F11A8A"/>
    <w:rsid w:val="00F127AA"/>
    <w:rsid w:val="00F2002D"/>
    <w:rsid w:val="00F20175"/>
    <w:rsid w:val="00F205B9"/>
    <w:rsid w:val="00F22C50"/>
    <w:rsid w:val="00F240BB"/>
    <w:rsid w:val="00F24601"/>
    <w:rsid w:val="00F25288"/>
    <w:rsid w:val="00F25D61"/>
    <w:rsid w:val="00F33C85"/>
    <w:rsid w:val="00F33FF8"/>
    <w:rsid w:val="00F363D3"/>
    <w:rsid w:val="00F416BC"/>
    <w:rsid w:val="00F42AFF"/>
    <w:rsid w:val="00F43571"/>
    <w:rsid w:val="00F4722F"/>
    <w:rsid w:val="00F47347"/>
    <w:rsid w:val="00F50A99"/>
    <w:rsid w:val="00F53645"/>
    <w:rsid w:val="00F54024"/>
    <w:rsid w:val="00F55A3A"/>
    <w:rsid w:val="00F55DFA"/>
    <w:rsid w:val="00F62009"/>
    <w:rsid w:val="00F64A9F"/>
    <w:rsid w:val="00F6510F"/>
    <w:rsid w:val="00F70FC9"/>
    <w:rsid w:val="00F715D9"/>
    <w:rsid w:val="00F73A51"/>
    <w:rsid w:val="00F86FBB"/>
    <w:rsid w:val="00F90D3A"/>
    <w:rsid w:val="00F93C99"/>
    <w:rsid w:val="00F9798E"/>
    <w:rsid w:val="00FA3652"/>
    <w:rsid w:val="00FA3938"/>
    <w:rsid w:val="00FA3EBF"/>
    <w:rsid w:val="00FA525B"/>
    <w:rsid w:val="00FA6471"/>
    <w:rsid w:val="00FB2A14"/>
    <w:rsid w:val="00FB47E4"/>
    <w:rsid w:val="00FB5346"/>
    <w:rsid w:val="00FC0371"/>
    <w:rsid w:val="00FC1F51"/>
    <w:rsid w:val="00FC4073"/>
    <w:rsid w:val="00FC6A85"/>
    <w:rsid w:val="00FD2B7E"/>
    <w:rsid w:val="00FD3E41"/>
    <w:rsid w:val="00FE33C0"/>
    <w:rsid w:val="00FE3CAE"/>
    <w:rsid w:val="00FF0F6C"/>
    <w:rsid w:val="00FF195A"/>
    <w:rsid w:val="00FF4269"/>
    <w:rsid w:val="00FF6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CDD462"/>
  <w15:chartTrackingRefBased/>
  <w15:docId w15:val="{6790C9D7-53B2-4B00-BF21-46EF5C65D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373"/>
  </w:style>
  <w:style w:type="paragraph" w:styleId="Heading1">
    <w:name w:val="heading 1"/>
    <w:basedOn w:val="Normal"/>
    <w:next w:val="Normal"/>
    <w:link w:val="Heading1Char"/>
    <w:uiPriority w:val="9"/>
    <w:qFormat/>
    <w:rsid w:val="00B63373"/>
    <w:pPr>
      <w:pBdr>
        <w:bottom w:val="thinThickSmallGap" w:sz="12" w:space="1" w:color="4A7B29" w:themeColor="accent2" w:themeShade="BF"/>
      </w:pBdr>
      <w:spacing w:before="400"/>
      <w:jc w:val="center"/>
      <w:outlineLvl w:val="0"/>
    </w:pPr>
    <w:rPr>
      <w:caps/>
      <w:color w:val="31521B" w:themeColor="accent2" w:themeShade="80"/>
      <w:spacing w:val="20"/>
      <w:sz w:val="28"/>
      <w:szCs w:val="28"/>
      <w:lang w:bidi="en-US"/>
    </w:rPr>
  </w:style>
  <w:style w:type="paragraph" w:styleId="Heading2">
    <w:name w:val="heading 2"/>
    <w:basedOn w:val="Normal"/>
    <w:next w:val="Normal"/>
    <w:link w:val="Heading2Char"/>
    <w:uiPriority w:val="9"/>
    <w:semiHidden/>
    <w:unhideWhenUsed/>
    <w:qFormat/>
    <w:rsid w:val="00B63373"/>
    <w:pPr>
      <w:pBdr>
        <w:bottom w:val="single" w:sz="4" w:space="1" w:color="31521B" w:themeColor="accent2" w:themeShade="7F"/>
      </w:pBdr>
      <w:spacing w:before="400"/>
      <w:jc w:val="center"/>
      <w:outlineLvl w:val="1"/>
    </w:pPr>
    <w:rPr>
      <w:caps/>
      <w:color w:val="31521B" w:themeColor="accent2" w:themeShade="80"/>
      <w:spacing w:val="15"/>
      <w:sz w:val="24"/>
      <w:szCs w:val="24"/>
      <w:lang w:bidi="en-US"/>
    </w:rPr>
  </w:style>
  <w:style w:type="paragraph" w:styleId="Heading3">
    <w:name w:val="heading 3"/>
    <w:basedOn w:val="Normal"/>
    <w:next w:val="Normal"/>
    <w:link w:val="Heading3Char"/>
    <w:uiPriority w:val="9"/>
    <w:unhideWhenUsed/>
    <w:qFormat/>
    <w:rsid w:val="00B63373"/>
    <w:pPr>
      <w:pBdr>
        <w:top w:val="dotted" w:sz="4" w:space="1" w:color="31521B" w:themeColor="accent2" w:themeShade="7F"/>
        <w:bottom w:val="dotted" w:sz="4" w:space="1" w:color="31521B" w:themeColor="accent2" w:themeShade="7F"/>
      </w:pBdr>
      <w:spacing w:before="300"/>
      <w:jc w:val="center"/>
      <w:outlineLvl w:val="2"/>
    </w:pPr>
    <w:rPr>
      <w:caps/>
      <w:color w:val="31521B" w:themeColor="accent2" w:themeShade="7F"/>
      <w:sz w:val="24"/>
      <w:szCs w:val="24"/>
      <w:lang w:bidi="en-US"/>
    </w:rPr>
  </w:style>
  <w:style w:type="paragraph" w:styleId="Heading4">
    <w:name w:val="heading 4"/>
    <w:basedOn w:val="Normal"/>
    <w:next w:val="Normal"/>
    <w:link w:val="Heading4Char"/>
    <w:uiPriority w:val="9"/>
    <w:semiHidden/>
    <w:unhideWhenUsed/>
    <w:qFormat/>
    <w:rsid w:val="00B63373"/>
    <w:pPr>
      <w:pBdr>
        <w:bottom w:val="dotted" w:sz="4" w:space="1" w:color="4A7B29" w:themeColor="accent2" w:themeShade="BF"/>
      </w:pBdr>
      <w:spacing w:after="120"/>
      <w:jc w:val="center"/>
      <w:outlineLvl w:val="3"/>
    </w:pPr>
    <w:rPr>
      <w:caps/>
      <w:color w:val="31521B" w:themeColor="accent2" w:themeShade="7F"/>
      <w:spacing w:val="10"/>
      <w:lang w:bidi="en-US"/>
    </w:rPr>
  </w:style>
  <w:style w:type="paragraph" w:styleId="Heading5">
    <w:name w:val="heading 5"/>
    <w:basedOn w:val="Normal"/>
    <w:next w:val="Normal"/>
    <w:link w:val="Heading5Char"/>
    <w:uiPriority w:val="9"/>
    <w:semiHidden/>
    <w:unhideWhenUsed/>
    <w:qFormat/>
    <w:rsid w:val="00B63373"/>
    <w:pPr>
      <w:spacing w:before="320" w:after="120"/>
      <w:jc w:val="center"/>
      <w:outlineLvl w:val="4"/>
    </w:pPr>
    <w:rPr>
      <w:caps/>
      <w:color w:val="31521B" w:themeColor="accent2" w:themeShade="7F"/>
      <w:spacing w:val="10"/>
      <w:lang w:bidi="en-US"/>
    </w:rPr>
  </w:style>
  <w:style w:type="paragraph" w:styleId="Heading6">
    <w:name w:val="heading 6"/>
    <w:basedOn w:val="Normal"/>
    <w:next w:val="Normal"/>
    <w:link w:val="Heading6Char"/>
    <w:uiPriority w:val="9"/>
    <w:semiHidden/>
    <w:unhideWhenUsed/>
    <w:qFormat/>
    <w:rsid w:val="00B63373"/>
    <w:pPr>
      <w:spacing w:after="120"/>
      <w:jc w:val="center"/>
      <w:outlineLvl w:val="5"/>
    </w:pPr>
    <w:rPr>
      <w:caps/>
      <w:color w:val="4A7B29" w:themeColor="accent2" w:themeShade="BF"/>
      <w:spacing w:val="10"/>
      <w:lang w:bidi="en-US"/>
    </w:rPr>
  </w:style>
  <w:style w:type="paragraph" w:styleId="Heading7">
    <w:name w:val="heading 7"/>
    <w:basedOn w:val="Normal"/>
    <w:next w:val="Normal"/>
    <w:link w:val="Heading7Char"/>
    <w:uiPriority w:val="9"/>
    <w:semiHidden/>
    <w:unhideWhenUsed/>
    <w:qFormat/>
    <w:rsid w:val="00B63373"/>
    <w:pPr>
      <w:spacing w:after="120"/>
      <w:jc w:val="center"/>
      <w:outlineLvl w:val="6"/>
    </w:pPr>
    <w:rPr>
      <w:i/>
      <w:iCs/>
      <w:caps/>
      <w:color w:val="4A7B29" w:themeColor="accent2" w:themeShade="BF"/>
      <w:spacing w:val="10"/>
      <w:lang w:bidi="en-US"/>
    </w:rPr>
  </w:style>
  <w:style w:type="paragraph" w:styleId="Heading8">
    <w:name w:val="heading 8"/>
    <w:basedOn w:val="Normal"/>
    <w:next w:val="Normal"/>
    <w:link w:val="Heading8Char"/>
    <w:uiPriority w:val="9"/>
    <w:semiHidden/>
    <w:unhideWhenUsed/>
    <w:qFormat/>
    <w:rsid w:val="00B63373"/>
    <w:pPr>
      <w:spacing w:after="120"/>
      <w:jc w:val="center"/>
      <w:outlineLvl w:val="7"/>
    </w:pPr>
    <w:rPr>
      <w:caps/>
      <w:spacing w:val="10"/>
      <w:sz w:val="20"/>
      <w:szCs w:val="20"/>
      <w:lang w:bidi="en-US"/>
    </w:rPr>
  </w:style>
  <w:style w:type="paragraph" w:styleId="Heading9">
    <w:name w:val="heading 9"/>
    <w:basedOn w:val="Normal"/>
    <w:next w:val="Normal"/>
    <w:link w:val="Heading9Char"/>
    <w:uiPriority w:val="9"/>
    <w:semiHidden/>
    <w:unhideWhenUsed/>
    <w:qFormat/>
    <w:rsid w:val="00B63373"/>
    <w:pPr>
      <w:spacing w:after="120"/>
      <w:jc w:val="center"/>
      <w:outlineLvl w:val="8"/>
    </w:pPr>
    <w:rPr>
      <w:i/>
      <w:iCs/>
      <w:caps/>
      <w:spacing w:val="10"/>
      <w:sz w:val="20"/>
      <w:szCs w:val="20"/>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9C8"/>
  </w:style>
  <w:style w:type="paragraph" w:styleId="Footer">
    <w:name w:val="footer"/>
    <w:basedOn w:val="Normal"/>
    <w:link w:val="FooterChar"/>
    <w:uiPriority w:val="99"/>
    <w:unhideWhenUsed/>
    <w:rsid w:val="00AA7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9C8"/>
  </w:style>
  <w:style w:type="paragraph" w:styleId="ListParagraph">
    <w:name w:val="List Paragraph"/>
    <w:basedOn w:val="Normal"/>
    <w:uiPriority w:val="34"/>
    <w:qFormat/>
    <w:rsid w:val="00B63373"/>
    <w:pPr>
      <w:ind w:left="720"/>
      <w:contextualSpacing/>
    </w:pPr>
  </w:style>
  <w:style w:type="character" w:customStyle="1" w:styleId="Heading1Char">
    <w:name w:val="Heading 1 Char"/>
    <w:basedOn w:val="DefaultParagraphFont"/>
    <w:link w:val="Heading1"/>
    <w:uiPriority w:val="9"/>
    <w:rsid w:val="00B63373"/>
    <w:rPr>
      <w:caps/>
      <w:color w:val="31521B" w:themeColor="accent2" w:themeShade="80"/>
      <w:spacing w:val="20"/>
      <w:sz w:val="28"/>
      <w:szCs w:val="28"/>
      <w:lang w:bidi="en-US"/>
    </w:rPr>
  </w:style>
  <w:style w:type="character" w:customStyle="1" w:styleId="Heading2Char">
    <w:name w:val="Heading 2 Char"/>
    <w:basedOn w:val="DefaultParagraphFont"/>
    <w:link w:val="Heading2"/>
    <w:uiPriority w:val="9"/>
    <w:semiHidden/>
    <w:rsid w:val="00B63373"/>
    <w:rPr>
      <w:caps/>
      <w:color w:val="31521B" w:themeColor="accent2" w:themeShade="80"/>
      <w:spacing w:val="15"/>
      <w:sz w:val="24"/>
      <w:szCs w:val="24"/>
      <w:lang w:bidi="en-US"/>
    </w:rPr>
  </w:style>
  <w:style w:type="character" w:customStyle="1" w:styleId="Heading3Char">
    <w:name w:val="Heading 3 Char"/>
    <w:basedOn w:val="DefaultParagraphFont"/>
    <w:link w:val="Heading3"/>
    <w:uiPriority w:val="9"/>
    <w:semiHidden/>
    <w:rsid w:val="00B63373"/>
    <w:rPr>
      <w:caps/>
      <w:color w:val="31521B" w:themeColor="accent2" w:themeShade="7F"/>
      <w:sz w:val="24"/>
      <w:szCs w:val="24"/>
      <w:lang w:bidi="en-US"/>
    </w:rPr>
  </w:style>
  <w:style w:type="character" w:customStyle="1" w:styleId="Heading4Char">
    <w:name w:val="Heading 4 Char"/>
    <w:basedOn w:val="DefaultParagraphFont"/>
    <w:link w:val="Heading4"/>
    <w:uiPriority w:val="9"/>
    <w:semiHidden/>
    <w:rsid w:val="00B63373"/>
    <w:rPr>
      <w:caps/>
      <w:color w:val="31521B" w:themeColor="accent2" w:themeShade="7F"/>
      <w:spacing w:val="10"/>
      <w:lang w:bidi="en-US"/>
    </w:rPr>
  </w:style>
  <w:style w:type="character" w:customStyle="1" w:styleId="Heading5Char">
    <w:name w:val="Heading 5 Char"/>
    <w:basedOn w:val="DefaultParagraphFont"/>
    <w:link w:val="Heading5"/>
    <w:uiPriority w:val="9"/>
    <w:semiHidden/>
    <w:rsid w:val="00B63373"/>
    <w:rPr>
      <w:caps/>
      <w:color w:val="31521B" w:themeColor="accent2" w:themeShade="7F"/>
      <w:spacing w:val="10"/>
      <w:lang w:bidi="en-US"/>
    </w:rPr>
  </w:style>
  <w:style w:type="character" w:customStyle="1" w:styleId="Heading6Char">
    <w:name w:val="Heading 6 Char"/>
    <w:basedOn w:val="DefaultParagraphFont"/>
    <w:link w:val="Heading6"/>
    <w:uiPriority w:val="9"/>
    <w:semiHidden/>
    <w:rsid w:val="00B63373"/>
    <w:rPr>
      <w:caps/>
      <w:color w:val="4A7B29" w:themeColor="accent2" w:themeShade="BF"/>
      <w:spacing w:val="10"/>
      <w:lang w:bidi="en-US"/>
    </w:rPr>
  </w:style>
  <w:style w:type="character" w:customStyle="1" w:styleId="Heading7Char">
    <w:name w:val="Heading 7 Char"/>
    <w:basedOn w:val="DefaultParagraphFont"/>
    <w:link w:val="Heading7"/>
    <w:uiPriority w:val="9"/>
    <w:semiHidden/>
    <w:rsid w:val="00B63373"/>
    <w:rPr>
      <w:i/>
      <w:iCs/>
      <w:caps/>
      <w:color w:val="4A7B29" w:themeColor="accent2" w:themeShade="BF"/>
      <w:spacing w:val="10"/>
      <w:lang w:bidi="en-US"/>
    </w:rPr>
  </w:style>
  <w:style w:type="character" w:customStyle="1" w:styleId="Heading8Char">
    <w:name w:val="Heading 8 Char"/>
    <w:basedOn w:val="DefaultParagraphFont"/>
    <w:link w:val="Heading8"/>
    <w:uiPriority w:val="9"/>
    <w:semiHidden/>
    <w:rsid w:val="00B63373"/>
    <w:rPr>
      <w:caps/>
      <w:spacing w:val="10"/>
      <w:sz w:val="20"/>
      <w:szCs w:val="20"/>
      <w:lang w:bidi="en-US"/>
    </w:rPr>
  </w:style>
  <w:style w:type="character" w:customStyle="1" w:styleId="Heading9Char">
    <w:name w:val="Heading 9 Char"/>
    <w:basedOn w:val="DefaultParagraphFont"/>
    <w:link w:val="Heading9"/>
    <w:uiPriority w:val="9"/>
    <w:semiHidden/>
    <w:rsid w:val="00B63373"/>
    <w:rPr>
      <w:i/>
      <w:iCs/>
      <w:caps/>
      <w:spacing w:val="10"/>
      <w:sz w:val="20"/>
      <w:szCs w:val="20"/>
      <w:lang w:bidi="en-US"/>
    </w:rPr>
  </w:style>
  <w:style w:type="paragraph" w:styleId="Caption">
    <w:name w:val="caption"/>
    <w:basedOn w:val="Normal"/>
    <w:next w:val="Normal"/>
    <w:uiPriority w:val="35"/>
    <w:semiHidden/>
    <w:unhideWhenUsed/>
    <w:qFormat/>
    <w:rsid w:val="00B63373"/>
    <w:rPr>
      <w:caps/>
      <w:spacing w:val="10"/>
      <w:sz w:val="18"/>
      <w:szCs w:val="18"/>
    </w:rPr>
  </w:style>
  <w:style w:type="paragraph" w:styleId="Title">
    <w:name w:val="Title"/>
    <w:basedOn w:val="Normal"/>
    <w:next w:val="Normal"/>
    <w:link w:val="TitleChar"/>
    <w:uiPriority w:val="10"/>
    <w:qFormat/>
    <w:rsid w:val="00B63373"/>
    <w:pPr>
      <w:pBdr>
        <w:top w:val="dotted" w:sz="2" w:space="1" w:color="31521B" w:themeColor="accent2" w:themeShade="80"/>
        <w:bottom w:val="dotted" w:sz="2" w:space="6" w:color="31521B" w:themeColor="accent2" w:themeShade="80"/>
      </w:pBdr>
      <w:spacing w:before="500" w:after="300" w:line="240" w:lineRule="auto"/>
      <w:jc w:val="center"/>
    </w:pPr>
    <w:rPr>
      <w:caps/>
      <w:color w:val="31521B" w:themeColor="accent2" w:themeShade="80"/>
      <w:spacing w:val="50"/>
      <w:sz w:val="44"/>
      <w:szCs w:val="44"/>
      <w:lang w:bidi="en-US"/>
    </w:rPr>
  </w:style>
  <w:style w:type="character" w:customStyle="1" w:styleId="TitleChar">
    <w:name w:val="Title Char"/>
    <w:basedOn w:val="DefaultParagraphFont"/>
    <w:link w:val="Title"/>
    <w:uiPriority w:val="10"/>
    <w:rsid w:val="00B63373"/>
    <w:rPr>
      <w:caps/>
      <w:color w:val="31521B" w:themeColor="accent2" w:themeShade="80"/>
      <w:spacing w:val="50"/>
      <w:sz w:val="44"/>
      <w:szCs w:val="44"/>
      <w:lang w:bidi="en-US"/>
    </w:rPr>
  </w:style>
  <w:style w:type="paragraph" w:styleId="Subtitle">
    <w:name w:val="Subtitle"/>
    <w:basedOn w:val="Normal"/>
    <w:next w:val="Normal"/>
    <w:link w:val="SubtitleChar"/>
    <w:uiPriority w:val="11"/>
    <w:qFormat/>
    <w:rsid w:val="00B63373"/>
    <w:pPr>
      <w:spacing w:after="560" w:line="240" w:lineRule="auto"/>
      <w:jc w:val="center"/>
    </w:pPr>
    <w:rPr>
      <w:caps/>
      <w:spacing w:val="20"/>
      <w:sz w:val="18"/>
      <w:szCs w:val="18"/>
      <w:lang w:bidi="en-US"/>
    </w:rPr>
  </w:style>
  <w:style w:type="character" w:customStyle="1" w:styleId="SubtitleChar">
    <w:name w:val="Subtitle Char"/>
    <w:basedOn w:val="DefaultParagraphFont"/>
    <w:link w:val="Subtitle"/>
    <w:uiPriority w:val="11"/>
    <w:rsid w:val="00B63373"/>
    <w:rPr>
      <w:caps/>
      <w:spacing w:val="20"/>
      <w:sz w:val="18"/>
      <w:szCs w:val="18"/>
      <w:lang w:bidi="en-US"/>
    </w:rPr>
  </w:style>
  <w:style w:type="character" w:styleId="Strong">
    <w:name w:val="Strong"/>
    <w:uiPriority w:val="22"/>
    <w:qFormat/>
    <w:rsid w:val="00B63373"/>
    <w:rPr>
      <w:b/>
      <w:bCs/>
      <w:color w:val="4A7B29" w:themeColor="accent2" w:themeShade="BF"/>
      <w:spacing w:val="5"/>
    </w:rPr>
  </w:style>
  <w:style w:type="character" w:styleId="Emphasis">
    <w:name w:val="Emphasis"/>
    <w:uiPriority w:val="20"/>
    <w:qFormat/>
    <w:rsid w:val="00B63373"/>
    <w:rPr>
      <w:caps/>
      <w:spacing w:val="5"/>
      <w:sz w:val="20"/>
      <w:szCs w:val="20"/>
    </w:rPr>
  </w:style>
  <w:style w:type="paragraph" w:styleId="NoSpacing">
    <w:name w:val="No Spacing"/>
    <w:basedOn w:val="Normal"/>
    <w:link w:val="NoSpacingChar"/>
    <w:uiPriority w:val="1"/>
    <w:qFormat/>
    <w:rsid w:val="00B63373"/>
    <w:pPr>
      <w:spacing w:after="0" w:line="240" w:lineRule="auto"/>
    </w:pPr>
  </w:style>
  <w:style w:type="paragraph" w:styleId="Quote">
    <w:name w:val="Quote"/>
    <w:basedOn w:val="Normal"/>
    <w:next w:val="Normal"/>
    <w:link w:val="QuoteChar"/>
    <w:uiPriority w:val="29"/>
    <w:qFormat/>
    <w:rsid w:val="00B63373"/>
    <w:rPr>
      <w:i/>
      <w:iCs/>
      <w:lang w:bidi="en-US"/>
    </w:rPr>
  </w:style>
  <w:style w:type="character" w:customStyle="1" w:styleId="QuoteChar">
    <w:name w:val="Quote Char"/>
    <w:basedOn w:val="DefaultParagraphFont"/>
    <w:link w:val="Quote"/>
    <w:uiPriority w:val="29"/>
    <w:rsid w:val="00B63373"/>
    <w:rPr>
      <w:i/>
      <w:iCs/>
      <w:lang w:bidi="en-US"/>
    </w:rPr>
  </w:style>
  <w:style w:type="paragraph" w:styleId="IntenseQuote">
    <w:name w:val="Intense Quote"/>
    <w:basedOn w:val="Normal"/>
    <w:next w:val="Normal"/>
    <w:link w:val="IntenseQuoteChar"/>
    <w:uiPriority w:val="30"/>
    <w:qFormat/>
    <w:rsid w:val="00B63373"/>
    <w:pPr>
      <w:pBdr>
        <w:top w:val="dotted" w:sz="2" w:space="10" w:color="31521B" w:themeColor="accent2" w:themeShade="80"/>
        <w:bottom w:val="dotted" w:sz="2" w:space="4" w:color="31521B" w:themeColor="accent2" w:themeShade="80"/>
      </w:pBdr>
      <w:spacing w:before="160" w:line="300" w:lineRule="auto"/>
      <w:ind w:left="1440" w:right="1440"/>
    </w:pPr>
    <w:rPr>
      <w:caps/>
      <w:color w:val="31521B" w:themeColor="accent2" w:themeShade="7F"/>
      <w:spacing w:val="5"/>
      <w:sz w:val="20"/>
      <w:szCs w:val="20"/>
      <w:lang w:bidi="en-US"/>
    </w:rPr>
  </w:style>
  <w:style w:type="character" w:customStyle="1" w:styleId="IntenseQuoteChar">
    <w:name w:val="Intense Quote Char"/>
    <w:basedOn w:val="DefaultParagraphFont"/>
    <w:link w:val="IntenseQuote"/>
    <w:uiPriority w:val="30"/>
    <w:rsid w:val="00B63373"/>
    <w:rPr>
      <w:caps/>
      <w:color w:val="31521B" w:themeColor="accent2" w:themeShade="7F"/>
      <w:spacing w:val="5"/>
      <w:sz w:val="20"/>
      <w:szCs w:val="20"/>
      <w:lang w:bidi="en-US"/>
    </w:rPr>
  </w:style>
  <w:style w:type="character" w:styleId="SubtleEmphasis">
    <w:name w:val="Subtle Emphasis"/>
    <w:uiPriority w:val="19"/>
    <w:qFormat/>
    <w:rsid w:val="00B63373"/>
    <w:rPr>
      <w:i/>
      <w:iCs/>
    </w:rPr>
  </w:style>
  <w:style w:type="character" w:styleId="IntenseEmphasis">
    <w:name w:val="Intense Emphasis"/>
    <w:uiPriority w:val="21"/>
    <w:qFormat/>
    <w:rsid w:val="00B63373"/>
    <w:rPr>
      <w:i/>
      <w:iCs/>
      <w:caps/>
      <w:spacing w:val="10"/>
      <w:sz w:val="20"/>
      <w:szCs w:val="20"/>
    </w:rPr>
  </w:style>
  <w:style w:type="character" w:styleId="SubtleReference">
    <w:name w:val="Subtle Reference"/>
    <w:basedOn w:val="DefaultParagraphFont"/>
    <w:uiPriority w:val="31"/>
    <w:qFormat/>
    <w:rsid w:val="00B63373"/>
    <w:rPr>
      <w:rFonts w:asciiTheme="minorHAnsi" w:eastAsiaTheme="minorEastAsia" w:hAnsiTheme="minorHAnsi" w:cstheme="minorBidi"/>
      <w:i/>
      <w:iCs/>
      <w:color w:val="31521B" w:themeColor="accent2" w:themeShade="7F"/>
    </w:rPr>
  </w:style>
  <w:style w:type="character" w:styleId="IntenseReference">
    <w:name w:val="Intense Reference"/>
    <w:uiPriority w:val="32"/>
    <w:qFormat/>
    <w:rsid w:val="00B63373"/>
    <w:rPr>
      <w:rFonts w:asciiTheme="minorHAnsi" w:eastAsiaTheme="minorEastAsia" w:hAnsiTheme="minorHAnsi" w:cstheme="minorBidi"/>
      <w:b/>
      <w:bCs/>
      <w:i/>
      <w:iCs/>
      <w:color w:val="31521B" w:themeColor="accent2" w:themeShade="7F"/>
    </w:rPr>
  </w:style>
  <w:style w:type="character" w:styleId="BookTitle">
    <w:name w:val="Book Title"/>
    <w:uiPriority w:val="33"/>
    <w:qFormat/>
    <w:rsid w:val="00B63373"/>
    <w:rPr>
      <w:caps/>
      <w:color w:val="31521B" w:themeColor="accent2" w:themeShade="7F"/>
      <w:spacing w:val="5"/>
      <w:u w:color="31521B" w:themeColor="accent2" w:themeShade="7F"/>
    </w:rPr>
  </w:style>
  <w:style w:type="paragraph" w:styleId="TOCHeading">
    <w:name w:val="TOC Heading"/>
    <w:basedOn w:val="Heading1"/>
    <w:next w:val="Normal"/>
    <w:uiPriority w:val="39"/>
    <w:semiHidden/>
    <w:unhideWhenUsed/>
    <w:qFormat/>
    <w:rsid w:val="00B63373"/>
    <w:pPr>
      <w:outlineLvl w:val="9"/>
    </w:pPr>
  </w:style>
  <w:style w:type="character" w:customStyle="1" w:styleId="NoSpacingChar">
    <w:name w:val="No Spacing Char"/>
    <w:basedOn w:val="DefaultParagraphFont"/>
    <w:link w:val="NoSpacing"/>
    <w:uiPriority w:val="1"/>
    <w:rsid w:val="00B63373"/>
  </w:style>
  <w:style w:type="character" w:styleId="Hyperlink">
    <w:name w:val="Hyperlink"/>
    <w:basedOn w:val="DefaultParagraphFont"/>
    <w:uiPriority w:val="99"/>
    <w:unhideWhenUsed/>
    <w:rsid w:val="002D3BB6"/>
    <w:rPr>
      <w:color w:val="EE7B08" w:themeColor="hyperlink"/>
      <w:u w:val="single"/>
    </w:rPr>
  </w:style>
  <w:style w:type="character" w:styleId="UnresolvedMention">
    <w:name w:val="Unresolved Mention"/>
    <w:basedOn w:val="DefaultParagraphFont"/>
    <w:uiPriority w:val="99"/>
    <w:semiHidden/>
    <w:unhideWhenUsed/>
    <w:rsid w:val="002D3BB6"/>
    <w:rPr>
      <w:color w:val="605E5C"/>
      <w:shd w:val="clear" w:color="auto" w:fill="E1DFDD"/>
    </w:rPr>
  </w:style>
  <w:style w:type="paragraph" w:styleId="NormalWeb">
    <w:name w:val="Normal (Web)"/>
    <w:basedOn w:val="Normal"/>
    <w:uiPriority w:val="99"/>
    <w:unhideWhenUsed/>
    <w:rsid w:val="006B2B89"/>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gray3">
    <w:name w:val="gray3"/>
    <w:basedOn w:val="Normal"/>
    <w:rsid w:val="00B0298E"/>
    <w:pPr>
      <w:spacing w:before="100" w:beforeAutospacing="1" w:after="100" w:afterAutospacing="1" w:line="240" w:lineRule="auto"/>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037446">
      <w:bodyDiv w:val="1"/>
      <w:marLeft w:val="0"/>
      <w:marRight w:val="0"/>
      <w:marTop w:val="0"/>
      <w:marBottom w:val="0"/>
      <w:divBdr>
        <w:top w:val="none" w:sz="0" w:space="0" w:color="auto"/>
        <w:left w:val="none" w:sz="0" w:space="0" w:color="auto"/>
        <w:bottom w:val="none" w:sz="0" w:space="0" w:color="auto"/>
        <w:right w:val="none" w:sz="0" w:space="0" w:color="auto"/>
      </w:divBdr>
      <w:divsChild>
        <w:div w:id="642001664">
          <w:marLeft w:val="0"/>
          <w:marRight w:val="0"/>
          <w:marTop w:val="0"/>
          <w:marBottom w:val="0"/>
          <w:divBdr>
            <w:top w:val="none" w:sz="0" w:space="0" w:color="auto"/>
            <w:left w:val="none" w:sz="0" w:space="0" w:color="auto"/>
            <w:bottom w:val="none" w:sz="0" w:space="0" w:color="auto"/>
            <w:right w:val="none" w:sz="0" w:space="0" w:color="auto"/>
          </w:divBdr>
        </w:div>
      </w:divsChild>
    </w:div>
    <w:div w:id="993682464">
      <w:bodyDiv w:val="1"/>
      <w:marLeft w:val="0"/>
      <w:marRight w:val="0"/>
      <w:marTop w:val="0"/>
      <w:marBottom w:val="0"/>
      <w:divBdr>
        <w:top w:val="none" w:sz="0" w:space="0" w:color="auto"/>
        <w:left w:val="none" w:sz="0" w:space="0" w:color="auto"/>
        <w:bottom w:val="none" w:sz="0" w:space="0" w:color="auto"/>
        <w:right w:val="none" w:sz="0" w:space="0" w:color="auto"/>
      </w:divBdr>
      <w:divsChild>
        <w:div w:id="67192448">
          <w:marLeft w:val="0"/>
          <w:marRight w:val="0"/>
          <w:marTop w:val="0"/>
          <w:marBottom w:val="0"/>
          <w:divBdr>
            <w:top w:val="none" w:sz="0" w:space="0" w:color="auto"/>
            <w:left w:val="none" w:sz="0" w:space="0" w:color="auto"/>
            <w:bottom w:val="none" w:sz="0" w:space="0" w:color="auto"/>
            <w:right w:val="none" w:sz="0" w:space="0" w:color="auto"/>
          </w:divBdr>
        </w:div>
      </w:divsChild>
    </w:div>
    <w:div w:id="1135828409">
      <w:bodyDiv w:val="1"/>
      <w:marLeft w:val="0"/>
      <w:marRight w:val="0"/>
      <w:marTop w:val="0"/>
      <w:marBottom w:val="0"/>
      <w:divBdr>
        <w:top w:val="none" w:sz="0" w:space="0" w:color="auto"/>
        <w:left w:val="none" w:sz="0" w:space="0" w:color="auto"/>
        <w:bottom w:val="none" w:sz="0" w:space="0" w:color="auto"/>
        <w:right w:val="none" w:sz="0" w:space="0" w:color="auto"/>
      </w:divBdr>
      <w:divsChild>
        <w:div w:id="681007015">
          <w:marLeft w:val="0"/>
          <w:marRight w:val="0"/>
          <w:marTop w:val="0"/>
          <w:marBottom w:val="0"/>
          <w:divBdr>
            <w:top w:val="none" w:sz="0" w:space="0" w:color="auto"/>
            <w:left w:val="none" w:sz="0" w:space="0" w:color="auto"/>
            <w:bottom w:val="none" w:sz="0" w:space="0" w:color="auto"/>
            <w:right w:val="none" w:sz="0" w:space="0" w:color="auto"/>
          </w:divBdr>
          <w:divsChild>
            <w:div w:id="1956866377">
              <w:marLeft w:val="0"/>
              <w:marRight w:val="0"/>
              <w:marTop w:val="0"/>
              <w:marBottom w:val="0"/>
              <w:divBdr>
                <w:top w:val="none" w:sz="0" w:space="0" w:color="auto"/>
                <w:left w:val="none" w:sz="0" w:space="0" w:color="auto"/>
                <w:bottom w:val="none" w:sz="0" w:space="0" w:color="auto"/>
                <w:right w:val="none" w:sz="0" w:space="0" w:color="auto"/>
              </w:divBdr>
              <w:divsChild>
                <w:div w:id="614139937">
                  <w:marLeft w:val="0"/>
                  <w:marRight w:val="0"/>
                  <w:marTop w:val="0"/>
                  <w:marBottom w:val="0"/>
                  <w:divBdr>
                    <w:top w:val="none" w:sz="0" w:space="0" w:color="auto"/>
                    <w:left w:val="none" w:sz="0" w:space="0" w:color="auto"/>
                    <w:bottom w:val="none" w:sz="0" w:space="0" w:color="auto"/>
                    <w:right w:val="none" w:sz="0" w:space="0" w:color="auto"/>
                  </w:divBdr>
                </w:div>
              </w:divsChild>
            </w:div>
            <w:div w:id="1524367671">
              <w:marLeft w:val="0"/>
              <w:marRight w:val="0"/>
              <w:marTop w:val="0"/>
              <w:marBottom w:val="0"/>
              <w:divBdr>
                <w:top w:val="none" w:sz="0" w:space="0" w:color="auto"/>
                <w:left w:val="none" w:sz="0" w:space="0" w:color="auto"/>
                <w:bottom w:val="none" w:sz="0" w:space="0" w:color="auto"/>
                <w:right w:val="none" w:sz="0" w:space="0" w:color="auto"/>
              </w:divBdr>
              <w:divsChild>
                <w:div w:id="1125469355">
                  <w:marLeft w:val="0"/>
                  <w:marRight w:val="0"/>
                  <w:marTop w:val="0"/>
                  <w:marBottom w:val="0"/>
                  <w:divBdr>
                    <w:top w:val="none" w:sz="0" w:space="0" w:color="auto"/>
                    <w:left w:val="none" w:sz="0" w:space="0" w:color="auto"/>
                    <w:bottom w:val="none" w:sz="0" w:space="0" w:color="auto"/>
                    <w:right w:val="none" w:sz="0" w:space="0" w:color="auto"/>
                  </w:divBdr>
                  <w:divsChild>
                    <w:div w:id="1791968493">
                      <w:marLeft w:val="0"/>
                      <w:marRight w:val="0"/>
                      <w:marTop w:val="0"/>
                      <w:marBottom w:val="0"/>
                      <w:divBdr>
                        <w:top w:val="none" w:sz="0" w:space="0" w:color="auto"/>
                        <w:left w:val="none" w:sz="0" w:space="0" w:color="auto"/>
                        <w:bottom w:val="none" w:sz="0" w:space="0" w:color="auto"/>
                        <w:right w:val="none" w:sz="0" w:space="0" w:color="auto"/>
                      </w:divBdr>
                      <w:divsChild>
                        <w:div w:id="408574231">
                          <w:marLeft w:val="0"/>
                          <w:marRight w:val="0"/>
                          <w:marTop w:val="0"/>
                          <w:marBottom w:val="0"/>
                          <w:divBdr>
                            <w:top w:val="none" w:sz="0" w:space="0" w:color="auto"/>
                            <w:left w:val="none" w:sz="0" w:space="0" w:color="auto"/>
                            <w:bottom w:val="none" w:sz="0" w:space="0" w:color="auto"/>
                            <w:right w:val="none" w:sz="0" w:space="0" w:color="auto"/>
                          </w:divBdr>
                        </w:div>
                      </w:divsChild>
                    </w:div>
                    <w:div w:id="1274367086">
                      <w:marLeft w:val="0"/>
                      <w:marRight w:val="0"/>
                      <w:marTop w:val="0"/>
                      <w:marBottom w:val="0"/>
                      <w:divBdr>
                        <w:top w:val="none" w:sz="0" w:space="0" w:color="auto"/>
                        <w:left w:val="none" w:sz="0" w:space="0" w:color="auto"/>
                        <w:bottom w:val="none" w:sz="0" w:space="0" w:color="auto"/>
                        <w:right w:val="none" w:sz="0" w:space="0" w:color="auto"/>
                      </w:divBdr>
                      <w:divsChild>
                        <w:div w:id="1848521710">
                          <w:marLeft w:val="0"/>
                          <w:marRight w:val="0"/>
                          <w:marTop w:val="0"/>
                          <w:marBottom w:val="0"/>
                          <w:divBdr>
                            <w:top w:val="none" w:sz="0" w:space="0" w:color="auto"/>
                            <w:left w:val="none" w:sz="0" w:space="0" w:color="auto"/>
                            <w:bottom w:val="none" w:sz="0" w:space="0" w:color="auto"/>
                            <w:right w:val="none" w:sz="0" w:space="0" w:color="auto"/>
                          </w:divBdr>
                        </w:div>
                      </w:divsChild>
                    </w:div>
                    <w:div w:id="466777939">
                      <w:marLeft w:val="0"/>
                      <w:marRight w:val="0"/>
                      <w:marTop w:val="0"/>
                      <w:marBottom w:val="0"/>
                      <w:divBdr>
                        <w:top w:val="none" w:sz="0" w:space="0" w:color="auto"/>
                        <w:left w:val="none" w:sz="0" w:space="0" w:color="auto"/>
                        <w:bottom w:val="none" w:sz="0" w:space="0" w:color="auto"/>
                        <w:right w:val="none" w:sz="0" w:space="0" w:color="auto"/>
                      </w:divBdr>
                      <w:divsChild>
                        <w:div w:id="1128474484">
                          <w:marLeft w:val="0"/>
                          <w:marRight w:val="0"/>
                          <w:marTop w:val="0"/>
                          <w:marBottom w:val="0"/>
                          <w:divBdr>
                            <w:top w:val="none" w:sz="0" w:space="0" w:color="auto"/>
                            <w:left w:val="none" w:sz="0" w:space="0" w:color="auto"/>
                            <w:bottom w:val="none" w:sz="0" w:space="0" w:color="auto"/>
                            <w:right w:val="none" w:sz="0" w:space="0" w:color="auto"/>
                          </w:divBdr>
                          <w:divsChild>
                            <w:div w:id="1942489124">
                              <w:marLeft w:val="0"/>
                              <w:marRight w:val="0"/>
                              <w:marTop w:val="0"/>
                              <w:marBottom w:val="0"/>
                              <w:divBdr>
                                <w:top w:val="none" w:sz="0" w:space="0" w:color="auto"/>
                                <w:left w:val="none" w:sz="0" w:space="0" w:color="auto"/>
                                <w:bottom w:val="none" w:sz="0" w:space="0" w:color="auto"/>
                                <w:right w:val="none" w:sz="0" w:space="0" w:color="auto"/>
                              </w:divBdr>
                              <w:divsChild>
                                <w:div w:id="14616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986868">
                      <w:marLeft w:val="0"/>
                      <w:marRight w:val="0"/>
                      <w:marTop w:val="0"/>
                      <w:marBottom w:val="0"/>
                      <w:divBdr>
                        <w:top w:val="none" w:sz="0" w:space="0" w:color="auto"/>
                        <w:left w:val="none" w:sz="0" w:space="0" w:color="auto"/>
                        <w:bottom w:val="none" w:sz="0" w:space="0" w:color="auto"/>
                        <w:right w:val="none" w:sz="0" w:space="0" w:color="auto"/>
                      </w:divBdr>
                      <w:divsChild>
                        <w:div w:id="1202129193">
                          <w:marLeft w:val="0"/>
                          <w:marRight w:val="0"/>
                          <w:marTop w:val="0"/>
                          <w:marBottom w:val="0"/>
                          <w:divBdr>
                            <w:top w:val="none" w:sz="0" w:space="0" w:color="auto"/>
                            <w:left w:val="none" w:sz="0" w:space="0" w:color="auto"/>
                            <w:bottom w:val="none" w:sz="0" w:space="0" w:color="auto"/>
                            <w:right w:val="none" w:sz="0" w:space="0" w:color="auto"/>
                          </w:divBdr>
                        </w:div>
                      </w:divsChild>
                    </w:div>
                    <w:div w:id="1907372594">
                      <w:marLeft w:val="0"/>
                      <w:marRight w:val="0"/>
                      <w:marTop w:val="0"/>
                      <w:marBottom w:val="0"/>
                      <w:divBdr>
                        <w:top w:val="none" w:sz="0" w:space="0" w:color="auto"/>
                        <w:left w:val="none" w:sz="0" w:space="0" w:color="auto"/>
                        <w:bottom w:val="none" w:sz="0" w:space="0" w:color="auto"/>
                        <w:right w:val="none" w:sz="0" w:space="0" w:color="auto"/>
                      </w:divBdr>
                      <w:divsChild>
                        <w:div w:id="181824719">
                          <w:marLeft w:val="0"/>
                          <w:marRight w:val="0"/>
                          <w:marTop w:val="0"/>
                          <w:marBottom w:val="0"/>
                          <w:divBdr>
                            <w:top w:val="none" w:sz="0" w:space="0" w:color="auto"/>
                            <w:left w:val="none" w:sz="0" w:space="0" w:color="auto"/>
                            <w:bottom w:val="none" w:sz="0" w:space="0" w:color="auto"/>
                            <w:right w:val="none" w:sz="0" w:space="0" w:color="auto"/>
                          </w:divBdr>
                        </w:div>
                      </w:divsChild>
                    </w:div>
                    <w:div w:id="479343503">
                      <w:marLeft w:val="0"/>
                      <w:marRight w:val="0"/>
                      <w:marTop w:val="0"/>
                      <w:marBottom w:val="0"/>
                      <w:divBdr>
                        <w:top w:val="none" w:sz="0" w:space="0" w:color="auto"/>
                        <w:left w:val="none" w:sz="0" w:space="0" w:color="auto"/>
                        <w:bottom w:val="none" w:sz="0" w:space="0" w:color="auto"/>
                        <w:right w:val="none" w:sz="0" w:space="0" w:color="auto"/>
                      </w:divBdr>
                      <w:divsChild>
                        <w:div w:id="102197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863269">
              <w:marLeft w:val="0"/>
              <w:marRight w:val="0"/>
              <w:marTop w:val="0"/>
              <w:marBottom w:val="0"/>
              <w:divBdr>
                <w:top w:val="none" w:sz="0" w:space="0" w:color="auto"/>
                <w:left w:val="none" w:sz="0" w:space="0" w:color="auto"/>
                <w:bottom w:val="none" w:sz="0" w:space="0" w:color="auto"/>
                <w:right w:val="none" w:sz="0" w:space="0" w:color="auto"/>
              </w:divBdr>
              <w:divsChild>
                <w:div w:id="167838591">
                  <w:marLeft w:val="0"/>
                  <w:marRight w:val="0"/>
                  <w:marTop w:val="0"/>
                  <w:marBottom w:val="0"/>
                  <w:divBdr>
                    <w:top w:val="none" w:sz="0" w:space="0" w:color="auto"/>
                    <w:left w:val="none" w:sz="0" w:space="0" w:color="auto"/>
                    <w:bottom w:val="none" w:sz="0" w:space="0" w:color="auto"/>
                    <w:right w:val="none" w:sz="0" w:space="0" w:color="auto"/>
                  </w:divBdr>
                  <w:divsChild>
                    <w:div w:id="1915241460">
                      <w:marLeft w:val="0"/>
                      <w:marRight w:val="0"/>
                      <w:marTop w:val="0"/>
                      <w:marBottom w:val="0"/>
                      <w:divBdr>
                        <w:top w:val="none" w:sz="0" w:space="0" w:color="auto"/>
                        <w:left w:val="none" w:sz="0" w:space="0" w:color="auto"/>
                        <w:bottom w:val="none" w:sz="0" w:space="0" w:color="auto"/>
                        <w:right w:val="none" w:sz="0" w:space="0" w:color="auto"/>
                      </w:divBdr>
                      <w:divsChild>
                        <w:div w:id="474683720">
                          <w:marLeft w:val="0"/>
                          <w:marRight w:val="0"/>
                          <w:marTop w:val="0"/>
                          <w:marBottom w:val="0"/>
                          <w:divBdr>
                            <w:top w:val="none" w:sz="0" w:space="0" w:color="auto"/>
                            <w:left w:val="none" w:sz="0" w:space="0" w:color="auto"/>
                            <w:bottom w:val="none" w:sz="0" w:space="0" w:color="auto"/>
                            <w:right w:val="none" w:sz="0" w:space="0" w:color="auto"/>
                          </w:divBdr>
                        </w:div>
                      </w:divsChild>
                    </w:div>
                    <w:div w:id="1169566343">
                      <w:marLeft w:val="0"/>
                      <w:marRight w:val="0"/>
                      <w:marTop w:val="0"/>
                      <w:marBottom w:val="0"/>
                      <w:divBdr>
                        <w:top w:val="none" w:sz="0" w:space="0" w:color="auto"/>
                        <w:left w:val="none" w:sz="0" w:space="0" w:color="auto"/>
                        <w:bottom w:val="none" w:sz="0" w:space="0" w:color="auto"/>
                        <w:right w:val="none" w:sz="0" w:space="0" w:color="auto"/>
                      </w:divBdr>
                      <w:divsChild>
                        <w:div w:id="890533348">
                          <w:marLeft w:val="0"/>
                          <w:marRight w:val="0"/>
                          <w:marTop w:val="0"/>
                          <w:marBottom w:val="0"/>
                          <w:divBdr>
                            <w:top w:val="none" w:sz="0" w:space="0" w:color="auto"/>
                            <w:left w:val="none" w:sz="0" w:space="0" w:color="auto"/>
                            <w:bottom w:val="none" w:sz="0" w:space="0" w:color="auto"/>
                            <w:right w:val="none" w:sz="0" w:space="0" w:color="auto"/>
                          </w:divBdr>
                        </w:div>
                      </w:divsChild>
                    </w:div>
                    <w:div w:id="1400396957">
                      <w:marLeft w:val="0"/>
                      <w:marRight w:val="0"/>
                      <w:marTop w:val="0"/>
                      <w:marBottom w:val="0"/>
                      <w:divBdr>
                        <w:top w:val="none" w:sz="0" w:space="0" w:color="auto"/>
                        <w:left w:val="none" w:sz="0" w:space="0" w:color="auto"/>
                        <w:bottom w:val="none" w:sz="0" w:space="0" w:color="auto"/>
                        <w:right w:val="none" w:sz="0" w:space="0" w:color="auto"/>
                      </w:divBdr>
                      <w:divsChild>
                        <w:div w:id="22892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646571">
              <w:marLeft w:val="0"/>
              <w:marRight w:val="0"/>
              <w:marTop w:val="0"/>
              <w:marBottom w:val="0"/>
              <w:divBdr>
                <w:top w:val="none" w:sz="0" w:space="0" w:color="auto"/>
                <w:left w:val="none" w:sz="0" w:space="0" w:color="auto"/>
                <w:bottom w:val="none" w:sz="0" w:space="0" w:color="auto"/>
                <w:right w:val="none" w:sz="0" w:space="0" w:color="auto"/>
              </w:divBdr>
              <w:divsChild>
                <w:div w:id="282420614">
                  <w:marLeft w:val="0"/>
                  <w:marRight w:val="0"/>
                  <w:marTop w:val="0"/>
                  <w:marBottom w:val="0"/>
                  <w:divBdr>
                    <w:top w:val="none" w:sz="0" w:space="0" w:color="auto"/>
                    <w:left w:val="none" w:sz="0" w:space="0" w:color="auto"/>
                    <w:bottom w:val="none" w:sz="0" w:space="0" w:color="auto"/>
                    <w:right w:val="none" w:sz="0" w:space="0" w:color="auto"/>
                  </w:divBdr>
                </w:div>
              </w:divsChild>
            </w:div>
            <w:div w:id="1230766241">
              <w:marLeft w:val="0"/>
              <w:marRight w:val="0"/>
              <w:marTop w:val="0"/>
              <w:marBottom w:val="0"/>
              <w:divBdr>
                <w:top w:val="none" w:sz="0" w:space="0" w:color="auto"/>
                <w:left w:val="none" w:sz="0" w:space="0" w:color="auto"/>
                <w:bottom w:val="none" w:sz="0" w:space="0" w:color="auto"/>
                <w:right w:val="none" w:sz="0" w:space="0" w:color="auto"/>
              </w:divBdr>
              <w:divsChild>
                <w:div w:id="1657756457">
                  <w:marLeft w:val="0"/>
                  <w:marRight w:val="0"/>
                  <w:marTop w:val="0"/>
                  <w:marBottom w:val="0"/>
                  <w:divBdr>
                    <w:top w:val="none" w:sz="0" w:space="0" w:color="auto"/>
                    <w:left w:val="none" w:sz="0" w:space="0" w:color="auto"/>
                    <w:bottom w:val="none" w:sz="0" w:space="0" w:color="auto"/>
                    <w:right w:val="none" w:sz="0" w:space="0" w:color="auto"/>
                  </w:divBdr>
                </w:div>
              </w:divsChild>
            </w:div>
            <w:div w:id="1300264571">
              <w:marLeft w:val="0"/>
              <w:marRight w:val="0"/>
              <w:marTop w:val="0"/>
              <w:marBottom w:val="0"/>
              <w:divBdr>
                <w:top w:val="none" w:sz="0" w:space="0" w:color="auto"/>
                <w:left w:val="none" w:sz="0" w:space="0" w:color="auto"/>
                <w:bottom w:val="none" w:sz="0" w:space="0" w:color="auto"/>
                <w:right w:val="none" w:sz="0" w:space="0" w:color="auto"/>
              </w:divBdr>
              <w:divsChild>
                <w:div w:id="1793016372">
                  <w:marLeft w:val="0"/>
                  <w:marRight w:val="0"/>
                  <w:marTop w:val="0"/>
                  <w:marBottom w:val="0"/>
                  <w:divBdr>
                    <w:top w:val="none" w:sz="0" w:space="0" w:color="auto"/>
                    <w:left w:val="none" w:sz="0" w:space="0" w:color="auto"/>
                    <w:bottom w:val="none" w:sz="0" w:space="0" w:color="auto"/>
                    <w:right w:val="none" w:sz="0" w:space="0" w:color="auto"/>
                  </w:divBdr>
                  <w:divsChild>
                    <w:div w:id="187912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272184">
      <w:bodyDiv w:val="1"/>
      <w:marLeft w:val="0"/>
      <w:marRight w:val="0"/>
      <w:marTop w:val="0"/>
      <w:marBottom w:val="0"/>
      <w:divBdr>
        <w:top w:val="none" w:sz="0" w:space="0" w:color="auto"/>
        <w:left w:val="none" w:sz="0" w:space="0" w:color="auto"/>
        <w:bottom w:val="none" w:sz="0" w:space="0" w:color="auto"/>
        <w:right w:val="none" w:sz="0" w:space="0" w:color="auto"/>
      </w:divBdr>
      <w:divsChild>
        <w:div w:id="1243832021">
          <w:marLeft w:val="0"/>
          <w:marRight w:val="0"/>
          <w:marTop w:val="0"/>
          <w:marBottom w:val="0"/>
          <w:divBdr>
            <w:top w:val="none" w:sz="0" w:space="0" w:color="auto"/>
            <w:left w:val="none" w:sz="0" w:space="0" w:color="auto"/>
            <w:bottom w:val="none" w:sz="0" w:space="0" w:color="auto"/>
            <w:right w:val="none" w:sz="0" w:space="0" w:color="auto"/>
          </w:divBdr>
        </w:div>
      </w:divsChild>
    </w:div>
    <w:div w:id="1245605530">
      <w:bodyDiv w:val="1"/>
      <w:marLeft w:val="0"/>
      <w:marRight w:val="0"/>
      <w:marTop w:val="0"/>
      <w:marBottom w:val="0"/>
      <w:divBdr>
        <w:top w:val="none" w:sz="0" w:space="0" w:color="auto"/>
        <w:left w:val="none" w:sz="0" w:space="0" w:color="auto"/>
        <w:bottom w:val="none" w:sz="0" w:space="0" w:color="auto"/>
        <w:right w:val="none" w:sz="0" w:space="0" w:color="auto"/>
      </w:divBdr>
      <w:divsChild>
        <w:div w:id="1063288357">
          <w:marLeft w:val="0"/>
          <w:marRight w:val="0"/>
          <w:marTop w:val="0"/>
          <w:marBottom w:val="0"/>
          <w:divBdr>
            <w:top w:val="none" w:sz="0" w:space="0" w:color="auto"/>
            <w:left w:val="none" w:sz="0" w:space="0" w:color="auto"/>
            <w:bottom w:val="none" w:sz="0" w:space="0" w:color="auto"/>
            <w:right w:val="none" w:sz="0" w:space="0" w:color="auto"/>
          </w:divBdr>
        </w:div>
      </w:divsChild>
    </w:div>
    <w:div w:id="1479153565">
      <w:bodyDiv w:val="1"/>
      <w:marLeft w:val="0"/>
      <w:marRight w:val="0"/>
      <w:marTop w:val="0"/>
      <w:marBottom w:val="0"/>
      <w:divBdr>
        <w:top w:val="none" w:sz="0" w:space="0" w:color="auto"/>
        <w:left w:val="none" w:sz="0" w:space="0" w:color="auto"/>
        <w:bottom w:val="none" w:sz="0" w:space="0" w:color="auto"/>
        <w:right w:val="none" w:sz="0" w:space="0" w:color="auto"/>
      </w:divBdr>
      <w:divsChild>
        <w:div w:id="244194654">
          <w:marLeft w:val="0"/>
          <w:marRight w:val="0"/>
          <w:marTop w:val="0"/>
          <w:marBottom w:val="0"/>
          <w:divBdr>
            <w:top w:val="none" w:sz="0" w:space="0" w:color="auto"/>
            <w:left w:val="none" w:sz="0" w:space="0" w:color="auto"/>
            <w:bottom w:val="none" w:sz="0" w:space="0" w:color="auto"/>
            <w:right w:val="none" w:sz="0" w:space="0" w:color="auto"/>
          </w:divBdr>
        </w:div>
        <w:div w:id="582450721">
          <w:marLeft w:val="0"/>
          <w:marRight w:val="0"/>
          <w:marTop w:val="0"/>
          <w:marBottom w:val="0"/>
          <w:divBdr>
            <w:top w:val="none" w:sz="0" w:space="0" w:color="auto"/>
            <w:left w:val="none" w:sz="0" w:space="0" w:color="auto"/>
            <w:bottom w:val="none" w:sz="0" w:space="0" w:color="auto"/>
            <w:right w:val="none" w:sz="0" w:space="0" w:color="auto"/>
          </w:divBdr>
          <w:divsChild>
            <w:div w:id="1280915830">
              <w:marLeft w:val="0"/>
              <w:marRight w:val="0"/>
              <w:marTop w:val="0"/>
              <w:marBottom w:val="0"/>
              <w:divBdr>
                <w:top w:val="none" w:sz="0" w:space="0" w:color="auto"/>
                <w:left w:val="none" w:sz="0" w:space="0" w:color="auto"/>
                <w:bottom w:val="none" w:sz="0" w:space="0" w:color="auto"/>
                <w:right w:val="none" w:sz="0" w:space="0" w:color="auto"/>
              </w:divBdr>
              <w:divsChild>
                <w:div w:id="2036343193">
                  <w:marLeft w:val="0"/>
                  <w:marRight w:val="0"/>
                  <w:marTop w:val="0"/>
                  <w:marBottom w:val="0"/>
                  <w:divBdr>
                    <w:top w:val="none" w:sz="0" w:space="0" w:color="auto"/>
                    <w:left w:val="none" w:sz="0" w:space="0" w:color="auto"/>
                    <w:bottom w:val="none" w:sz="0" w:space="0" w:color="auto"/>
                    <w:right w:val="none" w:sz="0" w:space="0" w:color="auto"/>
                  </w:divBdr>
                  <w:divsChild>
                    <w:div w:id="642390231">
                      <w:marLeft w:val="0"/>
                      <w:marRight w:val="0"/>
                      <w:marTop w:val="0"/>
                      <w:marBottom w:val="0"/>
                      <w:divBdr>
                        <w:top w:val="none" w:sz="0" w:space="0" w:color="auto"/>
                        <w:left w:val="none" w:sz="0" w:space="0" w:color="auto"/>
                        <w:bottom w:val="none" w:sz="0" w:space="0" w:color="auto"/>
                        <w:right w:val="none" w:sz="0" w:space="0" w:color="auto"/>
                      </w:divBdr>
                    </w:div>
                  </w:divsChild>
                </w:div>
                <w:div w:id="1456437582">
                  <w:marLeft w:val="0"/>
                  <w:marRight w:val="0"/>
                  <w:marTop w:val="0"/>
                  <w:marBottom w:val="0"/>
                  <w:divBdr>
                    <w:top w:val="none" w:sz="0" w:space="0" w:color="auto"/>
                    <w:left w:val="none" w:sz="0" w:space="0" w:color="auto"/>
                    <w:bottom w:val="none" w:sz="0" w:space="0" w:color="auto"/>
                    <w:right w:val="none" w:sz="0" w:space="0" w:color="auto"/>
                  </w:divBdr>
                </w:div>
              </w:divsChild>
            </w:div>
            <w:div w:id="1829594744">
              <w:marLeft w:val="0"/>
              <w:marRight w:val="0"/>
              <w:marTop w:val="0"/>
              <w:marBottom w:val="0"/>
              <w:divBdr>
                <w:top w:val="none" w:sz="0" w:space="0" w:color="auto"/>
                <w:left w:val="none" w:sz="0" w:space="0" w:color="auto"/>
                <w:bottom w:val="none" w:sz="0" w:space="0" w:color="auto"/>
                <w:right w:val="none" w:sz="0" w:space="0" w:color="auto"/>
              </w:divBdr>
            </w:div>
          </w:divsChild>
        </w:div>
        <w:div w:id="1330716662">
          <w:marLeft w:val="0"/>
          <w:marRight w:val="0"/>
          <w:marTop w:val="0"/>
          <w:marBottom w:val="0"/>
          <w:divBdr>
            <w:top w:val="none" w:sz="0" w:space="0" w:color="auto"/>
            <w:left w:val="none" w:sz="0" w:space="0" w:color="auto"/>
            <w:bottom w:val="none" w:sz="0" w:space="0" w:color="auto"/>
            <w:right w:val="none" w:sz="0" w:space="0" w:color="auto"/>
          </w:divBdr>
          <w:divsChild>
            <w:div w:id="616564783">
              <w:marLeft w:val="0"/>
              <w:marRight w:val="0"/>
              <w:marTop w:val="0"/>
              <w:marBottom w:val="0"/>
              <w:divBdr>
                <w:top w:val="none" w:sz="0" w:space="0" w:color="auto"/>
                <w:left w:val="none" w:sz="0" w:space="0" w:color="auto"/>
                <w:bottom w:val="none" w:sz="0" w:space="0" w:color="auto"/>
                <w:right w:val="none" w:sz="0" w:space="0" w:color="auto"/>
              </w:divBdr>
            </w:div>
            <w:div w:id="205391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945618">
      <w:bodyDiv w:val="1"/>
      <w:marLeft w:val="0"/>
      <w:marRight w:val="0"/>
      <w:marTop w:val="0"/>
      <w:marBottom w:val="0"/>
      <w:divBdr>
        <w:top w:val="none" w:sz="0" w:space="0" w:color="auto"/>
        <w:left w:val="none" w:sz="0" w:space="0" w:color="auto"/>
        <w:bottom w:val="none" w:sz="0" w:space="0" w:color="auto"/>
        <w:right w:val="none" w:sz="0" w:space="0" w:color="auto"/>
      </w:divBdr>
      <w:divsChild>
        <w:div w:id="1669140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_rels/footer1.xml.rels><?xml version="1.0" encoding="UTF-8" standalone="yes"?>
<Relationships xmlns="http://schemas.openxmlformats.org/package/2006/relationships"><Relationship Id="rId1" Type="http://schemas.openxmlformats.org/officeDocument/2006/relationships/image" Target="media/image2.png"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_rels/theme1.xml.rels><?xml version="1.0" encoding="UTF-8" standalone="yes"?>
<Relationships xmlns="http://schemas.openxmlformats.org/package/2006/relationships"><Relationship Id="rId1" Type="http://schemas.openxmlformats.org/officeDocument/2006/relationships/image" Target="../media/image3.jpeg" /></Relationships>
</file>

<file path=word/theme/theme1.xml><?xml version="1.0" encoding="utf-8"?>
<a:theme xmlns:a="http://schemas.openxmlformats.org/drawingml/2006/main" name="Damask">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25D69E-DBC5-4CD5-9744-39C82C700A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2629</Words>
  <Characters>13356</Characters>
  <Application>Microsoft Office Word</Application>
  <DocSecurity>0</DocSecurity>
  <Lines>278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Ella-louise Tucker (1902729)</dc:creator>
  <cp:keywords/>
  <dc:description/>
  <cp:lastModifiedBy>Ella-louise Tucker (1902729)</cp:lastModifiedBy>
  <cp:revision>2</cp:revision>
  <dcterms:created xsi:type="dcterms:W3CDTF">2021-05-07T13:04:00Z</dcterms:created>
  <dcterms:modified xsi:type="dcterms:W3CDTF">2021-05-07T13:04:00Z</dcterms:modified>
</cp:coreProperties>
</file>