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D534E8" w14:textId="77777777" w:rsidR="005808DD" w:rsidRPr="005808DD" w:rsidRDefault="005808DD" w:rsidP="005808DD">
      <w:pPr>
        <w:jc w:val="center"/>
        <w:rPr>
          <w:sz w:val="32"/>
          <w:szCs w:val="32"/>
        </w:rPr>
      </w:pPr>
      <w:bookmarkStart w:id="0" w:name="_Toc211437169"/>
      <w:r w:rsidRPr="005808DD">
        <w:rPr>
          <w:noProof/>
          <w:sz w:val="32"/>
          <w:szCs w:val="32"/>
          <w:lang w:val="en-US"/>
        </w:rPr>
        <w:drawing>
          <wp:inline distT="0" distB="0" distL="0" distR="0" wp14:anchorId="09AC1BA8" wp14:editId="2AADAD8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5808DD">
        <w:rPr>
          <w:sz w:val="32"/>
          <w:szCs w:val="32"/>
        </w:rPr>
        <w:fldChar w:fldCharType="begin"/>
      </w:r>
      <w:r w:rsidRPr="005808DD">
        <w:rPr>
          <w:sz w:val="32"/>
          <w:szCs w:val="32"/>
        </w:rPr>
        <w:instrText xml:space="preserve"> INCLUDEPICTURE "C:\\Users\\AzZedin01\\Library\\Group Containers\\UBF8T346G9.ms\\WebArchiveCopyPasteTempFiles\\com.microsoft.Word\\8P2xdp3q1g646AAAAAElFTkSuQmCC" \* MERGEFORMAT </w:instrText>
      </w:r>
      <w:r w:rsidRPr="005808DD">
        <w:rPr>
          <w:sz w:val="32"/>
          <w:szCs w:val="32"/>
        </w:rPr>
        <w:fldChar w:fldCharType="end"/>
      </w:r>
    </w:p>
    <w:p w14:paraId="475B6294" w14:textId="77777777" w:rsidR="005808DD" w:rsidRPr="005808DD" w:rsidRDefault="005808DD" w:rsidP="005808DD">
      <w:pPr>
        <w:jc w:val="center"/>
        <w:rPr>
          <w:sz w:val="32"/>
          <w:szCs w:val="32"/>
        </w:rPr>
      </w:pPr>
    </w:p>
    <w:p w14:paraId="17E19E63" w14:textId="77777777" w:rsidR="005808DD" w:rsidRPr="005808DD" w:rsidRDefault="005808DD" w:rsidP="005808DD">
      <w:pPr>
        <w:jc w:val="center"/>
        <w:rPr>
          <w:sz w:val="32"/>
          <w:szCs w:val="32"/>
        </w:rPr>
      </w:pPr>
    </w:p>
    <w:p w14:paraId="4585EE8B" w14:textId="77777777" w:rsidR="005808DD" w:rsidRPr="005808DD" w:rsidRDefault="005808DD" w:rsidP="005808DD">
      <w:pPr>
        <w:jc w:val="center"/>
        <w:rPr>
          <w:sz w:val="32"/>
          <w:szCs w:val="32"/>
        </w:rPr>
      </w:pPr>
    </w:p>
    <w:p w14:paraId="3E1D1546" w14:textId="6521868B" w:rsidR="005808DD" w:rsidRPr="005808DD" w:rsidRDefault="005808DD" w:rsidP="005808DD">
      <w:pPr>
        <w:jc w:val="center"/>
        <w:rPr>
          <w:rFonts w:ascii="Arial" w:hAnsi="Arial" w:cs="Arial"/>
          <w:b/>
          <w:bCs/>
          <w:sz w:val="32"/>
          <w:szCs w:val="32"/>
        </w:rPr>
      </w:pPr>
      <w:r w:rsidRPr="005808DD">
        <w:rPr>
          <w:rFonts w:ascii="Arial" w:hAnsi="Arial" w:cs="Arial"/>
          <w:b/>
          <w:bCs/>
          <w:sz w:val="32"/>
          <w:szCs w:val="32"/>
        </w:rPr>
        <w:t xml:space="preserve">Student </w:t>
      </w:r>
      <w:r w:rsidR="001B2B59" w:rsidRPr="005808DD">
        <w:rPr>
          <w:rFonts w:ascii="Arial" w:hAnsi="Arial" w:cs="Arial"/>
          <w:b/>
          <w:bCs/>
          <w:sz w:val="32"/>
          <w:szCs w:val="32"/>
        </w:rPr>
        <w:t>Name:</w:t>
      </w:r>
      <w:r w:rsidR="001B2B59">
        <w:rPr>
          <w:rFonts w:ascii="Arial" w:hAnsi="Arial" w:cs="Arial"/>
          <w:b/>
          <w:bCs/>
          <w:sz w:val="32"/>
          <w:szCs w:val="32"/>
        </w:rPr>
        <w:t xml:space="preserve"> Mihir Sudhirbhai Patel</w:t>
      </w:r>
    </w:p>
    <w:p w14:paraId="7CC602E8" w14:textId="77777777" w:rsidR="005808DD" w:rsidRPr="005808DD" w:rsidRDefault="005808DD" w:rsidP="005808DD">
      <w:pPr>
        <w:jc w:val="center"/>
        <w:rPr>
          <w:rFonts w:ascii="Arial" w:hAnsi="Arial" w:cs="Arial"/>
          <w:b/>
          <w:bCs/>
          <w:sz w:val="32"/>
          <w:szCs w:val="32"/>
        </w:rPr>
      </w:pPr>
    </w:p>
    <w:p w14:paraId="536A6E60" w14:textId="02B4B446" w:rsidR="005808DD" w:rsidRPr="005808DD" w:rsidRDefault="005808DD" w:rsidP="005808DD">
      <w:pPr>
        <w:jc w:val="center"/>
        <w:rPr>
          <w:rFonts w:ascii="Arial" w:hAnsi="Arial" w:cs="Arial"/>
          <w:b/>
          <w:bCs/>
          <w:sz w:val="32"/>
          <w:szCs w:val="32"/>
        </w:rPr>
      </w:pPr>
      <w:r w:rsidRPr="005808DD">
        <w:rPr>
          <w:rFonts w:ascii="Arial" w:hAnsi="Arial" w:cs="Arial"/>
          <w:b/>
          <w:bCs/>
          <w:sz w:val="32"/>
          <w:szCs w:val="32"/>
        </w:rPr>
        <w:t>Student ID:</w:t>
      </w:r>
      <w:r w:rsidR="001B2B59">
        <w:rPr>
          <w:rFonts w:ascii="Arial" w:hAnsi="Arial" w:cs="Arial"/>
          <w:b/>
          <w:bCs/>
          <w:sz w:val="32"/>
          <w:szCs w:val="32"/>
        </w:rPr>
        <w:t>2504998</w:t>
      </w:r>
    </w:p>
    <w:p w14:paraId="35192886" w14:textId="77777777" w:rsidR="005808DD" w:rsidRPr="005808DD" w:rsidRDefault="005808DD" w:rsidP="005808DD">
      <w:pPr>
        <w:jc w:val="center"/>
        <w:rPr>
          <w:rFonts w:ascii="Arial" w:hAnsi="Arial" w:cs="Arial"/>
          <w:sz w:val="32"/>
          <w:szCs w:val="32"/>
        </w:rPr>
      </w:pPr>
    </w:p>
    <w:p w14:paraId="213479BE" w14:textId="77777777" w:rsidR="005808DD" w:rsidRPr="005808DD" w:rsidRDefault="005808DD" w:rsidP="005808DD">
      <w:pPr>
        <w:jc w:val="center"/>
        <w:rPr>
          <w:rFonts w:ascii="Arial" w:hAnsi="Arial" w:cs="Arial"/>
          <w:sz w:val="32"/>
          <w:szCs w:val="32"/>
        </w:rPr>
      </w:pPr>
    </w:p>
    <w:p w14:paraId="752F386D" w14:textId="77777777" w:rsidR="005808DD" w:rsidRPr="005808DD" w:rsidRDefault="005808DD" w:rsidP="005808DD">
      <w:pPr>
        <w:jc w:val="center"/>
        <w:rPr>
          <w:rFonts w:ascii="Arial" w:hAnsi="Arial" w:cs="Arial"/>
          <w:b/>
          <w:bCs/>
          <w:sz w:val="32"/>
          <w:szCs w:val="32"/>
        </w:rPr>
      </w:pPr>
      <w:r w:rsidRPr="005808DD">
        <w:rPr>
          <w:rFonts w:ascii="Arial" w:hAnsi="Arial" w:cs="Arial"/>
          <w:b/>
          <w:bCs/>
          <w:sz w:val="32"/>
          <w:szCs w:val="32"/>
        </w:rPr>
        <w:t>Module Name: Marketing Management</w:t>
      </w:r>
    </w:p>
    <w:p w14:paraId="2F949599" w14:textId="77777777" w:rsidR="005808DD" w:rsidRPr="005808DD" w:rsidRDefault="005808DD" w:rsidP="005808DD">
      <w:pPr>
        <w:jc w:val="center"/>
        <w:rPr>
          <w:rFonts w:ascii="Arial" w:hAnsi="Arial" w:cs="Arial"/>
          <w:b/>
          <w:bCs/>
          <w:sz w:val="32"/>
          <w:szCs w:val="32"/>
        </w:rPr>
      </w:pPr>
    </w:p>
    <w:p w14:paraId="723BECEA" w14:textId="77777777" w:rsidR="005808DD" w:rsidRPr="005808DD" w:rsidRDefault="005808DD" w:rsidP="005808DD">
      <w:pPr>
        <w:jc w:val="center"/>
        <w:rPr>
          <w:rFonts w:ascii="Arial" w:hAnsi="Arial" w:cs="Arial"/>
          <w:b/>
          <w:bCs/>
          <w:sz w:val="32"/>
          <w:szCs w:val="32"/>
        </w:rPr>
      </w:pPr>
      <w:r w:rsidRPr="005808DD">
        <w:rPr>
          <w:rFonts w:ascii="Arial" w:hAnsi="Arial" w:cs="Arial"/>
          <w:b/>
          <w:bCs/>
          <w:sz w:val="32"/>
          <w:szCs w:val="32"/>
        </w:rPr>
        <w:t>Module Code: LCMB7024</w:t>
      </w:r>
    </w:p>
    <w:p w14:paraId="7FFCC125" w14:textId="77777777" w:rsidR="005808DD" w:rsidRPr="005808DD" w:rsidRDefault="005808DD" w:rsidP="005808DD">
      <w:pPr>
        <w:jc w:val="center"/>
        <w:rPr>
          <w:rFonts w:ascii="Arial" w:hAnsi="Arial" w:cs="Arial"/>
          <w:b/>
          <w:bCs/>
          <w:sz w:val="32"/>
          <w:szCs w:val="32"/>
        </w:rPr>
      </w:pPr>
    </w:p>
    <w:p w14:paraId="1E8A9743" w14:textId="77777777" w:rsidR="005808DD" w:rsidRPr="005808DD" w:rsidRDefault="005808DD" w:rsidP="005808DD">
      <w:pPr>
        <w:jc w:val="center"/>
        <w:rPr>
          <w:rFonts w:ascii="Arial" w:hAnsi="Arial" w:cs="Arial"/>
          <w:b/>
          <w:bCs/>
          <w:sz w:val="32"/>
          <w:szCs w:val="32"/>
        </w:rPr>
      </w:pPr>
    </w:p>
    <w:p w14:paraId="45D9B1B1" w14:textId="77777777" w:rsidR="005808DD" w:rsidRPr="005808DD" w:rsidRDefault="005808DD" w:rsidP="005808DD">
      <w:pPr>
        <w:jc w:val="center"/>
        <w:rPr>
          <w:rFonts w:ascii="Arial" w:hAnsi="Arial" w:cs="Arial"/>
          <w:b/>
          <w:bCs/>
          <w:sz w:val="32"/>
          <w:szCs w:val="32"/>
        </w:rPr>
      </w:pPr>
    </w:p>
    <w:p w14:paraId="4B82B0A9" w14:textId="77777777" w:rsidR="005808DD" w:rsidRPr="005808DD" w:rsidRDefault="005808DD" w:rsidP="005808DD">
      <w:pPr>
        <w:jc w:val="center"/>
        <w:rPr>
          <w:rFonts w:ascii="Arial" w:hAnsi="Arial" w:cs="Arial"/>
          <w:b/>
          <w:bCs/>
          <w:sz w:val="32"/>
          <w:szCs w:val="32"/>
        </w:rPr>
      </w:pPr>
    </w:p>
    <w:p w14:paraId="6FC029AB" w14:textId="78AA695B" w:rsidR="005808DD" w:rsidRPr="005808DD" w:rsidRDefault="005808DD" w:rsidP="005808DD">
      <w:pPr>
        <w:jc w:val="center"/>
        <w:rPr>
          <w:rFonts w:ascii="Arial" w:hAnsi="Arial" w:cs="Arial"/>
          <w:b/>
          <w:bCs/>
          <w:sz w:val="32"/>
          <w:szCs w:val="32"/>
        </w:rPr>
      </w:pPr>
      <w:r w:rsidRPr="005808DD">
        <w:rPr>
          <w:rFonts w:ascii="Arial" w:hAnsi="Arial" w:cs="Arial"/>
          <w:b/>
          <w:bCs/>
          <w:sz w:val="32"/>
          <w:szCs w:val="32"/>
        </w:rPr>
        <w:t xml:space="preserve">Lecturer’s </w:t>
      </w:r>
      <w:bookmarkStart w:id="1" w:name="_GoBack"/>
      <w:bookmarkEnd w:id="1"/>
      <w:r w:rsidR="004273D2" w:rsidRPr="005808DD">
        <w:rPr>
          <w:rFonts w:ascii="Arial" w:hAnsi="Arial" w:cs="Arial"/>
          <w:b/>
          <w:bCs/>
          <w:sz w:val="32"/>
          <w:szCs w:val="32"/>
        </w:rPr>
        <w:t>Name:</w:t>
      </w:r>
      <w:r w:rsidR="004273D2">
        <w:rPr>
          <w:rFonts w:ascii="Arial" w:hAnsi="Arial" w:cs="Arial"/>
          <w:b/>
          <w:bCs/>
          <w:sz w:val="32"/>
          <w:szCs w:val="32"/>
        </w:rPr>
        <w:t xml:space="preserve"> Dr</w:t>
      </w:r>
      <w:r w:rsidR="001B2B59">
        <w:rPr>
          <w:rFonts w:ascii="Arial" w:hAnsi="Arial" w:cs="Arial"/>
          <w:b/>
          <w:bCs/>
          <w:sz w:val="32"/>
          <w:szCs w:val="32"/>
        </w:rPr>
        <w:t xml:space="preserve"> Laila Maazouz</w:t>
      </w:r>
    </w:p>
    <w:p w14:paraId="3A0B8300" w14:textId="77777777" w:rsidR="005808DD" w:rsidRPr="005808DD" w:rsidRDefault="005808DD" w:rsidP="005808DD">
      <w:pPr>
        <w:jc w:val="center"/>
        <w:rPr>
          <w:rFonts w:ascii="Arial" w:hAnsi="Arial" w:cs="Arial"/>
          <w:b/>
          <w:bCs/>
          <w:sz w:val="32"/>
          <w:szCs w:val="32"/>
        </w:rPr>
      </w:pPr>
    </w:p>
    <w:p w14:paraId="66AD76D5" w14:textId="77777777" w:rsidR="005808DD" w:rsidRPr="005808DD" w:rsidRDefault="005808DD" w:rsidP="005808DD">
      <w:pPr>
        <w:jc w:val="center"/>
        <w:rPr>
          <w:rFonts w:ascii="Arial" w:hAnsi="Arial" w:cs="Arial"/>
          <w:b/>
          <w:bCs/>
          <w:sz w:val="32"/>
          <w:szCs w:val="32"/>
        </w:rPr>
      </w:pPr>
    </w:p>
    <w:p w14:paraId="27B4AF6F" w14:textId="77777777" w:rsidR="005808DD" w:rsidRPr="005808DD" w:rsidRDefault="005808DD" w:rsidP="005808DD">
      <w:pPr>
        <w:rPr>
          <w:rFonts w:ascii="Arial" w:hAnsi="Arial" w:cs="Arial"/>
          <w:b/>
          <w:bCs/>
          <w:sz w:val="32"/>
          <w:szCs w:val="32"/>
        </w:rPr>
      </w:pPr>
    </w:p>
    <w:p w14:paraId="59BAF7EF" w14:textId="749353AF" w:rsidR="005808DD" w:rsidRPr="005808DD" w:rsidRDefault="004273D2" w:rsidP="005808DD">
      <w:pPr>
        <w:jc w:val="center"/>
        <w:rPr>
          <w:rFonts w:ascii="Arial" w:hAnsi="Arial" w:cs="Arial"/>
          <w:b/>
          <w:bCs/>
          <w:sz w:val="32"/>
          <w:szCs w:val="32"/>
        </w:rPr>
      </w:pPr>
      <w:r>
        <w:rPr>
          <w:rFonts w:ascii="Arial" w:hAnsi="Arial" w:cs="Arial"/>
          <w:b/>
          <w:bCs/>
          <w:sz w:val="32"/>
          <w:szCs w:val="32"/>
        </w:rPr>
        <w:t>Word Count: 2553</w:t>
      </w:r>
    </w:p>
    <w:p w14:paraId="74C67805" w14:textId="77777777" w:rsidR="005808DD" w:rsidRPr="005808DD" w:rsidRDefault="005808DD" w:rsidP="005808DD">
      <w:pPr>
        <w:jc w:val="center"/>
        <w:rPr>
          <w:rFonts w:ascii="Arial" w:hAnsi="Arial" w:cs="Arial"/>
          <w:b/>
          <w:bCs/>
          <w:sz w:val="32"/>
          <w:szCs w:val="32"/>
        </w:rPr>
      </w:pPr>
    </w:p>
    <w:p w14:paraId="7CF73CBE" w14:textId="77777777" w:rsidR="005808DD" w:rsidRPr="005808DD" w:rsidRDefault="005808DD" w:rsidP="005808DD">
      <w:pPr>
        <w:rPr>
          <w:rFonts w:ascii="Arial" w:hAnsi="Arial" w:cs="Arial"/>
          <w:b/>
          <w:bCs/>
          <w:sz w:val="32"/>
          <w:szCs w:val="32"/>
        </w:rPr>
      </w:pPr>
    </w:p>
    <w:p w14:paraId="33E238A4" w14:textId="77777777" w:rsidR="005808DD" w:rsidRPr="005808DD" w:rsidRDefault="005808DD" w:rsidP="005808DD">
      <w:pPr>
        <w:jc w:val="center"/>
        <w:rPr>
          <w:rFonts w:ascii="Arial" w:hAnsi="Arial" w:cs="Arial"/>
          <w:b/>
          <w:bCs/>
          <w:sz w:val="32"/>
          <w:szCs w:val="32"/>
        </w:rPr>
      </w:pPr>
    </w:p>
    <w:p w14:paraId="08A3A98C" w14:textId="77777777" w:rsidR="005808DD" w:rsidRPr="005808DD" w:rsidRDefault="005808DD" w:rsidP="005808DD">
      <w:pPr>
        <w:jc w:val="center"/>
        <w:rPr>
          <w:rFonts w:ascii="Arial" w:hAnsi="Arial" w:cs="Arial"/>
          <w:b/>
          <w:bCs/>
          <w:sz w:val="32"/>
          <w:szCs w:val="32"/>
        </w:rPr>
      </w:pPr>
      <w:r w:rsidRPr="005808DD">
        <w:rPr>
          <w:rFonts w:ascii="Arial" w:hAnsi="Arial" w:cs="Arial"/>
          <w:b/>
          <w:bCs/>
          <w:sz w:val="32"/>
          <w:szCs w:val="32"/>
        </w:rPr>
        <w:t>Term 1</w:t>
      </w:r>
    </w:p>
    <w:p w14:paraId="3D451CDF" w14:textId="77777777" w:rsidR="000A49CD" w:rsidRPr="005808DD" w:rsidRDefault="000A49CD">
      <w:pPr>
        <w:rPr>
          <w:rStyle w:val="Heading1Char"/>
          <w:rFonts w:ascii="Arial" w:hAnsi="Arial" w:cs="Arial"/>
          <w:b/>
          <w:color w:val="auto"/>
          <w:sz w:val="32"/>
          <w:szCs w:val="32"/>
        </w:rPr>
      </w:pPr>
      <w:r w:rsidRPr="005808DD">
        <w:rPr>
          <w:rStyle w:val="Heading1Char"/>
          <w:rFonts w:ascii="Arial" w:hAnsi="Arial" w:cs="Arial"/>
          <w:b/>
          <w:color w:val="auto"/>
          <w:sz w:val="32"/>
          <w:szCs w:val="32"/>
        </w:rPr>
        <w:br w:type="page"/>
      </w:r>
    </w:p>
    <w:sdt>
      <w:sdtPr>
        <w:rPr>
          <w:rFonts w:asciiTheme="minorHAnsi" w:eastAsiaTheme="minorHAnsi" w:hAnsiTheme="minorHAnsi" w:cstheme="minorBidi"/>
          <w:b w:val="0"/>
          <w:bCs w:val="0"/>
          <w:color w:val="auto"/>
          <w:kern w:val="2"/>
          <w:sz w:val="24"/>
          <w:szCs w:val="24"/>
          <w:lang w:val="en-GB"/>
          <w14:ligatures w14:val="standardContextual"/>
        </w:rPr>
        <w:id w:val="-1094477851"/>
        <w:docPartObj>
          <w:docPartGallery w:val="Table of Contents"/>
          <w:docPartUnique/>
        </w:docPartObj>
      </w:sdtPr>
      <w:sdtEndPr>
        <w:rPr>
          <w:rFonts w:ascii="Arial" w:hAnsi="Arial" w:cs="Arial"/>
          <w:noProof/>
        </w:rPr>
      </w:sdtEndPr>
      <w:sdtContent>
        <w:p w14:paraId="5953A862" w14:textId="7BB4BA74" w:rsidR="005808DD" w:rsidRPr="005808DD" w:rsidRDefault="005808DD" w:rsidP="005808DD">
          <w:pPr>
            <w:pStyle w:val="TOCHeading"/>
            <w:spacing w:line="360" w:lineRule="auto"/>
            <w:rPr>
              <w:rFonts w:ascii="Arial" w:hAnsi="Arial" w:cs="Arial"/>
              <w:color w:val="auto"/>
              <w:sz w:val="24"/>
              <w:szCs w:val="24"/>
            </w:rPr>
          </w:pPr>
          <w:r w:rsidRPr="005808DD">
            <w:rPr>
              <w:rFonts w:ascii="Arial" w:hAnsi="Arial" w:cs="Arial"/>
              <w:color w:val="auto"/>
              <w:sz w:val="24"/>
              <w:szCs w:val="24"/>
            </w:rPr>
            <w:t>Table of Contents</w:t>
          </w:r>
        </w:p>
        <w:p w14:paraId="6BF4BAF8" w14:textId="77777777" w:rsidR="005808DD" w:rsidRPr="005808DD" w:rsidRDefault="005808DD" w:rsidP="005808DD">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r w:rsidRPr="005808DD">
            <w:rPr>
              <w:rFonts w:ascii="Arial" w:hAnsi="Arial" w:cs="Arial"/>
              <w:sz w:val="24"/>
              <w:szCs w:val="24"/>
            </w:rPr>
            <w:fldChar w:fldCharType="begin"/>
          </w:r>
          <w:r w:rsidRPr="005808DD">
            <w:rPr>
              <w:rFonts w:ascii="Arial" w:hAnsi="Arial" w:cs="Arial"/>
              <w:sz w:val="24"/>
              <w:szCs w:val="24"/>
            </w:rPr>
            <w:instrText xml:space="preserve"> TOC \o "1-3" \h \z \u </w:instrText>
          </w:r>
          <w:r w:rsidRPr="005808DD">
            <w:rPr>
              <w:rFonts w:ascii="Arial" w:hAnsi="Arial" w:cs="Arial"/>
              <w:sz w:val="24"/>
              <w:szCs w:val="24"/>
            </w:rPr>
            <w:fldChar w:fldCharType="separate"/>
          </w:r>
          <w:hyperlink w:anchor="_Toc213948207" w:history="1">
            <w:r w:rsidRPr="005808DD">
              <w:rPr>
                <w:rStyle w:val="Hyperlink"/>
                <w:rFonts w:ascii="Arial" w:hAnsi="Arial" w:cs="Arial"/>
                <w:b w:val="0"/>
                <w:noProof/>
                <w:color w:val="auto"/>
                <w:sz w:val="24"/>
                <w:szCs w:val="24"/>
              </w:rPr>
              <w:t>1. Introduction</w:t>
            </w:r>
            <w:r w:rsidRPr="005808DD">
              <w:rPr>
                <w:rFonts w:ascii="Arial" w:hAnsi="Arial" w:cs="Arial"/>
                <w:b w:val="0"/>
                <w:noProof/>
                <w:webHidden/>
                <w:sz w:val="24"/>
                <w:szCs w:val="24"/>
              </w:rPr>
              <w:tab/>
            </w:r>
            <w:r w:rsidRPr="005808DD">
              <w:rPr>
                <w:rFonts w:ascii="Arial" w:hAnsi="Arial" w:cs="Arial"/>
                <w:b w:val="0"/>
                <w:noProof/>
                <w:webHidden/>
                <w:sz w:val="24"/>
                <w:szCs w:val="24"/>
              </w:rPr>
              <w:fldChar w:fldCharType="begin"/>
            </w:r>
            <w:r w:rsidRPr="005808DD">
              <w:rPr>
                <w:rFonts w:ascii="Arial" w:hAnsi="Arial" w:cs="Arial"/>
                <w:b w:val="0"/>
                <w:noProof/>
                <w:webHidden/>
                <w:sz w:val="24"/>
                <w:szCs w:val="24"/>
              </w:rPr>
              <w:instrText xml:space="preserve"> PAGEREF _Toc213948207 \h </w:instrText>
            </w:r>
            <w:r w:rsidRPr="005808DD">
              <w:rPr>
                <w:rFonts w:ascii="Arial" w:hAnsi="Arial" w:cs="Arial"/>
                <w:b w:val="0"/>
                <w:noProof/>
                <w:webHidden/>
                <w:sz w:val="24"/>
                <w:szCs w:val="24"/>
              </w:rPr>
            </w:r>
            <w:r w:rsidRPr="005808DD">
              <w:rPr>
                <w:rFonts w:ascii="Arial" w:hAnsi="Arial" w:cs="Arial"/>
                <w:b w:val="0"/>
                <w:noProof/>
                <w:webHidden/>
                <w:sz w:val="24"/>
                <w:szCs w:val="24"/>
              </w:rPr>
              <w:fldChar w:fldCharType="separate"/>
            </w:r>
            <w:r w:rsidRPr="005808DD">
              <w:rPr>
                <w:rFonts w:ascii="Arial" w:hAnsi="Arial" w:cs="Arial"/>
                <w:b w:val="0"/>
                <w:noProof/>
                <w:webHidden/>
                <w:sz w:val="24"/>
                <w:szCs w:val="24"/>
              </w:rPr>
              <w:t>4</w:t>
            </w:r>
            <w:r w:rsidRPr="005808DD">
              <w:rPr>
                <w:rFonts w:ascii="Arial" w:hAnsi="Arial" w:cs="Arial"/>
                <w:b w:val="0"/>
                <w:noProof/>
                <w:webHidden/>
                <w:sz w:val="24"/>
                <w:szCs w:val="24"/>
              </w:rPr>
              <w:fldChar w:fldCharType="end"/>
            </w:r>
          </w:hyperlink>
        </w:p>
        <w:p w14:paraId="26B5A392" w14:textId="77777777" w:rsidR="005808DD" w:rsidRPr="005808DD" w:rsidRDefault="002F0219" w:rsidP="005808DD">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3948208" w:history="1">
            <w:r w:rsidR="005808DD" w:rsidRPr="005808DD">
              <w:rPr>
                <w:rStyle w:val="Hyperlink"/>
                <w:rFonts w:ascii="Arial" w:hAnsi="Arial" w:cs="Arial"/>
                <w:b w:val="0"/>
                <w:noProof/>
                <w:color w:val="auto"/>
                <w:sz w:val="24"/>
                <w:szCs w:val="24"/>
              </w:rPr>
              <w:t>2. Task 1: Critical Analysis of the Macro Marketing Environment</w:t>
            </w:r>
            <w:r w:rsidR="005808DD" w:rsidRPr="005808DD">
              <w:rPr>
                <w:rFonts w:ascii="Arial" w:hAnsi="Arial" w:cs="Arial"/>
                <w:b w:val="0"/>
                <w:noProof/>
                <w:webHidden/>
                <w:sz w:val="24"/>
                <w:szCs w:val="24"/>
              </w:rPr>
              <w:tab/>
            </w:r>
            <w:r w:rsidR="005808DD" w:rsidRPr="005808DD">
              <w:rPr>
                <w:rFonts w:ascii="Arial" w:hAnsi="Arial" w:cs="Arial"/>
                <w:b w:val="0"/>
                <w:noProof/>
                <w:webHidden/>
                <w:sz w:val="24"/>
                <w:szCs w:val="24"/>
              </w:rPr>
              <w:fldChar w:fldCharType="begin"/>
            </w:r>
            <w:r w:rsidR="005808DD" w:rsidRPr="005808DD">
              <w:rPr>
                <w:rFonts w:ascii="Arial" w:hAnsi="Arial" w:cs="Arial"/>
                <w:b w:val="0"/>
                <w:noProof/>
                <w:webHidden/>
                <w:sz w:val="24"/>
                <w:szCs w:val="24"/>
              </w:rPr>
              <w:instrText xml:space="preserve"> PAGEREF _Toc213948208 \h </w:instrText>
            </w:r>
            <w:r w:rsidR="005808DD" w:rsidRPr="005808DD">
              <w:rPr>
                <w:rFonts w:ascii="Arial" w:hAnsi="Arial" w:cs="Arial"/>
                <w:b w:val="0"/>
                <w:noProof/>
                <w:webHidden/>
                <w:sz w:val="24"/>
                <w:szCs w:val="24"/>
              </w:rPr>
            </w:r>
            <w:r w:rsidR="005808DD" w:rsidRPr="005808DD">
              <w:rPr>
                <w:rFonts w:ascii="Arial" w:hAnsi="Arial" w:cs="Arial"/>
                <w:b w:val="0"/>
                <w:noProof/>
                <w:webHidden/>
                <w:sz w:val="24"/>
                <w:szCs w:val="24"/>
              </w:rPr>
              <w:fldChar w:fldCharType="separate"/>
            </w:r>
            <w:r w:rsidR="005808DD" w:rsidRPr="005808DD">
              <w:rPr>
                <w:rFonts w:ascii="Arial" w:hAnsi="Arial" w:cs="Arial"/>
                <w:b w:val="0"/>
                <w:noProof/>
                <w:webHidden/>
                <w:sz w:val="24"/>
                <w:szCs w:val="24"/>
              </w:rPr>
              <w:t>4</w:t>
            </w:r>
            <w:r w:rsidR="005808DD" w:rsidRPr="005808DD">
              <w:rPr>
                <w:rFonts w:ascii="Arial" w:hAnsi="Arial" w:cs="Arial"/>
                <w:b w:val="0"/>
                <w:noProof/>
                <w:webHidden/>
                <w:sz w:val="24"/>
                <w:szCs w:val="24"/>
              </w:rPr>
              <w:fldChar w:fldCharType="end"/>
            </w:r>
          </w:hyperlink>
        </w:p>
        <w:p w14:paraId="2150EC09" w14:textId="77777777" w:rsidR="005808DD" w:rsidRPr="005808DD" w:rsidRDefault="002F0219" w:rsidP="005808DD">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3948209" w:history="1">
            <w:r w:rsidR="005808DD" w:rsidRPr="005808DD">
              <w:rPr>
                <w:rStyle w:val="Hyperlink"/>
                <w:rFonts w:ascii="Arial" w:hAnsi="Arial" w:cs="Arial"/>
                <w:noProof/>
                <w:color w:val="auto"/>
                <w:sz w:val="24"/>
                <w:szCs w:val="24"/>
              </w:rPr>
              <w:t>2.1 Overview of the Macro Marketing Environment</w:t>
            </w:r>
            <w:r w:rsidR="005808DD" w:rsidRPr="005808DD">
              <w:rPr>
                <w:rFonts w:ascii="Arial" w:hAnsi="Arial" w:cs="Arial"/>
                <w:noProof/>
                <w:webHidden/>
                <w:sz w:val="24"/>
                <w:szCs w:val="24"/>
              </w:rPr>
              <w:tab/>
            </w:r>
            <w:r w:rsidR="005808DD" w:rsidRPr="005808DD">
              <w:rPr>
                <w:rFonts w:ascii="Arial" w:hAnsi="Arial" w:cs="Arial"/>
                <w:noProof/>
                <w:webHidden/>
                <w:sz w:val="24"/>
                <w:szCs w:val="24"/>
              </w:rPr>
              <w:fldChar w:fldCharType="begin"/>
            </w:r>
            <w:r w:rsidR="005808DD" w:rsidRPr="005808DD">
              <w:rPr>
                <w:rFonts w:ascii="Arial" w:hAnsi="Arial" w:cs="Arial"/>
                <w:noProof/>
                <w:webHidden/>
                <w:sz w:val="24"/>
                <w:szCs w:val="24"/>
              </w:rPr>
              <w:instrText xml:space="preserve"> PAGEREF _Toc213948209 \h </w:instrText>
            </w:r>
            <w:r w:rsidR="005808DD" w:rsidRPr="005808DD">
              <w:rPr>
                <w:rFonts w:ascii="Arial" w:hAnsi="Arial" w:cs="Arial"/>
                <w:noProof/>
                <w:webHidden/>
                <w:sz w:val="24"/>
                <w:szCs w:val="24"/>
              </w:rPr>
            </w:r>
            <w:r w:rsidR="005808DD" w:rsidRPr="005808DD">
              <w:rPr>
                <w:rFonts w:ascii="Arial" w:hAnsi="Arial" w:cs="Arial"/>
                <w:noProof/>
                <w:webHidden/>
                <w:sz w:val="24"/>
                <w:szCs w:val="24"/>
              </w:rPr>
              <w:fldChar w:fldCharType="separate"/>
            </w:r>
            <w:r w:rsidR="005808DD" w:rsidRPr="005808DD">
              <w:rPr>
                <w:rFonts w:ascii="Arial" w:hAnsi="Arial" w:cs="Arial"/>
                <w:noProof/>
                <w:webHidden/>
                <w:sz w:val="24"/>
                <w:szCs w:val="24"/>
              </w:rPr>
              <w:t>4</w:t>
            </w:r>
            <w:r w:rsidR="005808DD" w:rsidRPr="005808DD">
              <w:rPr>
                <w:rFonts w:ascii="Arial" w:hAnsi="Arial" w:cs="Arial"/>
                <w:noProof/>
                <w:webHidden/>
                <w:sz w:val="24"/>
                <w:szCs w:val="24"/>
              </w:rPr>
              <w:fldChar w:fldCharType="end"/>
            </w:r>
          </w:hyperlink>
        </w:p>
        <w:p w14:paraId="387BE080" w14:textId="77777777" w:rsidR="005808DD" w:rsidRPr="005808DD" w:rsidRDefault="002F0219" w:rsidP="005808DD">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3948210" w:history="1">
            <w:r w:rsidR="005808DD" w:rsidRPr="005808DD">
              <w:rPr>
                <w:rStyle w:val="Hyperlink"/>
                <w:rFonts w:ascii="Arial" w:hAnsi="Arial" w:cs="Arial"/>
                <w:noProof/>
                <w:color w:val="auto"/>
                <w:sz w:val="24"/>
                <w:szCs w:val="24"/>
              </w:rPr>
              <w:t>2.2 Selection of Two External Macro Marketing Actors</w:t>
            </w:r>
            <w:r w:rsidR="005808DD" w:rsidRPr="005808DD">
              <w:rPr>
                <w:rFonts w:ascii="Arial" w:hAnsi="Arial" w:cs="Arial"/>
                <w:noProof/>
                <w:webHidden/>
                <w:sz w:val="24"/>
                <w:szCs w:val="24"/>
              </w:rPr>
              <w:tab/>
            </w:r>
            <w:r w:rsidR="005808DD" w:rsidRPr="005808DD">
              <w:rPr>
                <w:rFonts w:ascii="Arial" w:hAnsi="Arial" w:cs="Arial"/>
                <w:noProof/>
                <w:webHidden/>
                <w:sz w:val="24"/>
                <w:szCs w:val="24"/>
              </w:rPr>
              <w:fldChar w:fldCharType="begin"/>
            </w:r>
            <w:r w:rsidR="005808DD" w:rsidRPr="005808DD">
              <w:rPr>
                <w:rFonts w:ascii="Arial" w:hAnsi="Arial" w:cs="Arial"/>
                <w:noProof/>
                <w:webHidden/>
                <w:sz w:val="24"/>
                <w:szCs w:val="24"/>
              </w:rPr>
              <w:instrText xml:space="preserve"> PAGEREF _Toc213948210 \h </w:instrText>
            </w:r>
            <w:r w:rsidR="005808DD" w:rsidRPr="005808DD">
              <w:rPr>
                <w:rFonts w:ascii="Arial" w:hAnsi="Arial" w:cs="Arial"/>
                <w:noProof/>
                <w:webHidden/>
                <w:sz w:val="24"/>
                <w:szCs w:val="24"/>
              </w:rPr>
            </w:r>
            <w:r w:rsidR="005808DD" w:rsidRPr="005808DD">
              <w:rPr>
                <w:rFonts w:ascii="Arial" w:hAnsi="Arial" w:cs="Arial"/>
                <w:noProof/>
                <w:webHidden/>
                <w:sz w:val="24"/>
                <w:szCs w:val="24"/>
              </w:rPr>
              <w:fldChar w:fldCharType="separate"/>
            </w:r>
            <w:r w:rsidR="005808DD" w:rsidRPr="005808DD">
              <w:rPr>
                <w:rFonts w:ascii="Arial" w:hAnsi="Arial" w:cs="Arial"/>
                <w:noProof/>
                <w:webHidden/>
                <w:sz w:val="24"/>
                <w:szCs w:val="24"/>
              </w:rPr>
              <w:t>5</w:t>
            </w:r>
            <w:r w:rsidR="005808DD" w:rsidRPr="005808DD">
              <w:rPr>
                <w:rFonts w:ascii="Arial" w:hAnsi="Arial" w:cs="Arial"/>
                <w:noProof/>
                <w:webHidden/>
                <w:sz w:val="24"/>
                <w:szCs w:val="24"/>
              </w:rPr>
              <w:fldChar w:fldCharType="end"/>
            </w:r>
          </w:hyperlink>
        </w:p>
        <w:p w14:paraId="03605011" w14:textId="77777777" w:rsidR="005808DD" w:rsidRPr="005808DD" w:rsidRDefault="002F0219" w:rsidP="005808DD">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3948211" w:history="1">
            <w:r w:rsidR="005808DD" w:rsidRPr="005808DD">
              <w:rPr>
                <w:rStyle w:val="Hyperlink"/>
                <w:rFonts w:ascii="Arial" w:hAnsi="Arial" w:cs="Arial"/>
                <w:noProof/>
                <w:color w:val="auto"/>
                <w:sz w:val="24"/>
                <w:szCs w:val="24"/>
              </w:rPr>
              <w:t>2.3 Critical Analysis of Each Actor</w:t>
            </w:r>
            <w:r w:rsidR="005808DD" w:rsidRPr="005808DD">
              <w:rPr>
                <w:rFonts w:ascii="Arial" w:hAnsi="Arial" w:cs="Arial"/>
                <w:noProof/>
                <w:webHidden/>
                <w:sz w:val="24"/>
                <w:szCs w:val="24"/>
              </w:rPr>
              <w:tab/>
            </w:r>
            <w:r w:rsidR="005808DD" w:rsidRPr="005808DD">
              <w:rPr>
                <w:rFonts w:ascii="Arial" w:hAnsi="Arial" w:cs="Arial"/>
                <w:noProof/>
                <w:webHidden/>
                <w:sz w:val="24"/>
                <w:szCs w:val="24"/>
              </w:rPr>
              <w:fldChar w:fldCharType="begin"/>
            </w:r>
            <w:r w:rsidR="005808DD" w:rsidRPr="005808DD">
              <w:rPr>
                <w:rFonts w:ascii="Arial" w:hAnsi="Arial" w:cs="Arial"/>
                <w:noProof/>
                <w:webHidden/>
                <w:sz w:val="24"/>
                <w:szCs w:val="24"/>
              </w:rPr>
              <w:instrText xml:space="preserve"> PAGEREF _Toc213948211 \h </w:instrText>
            </w:r>
            <w:r w:rsidR="005808DD" w:rsidRPr="005808DD">
              <w:rPr>
                <w:rFonts w:ascii="Arial" w:hAnsi="Arial" w:cs="Arial"/>
                <w:noProof/>
                <w:webHidden/>
                <w:sz w:val="24"/>
                <w:szCs w:val="24"/>
              </w:rPr>
            </w:r>
            <w:r w:rsidR="005808DD" w:rsidRPr="005808DD">
              <w:rPr>
                <w:rFonts w:ascii="Arial" w:hAnsi="Arial" w:cs="Arial"/>
                <w:noProof/>
                <w:webHidden/>
                <w:sz w:val="24"/>
                <w:szCs w:val="24"/>
              </w:rPr>
              <w:fldChar w:fldCharType="separate"/>
            </w:r>
            <w:r w:rsidR="005808DD" w:rsidRPr="005808DD">
              <w:rPr>
                <w:rFonts w:ascii="Arial" w:hAnsi="Arial" w:cs="Arial"/>
                <w:noProof/>
                <w:webHidden/>
                <w:sz w:val="24"/>
                <w:szCs w:val="24"/>
              </w:rPr>
              <w:t>6</w:t>
            </w:r>
            <w:r w:rsidR="005808DD" w:rsidRPr="005808DD">
              <w:rPr>
                <w:rFonts w:ascii="Arial" w:hAnsi="Arial" w:cs="Arial"/>
                <w:noProof/>
                <w:webHidden/>
                <w:sz w:val="24"/>
                <w:szCs w:val="24"/>
              </w:rPr>
              <w:fldChar w:fldCharType="end"/>
            </w:r>
          </w:hyperlink>
        </w:p>
        <w:p w14:paraId="20EC4D2E" w14:textId="77777777" w:rsidR="005808DD" w:rsidRPr="005808DD" w:rsidRDefault="002F0219" w:rsidP="005808DD">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3948212" w:history="1">
            <w:r w:rsidR="005808DD" w:rsidRPr="005808DD">
              <w:rPr>
                <w:rStyle w:val="Hyperlink"/>
                <w:rFonts w:ascii="Arial" w:hAnsi="Arial" w:cs="Arial"/>
                <w:b w:val="0"/>
                <w:noProof/>
                <w:color w:val="auto"/>
                <w:sz w:val="24"/>
                <w:szCs w:val="24"/>
              </w:rPr>
              <w:t>3. Task 2: Strategic Responses of Pioneering and Follower Organisations</w:t>
            </w:r>
            <w:r w:rsidR="005808DD" w:rsidRPr="005808DD">
              <w:rPr>
                <w:rFonts w:ascii="Arial" w:hAnsi="Arial" w:cs="Arial"/>
                <w:b w:val="0"/>
                <w:noProof/>
                <w:webHidden/>
                <w:sz w:val="24"/>
                <w:szCs w:val="24"/>
              </w:rPr>
              <w:tab/>
            </w:r>
            <w:r w:rsidR="005808DD" w:rsidRPr="005808DD">
              <w:rPr>
                <w:rFonts w:ascii="Arial" w:hAnsi="Arial" w:cs="Arial"/>
                <w:b w:val="0"/>
                <w:noProof/>
                <w:webHidden/>
                <w:sz w:val="24"/>
                <w:szCs w:val="24"/>
              </w:rPr>
              <w:fldChar w:fldCharType="begin"/>
            </w:r>
            <w:r w:rsidR="005808DD" w:rsidRPr="005808DD">
              <w:rPr>
                <w:rFonts w:ascii="Arial" w:hAnsi="Arial" w:cs="Arial"/>
                <w:b w:val="0"/>
                <w:noProof/>
                <w:webHidden/>
                <w:sz w:val="24"/>
                <w:szCs w:val="24"/>
              </w:rPr>
              <w:instrText xml:space="preserve"> PAGEREF _Toc213948212 \h </w:instrText>
            </w:r>
            <w:r w:rsidR="005808DD" w:rsidRPr="005808DD">
              <w:rPr>
                <w:rFonts w:ascii="Arial" w:hAnsi="Arial" w:cs="Arial"/>
                <w:b w:val="0"/>
                <w:noProof/>
                <w:webHidden/>
                <w:sz w:val="24"/>
                <w:szCs w:val="24"/>
              </w:rPr>
            </w:r>
            <w:r w:rsidR="005808DD" w:rsidRPr="005808DD">
              <w:rPr>
                <w:rFonts w:ascii="Arial" w:hAnsi="Arial" w:cs="Arial"/>
                <w:b w:val="0"/>
                <w:noProof/>
                <w:webHidden/>
                <w:sz w:val="24"/>
                <w:szCs w:val="24"/>
              </w:rPr>
              <w:fldChar w:fldCharType="separate"/>
            </w:r>
            <w:r w:rsidR="005808DD" w:rsidRPr="005808DD">
              <w:rPr>
                <w:rFonts w:ascii="Arial" w:hAnsi="Arial" w:cs="Arial"/>
                <w:b w:val="0"/>
                <w:noProof/>
                <w:webHidden/>
                <w:sz w:val="24"/>
                <w:szCs w:val="24"/>
              </w:rPr>
              <w:t>9</w:t>
            </w:r>
            <w:r w:rsidR="005808DD" w:rsidRPr="005808DD">
              <w:rPr>
                <w:rFonts w:ascii="Arial" w:hAnsi="Arial" w:cs="Arial"/>
                <w:b w:val="0"/>
                <w:noProof/>
                <w:webHidden/>
                <w:sz w:val="24"/>
                <w:szCs w:val="24"/>
              </w:rPr>
              <w:fldChar w:fldCharType="end"/>
            </w:r>
          </w:hyperlink>
        </w:p>
        <w:p w14:paraId="2459AF9C" w14:textId="77777777" w:rsidR="005808DD" w:rsidRPr="005808DD" w:rsidRDefault="002F0219" w:rsidP="005808DD">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3948213" w:history="1">
            <w:r w:rsidR="005808DD" w:rsidRPr="005808DD">
              <w:rPr>
                <w:rStyle w:val="Hyperlink"/>
                <w:rFonts w:ascii="Arial" w:hAnsi="Arial" w:cs="Arial"/>
                <w:noProof/>
                <w:color w:val="auto"/>
                <w:sz w:val="24"/>
                <w:szCs w:val="24"/>
              </w:rPr>
              <w:t>3.1 Pioneering Organisations’ Strategic Responses</w:t>
            </w:r>
            <w:r w:rsidR="005808DD" w:rsidRPr="005808DD">
              <w:rPr>
                <w:rFonts w:ascii="Arial" w:hAnsi="Arial" w:cs="Arial"/>
                <w:noProof/>
                <w:webHidden/>
                <w:sz w:val="24"/>
                <w:szCs w:val="24"/>
              </w:rPr>
              <w:tab/>
            </w:r>
            <w:r w:rsidR="005808DD" w:rsidRPr="005808DD">
              <w:rPr>
                <w:rFonts w:ascii="Arial" w:hAnsi="Arial" w:cs="Arial"/>
                <w:noProof/>
                <w:webHidden/>
                <w:sz w:val="24"/>
                <w:szCs w:val="24"/>
              </w:rPr>
              <w:fldChar w:fldCharType="begin"/>
            </w:r>
            <w:r w:rsidR="005808DD" w:rsidRPr="005808DD">
              <w:rPr>
                <w:rFonts w:ascii="Arial" w:hAnsi="Arial" w:cs="Arial"/>
                <w:noProof/>
                <w:webHidden/>
                <w:sz w:val="24"/>
                <w:szCs w:val="24"/>
              </w:rPr>
              <w:instrText xml:space="preserve"> PAGEREF _Toc213948213 \h </w:instrText>
            </w:r>
            <w:r w:rsidR="005808DD" w:rsidRPr="005808DD">
              <w:rPr>
                <w:rFonts w:ascii="Arial" w:hAnsi="Arial" w:cs="Arial"/>
                <w:noProof/>
                <w:webHidden/>
                <w:sz w:val="24"/>
                <w:szCs w:val="24"/>
              </w:rPr>
            </w:r>
            <w:r w:rsidR="005808DD" w:rsidRPr="005808DD">
              <w:rPr>
                <w:rFonts w:ascii="Arial" w:hAnsi="Arial" w:cs="Arial"/>
                <w:noProof/>
                <w:webHidden/>
                <w:sz w:val="24"/>
                <w:szCs w:val="24"/>
              </w:rPr>
              <w:fldChar w:fldCharType="separate"/>
            </w:r>
            <w:r w:rsidR="005808DD" w:rsidRPr="005808DD">
              <w:rPr>
                <w:rFonts w:ascii="Arial" w:hAnsi="Arial" w:cs="Arial"/>
                <w:noProof/>
                <w:webHidden/>
                <w:sz w:val="24"/>
                <w:szCs w:val="24"/>
              </w:rPr>
              <w:t>9</w:t>
            </w:r>
            <w:r w:rsidR="005808DD" w:rsidRPr="005808DD">
              <w:rPr>
                <w:rFonts w:ascii="Arial" w:hAnsi="Arial" w:cs="Arial"/>
                <w:noProof/>
                <w:webHidden/>
                <w:sz w:val="24"/>
                <w:szCs w:val="24"/>
              </w:rPr>
              <w:fldChar w:fldCharType="end"/>
            </w:r>
          </w:hyperlink>
        </w:p>
        <w:p w14:paraId="1FB2BB9B" w14:textId="77777777" w:rsidR="005808DD" w:rsidRPr="005808DD" w:rsidRDefault="002F0219" w:rsidP="005808DD">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3948214" w:history="1">
            <w:r w:rsidR="005808DD" w:rsidRPr="005808DD">
              <w:rPr>
                <w:rStyle w:val="Hyperlink"/>
                <w:rFonts w:ascii="Arial" w:hAnsi="Arial" w:cs="Arial"/>
                <w:noProof/>
                <w:color w:val="auto"/>
                <w:sz w:val="24"/>
                <w:szCs w:val="24"/>
              </w:rPr>
              <w:t>3.2 Follower Organisations’ Strategic Responses</w:t>
            </w:r>
            <w:r w:rsidR="005808DD" w:rsidRPr="005808DD">
              <w:rPr>
                <w:rFonts w:ascii="Arial" w:hAnsi="Arial" w:cs="Arial"/>
                <w:noProof/>
                <w:webHidden/>
                <w:sz w:val="24"/>
                <w:szCs w:val="24"/>
              </w:rPr>
              <w:tab/>
            </w:r>
            <w:r w:rsidR="005808DD" w:rsidRPr="005808DD">
              <w:rPr>
                <w:rFonts w:ascii="Arial" w:hAnsi="Arial" w:cs="Arial"/>
                <w:noProof/>
                <w:webHidden/>
                <w:sz w:val="24"/>
                <w:szCs w:val="24"/>
              </w:rPr>
              <w:fldChar w:fldCharType="begin"/>
            </w:r>
            <w:r w:rsidR="005808DD" w:rsidRPr="005808DD">
              <w:rPr>
                <w:rFonts w:ascii="Arial" w:hAnsi="Arial" w:cs="Arial"/>
                <w:noProof/>
                <w:webHidden/>
                <w:sz w:val="24"/>
                <w:szCs w:val="24"/>
              </w:rPr>
              <w:instrText xml:space="preserve"> PAGEREF _Toc213948214 \h </w:instrText>
            </w:r>
            <w:r w:rsidR="005808DD" w:rsidRPr="005808DD">
              <w:rPr>
                <w:rFonts w:ascii="Arial" w:hAnsi="Arial" w:cs="Arial"/>
                <w:noProof/>
                <w:webHidden/>
                <w:sz w:val="24"/>
                <w:szCs w:val="24"/>
              </w:rPr>
            </w:r>
            <w:r w:rsidR="005808DD" w:rsidRPr="005808DD">
              <w:rPr>
                <w:rFonts w:ascii="Arial" w:hAnsi="Arial" w:cs="Arial"/>
                <w:noProof/>
                <w:webHidden/>
                <w:sz w:val="24"/>
                <w:szCs w:val="24"/>
              </w:rPr>
              <w:fldChar w:fldCharType="separate"/>
            </w:r>
            <w:r w:rsidR="005808DD" w:rsidRPr="005808DD">
              <w:rPr>
                <w:rFonts w:ascii="Arial" w:hAnsi="Arial" w:cs="Arial"/>
                <w:noProof/>
                <w:webHidden/>
                <w:sz w:val="24"/>
                <w:szCs w:val="24"/>
              </w:rPr>
              <w:t>12</w:t>
            </w:r>
            <w:r w:rsidR="005808DD" w:rsidRPr="005808DD">
              <w:rPr>
                <w:rFonts w:ascii="Arial" w:hAnsi="Arial" w:cs="Arial"/>
                <w:noProof/>
                <w:webHidden/>
                <w:sz w:val="24"/>
                <w:szCs w:val="24"/>
              </w:rPr>
              <w:fldChar w:fldCharType="end"/>
            </w:r>
          </w:hyperlink>
        </w:p>
        <w:p w14:paraId="26D3EB2C" w14:textId="77777777" w:rsidR="005808DD" w:rsidRPr="005808DD" w:rsidRDefault="002F0219" w:rsidP="005808DD">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3948215" w:history="1">
            <w:r w:rsidR="005808DD" w:rsidRPr="005808DD">
              <w:rPr>
                <w:rStyle w:val="Hyperlink"/>
                <w:rFonts w:ascii="Arial" w:hAnsi="Arial" w:cs="Arial"/>
                <w:b w:val="0"/>
                <w:noProof/>
                <w:color w:val="auto"/>
                <w:sz w:val="24"/>
                <w:szCs w:val="24"/>
              </w:rPr>
              <w:t>4. Conclusion</w:t>
            </w:r>
            <w:r w:rsidR="005808DD" w:rsidRPr="005808DD">
              <w:rPr>
                <w:rFonts w:ascii="Arial" w:hAnsi="Arial" w:cs="Arial"/>
                <w:b w:val="0"/>
                <w:noProof/>
                <w:webHidden/>
                <w:sz w:val="24"/>
                <w:szCs w:val="24"/>
              </w:rPr>
              <w:tab/>
            </w:r>
            <w:r w:rsidR="005808DD" w:rsidRPr="005808DD">
              <w:rPr>
                <w:rFonts w:ascii="Arial" w:hAnsi="Arial" w:cs="Arial"/>
                <w:b w:val="0"/>
                <w:noProof/>
                <w:webHidden/>
                <w:sz w:val="24"/>
                <w:szCs w:val="24"/>
              </w:rPr>
              <w:fldChar w:fldCharType="begin"/>
            </w:r>
            <w:r w:rsidR="005808DD" w:rsidRPr="005808DD">
              <w:rPr>
                <w:rFonts w:ascii="Arial" w:hAnsi="Arial" w:cs="Arial"/>
                <w:b w:val="0"/>
                <w:noProof/>
                <w:webHidden/>
                <w:sz w:val="24"/>
                <w:szCs w:val="24"/>
              </w:rPr>
              <w:instrText xml:space="preserve"> PAGEREF _Toc213948215 \h </w:instrText>
            </w:r>
            <w:r w:rsidR="005808DD" w:rsidRPr="005808DD">
              <w:rPr>
                <w:rFonts w:ascii="Arial" w:hAnsi="Arial" w:cs="Arial"/>
                <w:b w:val="0"/>
                <w:noProof/>
                <w:webHidden/>
                <w:sz w:val="24"/>
                <w:szCs w:val="24"/>
              </w:rPr>
            </w:r>
            <w:r w:rsidR="005808DD" w:rsidRPr="005808DD">
              <w:rPr>
                <w:rFonts w:ascii="Arial" w:hAnsi="Arial" w:cs="Arial"/>
                <w:b w:val="0"/>
                <w:noProof/>
                <w:webHidden/>
                <w:sz w:val="24"/>
                <w:szCs w:val="24"/>
              </w:rPr>
              <w:fldChar w:fldCharType="separate"/>
            </w:r>
            <w:r w:rsidR="005808DD" w:rsidRPr="005808DD">
              <w:rPr>
                <w:rFonts w:ascii="Arial" w:hAnsi="Arial" w:cs="Arial"/>
                <w:b w:val="0"/>
                <w:noProof/>
                <w:webHidden/>
                <w:sz w:val="24"/>
                <w:szCs w:val="24"/>
              </w:rPr>
              <w:t>14</w:t>
            </w:r>
            <w:r w:rsidR="005808DD" w:rsidRPr="005808DD">
              <w:rPr>
                <w:rFonts w:ascii="Arial" w:hAnsi="Arial" w:cs="Arial"/>
                <w:b w:val="0"/>
                <w:noProof/>
                <w:webHidden/>
                <w:sz w:val="24"/>
                <w:szCs w:val="24"/>
              </w:rPr>
              <w:fldChar w:fldCharType="end"/>
            </w:r>
          </w:hyperlink>
        </w:p>
        <w:p w14:paraId="2AF1C3DD" w14:textId="77777777" w:rsidR="005808DD" w:rsidRPr="005808DD" w:rsidRDefault="002F0219" w:rsidP="005808DD">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3948216" w:history="1">
            <w:r w:rsidR="005808DD" w:rsidRPr="005808DD">
              <w:rPr>
                <w:rStyle w:val="Hyperlink"/>
                <w:rFonts w:ascii="Arial" w:hAnsi="Arial" w:cs="Arial"/>
                <w:b w:val="0"/>
                <w:noProof/>
                <w:color w:val="auto"/>
                <w:sz w:val="24"/>
                <w:szCs w:val="24"/>
              </w:rPr>
              <w:t>5. References</w:t>
            </w:r>
            <w:r w:rsidR="005808DD" w:rsidRPr="005808DD">
              <w:rPr>
                <w:rFonts w:ascii="Arial" w:hAnsi="Arial" w:cs="Arial"/>
                <w:b w:val="0"/>
                <w:noProof/>
                <w:webHidden/>
                <w:sz w:val="24"/>
                <w:szCs w:val="24"/>
              </w:rPr>
              <w:tab/>
            </w:r>
            <w:r w:rsidR="005808DD" w:rsidRPr="005808DD">
              <w:rPr>
                <w:rFonts w:ascii="Arial" w:hAnsi="Arial" w:cs="Arial"/>
                <w:b w:val="0"/>
                <w:noProof/>
                <w:webHidden/>
                <w:sz w:val="24"/>
                <w:szCs w:val="24"/>
              </w:rPr>
              <w:fldChar w:fldCharType="begin"/>
            </w:r>
            <w:r w:rsidR="005808DD" w:rsidRPr="005808DD">
              <w:rPr>
                <w:rFonts w:ascii="Arial" w:hAnsi="Arial" w:cs="Arial"/>
                <w:b w:val="0"/>
                <w:noProof/>
                <w:webHidden/>
                <w:sz w:val="24"/>
                <w:szCs w:val="24"/>
              </w:rPr>
              <w:instrText xml:space="preserve"> PAGEREF _Toc213948216 \h </w:instrText>
            </w:r>
            <w:r w:rsidR="005808DD" w:rsidRPr="005808DD">
              <w:rPr>
                <w:rFonts w:ascii="Arial" w:hAnsi="Arial" w:cs="Arial"/>
                <w:b w:val="0"/>
                <w:noProof/>
                <w:webHidden/>
                <w:sz w:val="24"/>
                <w:szCs w:val="24"/>
              </w:rPr>
            </w:r>
            <w:r w:rsidR="005808DD" w:rsidRPr="005808DD">
              <w:rPr>
                <w:rFonts w:ascii="Arial" w:hAnsi="Arial" w:cs="Arial"/>
                <w:b w:val="0"/>
                <w:noProof/>
                <w:webHidden/>
                <w:sz w:val="24"/>
                <w:szCs w:val="24"/>
              </w:rPr>
              <w:fldChar w:fldCharType="separate"/>
            </w:r>
            <w:r w:rsidR="005808DD" w:rsidRPr="005808DD">
              <w:rPr>
                <w:rFonts w:ascii="Arial" w:hAnsi="Arial" w:cs="Arial"/>
                <w:b w:val="0"/>
                <w:noProof/>
                <w:webHidden/>
                <w:sz w:val="24"/>
                <w:szCs w:val="24"/>
              </w:rPr>
              <w:t>16</w:t>
            </w:r>
            <w:r w:rsidR="005808DD" w:rsidRPr="005808DD">
              <w:rPr>
                <w:rFonts w:ascii="Arial" w:hAnsi="Arial" w:cs="Arial"/>
                <w:b w:val="0"/>
                <w:noProof/>
                <w:webHidden/>
                <w:sz w:val="24"/>
                <w:szCs w:val="24"/>
              </w:rPr>
              <w:fldChar w:fldCharType="end"/>
            </w:r>
          </w:hyperlink>
        </w:p>
        <w:p w14:paraId="796F963C" w14:textId="17F3B6B3" w:rsidR="005808DD" w:rsidRPr="005808DD" w:rsidRDefault="005808DD" w:rsidP="005808DD">
          <w:pPr>
            <w:spacing w:line="360" w:lineRule="auto"/>
            <w:rPr>
              <w:rFonts w:ascii="Arial" w:hAnsi="Arial" w:cs="Arial"/>
            </w:rPr>
          </w:pPr>
          <w:r w:rsidRPr="005808DD">
            <w:rPr>
              <w:rFonts w:ascii="Arial" w:hAnsi="Arial" w:cs="Arial"/>
              <w:b/>
              <w:bCs/>
              <w:noProof/>
            </w:rPr>
            <w:fldChar w:fldCharType="end"/>
          </w:r>
        </w:p>
      </w:sdtContent>
    </w:sdt>
    <w:p w14:paraId="389E3B61" w14:textId="59701E3E" w:rsidR="00C15490" w:rsidRPr="005808DD" w:rsidRDefault="00C15490">
      <w:pPr>
        <w:rPr>
          <w:rStyle w:val="Heading1Char"/>
          <w:rFonts w:ascii="Arial" w:hAnsi="Arial" w:cs="Arial"/>
          <w:b/>
          <w:color w:val="auto"/>
          <w:sz w:val="24"/>
          <w:szCs w:val="24"/>
        </w:rPr>
      </w:pPr>
      <w:r w:rsidRPr="005808DD">
        <w:rPr>
          <w:rStyle w:val="Heading1Char"/>
          <w:rFonts w:ascii="Arial" w:hAnsi="Arial" w:cs="Arial"/>
          <w:b/>
          <w:color w:val="auto"/>
          <w:sz w:val="24"/>
          <w:szCs w:val="24"/>
        </w:rPr>
        <w:br w:type="page"/>
      </w:r>
    </w:p>
    <w:p w14:paraId="14B123F0" w14:textId="2958D826" w:rsidR="00DE5D5B" w:rsidRPr="005808DD" w:rsidRDefault="00DE5D5B" w:rsidP="00941229">
      <w:pPr>
        <w:pStyle w:val="Heading1"/>
        <w:spacing w:line="360" w:lineRule="auto"/>
        <w:jc w:val="both"/>
        <w:rPr>
          <w:rFonts w:ascii="Arial" w:hAnsi="Arial" w:cs="Arial"/>
          <w:b/>
          <w:color w:val="auto"/>
          <w:sz w:val="24"/>
          <w:szCs w:val="24"/>
        </w:rPr>
      </w:pPr>
      <w:bookmarkStart w:id="2" w:name="_Toc213948207"/>
      <w:r w:rsidRPr="005808DD">
        <w:rPr>
          <w:rStyle w:val="Heading1Char"/>
          <w:rFonts w:ascii="Arial" w:hAnsi="Arial" w:cs="Arial"/>
          <w:b/>
          <w:color w:val="auto"/>
          <w:sz w:val="24"/>
          <w:szCs w:val="24"/>
        </w:rPr>
        <w:lastRenderedPageBreak/>
        <w:t>1. Introduction</w:t>
      </w:r>
      <w:bookmarkEnd w:id="2"/>
      <w:r w:rsidRPr="005808DD">
        <w:rPr>
          <w:rStyle w:val="Heading1Char"/>
          <w:rFonts w:ascii="Arial" w:hAnsi="Arial" w:cs="Arial"/>
          <w:b/>
          <w:color w:val="auto"/>
          <w:sz w:val="24"/>
          <w:szCs w:val="24"/>
        </w:rPr>
        <w:t xml:space="preserve"> </w:t>
      </w:r>
      <w:bookmarkEnd w:id="0"/>
    </w:p>
    <w:p w14:paraId="61B9C8FD" w14:textId="6ACD2C54" w:rsidR="00DE5D5B" w:rsidRPr="005808DD" w:rsidRDefault="00320C36" w:rsidP="00941229">
      <w:pPr>
        <w:spacing w:line="360" w:lineRule="auto"/>
        <w:jc w:val="both"/>
        <w:rPr>
          <w:rFonts w:ascii="Arial" w:eastAsiaTheme="majorEastAsia" w:hAnsi="Arial" w:cs="Arial"/>
          <w:b/>
        </w:rPr>
      </w:pPr>
      <w:r w:rsidRPr="005808DD">
        <w:rPr>
          <w:rFonts w:ascii="Arial" w:eastAsiaTheme="majorEastAsia" w:hAnsi="Arial" w:cs="Arial"/>
          <w:b/>
        </w:rPr>
        <w:t>Purpose and focus of the report in relation to strategic marketing management</w:t>
      </w:r>
    </w:p>
    <w:p w14:paraId="44E7E542" w14:textId="1124AAE5" w:rsidR="00B422CA" w:rsidRPr="005808DD" w:rsidRDefault="00082486" w:rsidP="00941229">
      <w:pPr>
        <w:spacing w:line="360" w:lineRule="auto"/>
        <w:jc w:val="both"/>
        <w:rPr>
          <w:rFonts w:ascii="Arial" w:eastAsiaTheme="majorEastAsia" w:hAnsi="Arial" w:cs="Arial"/>
        </w:rPr>
      </w:pPr>
      <w:r w:rsidRPr="005808DD">
        <w:rPr>
          <w:rFonts w:ascii="Arial" w:eastAsiaTheme="majorEastAsia" w:hAnsi="Arial" w:cs="Arial"/>
        </w:rPr>
        <w:t xml:space="preserve">The aim and object of this report is to examine the impact of major macro environmental forces on strategic marketing choice of pioneers and followers in the same industry. This report, by analysing political and legal forces, identifies the opportunities, threats and competitive strategies that are formed by external forces and the need to </w:t>
      </w:r>
      <w:r w:rsidR="004273D2" w:rsidRPr="005808DD">
        <w:rPr>
          <w:rFonts w:ascii="Arial" w:eastAsiaTheme="majorEastAsia" w:hAnsi="Arial" w:cs="Arial"/>
        </w:rPr>
        <w:t>interrelate the</w:t>
      </w:r>
      <w:r w:rsidRPr="005808DD">
        <w:rPr>
          <w:rFonts w:ascii="Arial" w:eastAsiaTheme="majorEastAsia" w:hAnsi="Arial" w:cs="Arial"/>
        </w:rPr>
        <w:t xml:space="preserve"> marketing decisions with the whole environment.</w:t>
      </w:r>
    </w:p>
    <w:p w14:paraId="5C2A939E" w14:textId="0170297D" w:rsidR="00320C36" w:rsidRPr="005808DD" w:rsidRDefault="00320C36" w:rsidP="00941229">
      <w:pPr>
        <w:spacing w:line="360" w:lineRule="auto"/>
        <w:jc w:val="both"/>
        <w:rPr>
          <w:rFonts w:ascii="Arial" w:eastAsiaTheme="majorEastAsia" w:hAnsi="Arial" w:cs="Arial"/>
          <w:b/>
        </w:rPr>
      </w:pPr>
      <w:r w:rsidRPr="005808DD">
        <w:rPr>
          <w:rFonts w:ascii="Arial" w:eastAsiaTheme="majorEastAsia" w:hAnsi="Arial" w:cs="Arial"/>
          <w:b/>
        </w:rPr>
        <w:t>Importance of analysing the macro marketing environment as part of strategic decision-making</w:t>
      </w:r>
    </w:p>
    <w:p w14:paraId="7AB7C412" w14:textId="072A43D5" w:rsidR="00B422CA" w:rsidRPr="005808DD" w:rsidRDefault="00247E0D" w:rsidP="00941229">
      <w:pPr>
        <w:spacing w:line="360" w:lineRule="auto"/>
        <w:jc w:val="both"/>
        <w:rPr>
          <w:rFonts w:ascii="Arial" w:eastAsiaTheme="majorEastAsia" w:hAnsi="Arial" w:cs="Arial"/>
        </w:rPr>
      </w:pPr>
      <w:r w:rsidRPr="005808DD">
        <w:rPr>
          <w:rFonts w:ascii="Arial" w:eastAsiaTheme="majorEastAsia" w:hAnsi="Arial" w:cs="Arial"/>
        </w:rPr>
        <w:t xml:space="preserve">Strategic decision-making requires the study of the macro marketing environment since it helps organisations to predict any external changes, evaluate any potential risks and opportunities, and make effective decisions that will enable them to be competitive in the long run. The factors like political and legal changes are beyond the control of a given firm, thus the awareness of them assists business firms to be responsive in their strategies, prevent threats and position themselves in a </w:t>
      </w:r>
      <w:proofErr w:type="spellStart"/>
      <w:r w:rsidRPr="005808DD">
        <w:rPr>
          <w:rFonts w:ascii="Arial" w:eastAsiaTheme="majorEastAsia" w:hAnsi="Arial" w:cs="Arial"/>
        </w:rPr>
        <w:t>favorable</w:t>
      </w:r>
      <w:proofErr w:type="spellEnd"/>
      <w:r w:rsidRPr="005808DD">
        <w:rPr>
          <w:rFonts w:ascii="Arial" w:eastAsiaTheme="majorEastAsia" w:hAnsi="Arial" w:cs="Arial"/>
        </w:rPr>
        <w:t xml:space="preserve"> position in the evolving market environment.</w:t>
      </w:r>
    </w:p>
    <w:p w14:paraId="46F45FCD" w14:textId="70B2D37C" w:rsidR="00320C36" w:rsidRPr="005808DD" w:rsidRDefault="00320C36" w:rsidP="00941229">
      <w:pPr>
        <w:spacing w:line="360" w:lineRule="auto"/>
        <w:jc w:val="both"/>
        <w:rPr>
          <w:rFonts w:ascii="Arial" w:eastAsiaTheme="majorEastAsia" w:hAnsi="Arial" w:cs="Arial"/>
          <w:b/>
        </w:rPr>
      </w:pPr>
      <w:r w:rsidRPr="005808DD">
        <w:rPr>
          <w:rFonts w:ascii="Arial" w:eastAsiaTheme="majorEastAsia" w:hAnsi="Arial" w:cs="Arial"/>
          <w:b/>
        </w:rPr>
        <w:t>Structure and scope of the report, indicating the key tasks to be addressed</w:t>
      </w:r>
    </w:p>
    <w:p w14:paraId="1E0EDDE6" w14:textId="15098F36" w:rsidR="00567F59" w:rsidRPr="005808DD" w:rsidRDefault="00247E0D" w:rsidP="00941229">
      <w:pPr>
        <w:spacing w:line="360" w:lineRule="auto"/>
        <w:jc w:val="both"/>
        <w:rPr>
          <w:rStyle w:val="Heading1Char"/>
          <w:rFonts w:ascii="Arial" w:hAnsi="Arial" w:cs="Arial"/>
          <w:color w:val="auto"/>
          <w:sz w:val="24"/>
          <w:szCs w:val="24"/>
        </w:rPr>
      </w:pPr>
      <w:r w:rsidRPr="005808DD">
        <w:rPr>
          <w:rFonts w:ascii="Arial" w:eastAsiaTheme="majorEastAsia" w:hAnsi="Arial" w:cs="Arial"/>
        </w:rPr>
        <w:t>In this report, there are two major activities which it has been organized around. The former critically examines the macro marketing environment, in particular, political and legal agents and their varying effects on pioneering and follower organisations. The second task is based on this analysis with the aim of assessing both the types of firms in their strategic response to these external forces based on the established marketing frameworks. At the end of the report, the main findings will be summarised and their strategic value will be pointed out.</w:t>
      </w:r>
      <w:bookmarkStart w:id="3" w:name="_Toc211437170"/>
    </w:p>
    <w:p w14:paraId="01F1B73F" w14:textId="77777777" w:rsidR="00DE6BD7" w:rsidRDefault="00DE6BD7">
      <w:pPr>
        <w:rPr>
          <w:rStyle w:val="Heading1Char"/>
          <w:rFonts w:ascii="Arial" w:hAnsi="Arial" w:cs="Arial"/>
          <w:b/>
          <w:bCs/>
          <w:color w:val="auto"/>
          <w:sz w:val="24"/>
          <w:szCs w:val="24"/>
        </w:rPr>
      </w:pPr>
      <w:bookmarkStart w:id="4" w:name="_Toc213948208"/>
      <w:r>
        <w:rPr>
          <w:rStyle w:val="Heading1Char"/>
          <w:rFonts w:ascii="Arial" w:hAnsi="Arial" w:cs="Arial"/>
          <w:b/>
          <w:bCs/>
          <w:color w:val="auto"/>
          <w:sz w:val="24"/>
          <w:szCs w:val="24"/>
        </w:rPr>
        <w:br w:type="page"/>
      </w:r>
    </w:p>
    <w:p w14:paraId="2F6078B7" w14:textId="4DA9B0D5" w:rsidR="00DE5D5B" w:rsidRPr="005808DD" w:rsidRDefault="00DE5D5B" w:rsidP="00941229">
      <w:pPr>
        <w:pStyle w:val="Heading1"/>
        <w:spacing w:line="360" w:lineRule="auto"/>
        <w:jc w:val="both"/>
        <w:rPr>
          <w:rStyle w:val="Heading1Char"/>
          <w:rFonts w:ascii="Arial" w:hAnsi="Arial" w:cs="Arial"/>
          <w:b/>
          <w:bCs/>
          <w:color w:val="auto"/>
          <w:sz w:val="24"/>
          <w:szCs w:val="24"/>
        </w:rPr>
      </w:pPr>
      <w:r w:rsidRPr="005808DD">
        <w:rPr>
          <w:rStyle w:val="Heading1Char"/>
          <w:rFonts w:ascii="Arial" w:hAnsi="Arial" w:cs="Arial"/>
          <w:b/>
          <w:bCs/>
          <w:color w:val="auto"/>
          <w:sz w:val="24"/>
          <w:szCs w:val="24"/>
        </w:rPr>
        <w:lastRenderedPageBreak/>
        <w:t>2. Task 1: Critical Analysis of the Macro Marketing Environment</w:t>
      </w:r>
      <w:bookmarkEnd w:id="4"/>
      <w:r w:rsidRPr="005808DD">
        <w:rPr>
          <w:rStyle w:val="Heading1Char"/>
          <w:rFonts w:ascii="Arial" w:hAnsi="Arial" w:cs="Arial"/>
          <w:b/>
          <w:bCs/>
          <w:color w:val="auto"/>
          <w:sz w:val="24"/>
          <w:szCs w:val="24"/>
        </w:rPr>
        <w:t xml:space="preserve"> </w:t>
      </w:r>
      <w:bookmarkEnd w:id="3"/>
    </w:p>
    <w:p w14:paraId="2303C00D" w14:textId="77777777" w:rsidR="00DE5D5B" w:rsidRPr="005808DD" w:rsidRDefault="00DE5D5B" w:rsidP="00941229">
      <w:pPr>
        <w:pStyle w:val="Heading2"/>
        <w:spacing w:line="360" w:lineRule="auto"/>
        <w:jc w:val="both"/>
        <w:rPr>
          <w:rFonts w:ascii="Arial" w:hAnsi="Arial" w:cs="Arial"/>
          <w:b/>
          <w:color w:val="auto"/>
          <w:sz w:val="24"/>
          <w:szCs w:val="24"/>
        </w:rPr>
      </w:pPr>
      <w:bookmarkStart w:id="5" w:name="_Toc211437171"/>
      <w:bookmarkStart w:id="6" w:name="_Toc213948209"/>
      <w:r w:rsidRPr="005808DD">
        <w:rPr>
          <w:rFonts w:ascii="Arial" w:hAnsi="Arial" w:cs="Arial"/>
          <w:b/>
          <w:color w:val="auto"/>
          <w:sz w:val="24"/>
          <w:szCs w:val="24"/>
        </w:rPr>
        <w:t>2.1 Overview of the Macro Marketing Environment</w:t>
      </w:r>
      <w:bookmarkEnd w:id="5"/>
      <w:bookmarkEnd w:id="6"/>
    </w:p>
    <w:p w14:paraId="518FCCBA" w14:textId="0CDA7AD2" w:rsidR="00320C36" w:rsidRPr="005808DD" w:rsidRDefault="00247E0D" w:rsidP="00C15490">
      <w:pPr>
        <w:pStyle w:val="NormalWeb"/>
        <w:spacing w:line="360" w:lineRule="auto"/>
        <w:jc w:val="both"/>
        <w:rPr>
          <w:rFonts w:ascii="Arial" w:eastAsiaTheme="majorEastAsia" w:hAnsi="Arial" w:cs="Arial"/>
        </w:rPr>
      </w:pPr>
      <w:r w:rsidRPr="005808DD">
        <w:rPr>
          <w:rFonts w:ascii="Arial" w:eastAsiaTheme="majorEastAsia" w:hAnsi="Arial" w:cs="Arial"/>
        </w:rPr>
        <w:t>The macro environment is the overall external forces, political, economic, social, technological, environmental and legal which include the forces which prevail in the market and determine how the organisations compete</w:t>
      </w:r>
      <w:r w:rsidR="00C15490" w:rsidRPr="005808DD">
        <w:rPr>
          <w:rFonts w:ascii="Arial" w:eastAsiaTheme="majorEastAsia" w:hAnsi="Arial" w:cs="Arial"/>
        </w:rPr>
        <w:t xml:space="preserve"> </w:t>
      </w:r>
      <w:r w:rsidR="00C15490" w:rsidRPr="005808DD">
        <w:rPr>
          <w:rFonts w:ascii="Arial" w:hAnsi="Arial" w:cs="Arial"/>
        </w:rPr>
        <w:t>(FiercePharma, 2025)</w:t>
      </w:r>
      <w:r w:rsidRPr="005808DD">
        <w:rPr>
          <w:rFonts w:ascii="Arial" w:eastAsiaTheme="majorEastAsia" w:hAnsi="Arial" w:cs="Arial"/>
        </w:rPr>
        <w:t xml:space="preserve">. These are forces which are usually exampled using the PESTEL model, but which exert substantial influence on the consumer behaviour, regulatory expectations and industry forces in a manner that is not directly in the control of a firm but highly affects the behaviour of consumers. </w:t>
      </w:r>
    </w:p>
    <w:p w14:paraId="64DDC3B8" w14:textId="48E4C960" w:rsidR="00C15490" w:rsidRPr="005808DD" w:rsidRDefault="00C15490" w:rsidP="00C15490">
      <w:pPr>
        <w:pStyle w:val="NormalWeb"/>
        <w:spacing w:line="360" w:lineRule="auto"/>
        <w:jc w:val="center"/>
        <w:rPr>
          <w:rFonts w:ascii="Arial" w:hAnsi="Arial" w:cs="Arial"/>
          <w:b/>
        </w:rPr>
      </w:pPr>
      <w:r w:rsidRPr="005808DD">
        <w:rPr>
          <w:b/>
          <w:noProof/>
          <w:lang w:val="en-US" w:eastAsia="en-US"/>
        </w:rPr>
        <w:drawing>
          <wp:inline distT="0" distB="0" distL="0" distR="0" wp14:anchorId="6FCA6716" wp14:editId="7D81AEF7">
            <wp:extent cx="4861560" cy="3505200"/>
            <wp:effectExtent l="0" t="0" r="0" b="0"/>
            <wp:docPr id="1" name="Picture 1"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alysis? Definition, Benefits and Best Practices"/>
                    <pic:cNvPicPr>
                      <a:picLocks noChangeAspect="1" noChangeArrowheads="1"/>
                    </pic:cNvPicPr>
                  </pic:nvPicPr>
                  <pic:blipFill rotWithShape="1">
                    <a:blip r:embed="rId9">
                      <a:extLst>
                        <a:ext uri="{28A0092B-C50C-407E-A947-70E740481C1C}">
                          <a14:useLocalDpi xmlns:a14="http://schemas.microsoft.com/office/drawing/2010/main" val="0"/>
                        </a:ext>
                      </a:extLst>
                    </a:blip>
                    <a:srcRect l="7711" t="7978" r="7447" b="10461"/>
                    <a:stretch/>
                  </pic:blipFill>
                  <pic:spPr bwMode="auto">
                    <a:xfrm>
                      <a:off x="0" y="0"/>
                      <a:ext cx="4862701" cy="3506023"/>
                    </a:xfrm>
                    <a:prstGeom prst="rect">
                      <a:avLst/>
                    </a:prstGeom>
                    <a:noFill/>
                    <a:ln>
                      <a:noFill/>
                    </a:ln>
                    <a:extLst>
                      <a:ext uri="{53640926-AAD7-44D8-BBD7-CCE9431645EC}">
                        <a14:shadowObscured xmlns:a14="http://schemas.microsoft.com/office/drawing/2010/main"/>
                      </a:ext>
                    </a:extLst>
                  </pic:spPr>
                </pic:pic>
              </a:graphicData>
            </a:graphic>
          </wp:inline>
        </w:drawing>
      </w:r>
    </w:p>
    <w:p w14:paraId="73223DE7" w14:textId="48033247" w:rsidR="00C15490" w:rsidRPr="005808DD" w:rsidRDefault="00C15490" w:rsidP="00C15490">
      <w:pPr>
        <w:pStyle w:val="NormalWeb"/>
        <w:spacing w:line="360" w:lineRule="auto"/>
        <w:jc w:val="center"/>
        <w:rPr>
          <w:rFonts w:ascii="Arial" w:hAnsi="Arial" w:cs="Arial"/>
          <w:b/>
        </w:rPr>
      </w:pPr>
      <w:r w:rsidRPr="005808DD">
        <w:rPr>
          <w:rFonts w:ascii="Arial" w:hAnsi="Arial" w:cs="Arial"/>
          <w:b/>
        </w:rPr>
        <w:t>Fig 1: PESTEL Analysis</w:t>
      </w:r>
    </w:p>
    <w:p w14:paraId="3DAC9BCC" w14:textId="1CA16EB0" w:rsidR="00C15490" w:rsidRPr="005808DD" w:rsidRDefault="00C15490" w:rsidP="00C15490">
      <w:pPr>
        <w:pStyle w:val="NormalWeb"/>
        <w:spacing w:line="360" w:lineRule="auto"/>
        <w:jc w:val="center"/>
        <w:rPr>
          <w:rFonts w:ascii="Arial" w:hAnsi="Arial" w:cs="Arial"/>
        </w:rPr>
      </w:pPr>
      <w:r w:rsidRPr="005808DD">
        <w:rPr>
          <w:rFonts w:ascii="Arial" w:hAnsi="Arial" w:cs="Arial"/>
          <w:b/>
        </w:rPr>
        <w:t xml:space="preserve">Source: </w:t>
      </w:r>
      <w:r w:rsidRPr="005808DD">
        <w:rPr>
          <w:rFonts w:ascii="Arial" w:hAnsi="Arial" w:cs="Arial"/>
        </w:rPr>
        <w:t>(VanZandt, 2023)</w:t>
      </w:r>
    </w:p>
    <w:p w14:paraId="6C181148" w14:textId="77777777" w:rsidR="00DE5D5B" w:rsidRPr="005808DD" w:rsidRDefault="00DE5D5B" w:rsidP="00941229">
      <w:pPr>
        <w:pStyle w:val="Heading2"/>
        <w:spacing w:line="360" w:lineRule="auto"/>
        <w:jc w:val="both"/>
        <w:rPr>
          <w:rFonts w:ascii="Arial" w:hAnsi="Arial" w:cs="Arial"/>
          <w:b/>
          <w:color w:val="auto"/>
          <w:sz w:val="24"/>
          <w:szCs w:val="24"/>
        </w:rPr>
      </w:pPr>
      <w:bookmarkStart w:id="7" w:name="_Toc211437172"/>
      <w:bookmarkStart w:id="8" w:name="_Toc213948210"/>
      <w:r w:rsidRPr="005808DD">
        <w:rPr>
          <w:rFonts w:ascii="Arial" w:hAnsi="Arial" w:cs="Arial"/>
          <w:b/>
          <w:color w:val="auto"/>
          <w:sz w:val="24"/>
          <w:szCs w:val="24"/>
        </w:rPr>
        <w:t>2.2 Selection of Two External Macro Marketing Actors</w:t>
      </w:r>
      <w:bookmarkEnd w:id="7"/>
      <w:bookmarkEnd w:id="8"/>
    </w:p>
    <w:p w14:paraId="4B8F68CB" w14:textId="3E363951" w:rsidR="00DE5D5B" w:rsidRPr="005808DD" w:rsidRDefault="00320C36" w:rsidP="00941229">
      <w:pPr>
        <w:spacing w:line="360" w:lineRule="auto"/>
        <w:jc w:val="both"/>
        <w:rPr>
          <w:rFonts w:ascii="Arial" w:eastAsiaTheme="majorEastAsia" w:hAnsi="Arial" w:cs="Arial"/>
          <w:b/>
        </w:rPr>
      </w:pPr>
      <w:r w:rsidRPr="005808DD">
        <w:rPr>
          <w:rFonts w:ascii="Arial" w:eastAsiaTheme="majorEastAsia" w:hAnsi="Arial" w:cs="Arial"/>
          <w:b/>
        </w:rPr>
        <w:t>Two external actors</w:t>
      </w:r>
    </w:p>
    <w:p w14:paraId="44B87A69" w14:textId="608A8436" w:rsidR="00247E0D" w:rsidRPr="005808DD" w:rsidRDefault="00320C36" w:rsidP="00941229">
      <w:pPr>
        <w:spacing w:line="360" w:lineRule="auto"/>
        <w:jc w:val="both"/>
        <w:rPr>
          <w:rFonts w:ascii="Arial" w:eastAsiaTheme="majorEastAsia" w:hAnsi="Arial" w:cs="Arial"/>
          <w:b/>
        </w:rPr>
      </w:pPr>
      <w:r w:rsidRPr="005808DD">
        <w:rPr>
          <w:rFonts w:ascii="Arial" w:eastAsiaTheme="majorEastAsia" w:hAnsi="Arial" w:cs="Arial"/>
          <w:b/>
        </w:rPr>
        <w:t>Political</w:t>
      </w:r>
      <w:r w:rsidR="00247E0D" w:rsidRPr="005808DD">
        <w:rPr>
          <w:rFonts w:ascii="Arial" w:eastAsiaTheme="majorEastAsia" w:hAnsi="Arial" w:cs="Arial"/>
          <w:b/>
        </w:rPr>
        <w:t xml:space="preserve">: </w:t>
      </w:r>
      <w:r w:rsidR="00247E0D" w:rsidRPr="005808DD">
        <w:rPr>
          <w:rFonts w:ascii="Arial" w:eastAsiaTheme="majorEastAsia" w:hAnsi="Arial" w:cs="Arial"/>
        </w:rPr>
        <w:t xml:space="preserve">The political environment is chosen as the policies of the government, trade policies, tax systems and political stability directly affect the market conditions and predetermine the ability of firms to operate and compete with ease. </w:t>
      </w:r>
    </w:p>
    <w:p w14:paraId="50CC0586" w14:textId="3B637288" w:rsidR="00247E0D" w:rsidRPr="005808DD" w:rsidRDefault="00320C36" w:rsidP="00941229">
      <w:pPr>
        <w:spacing w:line="360" w:lineRule="auto"/>
        <w:jc w:val="both"/>
        <w:rPr>
          <w:rFonts w:ascii="Arial" w:eastAsiaTheme="majorEastAsia" w:hAnsi="Arial" w:cs="Arial"/>
        </w:rPr>
      </w:pPr>
      <w:r w:rsidRPr="005808DD">
        <w:rPr>
          <w:rFonts w:ascii="Arial" w:eastAsiaTheme="majorEastAsia" w:hAnsi="Arial" w:cs="Arial"/>
          <w:b/>
        </w:rPr>
        <w:lastRenderedPageBreak/>
        <w:t>Legal</w:t>
      </w:r>
      <w:r w:rsidR="00247E0D" w:rsidRPr="005808DD">
        <w:rPr>
          <w:rFonts w:ascii="Arial" w:eastAsiaTheme="majorEastAsia" w:hAnsi="Arial" w:cs="Arial"/>
          <w:b/>
        </w:rPr>
        <w:t xml:space="preserve">: </w:t>
      </w:r>
      <w:r w:rsidR="00247E0D" w:rsidRPr="005808DD">
        <w:rPr>
          <w:rFonts w:ascii="Arial" w:eastAsiaTheme="majorEastAsia" w:hAnsi="Arial" w:cs="Arial"/>
        </w:rPr>
        <w:t xml:space="preserve">Legal environment is the option chosen because of its essential part in constituting regulatory necessities, protection of intellectual property, consumer rights and compliance needs. </w:t>
      </w:r>
    </w:p>
    <w:p w14:paraId="483451FD" w14:textId="1816116D" w:rsidR="005F45E3" w:rsidRPr="005808DD" w:rsidRDefault="005F45E3" w:rsidP="00941229">
      <w:pPr>
        <w:spacing w:line="360" w:lineRule="auto"/>
        <w:jc w:val="both"/>
        <w:rPr>
          <w:rFonts w:ascii="Arial" w:eastAsiaTheme="majorEastAsia" w:hAnsi="Arial" w:cs="Arial"/>
          <w:b/>
        </w:rPr>
      </w:pPr>
      <w:r w:rsidRPr="005808DD">
        <w:rPr>
          <w:rFonts w:ascii="Arial" w:eastAsiaTheme="majorEastAsia" w:hAnsi="Arial" w:cs="Arial"/>
          <w:b/>
        </w:rPr>
        <w:t>Relevance and current influence within the chosen industry</w:t>
      </w:r>
    </w:p>
    <w:p w14:paraId="160C9AC2" w14:textId="59F50C7F" w:rsidR="00247E0D" w:rsidRPr="005808DD" w:rsidRDefault="005F45E3" w:rsidP="00C15490">
      <w:pPr>
        <w:pStyle w:val="NormalWeb"/>
        <w:spacing w:line="360" w:lineRule="auto"/>
        <w:jc w:val="both"/>
        <w:rPr>
          <w:rFonts w:ascii="Arial" w:hAnsi="Arial" w:cs="Arial"/>
        </w:rPr>
      </w:pPr>
      <w:r w:rsidRPr="005808DD">
        <w:rPr>
          <w:rFonts w:ascii="Arial" w:eastAsiaTheme="majorEastAsia" w:hAnsi="Arial" w:cs="Arial"/>
          <w:b/>
        </w:rPr>
        <w:t>Political</w:t>
      </w:r>
      <w:r w:rsidR="00247E0D" w:rsidRPr="005808DD">
        <w:rPr>
          <w:rFonts w:ascii="Arial" w:eastAsiaTheme="majorEastAsia" w:hAnsi="Arial" w:cs="Arial"/>
          <w:b/>
        </w:rPr>
        <w:t xml:space="preserve">: </w:t>
      </w:r>
      <w:r w:rsidR="00247E0D" w:rsidRPr="005808DD">
        <w:rPr>
          <w:rFonts w:ascii="Arial" w:eastAsiaTheme="majorEastAsia" w:hAnsi="Arial" w:cs="Arial"/>
        </w:rPr>
        <w:t>Political intervention is another factor in the UK pharmaceutical market in 2025. An example is that the 2025 statutory pricing scheme of branded medicines proposed by the UK government in June 2025 suggests a replacement of the current law with an annual limit of 2% on branded-medicines expenditure by the NHS, and an increase in the rebate rates paid by drug companies</w:t>
      </w:r>
      <w:r w:rsidR="00C15490" w:rsidRPr="005808DD">
        <w:rPr>
          <w:rFonts w:ascii="Arial" w:eastAsiaTheme="majorEastAsia" w:hAnsi="Arial" w:cs="Arial"/>
        </w:rPr>
        <w:t xml:space="preserve"> </w:t>
      </w:r>
      <w:r w:rsidR="00C15490" w:rsidRPr="005808DD">
        <w:rPr>
          <w:rFonts w:ascii="Arial" w:hAnsi="Arial" w:cs="Arial"/>
        </w:rPr>
        <w:t>(Somerville Partners, 2025)</w:t>
      </w:r>
      <w:r w:rsidR="00247E0D" w:rsidRPr="005808DD">
        <w:rPr>
          <w:rFonts w:ascii="Arial" w:eastAsiaTheme="majorEastAsia" w:hAnsi="Arial" w:cs="Arial"/>
        </w:rPr>
        <w:t xml:space="preserve">. </w:t>
      </w:r>
    </w:p>
    <w:p w14:paraId="6D8B6B75" w14:textId="5FAADFDE" w:rsidR="005F45E3" w:rsidRPr="005808DD" w:rsidRDefault="005F45E3" w:rsidP="00C15490">
      <w:pPr>
        <w:pStyle w:val="NormalWeb"/>
        <w:spacing w:line="360" w:lineRule="auto"/>
        <w:jc w:val="both"/>
        <w:rPr>
          <w:rFonts w:ascii="Arial" w:hAnsi="Arial" w:cs="Arial"/>
        </w:rPr>
      </w:pPr>
      <w:r w:rsidRPr="005808DD">
        <w:rPr>
          <w:rFonts w:ascii="Arial" w:eastAsiaTheme="majorEastAsia" w:hAnsi="Arial" w:cs="Arial"/>
          <w:b/>
        </w:rPr>
        <w:t>Legal</w:t>
      </w:r>
      <w:r w:rsidR="00247E0D" w:rsidRPr="005808DD">
        <w:rPr>
          <w:rFonts w:ascii="Arial" w:eastAsiaTheme="majorEastAsia" w:hAnsi="Arial" w:cs="Arial"/>
          <w:b/>
        </w:rPr>
        <w:t xml:space="preserve">: </w:t>
      </w:r>
      <w:r w:rsidR="00247E0D" w:rsidRPr="005808DD">
        <w:rPr>
          <w:rFonts w:ascii="Arial" w:eastAsiaTheme="majorEastAsia" w:hAnsi="Arial" w:cs="Arial"/>
        </w:rPr>
        <w:t>In the UK, medicines regulation under the law remains in its developmental phase and plays an effective role in 2025. The Medicines and Healthcare products Regulatory Agency (MHRA) has published its annual report, 2024-25, where they reported to have issued more than 2,000 licences to medicine (including 54 new medicines) and they have cleared millions of back-logs by March 2025</w:t>
      </w:r>
      <w:r w:rsidR="00C15490" w:rsidRPr="005808DD">
        <w:rPr>
          <w:rFonts w:ascii="Arial" w:eastAsiaTheme="majorEastAsia" w:hAnsi="Arial" w:cs="Arial"/>
        </w:rPr>
        <w:t xml:space="preserve"> </w:t>
      </w:r>
      <w:r w:rsidR="00C15490" w:rsidRPr="005808DD">
        <w:rPr>
          <w:rFonts w:ascii="Arial" w:hAnsi="Arial" w:cs="Arial"/>
        </w:rPr>
        <w:t>(Pharmaphorum, 2024)</w:t>
      </w:r>
      <w:r w:rsidR="00247E0D" w:rsidRPr="005808DD">
        <w:rPr>
          <w:rFonts w:ascii="Arial" w:eastAsiaTheme="majorEastAsia" w:hAnsi="Arial" w:cs="Arial"/>
        </w:rPr>
        <w:t xml:space="preserve">. </w:t>
      </w:r>
    </w:p>
    <w:p w14:paraId="57B3FFCC" w14:textId="77777777" w:rsidR="00DE5D5B" w:rsidRPr="005808DD" w:rsidRDefault="00DE5D5B" w:rsidP="00941229">
      <w:pPr>
        <w:pStyle w:val="Heading2"/>
        <w:spacing w:line="360" w:lineRule="auto"/>
        <w:jc w:val="both"/>
        <w:rPr>
          <w:rFonts w:ascii="Arial" w:hAnsi="Arial" w:cs="Arial"/>
          <w:b/>
          <w:color w:val="auto"/>
          <w:sz w:val="24"/>
          <w:szCs w:val="24"/>
        </w:rPr>
      </w:pPr>
      <w:bookmarkStart w:id="9" w:name="_Toc211437173"/>
      <w:bookmarkStart w:id="10" w:name="_Toc213948211"/>
      <w:r w:rsidRPr="005808DD">
        <w:rPr>
          <w:rFonts w:ascii="Arial" w:hAnsi="Arial" w:cs="Arial"/>
          <w:b/>
          <w:color w:val="auto"/>
          <w:sz w:val="24"/>
          <w:szCs w:val="24"/>
        </w:rPr>
        <w:t>2.3 Critical Analysis of Each Actor</w:t>
      </w:r>
      <w:bookmarkEnd w:id="9"/>
      <w:bookmarkEnd w:id="10"/>
    </w:p>
    <w:p w14:paraId="30762D5E" w14:textId="77777777" w:rsidR="005F45E3" w:rsidRPr="005808DD" w:rsidRDefault="005F45E3" w:rsidP="00941229">
      <w:pPr>
        <w:spacing w:line="360" w:lineRule="auto"/>
        <w:jc w:val="both"/>
        <w:rPr>
          <w:rFonts w:ascii="Arial" w:eastAsiaTheme="majorEastAsia" w:hAnsi="Arial" w:cs="Arial"/>
          <w:b/>
        </w:rPr>
      </w:pPr>
      <w:r w:rsidRPr="005808DD">
        <w:rPr>
          <w:rFonts w:ascii="Arial" w:eastAsiaTheme="majorEastAsia" w:hAnsi="Arial" w:cs="Arial"/>
          <w:b/>
        </w:rPr>
        <w:t>Political</w:t>
      </w:r>
    </w:p>
    <w:p w14:paraId="5135F211" w14:textId="1387F243" w:rsidR="005F45E3" w:rsidRPr="005808DD" w:rsidRDefault="005F45E3" w:rsidP="00941229">
      <w:pPr>
        <w:spacing w:line="360" w:lineRule="auto"/>
        <w:jc w:val="both"/>
        <w:rPr>
          <w:rFonts w:ascii="Arial" w:eastAsiaTheme="majorEastAsia" w:hAnsi="Arial" w:cs="Arial"/>
          <w:b/>
        </w:rPr>
      </w:pPr>
      <w:r w:rsidRPr="005808DD">
        <w:rPr>
          <w:rFonts w:ascii="Arial" w:eastAsiaTheme="majorEastAsia" w:hAnsi="Arial" w:cs="Arial"/>
          <w:b/>
        </w:rPr>
        <w:t>Way these changes impact pioneering and fol</w:t>
      </w:r>
      <w:r w:rsidR="00247E0D" w:rsidRPr="005808DD">
        <w:rPr>
          <w:rFonts w:ascii="Arial" w:eastAsiaTheme="majorEastAsia" w:hAnsi="Arial" w:cs="Arial"/>
          <w:b/>
        </w:rPr>
        <w:t xml:space="preserve">lower organisations differently </w:t>
      </w:r>
      <w:r w:rsidRPr="005808DD">
        <w:rPr>
          <w:rFonts w:ascii="Arial" w:eastAsiaTheme="majorEastAsia" w:hAnsi="Arial" w:cs="Arial"/>
          <w:b/>
        </w:rPr>
        <w:t>and create opportunities and threats within the industry</w:t>
      </w:r>
    </w:p>
    <w:p w14:paraId="3EF5F970" w14:textId="442215C3" w:rsidR="00247E0D" w:rsidRPr="005808DD" w:rsidRDefault="00247E0D" w:rsidP="00C15490">
      <w:pPr>
        <w:spacing w:line="360" w:lineRule="auto"/>
        <w:jc w:val="both"/>
        <w:rPr>
          <w:rFonts w:ascii="Arial" w:eastAsia="Times New Roman" w:hAnsi="Arial" w:cs="Arial"/>
          <w:kern w:val="0"/>
          <w:lang w:val="en-IN" w:eastAsia="en-IN"/>
          <w14:ligatures w14:val="none"/>
        </w:rPr>
      </w:pPr>
      <w:r w:rsidRPr="005808DD">
        <w:rPr>
          <w:rFonts w:ascii="Arial" w:eastAsiaTheme="majorEastAsia" w:hAnsi="Arial" w:cs="Arial"/>
        </w:rPr>
        <w:t xml:space="preserve">The political reforms in the UK pharmaceutical industry in 2025 impact the innovators and the followers in different ways as they alter the price regulation, the investment incentive and the focus of the NHS buying. </w:t>
      </w:r>
      <w:r w:rsidR="00C15490" w:rsidRPr="005808DD">
        <w:rPr>
          <w:rFonts w:ascii="Arial" w:eastAsia="Times New Roman" w:hAnsi="Arial" w:cs="Arial"/>
          <w:kern w:val="0"/>
          <w:lang w:val="en-IN" w:eastAsia="en-IN"/>
          <w14:ligatures w14:val="none"/>
        </w:rPr>
        <w:t>The graph predicts a 7.6% increase in UK pharmaceutical sales from $67.1 billion in 2023 to $111.9 billion in 2030.</w:t>
      </w:r>
      <w:r w:rsidRPr="005808DD">
        <w:rPr>
          <w:rFonts w:ascii="Arial" w:eastAsiaTheme="majorEastAsia" w:hAnsi="Arial" w:cs="Arial"/>
        </w:rPr>
        <w:t>Recent changes in the 2025 branded-medicines pricing plan to restrict NHS branded-drug expenditure to 2-percent increase and increase the rebate rates put major strains on the pioneering companies like AstraZeneca and GSK, whose high-valued innovation requires high prices and long patents</w:t>
      </w:r>
      <w:r w:rsidR="00C15490" w:rsidRPr="005808DD">
        <w:rPr>
          <w:rFonts w:ascii="Arial" w:eastAsiaTheme="majorEastAsia" w:hAnsi="Arial" w:cs="Arial"/>
        </w:rPr>
        <w:t xml:space="preserve"> </w:t>
      </w:r>
      <w:r w:rsidR="00C15490" w:rsidRPr="005808DD">
        <w:rPr>
          <w:rFonts w:ascii="Arial" w:hAnsi="Arial" w:cs="Arial"/>
        </w:rPr>
        <w:t>(GOV.UK, 2025a)</w:t>
      </w:r>
      <w:r w:rsidRPr="005808DD">
        <w:rPr>
          <w:rFonts w:ascii="Arial" w:eastAsiaTheme="majorEastAsia" w:hAnsi="Arial" w:cs="Arial"/>
        </w:rPr>
        <w:t xml:space="preserve">. As an example, some oncology and rare-disease medicines that were recently introduced by innovative companies would have rebates rates in the 20-plus range in early 2025, which cuts the financial profitability required to sustain future R&amp;D. Conversely, such political changes bring more apparent opportunities to follower organisations like Teva and </w:t>
      </w:r>
      <w:r w:rsidRPr="005808DD">
        <w:rPr>
          <w:rFonts w:ascii="Arial" w:eastAsiaTheme="majorEastAsia" w:hAnsi="Arial" w:cs="Arial"/>
        </w:rPr>
        <w:lastRenderedPageBreak/>
        <w:t xml:space="preserve">Sandoz because NHS policies are becoming more inclined towards the use of cheaper generics and bio similar medications in order to control the budget. </w:t>
      </w:r>
    </w:p>
    <w:p w14:paraId="206AEC71" w14:textId="785C303A" w:rsidR="00C15490" w:rsidRPr="005808DD" w:rsidRDefault="00C15490" w:rsidP="00C15490">
      <w:pPr>
        <w:pStyle w:val="NormalWeb"/>
        <w:spacing w:line="360" w:lineRule="auto"/>
        <w:jc w:val="both"/>
        <w:rPr>
          <w:rFonts w:ascii="Arial" w:hAnsi="Arial" w:cs="Arial"/>
          <w:b/>
        </w:rPr>
      </w:pPr>
      <w:r w:rsidRPr="005808DD">
        <w:rPr>
          <w:b/>
          <w:noProof/>
          <w:lang w:val="en-US" w:eastAsia="en-US"/>
        </w:rPr>
        <w:drawing>
          <wp:inline distT="0" distB="0" distL="0" distR="0" wp14:anchorId="7B89E3C1" wp14:editId="45FB7441">
            <wp:extent cx="5730611" cy="2674620"/>
            <wp:effectExtent l="0" t="0" r="3810" b="0"/>
            <wp:docPr id="2" name="Picture 2" descr="UK Pharmaceutical Market Size &amp; Outlook,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Pharmaceutical Market Size &amp; Outlook, 203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793"/>
                    <a:stretch/>
                  </pic:blipFill>
                  <pic:spPr bwMode="auto">
                    <a:xfrm>
                      <a:off x="0" y="0"/>
                      <a:ext cx="5731510" cy="2675040"/>
                    </a:xfrm>
                    <a:prstGeom prst="rect">
                      <a:avLst/>
                    </a:prstGeom>
                    <a:noFill/>
                    <a:ln>
                      <a:noFill/>
                    </a:ln>
                    <a:extLst>
                      <a:ext uri="{53640926-AAD7-44D8-BBD7-CCE9431645EC}">
                        <a14:shadowObscured xmlns:a14="http://schemas.microsoft.com/office/drawing/2010/main"/>
                      </a:ext>
                    </a:extLst>
                  </pic:spPr>
                </pic:pic>
              </a:graphicData>
            </a:graphic>
          </wp:inline>
        </w:drawing>
      </w:r>
    </w:p>
    <w:p w14:paraId="5AA7C9B0" w14:textId="714DB9D5" w:rsidR="00C15490" w:rsidRPr="005808DD" w:rsidRDefault="00C15490" w:rsidP="00C15490">
      <w:pPr>
        <w:pStyle w:val="NormalWeb"/>
        <w:spacing w:line="360" w:lineRule="auto"/>
        <w:jc w:val="center"/>
        <w:rPr>
          <w:rFonts w:ascii="Arial" w:hAnsi="Arial" w:cs="Arial"/>
          <w:b/>
        </w:rPr>
      </w:pPr>
      <w:r w:rsidRPr="005808DD">
        <w:rPr>
          <w:rFonts w:ascii="Arial" w:hAnsi="Arial" w:cs="Arial"/>
          <w:b/>
        </w:rPr>
        <w:t>Fig 2: UK Pharmaceutical Industry</w:t>
      </w:r>
    </w:p>
    <w:p w14:paraId="4DDF0515" w14:textId="059640EE" w:rsidR="00C15490" w:rsidRPr="005808DD" w:rsidRDefault="00C15490" w:rsidP="00C15490">
      <w:pPr>
        <w:pStyle w:val="NormalWeb"/>
        <w:spacing w:line="360" w:lineRule="auto"/>
        <w:jc w:val="center"/>
        <w:rPr>
          <w:rFonts w:ascii="Arial" w:hAnsi="Arial" w:cs="Arial"/>
        </w:rPr>
      </w:pPr>
      <w:r w:rsidRPr="005808DD">
        <w:rPr>
          <w:rFonts w:ascii="Arial" w:hAnsi="Arial" w:cs="Arial"/>
          <w:b/>
        </w:rPr>
        <w:t xml:space="preserve">Source: </w:t>
      </w:r>
      <w:r w:rsidRPr="005808DD">
        <w:rPr>
          <w:rFonts w:ascii="Arial" w:hAnsi="Arial" w:cs="Arial"/>
        </w:rPr>
        <w:t>(Grand View Research, 2025)</w:t>
      </w:r>
    </w:p>
    <w:p w14:paraId="1763A7A8" w14:textId="2068BAF8" w:rsidR="005F45E3" w:rsidRPr="005808DD" w:rsidRDefault="005F45E3" w:rsidP="00941229">
      <w:pPr>
        <w:spacing w:line="360" w:lineRule="auto"/>
        <w:jc w:val="both"/>
        <w:rPr>
          <w:rFonts w:ascii="Arial" w:eastAsiaTheme="majorEastAsia" w:hAnsi="Arial" w:cs="Arial"/>
          <w:b/>
        </w:rPr>
      </w:pPr>
      <w:r w:rsidRPr="005808DD">
        <w:rPr>
          <w:rFonts w:ascii="Arial" w:eastAsiaTheme="majorEastAsia" w:hAnsi="Arial" w:cs="Arial"/>
          <w:b/>
        </w:rPr>
        <w:t>Key strategic implications for both pioneers and followers</w:t>
      </w:r>
    </w:p>
    <w:p w14:paraId="6CD970EA" w14:textId="3D4A9560" w:rsidR="005F45E3" w:rsidRPr="005808DD" w:rsidRDefault="005F45E3" w:rsidP="00941229">
      <w:pPr>
        <w:spacing w:line="360" w:lineRule="auto"/>
        <w:jc w:val="both"/>
        <w:rPr>
          <w:rFonts w:ascii="Arial" w:eastAsiaTheme="majorEastAsia" w:hAnsi="Arial" w:cs="Arial"/>
          <w:b/>
        </w:rPr>
      </w:pPr>
      <w:r w:rsidRPr="005808DD">
        <w:rPr>
          <w:rFonts w:ascii="Arial" w:eastAsiaTheme="majorEastAsia" w:hAnsi="Arial" w:cs="Arial"/>
          <w:b/>
        </w:rPr>
        <w:t>Pioneers</w:t>
      </w:r>
    </w:p>
    <w:p w14:paraId="6165AB56" w14:textId="5596C771" w:rsidR="00247E0D" w:rsidRPr="005808DD" w:rsidRDefault="00247E0D" w:rsidP="00C15490">
      <w:pPr>
        <w:pStyle w:val="NormalWeb"/>
        <w:spacing w:line="360" w:lineRule="auto"/>
        <w:jc w:val="both"/>
        <w:rPr>
          <w:rFonts w:ascii="Arial" w:hAnsi="Arial" w:cs="Arial"/>
        </w:rPr>
      </w:pPr>
      <w:r w:rsidRPr="005808DD">
        <w:rPr>
          <w:rFonts w:ascii="Arial" w:eastAsiaTheme="majorEastAsia" w:hAnsi="Arial" w:cs="Arial"/>
        </w:rPr>
        <w:t>The 2025 political changes imply that for groundbreaker companies in the UK pharmaceutical market, they need to reinforce value-based pricing strategies, expedite the global rollout sequencing, and invest more in real-world evidence defensiveness to back up premium pricing in the face of reduced spending limits in the NHS</w:t>
      </w:r>
      <w:r w:rsidR="00C15490" w:rsidRPr="005808DD">
        <w:rPr>
          <w:rFonts w:ascii="Arial" w:eastAsiaTheme="majorEastAsia" w:hAnsi="Arial" w:cs="Arial"/>
        </w:rPr>
        <w:t xml:space="preserve"> </w:t>
      </w:r>
      <w:r w:rsidR="00C15490" w:rsidRPr="005808DD">
        <w:rPr>
          <w:rFonts w:ascii="Arial" w:hAnsi="Arial" w:cs="Arial"/>
        </w:rPr>
        <w:t>(CFRA Research, 2025)</w:t>
      </w:r>
      <w:r w:rsidRPr="005808DD">
        <w:rPr>
          <w:rFonts w:ascii="Arial" w:eastAsiaTheme="majorEastAsia" w:hAnsi="Arial" w:cs="Arial"/>
        </w:rPr>
        <w:t xml:space="preserve">. AstraZeneca and GSK have already increased international launches in 2025 to counter the pressure on rebates in the UK, and AstraZeneca posted a revenue increase of more than 15% in emerging markets in the same year. </w:t>
      </w:r>
    </w:p>
    <w:p w14:paraId="7151607C" w14:textId="29F8172A" w:rsidR="005F45E3" w:rsidRPr="005808DD" w:rsidRDefault="005F45E3" w:rsidP="00941229">
      <w:pPr>
        <w:spacing w:line="360" w:lineRule="auto"/>
        <w:jc w:val="both"/>
        <w:rPr>
          <w:rFonts w:ascii="Arial" w:eastAsiaTheme="majorEastAsia" w:hAnsi="Arial" w:cs="Arial"/>
          <w:b/>
        </w:rPr>
      </w:pPr>
      <w:r w:rsidRPr="005808DD">
        <w:rPr>
          <w:rFonts w:ascii="Arial" w:eastAsiaTheme="majorEastAsia" w:hAnsi="Arial" w:cs="Arial"/>
          <w:b/>
        </w:rPr>
        <w:t>Followers</w:t>
      </w:r>
    </w:p>
    <w:p w14:paraId="146AE886" w14:textId="55953D37" w:rsidR="00247E0D" w:rsidRPr="005808DD" w:rsidRDefault="00247E0D" w:rsidP="00C15490">
      <w:pPr>
        <w:pStyle w:val="NormalWeb"/>
        <w:spacing w:line="360" w:lineRule="auto"/>
        <w:jc w:val="both"/>
        <w:rPr>
          <w:rFonts w:ascii="Arial" w:hAnsi="Arial" w:cs="Arial"/>
        </w:rPr>
      </w:pPr>
      <w:r w:rsidRPr="005808DD">
        <w:rPr>
          <w:rFonts w:ascii="Arial" w:eastAsiaTheme="majorEastAsia" w:hAnsi="Arial" w:cs="Arial"/>
        </w:rPr>
        <w:t xml:space="preserve">In the case of follower companies, including Teva and Sandoz, the environment in 2025 will promote the closer competition by means of cost leadership and quicker biosimilar launches as the need in the NHS to use cheaper alternatives grows. As </w:t>
      </w:r>
      <w:r w:rsidRPr="005808DD">
        <w:rPr>
          <w:rFonts w:ascii="Arial" w:eastAsiaTheme="majorEastAsia" w:hAnsi="Arial" w:cs="Arial"/>
        </w:rPr>
        <w:lastRenderedPageBreak/>
        <w:t>biosimilars, which constitute more than 43 percent of UK biologics use in 2025, followers have obvious chances to increase market share, yet would also have to comply with increasing UK manufacturing and supply-resilience demands</w:t>
      </w:r>
      <w:r w:rsidR="00C15490" w:rsidRPr="005808DD">
        <w:rPr>
          <w:rFonts w:ascii="Arial" w:eastAsiaTheme="majorEastAsia" w:hAnsi="Arial" w:cs="Arial"/>
        </w:rPr>
        <w:t xml:space="preserve"> </w:t>
      </w:r>
      <w:r w:rsidR="00C15490" w:rsidRPr="005808DD">
        <w:rPr>
          <w:rFonts w:ascii="Arial" w:hAnsi="Arial" w:cs="Arial"/>
        </w:rPr>
        <w:t>(British Pharmacological Society, 2025)</w:t>
      </w:r>
      <w:r w:rsidRPr="005808DD">
        <w:rPr>
          <w:rFonts w:ascii="Arial" w:eastAsiaTheme="majorEastAsia" w:hAnsi="Arial" w:cs="Arial"/>
        </w:rPr>
        <w:t>. To remain competitive, many follower firms have acted in reaction by increasing UK distribution capacity and accelerating filings using simplified MHRA pathways that have been introduced in 2025.</w:t>
      </w:r>
    </w:p>
    <w:p w14:paraId="40B74099" w14:textId="77777777" w:rsidR="005F45E3" w:rsidRPr="005808DD" w:rsidRDefault="005F45E3" w:rsidP="00941229">
      <w:pPr>
        <w:spacing w:line="360" w:lineRule="auto"/>
        <w:jc w:val="both"/>
        <w:rPr>
          <w:rFonts w:ascii="Arial" w:eastAsiaTheme="majorEastAsia" w:hAnsi="Arial" w:cs="Arial"/>
          <w:b/>
        </w:rPr>
      </w:pPr>
      <w:r w:rsidRPr="005808DD">
        <w:rPr>
          <w:rFonts w:ascii="Arial" w:eastAsiaTheme="majorEastAsia" w:hAnsi="Arial" w:cs="Arial"/>
          <w:b/>
        </w:rPr>
        <w:t>Legal</w:t>
      </w:r>
    </w:p>
    <w:p w14:paraId="227930F3" w14:textId="2C54A821"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Way these changes impact pioneering and fol</w:t>
      </w:r>
      <w:r w:rsidR="00247E0D" w:rsidRPr="005808DD">
        <w:rPr>
          <w:rFonts w:ascii="Arial" w:eastAsiaTheme="majorEastAsia" w:hAnsi="Arial" w:cs="Arial"/>
          <w:b/>
        </w:rPr>
        <w:t xml:space="preserve">lower organisations differently </w:t>
      </w:r>
      <w:r w:rsidRPr="005808DD">
        <w:rPr>
          <w:rFonts w:ascii="Arial" w:eastAsiaTheme="majorEastAsia" w:hAnsi="Arial" w:cs="Arial"/>
          <w:b/>
        </w:rPr>
        <w:t>and create opportunities and threats within the industry</w:t>
      </w:r>
    </w:p>
    <w:p w14:paraId="46C2BDE0" w14:textId="104E25E7" w:rsidR="00247E0D" w:rsidRPr="005808DD" w:rsidRDefault="00567F59" w:rsidP="00C15490">
      <w:pPr>
        <w:pStyle w:val="NormalWeb"/>
        <w:spacing w:line="360" w:lineRule="auto"/>
        <w:jc w:val="both"/>
        <w:rPr>
          <w:rFonts w:ascii="Arial" w:eastAsiaTheme="majorEastAsia" w:hAnsi="Arial" w:cs="Arial"/>
        </w:rPr>
      </w:pPr>
      <w:r w:rsidRPr="005808DD">
        <w:rPr>
          <w:rFonts w:ascii="Arial" w:eastAsiaTheme="majorEastAsia" w:hAnsi="Arial" w:cs="Arial"/>
        </w:rPr>
        <w:t>The UK pharmaceutical sector of 2025 is subject to the legal changes that impact the pioneer and follower in different ways through the tightening of regulatory demands and faster approvals. The more proactive 2025 faster-reviewing pathway of the MHRA that has approved over 2,000 medicines and 54 new drugs in the previous cycle has an advantage as pioneers encounter shorter time to market with innovative treatments, with firms such as AstraZeneca able to commercialise new treatment faster</w:t>
      </w:r>
      <w:r w:rsidR="00C15490" w:rsidRPr="005808DD">
        <w:rPr>
          <w:rFonts w:ascii="Arial" w:eastAsiaTheme="majorEastAsia" w:hAnsi="Arial" w:cs="Arial"/>
        </w:rPr>
        <w:t xml:space="preserve"> </w:t>
      </w:r>
      <w:r w:rsidR="00C15490" w:rsidRPr="005808DD">
        <w:rPr>
          <w:rFonts w:ascii="Arial" w:hAnsi="Arial" w:cs="Arial"/>
        </w:rPr>
        <w:t>(</w:t>
      </w:r>
      <w:proofErr w:type="spellStart"/>
      <w:r w:rsidR="00C15490" w:rsidRPr="005808DD">
        <w:rPr>
          <w:rFonts w:ascii="Arial" w:hAnsi="Arial" w:cs="Arial"/>
        </w:rPr>
        <w:t>AInvest</w:t>
      </w:r>
      <w:proofErr w:type="spellEnd"/>
      <w:r w:rsidR="00C15490" w:rsidRPr="005808DD">
        <w:rPr>
          <w:rFonts w:ascii="Arial" w:hAnsi="Arial" w:cs="Arial"/>
        </w:rPr>
        <w:t>, 2025)</w:t>
      </w:r>
      <w:r w:rsidRPr="005808DD">
        <w:rPr>
          <w:rFonts w:ascii="Arial" w:eastAsiaTheme="majorEastAsia" w:hAnsi="Arial" w:cs="Arial"/>
        </w:rPr>
        <w:t>. Nonetheless, more rigorous post-marketing surveillance and patent challenge make pioneers more expensive to comply with and face more legal risk. In the case of followers, more explicit regulatory direction and patent lifespan over PS1.5 billion of UK drug patents when they expire by the end of 2025, there are high chances of initiating generics and biosimilars</w:t>
      </w:r>
      <w:r w:rsidR="00C15490" w:rsidRPr="005808DD">
        <w:rPr>
          <w:rFonts w:ascii="Arial" w:eastAsiaTheme="majorEastAsia" w:hAnsi="Arial" w:cs="Arial"/>
        </w:rPr>
        <w:t xml:space="preserve"> </w:t>
      </w:r>
      <w:r w:rsidR="00C15490" w:rsidRPr="005808DD">
        <w:rPr>
          <w:rFonts w:ascii="Arial" w:hAnsi="Arial" w:cs="Arial"/>
        </w:rPr>
        <w:t>(OMR Global, 2025)</w:t>
      </w:r>
      <w:r w:rsidRPr="005808DD">
        <w:rPr>
          <w:rFonts w:ascii="Arial" w:eastAsiaTheme="majorEastAsia" w:hAnsi="Arial" w:cs="Arial"/>
        </w:rPr>
        <w:t xml:space="preserve">. </w:t>
      </w:r>
    </w:p>
    <w:p w14:paraId="40A88FE7" w14:textId="5C6E2617" w:rsidR="00C15490" w:rsidRPr="005808DD" w:rsidRDefault="00C15490" w:rsidP="00C15490">
      <w:pPr>
        <w:pStyle w:val="NormalWeb"/>
        <w:spacing w:line="360" w:lineRule="auto"/>
        <w:jc w:val="center"/>
        <w:rPr>
          <w:rFonts w:ascii="Arial" w:hAnsi="Arial" w:cs="Arial"/>
          <w:b/>
        </w:rPr>
      </w:pPr>
      <w:r w:rsidRPr="005808DD">
        <w:rPr>
          <w:b/>
          <w:noProof/>
          <w:lang w:val="en-US" w:eastAsia="en-US"/>
        </w:rPr>
        <w:drawing>
          <wp:inline distT="0" distB="0" distL="0" distR="0" wp14:anchorId="00D6393D" wp14:editId="11886DF9">
            <wp:extent cx="5197970" cy="2923858"/>
            <wp:effectExtent l="0" t="0" r="3175" b="0"/>
            <wp:docPr id="3" name="Picture 3" descr="UK's MHRA Reinventing Itself as Sovereign Regulator | Redica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s MHRA Reinventing Itself as Sovereign Regulator | Redica System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09379" cy="2930276"/>
                    </a:xfrm>
                    <a:prstGeom prst="rect">
                      <a:avLst/>
                    </a:prstGeom>
                    <a:noFill/>
                    <a:ln>
                      <a:noFill/>
                    </a:ln>
                  </pic:spPr>
                </pic:pic>
              </a:graphicData>
            </a:graphic>
          </wp:inline>
        </w:drawing>
      </w:r>
    </w:p>
    <w:p w14:paraId="39EF9D75" w14:textId="4031F9CD" w:rsidR="00C15490" w:rsidRPr="005808DD" w:rsidRDefault="00C15490" w:rsidP="00C15490">
      <w:pPr>
        <w:pStyle w:val="NormalWeb"/>
        <w:spacing w:line="360" w:lineRule="auto"/>
        <w:jc w:val="center"/>
        <w:rPr>
          <w:rFonts w:ascii="Arial" w:hAnsi="Arial" w:cs="Arial"/>
          <w:b/>
        </w:rPr>
      </w:pPr>
      <w:r w:rsidRPr="005808DD">
        <w:rPr>
          <w:rFonts w:ascii="Arial" w:hAnsi="Arial" w:cs="Arial"/>
          <w:b/>
        </w:rPr>
        <w:lastRenderedPageBreak/>
        <w:t>Fig 3: Shifts of MHRA</w:t>
      </w:r>
    </w:p>
    <w:p w14:paraId="5849110D" w14:textId="7BF20B63" w:rsidR="00C15490" w:rsidRPr="005808DD" w:rsidRDefault="00C15490" w:rsidP="00C15490">
      <w:pPr>
        <w:pStyle w:val="NormalWeb"/>
        <w:spacing w:line="360" w:lineRule="auto"/>
        <w:jc w:val="center"/>
        <w:rPr>
          <w:rFonts w:ascii="Arial" w:hAnsi="Arial" w:cs="Arial"/>
        </w:rPr>
      </w:pPr>
      <w:r w:rsidRPr="005808DD">
        <w:rPr>
          <w:rFonts w:ascii="Arial" w:hAnsi="Arial" w:cs="Arial"/>
          <w:b/>
        </w:rPr>
        <w:t xml:space="preserve">Source: </w:t>
      </w:r>
      <w:r w:rsidRPr="005808DD">
        <w:rPr>
          <w:rFonts w:ascii="Arial" w:hAnsi="Arial" w:cs="Arial"/>
        </w:rPr>
        <w:t>(Redica Systems, 2021)</w:t>
      </w:r>
    </w:p>
    <w:p w14:paraId="1E5794A6" w14:textId="77777777" w:rsidR="00695B6E" w:rsidRPr="00884781" w:rsidRDefault="00695B6E" w:rsidP="00884781">
      <w:pPr>
        <w:spacing w:line="360" w:lineRule="auto"/>
        <w:jc w:val="both"/>
        <w:rPr>
          <w:rFonts w:ascii="Arial" w:eastAsiaTheme="majorEastAsia" w:hAnsi="Arial" w:cs="Arial"/>
          <w:b/>
        </w:rPr>
      </w:pPr>
      <w:r w:rsidRPr="00884781">
        <w:rPr>
          <w:rFonts w:ascii="Arial" w:eastAsiaTheme="majorEastAsia" w:hAnsi="Arial" w:cs="Arial"/>
          <w:b/>
        </w:rPr>
        <w:t>Key strategic implications for both pioneers and followers</w:t>
      </w:r>
    </w:p>
    <w:p w14:paraId="20EE6AE4" w14:textId="77777777" w:rsidR="00695B6E" w:rsidRPr="00884781" w:rsidRDefault="00695B6E" w:rsidP="00884781">
      <w:pPr>
        <w:spacing w:line="360" w:lineRule="auto"/>
        <w:jc w:val="both"/>
        <w:rPr>
          <w:rFonts w:ascii="Arial" w:eastAsiaTheme="majorEastAsia" w:hAnsi="Arial" w:cs="Arial"/>
          <w:b/>
        </w:rPr>
      </w:pPr>
      <w:r w:rsidRPr="00884781">
        <w:rPr>
          <w:rFonts w:ascii="Arial" w:eastAsiaTheme="majorEastAsia" w:hAnsi="Arial" w:cs="Arial"/>
          <w:b/>
        </w:rPr>
        <w:t>Pioneers</w:t>
      </w:r>
    </w:p>
    <w:p w14:paraId="6D6D744F" w14:textId="65098A37" w:rsidR="00884781" w:rsidRPr="00884781" w:rsidRDefault="00567F59" w:rsidP="00884781">
      <w:pPr>
        <w:spacing w:line="360" w:lineRule="auto"/>
        <w:jc w:val="both"/>
        <w:rPr>
          <w:rFonts w:ascii="Arial" w:eastAsia="Times New Roman" w:hAnsi="Arial" w:cs="Arial"/>
          <w:kern w:val="0"/>
          <w:lang w:val="en-IN" w:eastAsia="en-IN"/>
          <w14:ligatures w14:val="none"/>
        </w:rPr>
      </w:pPr>
      <w:r w:rsidRPr="00884781">
        <w:rPr>
          <w:rFonts w:ascii="Arial" w:eastAsiaTheme="majorEastAsia" w:hAnsi="Arial" w:cs="Arial"/>
        </w:rPr>
        <w:t>The question of the UK laws and regulations strengthening in 2025 in the case of the innovative companies means that they will need to spend more on its compliance, pharmacovigilance and patents in order to cushion its innovation advantage</w:t>
      </w:r>
      <w:r w:rsidR="00C15490" w:rsidRPr="00884781">
        <w:rPr>
          <w:rFonts w:ascii="Arial" w:eastAsiaTheme="majorEastAsia" w:hAnsi="Arial" w:cs="Arial"/>
        </w:rPr>
        <w:t xml:space="preserve"> </w:t>
      </w:r>
      <w:r w:rsidR="00C15490" w:rsidRPr="00884781">
        <w:rPr>
          <w:rFonts w:ascii="Arial" w:hAnsi="Arial" w:cs="Arial"/>
        </w:rPr>
        <w:t>(GuideChem, 2025)</w:t>
      </w:r>
      <w:r w:rsidRPr="00884781">
        <w:rPr>
          <w:rFonts w:ascii="Arial" w:eastAsiaTheme="majorEastAsia" w:hAnsi="Arial" w:cs="Arial"/>
        </w:rPr>
        <w:t xml:space="preserve">. Since it has been seen that the MHRA has already given approvals to 54 new medicines in the latest round, companies such as AstraZeneca and GSK must be strategic in </w:t>
      </w:r>
      <w:r w:rsidR="00884781" w:rsidRPr="00884781">
        <w:rPr>
          <w:rFonts w:ascii="Arial" w:eastAsiaTheme="majorEastAsia" w:hAnsi="Arial" w:cs="Arial"/>
        </w:rPr>
        <w:t xml:space="preserve">making their future submissions. AstraZeneca </w:t>
      </w:r>
      <w:r w:rsidR="00884781" w:rsidRPr="00884781">
        <w:rPr>
          <w:rFonts w:ascii="Arial" w:eastAsia="Times New Roman" w:hAnsi="Arial" w:cs="Arial"/>
          <w:kern w:val="0"/>
          <w:lang w:val="en-IN" w:eastAsia="en-IN"/>
          <w14:ligatures w14:val="none"/>
        </w:rPr>
        <w:t>CVRM jumped 5% to $9.8bn and R&amp;I 13% to $6.5bn in the first nine months of 2025, indicating higher R&amp;I growth.</w:t>
      </w:r>
    </w:p>
    <w:p w14:paraId="37FB0395" w14:textId="05E2147A" w:rsidR="00247E0D" w:rsidRDefault="00247E0D" w:rsidP="00C15490">
      <w:pPr>
        <w:pStyle w:val="NormalWeb"/>
        <w:spacing w:line="360" w:lineRule="auto"/>
        <w:jc w:val="both"/>
        <w:rPr>
          <w:rFonts w:ascii="Arial" w:eastAsiaTheme="majorEastAsia" w:hAnsi="Arial" w:cs="Arial"/>
        </w:rPr>
      </w:pPr>
    </w:p>
    <w:p w14:paraId="153B2B92" w14:textId="759F4CFA" w:rsidR="00884781" w:rsidRPr="00884781" w:rsidRDefault="00884781" w:rsidP="00884781">
      <w:pPr>
        <w:pStyle w:val="NormalWeb"/>
        <w:spacing w:line="360" w:lineRule="auto"/>
        <w:jc w:val="center"/>
        <w:rPr>
          <w:rFonts w:ascii="Arial" w:hAnsi="Arial" w:cs="Arial"/>
          <w:b/>
        </w:rPr>
      </w:pPr>
      <w:r w:rsidRPr="00884781">
        <w:rPr>
          <w:rFonts w:ascii="Arial" w:hAnsi="Arial" w:cs="Arial"/>
          <w:b/>
          <w:noProof/>
          <w:lang w:val="en-US" w:eastAsia="en-US"/>
        </w:rPr>
        <w:drawing>
          <wp:inline distT="0" distB="0" distL="0" distR="0" wp14:anchorId="3FD67C16" wp14:editId="44C837D4">
            <wp:extent cx="4900930" cy="2835437"/>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11711" cy="2841674"/>
                    </a:xfrm>
                    <a:prstGeom prst="rect">
                      <a:avLst/>
                    </a:prstGeom>
                  </pic:spPr>
                </pic:pic>
              </a:graphicData>
            </a:graphic>
          </wp:inline>
        </w:drawing>
      </w:r>
    </w:p>
    <w:p w14:paraId="7B59054F" w14:textId="1CCFF9A3" w:rsidR="00884781" w:rsidRPr="00884781" w:rsidRDefault="00884781" w:rsidP="00884781">
      <w:pPr>
        <w:pStyle w:val="NormalWeb"/>
        <w:spacing w:line="360" w:lineRule="auto"/>
        <w:jc w:val="center"/>
        <w:rPr>
          <w:rFonts w:ascii="Arial" w:hAnsi="Arial" w:cs="Arial"/>
          <w:b/>
        </w:rPr>
      </w:pPr>
      <w:r w:rsidRPr="00884781">
        <w:rPr>
          <w:rFonts w:ascii="Arial" w:hAnsi="Arial" w:cs="Arial"/>
          <w:b/>
        </w:rPr>
        <w:t>Fig 4: Revenue of AstraZeneca</w:t>
      </w:r>
    </w:p>
    <w:p w14:paraId="1A2F607F" w14:textId="247D1874" w:rsidR="00884781" w:rsidRPr="00884781" w:rsidRDefault="00884781" w:rsidP="00884781">
      <w:pPr>
        <w:pStyle w:val="NormalWeb"/>
        <w:spacing w:line="360" w:lineRule="auto"/>
        <w:jc w:val="center"/>
        <w:rPr>
          <w:rFonts w:ascii="Arial" w:hAnsi="Arial" w:cs="Arial"/>
        </w:rPr>
      </w:pPr>
      <w:r w:rsidRPr="00884781">
        <w:rPr>
          <w:rFonts w:ascii="Arial" w:hAnsi="Arial" w:cs="Arial"/>
          <w:b/>
        </w:rPr>
        <w:t>Source:</w:t>
      </w:r>
      <w:r>
        <w:rPr>
          <w:rFonts w:ascii="Arial" w:hAnsi="Arial" w:cs="Arial"/>
          <w:b/>
        </w:rPr>
        <w:t xml:space="preserve"> </w:t>
      </w:r>
      <w:r>
        <w:rPr>
          <w:rFonts w:ascii="Arial" w:hAnsi="Arial" w:cs="Arial"/>
        </w:rPr>
        <w:t>(AstraZeneca PLC, 2025)</w:t>
      </w:r>
    </w:p>
    <w:p w14:paraId="27761FA0" w14:textId="75876459" w:rsidR="00DE5D5B" w:rsidRPr="00884781" w:rsidRDefault="00695B6E" w:rsidP="00884781">
      <w:pPr>
        <w:spacing w:line="360" w:lineRule="auto"/>
        <w:jc w:val="both"/>
        <w:rPr>
          <w:rFonts w:ascii="Arial" w:eastAsiaTheme="majorEastAsia" w:hAnsi="Arial" w:cs="Arial"/>
          <w:b/>
        </w:rPr>
      </w:pPr>
      <w:r w:rsidRPr="00884781">
        <w:rPr>
          <w:rFonts w:ascii="Arial" w:eastAsiaTheme="majorEastAsia" w:hAnsi="Arial" w:cs="Arial"/>
          <w:b/>
        </w:rPr>
        <w:t>Followers</w:t>
      </w:r>
    </w:p>
    <w:p w14:paraId="33C5305D" w14:textId="6CDC2644" w:rsidR="00247E0D" w:rsidRPr="00884781" w:rsidRDefault="00567F59" w:rsidP="00884781">
      <w:pPr>
        <w:spacing w:line="360" w:lineRule="auto"/>
        <w:jc w:val="both"/>
        <w:rPr>
          <w:rFonts w:ascii="Arial" w:eastAsia="Times New Roman" w:hAnsi="Arial" w:cs="Arial"/>
          <w:kern w:val="0"/>
          <w:lang w:val="en-IN" w:eastAsia="en-IN"/>
          <w14:ligatures w14:val="none"/>
        </w:rPr>
      </w:pPr>
      <w:r w:rsidRPr="00884781">
        <w:rPr>
          <w:rFonts w:ascii="Arial" w:eastAsiaTheme="majorEastAsia" w:hAnsi="Arial" w:cs="Arial"/>
        </w:rPr>
        <w:t xml:space="preserve">The 2025 legal environment offers follower organisations an opportunity to penetration faster in the market due to the presence of clearer MHRA guidelines and future patent </w:t>
      </w:r>
      <w:r w:rsidRPr="00884781">
        <w:rPr>
          <w:rFonts w:ascii="Arial" w:eastAsiaTheme="majorEastAsia" w:hAnsi="Arial" w:cs="Arial"/>
        </w:rPr>
        <w:lastRenderedPageBreak/>
        <w:t>expirations, in the opening of new generics and biosimilars. Companies like Teva and Sandoz have an opportunity to exploit these legal loopholes, though they should improve their compliance capacity to comply with more stringent manufacturing and quality regulations in the UK</w:t>
      </w:r>
      <w:r w:rsidR="00C15490" w:rsidRPr="00884781">
        <w:rPr>
          <w:rFonts w:ascii="Arial" w:eastAsiaTheme="majorEastAsia" w:hAnsi="Arial" w:cs="Arial"/>
        </w:rPr>
        <w:t xml:space="preserve"> </w:t>
      </w:r>
      <w:r w:rsidR="00C15490" w:rsidRPr="00884781">
        <w:rPr>
          <w:rFonts w:ascii="Arial" w:hAnsi="Arial" w:cs="Arial"/>
        </w:rPr>
        <w:t>(Pharmaphorum, 2025a)</w:t>
      </w:r>
      <w:r w:rsidRPr="00884781">
        <w:rPr>
          <w:rFonts w:ascii="Arial" w:eastAsiaTheme="majorEastAsia" w:hAnsi="Arial" w:cs="Arial"/>
        </w:rPr>
        <w:t xml:space="preserve">. </w:t>
      </w:r>
      <w:r w:rsidR="00884781" w:rsidRPr="00884781">
        <w:rPr>
          <w:rFonts w:ascii="Arial" w:eastAsia="Times New Roman" w:hAnsi="Arial" w:cs="Arial"/>
          <w:kern w:val="0"/>
          <w:lang w:val="en-IN" w:eastAsia="en-IN"/>
          <w14:ligatures w14:val="none"/>
        </w:rPr>
        <w:t xml:space="preserve">The below graph of the company Teva shows 11 quarters of 8% sales growth from Q3 2023 to Q3 2025. </w:t>
      </w:r>
      <w:r w:rsidRPr="00884781">
        <w:rPr>
          <w:rFonts w:ascii="Arial" w:eastAsiaTheme="majorEastAsia" w:hAnsi="Arial" w:cs="Arial"/>
        </w:rPr>
        <w:t>This necessitates the careful investment in the regulation matters and improved production infrastructure to</w:t>
      </w:r>
      <w:r w:rsidR="00884781" w:rsidRPr="00884781">
        <w:rPr>
          <w:rFonts w:ascii="Arial" w:eastAsiaTheme="majorEastAsia" w:hAnsi="Arial" w:cs="Arial"/>
        </w:rPr>
        <w:t xml:space="preserve"> enable their cheaper products.</w:t>
      </w:r>
    </w:p>
    <w:p w14:paraId="69543EAF" w14:textId="5B137C29" w:rsidR="00884781" w:rsidRPr="00884781" w:rsidRDefault="00884781" w:rsidP="00C15490">
      <w:pPr>
        <w:pStyle w:val="NormalWeb"/>
        <w:spacing w:line="360" w:lineRule="auto"/>
        <w:jc w:val="both"/>
        <w:rPr>
          <w:rFonts w:ascii="Arial" w:hAnsi="Arial" w:cs="Arial"/>
          <w:b/>
        </w:rPr>
      </w:pPr>
      <w:r w:rsidRPr="00884781">
        <w:rPr>
          <w:rFonts w:ascii="Arial" w:hAnsi="Arial" w:cs="Arial"/>
          <w:b/>
          <w:noProof/>
          <w:lang w:val="en-US" w:eastAsia="en-US"/>
        </w:rPr>
        <w:drawing>
          <wp:inline distT="0" distB="0" distL="0" distR="0" wp14:anchorId="158F10F5" wp14:editId="431389CF">
            <wp:extent cx="5731510" cy="290131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01315"/>
                    </a:xfrm>
                    <a:prstGeom prst="rect">
                      <a:avLst/>
                    </a:prstGeom>
                  </pic:spPr>
                </pic:pic>
              </a:graphicData>
            </a:graphic>
          </wp:inline>
        </w:drawing>
      </w:r>
    </w:p>
    <w:p w14:paraId="5F9AA649" w14:textId="7A5D5203" w:rsidR="00884781" w:rsidRPr="00884781" w:rsidRDefault="00884781" w:rsidP="00884781">
      <w:pPr>
        <w:pStyle w:val="NormalWeb"/>
        <w:spacing w:line="360" w:lineRule="auto"/>
        <w:jc w:val="center"/>
        <w:rPr>
          <w:rFonts w:ascii="Arial" w:hAnsi="Arial" w:cs="Arial"/>
          <w:b/>
        </w:rPr>
      </w:pPr>
      <w:r w:rsidRPr="00884781">
        <w:rPr>
          <w:rFonts w:ascii="Arial" w:hAnsi="Arial" w:cs="Arial"/>
          <w:b/>
        </w:rPr>
        <w:t>Fig 5: Teva Company Revenue Growth</w:t>
      </w:r>
    </w:p>
    <w:p w14:paraId="692045E8" w14:textId="541BEF77" w:rsidR="00884781" w:rsidRPr="00884781" w:rsidRDefault="00884781" w:rsidP="00884781">
      <w:pPr>
        <w:pStyle w:val="NormalWeb"/>
        <w:spacing w:line="360" w:lineRule="auto"/>
        <w:jc w:val="center"/>
        <w:rPr>
          <w:rFonts w:ascii="Arial" w:hAnsi="Arial" w:cs="Arial"/>
        </w:rPr>
      </w:pPr>
      <w:r w:rsidRPr="00884781">
        <w:rPr>
          <w:rFonts w:ascii="Arial" w:hAnsi="Arial" w:cs="Arial"/>
          <w:b/>
        </w:rPr>
        <w:t xml:space="preserve">Source: </w:t>
      </w:r>
      <w:r w:rsidRPr="00884781">
        <w:rPr>
          <w:rFonts w:ascii="Arial" w:hAnsi="Arial" w:cs="Arial"/>
        </w:rPr>
        <w:t>(Teva Pharmaceutical Industries Ltd., 2025)</w:t>
      </w:r>
    </w:p>
    <w:p w14:paraId="707FE4C1" w14:textId="77777777" w:rsidR="00DE6BD7" w:rsidRDefault="00DE6BD7">
      <w:pPr>
        <w:rPr>
          <w:rStyle w:val="Heading1Char"/>
          <w:rFonts w:ascii="Arial" w:hAnsi="Arial" w:cs="Arial"/>
          <w:b/>
          <w:bCs/>
          <w:color w:val="auto"/>
          <w:sz w:val="24"/>
          <w:szCs w:val="24"/>
        </w:rPr>
      </w:pPr>
      <w:bookmarkStart w:id="11" w:name="_Toc213948212"/>
      <w:bookmarkStart w:id="12" w:name="_Toc211437174"/>
      <w:r>
        <w:rPr>
          <w:rStyle w:val="Heading1Char"/>
          <w:rFonts w:ascii="Arial" w:hAnsi="Arial" w:cs="Arial"/>
          <w:b/>
          <w:bCs/>
          <w:color w:val="auto"/>
          <w:sz w:val="24"/>
          <w:szCs w:val="24"/>
        </w:rPr>
        <w:br w:type="page"/>
      </w:r>
    </w:p>
    <w:p w14:paraId="79A80A99" w14:textId="2FFBF8AD" w:rsidR="00DE5D5B" w:rsidRPr="005808DD" w:rsidRDefault="00DE5D5B" w:rsidP="00941229">
      <w:pPr>
        <w:pStyle w:val="Heading1"/>
        <w:spacing w:line="360" w:lineRule="auto"/>
        <w:jc w:val="both"/>
        <w:rPr>
          <w:rStyle w:val="Heading1Char"/>
          <w:rFonts w:ascii="Arial" w:hAnsi="Arial" w:cs="Arial"/>
          <w:b/>
          <w:bCs/>
          <w:color w:val="auto"/>
          <w:sz w:val="24"/>
          <w:szCs w:val="24"/>
        </w:rPr>
      </w:pPr>
      <w:r w:rsidRPr="005808DD">
        <w:rPr>
          <w:rStyle w:val="Heading1Char"/>
          <w:rFonts w:ascii="Arial" w:hAnsi="Arial" w:cs="Arial"/>
          <w:b/>
          <w:bCs/>
          <w:color w:val="auto"/>
          <w:sz w:val="24"/>
          <w:szCs w:val="24"/>
        </w:rPr>
        <w:lastRenderedPageBreak/>
        <w:t>3. Task 2: Strategic Responses of Pioneering and Follower Organisations</w:t>
      </w:r>
      <w:bookmarkEnd w:id="11"/>
      <w:r w:rsidRPr="005808DD">
        <w:rPr>
          <w:rStyle w:val="Heading1Char"/>
          <w:rFonts w:ascii="Arial" w:hAnsi="Arial" w:cs="Arial"/>
          <w:b/>
          <w:bCs/>
          <w:color w:val="auto"/>
          <w:sz w:val="24"/>
          <w:szCs w:val="24"/>
        </w:rPr>
        <w:t xml:space="preserve"> </w:t>
      </w:r>
      <w:bookmarkEnd w:id="12"/>
    </w:p>
    <w:p w14:paraId="3EC8095B" w14:textId="614ACF16" w:rsidR="00DE5D5B" w:rsidRPr="005808DD" w:rsidRDefault="00DE5D5B" w:rsidP="00941229">
      <w:pPr>
        <w:pStyle w:val="Heading2"/>
        <w:spacing w:line="360" w:lineRule="auto"/>
        <w:jc w:val="both"/>
        <w:rPr>
          <w:rFonts w:ascii="Arial" w:hAnsi="Arial" w:cs="Arial"/>
          <w:b/>
          <w:color w:val="auto"/>
          <w:sz w:val="24"/>
          <w:szCs w:val="24"/>
        </w:rPr>
      </w:pPr>
      <w:bookmarkStart w:id="13" w:name="_Toc211437175"/>
      <w:bookmarkStart w:id="14" w:name="_Toc213948213"/>
      <w:r w:rsidRPr="005808DD">
        <w:rPr>
          <w:rFonts w:ascii="Arial" w:hAnsi="Arial" w:cs="Arial"/>
          <w:b/>
          <w:color w:val="auto"/>
          <w:sz w:val="24"/>
          <w:szCs w:val="24"/>
        </w:rPr>
        <w:t>3.1 Pioneering Organisations’ Strategic Responses</w:t>
      </w:r>
      <w:bookmarkEnd w:id="13"/>
      <w:bookmarkEnd w:id="14"/>
    </w:p>
    <w:p w14:paraId="3F119FA7"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Way pioneering firms respond to external challenges and opportunities using</w:t>
      </w:r>
    </w:p>
    <w:p w14:paraId="22269E90"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Ansoff’s Growth Matrix</w:t>
      </w:r>
    </w:p>
    <w:p w14:paraId="55338C88"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Market Penetration</w:t>
      </w:r>
    </w:p>
    <w:p w14:paraId="7D16A104" w14:textId="021400DC" w:rsidR="00567F59" w:rsidRPr="005808DD" w:rsidRDefault="00567F59" w:rsidP="00C15490">
      <w:pPr>
        <w:pStyle w:val="NormalWeb"/>
        <w:spacing w:line="360" w:lineRule="auto"/>
        <w:jc w:val="both"/>
        <w:rPr>
          <w:rFonts w:ascii="Arial" w:eastAsiaTheme="majorEastAsia" w:hAnsi="Arial" w:cs="Arial"/>
        </w:rPr>
      </w:pPr>
      <w:r w:rsidRPr="005808DD">
        <w:rPr>
          <w:rFonts w:ascii="Arial" w:eastAsiaTheme="majorEastAsia" w:hAnsi="Arial" w:cs="Arial"/>
        </w:rPr>
        <w:t>In 2025, the innovation of pharmaceutical companies increases the degree of market penetration by raising the level of interaction with the NHS procurement and the use of already-patented medicines</w:t>
      </w:r>
      <w:r w:rsidR="00C15490" w:rsidRPr="005808DD">
        <w:rPr>
          <w:rFonts w:ascii="Arial" w:eastAsiaTheme="majorEastAsia" w:hAnsi="Arial" w:cs="Arial"/>
        </w:rPr>
        <w:t xml:space="preserve"> </w:t>
      </w:r>
      <w:r w:rsidR="00C15490" w:rsidRPr="005808DD">
        <w:rPr>
          <w:rFonts w:ascii="Arial" w:hAnsi="Arial" w:cs="Arial"/>
        </w:rPr>
        <w:t>(Regulatory Affairs News, 2024)</w:t>
      </w:r>
      <w:r w:rsidRPr="005808DD">
        <w:rPr>
          <w:rFonts w:ascii="Arial" w:eastAsiaTheme="majorEastAsia" w:hAnsi="Arial" w:cs="Arial"/>
        </w:rPr>
        <w:t xml:space="preserve">. One such case is that of AstraZeneca who has managed to capture the market share in the UK with its respiratory and oncology portfolios through the development of more robust real-world evidence campaigns and outcome-based contracts, which have enabled it to withstand pressure in the 2025 rebate system. </w:t>
      </w:r>
    </w:p>
    <w:p w14:paraId="11364FAA" w14:textId="58487A36" w:rsidR="000A49CD" w:rsidRPr="005808DD" w:rsidRDefault="000A49CD" w:rsidP="000A49CD">
      <w:pPr>
        <w:pStyle w:val="NormalWeb"/>
        <w:spacing w:line="360" w:lineRule="auto"/>
        <w:jc w:val="center"/>
        <w:rPr>
          <w:rFonts w:ascii="Arial" w:hAnsi="Arial" w:cs="Arial"/>
          <w:b/>
        </w:rPr>
      </w:pPr>
      <w:r w:rsidRPr="005808DD">
        <w:rPr>
          <w:b/>
          <w:noProof/>
          <w:lang w:val="en-US" w:eastAsia="en-US"/>
        </w:rPr>
        <w:drawing>
          <wp:inline distT="0" distB="0" distL="0" distR="0" wp14:anchorId="7D8B47D5" wp14:editId="2B257D66">
            <wp:extent cx="2590800" cy="1760220"/>
            <wp:effectExtent l="0" t="0" r="0" b="0"/>
            <wp:docPr id="4" name="Picture 4" descr="Apple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pple Ansoff Matrix - Research-Methodolo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90800" cy="1760220"/>
                    </a:xfrm>
                    <a:prstGeom prst="rect">
                      <a:avLst/>
                    </a:prstGeom>
                    <a:noFill/>
                    <a:ln>
                      <a:noFill/>
                    </a:ln>
                  </pic:spPr>
                </pic:pic>
              </a:graphicData>
            </a:graphic>
          </wp:inline>
        </w:drawing>
      </w:r>
    </w:p>
    <w:p w14:paraId="6F854062" w14:textId="2D7D184B" w:rsidR="000A49CD" w:rsidRPr="005808DD" w:rsidRDefault="00884781" w:rsidP="000A49CD">
      <w:pPr>
        <w:pStyle w:val="NormalWeb"/>
        <w:spacing w:line="360" w:lineRule="auto"/>
        <w:jc w:val="center"/>
        <w:rPr>
          <w:rFonts w:ascii="Arial" w:hAnsi="Arial" w:cs="Arial"/>
          <w:b/>
        </w:rPr>
      </w:pPr>
      <w:r>
        <w:rPr>
          <w:rFonts w:ascii="Arial" w:hAnsi="Arial" w:cs="Arial"/>
          <w:b/>
        </w:rPr>
        <w:t>Fig 6</w:t>
      </w:r>
      <w:r w:rsidR="000A49CD" w:rsidRPr="005808DD">
        <w:rPr>
          <w:rFonts w:ascii="Arial" w:hAnsi="Arial" w:cs="Arial"/>
          <w:b/>
        </w:rPr>
        <w:t>: Ansoff Matrix</w:t>
      </w:r>
    </w:p>
    <w:p w14:paraId="43CC2A76" w14:textId="390739F6" w:rsidR="000A49CD" w:rsidRPr="005808DD" w:rsidRDefault="000A49CD" w:rsidP="000A49CD">
      <w:pPr>
        <w:pStyle w:val="NormalWeb"/>
        <w:spacing w:line="360" w:lineRule="auto"/>
        <w:jc w:val="center"/>
        <w:rPr>
          <w:rFonts w:ascii="Arial" w:hAnsi="Arial" w:cs="Arial"/>
        </w:rPr>
      </w:pPr>
      <w:r w:rsidRPr="005808DD">
        <w:rPr>
          <w:rFonts w:ascii="Arial" w:hAnsi="Arial" w:cs="Arial"/>
          <w:b/>
        </w:rPr>
        <w:t xml:space="preserve">Source: </w:t>
      </w:r>
      <w:r w:rsidRPr="005808DD">
        <w:rPr>
          <w:rFonts w:ascii="Arial" w:hAnsi="Arial" w:cs="Arial"/>
        </w:rPr>
        <w:t>(Research-Methdology.net, 20242)</w:t>
      </w:r>
    </w:p>
    <w:p w14:paraId="73A3CEC0" w14:textId="77777777" w:rsidR="00695B6E" w:rsidRPr="00884781" w:rsidRDefault="00695B6E" w:rsidP="00884781">
      <w:pPr>
        <w:spacing w:line="360" w:lineRule="auto"/>
        <w:jc w:val="both"/>
        <w:rPr>
          <w:rFonts w:ascii="Arial" w:eastAsiaTheme="majorEastAsia" w:hAnsi="Arial" w:cs="Arial"/>
          <w:b/>
        </w:rPr>
      </w:pPr>
      <w:r w:rsidRPr="00884781">
        <w:rPr>
          <w:rFonts w:ascii="Arial" w:eastAsiaTheme="majorEastAsia" w:hAnsi="Arial" w:cs="Arial"/>
          <w:b/>
        </w:rPr>
        <w:t>Product Development</w:t>
      </w:r>
    </w:p>
    <w:p w14:paraId="682C0F16" w14:textId="639BAE15" w:rsidR="00567F59" w:rsidRPr="00884781" w:rsidRDefault="00567F59" w:rsidP="00884781">
      <w:pPr>
        <w:spacing w:line="360" w:lineRule="auto"/>
        <w:jc w:val="both"/>
        <w:rPr>
          <w:rFonts w:ascii="Arial" w:eastAsia="Times New Roman" w:hAnsi="Arial" w:cs="Arial"/>
          <w:kern w:val="0"/>
          <w:lang w:val="en-IN" w:eastAsia="en-IN"/>
          <w14:ligatures w14:val="none"/>
        </w:rPr>
      </w:pPr>
      <w:r w:rsidRPr="00884781">
        <w:rPr>
          <w:rFonts w:ascii="Arial" w:eastAsiaTheme="majorEastAsia" w:hAnsi="Arial" w:cs="Arial"/>
        </w:rPr>
        <w:t xml:space="preserve">The innovators are also still engaged in product development since the innovative medicines are reducing their time-to-market as they have faster MHRA approval processes in 2025. AstraZeneca and GSK have both been advancing in late stage pipelines and in its latest issue the MHRA approved 54 new medicines, the highest number of any single annual total. </w:t>
      </w:r>
      <w:r w:rsidR="00884781" w:rsidRPr="00884781">
        <w:rPr>
          <w:rFonts w:ascii="Arial" w:eastAsia="Times New Roman" w:hAnsi="Arial" w:cs="Arial"/>
          <w:kern w:val="0"/>
          <w:lang w:val="en-IN" w:eastAsia="en-IN"/>
          <w14:ligatures w14:val="none"/>
        </w:rPr>
        <w:t>GSK reported £31.4bn in turnover in 2024, however overall operating profit dipped to £4.0bn while core operating profit climbed to £9.1bn.</w:t>
      </w:r>
    </w:p>
    <w:p w14:paraId="3319CB0A" w14:textId="7BD720E6" w:rsidR="00884781" w:rsidRDefault="00884781" w:rsidP="00941229">
      <w:pPr>
        <w:spacing w:line="360" w:lineRule="auto"/>
        <w:jc w:val="both"/>
        <w:rPr>
          <w:rFonts w:ascii="Arial" w:eastAsiaTheme="majorEastAsia" w:hAnsi="Arial" w:cs="Arial"/>
        </w:rPr>
      </w:pPr>
      <w:r w:rsidRPr="00884781">
        <w:rPr>
          <w:rFonts w:ascii="Arial" w:eastAsiaTheme="majorEastAsia" w:hAnsi="Arial" w:cs="Arial"/>
          <w:noProof/>
          <w:lang w:val="en-US"/>
        </w:rPr>
        <w:lastRenderedPageBreak/>
        <w:drawing>
          <wp:inline distT="0" distB="0" distL="0" distR="0" wp14:anchorId="07160375" wp14:editId="51EE84E6">
            <wp:extent cx="5731510" cy="327406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74060"/>
                    </a:xfrm>
                    <a:prstGeom prst="rect">
                      <a:avLst/>
                    </a:prstGeom>
                  </pic:spPr>
                </pic:pic>
              </a:graphicData>
            </a:graphic>
          </wp:inline>
        </w:drawing>
      </w:r>
    </w:p>
    <w:p w14:paraId="466D4BB0" w14:textId="1A17156D" w:rsidR="00884781" w:rsidRPr="00884781" w:rsidRDefault="00884781" w:rsidP="00884781">
      <w:pPr>
        <w:spacing w:line="360" w:lineRule="auto"/>
        <w:jc w:val="center"/>
        <w:rPr>
          <w:rFonts w:ascii="Arial" w:eastAsiaTheme="majorEastAsia" w:hAnsi="Arial" w:cs="Arial"/>
          <w:b/>
        </w:rPr>
      </w:pPr>
      <w:r w:rsidRPr="00884781">
        <w:rPr>
          <w:rFonts w:ascii="Arial" w:eastAsiaTheme="majorEastAsia" w:hAnsi="Arial" w:cs="Arial"/>
          <w:b/>
        </w:rPr>
        <w:t>Fig 7: GSK Highlights</w:t>
      </w:r>
    </w:p>
    <w:p w14:paraId="029DA655" w14:textId="16EEC34B" w:rsidR="00884781" w:rsidRPr="00884781" w:rsidRDefault="00884781" w:rsidP="00884781">
      <w:pPr>
        <w:spacing w:line="360" w:lineRule="auto"/>
        <w:jc w:val="center"/>
        <w:rPr>
          <w:rFonts w:ascii="Arial" w:eastAsiaTheme="majorEastAsia" w:hAnsi="Arial" w:cs="Arial"/>
        </w:rPr>
      </w:pPr>
      <w:r w:rsidRPr="00884781">
        <w:rPr>
          <w:rFonts w:ascii="Arial" w:eastAsiaTheme="majorEastAsia" w:hAnsi="Arial" w:cs="Arial"/>
          <w:b/>
        </w:rPr>
        <w:t>Source:</w:t>
      </w:r>
      <w:r>
        <w:rPr>
          <w:rFonts w:ascii="Arial" w:eastAsiaTheme="majorEastAsia" w:hAnsi="Arial" w:cs="Arial"/>
          <w:b/>
        </w:rPr>
        <w:t xml:space="preserve"> </w:t>
      </w:r>
      <w:r>
        <w:rPr>
          <w:rFonts w:ascii="Arial" w:eastAsiaTheme="majorEastAsia" w:hAnsi="Arial" w:cs="Arial"/>
        </w:rPr>
        <w:t>(GSK plc, 2025)</w:t>
      </w:r>
    </w:p>
    <w:p w14:paraId="52362760"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Market Development</w:t>
      </w:r>
    </w:p>
    <w:p w14:paraId="7D4BA9E9" w14:textId="24C6FD98" w:rsidR="00567F59" w:rsidRPr="005808DD" w:rsidRDefault="00567F59" w:rsidP="00C15490">
      <w:pPr>
        <w:pStyle w:val="NormalWeb"/>
        <w:spacing w:line="360" w:lineRule="auto"/>
        <w:jc w:val="both"/>
        <w:rPr>
          <w:rFonts w:ascii="Arial" w:hAnsi="Arial" w:cs="Arial"/>
        </w:rPr>
      </w:pPr>
      <w:r w:rsidRPr="005808DD">
        <w:rPr>
          <w:rFonts w:ascii="Arial" w:eastAsiaTheme="majorEastAsia" w:hAnsi="Arial" w:cs="Arial"/>
        </w:rPr>
        <w:t>The pioneers will expand market development through launch scaling into high-growth international markets as the UK price caps and increasing rebate rates in 2025 coincide</w:t>
      </w:r>
      <w:r w:rsidR="00C15490" w:rsidRPr="005808DD">
        <w:rPr>
          <w:rFonts w:ascii="Arial" w:eastAsiaTheme="majorEastAsia" w:hAnsi="Arial" w:cs="Arial"/>
        </w:rPr>
        <w:t xml:space="preserve"> </w:t>
      </w:r>
      <w:r w:rsidR="00C15490" w:rsidRPr="005808DD">
        <w:rPr>
          <w:rFonts w:ascii="Arial" w:hAnsi="Arial" w:cs="Arial"/>
        </w:rPr>
        <w:t>(STAT News, 2025)</w:t>
      </w:r>
      <w:r w:rsidRPr="005808DD">
        <w:rPr>
          <w:rFonts w:ascii="Arial" w:eastAsiaTheme="majorEastAsia" w:hAnsi="Arial" w:cs="Arial"/>
        </w:rPr>
        <w:t xml:space="preserve">. AstraZeneca as an example has announced the growth of its revenues by a double-digit in emerging markets, which made it offset the UK pricing controls. </w:t>
      </w:r>
    </w:p>
    <w:p w14:paraId="75BF761B"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Diversification</w:t>
      </w:r>
    </w:p>
    <w:p w14:paraId="5AC25790" w14:textId="31A36C9B" w:rsidR="00567F59" w:rsidRPr="005808DD" w:rsidRDefault="00941229" w:rsidP="00C15490">
      <w:pPr>
        <w:pStyle w:val="NormalWeb"/>
        <w:spacing w:line="360" w:lineRule="auto"/>
        <w:jc w:val="both"/>
        <w:rPr>
          <w:rFonts w:ascii="Arial" w:hAnsi="Arial" w:cs="Arial"/>
        </w:rPr>
      </w:pPr>
      <w:r w:rsidRPr="005808DD">
        <w:rPr>
          <w:rFonts w:ascii="Arial" w:eastAsiaTheme="majorEastAsia" w:hAnsi="Arial" w:cs="Arial"/>
        </w:rPr>
        <w:t>The Leading companies are becoming more and more diversified in the related fields of healthcare with the aim of minimizing their susceptibility to pricing and legal limitations. By 2025, large companies increased their investments in diagnostics, digital therapeutics and vaccine technologies, and GSK increased its vaccine R&amp;D budget with the global vaccine demand still rising</w:t>
      </w:r>
      <w:r w:rsidR="00C15490" w:rsidRPr="005808DD">
        <w:rPr>
          <w:rFonts w:ascii="Arial" w:eastAsiaTheme="majorEastAsia" w:hAnsi="Arial" w:cs="Arial"/>
        </w:rPr>
        <w:t xml:space="preserve"> </w:t>
      </w:r>
      <w:r w:rsidR="00C15490" w:rsidRPr="005808DD">
        <w:rPr>
          <w:rFonts w:ascii="Arial" w:hAnsi="Arial" w:cs="Arial"/>
        </w:rPr>
        <w:t>(Pharmaphorum, 2025c)</w:t>
      </w:r>
      <w:r w:rsidRPr="005808DD">
        <w:rPr>
          <w:rFonts w:ascii="Arial" w:eastAsiaTheme="majorEastAsia" w:hAnsi="Arial" w:cs="Arial"/>
        </w:rPr>
        <w:t xml:space="preserve">. </w:t>
      </w:r>
    </w:p>
    <w:p w14:paraId="1834B77A"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Porter’s Generic Strategies</w:t>
      </w:r>
    </w:p>
    <w:p w14:paraId="379ED778"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Cost Leadership</w:t>
      </w:r>
    </w:p>
    <w:p w14:paraId="7DA3A6C9" w14:textId="3988D24F" w:rsidR="00941229" w:rsidRPr="005808DD" w:rsidRDefault="00941229" w:rsidP="00C15490">
      <w:pPr>
        <w:pStyle w:val="NormalWeb"/>
        <w:spacing w:line="360" w:lineRule="auto"/>
        <w:jc w:val="both"/>
        <w:rPr>
          <w:rFonts w:ascii="Arial" w:hAnsi="Arial" w:cs="Arial"/>
        </w:rPr>
      </w:pPr>
      <w:r w:rsidRPr="005808DD">
        <w:rPr>
          <w:rFonts w:ascii="Arial" w:eastAsiaTheme="majorEastAsia" w:hAnsi="Arial" w:cs="Arial"/>
        </w:rPr>
        <w:lastRenderedPageBreak/>
        <w:t>Cost leadership is not prevalent among innovative pharmaceutical companies, but in 2025 firms like GSK seek selective cost-cutting by removing inefficiencies in the production process and discovering cheaper methods to practice AI-based research and development, which slashes discovery costs</w:t>
      </w:r>
      <w:r w:rsidR="00884781">
        <w:rPr>
          <w:rFonts w:ascii="Arial" w:eastAsiaTheme="majorEastAsia" w:hAnsi="Arial" w:cs="Arial"/>
        </w:rPr>
        <w:t xml:space="preserve"> by an estimated 15-20 percent </w:t>
      </w:r>
      <w:r w:rsidR="00C15490" w:rsidRPr="005808DD">
        <w:rPr>
          <w:rFonts w:ascii="Arial" w:hAnsi="Arial" w:cs="Arial"/>
        </w:rPr>
        <w:t>(GOV.UK, 2025b)</w:t>
      </w:r>
      <w:r w:rsidRPr="005808DD">
        <w:rPr>
          <w:rFonts w:ascii="Arial" w:eastAsiaTheme="majorEastAsia" w:hAnsi="Arial" w:cs="Arial"/>
        </w:rPr>
        <w:t xml:space="preserve">. </w:t>
      </w:r>
    </w:p>
    <w:p w14:paraId="620693BA" w14:textId="77777777" w:rsidR="00695B6E"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Differentiation</w:t>
      </w:r>
    </w:p>
    <w:p w14:paraId="1FE1D201" w14:textId="29C13FF1" w:rsidR="00941229" w:rsidRPr="005808DD" w:rsidRDefault="00941229" w:rsidP="00C15490">
      <w:pPr>
        <w:pStyle w:val="NormalWeb"/>
        <w:spacing w:line="360" w:lineRule="auto"/>
        <w:jc w:val="both"/>
        <w:rPr>
          <w:rFonts w:ascii="Arial" w:eastAsiaTheme="majorEastAsia" w:hAnsi="Arial" w:cs="Arial"/>
        </w:rPr>
      </w:pPr>
      <w:r w:rsidRPr="005808DD">
        <w:rPr>
          <w:rFonts w:ascii="Arial" w:eastAsiaTheme="majorEastAsia" w:hAnsi="Arial" w:cs="Arial"/>
        </w:rPr>
        <w:t>Differentiation will also be the central approach to pioneers in 2025, as companies such as AstraZeneca will use unique clinical performance and advanced biologics to charge a high price. Diversified treatments with robust survival-rate data in oncology increased over 18% globally in the first part of 2025, which is based on the oncology department of AstraZeneca</w:t>
      </w:r>
      <w:r w:rsidR="00C15490" w:rsidRPr="005808DD">
        <w:rPr>
          <w:rFonts w:ascii="Arial" w:eastAsiaTheme="majorEastAsia" w:hAnsi="Arial" w:cs="Arial"/>
        </w:rPr>
        <w:t xml:space="preserve"> </w:t>
      </w:r>
      <w:r w:rsidR="00C15490" w:rsidRPr="005808DD">
        <w:rPr>
          <w:rFonts w:ascii="Arial" w:hAnsi="Arial" w:cs="Arial"/>
        </w:rPr>
        <w:t>(Life Sciences Global News, 2025)</w:t>
      </w:r>
      <w:r w:rsidRPr="005808DD">
        <w:rPr>
          <w:rFonts w:ascii="Arial" w:eastAsiaTheme="majorEastAsia" w:hAnsi="Arial" w:cs="Arial"/>
        </w:rPr>
        <w:t xml:space="preserve">. </w:t>
      </w:r>
    </w:p>
    <w:p w14:paraId="65475F9E" w14:textId="62A95CEA" w:rsidR="000A49CD" w:rsidRPr="005808DD" w:rsidRDefault="000A49CD" w:rsidP="000A49CD">
      <w:pPr>
        <w:pStyle w:val="NormalWeb"/>
        <w:spacing w:line="360" w:lineRule="auto"/>
        <w:jc w:val="center"/>
        <w:rPr>
          <w:rFonts w:ascii="Arial" w:hAnsi="Arial" w:cs="Arial"/>
        </w:rPr>
      </w:pPr>
      <w:r w:rsidRPr="005808DD">
        <w:rPr>
          <w:rFonts w:ascii="Arial" w:hAnsi="Arial" w:cs="Arial"/>
          <w:noProof/>
          <w:lang w:val="en-US" w:eastAsia="en-US"/>
        </w:rPr>
        <w:drawing>
          <wp:inline distT="0" distB="0" distL="0" distR="0" wp14:anchorId="165E6AA1" wp14:editId="6B26A9B1">
            <wp:extent cx="4449822" cy="227076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78560" cy="2285425"/>
                    </a:xfrm>
                    <a:prstGeom prst="rect">
                      <a:avLst/>
                    </a:prstGeom>
                  </pic:spPr>
                </pic:pic>
              </a:graphicData>
            </a:graphic>
          </wp:inline>
        </w:drawing>
      </w:r>
    </w:p>
    <w:p w14:paraId="17E7306B" w14:textId="36486D6F" w:rsidR="000A49CD" w:rsidRPr="005808DD" w:rsidRDefault="00884781" w:rsidP="000A49CD">
      <w:pPr>
        <w:pStyle w:val="NormalWeb"/>
        <w:spacing w:line="360" w:lineRule="auto"/>
        <w:jc w:val="center"/>
        <w:rPr>
          <w:rFonts w:ascii="Arial" w:hAnsi="Arial" w:cs="Arial"/>
          <w:b/>
        </w:rPr>
      </w:pPr>
      <w:r>
        <w:rPr>
          <w:rFonts w:ascii="Arial" w:hAnsi="Arial" w:cs="Arial"/>
          <w:b/>
        </w:rPr>
        <w:t>Fig 8</w:t>
      </w:r>
      <w:r w:rsidR="000A49CD" w:rsidRPr="005808DD">
        <w:rPr>
          <w:rFonts w:ascii="Arial" w:hAnsi="Arial" w:cs="Arial"/>
          <w:b/>
        </w:rPr>
        <w:t>: AI in Pharmaceutical Market</w:t>
      </w:r>
    </w:p>
    <w:p w14:paraId="107CD185" w14:textId="24CDAA48" w:rsidR="000A49CD" w:rsidRPr="005808DD" w:rsidRDefault="000A49CD" w:rsidP="000A49CD">
      <w:pPr>
        <w:pStyle w:val="NormalWeb"/>
        <w:spacing w:line="360" w:lineRule="auto"/>
        <w:jc w:val="center"/>
        <w:rPr>
          <w:rFonts w:ascii="Arial" w:hAnsi="Arial" w:cs="Arial"/>
        </w:rPr>
      </w:pPr>
      <w:r w:rsidRPr="005808DD">
        <w:rPr>
          <w:rFonts w:ascii="Arial" w:hAnsi="Arial" w:cs="Arial"/>
          <w:b/>
        </w:rPr>
        <w:t xml:space="preserve">Source: </w:t>
      </w:r>
      <w:r w:rsidRPr="005808DD">
        <w:rPr>
          <w:rFonts w:ascii="Arial" w:hAnsi="Arial" w:cs="Arial"/>
        </w:rPr>
        <w:t>(Precedence Research, 2025)</w:t>
      </w:r>
    </w:p>
    <w:p w14:paraId="461615C3" w14:textId="72C8430F" w:rsidR="00DE5D5B"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Focus</w:t>
      </w:r>
      <w:r w:rsidR="00DE5D5B" w:rsidRPr="005808DD">
        <w:rPr>
          <w:rFonts w:ascii="Arial" w:eastAsiaTheme="majorEastAsia" w:hAnsi="Arial" w:cs="Arial"/>
          <w:b/>
        </w:rPr>
        <w:t> </w:t>
      </w:r>
    </w:p>
    <w:p w14:paraId="187DF1F3" w14:textId="6445C242" w:rsidR="00941229" w:rsidRPr="005808DD" w:rsidRDefault="00941229" w:rsidP="00C15490">
      <w:pPr>
        <w:pStyle w:val="NormalWeb"/>
        <w:spacing w:line="360" w:lineRule="auto"/>
        <w:jc w:val="both"/>
        <w:rPr>
          <w:rFonts w:ascii="Arial" w:hAnsi="Arial" w:cs="Arial"/>
        </w:rPr>
      </w:pPr>
      <w:r w:rsidRPr="005808DD">
        <w:rPr>
          <w:rFonts w:ascii="Arial" w:eastAsiaTheme="majorEastAsia" w:hAnsi="Arial" w:cs="Arial"/>
        </w:rPr>
        <w:t>Pioneers also use focus strategy whereby specialised therapeutic niches are targeted on which innovation is most likely to have high clinical impact. In the case of GSK, its investment spurt in rare-disease and vaccine R&amp;D, which increased the company by over 12 percent worldwide, enables the firm to take control of certain segments with high needs with few competitors</w:t>
      </w:r>
      <w:r w:rsidR="00C15490" w:rsidRPr="005808DD">
        <w:rPr>
          <w:rFonts w:ascii="Arial" w:eastAsiaTheme="majorEastAsia" w:hAnsi="Arial" w:cs="Arial"/>
        </w:rPr>
        <w:t xml:space="preserve"> </w:t>
      </w:r>
      <w:r w:rsidR="00C15490" w:rsidRPr="005808DD">
        <w:rPr>
          <w:rFonts w:ascii="Arial" w:hAnsi="Arial" w:cs="Arial"/>
        </w:rPr>
        <w:t>(GOV.UK, 2025c)</w:t>
      </w:r>
      <w:r w:rsidRPr="005808DD">
        <w:rPr>
          <w:rFonts w:ascii="Arial" w:eastAsiaTheme="majorEastAsia" w:hAnsi="Arial" w:cs="Arial"/>
        </w:rPr>
        <w:t>.</w:t>
      </w:r>
    </w:p>
    <w:p w14:paraId="584DB314" w14:textId="25146C31" w:rsidR="00DE5D5B" w:rsidRPr="005808DD" w:rsidRDefault="00320C36" w:rsidP="00941229">
      <w:pPr>
        <w:pStyle w:val="Heading2"/>
        <w:spacing w:line="360" w:lineRule="auto"/>
        <w:jc w:val="both"/>
        <w:rPr>
          <w:rFonts w:ascii="Arial" w:hAnsi="Arial" w:cs="Arial"/>
          <w:b/>
          <w:color w:val="auto"/>
          <w:sz w:val="24"/>
          <w:szCs w:val="24"/>
        </w:rPr>
      </w:pPr>
      <w:bookmarkStart w:id="15" w:name="_Toc211437176"/>
      <w:bookmarkStart w:id="16" w:name="_Toc213948214"/>
      <w:r w:rsidRPr="005808DD">
        <w:rPr>
          <w:rFonts w:ascii="Arial" w:hAnsi="Arial" w:cs="Arial"/>
          <w:b/>
          <w:color w:val="auto"/>
          <w:sz w:val="24"/>
          <w:szCs w:val="24"/>
        </w:rPr>
        <w:lastRenderedPageBreak/>
        <w:t>3.2</w:t>
      </w:r>
      <w:r w:rsidR="00DE5D5B" w:rsidRPr="005808DD">
        <w:rPr>
          <w:rFonts w:ascii="Arial" w:hAnsi="Arial" w:cs="Arial"/>
          <w:b/>
          <w:color w:val="auto"/>
          <w:sz w:val="24"/>
          <w:szCs w:val="24"/>
        </w:rPr>
        <w:t xml:space="preserve"> Follower Organisations’ Strategic Responses</w:t>
      </w:r>
      <w:bookmarkEnd w:id="15"/>
      <w:bookmarkEnd w:id="16"/>
    </w:p>
    <w:p w14:paraId="24350006" w14:textId="77777777" w:rsidR="00695B6E" w:rsidRPr="005808DD" w:rsidRDefault="00695B6E" w:rsidP="00941229">
      <w:pPr>
        <w:spacing w:line="360" w:lineRule="auto"/>
        <w:jc w:val="both"/>
        <w:rPr>
          <w:rFonts w:ascii="Arial" w:hAnsi="Arial" w:cs="Arial"/>
          <w:b/>
        </w:rPr>
      </w:pPr>
      <w:r w:rsidRPr="005808DD">
        <w:rPr>
          <w:rFonts w:ascii="Arial" w:hAnsi="Arial" w:cs="Arial"/>
          <w:b/>
        </w:rPr>
        <w:t>Way follower organisations adapt their strategies to sustain competitiveness using</w:t>
      </w:r>
    </w:p>
    <w:p w14:paraId="0B5D80B7" w14:textId="77777777" w:rsidR="00695B6E" w:rsidRPr="005808DD" w:rsidRDefault="00695B6E" w:rsidP="00941229">
      <w:pPr>
        <w:spacing w:line="360" w:lineRule="auto"/>
        <w:jc w:val="both"/>
        <w:rPr>
          <w:rFonts w:ascii="Arial" w:hAnsi="Arial" w:cs="Arial"/>
          <w:b/>
        </w:rPr>
      </w:pPr>
      <w:r w:rsidRPr="005808DD">
        <w:rPr>
          <w:rFonts w:ascii="Arial" w:hAnsi="Arial" w:cs="Arial"/>
          <w:b/>
        </w:rPr>
        <w:t>Ansoff’s Growth Matrix</w:t>
      </w:r>
    </w:p>
    <w:p w14:paraId="20BE6941" w14:textId="1D1F96AB" w:rsidR="00695B6E" w:rsidRPr="005808DD" w:rsidRDefault="00695B6E" w:rsidP="00941229">
      <w:pPr>
        <w:spacing w:line="360" w:lineRule="auto"/>
        <w:jc w:val="both"/>
        <w:rPr>
          <w:rFonts w:ascii="Arial" w:hAnsi="Arial" w:cs="Arial"/>
          <w:b/>
        </w:rPr>
      </w:pPr>
      <w:r w:rsidRPr="005808DD">
        <w:rPr>
          <w:rFonts w:ascii="Arial" w:hAnsi="Arial" w:cs="Arial"/>
          <w:b/>
        </w:rPr>
        <w:t>Market Penetration</w:t>
      </w:r>
    </w:p>
    <w:p w14:paraId="0BD328DA" w14:textId="69782284" w:rsidR="00941229" w:rsidRPr="005808DD" w:rsidRDefault="00941229" w:rsidP="00C15490">
      <w:pPr>
        <w:pStyle w:val="NormalWeb"/>
        <w:spacing w:line="360" w:lineRule="auto"/>
        <w:jc w:val="both"/>
        <w:rPr>
          <w:rFonts w:ascii="Arial" w:hAnsi="Arial" w:cs="Arial"/>
        </w:rPr>
      </w:pPr>
      <w:r w:rsidRPr="005808DD">
        <w:rPr>
          <w:rFonts w:ascii="Arial" w:hAnsi="Arial" w:cs="Arial"/>
        </w:rPr>
        <w:t>The UK pharmaceutical market Follower firms have penetrated the UK pharmaceutical market, including Teva and Sandoz, which boost market penetration in 2025 by increasing their share of the generic and biosimilar segments due to the increased demand of the NHS on inexpensive medicine. As biosimilars take over a larger portion of the biologics use in the UK in 2025 (over 43 percent) followers grow the volume of prescription by providing much cheaper alternatives to expired branded drugs, with NHS savings in 2025 topping PS1 billion on those two therapies alone</w:t>
      </w:r>
      <w:r w:rsidR="00C15490" w:rsidRPr="005808DD">
        <w:rPr>
          <w:rFonts w:ascii="Arial" w:hAnsi="Arial" w:cs="Arial"/>
        </w:rPr>
        <w:t xml:space="preserve"> (Reuters, 2025)</w:t>
      </w:r>
      <w:r w:rsidRPr="005808DD">
        <w:rPr>
          <w:rFonts w:ascii="Arial" w:hAnsi="Arial" w:cs="Arial"/>
        </w:rPr>
        <w:t>.</w:t>
      </w:r>
    </w:p>
    <w:p w14:paraId="5FE3DBB6" w14:textId="5BB926F6" w:rsidR="00695B6E" w:rsidRPr="005808DD" w:rsidRDefault="00695B6E" w:rsidP="00941229">
      <w:pPr>
        <w:spacing w:line="360" w:lineRule="auto"/>
        <w:jc w:val="both"/>
        <w:rPr>
          <w:rFonts w:ascii="Arial" w:hAnsi="Arial" w:cs="Arial"/>
          <w:b/>
        </w:rPr>
      </w:pPr>
      <w:r w:rsidRPr="005808DD">
        <w:rPr>
          <w:rFonts w:ascii="Arial" w:hAnsi="Arial" w:cs="Arial"/>
          <w:b/>
        </w:rPr>
        <w:t>Product Development</w:t>
      </w:r>
    </w:p>
    <w:p w14:paraId="3429079E" w14:textId="2C9A5D4D" w:rsidR="00941229" w:rsidRPr="005808DD" w:rsidRDefault="00941229" w:rsidP="00C15490">
      <w:pPr>
        <w:pStyle w:val="NormalWeb"/>
        <w:spacing w:line="360" w:lineRule="auto"/>
        <w:jc w:val="both"/>
        <w:rPr>
          <w:rFonts w:ascii="Arial" w:hAnsi="Arial" w:cs="Arial"/>
        </w:rPr>
      </w:pPr>
      <w:r w:rsidRPr="005808DD">
        <w:rPr>
          <w:rFonts w:ascii="Arial" w:hAnsi="Arial" w:cs="Arial"/>
        </w:rPr>
        <w:t>Follower companies invest in the advancement and perfection of generic formulations and biosimilars to achieve higher standards of MHRA in 2025. Firms such as Viatris introduced improved biosimilar versions of biologics in high demand with improved delivery processes, to an expanding PS2.5-billion UK biosimilar market</w:t>
      </w:r>
      <w:r w:rsidR="00C15490" w:rsidRPr="005808DD">
        <w:rPr>
          <w:rFonts w:ascii="Arial" w:hAnsi="Arial" w:cs="Arial"/>
        </w:rPr>
        <w:t xml:space="preserve"> (6WResearch, 2025)</w:t>
      </w:r>
      <w:r w:rsidRPr="005808DD">
        <w:rPr>
          <w:rFonts w:ascii="Arial" w:hAnsi="Arial" w:cs="Arial"/>
        </w:rPr>
        <w:t xml:space="preserve">. </w:t>
      </w:r>
    </w:p>
    <w:p w14:paraId="0A78DF05" w14:textId="25D1FA4F" w:rsidR="000A49CD" w:rsidRPr="005808DD" w:rsidRDefault="000A49CD" w:rsidP="000A49CD">
      <w:pPr>
        <w:pStyle w:val="NormalWeb"/>
        <w:spacing w:line="360" w:lineRule="auto"/>
        <w:jc w:val="center"/>
        <w:rPr>
          <w:rFonts w:ascii="Arial" w:hAnsi="Arial" w:cs="Arial"/>
          <w:b/>
        </w:rPr>
      </w:pPr>
      <w:r w:rsidRPr="005808DD">
        <w:rPr>
          <w:b/>
          <w:noProof/>
          <w:lang w:val="en-US" w:eastAsia="en-US"/>
        </w:rPr>
        <w:lastRenderedPageBreak/>
        <w:drawing>
          <wp:inline distT="0" distB="0" distL="0" distR="0" wp14:anchorId="319AA6A8" wp14:editId="4680A054">
            <wp:extent cx="3931920" cy="3397250"/>
            <wp:effectExtent l="0" t="0" r="0" b="0"/>
            <wp:docPr id="6" name="Picture 6" descr="UK Biosimilars Market Analysis Report 2022 to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K Biosimilars Market Analysis Report 2022 to 2030"/>
                    <pic:cNvPicPr>
                      <a:picLocks noChangeAspect="1" noChangeArrowheads="1"/>
                    </pic:cNvPicPr>
                  </pic:nvPicPr>
                  <pic:blipFill rotWithShape="1">
                    <a:blip r:embed="rId17">
                      <a:extLst>
                        <a:ext uri="{28A0092B-C50C-407E-A947-70E740481C1C}">
                          <a14:useLocalDpi xmlns:a14="http://schemas.microsoft.com/office/drawing/2010/main" val="0"/>
                        </a:ext>
                      </a:extLst>
                    </a:blip>
                    <a:srcRect l="15160" r="16204" b="13398"/>
                    <a:stretch/>
                  </pic:blipFill>
                  <pic:spPr bwMode="auto">
                    <a:xfrm>
                      <a:off x="0" y="0"/>
                      <a:ext cx="3933799" cy="3398873"/>
                    </a:xfrm>
                    <a:prstGeom prst="rect">
                      <a:avLst/>
                    </a:prstGeom>
                    <a:noFill/>
                    <a:ln>
                      <a:noFill/>
                    </a:ln>
                    <a:extLst>
                      <a:ext uri="{53640926-AAD7-44D8-BBD7-CCE9431645EC}">
                        <a14:shadowObscured xmlns:a14="http://schemas.microsoft.com/office/drawing/2010/main"/>
                      </a:ext>
                    </a:extLst>
                  </pic:spPr>
                </pic:pic>
              </a:graphicData>
            </a:graphic>
          </wp:inline>
        </w:drawing>
      </w:r>
    </w:p>
    <w:p w14:paraId="4F937E5F" w14:textId="0BAE122D" w:rsidR="000A49CD" w:rsidRPr="005808DD" w:rsidRDefault="00DE6BD7" w:rsidP="000A49CD">
      <w:pPr>
        <w:pStyle w:val="NormalWeb"/>
        <w:spacing w:line="360" w:lineRule="auto"/>
        <w:jc w:val="center"/>
        <w:rPr>
          <w:rFonts w:ascii="Arial" w:hAnsi="Arial" w:cs="Arial"/>
          <w:b/>
        </w:rPr>
      </w:pPr>
      <w:r>
        <w:rPr>
          <w:rFonts w:ascii="Arial" w:hAnsi="Arial" w:cs="Arial"/>
          <w:b/>
        </w:rPr>
        <w:t>Fig 9</w:t>
      </w:r>
      <w:r w:rsidR="000A49CD" w:rsidRPr="005808DD">
        <w:rPr>
          <w:rFonts w:ascii="Arial" w:hAnsi="Arial" w:cs="Arial"/>
          <w:b/>
        </w:rPr>
        <w:t>: UK Biosimilars Market</w:t>
      </w:r>
    </w:p>
    <w:p w14:paraId="2A1317AF" w14:textId="4E0DC914" w:rsidR="000A49CD" w:rsidRPr="005808DD" w:rsidRDefault="000A49CD" w:rsidP="000A49CD">
      <w:pPr>
        <w:pStyle w:val="NormalWeb"/>
        <w:spacing w:line="360" w:lineRule="auto"/>
        <w:jc w:val="center"/>
        <w:rPr>
          <w:rFonts w:ascii="Arial" w:hAnsi="Arial" w:cs="Arial"/>
        </w:rPr>
      </w:pPr>
      <w:r w:rsidRPr="005808DD">
        <w:rPr>
          <w:rFonts w:ascii="Arial" w:hAnsi="Arial" w:cs="Arial"/>
          <w:b/>
        </w:rPr>
        <w:t xml:space="preserve">Source: </w:t>
      </w:r>
      <w:r w:rsidRPr="005808DD">
        <w:rPr>
          <w:rFonts w:ascii="Arial" w:hAnsi="Arial" w:cs="Arial"/>
        </w:rPr>
        <w:t>(Insights 10, 2024)</w:t>
      </w:r>
    </w:p>
    <w:p w14:paraId="69188E6C" w14:textId="6812C693" w:rsidR="00695B6E" w:rsidRPr="005808DD" w:rsidRDefault="00695B6E" w:rsidP="00941229">
      <w:pPr>
        <w:spacing w:line="360" w:lineRule="auto"/>
        <w:jc w:val="both"/>
        <w:rPr>
          <w:rFonts w:ascii="Arial" w:hAnsi="Arial" w:cs="Arial"/>
          <w:b/>
        </w:rPr>
      </w:pPr>
      <w:r w:rsidRPr="005808DD">
        <w:rPr>
          <w:rFonts w:ascii="Arial" w:hAnsi="Arial" w:cs="Arial"/>
          <w:b/>
        </w:rPr>
        <w:t>Market Development</w:t>
      </w:r>
    </w:p>
    <w:p w14:paraId="25160653" w14:textId="2E7494CB" w:rsidR="00941229" w:rsidRPr="005808DD" w:rsidRDefault="00941229" w:rsidP="00C15490">
      <w:pPr>
        <w:pStyle w:val="NormalWeb"/>
        <w:spacing w:line="360" w:lineRule="auto"/>
        <w:jc w:val="both"/>
        <w:rPr>
          <w:rFonts w:ascii="Arial" w:hAnsi="Arial" w:cs="Arial"/>
        </w:rPr>
      </w:pPr>
      <w:r w:rsidRPr="005808DD">
        <w:rPr>
          <w:rFonts w:ascii="Arial" w:hAnsi="Arial" w:cs="Arial"/>
        </w:rPr>
        <w:t>In 2025, the market development plans will follow the followers to new locations and healthcare markets, especially as the UK will increase its control on prices. Other companies like Sandoz increased supply contracts with NHS Trusts and at the same time also ventured into burgeoning markets in Eastern Europe and Asia where generally the demand of the generics was increasing at a rate of over 7 percent per year</w:t>
      </w:r>
      <w:r w:rsidR="00C15490" w:rsidRPr="005808DD">
        <w:rPr>
          <w:rFonts w:ascii="Arial" w:hAnsi="Arial" w:cs="Arial"/>
        </w:rPr>
        <w:t xml:space="preserve"> (Pharmaphorum, 2025b)</w:t>
      </w:r>
      <w:r w:rsidRPr="005808DD">
        <w:rPr>
          <w:rFonts w:ascii="Arial" w:hAnsi="Arial" w:cs="Arial"/>
        </w:rPr>
        <w:t>. This geographic and institutional expansion assists the followers to stand less on the reimbursement environment that is limited in the UK.</w:t>
      </w:r>
    </w:p>
    <w:p w14:paraId="3358DC5B" w14:textId="32168B4C" w:rsidR="00695B6E" w:rsidRPr="005808DD" w:rsidRDefault="00695B6E" w:rsidP="00941229">
      <w:pPr>
        <w:spacing w:line="360" w:lineRule="auto"/>
        <w:jc w:val="both"/>
        <w:rPr>
          <w:rFonts w:ascii="Arial" w:hAnsi="Arial" w:cs="Arial"/>
          <w:b/>
        </w:rPr>
      </w:pPr>
      <w:r w:rsidRPr="005808DD">
        <w:rPr>
          <w:rFonts w:ascii="Arial" w:hAnsi="Arial" w:cs="Arial"/>
          <w:b/>
        </w:rPr>
        <w:t>Diversification</w:t>
      </w:r>
    </w:p>
    <w:p w14:paraId="58FD7465" w14:textId="6D4B2FC5" w:rsidR="00941229" w:rsidRPr="00DE6BD7" w:rsidRDefault="00941229" w:rsidP="00DE6BD7">
      <w:pPr>
        <w:spacing w:line="360" w:lineRule="auto"/>
        <w:jc w:val="both"/>
        <w:rPr>
          <w:rFonts w:ascii="Arial" w:hAnsi="Arial" w:cs="Arial"/>
        </w:rPr>
      </w:pPr>
      <w:r w:rsidRPr="005808DD">
        <w:rPr>
          <w:rFonts w:ascii="Arial" w:hAnsi="Arial" w:cs="Arial"/>
        </w:rPr>
        <w:t xml:space="preserve">Follower organisations are spreading out of the traditional generics to include digital health tools, complex biosimilars and contract manufacturing. In 2025, Teva expanded its UK manufacturing </w:t>
      </w:r>
      <w:r w:rsidR="00884781">
        <w:rPr>
          <w:rFonts w:ascii="Arial" w:hAnsi="Arial" w:cs="Arial"/>
        </w:rPr>
        <w:t>contract by more than 10%</w:t>
      </w:r>
      <w:r w:rsidRPr="005808DD">
        <w:rPr>
          <w:rFonts w:ascii="Arial" w:hAnsi="Arial" w:cs="Arial"/>
        </w:rPr>
        <w:t xml:space="preserve">, after taking advantage of new MHRA </w:t>
      </w:r>
      <w:r w:rsidRPr="00DE6BD7">
        <w:rPr>
          <w:rFonts w:ascii="Arial" w:hAnsi="Arial" w:cs="Arial"/>
        </w:rPr>
        <w:t xml:space="preserve">quality-standard reforms, to support the competent, low-cost manufacturers. </w:t>
      </w:r>
    </w:p>
    <w:p w14:paraId="64715867" w14:textId="77777777" w:rsidR="00695B6E" w:rsidRPr="00DE6BD7" w:rsidRDefault="00695B6E" w:rsidP="00DE6BD7">
      <w:pPr>
        <w:spacing w:line="360" w:lineRule="auto"/>
        <w:jc w:val="both"/>
        <w:rPr>
          <w:rFonts w:ascii="Arial" w:hAnsi="Arial" w:cs="Arial"/>
          <w:b/>
        </w:rPr>
      </w:pPr>
      <w:r w:rsidRPr="00DE6BD7">
        <w:rPr>
          <w:rFonts w:ascii="Arial" w:hAnsi="Arial" w:cs="Arial"/>
          <w:b/>
        </w:rPr>
        <w:t>Porter’s Generic Strategies</w:t>
      </w:r>
    </w:p>
    <w:p w14:paraId="1F4F2610" w14:textId="77777777" w:rsidR="00DE6BD7" w:rsidRPr="00DE6BD7" w:rsidRDefault="00DE6BD7" w:rsidP="00DE6BD7">
      <w:pPr>
        <w:spacing w:line="360" w:lineRule="auto"/>
        <w:jc w:val="both"/>
        <w:rPr>
          <w:rFonts w:ascii="Arial" w:hAnsi="Arial" w:cs="Arial"/>
          <w:b/>
        </w:rPr>
      </w:pPr>
      <w:r w:rsidRPr="00DE6BD7">
        <w:rPr>
          <w:rFonts w:ascii="Arial" w:hAnsi="Arial" w:cs="Arial"/>
          <w:b/>
        </w:rPr>
        <w:t>Cost Leadership</w:t>
      </w:r>
    </w:p>
    <w:p w14:paraId="0BD5EF8D" w14:textId="5B59E868" w:rsidR="00DE6BD7" w:rsidRPr="00DE6BD7" w:rsidRDefault="00DE6BD7" w:rsidP="00DE6BD7">
      <w:pPr>
        <w:pStyle w:val="NormalWeb"/>
        <w:spacing w:line="360" w:lineRule="auto"/>
        <w:jc w:val="both"/>
        <w:rPr>
          <w:rFonts w:ascii="Arial" w:hAnsi="Arial" w:cs="Arial"/>
        </w:rPr>
      </w:pPr>
      <w:r w:rsidRPr="00DE6BD7">
        <w:rPr>
          <w:rFonts w:ascii="Arial" w:hAnsi="Arial" w:cs="Arial"/>
        </w:rPr>
        <w:lastRenderedPageBreak/>
        <w:t>Cost leadership lets Teva and Sandoz make high-volume generics cheaper than brands. By boosting UK manufacturing efficiency, Teva cut production costs by 8–10% and won NHS generics tenders in 2025 (GOV.UK, 2025d). As NHS spending cuts tighten, this modest foundation helps followers compete.</w:t>
      </w:r>
    </w:p>
    <w:p w14:paraId="29539A96" w14:textId="154FB4C2" w:rsidR="00DE6BD7" w:rsidRPr="00DE6BD7" w:rsidRDefault="00DE6BD7" w:rsidP="00DE6BD7">
      <w:pPr>
        <w:spacing w:line="360" w:lineRule="auto"/>
        <w:jc w:val="both"/>
        <w:rPr>
          <w:rFonts w:ascii="Arial" w:hAnsi="Arial" w:cs="Arial"/>
          <w:b/>
        </w:rPr>
      </w:pPr>
      <w:r w:rsidRPr="00DE6BD7">
        <w:rPr>
          <w:rFonts w:ascii="Arial" w:hAnsi="Arial" w:cs="Arial"/>
          <w:b/>
        </w:rPr>
        <w:t xml:space="preserve">Differentiation </w:t>
      </w:r>
    </w:p>
    <w:p w14:paraId="4684D1EF" w14:textId="0A45A549" w:rsidR="00DE6BD7" w:rsidRPr="00DE6BD7" w:rsidRDefault="00DE6BD7" w:rsidP="00DE6BD7">
      <w:pPr>
        <w:pStyle w:val="NormalWeb"/>
        <w:spacing w:line="360" w:lineRule="auto"/>
        <w:jc w:val="both"/>
        <w:rPr>
          <w:rFonts w:ascii="Arial" w:hAnsi="Arial" w:cs="Arial"/>
        </w:rPr>
      </w:pPr>
      <w:r w:rsidRPr="00DE6BD7">
        <w:rPr>
          <w:rFonts w:ascii="Arial" w:hAnsi="Arial" w:cs="Arial"/>
        </w:rPr>
        <w:t>Followers improve delivery, formulation stability, and supply without creating new drugs. Better biosimilars of high-demand biologics from Viatris improved NHS procurement by enhancing device usability and supply in 2025. Small but crucial distinctions help followers get long-term contracts with cheaper products (Knight Frank, 2025).</w:t>
      </w:r>
    </w:p>
    <w:p w14:paraId="5B31869C" w14:textId="77777777" w:rsidR="00DE6BD7" w:rsidRPr="00DE6BD7" w:rsidRDefault="00DE6BD7" w:rsidP="00DE6BD7">
      <w:pPr>
        <w:spacing w:line="360" w:lineRule="auto"/>
        <w:jc w:val="both"/>
        <w:rPr>
          <w:rFonts w:ascii="Arial" w:hAnsi="Arial" w:cs="Arial"/>
          <w:b/>
        </w:rPr>
      </w:pPr>
      <w:r w:rsidRPr="00DE6BD7">
        <w:rPr>
          <w:rFonts w:ascii="Arial" w:hAnsi="Arial" w:cs="Arial"/>
          <w:b/>
        </w:rPr>
        <w:t>Focus Strategy</w:t>
      </w:r>
    </w:p>
    <w:p w14:paraId="44B4D456" w14:textId="06385797" w:rsidR="00941229" w:rsidRPr="00DE6BD7" w:rsidRDefault="00DE6BD7" w:rsidP="00DE6BD7">
      <w:pPr>
        <w:spacing w:line="360" w:lineRule="auto"/>
        <w:jc w:val="both"/>
        <w:rPr>
          <w:rFonts w:ascii="Arial" w:eastAsia="Times New Roman" w:hAnsi="Arial" w:cs="Arial"/>
          <w:kern w:val="0"/>
          <w:lang w:val="en-IN" w:eastAsia="en-IN"/>
          <w14:ligatures w14:val="none"/>
        </w:rPr>
      </w:pPr>
      <w:r w:rsidRPr="00DE6BD7">
        <w:rPr>
          <w:rFonts w:ascii="Arial" w:eastAsia="Times New Roman" w:hAnsi="Arial" w:cs="Arial"/>
          <w:kern w:val="0"/>
          <w:lang w:val="en-IN" w:eastAsia="en-IN"/>
          <w14:ligatures w14:val="none"/>
        </w:rPr>
        <w:t xml:space="preserve">Many follower firms specialise on high-volume therapeutic areas with expiring branded patents. Sandoz profited from £1.5bn in UK cancer and immunology biosimilar patent expirations by late 2025. Following small, constant-demand markets helps followers gain market share quickly and lessen pioneer pressure </w:t>
      </w:r>
      <w:r w:rsidR="00C15490" w:rsidRPr="00DE6BD7">
        <w:rPr>
          <w:rFonts w:ascii="Arial" w:hAnsi="Arial" w:cs="Arial"/>
        </w:rPr>
        <w:t>(GHP, 2025)</w:t>
      </w:r>
      <w:r w:rsidR="00941229" w:rsidRPr="00DE6BD7">
        <w:rPr>
          <w:rFonts w:ascii="Arial" w:hAnsi="Arial" w:cs="Arial"/>
        </w:rPr>
        <w:t>.</w:t>
      </w:r>
    </w:p>
    <w:p w14:paraId="0C55427C" w14:textId="77777777" w:rsidR="00DE6BD7" w:rsidRPr="00DE6BD7" w:rsidRDefault="00DE6BD7" w:rsidP="00DE6BD7">
      <w:pPr>
        <w:spacing w:line="360" w:lineRule="auto"/>
        <w:jc w:val="both"/>
        <w:rPr>
          <w:rFonts w:ascii="Arial" w:eastAsiaTheme="majorEastAsia" w:hAnsi="Arial" w:cs="Arial"/>
          <w:b/>
        </w:rPr>
      </w:pPr>
      <w:bookmarkStart w:id="17" w:name="_Toc213948215"/>
      <w:bookmarkStart w:id="18" w:name="_Toc211437177"/>
      <w:r w:rsidRPr="00DE6BD7">
        <w:rPr>
          <w:rFonts w:ascii="Arial" w:hAnsi="Arial" w:cs="Arial"/>
          <w:b/>
        </w:rPr>
        <w:br w:type="page"/>
      </w:r>
    </w:p>
    <w:p w14:paraId="08D9FCE9" w14:textId="2CE29AB1" w:rsidR="00DE5D5B" w:rsidRPr="005808DD" w:rsidRDefault="00DE5D5B" w:rsidP="00941229">
      <w:pPr>
        <w:pStyle w:val="Heading1"/>
        <w:spacing w:line="360" w:lineRule="auto"/>
        <w:jc w:val="both"/>
        <w:rPr>
          <w:rFonts w:ascii="Arial" w:hAnsi="Arial" w:cs="Arial"/>
          <w:b/>
          <w:color w:val="auto"/>
          <w:sz w:val="24"/>
          <w:szCs w:val="24"/>
        </w:rPr>
      </w:pPr>
      <w:r w:rsidRPr="005808DD">
        <w:rPr>
          <w:rFonts w:ascii="Arial" w:hAnsi="Arial" w:cs="Arial"/>
          <w:b/>
          <w:color w:val="auto"/>
          <w:sz w:val="24"/>
          <w:szCs w:val="24"/>
        </w:rPr>
        <w:lastRenderedPageBreak/>
        <w:t>4. Conclusion</w:t>
      </w:r>
      <w:bookmarkEnd w:id="17"/>
      <w:r w:rsidRPr="005808DD">
        <w:rPr>
          <w:rFonts w:ascii="Arial" w:hAnsi="Arial" w:cs="Arial"/>
          <w:b/>
          <w:color w:val="auto"/>
          <w:sz w:val="24"/>
          <w:szCs w:val="24"/>
        </w:rPr>
        <w:t xml:space="preserve"> </w:t>
      </w:r>
      <w:bookmarkEnd w:id="18"/>
    </w:p>
    <w:p w14:paraId="5FB6AEC7" w14:textId="6AF5C1FF" w:rsidR="00DE5D5B" w:rsidRPr="005808DD" w:rsidRDefault="00695B6E" w:rsidP="00941229">
      <w:pPr>
        <w:spacing w:line="360" w:lineRule="auto"/>
        <w:jc w:val="both"/>
        <w:rPr>
          <w:rFonts w:ascii="Arial" w:eastAsiaTheme="majorEastAsia" w:hAnsi="Arial" w:cs="Arial"/>
          <w:b/>
        </w:rPr>
      </w:pPr>
      <w:r w:rsidRPr="005808DD">
        <w:rPr>
          <w:rFonts w:ascii="Arial" w:eastAsiaTheme="majorEastAsia" w:hAnsi="Arial" w:cs="Arial"/>
          <w:b/>
        </w:rPr>
        <w:t>Key findings </w:t>
      </w:r>
    </w:p>
    <w:p w14:paraId="614C18A2" w14:textId="7B267FCD" w:rsidR="00941229" w:rsidRPr="005808DD" w:rsidRDefault="00941229" w:rsidP="00941229">
      <w:pPr>
        <w:spacing w:line="360" w:lineRule="auto"/>
        <w:jc w:val="both"/>
        <w:rPr>
          <w:rFonts w:ascii="Arial" w:eastAsiaTheme="majorEastAsia" w:hAnsi="Arial" w:cs="Arial"/>
        </w:rPr>
      </w:pPr>
      <w:r w:rsidRPr="005808DD">
        <w:rPr>
          <w:rFonts w:ascii="Arial" w:eastAsiaTheme="majorEastAsia" w:hAnsi="Arial" w:cs="Arial"/>
        </w:rPr>
        <w:t xml:space="preserve">The evaluation demonstrates that in 2025 the political and legal reform of the UK pharmaceutical industry considerably changes the competitive environment of pioneering and follower organisations, though in various ways. Pioneers have access to tight pricing controls, more compliance requirements and greater rebate pressure, but have faster MHRA approval processes and excellent global expansion and innovation-based growth prospects. Instead, follower firms enjoy a significant market access due to mass patent expiries, increased NHS requirements of cost-effective medications and more transparent regulatory frameworks, but will have to comply with a greater number of rigid manufacturing and quality standards. </w:t>
      </w:r>
    </w:p>
    <w:p w14:paraId="27DA2BAF" w14:textId="3B634909" w:rsidR="00695B6E" w:rsidRPr="005808DD" w:rsidRDefault="00941229" w:rsidP="00941229">
      <w:pPr>
        <w:spacing w:line="360" w:lineRule="auto"/>
        <w:jc w:val="both"/>
        <w:rPr>
          <w:rFonts w:ascii="Arial" w:eastAsiaTheme="majorEastAsia" w:hAnsi="Arial" w:cs="Arial"/>
          <w:b/>
        </w:rPr>
      </w:pPr>
      <w:r w:rsidRPr="005808DD">
        <w:rPr>
          <w:rFonts w:ascii="Arial" w:eastAsiaTheme="majorEastAsia" w:hAnsi="Arial" w:cs="Arial"/>
          <w:b/>
        </w:rPr>
        <w:t>Strategic significance </w:t>
      </w:r>
    </w:p>
    <w:p w14:paraId="5A79F9EC" w14:textId="2742CEBB" w:rsidR="00941229" w:rsidRPr="005808DD" w:rsidRDefault="00941229" w:rsidP="00941229">
      <w:pPr>
        <w:spacing w:line="360" w:lineRule="auto"/>
        <w:jc w:val="both"/>
        <w:rPr>
          <w:rFonts w:ascii="Arial" w:eastAsiaTheme="majorEastAsia" w:hAnsi="Arial" w:cs="Arial"/>
        </w:rPr>
      </w:pPr>
      <w:bookmarkStart w:id="19" w:name="_Toc211437178"/>
      <w:r w:rsidRPr="005808DD">
        <w:rPr>
          <w:rFonts w:ascii="Arial" w:hAnsi="Arial" w:cs="Arial"/>
        </w:rPr>
        <w:t xml:space="preserve">The strategic importance of environmental scanning and adaptive marketing reactions is that the companies in the pharmaceutical industry of the UK are able to predict the effects of regulatory, political and market changes on the companies and adopt adaptive marketing strategies during the onset of the changes that, by nature, undermine the competitive edge. With a 2025 setting where NHS pricing regulations become stricter in a more aggressive way, more frequent MHRA authorizations and increasing pressure on cost-effective drugs, companies that constantly track the external trends will have an easier time safeguarding margins, discovering emerging opportunities, including biosimilar growth or accelerated innovation paths, and adjust strategies accordingly. </w:t>
      </w:r>
      <w:r w:rsidRPr="005808DD">
        <w:rPr>
          <w:rFonts w:ascii="Arial" w:hAnsi="Arial" w:cs="Arial"/>
        </w:rPr>
        <w:br w:type="page"/>
      </w:r>
    </w:p>
    <w:p w14:paraId="7E5BE2F4" w14:textId="1475C53A" w:rsidR="00DE5D5B" w:rsidRPr="005808DD" w:rsidRDefault="00DE5D5B" w:rsidP="00941229">
      <w:pPr>
        <w:pStyle w:val="Heading1"/>
        <w:spacing w:line="360" w:lineRule="auto"/>
        <w:jc w:val="both"/>
        <w:rPr>
          <w:rFonts w:ascii="Arial" w:hAnsi="Arial" w:cs="Arial"/>
          <w:b/>
          <w:color w:val="auto"/>
          <w:sz w:val="24"/>
          <w:szCs w:val="24"/>
        </w:rPr>
      </w:pPr>
      <w:bookmarkStart w:id="20" w:name="_Toc213948216"/>
      <w:r w:rsidRPr="005808DD">
        <w:rPr>
          <w:rFonts w:ascii="Arial" w:hAnsi="Arial" w:cs="Arial"/>
          <w:b/>
          <w:color w:val="auto"/>
          <w:sz w:val="24"/>
          <w:szCs w:val="24"/>
        </w:rPr>
        <w:lastRenderedPageBreak/>
        <w:t>5. References</w:t>
      </w:r>
      <w:bookmarkEnd w:id="20"/>
      <w:r w:rsidRPr="005808DD">
        <w:rPr>
          <w:rFonts w:ascii="Arial" w:hAnsi="Arial" w:cs="Arial"/>
          <w:b/>
          <w:color w:val="auto"/>
          <w:sz w:val="24"/>
          <w:szCs w:val="24"/>
        </w:rPr>
        <w:t xml:space="preserve"> </w:t>
      </w:r>
      <w:bookmarkEnd w:id="19"/>
    </w:p>
    <w:p w14:paraId="65962DB9"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FiercePharma 2025. </w:t>
      </w:r>
      <w:r w:rsidRPr="005808DD">
        <w:rPr>
          <w:rStyle w:val="Emphasis"/>
          <w:rFonts w:ascii="Arial" w:eastAsiaTheme="majorEastAsia" w:hAnsi="Arial" w:cs="Arial"/>
        </w:rPr>
        <w:t>Pharmas face high drug rebates in UK despite government’s tweak to proposal</w:t>
      </w:r>
      <w:r w:rsidRPr="005808DD">
        <w:rPr>
          <w:rFonts w:ascii="Arial" w:hAnsi="Arial" w:cs="Arial"/>
        </w:rPr>
        <w:t xml:space="preserve">, viewed [date], </w:t>
      </w:r>
      <w:hyperlink r:id="rId18" w:tgtFrame="_new" w:history="1">
        <w:r w:rsidRPr="005808DD">
          <w:rPr>
            <w:rStyle w:val="Hyperlink"/>
            <w:rFonts w:ascii="Arial" w:eastAsiaTheme="majorEastAsia" w:hAnsi="Arial" w:cs="Arial"/>
            <w:color w:val="auto"/>
          </w:rPr>
          <w:t>https://www.fiercepharma.com/pharma/pharmas-face-high-drug-rebates-uk-despite-governments-tweak-proposal</w:t>
        </w:r>
      </w:hyperlink>
      <w:r w:rsidRPr="005808DD">
        <w:rPr>
          <w:rFonts w:ascii="Arial" w:hAnsi="Arial" w:cs="Arial"/>
        </w:rPr>
        <w:t>.</w:t>
      </w:r>
    </w:p>
    <w:p w14:paraId="4D6505E5"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Somerville Partners 2025. </w:t>
      </w:r>
      <w:r w:rsidRPr="005808DD">
        <w:rPr>
          <w:rStyle w:val="Emphasis"/>
          <w:rFonts w:ascii="Arial" w:eastAsiaTheme="majorEastAsia" w:hAnsi="Arial" w:cs="Arial"/>
        </w:rPr>
        <w:t>Novel medicines approved in 2024: A review</w:t>
      </w:r>
      <w:r w:rsidRPr="005808DD">
        <w:rPr>
          <w:rFonts w:ascii="Arial" w:hAnsi="Arial" w:cs="Arial"/>
        </w:rPr>
        <w:t xml:space="preserve">, viewed [date], </w:t>
      </w:r>
      <w:hyperlink r:id="rId19" w:tgtFrame="_new" w:history="1">
        <w:r w:rsidRPr="005808DD">
          <w:rPr>
            <w:rStyle w:val="Hyperlink"/>
            <w:rFonts w:ascii="Arial" w:eastAsiaTheme="majorEastAsia" w:hAnsi="Arial" w:cs="Arial"/>
            <w:color w:val="auto"/>
          </w:rPr>
          <w:t>https://somerville-partners.com/novel-medicines-approved-in-2024-a-review/</w:t>
        </w:r>
      </w:hyperlink>
      <w:r w:rsidRPr="005808DD">
        <w:rPr>
          <w:rFonts w:ascii="Arial" w:hAnsi="Arial" w:cs="Arial"/>
        </w:rPr>
        <w:t>.</w:t>
      </w:r>
    </w:p>
    <w:p w14:paraId="37A00D6A"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Pharmaphorum 2024. </w:t>
      </w:r>
      <w:r w:rsidRPr="005808DD">
        <w:rPr>
          <w:rStyle w:val="Emphasis"/>
          <w:rFonts w:ascii="Arial" w:eastAsiaTheme="majorEastAsia" w:hAnsi="Arial" w:cs="Arial"/>
        </w:rPr>
        <w:t>‘Landmark’ deal reached on UK voluntary rebate scheme</w:t>
      </w:r>
      <w:r w:rsidRPr="005808DD">
        <w:rPr>
          <w:rFonts w:ascii="Arial" w:hAnsi="Arial" w:cs="Arial"/>
        </w:rPr>
        <w:t xml:space="preserve">, viewed [date], </w:t>
      </w:r>
      <w:hyperlink r:id="rId20" w:tgtFrame="_new" w:history="1">
        <w:r w:rsidRPr="005808DD">
          <w:rPr>
            <w:rStyle w:val="Hyperlink"/>
            <w:rFonts w:ascii="Arial" w:eastAsiaTheme="majorEastAsia" w:hAnsi="Arial" w:cs="Arial"/>
            <w:color w:val="auto"/>
          </w:rPr>
          <w:t>https://pharmaphorum.com/news/landmark-deal-reached-uk-voluntary-rebate-scheme</w:t>
        </w:r>
      </w:hyperlink>
      <w:r w:rsidRPr="005808DD">
        <w:rPr>
          <w:rFonts w:ascii="Arial" w:hAnsi="Arial" w:cs="Arial"/>
        </w:rPr>
        <w:t>.</w:t>
      </w:r>
    </w:p>
    <w:p w14:paraId="122F7294"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GOV.UK 2025. </w:t>
      </w:r>
      <w:r w:rsidRPr="005808DD">
        <w:rPr>
          <w:rStyle w:val="Emphasis"/>
          <w:rFonts w:ascii="Arial" w:eastAsiaTheme="majorEastAsia" w:hAnsi="Arial" w:cs="Arial"/>
        </w:rPr>
        <w:t>MHRA’s 2024–25 annual report and impact report show progress on safety, innovation and regulatory excellence</w:t>
      </w:r>
      <w:r w:rsidRPr="005808DD">
        <w:rPr>
          <w:rFonts w:ascii="Arial" w:hAnsi="Arial" w:cs="Arial"/>
        </w:rPr>
        <w:t xml:space="preserve">, viewed [date], </w:t>
      </w:r>
      <w:hyperlink r:id="rId21" w:tgtFrame="_new" w:history="1">
        <w:r w:rsidRPr="005808DD">
          <w:rPr>
            <w:rStyle w:val="Hyperlink"/>
            <w:rFonts w:ascii="Arial" w:eastAsiaTheme="majorEastAsia" w:hAnsi="Arial" w:cs="Arial"/>
            <w:color w:val="auto"/>
          </w:rPr>
          <w:t>https://www.gov.uk/government/news/mhras-2024-25-annual-report-and-accounts-and-impact-report-show-progress-on-safety-innovation-and-regulatory-excellence</w:t>
        </w:r>
      </w:hyperlink>
      <w:r w:rsidRPr="005808DD">
        <w:rPr>
          <w:rFonts w:ascii="Arial" w:hAnsi="Arial" w:cs="Arial"/>
        </w:rPr>
        <w:t>.</w:t>
      </w:r>
    </w:p>
    <w:p w14:paraId="414B4DCA"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CFRA Research 2025. </w:t>
      </w:r>
      <w:r w:rsidRPr="005808DD">
        <w:rPr>
          <w:rStyle w:val="Emphasis"/>
          <w:rFonts w:ascii="Arial" w:eastAsiaTheme="majorEastAsia" w:hAnsi="Arial" w:cs="Arial"/>
        </w:rPr>
        <w:t>How U.S. pressure could reshape UK drug pricing and reimbursement in 2025</w:t>
      </w:r>
      <w:r w:rsidRPr="005808DD">
        <w:rPr>
          <w:rFonts w:ascii="Arial" w:hAnsi="Arial" w:cs="Arial"/>
        </w:rPr>
        <w:t xml:space="preserve">, viewed [date], </w:t>
      </w:r>
      <w:hyperlink r:id="rId22" w:tgtFrame="_new" w:history="1">
        <w:r w:rsidRPr="005808DD">
          <w:rPr>
            <w:rStyle w:val="Hyperlink"/>
            <w:rFonts w:ascii="Arial" w:eastAsiaTheme="majorEastAsia" w:hAnsi="Arial" w:cs="Arial"/>
            <w:color w:val="auto"/>
          </w:rPr>
          <w:t>https://www.cfraresearch.com/insights/how-u-s-pressure-could-reshape-uk-drug-pricing-and-reimbursement-in-2025/</w:t>
        </w:r>
      </w:hyperlink>
      <w:r w:rsidRPr="005808DD">
        <w:rPr>
          <w:rFonts w:ascii="Arial" w:hAnsi="Arial" w:cs="Arial"/>
        </w:rPr>
        <w:t>.</w:t>
      </w:r>
    </w:p>
    <w:p w14:paraId="00F416CD"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British Pharmacological Society 2025. </w:t>
      </w:r>
      <w:r w:rsidRPr="005808DD">
        <w:rPr>
          <w:rStyle w:val="Emphasis"/>
          <w:rFonts w:ascii="Arial" w:eastAsiaTheme="majorEastAsia" w:hAnsi="Arial" w:cs="Arial"/>
        </w:rPr>
        <w:t>Novel drugs approved by the EMA, the FDA and the MHRA in 2024: A year in review</w:t>
      </w:r>
      <w:r w:rsidRPr="005808DD">
        <w:rPr>
          <w:rFonts w:ascii="Arial" w:hAnsi="Arial" w:cs="Arial"/>
        </w:rPr>
        <w:t xml:space="preserve">, viewed [date], </w:t>
      </w:r>
      <w:hyperlink r:id="rId23" w:tgtFrame="_new" w:history="1">
        <w:r w:rsidRPr="005808DD">
          <w:rPr>
            <w:rStyle w:val="Hyperlink"/>
            <w:rFonts w:ascii="Arial" w:eastAsiaTheme="majorEastAsia" w:hAnsi="Arial" w:cs="Arial"/>
            <w:color w:val="auto"/>
          </w:rPr>
          <w:t>https://www.bps.ac.uk/news/articles/2025/novel-drugs-approved-by-the-ema%2C-the-fda-and-the-m</w:t>
        </w:r>
      </w:hyperlink>
      <w:r w:rsidRPr="005808DD">
        <w:rPr>
          <w:rFonts w:ascii="Arial" w:hAnsi="Arial" w:cs="Arial"/>
        </w:rPr>
        <w:t>.</w:t>
      </w:r>
    </w:p>
    <w:p w14:paraId="2F1B76D6" w14:textId="77777777" w:rsidR="00C15490" w:rsidRPr="005808DD" w:rsidRDefault="00C15490" w:rsidP="00C15490">
      <w:pPr>
        <w:pStyle w:val="NormalWeb"/>
        <w:spacing w:line="360" w:lineRule="auto"/>
        <w:jc w:val="both"/>
        <w:rPr>
          <w:rFonts w:ascii="Arial" w:hAnsi="Arial" w:cs="Arial"/>
        </w:rPr>
      </w:pPr>
      <w:proofErr w:type="spellStart"/>
      <w:r w:rsidRPr="005808DD">
        <w:rPr>
          <w:rFonts w:ascii="Arial" w:hAnsi="Arial" w:cs="Arial"/>
        </w:rPr>
        <w:t>AInvest</w:t>
      </w:r>
      <w:proofErr w:type="spellEnd"/>
      <w:r w:rsidRPr="005808DD">
        <w:rPr>
          <w:rFonts w:ascii="Arial" w:hAnsi="Arial" w:cs="Arial"/>
        </w:rPr>
        <w:t xml:space="preserve"> 2025. </w:t>
      </w:r>
      <w:r w:rsidRPr="005808DD">
        <w:rPr>
          <w:rStyle w:val="Emphasis"/>
          <w:rFonts w:ascii="Arial" w:eastAsiaTheme="majorEastAsia" w:hAnsi="Arial" w:cs="Arial"/>
        </w:rPr>
        <w:t>Pharmaceutical sector underperformance 2025: NHS pricing crisis and investor sentiment</w:t>
      </w:r>
      <w:r w:rsidRPr="005808DD">
        <w:rPr>
          <w:rFonts w:ascii="Arial" w:hAnsi="Arial" w:cs="Arial"/>
        </w:rPr>
        <w:t xml:space="preserve">, viewed [date], </w:t>
      </w:r>
      <w:hyperlink r:id="rId24" w:tgtFrame="_new" w:history="1">
        <w:r w:rsidRPr="005808DD">
          <w:rPr>
            <w:rStyle w:val="Hyperlink"/>
            <w:rFonts w:ascii="Arial" w:eastAsiaTheme="majorEastAsia" w:hAnsi="Arial" w:cs="Arial"/>
            <w:color w:val="auto"/>
          </w:rPr>
          <w:t>https://www.ainvest.com/news/pharmaceutical-sector-underperformance-2025-nhs-pricing-crisis-investor-sentiment-2509/</w:t>
        </w:r>
      </w:hyperlink>
      <w:r w:rsidRPr="005808DD">
        <w:rPr>
          <w:rFonts w:ascii="Arial" w:hAnsi="Arial" w:cs="Arial"/>
        </w:rPr>
        <w:t>.</w:t>
      </w:r>
    </w:p>
    <w:p w14:paraId="4BAACAB5"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GuideChem 2025. </w:t>
      </w:r>
      <w:r w:rsidRPr="005808DD">
        <w:rPr>
          <w:rStyle w:val="Emphasis"/>
          <w:rFonts w:ascii="Arial" w:eastAsiaTheme="majorEastAsia" w:hAnsi="Arial" w:cs="Arial"/>
        </w:rPr>
        <w:t>UK drug rebate rates to remain high through 2027</w:t>
      </w:r>
      <w:r w:rsidRPr="005808DD">
        <w:rPr>
          <w:rFonts w:ascii="Arial" w:hAnsi="Arial" w:cs="Arial"/>
        </w:rPr>
        <w:t xml:space="preserve">, viewed [date], </w:t>
      </w:r>
      <w:hyperlink r:id="rId25" w:tgtFrame="_new" w:history="1">
        <w:r w:rsidRPr="005808DD">
          <w:rPr>
            <w:rStyle w:val="Hyperlink"/>
            <w:rFonts w:ascii="Arial" w:eastAsiaTheme="majorEastAsia" w:hAnsi="Arial" w:cs="Arial"/>
            <w:color w:val="auto"/>
          </w:rPr>
          <w:t>https://www.guidechem.com/guideview/chempolicy/uk-drug-rebate-rates-high-through-2027.html</w:t>
        </w:r>
      </w:hyperlink>
      <w:r w:rsidRPr="005808DD">
        <w:rPr>
          <w:rFonts w:ascii="Arial" w:hAnsi="Arial" w:cs="Arial"/>
        </w:rPr>
        <w:t>.</w:t>
      </w:r>
    </w:p>
    <w:p w14:paraId="722F545C"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lastRenderedPageBreak/>
        <w:t xml:space="preserve">Pharmaphorum 2025. </w:t>
      </w:r>
      <w:r w:rsidRPr="005808DD">
        <w:rPr>
          <w:rStyle w:val="Emphasis"/>
          <w:rFonts w:ascii="Arial" w:eastAsiaTheme="majorEastAsia" w:hAnsi="Arial" w:cs="Arial"/>
        </w:rPr>
        <w:t>Pharma furious as UK Statutory Scheme rebate rate soars</w:t>
      </w:r>
      <w:r w:rsidRPr="005808DD">
        <w:rPr>
          <w:rFonts w:ascii="Arial" w:hAnsi="Arial" w:cs="Arial"/>
        </w:rPr>
        <w:t xml:space="preserve">, viewed [date], </w:t>
      </w:r>
      <w:hyperlink r:id="rId26" w:tgtFrame="_new" w:history="1">
        <w:r w:rsidRPr="005808DD">
          <w:rPr>
            <w:rStyle w:val="Hyperlink"/>
            <w:rFonts w:ascii="Arial" w:eastAsiaTheme="majorEastAsia" w:hAnsi="Arial" w:cs="Arial"/>
            <w:color w:val="auto"/>
          </w:rPr>
          <w:t>https://pharmaphorum.com/news/pharma-furious-uk-statutory-scheme-rebate-rate-soars</w:t>
        </w:r>
      </w:hyperlink>
      <w:r w:rsidRPr="005808DD">
        <w:rPr>
          <w:rFonts w:ascii="Arial" w:hAnsi="Arial" w:cs="Arial"/>
        </w:rPr>
        <w:t>.</w:t>
      </w:r>
    </w:p>
    <w:p w14:paraId="1CC44469"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Regulatory Affairs News 2024. </w:t>
      </w:r>
      <w:r w:rsidRPr="005808DD">
        <w:rPr>
          <w:rStyle w:val="Emphasis"/>
          <w:rFonts w:ascii="Arial" w:eastAsiaTheme="majorEastAsia" w:hAnsi="Arial" w:cs="Arial"/>
        </w:rPr>
        <w:t>UK MHRA guidance on the licensing of biosimilar products</w:t>
      </w:r>
      <w:r w:rsidRPr="005808DD">
        <w:rPr>
          <w:rFonts w:ascii="Arial" w:hAnsi="Arial" w:cs="Arial"/>
        </w:rPr>
        <w:t xml:space="preserve">, viewed [date], </w:t>
      </w:r>
      <w:hyperlink r:id="rId27" w:tgtFrame="_new" w:history="1">
        <w:r w:rsidRPr="005808DD">
          <w:rPr>
            <w:rStyle w:val="Hyperlink"/>
            <w:rFonts w:ascii="Arial" w:eastAsiaTheme="majorEastAsia" w:hAnsi="Arial" w:cs="Arial"/>
            <w:color w:val="auto"/>
          </w:rPr>
          <w:t>https://www.regulatoryaffairsnews.com/post/uk-mhra-guidance-on-the-licensing-of-biosimilar-products</w:t>
        </w:r>
      </w:hyperlink>
      <w:r w:rsidRPr="005808DD">
        <w:rPr>
          <w:rFonts w:ascii="Arial" w:hAnsi="Arial" w:cs="Arial"/>
        </w:rPr>
        <w:t>.</w:t>
      </w:r>
    </w:p>
    <w:p w14:paraId="308134B5"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STAT News 2025. </w:t>
      </w:r>
      <w:r w:rsidRPr="005808DD">
        <w:rPr>
          <w:rStyle w:val="Emphasis"/>
          <w:rFonts w:ascii="Arial" w:eastAsiaTheme="majorEastAsia" w:hAnsi="Arial" w:cs="Arial"/>
        </w:rPr>
        <w:t>UK open to reforming drug spending to attract pharma investment</w:t>
      </w:r>
      <w:r w:rsidRPr="005808DD">
        <w:rPr>
          <w:rFonts w:ascii="Arial" w:hAnsi="Arial" w:cs="Arial"/>
        </w:rPr>
        <w:t xml:space="preserve">, viewed [date], </w:t>
      </w:r>
      <w:hyperlink r:id="rId28" w:tgtFrame="_new" w:history="1">
        <w:r w:rsidRPr="005808DD">
          <w:rPr>
            <w:rStyle w:val="Hyperlink"/>
            <w:rFonts w:ascii="Arial" w:eastAsiaTheme="majorEastAsia" w:hAnsi="Arial" w:cs="Arial"/>
            <w:color w:val="auto"/>
          </w:rPr>
          <w:t>https://www.statnews.com/2025/04/03/vpag-nhs-uk-drug-prices-spending-reform/</w:t>
        </w:r>
      </w:hyperlink>
      <w:r w:rsidRPr="005808DD">
        <w:rPr>
          <w:rFonts w:ascii="Arial" w:hAnsi="Arial" w:cs="Arial"/>
        </w:rPr>
        <w:t>.</w:t>
      </w:r>
    </w:p>
    <w:p w14:paraId="67CFBEF2"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GOV.UK 2025. </w:t>
      </w:r>
      <w:r w:rsidRPr="005808DD">
        <w:rPr>
          <w:rStyle w:val="Emphasis"/>
          <w:rFonts w:ascii="Arial" w:eastAsiaTheme="majorEastAsia" w:hAnsi="Arial" w:cs="Arial"/>
        </w:rPr>
        <w:t>Introducing new medicines in the NHS in the UK – pathway</w:t>
      </w:r>
      <w:r w:rsidRPr="005808DD">
        <w:rPr>
          <w:rFonts w:ascii="Arial" w:hAnsi="Arial" w:cs="Arial"/>
        </w:rPr>
        <w:t xml:space="preserve">, viewed [date], </w:t>
      </w:r>
      <w:hyperlink r:id="rId29" w:tgtFrame="_new" w:history="1">
        <w:r w:rsidRPr="005808DD">
          <w:rPr>
            <w:rStyle w:val="Hyperlink"/>
            <w:rFonts w:ascii="Arial" w:eastAsiaTheme="majorEastAsia" w:hAnsi="Arial" w:cs="Arial"/>
            <w:color w:val="auto"/>
          </w:rPr>
          <w:t>https://www.gov.uk/government/publications/introducing-new-medicines-in-the-nhs-in-the-uk/introducing-new-medicines-in-the-nhs-in-the-uk-pathway</w:t>
        </w:r>
      </w:hyperlink>
      <w:r w:rsidRPr="005808DD">
        <w:rPr>
          <w:rFonts w:ascii="Arial" w:hAnsi="Arial" w:cs="Arial"/>
        </w:rPr>
        <w:t>.</w:t>
      </w:r>
    </w:p>
    <w:p w14:paraId="27DD36C9"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GOV.UK 2025. </w:t>
      </w:r>
      <w:r w:rsidRPr="005808DD">
        <w:rPr>
          <w:rStyle w:val="Emphasis"/>
          <w:rFonts w:ascii="Arial" w:eastAsiaTheme="majorEastAsia" w:hAnsi="Arial" w:cs="Arial"/>
        </w:rPr>
        <w:t>Medicines and Healthcare Products Regulatory Agency annual report and accounts 2024–2025</w:t>
      </w:r>
      <w:r w:rsidRPr="005808DD">
        <w:rPr>
          <w:rFonts w:ascii="Arial" w:hAnsi="Arial" w:cs="Arial"/>
        </w:rPr>
        <w:t xml:space="preserve">, viewed [date], </w:t>
      </w:r>
      <w:hyperlink r:id="rId30" w:tgtFrame="_new" w:history="1">
        <w:r w:rsidRPr="005808DD">
          <w:rPr>
            <w:rStyle w:val="Hyperlink"/>
            <w:rFonts w:ascii="Arial" w:eastAsiaTheme="majorEastAsia" w:hAnsi="Arial" w:cs="Arial"/>
            <w:color w:val="auto"/>
          </w:rPr>
          <w:t>https://www.gov.uk/government/publications/medicines-and-healthcare-products-regulatory-agency-annual-report-and-accounts-2024-to-2025</w:t>
        </w:r>
      </w:hyperlink>
      <w:r w:rsidRPr="005808DD">
        <w:rPr>
          <w:rFonts w:ascii="Arial" w:hAnsi="Arial" w:cs="Arial"/>
        </w:rPr>
        <w:t>.</w:t>
      </w:r>
    </w:p>
    <w:p w14:paraId="6C8B93EF"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Reuters 2025. </w:t>
      </w:r>
      <w:r w:rsidRPr="005808DD">
        <w:rPr>
          <w:rStyle w:val="Emphasis"/>
          <w:rFonts w:ascii="Arial" w:eastAsiaTheme="majorEastAsia" w:hAnsi="Arial" w:cs="Arial"/>
        </w:rPr>
        <w:t>Pharma industry says UK pricing revenue unsustainable, blocking investments</w:t>
      </w:r>
      <w:r w:rsidRPr="005808DD">
        <w:rPr>
          <w:rFonts w:ascii="Arial" w:hAnsi="Arial" w:cs="Arial"/>
        </w:rPr>
        <w:t xml:space="preserve">, viewed [date], </w:t>
      </w:r>
      <w:hyperlink r:id="rId31" w:tgtFrame="_new" w:history="1">
        <w:r w:rsidRPr="005808DD">
          <w:rPr>
            <w:rStyle w:val="Hyperlink"/>
            <w:rFonts w:ascii="Arial" w:eastAsiaTheme="majorEastAsia" w:hAnsi="Arial" w:cs="Arial"/>
            <w:color w:val="auto"/>
          </w:rPr>
          <w:t>https://www.reuters.com/business/healthcare-pharmaceuticals/pharma-industry-says-uk-pricing-revenue-unsustainable-blocking-investments-2025-03-20/</w:t>
        </w:r>
      </w:hyperlink>
      <w:r w:rsidRPr="005808DD">
        <w:rPr>
          <w:rFonts w:ascii="Arial" w:hAnsi="Arial" w:cs="Arial"/>
        </w:rPr>
        <w:t>.</w:t>
      </w:r>
    </w:p>
    <w:p w14:paraId="41B72CA3"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Pharmaphorum 2025. </w:t>
      </w:r>
      <w:r w:rsidRPr="005808DD">
        <w:rPr>
          <w:rStyle w:val="Emphasis"/>
          <w:rFonts w:ascii="Arial" w:eastAsiaTheme="majorEastAsia" w:hAnsi="Arial" w:cs="Arial"/>
        </w:rPr>
        <w:t>Life Sciences Industry Report 2025 – Part 7</w:t>
      </w:r>
      <w:r w:rsidRPr="005808DD">
        <w:rPr>
          <w:rFonts w:ascii="Arial" w:hAnsi="Arial" w:cs="Arial"/>
        </w:rPr>
        <w:t xml:space="preserve">, viewed [date], </w:t>
      </w:r>
      <w:hyperlink r:id="rId32" w:tgtFrame="_new" w:history="1">
        <w:r w:rsidRPr="005808DD">
          <w:rPr>
            <w:rStyle w:val="Hyperlink"/>
            <w:rFonts w:ascii="Arial" w:eastAsiaTheme="majorEastAsia" w:hAnsi="Arial" w:cs="Arial"/>
            <w:color w:val="auto"/>
          </w:rPr>
          <w:t>https://pharmaphorum.com/sites/default/files/2025-02/Life-Sciences-Industry-Report-2025-pt7.pdf</w:t>
        </w:r>
      </w:hyperlink>
      <w:r w:rsidRPr="005808DD">
        <w:rPr>
          <w:rFonts w:ascii="Arial" w:hAnsi="Arial" w:cs="Arial"/>
        </w:rPr>
        <w:t>.</w:t>
      </w:r>
    </w:p>
    <w:p w14:paraId="2B3849F3"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GHP 2025. </w:t>
      </w:r>
      <w:r w:rsidRPr="005808DD">
        <w:rPr>
          <w:rStyle w:val="Emphasis"/>
          <w:rFonts w:ascii="Arial" w:eastAsiaTheme="majorEastAsia" w:hAnsi="Arial" w:cs="Arial"/>
        </w:rPr>
        <w:t>The implementation of biosimilars and key generic medicines</w:t>
      </w:r>
      <w:r w:rsidRPr="005808DD">
        <w:rPr>
          <w:rFonts w:ascii="Arial" w:hAnsi="Arial" w:cs="Arial"/>
        </w:rPr>
        <w:t xml:space="preserve">, viewed [date], </w:t>
      </w:r>
      <w:hyperlink r:id="rId33" w:tgtFrame="_new" w:history="1">
        <w:r w:rsidRPr="005808DD">
          <w:rPr>
            <w:rStyle w:val="Hyperlink"/>
            <w:rFonts w:ascii="Arial" w:eastAsiaTheme="majorEastAsia" w:hAnsi="Arial" w:cs="Arial"/>
            <w:color w:val="auto"/>
          </w:rPr>
          <w:t>https://usercontent.one/wp/www.ghp.org.uk/wp-content/uploads/2025/06/The-Implementation-of-Biosimilars-and-Key-Generic-Medicines.pdf</w:t>
        </w:r>
      </w:hyperlink>
      <w:r w:rsidRPr="005808DD">
        <w:rPr>
          <w:rFonts w:ascii="Arial" w:hAnsi="Arial" w:cs="Arial"/>
        </w:rPr>
        <w:t>.</w:t>
      </w:r>
    </w:p>
    <w:p w14:paraId="2979B5DD"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lastRenderedPageBreak/>
        <w:t xml:space="preserve">GOV.UK 2025. </w:t>
      </w:r>
      <w:r w:rsidRPr="005808DD">
        <w:rPr>
          <w:rStyle w:val="Emphasis"/>
          <w:rFonts w:ascii="Arial" w:eastAsiaTheme="majorEastAsia" w:hAnsi="Arial" w:cs="Arial"/>
        </w:rPr>
        <w:t>MHRA performance data</w:t>
      </w:r>
      <w:r w:rsidRPr="005808DD">
        <w:rPr>
          <w:rFonts w:ascii="Arial" w:hAnsi="Arial" w:cs="Arial"/>
        </w:rPr>
        <w:t xml:space="preserve">, viewed [date], </w:t>
      </w:r>
      <w:hyperlink r:id="rId34" w:tgtFrame="_new" w:history="1">
        <w:r w:rsidRPr="005808DD">
          <w:rPr>
            <w:rStyle w:val="Hyperlink"/>
            <w:rFonts w:ascii="Arial" w:eastAsiaTheme="majorEastAsia" w:hAnsi="Arial" w:cs="Arial"/>
            <w:color w:val="auto"/>
          </w:rPr>
          <w:t>https://www.gov.uk/government/publications/mhra-performance-data/mhra-performance-data</w:t>
        </w:r>
      </w:hyperlink>
      <w:r w:rsidRPr="005808DD">
        <w:rPr>
          <w:rFonts w:ascii="Arial" w:hAnsi="Arial" w:cs="Arial"/>
        </w:rPr>
        <w:t>.</w:t>
      </w:r>
    </w:p>
    <w:p w14:paraId="3D4296CF"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Knight Frank 2025. </w:t>
      </w:r>
      <w:r w:rsidRPr="005808DD">
        <w:rPr>
          <w:rStyle w:val="Emphasis"/>
          <w:rFonts w:ascii="Arial" w:eastAsiaTheme="majorEastAsia" w:hAnsi="Arial" w:cs="Arial"/>
        </w:rPr>
        <w:t>Life Sciences Innovation Insight Q1 2025</w:t>
      </w:r>
      <w:r w:rsidRPr="005808DD">
        <w:rPr>
          <w:rFonts w:ascii="Arial" w:hAnsi="Arial" w:cs="Arial"/>
        </w:rPr>
        <w:t xml:space="preserve">, viewed [date], </w:t>
      </w:r>
      <w:hyperlink r:id="rId35" w:tgtFrame="_new" w:history="1">
        <w:r w:rsidRPr="005808DD">
          <w:rPr>
            <w:rStyle w:val="Hyperlink"/>
            <w:rFonts w:ascii="Arial" w:eastAsiaTheme="majorEastAsia" w:hAnsi="Arial" w:cs="Arial"/>
            <w:color w:val="auto"/>
          </w:rPr>
          <w:t>https://content.knightfrank.com/research/2665/documents/en/life-sciences-innovation-insight-q1-2025-12104.pdf</w:t>
        </w:r>
      </w:hyperlink>
      <w:r w:rsidRPr="005808DD">
        <w:rPr>
          <w:rFonts w:ascii="Arial" w:hAnsi="Arial" w:cs="Arial"/>
        </w:rPr>
        <w:t>.</w:t>
      </w:r>
    </w:p>
    <w:p w14:paraId="3EA04D87"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6WResearch 2025. </w:t>
      </w:r>
      <w:r w:rsidRPr="005808DD">
        <w:rPr>
          <w:rStyle w:val="Emphasis"/>
          <w:rFonts w:ascii="Arial" w:eastAsiaTheme="majorEastAsia" w:hAnsi="Arial" w:cs="Arial"/>
        </w:rPr>
        <w:t>United Kingdom (UK) generic pharmaceutical market report</w:t>
      </w:r>
      <w:r w:rsidRPr="005808DD">
        <w:rPr>
          <w:rFonts w:ascii="Arial" w:hAnsi="Arial" w:cs="Arial"/>
        </w:rPr>
        <w:t xml:space="preserve">, viewed [date], </w:t>
      </w:r>
      <w:hyperlink r:id="rId36" w:tgtFrame="_new" w:history="1">
        <w:r w:rsidRPr="005808DD">
          <w:rPr>
            <w:rStyle w:val="Hyperlink"/>
            <w:rFonts w:ascii="Arial" w:eastAsiaTheme="majorEastAsia" w:hAnsi="Arial" w:cs="Arial"/>
            <w:color w:val="auto"/>
          </w:rPr>
          <w:t>https://www.6wresearch.com/industry-report/united-kingdom-uk-generic-pharmaceutical-market</w:t>
        </w:r>
      </w:hyperlink>
      <w:r w:rsidRPr="005808DD">
        <w:rPr>
          <w:rFonts w:ascii="Arial" w:hAnsi="Arial" w:cs="Arial"/>
        </w:rPr>
        <w:t>.</w:t>
      </w:r>
    </w:p>
    <w:p w14:paraId="26CB1514"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Life Sciences Global News 2025. </w:t>
      </w:r>
      <w:r w:rsidRPr="005808DD">
        <w:rPr>
          <w:rStyle w:val="Emphasis"/>
          <w:rFonts w:ascii="Arial" w:eastAsiaTheme="majorEastAsia" w:hAnsi="Arial" w:cs="Arial"/>
        </w:rPr>
        <w:t>UK biotech raises £1.23 billion in first half of 2025 – BIA report</w:t>
      </w:r>
      <w:r w:rsidRPr="005808DD">
        <w:rPr>
          <w:rFonts w:ascii="Arial" w:hAnsi="Arial" w:cs="Arial"/>
        </w:rPr>
        <w:t xml:space="preserve">, viewed [date], </w:t>
      </w:r>
      <w:hyperlink r:id="rId37" w:tgtFrame="_new" w:history="1">
        <w:r w:rsidRPr="005808DD">
          <w:rPr>
            <w:rStyle w:val="Hyperlink"/>
            <w:rFonts w:ascii="Arial" w:eastAsiaTheme="majorEastAsia" w:hAnsi="Arial" w:cs="Arial"/>
            <w:color w:val="auto"/>
          </w:rPr>
          <w:t>https://lifesciencesglobalnews.com/uk-biotech-investment-2025-bia/</w:t>
        </w:r>
      </w:hyperlink>
      <w:r w:rsidRPr="005808DD">
        <w:rPr>
          <w:rFonts w:ascii="Arial" w:hAnsi="Arial" w:cs="Arial"/>
        </w:rPr>
        <w:t>.</w:t>
      </w:r>
    </w:p>
    <w:p w14:paraId="57F45C5B"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Pharmaphorum 2025. </w:t>
      </w:r>
      <w:r w:rsidRPr="005808DD">
        <w:rPr>
          <w:rStyle w:val="Emphasis"/>
          <w:rFonts w:ascii="Arial" w:eastAsiaTheme="majorEastAsia" w:hAnsi="Arial" w:cs="Arial"/>
        </w:rPr>
        <w:t xml:space="preserve">The outlook for </w:t>
      </w:r>
      <w:proofErr w:type="spellStart"/>
      <w:r w:rsidRPr="005808DD">
        <w:rPr>
          <w:rStyle w:val="Emphasis"/>
          <w:rFonts w:ascii="Arial" w:eastAsiaTheme="majorEastAsia" w:hAnsi="Arial" w:cs="Arial"/>
        </w:rPr>
        <w:t>healthtech</w:t>
      </w:r>
      <w:proofErr w:type="spellEnd"/>
      <w:r w:rsidRPr="005808DD">
        <w:rPr>
          <w:rStyle w:val="Emphasis"/>
          <w:rFonts w:ascii="Arial" w:eastAsiaTheme="majorEastAsia" w:hAnsi="Arial" w:cs="Arial"/>
        </w:rPr>
        <w:t xml:space="preserve"> and life sciences in 2025</w:t>
      </w:r>
      <w:r w:rsidRPr="005808DD">
        <w:rPr>
          <w:rFonts w:ascii="Arial" w:hAnsi="Arial" w:cs="Arial"/>
        </w:rPr>
        <w:t xml:space="preserve">, viewed [date], </w:t>
      </w:r>
      <w:hyperlink r:id="rId38" w:tgtFrame="_new" w:history="1">
        <w:r w:rsidRPr="005808DD">
          <w:rPr>
            <w:rStyle w:val="Hyperlink"/>
            <w:rFonts w:ascii="Arial" w:eastAsiaTheme="majorEastAsia" w:hAnsi="Arial" w:cs="Arial"/>
            <w:color w:val="auto"/>
          </w:rPr>
          <w:t>https://pharmaphorum.com/market-access/outlook-healthtech-and-life-sciences-2025</w:t>
        </w:r>
      </w:hyperlink>
      <w:r w:rsidRPr="005808DD">
        <w:rPr>
          <w:rFonts w:ascii="Arial" w:hAnsi="Arial" w:cs="Arial"/>
        </w:rPr>
        <w:t>.</w:t>
      </w:r>
    </w:p>
    <w:p w14:paraId="548802D2" w14:textId="77777777" w:rsidR="00C15490" w:rsidRPr="005808DD" w:rsidRDefault="00C15490" w:rsidP="00C15490">
      <w:pPr>
        <w:pStyle w:val="NormalWeb"/>
        <w:spacing w:line="360" w:lineRule="auto"/>
        <w:jc w:val="both"/>
        <w:rPr>
          <w:rFonts w:ascii="Arial" w:hAnsi="Arial" w:cs="Arial"/>
        </w:rPr>
      </w:pPr>
      <w:r w:rsidRPr="005808DD">
        <w:rPr>
          <w:rFonts w:ascii="Arial" w:hAnsi="Arial" w:cs="Arial"/>
        </w:rPr>
        <w:t xml:space="preserve">OMR Global 2025. </w:t>
      </w:r>
      <w:r w:rsidRPr="005808DD">
        <w:rPr>
          <w:rStyle w:val="Emphasis"/>
          <w:rFonts w:ascii="Arial" w:eastAsiaTheme="majorEastAsia" w:hAnsi="Arial" w:cs="Arial"/>
        </w:rPr>
        <w:t>UK generic drugs market size, share and trends report 2025–2035</w:t>
      </w:r>
      <w:r w:rsidRPr="005808DD">
        <w:rPr>
          <w:rFonts w:ascii="Arial" w:hAnsi="Arial" w:cs="Arial"/>
        </w:rPr>
        <w:t xml:space="preserve">, viewed [date], </w:t>
      </w:r>
      <w:hyperlink r:id="rId39" w:tgtFrame="_new" w:history="1">
        <w:r w:rsidRPr="005808DD">
          <w:rPr>
            <w:rStyle w:val="Hyperlink"/>
            <w:rFonts w:ascii="Arial" w:eastAsiaTheme="majorEastAsia" w:hAnsi="Arial" w:cs="Arial"/>
            <w:color w:val="auto"/>
          </w:rPr>
          <w:t>https://www.omrglobal.com/industry-reports/uk-generic-drugs-market</w:t>
        </w:r>
      </w:hyperlink>
      <w:r w:rsidRPr="005808DD">
        <w:rPr>
          <w:rFonts w:ascii="Arial" w:hAnsi="Arial" w:cs="Arial"/>
        </w:rPr>
        <w:t>.</w:t>
      </w:r>
    </w:p>
    <w:p w14:paraId="00E1247C" w14:textId="7A4ABB57" w:rsidR="00C15490" w:rsidRPr="005808DD" w:rsidRDefault="000A49CD" w:rsidP="00C15490">
      <w:pPr>
        <w:spacing w:line="360" w:lineRule="auto"/>
        <w:jc w:val="both"/>
        <w:rPr>
          <w:rFonts w:ascii="Arial" w:hAnsi="Arial" w:cs="Arial"/>
          <w:b/>
        </w:rPr>
      </w:pPr>
      <w:r w:rsidRPr="005808DD">
        <w:rPr>
          <w:rFonts w:ascii="Arial" w:hAnsi="Arial" w:cs="Arial"/>
          <w:b/>
        </w:rPr>
        <w:t>Image Reference</w:t>
      </w:r>
    </w:p>
    <w:p w14:paraId="181532CB" w14:textId="77777777" w:rsidR="00DE6BD7" w:rsidRPr="00DE6BD7" w:rsidRDefault="00DE6BD7" w:rsidP="00DE6BD7">
      <w:pPr>
        <w:spacing w:line="360" w:lineRule="auto"/>
        <w:jc w:val="both"/>
      </w:pPr>
      <w:r w:rsidRPr="00DE6BD7">
        <w:t xml:space="preserve">AstraZeneca PLC, 2025. </w:t>
      </w:r>
      <w:r w:rsidRPr="00DE6BD7">
        <w:rPr>
          <w:rStyle w:val="Emphasis"/>
        </w:rPr>
        <w:t>9M and Q3 2025 Results Presentation</w:t>
      </w:r>
      <w:r w:rsidRPr="00DE6BD7">
        <w:t xml:space="preserve">. [pdf] Cambridge: AstraZeneca PLC. Available at: </w:t>
      </w:r>
      <w:hyperlink r:id="rId40" w:tgtFrame="_new" w:history="1">
        <w:r w:rsidRPr="00DE6BD7">
          <w:rPr>
            <w:rStyle w:val="Hyperlink"/>
            <w:color w:val="auto"/>
          </w:rPr>
          <w:t>https://www.astrazeneca.com/content/dam/az/PDF/2025/9m-q3/9M-and-Q3-2025-results-presentation.pdf</w:t>
        </w:r>
      </w:hyperlink>
    </w:p>
    <w:p w14:paraId="004A60AE" w14:textId="77777777" w:rsidR="00DE6BD7" w:rsidRPr="00DE6BD7" w:rsidRDefault="00DE6BD7" w:rsidP="00DE6BD7">
      <w:pPr>
        <w:spacing w:line="360" w:lineRule="auto"/>
        <w:jc w:val="both"/>
      </w:pPr>
      <w:r w:rsidRPr="00DE6BD7">
        <w:t xml:space="preserve">Grand View Research, Inc. 2025, </w:t>
      </w:r>
      <w:r w:rsidRPr="00DE6BD7">
        <w:rPr>
          <w:rStyle w:val="Emphasis"/>
        </w:rPr>
        <w:t>UK Pharmaceutical Market Size &amp; Outlook, 2030</w:t>
      </w:r>
      <w:r w:rsidRPr="00DE6BD7">
        <w:t xml:space="preserve">, viewed [date], </w:t>
      </w:r>
      <w:hyperlink r:id="rId41" w:tgtFrame="_new" w:history="1">
        <w:r w:rsidRPr="00DE6BD7">
          <w:rPr>
            <w:rStyle w:val="Hyperlink"/>
            <w:color w:val="auto"/>
          </w:rPr>
          <w:t>https://www.grandviewresearch.com/horizon/outlook/pharmaceutical-market/uk</w:t>
        </w:r>
      </w:hyperlink>
    </w:p>
    <w:p w14:paraId="406B98E6" w14:textId="77777777" w:rsidR="00DE6BD7" w:rsidRPr="00DE6BD7" w:rsidRDefault="00DE6BD7" w:rsidP="00DE6BD7">
      <w:pPr>
        <w:spacing w:line="360" w:lineRule="auto"/>
        <w:jc w:val="both"/>
      </w:pPr>
      <w:r w:rsidRPr="00DE6BD7">
        <w:t xml:space="preserve">GSK plc, 2025. </w:t>
      </w:r>
      <w:r w:rsidRPr="00DE6BD7">
        <w:rPr>
          <w:rStyle w:val="Emphasis"/>
        </w:rPr>
        <w:t>Annual Report 2024</w:t>
      </w:r>
      <w:r w:rsidRPr="00DE6BD7">
        <w:t xml:space="preserve">. [online] Available at: </w:t>
      </w:r>
      <w:hyperlink r:id="rId42" w:tgtFrame="_new" w:history="1">
        <w:r w:rsidRPr="00DE6BD7">
          <w:rPr>
            <w:rStyle w:val="Hyperlink"/>
            <w:color w:val="auto"/>
          </w:rPr>
          <w:t>https://www.gsk.com/en-gb/investors/financial-reports/annual-report-2024/</w:t>
        </w:r>
      </w:hyperlink>
    </w:p>
    <w:p w14:paraId="7AD59767" w14:textId="77777777" w:rsidR="00DE6BD7" w:rsidRPr="00DE6BD7" w:rsidRDefault="00DE6BD7" w:rsidP="00DE6BD7">
      <w:pPr>
        <w:spacing w:line="360" w:lineRule="auto"/>
        <w:jc w:val="both"/>
      </w:pPr>
      <w:r w:rsidRPr="00DE6BD7">
        <w:t xml:space="preserve">Insights 10 2024, </w:t>
      </w:r>
      <w:r w:rsidRPr="00DE6BD7">
        <w:rPr>
          <w:rStyle w:val="Emphasis"/>
        </w:rPr>
        <w:t>UK Biosimilars Market Analysis</w:t>
      </w:r>
      <w:r w:rsidRPr="00DE6BD7">
        <w:t xml:space="preserve">, viewed [date], </w:t>
      </w:r>
      <w:hyperlink r:id="rId43" w:tgtFrame="_new" w:history="1">
        <w:r w:rsidRPr="00DE6BD7">
          <w:rPr>
            <w:rStyle w:val="Hyperlink"/>
            <w:color w:val="auto"/>
          </w:rPr>
          <w:t>https://www.insights10.com/report/uk-biosimilars-market-analysis/</w:t>
        </w:r>
      </w:hyperlink>
    </w:p>
    <w:p w14:paraId="6F1E4F90" w14:textId="77777777" w:rsidR="00DE6BD7" w:rsidRPr="00DE6BD7" w:rsidRDefault="00DE6BD7" w:rsidP="00DE6BD7">
      <w:pPr>
        <w:spacing w:line="360" w:lineRule="auto"/>
        <w:jc w:val="both"/>
      </w:pPr>
      <w:r w:rsidRPr="00DE6BD7">
        <w:lastRenderedPageBreak/>
        <w:t xml:space="preserve">Precedence Research 2025, </w:t>
      </w:r>
      <w:r w:rsidRPr="00DE6BD7">
        <w:rPr>
          <w:rStyle w:val="Emphasis"/>
        </w:rPr>
        <w:t>AI in Pharmaceutical Market Size to Hit USD 16.49 Billion by 2034</w:t>
      </w:r>
      <w:r w:rsidRPr="00DE6BD7">
        <w:t xml:space="preserve">, viewed [date], </w:t>
      </w:r>
      <w:hyperlink r:id="rId44" w:tgtFrame="_new" w:history="1">
        <w:r w:rsidRPr="00DE6BD7">
          <w:rPr>
            <w:rStyle w:val="Hyperlink"/>
            <w:color w:val="auto"/>
          </w:rPr>
          <w:t>https://www.precedenceresearch.com/ai-in-pharmaceutical-market</w:t>
        </w:r>
      </w:hyperlink>
    </w:p>
    <w:p w14:paraId="78DF3EF8" w14:textId="77777777" w:rsidR="00DE6BD7" w:rsidRPr="00DE6BD7" w:rsidRDefault="00DE6BD7" w:rsidP="00DE6BD7">
      <w:pPr>
        <w:spacing w:line="360" w:lineRule="auto"/>
        <w:jc w:val="both"/>
      </w:pPr>
      <w:r w:rsidRPr="00DE6BD7">
        <w:t xml:space="preserve">Redica Systems 2021, </w:t>
      </w:r>
      <w:r w:rsidRPr="00DE6BD7">
        <w:rPr>
          <w:rStyle w:val="Emphasis"/>
        </w:rPr>
        <w:t>UK’s MHRA reinventing itself as sovereign regulator</w:t>
      </w:r>
      <w:r w:rsidRPr="00DE6BD7">
        <w:t xml:space="preserve">, 22 July, viewed [date], </w:t>
      </w:r>
      <w:hyperlink r:id="rId45" w:tgtFrame="_new" w:history="1">
        <w:r w:rsidRPr="00DE6BD7">
          <w:rPr>
            <w:rStyle w:val="Hyperlink"/>
            <w:color w:val="auto"/>
          </w:rPr>
          <w:t>https://redica.com/uks-mhra-reinventing-itself-as-sovereign-regulator/</w:t>
        </w:r>
      </w:hyperlink>
    </w:p>
    <w:p w14:paraId="277FB372" w14:textId="77777777" w:rsidR="00DE6BD7" w:rsidRPr="00DE6BD7" w:rsidRDefault="00DE6BD7" w:rsidP="00DE6BD7">
      <w:pPr>
        <w:spacing w:line="360" w:lineRule="auto"/>
        <w:jc w:val="both"/>
      </w:pPr>
      <w:r w:rsidRPr="00DE6BD7">
        <w:t xml:space="preserve">Research-Methodology.net 2024, </w:t>
      </w:r>
      <w:r w:rsidRPr="00DE6BD7">
        <w:rPr>
          <w:rStyle w:val="Emphasis"/>
        </w:rPr>
        <w:t>Apple Ansoff Matrix – Strategic Business Growth Model</w:t>
      </w:r>
      <w:r w:rsidRPr="00DE6BD7">
        <w:t xml:space="preserve">, viewed [date], </w:t>
      </w:r>
      <w:hyperlink r:id="rId46" w:tgtFrame="_new" w:history="1">
        <w:r w:rsidRPr="00DE6BD7">
          <w:rPr>
            <w:rStyle w:val="Hyperlink"/>
            <w:color w:val="auto"/>
          </w:rPr>
          <w:t>https://research-methodology.net/apple-ansoff-matrix-2/</w:t>
        </w:r>
      </w:hyperlink>
    </w:p>
    <w:p w14:paraId="6913DFEC" w14:textId="77777777" w:rsidR="00DE6BD7" w:rsidRPr="00DE6BD7" w:rsidRDefault="00DE6BD7" w:rsidP="00DE6BD7">
      <w:pPr>
        <w:spacing w:line="360" w:lineRule="auto"/>
        <w:jc w:val="both"/>
      </w:pPr>
      <w:r w:rsidRPr="00DE6BD7">
        <w:t xml:space="preserve">Teva Pharmaceutical Industries Ltd., 2025. </w:t>
      </w:r>
      <w:r w:rsidRPr="00DE6BD7">
        <w:rPr>
          <w:rStyle w:val="Emphasis"/>
        </w:rPr>
        <w:t>Quarterly results</w:t>
      </w:r>
      <w:r w:rsidRPr="00DE6BD7">
        <w:t xml:space="preserve">. [online] Available at: </w:t>
      </w:r>
      <w:hyperlink r:id="rId47" w:tgtFrame="_new" w:history="1">
        <w:r w:rsidRPr="00DE6BD7">
          <w:rPr>
            <w:rStyle w:val="Hyperlink"/>
            <w:color w:val="auto"/>
          </w:rPr>
          <w:t>https://ir.tevapharm.com/financials/quarterly-results/default.aspx</w:t>
        </w:r>
      </w:hyperlink>
      <w:r w:rsidRPr="00DE6BD7">
        <w:t xml:space="preserve"> </w:t>
      </w:r>
    </w:p>
    <w:p w14:paraId="3A8253D3" w14:textId="77777777" w:rsidR="00DE6BD7" w:rsidRPr="00DE6BD7" w:rsidRDefault="00DE6BD7" w:rsidP="00DE6BD7">
      <w:pPr>
        <w:spacing w:line="360" w:lineRule="auto"/>
        <w:jc w:val="both"/>
      </w:pPr>
      <w:r w:rsidRPr="00DE6BD7">
        <w:t xml:space="preserve">VanZandt, P. 2023, </w:t>
      </w:r>
      <w:r w:rsidRPr="00DE6BD7">
        <w:rPr>
          <w:rStyle w:val="Emphasis"/>
        </w:rPr>
        <w:t>What is PESTEL Analysis? Definition, Benefits and Best Practices</w:t>
      </w:r>
      <w:r w:rsidRPr="00DE6BD7">
        <w:t xml:space="preserve">, </w:t>
      </w:r>
      <w:proofErr w:type="spellStart"/>
      <w:r w:rsidRPr="00DE6BD7">
        <w:t>IdeaScale</w:t>
      </w:r>
      <w:proofErr w:type="spellEnd"/>
      <w:r w:rsidRPr="00DE6BD7">
        <w:t xml:space="preserve">, 2 February, viewed [date], </w:t>
      </w:r>
      <w:hyperlink r:id="rId48" w:tgtFrame="_new" w:history="1">
        <w:r w:rsidRPr="00DE6BD7">
          <w:rPr>
            <w:rStyle w:val="Hyperlink"/>
            <w:color w:val="auto"/>
          </w:rPr>
          <w:t>https://ideascale.com/blog/what-is-pestel-analysis/</w:t>
        </w:r>
      </w:hyperlink>
    </w:p>
    <w:p w14:paraId="46A174DE" w14:textId="77777777" w:rsidR="00DE6BD7" w:rsidRPr="005808DD" w:rsidRDefault="00DE6BD7" w:rsidP="00C15490">
      <w:pPr>
        <w:spacing w:line="360" w:lineRule="auto"/>
        <w:jc w:val="both"/>
        <w:rPr>
          <w:rFonts w:ascii="Arial" w:hAnsi="Arial" w:cs="Arial"/>
          <w:b/>
        </w:rPr>
      </w:pPr>
    </w:p>
    <w:p w14:paraId="2001E002" w14:textId="77777777" w:rsidR="000A49CD" w:rsidRPr="005808DD" w:rsidRDefault="000A49CD" w:rsidP="00C15490">
      <w:pPr>
        <w:spacing w:line="360" w:lineRule="auto"/>
        <w:jc w:val="both"/>
        <w:rPr>
          <w:rFonts w:ascii="Arial" w:hAnsi="Arial" w:cs="Arial"/>
        </w:rPr>
      </w:pPr>
    </w:p>
    <w:p w14:paraId="7D18DBD4" w14:textId="34F3885E" w:rsidR="00646406" w:rsidRPr="005808DD" w:rsidRDefault="00646406" w:rsidP="00941229">
      <w:pPr>
        <w:spacing w:line="360" w:lineRule="auto"/>
        <w:jc w:val="both"/>
        <w:rPr>
          <w:rFonts w:ascii="Arial" w:hAnsi="Arial" w:cs="Arial"/>
          <w:b/>
        </w:rPr>
      </w:pPr>
    </w:p>
    <w:sectPr w:rsidR="00646406" w:rsidRPr="005808DD">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957DB8" w14:textId="77777777" w:rsidR="002F0219" w:rsidRDefault="002F0219" w:rsidP="005808DD">
      <w:r>
        <w:separator/>
      </w:r>
    </w:p>
  </w:endnote>
  <w:endnote w:type="continuationSeparator" w:id="0">
    <w:p w14:paraId="4E80AC81" w14:textId="77777777" w:rsidR="002F0219" w:rsidRDefault="002F0219" w:rsidP="00580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DengXian">
    <w:altName w:val="等线"/>
    <w:panose1 w:val="02010600030101010101"/>
    <w:charset w:val="8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437182850"/>
      <w:docPartObj>
        <w:docPartGallery w:val="Page Numbers (Bottom of Page)"/>
        <w:docPartUnique/>
      </w:docPartObj>
    </w:sdtPr>
    <w:sdtEndPr>
      <w:rPr>
        <w:noProof/>
      </w:rPr>
    </w:sdtEndPr>
    <w:sdtContent>
      <w:p w14:paraId="7BA10292" w14:textId="609A6606" w:rsidR="005808DD" w:rsidRPr="005808DD" w:rsidRDefault="005808DD">
        <w:pPr>
          <w:pStyle w:val="Footer"/>
          <w:jc w:val="right"/>
          <w:rPr>
            <w:rFonts w:ascii="Arial" w:hAnsi="Arial" w:cs="Arial"/>
          </w:rPr>
        </w:pPr>
        <w:r w:rsidRPr="005808DD">
          <w:rPr>
            <w:rFonts w:ascii="Arial" w:hAnsi="Arial" w:cs="Arial"/>
          </w:rPr>
          <w:fldChar w:fldCharType="begin"/>
        </w:r>
        <w:r w:rsidRPr="005808DD">
          <w:rPr>
            <w:rFonts w:ascii="Arial" w:hAnsi="Arial" w:cs="Arial"/>
          </w:rPr>
          <w:instrText xml:space="preserve"> PAGE   \* MERGEFORMAT </w:instrText>
        </w:r>
        <w:r w:rsidRPr="005808DD">
          <w:rPr>
            <w:rFonts w:ascii="Arial" w:hAnsi="Arial" w:cs="Arial"/>
          </w:rPr>
          <w:fldChar w:fldCharType="separate"/>
        </w:r>
        <w:r w:rsidR="004273D2">
          <w:rPr>
            <w:rFonts w:ascii="Arial" w:hAnsi="Arial" w:cs="Arial"/>
            <w:noProof/>
          </w:rPr>
          <w:t>20</w:t>
        </w:r>
        <w:r w:rsidRPr="005808DD">
          <w:rPr>
            <w:rFonts w:ascii="Arial" w:hAnsi="Arial" w:cs="Arial"/>
            <w:noProof/>
          </w:rPr>
          <w:fldChar w:fldCharType="end"/>
        </w:r>
      </w:p>
    </w:sdtContent>
  </w:sdt>
  <w:p w14:paraId="0782188C" w14:textId="77777777" w:rsidR="005808DD" w:rsidRPr="005808DD" w:rsidRDefault="005808DD">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96C86E" w14:textId="77777777" w:rsidR="002F0219" w:rsidRDefault="002F0219" w:rsidP="005808DD">
      <w:r>
        <w:separator/>
      </w:r>
    </w:p>
  </w:footnote>
  <w:footnote w:type="continuationSeparator" w:id="0">
    <w:p w14:paraId="44A881C2" w14:textId="77777777" w:rsidR="002F0219" w:rsidRDefault="002F0219" w:rsidP="005808D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22"/>
  </w:num>
  <w:num w:numId="4">
    <w:abstractNumId w:val="23"/>
  </w:num>
  <w:num w:numId="5">
    <w:abstractNumId w:val="24"/>
  </w:num>
  <w:num w:numId="6">
    <w:abstractNumId w:val="13"/>
  </w:num>
  <w:num w:numId="7">
    <w:abstractNumId w:val="0"/>
  </w:num>
  <w:num w:numId="8">
    <w:abstractNumId w:val="17"/>
  </w:num>
  <w:num w:numId="9">
    <w:abstractNumId w:val="26"/>
  </w:num>
  <w:num w:numId="10">
    <w:abstractNumId w:val="25"/>
  </w:num>
  <w:num w:numId="11">
    <w:abstractNumId w:val="3"/>
  </w:num>
  <w:num w:numId="12">
    <w:abstractNumId w:val="19"/>
  </w:num>
  <w:num w:numId="13">
    <w:abstractNumId w:val="18"/>
  </w:num>
  <w:num w:numId="14">
    <w:abstractNumId w:val="1"/>
  </w:num>
  <w:num w:numId="15">
    <w:abstractNumId w:val="27"/>
  </w:num>
  <w:num w:numId="16">
    <w:abstractNumId w:val="14"/>
  </w:num>
  <w:num w:numId="17">
    <w:abstractNumId w:val="12"/>
  </w:num>
  <w:num w:numId="18">
    <w:abstractNumId w:val="20"/>
  </w:num>
  <w:num w:numId="19">
    <w:abstractNumId w:val="5"/>
  </w:num>
  <w:num w:numId="20">
    <w:abstractNumId w:val="21"/>
  </w:num>
  <w:num w:numId="21">
    <w:abstractNumId w:val="10"/>
  </w:num>
  <w:num w:numId="22">
    <w:abstractNumId w:val="9"/>
  </w:num>
  <w:num w:numId="23">
    <w:abstractNumId w:val="6"/>
  </w:num>
  <w:num w:numId="24">
    <w:abstractNumId w:val="8"/>
  </w:num>
  <w:num w:numId="25">
    <w:abstractNumId w:val="2"/>
  </w:num>
  <w:num w:numId="26">
    <w:abstractNumId w:val="15"/>
  </w:num>
  <w:num w:numId="27">
    <w:abstractNumId w:val="4"/>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406"/>
    <w:rsid w:val="00082486"/>
    <w:rsid w:val="000A49CD"/>
    <w:rsid w:val="000B0753"/>
    <w:rsid w:val="001003E8"/>
    <w:rsid w:val="00136289"/>
    <w:rsid w:val="00137CD0"/>
    <w:rsid w:val="001B2B59"/>
    <w:rsid w:val="00247E0D"/>
    <w:rsid w:val="002528E7"/>
    <w:rsid w:val="002F0219"/>
    <w:rsid w:val="00320C36"/>
    <w:rsid w:val="00325A3E"/>
    <w:rsid w:val="004273D2"/>
    <w:rsid w:val="004F2663"/>
    <w:rsid w:val="00567F59"/>
    <w:rsid w:val="005808DD"/>
    <w:rsid w:val="005A570C"/>
    <w:rsid w:val="005F45E3"/>
    <w:rsid w:val="00617CF1"/>
    <w:rsid w:val="00646406"/>
    <w:rsid w:val="00647086"/>
    <w:rsid w:val="00675F02"/>
    <w:rsid w:val="00695B6E"/>
    <w:rsid w:val="0073681E"/>
    <w:rsid w:val="00884781"/>
    <w:rsid w:val="00941229"/>
    <w:rsid w:val="009E58AF"/>
    <w:rsid w:val="00B422CA"/>
    <w:rsid w:val="00C15490"/>
    <w:rsid w:val="00C57D61"/>
    <w:rsid w:val="00CB01F0"/>
    <w:rsid w:val="00DE5D5B"/>
    <w:rsid w:val="00DE6BD7"/>
    <w:rsid w:val="00EC69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character" w:customStyle="1" w:styleId="ms-1">
    <w:name w:val="ms-1"/>
    <w:basedOn w:val="DefaultParagraphFont"/>
    <w:rsid w:val="00247E0D"/>
  </w:style>
  <w:style w:type="character" w:customStyle="1" w:styleId="max-w-15ch">
    <w:name w:val="max-w-[15ch]"/>
    <w:basedOn w:val="DefaultParagraphFont"/>
    <w:rsid w:val="00247E0D"/>
  </w:style>
  <w:style w:type="character" w:customStyle="1" w:styleId="-me-1">
    <w:name w:val="-me-1"/>
    <w:basedOn w:val="DefaultParagraphFont"/>
    <w:rsid w:val="00247E0D"/>
  </w:style>
  <w:style w:type="paragraph" w:styleId="NormalWeb">
    <w:name w:val="Normal (Web)"/>
    <w:basedOn w:val="Normal"/>
    <w:uiPriority w:val="99"/>
    <w:unhideWhenUsed/>
    <w:rsid w:val="00C15490"/>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C15490"/>
    <w:rPr>
      <w:i/>
      <w:iCs/>
    </w:rPr>
  </w:style>
  <w:style w:type="paragraph" w:styleId="Header">
    <w:name w:val="header"/>
    <w:basedOn w:val="Normal"/>
    <w:link w:val="HeaderChar"/>
    <w:uiPriority w:val="99"/>
    <w:unhideWhenUsed/>
    <w:rsid w:val="005808DD"/>
    <w:pPr>
      <w:tabs>
        <w:tab w:val="center" w:pos="4513"/>
        <w:tab w:val="right" w:pos="9026"/>
      </w:tabs>
    </w:pPr>
  </w:style>
  <w:style w:type="character" w:customStyle="1" w:styleId="HeaderChar">
    <w:name w:val="Header Char"/>
    <w:basedOn w:val="DefaultParagraphFont"/>
    <w:link w:val="Header"/>
    <w:uiPriority w:val="99"/>
    <w:rsid w:val="005808DD"/>
  </w:style>
  <w:style w:type="paragraph" w:styleId="Footer">
    <w:name w:val="footer"/>
    <w:basedOn w:val="Normal"/>
    <w:link w:val="FooterChar"/>
    <w:uiPriority w:val="99"/>
    <w:unhideWhenUsed/>
    <w:rsid w:val="005808DD"/>
    <w:pPr>
      <w:tabs>
        <w:tab w:val="center" w:pos="4513"/>
        <w:tab w:val="right" w:pos="9026"/>
      </w:tabs>
    </w:pPr>
  </w:style>
  <w:style w:type="character" w:customStyle="1" w:styleId="FooterChar">
    <w:name w:val="Footer Char"/>
    <w:basedOn w:val="DefaultParagraphFont"/>
    <w:link w:val="Footer"/>
    <w:uiPriority w:val="99"/>
    <w:rsid w:val="005808DD"/>
  </w:style>
  <w:style w:type="character" w:styleId="Strong">
    <w:name w:val="Strong"/>
    <w:basedOn w:val="DefaultParagraphFont"/>
    <w:uiPriority w:val="22"/>
    <w:qFormat/>
    <w:rsid w:val="00DE6B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419450454">
      <w:bodyDiv w:val="1"/>
      <w:marLeft w:val="0"/>
      <w:marRight w:val="0"/>
      <w:marTop w:val="0"/>
      <w:marBottom w:val="0"/>
      <w:divBdr>
        <w:top w:val="none" w:sz="0" w:space="0" w:color="auto"/>
        <w:left w:val="none" w:sz="0" w:space="0" w:color="auto"/>
        <w:bottom w:val="none" w:sz="0" w:space="0" w:color="auto"/>
        <w:right w:val="none" w:sz="0" w:space="0" w:color="auto"/>
      </w:divBdr>
      <w:divsChild>
        <w:div w:id="1444692627">
          <w:marLeft w:val="0"/>
          <w:marRight w:val="0"/>
          <w:marTop w:val="0"/>
          <w:marBottom w:val="0"/>
          <w:divBdr>
            <w:top w:val="none" w:sz="0" w:space="0" w:color="auto"/>
            <w:left w:val="none" w:sz="0" w:space="0" w:color="auto"/>
            <w:bottom w:val="none" w:sz="0" w:space="0" w:color="auto"/>
            <w:right w:val="none" w:sz="0" w:space="0" w:color="auto"/>
          </w:divBdr>
          <w:divsChild>
            <w:div w:id="1347754101">
              <w:marLeft w:val="0"/>
              <w:marRight w:val="0"/>
              <w:marTop w:val="0"/>
              <w:marBottom w:val="0"/>
              <w:divBdr>
                <w:top w:val="none" w:sz="0" w:space="0" w:color="auto"/>
                <w:left w:val="none" w:sz="0" w:space="0" w:color="auto"/>
                <w:bottom w:val="none" w:sz="0" w:space="0" w:color="auto"/>
                <w:right w:val="none" w:sz="0" w:space="0" w:color="auto"/>
              </w:divBdr>
              <w:divsChild>
                <w:div w:id="2063210189">
                  <w:marLeft w:val="0"/>
                  <w:marRight w:val="0"/>
                  <w:marTop w:val="0"/>
                  <w:marBottom w:val="0"/>
                  <w:divBdr>
                    <w:top w:val="none" w:sz="0" w:space="0" w:color="auto"/>
                    <w:left w:val="none" w:sz="0" w:space="0" w:color="auto"/>
                    <w:bottom w:val="none" w:sz="0" w:space="0" w:color="auto"/>
                    <w:right w:val="none" w:sz="0" w:space="0" w:color="auto"/>
                  </w:divBdr>
                  <w:divsChild>
                    <w:div w:id="1361201240">
                      <w:marLeft w:val="0"/>
                      <w:marRight w:val="0"/>
                      <w:marTop w:val="0"/>
                      <w:marBottom w:val="0"/>
                      <w:divBdr>
                        <w:top w:val="none" w:sz="0" w:space="0" w:color="auto"/>
                        <w:left w:val="none" w:sz="0" w:space="0" w:color="auto"/>
                        <w:bottom w:val="none" w:sz="0" w:space="0" w:color="auto"/>
                        <w:right w:val="none" w:sz="0" w:space="0" w:color="auto"/>
                      </w:divBdr>
                      <w:divsChild>
                        <w:div w:id="57553375">
                          <w:marLeft w:val="0"/>
                          <w:marRight w:val="0"/>
                          <w:marTop w:val="0"/>
                          <w:marBottom w:val="0"/>
                          <w:divBdr>
                            <w:top w:val="none" w:sz="0" w:space="0" w:color="auto"/>
                            <w:left w:val="none" w:sz="0" w:space="0" w:color="auto"/>
                            <w:bottom w:val="none" w:sz="0" w:space="0" w:color="auto"/>
                            <w:right w:val="none" w:sz="0" w:space="0" w:color="auto"/>
                          </w:divBdr>
                          <w:divsChild>
                            <w:div w:id="152975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9323152">
      <w:bodyDiv w:val="1"/>
      <w:marLeft w:val="0"/>
      <w:marRight w:val="0"/>
      <w:marTop w:val="0"/>
      <w:marBottom w:val="0"/>
      <w:divBdr>
        <w:top w:val="none" w:sz="0" w:space="0" w:color="auto"/>
        <w:left w:val="none" w:sz="0" w:space="0" w:color="auto"/>
        <w:bottom w:val="none" w:sz="0" w:space="0" w:color="auto"/>
        <w:right w:val="none" w:sz="0" w:space="0" w:color="auto"/>
      </w:divBdr>
    </w:div>
    <w:div w:id="672728290">
      <w:bodyDiv w:val="1"/>
      <w:marLeft w:val="0"/>
      <w:marRight w:val="0"/>
      <w:marTop w:val="0"/>
      <w:marBottom w:val="0"/>
      <w:divBdr>
        <w:top w:val="none" w:sz="0" w:space="0" w:color="auto"/>
        <w:left w:val="none" w:sz="0" w:space="0" w:color="auto"/>
        <w:bottom w:val="none" w:sz="0" w:space="0" w:color="auto"/>
        <w:right w:val="none" w:sz="0" w:space="0" w:color="auto"/>
      </w:divBdr>
    </w:div>
    <w:div w:id="871186166">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325282876">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53489773">
      <w:bodyDiv w:val="1"/>
      <w:marLeft w:val="0"/>
      <w:marRight w:val="0"/>
      <w:marTop w:val="0"/>
      <w:marBottom w:val="0"/>
      <w:divBdr>
        <w:top w:val="none" w:sz="0" w:space="0" w:color="auto"/>
        <w:left w:val="none" w:sz="0" w:space="0" w:color="auto"/>
        <w:bottom w:val="none" w:sz="0" w:space="0" w:color="auto"/>
        <w:right w:val="none" w:sz="0" w:space="0" w:color="auto"/>
      </w:divBdr>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686127736">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 w:id="1860002916">
      <w:bodyDiv w:val="1"/>
      <w:marLeft w:val="0"/>
      <w:marRight w:val="0"/>
      <w:marTop w:val="0"/>
      <w:marBottom w:val="0"/>
      <w:divBdr>
        <w:top w:val="none" w:sz="0" w:space="0" w:color="auto"/>
        <w:left w:val="none" w:sz="0" w:space="0" w:color="auto"/>
        <w:bottom w:val="none" w:sz="0" w:space="0" w:color="auto"/>
        <w:right w:val="none" w:sz="0" w:space="0" w:color="auto"/>
      </w:divBdr>
    </w:div>
    <w:div w:id="2064132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iercepharma.com/pharma/pharmas-face-high-drug-rebates-uk-despite-governments-tweak-proposal?utm_source=chatgpt.com" TargetMode="External"/><Relationship Id="rId26" Type="http://schemas.openxmlformats.org/officeDocument/2006/relationships/hyperlink" Target="https://pharmaphorum.com/news/pharma-furious-uk-statutory-scheme-rebate-rate-soars?utm_source=chatgpt.com" TargetMode="External"/><Relationship Id="rId39" Type="http://schemas.openxmlformats.org/officeDocument/2006/relationships/hyperlink" Target="https://www.omrglobal.com/industry-reports/uk-generic-drugs-market?utm_source=chatgpt.com" TargetMode="External"/><Relationship Id="rId21" Type="http://schemas.openxmlformats.org/officeDocument/2006/relationships/hyperlink" Target="https://www.gov.uk/government/news/mhras-2024-25-annual-report-and-accounts-and-impact-report-show-progress-on-safety-innovation-and-regulatory-excellence?utm_source=chatgpt.com" TargetMode="External"/><Relationship Id="rId34" Type="http://schemas.openxmlformats.org/officeDocument/2006/relationships/hyperlink" Target="https://www.gov.uk/government/publications/mhra-performance-data/mhra-performance-data?utm_source=chatgpt.com" TargetMode="External"/><Relationship Id="rId42" Type="http://schemas.openxmlformats.org/officeDocument/2006/relationships/hyperlink" Target="https://www.gsk.com/en-gb/investors/financial-reports/annual-report-2024/?utm_source=chatgpt.com" TargetMode="External"/><Relationship Id="rId47" Type="http://schemas.openxmlformats.org/officeDocument/2006/relationships/hyperlink" Target="https://ir.tevapharm.com/financials/quarterly-results/default.aspx?utm_source=chatgpt.com"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gov.uk/government/publications/introducing-new-medicines-in-the-nhs-in-the-uk/introducing-new-medicines-in-the-nhs-in-the-uk-pathway?utm_source=chatgpt.com" TargetMode="External"/><Relationship Id="rId11" Type="http://schemas.openxmlformats.org/officeDocument/2006/relationships/image" Target="media/image4.png"/><Relationship Id="rId24" Type="http://schemas.openxmlformats.org/officeDocument/2006/relationships/hyperlink" Target="https://www.ainvest.com/news/pharmaceutical-sector-underperformance-2025-nhs-pricing-crisis-investor-sentiment-2509/?utm_source=chatgpt.com" TargetMode="External"/><Relationship Id="rId32" Type="http://schemas.openxmlformats.org/officeDocument/2006/relationships/hyperlink" Target="https://pharmaphorum.com/sites/default/files/2025-02/Life-Sciences-Industry-Report-2025-pt7.pdf?utm_source=chatgpt.com" TargetMode="External"/><Relationship Id="rId37" Type="http://schemas.openxmlformats.org/officeDocument/2006/relationships/hyperlink" Target="https://lifesciencesglobalnews.com/uk-biotech-investment-2025-bia/?utm_source=chatgpt.com" TargetMode="External"/><Relationship Id="rId40" Type="http://schemas.openxmlformats.org/officeDocument/2006/relationships/hyperlink" Target="https://www.astrazeneca.com/content/dam/az/PDF/2025/9m-q3/9M-and-Q3-2025-results-presentation.pdf?utm_source=chatgpt.com" TargetMode="External"/><Relationship Id="rId45" Type="http://schemas.openxmlformats.org/officeDocument/2006/relationships/hyperlink" Target="https://redica.com/uks-mhra-reinventing-itself-as-sovereign-regulator/?utm_source=chatgp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ps.ac.uk/news/articles/2025/novel-drugs-approved-by-the-ema%2C-the-fda-and-the-m?utm_source=chatgpt.com" TargetMode="External"/><Relationship Id="rId28" Type="http://schemas.openxmlformats.org/officeDocument/2006/relationships/hyperlink" Target="https://www.statnews.com/2025/04/03/vpag-nhs-uk-drug-prices-spending-reform/?utm_source=chatgpt.com" TargetMode="External"/><Relationship Id="rId36" Type="http://schemas.openxmlformats.org/officeDocument/2006/relationships/hyperlink" Target="https://www.6wresearch.com/industry-report/united-kingdom-uk-generic-pharmaceutical-market?utm_source=chatgpt.com"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somerville-partners.com/novel-medicines-approved-in-2024-a-review/?utm_source=chatgpt.com" TargetMode="External"/><Relationship Id="rId31" Type="http://schemas.openxmlformats.org/officeDocument/2006/relationships/hyperlink" Target="https://www.reuters.com/business/healthcare-pharmaceuticals/pharma-industry-says-uk-pricing-revenue-unsustainable-blocking-investments-2025-03-20/?utm_source=chatgpt.com" TargetMode="External"/><Relationship Id="rId44" Type="http://schemas.openxmlformats.org/officeDocument/2006/relationships/hyperlink" Target="https://www.precedenceresearch.com/ai-in-pharmaceutical-market?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fraresearch.com/insights/how-u-s-pressure-could-reshape-uk-drug-pricing-and-reimbursement-in-2025/?utm_source=chatgpt.com" TargetMode="External"/><Relationship Id="rId27" Type="http://schemas.openxmlformats.org/officeDocument/2006/relationships/hyperlink" Target="https://www.regulatoryaffairsnews.com/post/uk-mhra-guidance-on-the-licensing-of-biosimilar-products?utm_source=chatgpt.com" TargetMode="External"/><Relationship Id="rId30" Type="http://schemas.openxmlformats.org/officeDocument/2006/relationships/hyperlink" Target="https://www.gov.uk/government/publications/medicines-and-healthcare-products-regulatory-agency-annual-report-and-accounts-2024-to-2025?utm_source=chatgpt.com" TargetMode="External"/><Relationship Id="rId35" Type="http://schemas.openxmlformats.org/officeDocument/2006/relationships/hyperlink" Target="https://content.knightfrank.com/research/2665/documents/en/life-sciences-innovation-insight-q1-2025-12104.pdf?utm_source=chatgpt.com" TargetMode="External"/><Relationship Id="rId43" Type="http://schemas.openxmlformats.org/officeDocument/2006/relationships/hyperlink" Target="https://www.insights10.com/report/uk-biosimilars-market-analysis/" TargetMode="External"/><Relationship Id="rId48" Type="http://schemas.openxmlformats.org/officeDocument/2006/relationships/hyperlink" Target="https://ideascale.com/blog/what-is-pestel-analysis/?utm_source=chatgpt.com"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uidechem.com/guideview/chempolicy/uk-drug-rebate-rates-high-through-2027.html?utm_source=chatgpt.com" TargetMode="External"/><Relationship Id="rId33" Type="http://schemas.openxmlformats.org/officeDocument/2006/relationships/hyperlink" Target="https://usercontent.one/wp/www.ghp.org.uk/wp-content/uploads/2025/06/The-Implementation-of-Biosimilars-and-Key-Generic-Medicines.pdf" TargetMode="External"/><Relationship Id="rId38" Type="http://schemas.openxmlformats.org/officeDocument/2006/relationships/hyperlink" Target="https://pharmaphorum.com/market-access/outlook-healthtech-and-life-sciences-2025?utm_source=chatgpt.com" TargetMode="External"/><Relationship Id="rId46" Type="http://schemas.openxmlformats.org/officeDocument/2006/relationships/hyperlink" Target="https://research-methodology.net/apple-ansoff-matrix-2/" TargetMode="External"/><Relationship Id="rId20" Type="http://schemas.openxmlformats.org/officeDocument/2006/relationships/hyperlink" Target="https://pharmaphorum.com/news/landmark-deal-reached-uk-voluntary-rebate-scheme?utm_source=chatgpt.com" TargetMode="External"/><Relationship Id="rId41" Type="http://schemas.openxmlformats.org/officeDocument/2006/relationships/hyperlink" Target="https://www.grandviewresearch.com/horizon/outlook/pharmaceutical-market/uk?utm_source=chatgpt.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2370A-473D-463C-B4C4-D1C777BCB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20</Pages>
  <Words>4340</Words>
  <Characters>24744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DC</cp:lastModifiedBy>
  <cp:revision>6</cp:revision>
  <dcterms:created xsi:type="dcterms:W3CDTF">2025-11-13T08:38:00Z</dcterms:created>
  <dcterms:modified xsi:type="dcterms:W3CDTF">2025-11-20T00:21:00Z</dcterms:modified>
</cp:coreProperties>
</file>