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E0BAE7" w14:textId="2CEC5EE1" w:rsidR="00587CAF" w:rsidRPr="004C4C92" w:rsidRDefault="00C261E1" w:rsidP="00C261E1">
      <w:pPr>
        <w:rPr>
          <w:sz w:val="32"/>
          <w:szCs w:val="32"/>
        </w:rPr>
      </w:pPr>
      <w:r w:rsidRPr="004C4C92">
        <w:rPr>
          <w:sz w:val="32"/>
          <w:szCs w:val="32"/>
        </w:rPr>
        <w:t>Exam – Human Resource Management in Context                                        12.05.2020</w:t>
      </w:r>
    </w:p>
    <w:p w14:paraId="4DF5A11D" w14:textId="348F9151" w:rsidR="00C261E1" w:rsidRPr="004C4C92" w:rsidRDefault="00C261E1" w:rsidP="00C261E1">
      <w:pPr>
        <w:rPr>
          <w:sz w:val="32"/>
          <w:szCs w:val="32"/>
        </w:rPr>
      </w:pPr>
    </w:p>
    <w:p w14:paraId="02C69451" w14:textId="1E6E34B2" w:rsidR="004C4C92" w:rsidRPr="004C4C92" w:rsidRDefault="004C4C92" w:rsidP="00C261E1">
      <w:pPr>
        <w:rPr>
          <w:sz w:val="32"/>
          <w:szCs w:val="32"/>
        </w:rPr>
      </w:pPr>
      <w:r w:rsidRPr="004C4C92">
        <w:rPr>
          <w:sz w:val="32"/>
          <w:szCs w:val="32"/>
        </w:rPr>
        <w:t>Lorna Shannon Jones      1302640</w:t>
      </w:r>
      <w:r>
        <w:rPr>
          <w:sz w:val="32"/>
          <w:szCs w:val="32"/>
        </w:rPr>
        <w:t xml:space="preserve">   </w:t>
      </w:r>
    </w:p>
    <w:p w14:paraId="6AAB79BA" w14:textId="4F69BE25" w:rsidR="004C4C92" w:rsidRPr="004C4C92" w:rsidRDefault="004C4C92" w:rsidP="00C261E1">
      <w:pPr>
        <w:rPr>
          <w:sz w:val="32"/>
          <w:szCs w:val="32"/>
        </w:rPr>
      </w:pPr>
    </w:p>
    <w:p w14:paraId="26B068A9" w14:textId="1254D2BF" w:rsidR="004C4C92" w:rsidRPr="004C4C92" w:rsidRDefault="004C4C92" w:rsidP="00C261E1">
      <w:pPr>
        <w:rPr>
          <w:sz w:val="32"/>
          <w:szCs w:val="32"/>
        </w:rPr>
      </w:pPr>
      <w:r w:rsidRPr="004C4C92">
        <w:rPr>
          <w:sz w:val="32"/>
          <w:szCs w:val="32"/>
        </w:rPr>
        <w:t xml:space="preserve">Questions answered – </w:t>
      </w:r>
    </w:p>
    <w:p w14:paraId="58C6E230" w14:textId="417F9F21" w:rsidR="004C4C92" w:rsidRPr="004C4C92" w:rsidRDefault="004C4C92" w:rsidP="00C261E1">
      <w:pPr>
        <w:rPr>
          <w:sz w:val="32"/>
          <w:szCs w:val="32"/>
        </w:rPr>
      </w:pPr>
      <w:r w:rsidRPr="004C4C92">
        <w:rPr>
          <w:sz w:val="32"/>
          <w:szCs w:val="32"/>
        </w:rPr>
        <w:t xml:space="preserve">1.1 </w:t>
      </w:r>
    </w:p>
    <w:p w14:paraId="58088576" w14:textId="58BF0CA6" w:rsidR="004C4C92" w:rsidRPr="004C4C92" w:rsidRDefault="004C4C92" w:rsidP="00C261E1">
      <w:pPr>
        <w:rPr>
          <w:sz w:val="32"/>
          <w:szCs w:val="32"/>
        </w:rPr>
      </w:pPr>
      <w:r w:rsidRPr="004C4C92">
        <w:rPr>
          <w:sz w:val="32"/>
          <w:szCs w:val="32"/>
        </w:rPr>
        <w:t>1.2</w:t>
      </w:r>
    </w:p>
    <w:p w14:paraId="345533F7" w14:textId="4D8C65D6" w:rsidR="004C4C92" w:rsidRPr="004C4C92" w:rsidRDefault="004C4C92" w:rsidP="00C261E1">
      <w:pPr>
        <w:rPr>
          <w:sz w:val="32"/>
          <w:szCs w:val="32"/>
        </w:rPr>
      </w:pPr>
      <w:r w:rsidRPr="004C4C92">
        <w:rPr>
          <w:sz w:val="32"/>
          <w:szCs w:val="32"/>
        </w:rPr>
        <w:t xml:space="preserve">1.3 </w:t>
      </w:r>
    </w:p>
    <w:p w14:paraId="1E2BB2FD" w14:textId="6C3AC44F" w:rsidR="004C4C92" w:rsidRPr="004C4C92" w:rsidRDefault="004C4C92" w:rsidP="00C261E1">
      <w:pPr>
        <w:rPr>
          <w:sz w:val="32"/>
          <w:szCs w:val="32"/>
        </w:rPr>
      </w:pPr>
      <w:r w:rsidRPr="004C4C92">
        <w:rPr>
          <w:sz w:val="32"/>
          <w:szCs w:val="32"/>
        </w:rPr>
        <w:t>2.1</w:t>
      </w:r>
      <w:r>
        <w:rPr>
          <w:sz w:val="32"/>
          <w:szCs w:val="32"/>
        </w:rPr>
        <w:t xml:space="preserve"> </w:t>
      </w:r>
      <w:r w:rsidRPr="004C4C92">
        <w:rPr>
          <w:sz w:val="32"/>
          <w:szCs w:val="32"/>
        </w:rPr>
        <w:t>b</w:t>
      </w:r>
    </w:p>
    <w:p w14:paraId="63F3D0FA" w14:textId="2589FBEB" w:rsidR="004C4C92" w:rsidRPr="004C4C92" w:rsidRDefault="004C4C92" w:rsidP="00C261E1">
      <w:pPr>
        <w:rPr>
          <w:sz w:val="32"/>
          <w:szCs w:val="32"/>
        </w:rPr>
      </w:pPr>
      <w:r w:rsidRPr="004C4C92">
        <w:rPr>
          <w:sz w:val="32"/>
          <w:szCs w:val="32"/>
        </w:rPr>
        <w:t>2.2</w:t>
      </w:r>
      <w:r>
        <w:rPr>
          <w:sz w:val="32"/>
          <w:szCs w:val="32"/>
        </w:rPr>
        <w:t xml:space="preserve"> </w:t>
      </w:r>
      <w:r w:rsidRPr="004C4C92">
        <w:rPr>
          <w:sz w:val="32"/>
          <w:szCs w:val="32"/>
        </w:rPr>
        <w:t>a</w:t>
      </w:r>
    </w:p>
    <w:p w14:paraId="38E2E9AA" w14:textId="39922B88" w:rsidR="004C4C92" w:rsidRPr="004C4C92" w:rsidRDefault="004C4C92" w:rsidP="00C261E1">
      <w:pPr>
        <w:rPr>
          <w:sz w:val="32"/>
          <w:szCs w:val="32"/>
        </w:rPr>
      </w:pPr>
      <w:r w:rsidRPr="004C4C92">
        <w:rPr>
          <w:sz w:val="32"/>
          <w:szCs w:val="32"/>
        </w:rPr>
        <w:t>2.3</w:t>
      </w:r>
      <w:r>
        <w:rPr>
          <w:sz w:val="32"/>
          <w:szCs w:val="32"/>
        </w:rPr>
        <w:t xml:space="preserve"> </w:t>
      </w:r>
      <w:r w:rsidRPr="004C4C92">
        <w:rPr>
          <w:sz w:val="32"/>
          <w:szCs w:val="32"/>
        </w:rPr>
        <w:t xml:space="preserve">a </w:t>
      </w:r>
    </w:p>
    <w:p w14:paraId="00250B41" w14:textId="010062AE" w:rsidR="004C4C92" w:rsidRDefault="004C4C92" w:rsidP="00C261E1">
      <w:pPr>
        <w:rPr>
          <w:sz w:val="32"/>
          <w:szCs w:val="32"/>
        </w:rPr>
      </w:pPr>
    </w:p>
    <w:p w14:paraId="06D65740" w14:textId="67DDE1E7" w:rsidR="004C4C92" w:rsidRDefault="004C4C92" w:rsidP="00C261E1">
      <w:pPr>
        <w:rPr>
          <w:sz w:val="32"/>
          <w:szCs w:val="32"/>
        </w:rPr>
      </w:pPr>
    </w:p>
    <w:p w14:paraId="46305457" w14:textId="77777777" w:rsidR="004C4C92" w:rsidRDefault="004C4C92" w:rsidP="00C261E1">
      <w:pPr>
        <w:rPr>
          <w:sz w:val="24"/>
          <w:szCs w:val="24"/>
        </w:rPr>
      </w:pPr>
    </w:p>
    <w:p w14:paraId="6F6BF3F8" w14:textId="1B7B6D54" w:rsidR="004C4C92" w:rsidRDefault="004C4C92" w:rsidP="00C261E1">
      <w:pPr>
        <w:rPr>
          <w:sz w:val="24"/>
          <w:szCs w:val="24"/>
        </w:rPr>
      </w:pPr>
    </w:p>
    <w:p w14:paraId="691DE948" w14:textId="3B8B7115" w:rsidR="004C4C92" w:rsidRDefault="004C4C92" w:rsidP="00C261E1">
      <w:pPr>
        <w:rPr>
          <w:sz w:val="24"/>
          <w:szCs w:val="24"/>
        </w:rPr>
      </w:pPr>
    </w:p>
    <w:p w14:paraId="6F7E0B1E" w14:textId="517D6B98" w:rsidR="004C4C92" w:rsidRDefault="004C4C92" w:rsidP="00C261E1">
      <w:pPr>
        <w:rPr>
          <w:sz w:val="24"/>
          <w:szCs w:val="24"/>
        </w:rPr>
      </w:pPr>
    </w:p>
    <w:p w14:paraId="53957D0F" w14:textId="28EB964C" w:rsidR="004C4C92" w:rsidRDefault="004C4C92" w:rsidP="00C261E1">
      <w:pPr>
        <w:rPr>
          <w:sz w:val="24"/>
          <w:szCs w:val="24"/>
        </w:rPr>
      </w:pPr>
    </w:p>
    <w:p w14:paraId="70F1A006" w14:textId="0094EBC9" w:rsidR="004C4C92" w:rsidRDefault="004C4C92" w:rsidP="00C261E1">
      <w:pPr>
        <w:rPr>
          <w:sz w:val="24"/>
          <w:szCs w:val="24"/>
        </w:rPr>
      </w:pPr>
    </w:p>
    <w:p w14:paraId="6C263D2F" w14:textId="120612A3" w:rsidR="004C4C92" w:rsidRDefault="004C4C92" w:rsidP="00C261E1">
      <w:pPr>
        <w:rPr>
          <w:sz w:val="24"/>
          <w:szCs w:val="24"/>
        </w:rPr>
      </w:pPr>
    </w:p>
    <w:p w14:paraId="0E05BF13" w14:textId="0D7FF6CD" w:rsidR="004C4C92" w:rsidRDefault="004C4C92" w:rsidP="00C261E1">
      <w:pPr>
        <w:rPr>
          <w:sz w:val="24"/>
          <w:szCs w:val="24"/>
        </w:rPr>
      </w:pPr>
    </w:p>
    <w:p w14:paraId="012BC11C" w14:textId="069C1037" w:rsidR="004C4C92" w:rsidRDefault="004C4C92" w:rsidP="00C261E1">
      <w:pPr>
        <w:rPr>
          <w:sz w:val="24"/>
          <w:szCs w:val="24"/>
        </w:rPr>
      </w:pPr>
    </w:p>
    <w:p w14:paraId="2C26B492" w14:textId="63EA18EA" w:rsidR="004C4C92" w:rsidRDefault="004C4C92" w:rsidP="00C261E1">
      <w:pPr>
        <w:rPr>
          <w:sz w:val="24"/>
          <w:szCs w:val="24"/>
        </w:rPr>
      </w:pPr>
    </w:p>
    <w:p w14:paraId="26CABBB0" w14:textId="4A8F15AB" w:rsidR="004C4C92" w:rsidRDefault="004C4C92" w:rsidP="00C261E1">
      <w:pPr>
        <w:rPr>
          <w:sz w:val="24"/>
          <w:szCs w:val="24"/>
        </w:rPr>
      </w:pPr>
    </w:p>
    <w:p w14:paraId="2A9872B4" w14:textId="77777777" w:rsidR="004C4C92" w:rsidRDefault="004C4C92" w:rsidP="00C261E1">
      <w:pPr>
        <w:rPr>
          <w:sz w:val="24"/>
          <w:szCs w:val="24"/>
        </w:rPr>
      </w:pPr>
    </w:p>
    <w:p w14:paraId="5B400A26" w14:textId="762CAE79" w:rsidR="00C261E1" w:rsidRPr="00220E80" w:rsidRDefault="00FA0319" w:rsidP="00220E80">
      <w:pPr>
        <w:spacing w:line="360" w:lineRule="auto"/>
        <w:rPr>
          <w:b/>
          <w:bCs/>
          <w:i/>
          <w:iCs/>
          <w:sz w:val="24"/>
          <w:szCs w:val="24"/>
        </w:rPr>
      </w:pPr>
      <w:r w:rsidRPr="00220E80">
        <w:rPr>
          <w:b/>
          <w:bCs/>
          <w:i/>
          <w:iCs/>
          <w:sz w:val="24"/>
          <w:szCs w:val="24"/>
        </w:rPr>
        <w:lastRenderedPageBreak/>
        <w:t xml:space="preserve">1.1 </w:t>
      </w:r>
      <w:r w:rsidR="00C261E1" w:rsidRPr="00220E80">
        <w:rPr>
          <w:b/>
          <w:bCs/>
          <w:i/>
          <w:iCs/>
          <w:sz w:val="24"/>
          <w:szCs w:val="24"/>
        </w:rPr>
        <w:t xml:space="preserve">The current Coronavirus pandemic has highlighted the need for businesses to plan for the opportunities and threats posed by external influences. Using an </w:t>
      </w:r>
      <w:proofErr w:type="gramStart"/>
      <w:r w:rsidR="00C261E1" w:rsidRPr="00220E80">
        <w:rPr>
          <w:b/>
          <w:bCs/>
          <w:i/>
          <w:iCs/>
          <w:sz w:val="24"/>
          <w:szCs w:val="24"/>
        </w:rPr>
        <w:t>organisation</w:t>
      </w:r>
      <w:proofErr w:type="gramEnd"/>
      <w:r w:rsidR="00C261E1" w:rsidRPr="00220E80">
        <w:rPr>
          <w:b/>
          <w:bCs/>
          <w:i/>
          <w:iCs/>
          <w:sz w:val="24"/>
          <w:szCs w:val="24"/>
        </w:rPr>
        <w:t xml:space="preserve"> you are familiar with, critically examine which tools HR and management could use to analyse its external environment, justifying your choice (10 marks). </w:t>
      </w:r>
    </w:p>
    <w:p w14:paraId="2DF41FB7" w14:textId="77777777" w:rsidR="00C261E1" w:rsidRPr="00C261E1" w:rsidRDefault="00C261E1" w:rsidP="00220E80">
      <w:pPr>
        <w:spacing w:line="360" w:lineRule="auto"/>
        <w:rPr>
          <w:i/>
          <w:iCs/>
          <w:sz w:val="24"/>
          <w:szCs w:val="24"/>
        </w:rPr>
      </w:pPr>
    </w:p>
    <w:p w14:paraId="28A75BAB" w14:textId="6461F4A6" w:rsidR="00415FB4" w:rsidRDefault="00221E8F" w:rsidP="00220E80">
      <w:pPr>
        <w:spacing w:line="360" w:lineRule="auto"/>
      </w:pPr>
      <w:r w:rsidRPr="00221E8F">
        <w:t xml:space="preserve">As stated by Palmer, (2020) the pandemic has emphasised the need for organisations to have contingency plans in place. </w:t>
      </w:r>
      <w:r w:rsidR="00FA6E71">
        <w:t>E</w:t>
      </w:r>
      <w:r w:rsidRPr="00221E8F">
        <w:t>xternal threats that influence the future of the organisation. Naissance had no contingency in place for the pandemic and overall, it was seen that they are extremely unprepared for any external issue that could affect them. Bennett &amp; Lemoine, (2014) explained the volatile, uncertain, complex, and ambiguous challenges organisations face demand the need to be proactive.</w:t>
      </w:r>
      <w:r w:rsidR="00FA6E71">
        <w:t xml:space="preserve"> A</w:t>
      </w:r>
      <w:r w:rsidRPr="00221E8F">
        <w:t xml:space="preserve">nalysis of the external environment </w:t>
      </w:r>
      <w:r w:rsidR="00FA6E71">
        <w:t xml:space="preserve">would have enlightened the situation </w:t>
      </w:r>
      <w:r w:rsidRPr="00221E8F">
        <w:t>and give</w:t>
      </w:r>
      <w:r w:rsidR="00FA6E71">
        <w:t>n</w:t>
      </w:r>
      <w:r w:rsidRPr="00221E8F">
        <w:t xml:space="preserve"> factual insight </w:t>
      </w:r>
      <w:r w:rsidR="00FA6E71">
        <w:t>in</w:t>
      </w:r>
      <w:r w:rsidRPr="00221E8F">
        <w:t>to</w:t>
      </w:r>
      <w:r w:rsidR="00FA6E71">
        <w:t xml:space="preserve"> how these factors affect</w:t>
      </w:r>
      <w:r w:rsidRPr="00221E8F">
        <w:t xml:space="preserve"> organisation strategy, HR strategy, and strategic direction (</w:t>
      </w:r>
      <w:r w:rsidR="00FA0319" w:rsidRPr="00221E8F">
        <w:t>Farnham</w:t>
      </w:r>
      <w:r w:rsidRPr="00221E8F">
        <w:t>, 2015). These tools pave the way for companies to respond to changing trends within the environment, for example, #</w:t>
      </w:r>
      <w:proofErr w:type="spellStart"/>
      <w:r w:rsidRPr="00221E8F">
        <w:t>meetoo</w:t>
      </w:r>
      <w:proofErr w:type="spellEnd"/>
      <w:r w:rsidRPr="00221E8F">
        <w:t xml:space="preserve"> movement, palm oil scandal, or the current coronavirus pandemic. A STEEPLE or PESTEL analysis is the </w:t>
      </w:r>
      <w:r w:rsidR="00FA6E71">
        <w:t>standard</w:t>
      </w:r>
      <w:r w:rsidRPr="00221E8F">
        <w:t xml:space="preserve"> tool to use</w:t>
      </w:r>
      <w:r w:rsidR="00FA6E71">
        <w:t xml:space="preserve"> to</w:t>
      </w:r>
      <w:r w:rsidRPr="00221E8F">
        <w:t xml:space="preserve"> outlin</w:t>
      </w:r>
      <w:r w:rsidR="00FA6E71">
        <w:t>e</w:t>
      </w:r>
      <w:r w:rsidRPr="00221E8F">
        <w:t xml:space="preserve"> possible political, economic, social-cultural, technological, environmental, legal, and ethical trends or issues (</w:t>
      </w:r>
      <w:r w:rsidR="00FA0319" w:rsidRPr="00221E8F">
        <w:t>Farnham</w:t>
      </w:r>
      <w:r w:rsidRPr="00221E8F">
        <w:t xml:space="preserve">, 2015). Coronavirus is a vast issue that has implications for each of these categories, organisations </w:t>
      </w:r>
      <w:r w:rsidR="00FA6E71">
        <w:t>must</w:t>
      </w:r>
      <w:r w:rsidRPr="00221E8F">
        <w:t xml:space="preserve"> understand how planning can limit long term effects or implications on the business. Although not the only external scanning tool available to organisations, a PESTEL/STEEPLE covers all bases but does not allow for further analysis. CIPD, (2020) explained </w:t>
      </w:r>
      <w:r w:rsidR="00FA6E71" w:rsidRPr="00221E8F">
        <w:t>advantage</w:t>
      </w:r>
      <w:r w:rsidR="00FA6E71">
        <w:t>s</w:t>
      </w:r>
      <w:r w:rsidRPr="00221E8F">
        <w:t xml:space="preserve"> of </w:t>
      </w:r>
      <w:r w:rsidR="00FA6E71">
        <w:t xml:space="preserve">the </w:t>
      </w:r>
      <w:r w:rsidRPr="00221E8F">
        <w:t xml:space="preserve">PESTEL </w:t>
      </w:r>
      <w:r w:rsidR="00FA6E71">
        <w:t>are</w:t>
      </w:r>
      <w:r w:rsidRPr="00221E8F">
        <w:t xml:space="preserve"> </w:t>
      </w:r>
      <w:r w:rsidR="00FA6E71" w:rsidRPr="00221E8F">
        <w:t>it is</w:t>
      </w:r>
      <w:r w:rsidRPr="00221E8F">
        <w:t xml:space="preserve"> a simple framework</w:t>
      </w:r>
      <w:r w:rsidR="00FA6E71">
        <w:t>,</w:t>
      </w:r>
      <w:r w:rsidRPr="00221E8F">
        <w:t xml:space="preserve"> allow</w:t>
      </w:r>
      <w:r w:rsidR="00FA6E71">
        <w:t>s</w:t>
      </w:r>
      <w:r w:rsidRPr="00221E8F">
        <w:t xml:space="preserve"> an understanding of the wider environment whilst encouraging external and strategic thinking. Allowing organisations to anticipate and act o</w:t>
      </w:r>
      <w:r w:rsidR="00DC2FB2">
        <w:t>n</w:t>
      </w:r>
      <w:r w:rsidRPr="00221E8F">
        <w:t xml:space="preserve"> future threats and trends to minimise or avoid repercussions</w:t>
      </w:r>
      <w:r w:rsidR="00FA6E71">
        <w:t>,</w:t>
      </w:r>
      <w:r w:rsidRPr="00221E8F">
        <w:t xml:space="preserve"> allowing businesses to spot and exploit opportunities in the market. Although critics have noted that a PESTEL is an over-simplistic tool that may lead businesses to act on insufficient data, the risk of too much data overcomplicating a simple issue leading to what's noted as ‘paralysis of analysis’. The VUCA environment and pace of change </w:t>
      </w:r>
      <w:r w:rsidR="00DC2FB2">
        <w:t>details</w:t>
      </w:r>
      <w:r w:rsidRPr="00221E8F">
        <w:t xml:space="preserve"> an increased difficulty to anticipate trends and act on them effectively, </w:t>
      </w:r>
      <w:r w:rsidR="00DC2FB2">
        <w:t>simply PESTEL must be repeated</w:t>
      </w:r>
      <w:r w:rsidRPr="00221E8F">
        <w:t xml:space="preserve"> regularly. Organisations with limited time may come across difficulties with managing the repeat process leading to errors (CIPD, (2020); Turner, (2002); Bennett &amp; Lemoine, (2014)). Using multiple tools for environmental scanning has proved most effective, allowing for the monitoring, forecasting, and assessing of information through a range of techniques, ensuring continuity, clarity, and consistency (</w:t>
      </w:r>
      <w:r w:rsidR="00FA0319" w:rsidRPr="00221E8F">
        <w:t>Farnham</w:t>
      </w:r>
      <w:r w:rsidRPr="00221E8F">
        <w:t xml:space="preserve">, 2015). Porter 5 forces and SWOT analysis are used in addition to PESTEL for this purpose. A SWOT focuses on the strengths, weaknesses, threats, and opportunities within </w:t>
      </w:r>
      <w:r w:rsidRPr="00221E8F">
        <w:lastRenderedPageBreak/>
        <w:t>the external environment, its purpose is to match organisational goals with programs and capacities within the market (</w:t>
      </w:r>
      <w:proofErr w:type="spellStart"/>
      <w:r w:rsidRPr="00221E8F">
        <w:t>CIPDa</w:t>
      </w:r>
      <w:proofErr w:type="spellEnd"/>
      <w:r w:rsidRPr="00221E8F">
        <w:t xml:space="preserve">, </w:t>
      </w:r>
      <w:r w:rsidR="004C4C92">
        <w:t>(</w:t>
      </w:r>
      <w:r w:rsidRPr="00221E8F">
        <w:t xml:space="preserve">2020) &amp; </w:t>
      </w:r>
      <w:r w:rsidR="00FA0319" w:rsidRPr="00221E8F">
        <w:t>Farnham</w:t>
      </w:r>
      <w:r w:rsidRPr="00221E8F">
        <w:t xml:space="preserve">, </w:t>
      </w:r>
      <w:r w:rsidR="004C4C92">
        <w:t>(</w:t>
      </w:r>
      <w:r w:rsidRPr="00221E8F">
        <w:t>2015)</w:t>
      </w:r>
      <w:r w:rsidR="004C4C92">
        <w:t>)</w:t>
      </w:r>
      <w:r w:rsidRPr="00221E8F">
        <w:t xml:space="preserve">. Although again a simple framework it facilitates understanding of the strengths and weaknesses of the business whilst encouraging managers to focus on strengths and opportunities and think strategically. SWOT’s can become oversimplified in the same sense as PESTEL, managers need to understand </w:t>
      </w:r>
      <w:r w:rsidR="00C23361">
        <w:t>the value of data collected</w:t>
      </w:r>
      <w:r w:rsidRPr="00221E8F">
        <w:t>. SWOT relies on internal</w:t>
      </w:r>
      <w:r w:rsidR="00C23361">
        <w:t xml:space="preserve"> and external</w:t>
      </w:r>
      <w:r w:rsidRPr="00221E8F">
        <w:t xml:space="preserve"> information</w:t>
      </w:r>
      <w:r w:rsidR="00C23361">
        <w:t>,</w:t>
      </w:r>
      <w:r w:rsidRPr="00221E8F">
        <w:t xml:space="preserve"> </w:t>
      </w:r>
      <w:r w:rsidR="00C23361">
        <w:t>internal</w:t>
      </w:r>
      <w:r w:rsidRPr="00221E8F">
        <w:t xml:space="preserve"> can be limited and</w:t>
      </w:r>
      <w:r w:rsidR="00C23361">
        <w:t xml:space="preserve"> can</w:t>
      </w:r>
      <w:r w:rsidRPr="00221E8F">
        <w:t xml:space="preserve"> impact the results (</w:t>
      </w:r>
      <w:proofErr w:type="spellStart"/>
      <w:r w:rsidRPr="00221E8F">
        <w:t>CIPDa</w:t>
      </w:r>
      <w:proofErr w:type="spellEnd"/>
      <w:r w:rsidRPr="00221E8F">
        <w:t xml:space="preserve">, </w:t>
      </w:r>
      <w:r w:rsidR="004C4C92">
        <w:t>(</w:t>
      </w:r>
      <w:r w:rsidRPr="00221E8F">
        <w:t xml:space="preserve">2020) &amp; Reed, </w:t>
      </w:r>
      <w:r w:rsidR="004C4C92">
        <w:t>(</w:t>
      </w:r>
      <w:r w:rsidRPr="00221E8F">
        <w:t>2013)</w:t>
      </w:r>
      <w:r w:rsidR="004C4C92">
        <w:t>)</w:t>
      </w:r>
      <w:r w:rsidRPr="00221E8F">
        <w:t>. Whereas Porter 5 forces focus on competitive rivalries, buyers, suppliers, new entrants, and substitute products specific to the organisation. According to Porter cited by Dobbs, (2014) "the collective strength of the forces determines the ultimate profit potential in the industry”. The information</w:t>
      </w:r>
      <w:r w:rsidR="007D5A7E">
        <w:t xml:space="preserve"> gathered</w:t>
      </w:r>
      <w:r w:rsidRPr="00221E8F">
        <w:t xml:space="preserve"> is specific but can be oversimplified (Porter, 2008). </w:t>
      </w:r>
      <w:r w:rsidR="007D5A7E">
        <w:t>D</w:t>
      </w:r>
      <w:r w:rsidRPr="00221E8F">
        <w:t>ata can be conflicted depending on sources used</w:t>
      </w:r>
      <w:r w:rsidR="007D5A7E">
        <w:t>. It</w:t>
      </w:r>
      <w:r w:rsidRPr="00221E8F">
        <w:t xml:space="preserve"> is paramount for organisations to understand the</w:t>
      </w:r>
      <w:r w:rsidR="007D5A7E">
        <w:t xml:space="preserve"> suitable tool for the organisation</w:t>
      </w:r>
      <w:r w:rsidRPr="00221E8F">
        <w:t xml:space="preserve">. Naissance has no contingency plans so using a mixed approach would give </w:t>
      </w:r>
      <w:r w:rsidR="00C431FC">
        <w:t xml:space="preserve">the </w:t>
      </w:r>
      <w:r w:rsidRPr="00221E8F">
        <w:t>best opportunity of acclimatising quickly to change in the VUCA environment.</w:t>
      </w:r>
    </w:p>
    <w:p w14:paraId="4FAD8E53" w14:textId="648B65D7" w:rsidR="00C261E1" w:rsidRDefault="00C261E1" w:rsidP="00220E80">
      <w:pPr>
        <w:spacing w:line="360" w:lineRule="auto"/>
      </w:pPr>
    </w:p>
    <w:p w14:paraId="52CEDD18" w14:textId="3BA14C54" w:rsidR="00221E8F" w:rsidRPr="00220E80" w:rsidRDefault="00FA0319" w:rsidP="00220E80">
      <w:pPr>
        <w:spacing w:line="360" w:lineRule="auto"/>
        <w:rPr>
          <w:b/>
          <w:bCs/>
          <w:i/>
          <w:iCs/>
          <w:sz w:val="24"/>
          <w:szCs w:val="24"/>
        </w:rPr>
      </w:pPr>
      <w:r w:rsidRPr="00220E80">
        <w:rPr>
          <w:b/>
          <w:bCs/>
          <w:i/>
          <w:iCs/>
          <w:sz w:val="24"/>
          <w:szCs w:val="24"/>
        </w:rPr>
        <w:t xml:space="preserve">1.2 </w:t>
      </w:r>
      <w:r w:rsidR="00221E8F" w:rsidRPr="00220E80">
        <w:rPr>
          <w:b/>
          <w:bCs/>
          <w:i/>
          <w:iCs/>
          <w:sz w:val="24"/>
          <w:szCs w:val="24"/>
        </w:rPr>
        <w:t>Building on some of the points highlighted in the above People Management article, discuss the strategic priorities for businesses and HR departments in constantly changing environments (20 marks).</w:t>
      </w:r>
    </w:p>
    <w:p w14:paraId="35FA0876" w14:textId="7811E500" w:rsidR="00FA0319" w:rsidRDefault="00FA0319" w:rsidP="00220E80">
      <w:pPr>
        <w:spacing w:line="360" w:lineRule="auto"/>
      </w:pPr>
    </w:p>
    <w:p w14:paraId="17EFFC3C" w14:textId="517063D5" w:rsidR="005B0417" w:rsidRDefault="005B0417" w:rsidP="00220E80">
      <w:pPr>
        <w:spacing w:line="360" w:lineRule="auto"/>
      </w:pPr>
      <w:r>
        <w:t>The article in question is already deemed outdated in the current pandemic (Palmer, 2020). Advice and guidelines change daily</w:t>
      </w:r>
      <w:r w:rsidR="007D5A7E">
        <w:t>,</w:t>
      </w:r>
      <w:r>
        <w:t xml:space="preserve"> </w:t>
      </w:r>
      <w:r w:rsidR="007D5A7E">
        <w:t>G</w:t>
      </w:r>
      <w:r>
        <w:t xml:space="preserve">iven the VUCA environment we operate any strategic plans which were in place or under consideration have likely changed in recent weeks (Bennett &amp; Lemoine, 2014). However, this does not mean that organisations can stop, to maintain a competitive advantage and minimise the ongoing threat they must remain current. The approach they take is dependent on whether they are deterministic rationalists or emergent thinkers (Farnham, 2015). The definition of strategy is directly linked to organisational success, whether it be HR </w:t>
      </w:r>
      <w:r w:rsidR="007D5A7E">
        <w:t>or</w:t>
      </w:r>
      <w:r>
        <w:t xml:space="preserve"> business strategy (Kew &amp; </w:t>
      </w:r>
      <w:proofErr w:type="spellStart"/>
      <w:r>
        <w:t>Stredwick</w:t>
      </w:r>
      <w:proofErr w:type="spellEnd"/>
      <w:r>
        <w:t xml:space="preserve">, </w:t>
      </w:r>
      <w:r w:rsidR="004C4C92">
        <w:t>(</w:t>
      </w:r>
      <w:r>
        <w:t xml:space="preserve">2013) &amp; Farnham, </w:t>
      </w:r>
      <w:r w:rsidR="004C4C92">
        <w:t>(</w:t>
      </w:r>
      <w:r>
        <w:t>2015)</w:t>
      </w:r>
      <w:r w:rsidR="004C4C92">
        <w:t>)</w:t>
      </w:r>
      <w:r>
        <w:t>. In the current climate in connection with VUCA understanding survival and uncertainty-based theories is paramount, noted by Whittington, (2001) &amp; Stacey, (1993</w:t>
      </w:r>
      <w:r>
        <w:t>) efficiency</w:t>
      </w:r>
      <w:r>
        <w:t xml:space="preserve"> and structure are key fundamentals of </w:t>
      </w:r>
      <w:r w:rsidR="007D5A7E">
        <w:t>controlling</w:t>
      </w:r>
      <w:r>
        <w:t xml:space="preserve"> external factors. With focus given to HR strategy development, </w:t>
      </w:r>
      <w:proofErr w:type="spellStart"/>
      <w:r>
        <w:t>Mintzburg</w:t>
      </w:r>
      <w:proofErr w:type="spellEnd"/>
      <w:r>
        <w:t xml:space="preserve">, (1987) &amp; Quinn, (1980) agree on </w:t>
      </w:r>
      <w:r w:rsidR="007D5A7E">
        <w:t xml:space="preserve">the need to </w:t>
      </w:r>
      <w:r>
        <w:t>harmonis</w:t>
      </w:r>
      <w:r w:rsidR="007D5A7E">
        <w:t>e</w:t>
      </w:r>
      <w:r>
        <w:t xml:space="preserve"> departments and strategies, linking past knowledge with present and future trends. An analysis of the external environment remains the best tool, either through a mixed-method approach or specifically using PESTEL/STEEPLE analysis (Farnham, 2015). </w:t>
      </w:r>
      <w:r w:rsidR="0046149B">
        <w:t xml:space="preserve">The Harvard Model by Beer </w:t>
      </w:r>
      <w:r w:rsidR="0046149B">
        <w:lastRenderedPageBreak/>
        <w:t xml:space="preserve">(1984) is also considered to understand the link HR has with the rest of the organisation </w:t>
      </w:r>
      <w:sdt>
        <w:sdtPr>
          <w:id w:val="-655216683"/>
          <w:citation/>
        </w:sdtPr>
        <w:sdtContent>
          <w:r w:rsidR="0046149B">
            <w:fldChar w:fldCharType="begin"/>
          </w:r>
          <w:r w:rsidR="0046149B">
            <w:instrText xml:space="preserve"> CITATION Kew132 \l 2057 </w:instrText>
          </w:r>
          <w:r w:rsidR="0046149B">
            <w:fldChar w:fldCharType="separate"/>
          </w:r>
          <w:r w:rsidR="0046149B" w:rsidRPr="0046149B">
            <w:rPr>
              <w:noProof/>
            </w:rPr>
            <w:t>(Kew &amp; Stredwick, 2013)</w:t>
          </w:r>
          <w:r w:rsidR="0046149B">
            <w:fldChar w:fldCharType="end"/>
          </w:r>
        </w:sdtContent>
      </w:sdt>
      <w:r w:rsidR="0046149B">
        <w:t xml:space="preserve">. </w:t>
      </w:r>
    </w:p>
    <w:p w14:paraId="6CAC3554" w14:textId="16AEEA86" w:rsidR="005B0417" w:rsidRDefault="005B0417" w:rsidP="00220E80">
      <w:pPr>
        <w:spacing w:line="360" w:lineRule="auto"/>
      </w:pPr>
      <w:r>
        <w:t xml:space="preserve">Palmer, (2020) discusses strategic priorities in the current climate, the main point being contingency planning or lack of. A contingency plan is a plan outside of usual business plans, usually linked to risk management and exceptional circumstances (Kew &amp; </w:t>
      </w:r>
      <w:proofErr w:type="spellStart"/>
      <w:r>
        <w:t>Stredwick</w:t>
      </w:r>
      <w:proofErr w:type="spellEnd"/>
      <w:r>
        <w:t>, 2013). Isolating and implementing a contingency plan if needed has become an HR issue</w:t>
      </w:r>
      <w:r w:rsidR="007D5A7E">
        <w:t>.</w:t>
      </w:r>
      <w:r>
        <w:t xml:space="preserve"> Fiedler, (1967) explained it was a two-prong process. There is no best practice and using goal concepts with the environment and human relations concepts to regain control of the external environment. These views are widely argued by authors such as CIPD, (2020), Kew &amp; </w:t>
      </w:r>
      <w:proofErr w:type="spellStart"/>
      <w:r>
        <w:t>Stredwick</w:t>
      </w:r>
      <w:proofErr w:type="spellEnd"/>
      <w:r>
        <w:t xml:space="preserve">, (2013), Farnham, (2015), </w:t>
      </w:r>
      <w:proofErr w:type="spellStart"/>
      <w:r>
        <w:t>Mintzburg</w:t>
      </w:r>
      <w:proofErr w:type="spellEnd"/>
      <w:r>
        <w:t xml:space="preserve">, (1987) and Mullins, (2010), the list is extensive. </w:t>
      </w:r>
    </w:p>
    <w:p w14:paraId="2586C5D0" w14:textId="58031586" w:rsidR="005B0417" w:rsidRDefault="005B0417" w:rsidP="00220E80">
      <w:pPr>
        <w:spacing w:line="360" w:lineRule="auto"/>
      </w:pPr>
      <w:r>
        <w:t>Other strategic priorities for managers include the health and safety implications, whereas HR issues such as communication throughout the crises have taken priority. Working from home, sick pay, holidays, childcare, self-isolation concerns, and wellbeing of staff policies have all changed within weeks. Laws and guidelines changed overnight and the fight for HR to keep up with the changes has been difficult for companies to comprehend (CIPD</w:t>
      </w:r>
      <w:r w:rsidR="00C431FC">
        <w:t>(</w:t>
      </w:r>
      <w:r>
        <w:t>b</w:t>
      </w:r>
      <w:r w:rsidR="00C431FC">
        <w:t>)</w:t>
      </w:r>
      <w:r>
        <w:t xml:space="preserve">, </w:t>
      </w:r>
      <w:r w:rsidR="00C431FC">
        <w:t>(</w:t>
      </w:r>
      <w:r>
        <w:t>2020) &amp; Swan &amp; Chamorro-</w:t>
      </w:r>
      <w:proofErr w:type="spellStart"/>
      <w:r>
        <w:t>Premuzic</w:t>
      </w:r>
      <w:proofErr w:type="spellEnd"/>
      <w:r>
        <w:t xml:space="preserve">, </w:t>
      </w:r>
      <w:r w:rsidR="00C431FC">
        <w:t>(</w:t>
      </w:r>
      <w:r>
        <w:t>2020)</w:t>
      </w:r>
      <w:r w:rsidR="00C431FC">
        <w:t>)</w:t>
      </w:r>
      <w:r>
        <w:t>.  Managing employee wellbeing and communication is key</w:t>
      </w:r>
      <w:r w:rsidR="007D5A7E">
        <w:t>,</w:t>
      </w:r>
      <w:r>
        <w:t xml:space="preserve"> informing staff of rights, policies, and up to date organisational strategies. Palmer(a), (2020) &amp; Palmer(b), (2020) argue the effect returning to work early or fostering the wrong culture could have, leading to mental health issues, anxiety, and time off work. Although working from home has brought its concerns surrounding mental health and health and safety, the employer has specific responsibilities when allowing staff to work from home remind</w:t>
      </w:r>
      <w:r w:rsidR="00224297">
        <w:t>ing</w:t>
      </w:r>
      <w:r>
        <w:t xml:space="preserve"> staff how to work effectively but leaving time for </w:t>
      </w:r>
      <w:r w:rsidR="00224297">
        <w:t xml:space="preserve">rest </w:t>
      </w:r>
      <w:r>
        <w:t xml:space="preserve">(ACAS, </w:t>
      </w:r>
      <w:r w:rsidR="00C431FC">
        <w:t>(</w:t>
      </w:r>
      <w:r>
        <w:t xml:space="preserve">2020) &amp; Mind, </w:t>
      </w:r>
      <w:r w:rsidR="00C431FC">
        <w:t>(</w:t>
      </w:r>
      <w:r>
        <w:t>2020)</w:t>
      </w:r>
      <w:r w:rsidR="00C431FC">
        <w:t>)</w:t>
      </w:r>
      <w:r>
        <w:t xml:space="preserve">. Mental health is protected </w:t>
      </w:r>
      <w:r w:rsidR="00224297">
        <w:t>as</w:t>
      </w:r>
      <w:r>
        <w:t xml:space="preserve"> disability discrimination under the Equality Act 2010 (ACAS(a), 2020). Laws have changed </w:t>
      </w:r>
      <w:r w:rsidR="00C431FC">
        <w:t>considering</w:t>
      </w:r>
      <w:r w:rsidR="00224297">
        <w:t xml:space="preserve"> the pandemic</w:t>
      </w:r>
      <w:r>
        <w:t xml:space="preserve"> to protect employees from redundancies, health and </w:t>
      </w:r>
      <w:r w:rsidR="00224297">
        <w:t>wellbeing</w:t>
      </w:r>
      <w:r>
        <w:t xml:space="preserve"> and monetary concerns</w:t>
      </w:r>
      <w:r w:rsidR="00224297">
        <w:t>.</w:t>
      </w:r>
      <w:r>
        <w:t xml:space="preserve"> </w:t>
      </w:r>
      <w:r w:rsidR="00224297">
        <w:t>Although not law i</w:t>
      </w:r>
      <w:r>
        <w:t xml:space="preserve">t is the employers' duty to understand and advise staff of any changes relevant to their roles or lifestyle (GOV.UK, 2020). In the VUCA environment </w:t>
      </w:r>
      <w:r w:rsidR="00C431FC">
        <w:t>the</w:t>
      </w:r>
      <w:r>
        <w:t xml:space="preserve"> lack of figures, facts, advice from government, and political agendas </w:t>
      </w:r>
      <w:r w:rsidR="00C431FC">
        <w:t xml:space="preserve">it is important </w:t>
      </w:r>
      <w:r>
        <w:t>that organisations function</w:t>
      </w:r>
      <w:r w:rsidR="00C431FC">
        <w:t xml:space="preserve"> and</w:t>
      </w:r>
      <w:r>
        <w:t xml:space="preserve"> understand furlough schemes and grants if necessary. </w:t>
      </w:r>
    </w:p>
    <w:p w14:paraId="7809C88F" w14:textId="7081E879" w:rsidR="00FA0319" w:rsidRDefault="005B0417" w:rsidP="00220E80">
      <w:pPr>
        <w:spacing w:line="360" w:lineRule="auto"/>
      </w:pPr>
      <w:r>
        <w:t>In agreeance with these views, a recent survey of HR professionals outlined the main responsibilities of HR during this crisis, specifically what they should be prioritising. Overall Bersin, (2020) summarised the findings and consensus of HR’s main priorities; remote working, personal safety is paramount, digital skills and training if necessary, empathy, support, and wellbeing, contact with direct management, work together with less, work in real-time and effective Leadership.</w:t>
      </w:r>
    </w:p>
    <w:p w14:paraId="42C051BC" w14:textId="77777777" w:rsidR="005B0417" w:rsidRDefault="005B0417" w:rsidP="00220E80">
      <w:pPr>
        <w:spacing w:line="360" w:lineRule="auto"/>
      </w:pPr>
    </w:p>
    <w:p w14:paraId="1DF2C79D" w14:textId="178EAAE0" w:rsidR="00527453" w:rsidRPr="00220E80" w:rsidRDefault="00527453" w:rsidP="00220E80">
      <w:pPr>
        <w:spacing w:line="360" w:lineRule="auto"/>
        <w:rPr>
          <w:b/>
          <w:bCs/>
          <w:i/>
          <w:iCs/>
          <w:sz w:val="24"/>
          <w:szCs w:val="24"/>
        </w:rPr>
      </w:pPr>
      <w:r w:rsidRPr="00220E80">
        <w:rPr>
          <w:b/>
          <w:bCs/>
          <w:i/>
          <w:iCs/>
          <w:sz w:val="24"/>
          <w:szCs w:val="24"/>
        </w:rPr>
        <w:lastRenderedPageBreak/>
        <w:t xml:space="preserve">1.3 </w:t>
      </w:r>
      <w:r w:rsidRPr="00220E80">
        <w:rPr>
          <w:b/>
          <w:bCs/>
          <w:i/>
          <w:iCs/>
          <w:sz w:val="24"/>
          <w:szCs w:val="24"/>
        </w:rPr>
        <w:t>Using your own organisation, or one you are familiar with, discuss how HR departments can best organise themselves to support the business to be more resilient during such unpredictable times (10 marks).</w:t>
      </w:r>
    </w:p>
    <w:p w14:paraId="573E10F7" w14:textId="031DB96A" w:rsidR="00527453" w:rsidRPr="00527453" w:rsidRDefault="00527453" w:rsidP="00220E80">
      <w:pPr>
        <w:spacing w:line="360" w:lineRule="auto"/>
        <w:rPr>
          <w:i/>
          <w:iCs/>
        </w:rPr>
      </w:pPr>
    </w:p>
    <w:p w14:paraId="2545C9F3" w14:textId="49F9B1E9" w:rsidR="00B06412" w:rsidRDefault="00B06412" w:rsidP="00220E80">
      <w:pPr>
        <w:spacing w:line="360" w:lineRule="auto"/>
        <w:rPr>
          <w:noProof/>
        </w:rPr>
      </w:pPr>
      <w:r>
        <w:rPr>
          <w:noProof/>
        </w:rPr>
        <w:t xml:space="preserve">Affinity Health at Work, (2011) report found that resilience is difficult to define, using diversity and complexity concepts they found that Windle, (1999) explanation was a close definition ‘the successful adaptation to life tasks in the face of social disadvantage or highly adverse conditions’ (p163). The basic consensus is that resilience is a way to adapt and change through adversity and challenges (CIPD(c), 2020). At the business level any combination of events or issues can lead the organisation to adversity, how the organisation overcome the challenge depends on their preparedness to deal with uncertainty. Risk management frameworks give a strong framework for managers to follow, giving the information for them to be proactive and deal with the uncertainty as it happens (Affinity Health at Work, 2011). Kaplan &amp; Mikes, (2012) explained that not managing risk effectively can have dire consequences to the business. They describe a three-category framework for organisational survival. Preventable risks – managerial conduct, inappropriate actions including illegal or unethical activity, Strategy risks – a voluntary risk to gain better competitive advantage or organisational development/growth, External risks – outside company influence or control (Kaplan &amp; Mikes, 2012). </w:t>
      </w:r>
    </w:p>
    <w:p w14:paraId="016145C0" w14:textId="77777777" w:rsidR="00B06412" w:rsidRDefault="00B06412" w:rsidP="00220E80">
      <w:pPr>
        <w:spacing w:line="360" w:lineRule="auto"/>
        <w:rPr>
          <w:noProof/>
        </w:rPr>
      </w:pPr>
      <w:r>
        <w:rPr>
          <w:noProof/>
        </w:rPr>
        <w:t>Naissance have no formal resilience strategies in place, the risk of this has been noted on previous occasions as their failure to adapt left them open to a lawsuit and managerial disciplinary issues. Resilience is managed by individuals and it is key for shareholders to isolate whether the managers dealing with issues have an exploitive or explorative mindset, either one will lead to outcomes for example whether they are positive or negative in their response to issues (CIPD(c), 2020). With these views in mind, HR departments must organise themselves in a positive manner where resilience is an opportunity for the organisation to grow. Specifically, for Naissance, given the current pandemic they need to remain open and reliant on the HR team to lead managers through an increasingly uncertain time.</w:t>
      </w:r>
    </w:p>
    <w:p w14:paraId="5F211BB2" w14:textId="7B50984A" w:rsidR="00445288" w:rsidRPr="00220E80" w:rsidRDefault="00B06412" w:rsidP="00220E80">
      <w:pPr>
        <w:spacing w:line="360" w:lineRule="auto"/>
        <w:rPr>
          <w:noProof/>
        </w:rPr>
      </w:pPr>
      <w:r>
        <w:rPr>
          <w:noProof/>
        </w:rPr>
        <w:t xml:space="preserve">Understanding the VUCA framework is key in these matters, supporting and communicating change as and when it occurs (CIPD(d) podcast, </w:t>
      </w:r>
      <w:r w:rsidR="00C431FC">
        <w:rPr>
          <w:noProof/>
        </w:rPr>
        <w:t>(</w:t>
      </w:r>
      <w:r>
        <w:rPr>
          <w:noProof/>
        </w:rPr>
        <w:t xml:space="preserve">2020) &amp; Bennett &amp; Lemoine, </w:t>
      </w:r>
      <w:r w:rsidR="00C431FC">
        <w:rPr>
          <w:noProof/>
        </w:rPr>
        <w:t>(</w:t>
      </w:r>
      <w:r>
        <w:rPr>
          <w:noProof/>
        </w:rPr>
        <w:t>2014)</w:t>
      </w:r>
      <w:r w:rsidR="00C431FC">
        <w:rPr>
          <w:noProof/>
        </w:rPr>
        <w:t>)</w:t>
      </w:r>
      <w:r>
        <w:rPr>
          <w:noProof/>
        </w:rPr>
        <w:t xml:space="preserve">. Woodward, (2017) explained that the pace of change of the external environment could leave businesses behind, with the rate of growth of technology and threats such as coronavirus taking priority in the economy. Further noting the need for flexibility and agility to allow businesses to evolve (Woodward, 2017).  </w:t>
      </w:r>
    </w:p>
    <w:p w14:paraId="1B53AD98" w14:textId="2EB3561D" w:rsidR="003E1485" w:rsidRPr="00220E80" w:rsidRDefault="003E1485" w:rsidP="00220E80">
      <w:pPr>
        <w:pStyle w:val="Bibliography"/>
        <w:spacing w:line="360" w:lineRule="auto"/>
        <w:rPr>
          <w:b/>
          <w:bCs/>
          <w:i/>
          <w:iCs/>
          <w:sz w:val="24"/>
          <w:szCs w:val="24"/>
        </w:rPr>
      </w:pPr>
      <w:r w:rsidRPr="00220E80">
        <w:rPr>
          <w:b/>
          <w:bCs/>
          <w:i/>
          <w:iCs/>
          <w:sz w:val="24"/>
          <w:szCs w:val="24"/>
        </w:rPr>
        <w:lastRenderedPageBreak/>
        <w:t xml:space="preserve">2.1 </w:t>
      </w:r>
      <w:r w:rsidRPr="00220E80">
        <w:rPr>
          <w:b/>
          <w:bCs/>
          <w:i/>
          <w:iCs/>
          <w:sz w:val="24"/>
          <w:szCs w:val="24"/>
        </w:rPr>
        <w:t>b. Critically examine the need for employers to fully embrace social trends such as the emphasis on well-being and mental health, for the long-term sustainability of their businesses.</w:t>
      </w:r>
    </w:p>
    <w:p w14:paraId="13E4AC0A" w14:textId="77EE26A8" w:rsidR="006D7E71" w:rsidRDefault="006D7E71" w:rsidP="00220E80">
      <w:pPr>
        <w:spacing w:line="360" w:lineRule="auto"/>
        <w:rPr>
          <w:noProof/>
        </w:rPr>
      </w:pPr>
      <w:r>
        <w:rPr>
          <w:noProof/>
        </w:rPr>
        <w:t xml:space="preserve">Deloitte, (2018) trends report outlined the importance of understanding social trends to shape the organisation's purpose, guide stakeholders and influence company success. </w:t>
      </w:r>
      <w:r w:rsidR="00220E80">
        <w:rPr>
          <w:noProof/>
        </w:rPr>
        <w:t>The generic workplace has changed</w:t>
      </w:r>
      <w:r>
        <w:rPr>
          <w:noProof/>
        </w:rPr>
        <w:t xml:space="preserve"> dramatically in recent years giving priority to understand trends such as mental health, Artificial Intelligence (AI), or Corporate Social Responsibility (CSR). These issues can have repercussions for every level of the organisation including shareholders, staff, and customers/clients. Transforming the way organisations work is how they achieve a higher level of complexity and competence in their market</w:t>
      </w:r>
      <w:r w:rsidR="00220E80">
        <w:rPr>
          <w:noProof/>
        </w:rPr>
        <w:t>.</w:t>
      </w:r>
      <w:r>
        <w:rPr>
          <w:noProof/>
        </w:rPr>
        <w:t xml:space="preserve"> Jones, et al., (2007) noted 5 main drivers to transform work, markets, regulation, work organisation, labour markets, and expectations. </w:t>
      </w:r>
      <w:r w:rsidR="00220E80">
        <w:rPr>
          <w:noProof/>
        </w:rPr>
        <w:t xml:space="preserve">Further explained </w:t>
      </w:r>
      <w:r>
        <w:rPr>
          <w:noProof/>
        </w:rPr>
        <w:t xml:space="preserve">that in the current VUCA economy businesses should create their own business models to adapt to their specialised fields (Deloitte(a), 2019). </w:t>
      </w:r>
    </w:p>
    <w:p w14:paraId="7F5B6731" w14:textId="0777A363" w:rsidR="00220E80" w:rsidRDefault="00220E80" w:rsidP="00220E80">
      <w:pPr>
        <w:spacing w:line="360" w:lineRule="auto"/>
        <w:rPr>
          <w:noProof/>
        </w:rPr>
      </w:pPr>
      <w:r>
        <w:rPr>
          <w:noProof/>
        </w:rPr>
        <w:drawing>
          <wp:anchor distT="0" distB="0" distL="114300" distR="114300" simplePos="0" relativeHeight="251658240" behindDoc="0" locked="0" layoutInCell="1" allowOverlap="1" wp14:anchorId="3BE65178" wp14:editId="7A9A2B2F">
            <wp:simplePos x="0" y="0"/>
            <wp:positionH relativeFrom="margin">
              <wp:align>center</wp:align>
            </wp:positionH>
            <wp:positionV relativeFrom="paragraph">
              <wp:posOffset>2033166</wp:posOffset>
            </wp:positionV>
            <wp:extent cx="5857875" cy="3841750"/>
            <wp:effectExtent l="0" t="0" r="9525"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26723" t="25999" r="26745" b="17274"/>
                    <a:stretch/>
                  </pic:blipFill>
                  <pic:spPr bwMode="auto">
                    <a:xfrm>
                      <a:off x="0" y="0"/>
                      <a:ext cx="5857875" cy="38417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D7E71">
        <w:rPr>
          <w:noProof/>
        </w:rPr>
        <w:t xml:space="preserve">Deloitte(b), (2019) </w:t>
      </w:r>
      <w:r>
        <w:rPr>
          <w:noProof/>
        </w:rPr>
        <w:t>describes</w:t>
      </w:r>
      <w:r w:rsidR="006D7E71">
        <w:rPr>
          <w:noProof/>
        </w:rPr>
        <w:t xml:space="preserve"> the link between sustainability and wellbeing of employees, how the company's brand and culture are critical to their future. Although there are some complex arguments with what is deemed important by each employee. The talent market has changed and a job is worth more than financial </w:t>
      </w:r>
      <w:r>
        <w:rPr>
          <w:noProof/>
        </w:rPr>
        <w:t>gain</w:t>
      </w:r>
      <w:r w:rsidR="006D7E71">
        <w:rPr>
          <w:noProof/>
        </w:rPr>
        <w:t xml:space="preserve"> (Boxall &amp; Macky, 2014). As result organisations have made reward and wellbeing programs to entice potential talent into creating a relationship that can be </w:t>
      </w:r>
      <w:r w:rsidR="006D7E71">
        <w:rPr>
          <w:noProof/>
        </w:rPr>
        <w:lastRenderedPageBreak/>
        <w:t>mutually beneficial to</w:t>
      </w:r>
      <w:r>
        <w:rPr>
          <w:noProof/>
        </w:rPr>
        <w:t xml:space="preserve"> both</w:t>
      </w:r>
      <w:r w:rsidR="006D7E71">
        <w:rPr>
          <w:noProof/>
        </w:rPr>
        <w:t xml:space="preserve"> employee and organisation. Promoting wellbeing gives employees a sense of ownership and direction over their work whilst improving business relations. However, for organisations who are playing catch up with this trend reports show they may </w:t>
      </w:r>
      <w:r w:rsidR="00CD4555">
        <w:rPr>
          <w:noProof/>
        </w:rPr>
        <w:t>believe</w:t>
      </w:r>
      <w:r w:rsidR="006D7E71">
        <w:rPr>
          <w:noProof/>
        </w:rPr>
        <w:t xml:space="preserve"> wellness is what employees </w:t>
      </w:r>
      <w:r w:rsidR="00CD4555">
        <w:rPr>
          <w:noProof/>
        </w:rPr>
        <w:t>expect</w:t>
      </w:r>
      <w:r w:rsidR="006D7E71">
        <w:rPr>
          <w:noProof/>
        </w:rPr>
        <w:t>, however</w:t>
      </w:r>
      <w:r w:rsidR="00C431FC">
        <w:rPr>
          <w:noProof/>
        </w:rPr>
        <w:t>,</w:t>
      </w:r>
      <w:r w:rsidR="006D7E71">
        <w:rPr>
          <w:noProof/>
        </w:rPr>
        <w:t xml:space="preserve"> this is only </w:t>
      </w:r>
      <w:r w:rsidR="00CD4555">
        <w:rPr>
          <w:noProof/>
        </w:rPr>
        <w:t>the beginning of what</w:t>
      </w:r>
      <w:r w:rsidR="006D7E71">
        <w:rPr>
          <w:noProof/>
        </w:rPr>
        <w:t xml:space="preserve"> employees want, value and expect (Boxall &amp; Macky,</w:t>
      </w:r>
      <w:r w:rsidR="00C431FC">
        <w:rPr>
          <w:noProof/>
        </w:rPr>
        <w:t xml:space="preserve"> (</w:t>
      </w:r>
      <w:r w:rsidR="006D7E71">
        <w:rPr>
          <w:noProof/>
        </w:rPr>
        <w:t xml:space="preserve">2014) &amp; Deloitte(b), </w:t>
      </w:r>
      <w:r w:rsidR="00C431FC">
        <w:rPr>
          <w:noProof/>
        </w:rPr>
        <w:t>(</w:t>
      </w:r>
      <w:r w:rsidR="006D7E71">
        <w:rPr>
          <w:noProof/>
        </w:rPr>
        <w:t xml:space="preserve">2019). </w:t>
      </w:r>
      <w:r w:rsidR="00C431FC">
        <w:rPr>
          <w:noProof/>
        </w:rPr>
        <w:t>Table</w:t>
      </w:r>
      <w:r w:rsidR="006D7E71">
        <w:rPr>
          <w:noProof/>
        </w:rPr>
        <w:t xml:space="preserve"> 1 explain</w:t>
      </w:r>
      <w:r w:rsidR="00C431FC">
        <w:rPr>
          <w:noProof/>
        </w:rPr>
        <w:t xml:space="preserve">s </w:t>
      </w:r>
      <w:r w:rsidR="006D7E71">
        <w:rPr>
          <w:noProof/>
        </w:rPr>
        <w:t xml:space="preserve">the change in expectations. </w:t>
      </w:r>
    </w:p>
    <w:p w14:paraId="620BA33B" w14:textId="223FA9A2" w:rsidR="006D7E71" w:rsidRDefault="006D7E71" w:rsidP="00220E80">
      <w:pPr>
        <w:spacing w:line="360" w:lineRule="auto"/>
        <w:rPr>
          <w:noProof/>
        </w:rPr>
      </w:pPr>
      <w:r w:rsidRPr="00220E80">
        <w:rPr>
          <w:noProof/>
          <w:sz w:val="20"/>
          <w:szCs w:val="20"/>
        </w:rPr>
        <w:t>Table 1 - Deloitte Wellbeing Growth - (Deloitte(b), 2019).</w:t>
      </w:r>
    </w:p>
    <w:p w14:paraId="6F6067C8" w14:textId="7281F759" w:rsidR="00C43F9D" w:rsidRDefault="00220E80" w:rsidP="00220E80">
      <w:pPr>
        <w:spacing w:line="360" w:lineRule="auto"/>
      </w:pPr>
      <w:r>
        <w:rPr>
          <w:noProof/>
        </w:rPr>
        <w:t>W</w:t>
      </w:r>
      <w:r w:rsidR="006D7E71">
        <w:rPr>
          <w:noProof/>
        </w:rPr>
        <w:t>ellbeing is directly linked to employment relations</w:t>
      </w:r>
      <w:r>
        <w:rPr>
          <w:noProof/>
        </w:rPr>
        <w:t xml:space="preserve"> and therefore sustainability</w:t>
      </w:r>
      <w:r w:rsidR="006D7E71">
        <w:rPr>
          <w:noProof/>
        </w:rPr>
        <w:t>. A positive employee relations strategy leads to</w:t>
      </w:r>
      <w:r>
        <w:rPr>
          <w:noProof/>
        </w:rPr>
        <w:t xml:space="preserve"> employee</w:t>
      </w:r>
      <w:r w:rsidR="006D7E71">
        <w:rPr>
          <w:noProof/>
        </w:rPr>
        <w:t xml:space="preserve"> involvement, commitment, and engagement (CIPD(e), 2020). Culture is an important factor in motivating employees to contribute to business strategy, aligning employment relations strategies with the organisational purpose and values are a positive way to maintain retention and productivity (Craig, 2018). On the other hand, generational divides and other factors decide on how effective wellbeing strategies become. Millennials, boomers and gen z all have different expectations, its this level of uncertainty that demands organisations research their workforce or target workforce before implementing strategies to improve sustainability (Mullins, </w:t>
      </w:r>
      <w:r w:rsidR="00C431FC">
        <w:rPr>
          <w:noProof/>
        </w:rPr>
        <w:t>(</w:t>
      </w:r>
      <w:r w:rsidR="006D7E71">
        <w:rPr>
          <w:noProof/>
        </w:rPr>
        <w:t xml:space="preserve">2010), Farnham, </w:t>
      </w:r>
      <w:r w:rsidR="00C431FC">
        <w:rPr>
          <w:noProof/>
        </w:rPr>
        <w:t>(</w:t>
      </w:r>
      <w:r w:rsidR="006D7E71">
        <w:rPr>
          <w:noProof/>
        </w:rPr>
        <w:t xml:space="preserve">2015) &amp; Kew &amp; Stredwick, </w:t>
      </w:r>
      <w:r w:rsidR="00C431FC">
        <w:rPr>
          <w:noProof/>
        </w:rPr>
        <w:t>(</w:t>
      </w:r>
      <w:r w:rsidR="006D7E71">
        <w:rPr>
          <w:noProof/>
        </w:rPr>
        <w:t>2013)</w:t>
      </w:r>
      <w:r w:rsidR="00C431FC">
        <w:rPr>
          <w:noProof/>
        </w:rPr>
        <w:t>)</w:t>
      </w:r>
      <w:r w:rsidR="006D7E71">
        <w:rPr>
          <w:noProof/>
        </w:rPr>
        <w:t>.</w:t>
      </w:r>
      <w:r w:rsidR="00221EBF">
        <w:t xml:space="preserve"> </w:t>
      </w:r>
    </w:p>
    <w:p w14:paraId="59BE0D55" w14:textId="1F7A23FB" w:rsidR="00831508" w:rsidRPr="00831508" w:rsidRDefault="00831508" w:rsidP="00220E80">
      <w:pPr>
        <w:spacing w:line="360" w:lineRule="auto"/>
      </w:pPr>
    </w:p>
    <w:p w14:paraId="6B3725EF" w14:textId="43B78F49" w:rsidR="003E1485" w:rsidRPr="00220E80" w:rsidRDefault="003E1485" w:rsidP="00220E80">
      <w:pPr>
        <w:pStyle w:val="Bibliography"/>
        <w:spacing w:line="360" w:lineRule="auto"/>
        <w:rPr>
          <w:b/>
          <w:bCs/>
          <w:i/>
          <w:iCs/>
          <w:sz w:val="24"/>
          <w:szCs w:val="24"/>
        </w:rPr>
      </w:pPr>
      <w:proofErr w:type="gramStart"/>
      <w:r w:rsidRPr="00220E80">
        <w:rPr>
          <w:b/>
          <w:bCs/>
          <w:i/>
          <w:iCs/>
          <w:sz w:val="24"/>
          <w:szCs w:val="24"/>
        </w:rPr>
        <w:t>2.2  a.</w:t>
      </w:r>
      <w:proofErr w:type="gramEnd"/>
      <w:r w:rsidRPr="00220E80">
        <w:rPr>
          <w:b/>
          <w:bCs/>
          <w:i/>
          <w:iCs/>
          <w:sz w:val="24"/>
          <w:szCs w:val="24"/>
        </w:rPr>
        <w:t xml:space="preserve"> Discuss how the competitive environment shapes HR’s agenda, using examples from an organisation you are familiar with and recommend ways the organisation could improve its position as an employer in a tight labour market.</w:t>
      </w:r>
    </w:p>
    <w:p w14:paraId="37F194F2" w14:textId="2BE81E6F" w:rsidR="003E1485" w:rsidRDefault="003E1485" w:rsidP="00220E80">
      <w:pPr>
        <w:pStyle w:val="Bibliography"/>
        <w:spacing w:line="360" w:lineRule="auto"/>
      </w:pPr>
    </w:p>
    <w:p w14:paraId="537480C2" w14:textId="14B47A5C" w:rsidR="00C113AA" w:rsidRDefault="00C113AA" w:rsidP="00220E80">
      <w:pPr>
        <w:spacing w:line="360" w:lineRule="auto"/>
      </w:pPr>
      <w:r>
        <w:t>A business’s competitive environment shapes the decisions HR make, organisational alignment is imperative in the current climate allowing HR to support decisions rather than remaining apposed or unaware of changes. Globalisation has dramatically affected how organisations operate, globalisation refers to anything in the external environment that affects the organisation (WEF, 2020). Given the current GIG economy, it can be difficult to fill full-time roles as individuals move towards wanting flexibility within their roles (Everett, 2016). Naissance is an online retailer, specialising in manufacturing and distributing its products globally. Currently using Amazon and its own website to distribute, global issues are a factor in managing change including but not limited to public opinions, cultures, labour markets, and political/economic crises. For HR</w:t>
      </w:r>
      <w:r w:rsidR="00C431FC">
        <w:t>,</w:t>
      </w:r>
      <w:r>
        <w:t xml:space="preserve"> the CIPD(g), (2020) noted that what happens in the macroeconomy has direct links to product and labour markets, this determines recruitment and retentio</w:t>
      </w:r>
      <w:r w:rsidR="00C23361">
        <w:t xml:space="preserve">n practices. </w:t>
      </w:r>
      <w:r>
        <w:t xml:space="preserve"> </w:t>
      </w:r>
    </w:p>
    <w:p w14:paraId="7E84BCAB" w14:textId="28207521" w:rsidR="006D7E71" w:rsidRPr="006D7E71" w:rsidRDefault="00C113AA" w:rsidP="00220E80">
      <w:pPr>
        <w:spacing w:line="360" w:lineRule="auto"/>
      </w:pPr>
      <w:r>
        <w:lastRenderedPageBreak/>
        <w:t xml:space="preserve">Current issues for Naissance are the coronavirus pandemic and the increase in corporate social responsibility (CSR). Naissance works both within the tight and loose labour markets, however, the tight labour market has proved more difficult to manage, specifically due to the niche job roles available and the lack of talent to fill them (CIPD(f), 2019). Functioning in a tight labour market means high demand for suitable employees (Farnham, </w:t>
      </w:r>
      <w:r w:rsidR="00C431FC">
        <w:t>(</w:t>
      </w:r>
      <w:r>
        <w:t xml:space="preserve">2015), CIPD(g), </w:t>
      </w:r>
      <w:r w:rsidR="00C431FC">
        <w:t>(</w:t>
      </w:r>
      <w:r>
        <w:t xml:space="preserve">2020) &amp; Kew &amp; </w:t>
      </w:r>
      <w:proofErr w:type="spellStart"/>
      <w:r>
        <w:t>Stredwick</w:t>
      </w:r>
      <w:proofErr w:type="spellEnd"/>
      <w:r>
        <w:t xml:space="preserve">, </w:t>
      </w:r>
      <w:r w:rsidR="00C431FC">
        <w:t>(</w:t>
      </w:r>
      <w:r>
        <w:t>2013)</w:t>
      </w:r>
      <w:r w:rsidR="00C431FC">
        <w:t>)</w:t>
      </w:r>
      <w:r>
        <w:t>, Taylor’s labour market model gives the closest comparison to Naissance strategy (Taylor, 2005). Dealing with unemployment</w:t>
      </w:r>
      <w:r w:rsidR="00C23361">
        <w:t xml:space="preserve"> </w:t>
      </w:r>
      <w:r>
        <w:t>or recruitment depends on the filling the</w:t>
      </w:r>
      <w:r w:rsidR="00C23361">
        <w:t xml:space="preserve"> organisational</w:t>
      </w:r>
      <w:r>
        <w:t xml:space="preserve"> skills gap</w:t>
      </w:r>
      <w:r w:rsidR="00C23361">
        <w:t>’s</w:t>
      </w:r>
      <w:r>
        <w:t>, the varied roles within organisations</w:t>
      </w:r>
      <w:r w:rsidR="00C23361">
        <w:t xml:space="preserve"> demands </w:t>
      </w:r>
      <w:r>
        <w:t>understand</w:t>
      </w:r>
      <w:r w:rsidR="00C23361">
        <w:t xml:space="preserve">ing of role </w:t>
      </w:r>
      <w:r>
        <w:t>requirements</w:t>
      </w:r>
      <w:r w:rsidR="00C23361">
        <w:t>.</w:t>
      </w:r>
      <w:r>
        <w:t xml:space="preserve"> </w:t>
      </w:r>
      <w:r w:rsidR="00C23361">
        <w:t>T</w:t>
      </w:r>
      <w:r>
        <w:t>he biggest challenge for Naissance is to fill the digital skills gap within the organisation</w:t>
      </w:r>
      <w:r w:rsidR="00C23361">
        <w:t>,</w:t>
      </w:r>
      <w:r>
        <w:t xml:space="preserve"> as </w:t>
      </w:r>
      <w:r w:rsidR="00C23361">
        <w:t>an</w:t>
      </w:r>
      <w:r>
        <w:t xml:space="preserve"> online</w:t>
      </w:r>
      <w:r w:rsidR="00C23361">
        <w:t xml:space="preserve"> company</w:t>
      </w:r>
      <w:r>
        <w:t xml:space="preserve"> having </w:t>
      </w:r>
      <w:r w:rsidR="00C23361">
        <w:t>skilled</w:t>
      </w:r>
      <w:r>
        <w:t xml:space="preserve"> staff is paramount (Weston, 2019). The war for talent has shown that recruitment processes have become a negotiation between employer and candidate, for employers to gain the best talent they must isolate the needs and expectations of that candidate and offer adjustments or additions to the role where possible</w:t>
      </w:r>
      <w:r w:rsidR="00F360E2">
        <w:t xml:space="preserve">, including </w:t>
      </w:r>
      <w:r>
        <w:t xml:space="preserve">career progression, flexibility, training, financial, health, and wellbeing programs (Weston, 2019). These benefits can also attract gig economy workers whether they work as contractors, job share, or part-time. Offering flexibility </w:t>
      </w:r>
      <w:r w:rsidR="00F360E2">
        <w:t>to employer and employee.</w:t>
      </w:r>
      <w:r>
        <w:t xml:space="preserve"> </w:t>
      </w:r>
    </w:p>
    <w:p w14:paraId="2F21F52B" w14:textId="77777777" w:rsidR="003E1485" w:rsidRDefault="003E1485" w:rsidP="00220E80">
      <w:pPr>
        <w:pStyle w:val="Bibliography"/>
        <w:spacing w:line="360" w:lineRule="auto"/>
      </w:pPr>
    </w:p>
    <w:p w14:paraId="54139680" w14:textId="040665B5" w:rsidR="003E1485" w:rsidRPr="00220E80" w:rsidRDefault="003E1485" w:rsidP="00220E80">
      <w:pPr>
        <w:pStyle w:val="Bibliography"/>
        <w:spacing w:line="360" w:lineRule="auto"/>
        <w:rPr>
          <w:b/>
          <w:bCs/>
          <w:i/>
          <w:iCs/>
          <w:sz w:val="24"/>
          <w:szCs w:val="24"/>
        </w:rPr>
      </w:pPr>
      <w:proofErr w:type="gramStart"/>
      <w:r w:rsidRPr="00220E80">
        <w:rPr>
          <w:b/>
          <w:bCs/>
          <w:i/>
          <w:iCs/>
          <w:sz w:val="24"/>
          <w:szCs w:val="24"/>
        </w:rPr>
        <w:t xml:space="preserve">2.3 </w:t>
      </w:r>
      <w:r w:rsidRPr="00220E80">
        <w:rPr>
          <w:b/>
          <w:bCs/>
          <w:i/>
          <w:iCs/>
          <w:sz w:val="24"/>
          <w:szCs w:val="24"/>
        </w:rPr>
        <w:t xml:space="preserve"> </w:t>
      </w:r>
      <w:r w:rsidRPr="00220E80">
        <w:rPr>
          <w:b/>
          <w:bCs/>
          <w:i/>
          <w:iCs/>
          <w:sz w:val="24"/>
          <w:szCs w:val="24"/>
        </w:rPr>
        <w:t>a.</w:t>
      </w:r>
      <w:proofErr w:type="gramEnd"/>
      <w:r w:rsidRPr="00220E80">
        <w:rPr>
          <w:b/>
          <w:bCs/>
          <w:i/>
          <w:iCs/>
          <w:sz w:val="24"/>
          <w:szCs w:val="24"/>
        </w:rPr>
        <w:t xml:space="preserve"> “We’re in the midst of a climate emergency, yet research from London Business School and recruitment consultancy Harvey Nash has shown that the boards of UK businesses are the least likely to feel responsible for their impact on the environment</w:t>
      </w:r>
      <w:sdt>
        <w:sdtPr>
          <w:rPr>
            <w:b/>
            <w:bCs/>
            <w:i/>
            <w:iCs/>
            <w:sz w:val="24"/>
            <w:szCs w:val="24"/>
          </w:rPr>
          <w:id w:val="32778466"/>
          <w:citation/>
        </w:sdtPr>
        <w:sdtContent>
          <w:r w:rsidRPr="00220E80">
            <w:rPr>
              <w:b/>
              <w:bCs/>
              <w:i/>
              <w:iCs/>
              <w:sz w:val="24"/>
              <w:szCs w:val="24"/>
            </w:rPr>
            <w:fldChar w:fldCharType="begin"/>
          </w:r>
          <w:r w:rsidRPr="00220E80">
            <w:rPr>
              <w:b/>
              <w:bCs/>
              <w:i/>
              <w:iCs/>
              <w:sz w:val="24"/>
              <w:szCs w:val="24"/>
            </w:rPr>
            <w:instrText xml:space="preserve"> CITATION Pal203 \l 2057 </w:instrText>
          </w:r>
          <w:r w:rsidRPr="00220E80">
            <w:rPr>
              <w:b/>
              <w:bCs/>
              <w:i/>
              <w:iCs/>
              <w:sz w:val="24"/>
              <w:szCs w:val="24"/>
            </w:rPr>
            <w:fldChar w:fldCharType="separate"/>
          </w:r>
          <w:r w:rsidRPr="00220E80">
            <w:rPr>
              <w:b/>
              <w:bCs/>
              <w:i/>
              <w:iCs/>
              <w:noProof/>
              <w:sz w:val="24"/>
              <w:szCs w:val="24"/>
            </w:rPr>
            <w:t xml:space="preserve"> (Palmer, 2020)</w:t>
          </w:r>
          <w:r w:rsidRPr="00220E80">
            <w:rPr>
              <w:b/>
              <w:bCs/>
              <w:i/>
              <w:iCs/>
              <w:sz w:val="24"/>
              <w:szCs w:val="24"/>
            </w:rPr>
            <w:fldChar w:fldCharType="end"/>
          </w:r>
        </w:sdtContent>
      </w:sdt>
      <w:r w:rsidRPr="00220E80">
        <w:rPr>
          <w:b/>
          <w:bCs/>
          <w:i/>
          <w:iCs/>
          <w:sz w:val="24"/>
          <w:szCs w:val="24"/>
        </w:rPr>
        <w:t>.</w:t>
      </w:r>
      <w:r w:rsidRPr="00220E80">
        <w:rPr>
          <w:b/>
          <w:bCs/>
          <w:i/>
          <w:iCs/>
          <w:sz w:val="24"/>
          <w:szCs w:val="24"/>
        </w:rPr>
        <w:t xml:space="preserve">  </w:t>
      </w:r>
    </w:p>
    <w:p w14:paraId="28271215" w14:textId="1DCBDBAA" w:rsidR="003E1485" w:rsidRPr="00220E80" w:rsidRDefault="003E1485" w:rsidP="00220E80">
      <w:pPr>
        <w:pStyle w:val="Bibliography"/>
        <w:spacing w:line="360" w:lineRule="auto"/>
        <w:rPr>
          <w:b/>
          <w:bCs/>
          <w:i/>
          <w:iCs/>
          <w:sz w:val="24"/>
          <w:szCs w:val="24"/>
        </w:rPr>
      </w:pPr>
      <w:r w:rsidRPr="00220E80">
        <w:rPr>
          <w:b/>
          <w:bCs/>
          <w:i/>
          <w:iCs/>
          <w:sz w:val="24"/>
          <w:szCs w:val="24"/>
        </w:rPr>
        <w:t>Using organisational examples, critically analyse the need for businesses and other organisations to focus on the issue of environmental sustainabilit</w:t>
      </w:r>
      <w:r w:rsidRPr="00220E80">
        <w:rPr>
          <w:b/>
          <w:bCs/>
          <w:i/>
          <w:iCs/>
          <w:sz w:val="24"/>
          <w:szCs w:val="24"/>
        </w:rPr>
        <w:t>y</w:t>
      </w:r>
      <w:r w:rsidR="00C113AA" w:rsidRPr="00220E80">
        <w:rPr>
          <w:b/>
          <w:bCs/>
          <w:i/>
          <w:iCs/>
          <w:sz w:val="24"/>
          <w:szCs w:val="24"/>
        </w:rPr>
        <w:t>.</w:t>
      </w:r>
    </w:p>
    <w:p w14:paraId="19A635F6" w14:textId="77777777" w:rsidR="003E1485" w:rsidRDefault="003E1485" w:rsidP="00220E80">
      <w:pPr>
        <w:pStyle w:val="Bibliography"/>
        <w:spacing w:line="360" w:lineRule="auto"/>
      </w:pPr>
    </w:p>
    <w:p w14:paraId="356024F2" w14:textId="12558A9D" w:rsidR="001A7C20" w:rsidRDefault="001A7C20" w:rsidP="00220E80">
      <w:pPr>
        <w:pStyle w:val="Bibliography"/>
        <w:spacing w:line="360" w:lineRule="auto"/>
        <w:rPr>
          <w:noProof/>
        </w:rPr>
      </w:pPr>
      <w:r>
        <w:rPr>
          <w:noProof/>
        </w:rPr>
        <w:t>Palmer</w:t>
      </w:r>
      <w:r w:rsidR="00C431FC">
        <w:rPr>
          <w:noProof/>
        </w:rPr>
        <w:t>©</w:t>
      </w:r>
      <w:r>
        <w:rPr>
          <w:noProof/>
        </w:rPr>
        <w:t>, (2020) statement is controversial given the response from trend reports</w:t>
      </w:r>
      <w:r w:rsidR="00F360E2">
        <w:rPr>
          <w:noProof/>
        </w:rPr>
        <w:t xml:space="preserve">, </w:t>
      </w:r>
      <w:r>
        <w:rPr>
          <w:noProof/>
        </w:rPr>
        <w:t>company’s</w:t>
      </w:r>
      <w:r w:rsidR="00F360E2">
        <w:rPr>
          <w:noProof/>
        </w:rPr>
        <w:t xml:space="preserve"> need</w:t>
      </w:r>
      <w:r>
        <w:rPr>
          <w:noProof/>
        </w:rPr>
        <w:t xml:space="preserve"> to be more environmentally responsible </w:t>
      </w:r>
      <w:r w:rsidR="00C431FC">
        <w:rPr>
          <w:noProof/>
        </w:rPr>
        <w:t>(</w:t>
      </w:r>
      <w:r>
        <w:rPr>
          <w:noProof/>
        </w:rPr>
        <w:t xml:space="preserve">Deloitte, </w:t>
      </w:r>
      <w:r w:rsidR="00C431FC">
        <w:rPr>
          <w:noProof/>
        </w:rPr>
        <w:t>(</w:t>
      </w:r>
      <w:r>
        <w:rPr>
          <w:noProof/>
        </w:rPr>
        <w:t xml:space="preserve">2018), Deloitte(a), </w:t>
      </w:r>
      <w:r w:rsidR="00C431FC">
        <w:rPr>
          <w:noProof/>
        </w:rPr>
        <w:t>(</w:t>
      </w:r>
      <w:r>
        <w:rPr>
          <w:noProof/>
        </w:rPr>
        <w:t>2019) &amp; CIPD(f), 2019)</w:t>
      </w:r>
      <w:r w:rsidR="00C431FC">
        <w:rPr>
          <w:noProof/>
        </w:rPr>
        <w:t>)</w:t>
      </w:r>
      <w:r>
        <w:rPr>
          <w:noProof/>
        </w:rPr>
        <w:t xml:space="preserve">.  Long term corporate social responsibility (CSR) has benefits for the workplace, marketplace, community, and environment (CIPD(h), 2020) to promote sustainability for the organisation. Sustainability refers to acknowledging natural systems, remaining diverse, and choosing to produce and use ethically sourced materials in an attempt to protect the environment for future generations (Mason, 2020). CSR is a matter that clients, employees, and stakeholders/shareholders </w:t>
      </w:r>
      <w:r w:rsidR="00F360E2">
        <w:rPr>
          <w:noProof/>
        </w:rPr>
        <w:t xml:space="preserve">to </w:t>
      </w:r>
      <w:r>
        <w:rPr>
          <w:noProof/>
        </w:rPr>
        <w:t xml:space="preserve">take seriously, not having the correct level of CR can affect company brand and employee engagement. It can also affect </w:t>
      </w:r>
      <w:r>
        <w:rPr>
          <w:noProof/>
        </w:rPr>
        <w:lastRenderedPageBreak/>
        <w:t xml:space="preserve">retention, recruitment, and motivation levels. The argument between whether CR is purely a way to advertise or an </w:t>
      </w:r>
      <w:r w:rsidR="00F360E2">
        <w:rPr>
          <w:noProof/>
        </w:rPr>
        <w:t>ongoing</w:t>
      </w:r>
      <w:r>
        <w:rPr>
          <w:noProof/>
        </w:rPr>
        <w:t xml:space="preserve"> external issue for businesses is ongoing and remaining controversial (CIPD(h), </w:t>
      </w:r>
      <w:r w:rsidR="00C431FC">
        <w:rPr>
          <w:noProof/>
        </w:rPr>
        <w:t>(</w:t>
      </w:r>
      <w:r>
        <w:rPr>
          <w:noProof/>
        </w:rPr>
        <w:t xml:space="preserve">2020), Farnham, </w:t>
      </w:r>
      <w:r w:rsidR="00C431FC">
        <w:rPr>
          <w:noProof/>
        </w:rPr>
        <w:t>(</w:t>
      </w:r>
      <w:r>
        <w:rPr>
          <w:noProof/>
        </w:rPr>
        <w:t xml:space="preserve">2015) &amp; Mullins, </w:t>
      </w:r>
      <w:r w:rsidR="00C431FC">
        <w:rPr>
          <w:noProof/>
        </w:rPr>
        <w:t>(</w:t>
      </w:r>
      <w:r>
        <w:rPr>
          <w:noProof/>
        </w:rPr>
        <w:t>2010)</w:t>
      </w:r>
      <w:r w:rsidR="00C431FC">
        <w:rPr>
          <w:noProof/>
        </w:rPr>
        <w:t>)</w:t>
      </w:r>
      <w:r>
        <w:rPr>
          <w:noProof/>
        </w:rPr>
        <w:t>. Microsoft notably has a positive CSR reputation from initiatives they have in place, they pride the relationship they have with their stakeholders on a range of wider issues (Smith, 2012). On the other hand, Bosch invested in conservation and environmental protection to lower CO2 levels annually (Payseno, 2018). Other companies such as Ben and Jerrys, BMW and Dell all have their own initiatives to improve company brand globally whilst helping various campaigns and schemes worldwide (Payseno, 2018). Naissance has various CR schemes in place for similar reasons however</w:t>
      </w:r>
      <w:r w:rsidR="00F360E2">
        <w:rPr>
          <w:noProof/>
        </w:rPr>
        <w:t>,</w:t>
      </w:r>
      <w:r>
        <w:rPr>
          <w:noProof/>
        </w:rPr>
        <w:t xml:space="preserve"> as a supplier for essential oils and healthcare products ethically sourcing and giving back to communities who supply these goods is key for employer brand. Likewise they have introduced a vegan range in recent years. </w:t>
      </w:r>
    </w:p>
    <w:p w14:paraId="44762A8F" w14:textId="003F99F0" w:rsidR="001A7C20" w:rsidRDefault="00F360E2" w:rsidP="00220E80">
      <w:pPr>
        <w:pStyle w:val="Bibliography"/>
        <w:spacing w:line="360" w:lineRule="auto"/>
        <w:rPr>
          <w:noProof/>
        </w:rPr>
      </w:pPr>
      <w:r>
        <w:rPr>
          <w:noProof/>
        </w:rPr>
        <w:t>E</w:t>
      </w:r>
      <w:r w:rsidR="001A7C20">
        <w:rPr>
          <w:noProof/>
        </w:rPr>
        <w:t xml:space="preserve">nvironmental sustainability and CSR have become topics for activist groups, whether it be recycling or carbon emissions (Deloitte, 2018). The environment bill 2020 brought environmental protection and recovery as a legal requirement for organisations, </w:t>
      </w:r>
      <w:r>
        <w:rPr>
          <w:noProof/>
        </w:rPr>
        <w:t>notebly</w:t>
      </w:r>
      <w:r w:rsidR="001A7C20">
        <w:rPr>
          <w:noProof/>
        </w:rPr>
        <w:t xml:space="preserve"> the government has their own policy which outlines how and why they act responsibly (UK Parliament, </w:t>
      </w:r>
      <w:r w:rsidR="00C431FC">
        <w:rPr>
          <w:noProof/>
        </w:rPr>
        <w:t>(</w:t>
      </w:r>
      <w:r w:rsidR="001A7C20">
        <w:rPr>
          <w:noProof/>
        </w:rPr>
        <w:t xml:space="preserve">2020) &amp; Gov.uk, </w:t>
      </w:r>
      <w:r w:rsidR="00C431FC">
        <w:rPr>
          <w:noProof/>
        </w:rPr>
        <w:t>(</w:t>
      </w:r>
      <w:r w:rsidR="001A7C20">
        <w:rPr>
          <w:noProof/>
        </w:rPr>
        <w:t>2020)</w:t>
      </w:r>
      <w:r w:rsidR="00C431FC">
        <w:rPr>
          <w:noProof/>
        </w:rPr>
        <w:t>)</w:t>
      </w:r>
      <w:r w:rsidR="001A7C20">
        <w:rPr>
          <w:noProof/>
        </w:rPr>
        <w:t xml:space="preserve">. Another controversial point </w:t>
      </w:r>
      <w:r>
        <w:rPr>
          <w:noProof/>
        </w:rPr>
        <w:t>for businesses -</w:t>
      </w:r>
      <w:r w:rsidR="001A7C20">
        <w:rPr>
          <w:noProof/>
        </w:rPr>
        <w:t xml:space="preserve"> political agendas</w:t>
      </w:r>
      <w:r>
        <w:rPr>
          <w:noProof/>
        </w:rPr>
        <w:t xml:space="preserve"> can change</w:t>
      </w:r>
      <w:r w:rsidR="001A7C20">
        <w:rPr>
          <w:noProof/>
        </w:rPr>
        <w:t xml:space="preserve"> CR regulations, therefore it is key  to understand the political </w:t>
      </w:r>
      <w:r>
        <w:rPr>
          <w:noProof/>
        </w:rPr>
        <w:t>views</w:t>
      </w:r>
      <w:r w:rsidR="001A7C20">
        <w:rPr>
          <w:noProof/>
        </w:rPr>
        <w:t xml:space="preserve"> of parties and their </w:t>
      </w:r>
      <w:r>
        <w:rPr>
          <w:noProof/>
        </w:rPr>
        <w:t xml:space="preserve">economic </w:t>
      </w:r>
      <w:r w:rsidR="001A7C20">
        <w:rPr>
          <w:noProof/>
        </w:rPr>
        <w:t>intentions. To stay competitive CR is seen as a way to minimise the risk, giving a level of sustainability to the organisation and impacting public opinion before other companies</w:t>
      </w:r>
      <w:r>
        <w:rPr>
          <w:noProof/>
        </w:rPr>
        <w:t>,</w:t>
      </w:r>
      <w:r w:rsidR="001A7C20">
        <w:rPr>
          <w:noProof/>
        </w:rPr>
        <w:t xml:space="preserve"> generating good publicity and company brand (Farnham, 2015). </w:t>
      </w:r>
    </w:p>
    <w:p w14:paraId="044B9734" w14:textId="77777777" w:rsidR="001A7C20" w:rsidRDefault="001A7C20" w:rsidP="001A7C20">
      <w:pPr>
        <w:pStyle w:val="Bibliography"/>
        <w:rPr>
          <w:noProof/>
        </w:rPr>
      </w:pPr>
      <w:r>
        <w:rPr>
          <w:noProof/>
        </w:rPr>
        <w:t xml:space="preserve"> </w:t>
      </w:r>
    </w:p>
    <w:p w14:paraId="5C089AE7" w14:textId="77777777" w:rsidR="003E1485" w:rsidRDefault="003E1485" w:rsidP="00445288">
      <w:pPr>
        <w:pStyle w:val="Bibliography"/>
      </w:pPr>
    </w:p>
    <w:p w14:paraId="09B30715" w14:textId="5DEF51EE" w:rsidR="003E1485" w:rsidRDefault="003E1485" w:rsidP="00445288">
      <w:pPr>
        <w:pStyle w:val="Bibliography"/>
      </w:pPr>
    </w:p>
    <w:p w14:paraId="41270BD3" w14:textId="11FD7ADE" w:rsidR="00220E80" w:rsidRDefault="00220E80" w:rsidP="00220E80"/>
    <w:p w14:paraId="445F48A0" w14:textId="167201E3" w:rsidR="00220E80" w:rsidRDefault="00220E80" w:rsidP="00220E80"/>
    <w:p w14:paraId="2EBF1A30" w14:textId="745C6A2B" w:rsidR="00220E80" w:rsidRDefault="00220E80" w:rsidP="00220E80"/>
    <w:p w14:paraId="1861DF72" w14:textId="77777777" w:rsidR="00220E80" w:rsidRPr="00220E80" w:rsidRDefault="00220E80" w:rsidP="00220E80"/>
    <w:p w14:paraId="4E50DFA2" w14:textId="77777777" w:rsidR="003E1485" w:rsidRDefault="003E1485" w:rsidP="00445288">
      <w:pPr>
        <w:pStyle w:val="Bibliography"/>
      </w:pPr>
    </w:p>
    <w:p w14:paraId="0E77841D" w14:textId="77777777" w:rsidR="003E1485" w:rsidRDefault="003E1485" w:rsidP="00445288">
      <w:pPr>
        <w:pStyle w:val="Bibliography"/>
      </w:pPr>
    </w:p>
    <w:p w14:paraId="5F1A66CF" w14:textId="77777777" w:rsidR="00F360E2" w:rsidRDefault="00F360E2" w:rsidP="00445288"/>
    <w:sdt>
      <w:sdtPr>
        <w:id w:val="2122567104"/>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1971F017" w14:textId="5D6322FD" w:rsidR="00224297" w:rsidRDefault="00224297">
          <w:pPr>
            <w:pStyle w:val="Heading1"/>
          </w:pPr>
          <w:r>
            <w:t>Bibliography</w:t>
          </w:r>
        </w:p>
        <w:p w14:paraId="7FF0B79D" w14:textId="15F301C2" w:rsidR="00224297" w:rsidRDefault="00224297" w:rsidP="00224297">
          <w:pPr>
            <w:pStyle w:val="Bibliography"/>
            <w:rPr>
              <w:noProof/>
              <w:lang w:val="en-US"/>
            </w:rPr>
          </w:pPr>
          <w:r>
            <w:rPr>
              <w:noProof/>
              <w:lang w:val="en-US"/>
            </w:rPr>
            <w:t xml:space="preserve">ACAS, 2020. </w:t>
          </w:r>
          <w:r>
            <w:rPr>
              <w:i/>
              <w:iCs/>
              <w:noProof/>
              <w:lang w:val="en-US"/>
            </w:rPr>
            <w:t xml:space="preserve">Working from home. </w:t>
          </w:r>
          <w:r>
            <w:rPr>
              <w:noProof/>
              <w:lang w:val="en-US"/>
            </w:rPr>
            <w:t xml:space="preserve">[Online] </w:t>
          </w:r>
          <w:r>
            <w:rPr>
              <w:noProof/>
              <w:lang w:val="en-US"/>
            </w:rPr>
            <w:br/>
            <w:t xml:space="preserve">Available at: </w:t>
          </w:r>
          <w:r>
            <w:rPr>
              <w:noProof/>
              <w:u w:val="single"/>
              <w:lang w:val="en-US"/>
            </w:rPr>
            <w:t>https://www.acas.org.uk/working-from-home</w:t>
          </w:r>
          <w:r>
            <w:rPr>
              <w:noProof/>
              <w:lang w:val="en-US"/>
            </w:rPr>
            <w:br/>
            <w:t>[Accessed 12.05.2020].</w:t>
          </w:r>
        </w:p>
        <w:p w14:paraId="0F8084AC" w14:textId="39AEBF61" w:rsidR="00224297" w:rsidRDefault="00224297" w:rsidP="00224297">
          <w:pPr>
            <w:pStyle w:val="Bibliography"/>
            <w:rPr>
              <w:noProof/>
              <w:sz w:val="24"/>
              <w:szCs w:val="24"/>
              <w:lang w:val="en-US"/>
            </w:rPr>
          </w:pPr>
          <w:r>
            <w:rPr>
              <w:noProof/>
              <w:lang w:val="en-US"/>
            </w:rPr>
            <w:t xml:space="preserve">ACAS(a), 2020. </w:t>
          </w:r>
          <w:r>
            <w:rPr>
              <w:i/>
              <w:iCs/>
              <w:noProof/>
              <w:lang w:val="en-US"/>
            </w:rPr>
            <w:t xml:space="preserve">Equality Act 2010. </w:t>
          </w:r>
          <w:r>
            <w:rPr>
              <w:noProof/>
              <w:lang w:val="en-US"/>
            </w:rPr>
            <w:t xml:space="preserve">[Online] </w:t>
          </w:r>
          <w:r>
            <w:rPr>
              <w:noProof/>
              <w:lang w:val="en-US"/>
            </w:rPr>
            <w:br/>
            <w:t xml:space="preserve">Available at: </w:t>
          </w:r>
          <w:r>
            <w:rPr>
              <w:noProof/>
              <w:u w:val="single"/>
              <w:lang w:val="en-US"/>
            </w:rPr>
            <w:t>https://archive.acas.org.uk/index.aspx?articleid=1859</w:t>
          </w:r>
          <w:r>
            <w:rPr>
              <w:noProof/>
              <w:lang w:val="en-US"/>
            </w:rPr>
            <w:br/>
            <w:t>[Accessed 12.05.2020].</w:t>
          </w:r>
        </w:p>
        <w:p w14:paraId="39FB6B54" w14:textId="77777777" w:rsidR="00224297" w:rsidRDefault="00224297" w:rsidP="00224297">
          <w:pPr>
            <w:pStyle w:val="Bibliography"/>
            <w:rPr>
              <w:noProof/>
              <w:lang w:val="en-US"/>
            </w:rPr>
          </w:pPr>
          <w:r>
            <w:rPr>
              <w:noProof/>
              <w:lang w:val="en-US"/>
            </w:rPr>
            <w:t xml:space="preserve">Affinity Health at Work, 2011. </w:t>
          </w:r>
          <w:r>
            <w:rPr>
              <w:i/>
              <w:iCs/>
              <w:noProof/>
              <w:lang w:val="en-US"/>
            </w:rPr>
            <w:t xml:space="preserve">Developing Resilience, </w:t>
          </w:r>
          <w:r>
            <w:rPr>
              <w:noProof/>
              <w:lang w:val="en-US"/>
            </w:rPr>
            <w:t>London: CIPD.</w:t>
          </w:r>
        </w:p>
        <w:p w14:paraId="7D5154BF" w14:textId="77777777" w:rsidR="00224297" w:rsidRDefault="00224297" w:rsidP="00224297">
          <w:pPr>
            <w:pStyle w:val="Bibliography"/>
            <w:rPr>
              <w:noProof/>
              <w:lang w:val="en-US"/>
            </w:rPr>
          </w:pPr>
          <w:r>
            <w:rPr>
              <w:noProof/>
              <w:lang w:val="en-US"/>
            </w:rPr>
            <w:t xml:space="preserve">Bennett, N. &amp; Lemoine, G. J., 2014. What VUCA really means for you. </w:t>
          </w:r>
          <w:r>
            <w:rPr>
              <w:i/>
              <w:iCs/>
              <w:noProof/>
              <w:lang w:val="en-US"/>
            </w:rPr>
            <w:t>Harvard Business Review</w:t>
          </w:r>
          <w:r>
            <w:rPr>
              <w:noProof/>
              <w:lang w:val="en-US"/>
            </w:rPr>
            <w:t xml:space="preserve">. </w:t>
          </w:r>
        </w:p>
        <w:p w14:paraId="342D1E6C" w14:textId="77777777" w:rsidR="00224297" w:rsidRDefault="00224297" w:rsidP="00224297">
          <w:pPr>
            <w:pStyle w:val="Bibliography"/>
            <w:rPr>
              <w:noProof/>
              <w:lang w:val="en-US"/>
            </w:rPr>
          </w:pPr>
          <w:r>
            <w:rPr>
              <w:noProof/>
              <w:lang w:val="en-US"/>
            </w:rPr>
            <w:t xml:space="preserve">Bersin, J., 2020. </w:t>
          </w:r>
          <w:r>
            <w:rPr>
              <w:i/>
              <w:iCs/>
              <w:noProof/>
              <w:lang w:val="en-US"/>
            </w:rPr>
            <w:t xml:space="preserve">Responding To COVID-19. Ten Lessons From The World’s HR Leaders. </w:t>
          </w:r>
          <w:r>
            <w:rPr>
              <w:noProof/>
              <w:lang w:val="en-US"/>
            </w:rPr>
            <w:t xml:space="preserve">[Online] </w:t>
          </w:r>
          <w:r>
            <w:rPr>
              <w:noProof/>
              <w:lang w:val="en-US"/>
            </w:rPr>
            <w:br/>
            <w:t xml:space="preserve">Available at: </w:t>
          </w:r>
          <w:r>
            <w:rPr>
              <w:noProof/>
              <w:u w:val="single"/>
              <w:lang w:val="en-US"/>
            </w:rPr>
            <w:t>https://joshbersin.com/2020/04/responding-to-covid-19-ten-lessons-from-the-worlds-hr-leaders/</w:t>
          </w:r>
          <w:r>
            <w:rPr>
              <w:noProof/>
              <w:lang w:val="en-US"/>
            </w:rPr>
            <w:br/>
            <w:t>[Accessed 12.05.2020].</w:t>
          </w:r>
        </w:p>
        <w:p w14:paraId="41F4D29A" w14:textId="77777777" w:rsidR="00224297" w:rsidRDefault="00224297" w:rsidP="00224297">
          <w:pPr>
            <w:pStyle w:val="Bibliography"/>
            <w:rPr>
              <w:noProof/>
              <w:lang w:val="en-US"/>
            </w:rPr>
          </w:pPr>
          <w:r>
            <w:rPr>
              <w:noProof/>
              <w:lang w:val="en-US"/>
            </w:rPr>
            <w:t xml:space="preserve">Boxall, P. &amp; Macky , K., 2014. High-involvement work processes, work intensification and employee well-being. </w:t>
          </w:r>
          <w:r>
            <w:rPr>
              <w:i/>
              <w:iCs/>
              <w:noProof/>
              <w:lang w:val="en-US"/>
            </w:rPr>
            <w:t xml:space="preserve">Work, employment and society, </w:t>
          </w:r>
          <w:r>
            <w:rPr>
              <w:noProof/>
              <w:lang w:val="en-US"/>
            </w:rPr>
            <w:t>28(6), p. 963 –984.</w:t>
          </w:r>
        </w:p>
        <w:p w14:paraId="547F58BA" w14:textId="77777777" w:rsidR="00224297" w:rsidRDefault="00224297" w:rsidP="00224297">
          <w:pPr>
            <w:pStyle w:val="Bibliography"/>
            <w:rPr>
              <w:noProof/>
              <w:lang w:val="en-US"/>
            </w:rPr>
          </w:pPr>
          <w:r>
            <w:rPr>
              <w:noProof/>
              <w:lang w:val="en-US"/>
            </w:rPr>
            <w:t xml:space="preserve">CIPD, 2020. </w:t>
          </w:r>
          <w:r>
            <w:rPr>
              <w:i/>
              <w:iCs/>
              <w:noProof/>
              <w:lang w:val="en-US"/>
            </w:rPr>
            <w:t xml:space="preserve">PESTEL Analysis Factsheet. </w:t>
          </w:r>
          <w:r>
            <w:rPr>
              <w:noProof/>
              <w:lang w:val="en-US"/>
            </w:rPr>
            <w:t xml:space="preserve">[Online] </w:t>
          </w:r>
          <w:r>
            <w:rPr>
              <w:noProof/>
              <w:lang w:val="en-US"/>
            </w:rPr>
            <w:br/>
            <w:t xml:space="preserve">Available at: </w:t>
          </w:r>
          <w:r>
            <w:rPr>
              <w:noProof/>
              <w:u w:val="single"/>
              <w:lang w:val="en-US"/>
            </w:rPr>
            <w:t>https://www.cipd.co.uk/knowledge/strategy/organisational-development/pestle-analysis-factsheet#7992</w:t>
          </w:r>
          <w:r>
            <w:rPr>
              <w:noProof/>
              <w:lang w:val="en-US"/>
            </w:rPr>
            <w:br/>
            <w:t>[Accessed 12.05.2020].</w:t>
          </w:r>
        </w:p>
        <w:p w14:paraId="347BBB9A" w14:textId="5FA699C1" w:rsidR="00224297" w:rsidRDefault="00224297" w:rsidP="00224297">
          <w:pPr>
            <w:pStyle w:val="Bibliography"/>
            <w:rPr>
              <w:noProof/>
              <w:lang w:val="en-US"/>
            </w:rPr>
          </w:pPr>
          <w:r>
            <w:rPr>
              <w:noProof/>
              <w:lang w:val="en-US"/>
            </w:rPr>
            <w:t>CIPD</w:t>
          </w:r>
          <w:r>
            <w:rPr>
              <w:noProof/>
              <w:lang w:val="en-US"/>
            </w:rPr>
            <w:t>(</w:t>
          </w:r>
          <w:r>
            <w:rPr>
              <w:noProof/>
              <w:lang w:val="en-US"/>
            </w:rPr>
            <w:t>a</w:t>
          </w:r>
          <w:r>
            <w:rPr>
              <w:noProof/>
              <w:lang w:val="en-US"/>
            </w:rPr>
            <w:t>)</w:t>
          </w:r>
          <w:r>
            <w:rPr>
              <w:noProof/>
              <w:lang w:val="en-US"/>
            </w:rPr>
            <w:t xml:space="preserve">, 2020. </w:t>
          </w:r>
          <w:r>
            <w:rPr>
              <w:i/>
              <w:iCs/>
              <w:noProof/>
              <w:lang w:val="en-US"/>
            </w:rPr>
            <w:t xml:space="preserve">SWOT Analysis Factsheet. </w:t>
          </w:r>
          <w:r>
            <w:rPr>
              <w:noProof/>
              <w:lang w:val="en-US"/>
            </w:rPr>
            <w:t xml:space="preserve">[Online] </w:t>
          </w:r>
          <w:r>
            <w:rPr>
              <w:noProof/>
              <w:lang w:val="en-US"/>
            </w:rPr>
            <w:br/>
            <w:t xml:space="preserve">Available at: </w:t>
          </w:r>
          <w:r>
            <w:rPr>
              <w:noProof/>
              <w:u w:val="single"/>
              <w:lang w:val="en-US"/>
            </w:rPr>
            <w:t>https://www.cipd.co.uk/knowledge/strategy/organisational-development/swot-analysis-factsheet#8024</w:t>
          </w:r>
          <w:r>
            <w:rPr>
              <w:noProof/>
              <w:lang w:val="en-US"/>
            </w:rPr>
            <w:br/>
            <w:t>[Accessed 12.05.2020].</w:t>
          </w:r>
        </w:p>
        <w:p w14:paraId="749A0A05" w14:textId="0F1C1CB4" w:rsidR="00224297" w:rsidRDefault="00224297" w:rsidP="00224297">
          <w:pPr>
            <w:pStyle w:val="Bibliography"/>
            <w:rPr>
              <w:noProof/>
              <w:lang w:val="en-US"/>
            </w:rPr>
          </w:pPr>
          <w:r>
            <w:rPr>
              <w:noProof/>
              <w:lang w:val="en-US"/>
            </w:rPr>
            <w:t>CIPD</w:t>
          </w:r>
          <w:r>
            <w:rPr>
              <w:noProof/>
              <w:lang w:val="en-US"/>
            </w:rPr>
            <w:t>(</w:t>
          </w:r>
          <w:r>
            <w:rPr>
              <w:noProof/>
              <w:lang w:val="en-US"/>
            </w:rPr>
            <w:t>b</w:t>
          </w:r>
          <w:r>
            <w:rPr>
              <w:noProof/>
              <w:lang w:val="en-US"/>
            </w:rPr>
            <w:t>)</w:t>
          </w:r>
          <w:r>
            <w:rPr>
              <w:noProof/>
              <w:lang w:val="en-US"/>
            </w:rPr>
            <w:t xml:space="preserve">, 2020. </w:t>
          </w:r>
          <w:r>
            <w:rPr>
              <w:i/>
              <w:iCs/>
              <w:noProof/>
              <w:lang w:val="en-US"/>
            </w:rPr>
            <w:t xml:space="preserve">Coronavirus. </w:t>
          </w:r>
          <w:r>
            <w:rPr>
              <w:noProof/>
              <w:lang w:val="en-US"/>
            </w:rPr>
            <w:t xml:space="preserve">[Online] </w:t>
          </w:r>
          <w:r>
            <w:rPr>
              <w:noProof/>
              <w:lang w:val="en-US"/>
            </w:rPr>
            <w:br/>
            <w:t xml:space="preserve">Available at: </w:t>
          </w:r>
          <w:r>
            <w:rPr>
              <w:noProof/>
              <w:u w:val="single"/>
              <w:lang w:val="en-US"/>
            </w:rPr>
            <w:t>https://www.cipd.co.uk/news-views/coronavirus</w:t>
          </w:r>
          <w:r>
            <w:rPr>
              <w:noProof/>
              <w:lang w:val="en-US"/>
            </w:rPr>
            <w:br/>
            <w:t>[Accessed 12.05.2020].</w:t>
          </w:r>
        </w:p>
        <w:p w14:paraId="68402EB7" w14:textId="7A67A10B" w:rsidR="00224297" w:rsidRDefault="00224297" w:rsidP="00224297">
          <w:pPr>
            <w:pStyle w:val="Bibliography"/>
            <w:rPr>
              <w:noProof/>
              <w:lang w:val="en-US"/>
            </w:rPr>
          </w:pPr>
          <w:r>
            <w:rPr>
              <w:noProof/>
              <w:lang w:val="en-US"/>
            </w:rPr>
            <w:t xml:space="preserve">CIPD(c), 2020. </w:t>
          </w:r>
          <w:r>
            <w:rPr>
              <w:i/>
              <w:iCs/>
              <w:noProof/>
              <w:lang w:val="en-US"/>
            </w:rPr>
            <w:t xml:space="preserve">Understanding resilience: in a nutshell issue 89. </w:t>
          </w:r>
          <w:r>
            <w:rPr>
              <w:noProof/>
              <w:lang w:val="en-US"/>
            </w:rPr>
            <w:t xml:space="preserve">[Online] </w:t>
          </w:r>
          <w:r>
            <w:rPr>
              <w:noProof/>
              <w:lang w:val="en-US"/>
            </w:rPr>
            <w:br/>
            <w:t xml:space="preserve">Available at: </w:t>
          </w:r>
          <w:r>
            <w:rPr>
              <w:noProof/>
              <w:u w:val="single"/>
              <w:lang w:val="en-US"/>
            </w:rPr>
            <w:t>https://www.cipd.co.uk/news-views/nutshell/issue-89/resilience</w:t>
          </w:r>
          <w:r>
            <w:rPr>
              <w:noProof/>
              <w:lang w:val="en-US"/>
            </w:rPr>
            <w:br/>
            <w:t>[Accessed 12.05.2020].</w:t>
          </w:r>
        </w:p>
        <w:p w14:paraId="014D1B58" w14:textId="77777777" w:rsidR="00224297" w:rsidRDefault="00224297" w:rsidP="00224297">
          <w:pPr>
            <w:pStyle w:val="Bibliography"/>
            <w:rPr>
              <w:noProof/>
              <w:lang w:val="en-US"/>
            </w:rPr>
          </w:pPr>
          <w:r>
            <w:rPr>
              <w:noProof/>
              <w:lang w:val="en-US"/>
            </w:rPr>
            <w:t xml:space="preserve">CIPD(d) podcast, 2020. </w:t>
          </w:r>
          <w:r>
            <w:rPr>
              <w:i/>
              <w:iCs/>
              <w:noProof/>
              <w:lang w:val="en-US"/>
            </w:rPr>
            <w:t xml:space="preserve">Business survival in the age of COVID-19. </w:t>
          </w:r>
          <w:r>
            <w:rPr>
              <w:noProof/>
              <w:lang w:val="en-US"/>
            </w:rPr>
            <w:t>[Sound Recording] (CIPD).</w:t>
          </w:r>
        </w:p>
        <w:p w14:paraId="061EB1ED" w14:textId="77777777" w:rsidR="00224297" w:rsidRDefault="00224297" w:rsidP="00224297">
          <w:pPr>
            <w:pStyle w:val="Bibliography"/>
            <w:rPr>
              <w:noProof/>
              <w:lang w:val="en-US"/>
            </w:rPr>
          </w:pPr>
          <w:r>
            <w:rPr>
              <w:noProof/>
              <w:lang w:val="en-US"/>
            </w:rPr>
            <w:t xml:space="preserve">CIPD(e), 2020. </w:t>
          </w:r>
          <w:r>
            <w:rPr>
              <w:i/>
              <w:iCs/>
              <w:noProof/>
              <w:lang w:val="en-US"/>
            </w:rPr>
            <w:t xml:space="preserve">Employee Relations. </w:t>
          </w:r>
          <w:r>
            <w:rPr>
              <w:noProof/>
              <w:lang w:val="en-US"/>
            </w:rPr>
            <w:t xml:space="preserve">[Online] </w:t>
          </w:r>
          <w:r>
            <w:rPr>
              <w:noProof/>
              <w:lang w:val="en-US"/>
            </w:rPr>
            <w:br/>
            <w:t xml:space="preserve">Available at: </w:t>
          </w:r>
          <w:r>
            <w:rPr>
              <w:noProof/>
              <w:u w:val="single"/>
              <w:lang w:val="en-US"/>
            </w:rPr>
            <w:t>https://www.cipd.co.uk/knowledge/fundamentals/relations/employees/factsheet</w:t>
          </w:r>
          <w:r>
            <w:rPr>
              <w:noProof/>
              <w:lang w:val="en-US"/>
            </w:rPr>
            <w:br/>
            <w:t>[Accessed 13.05.2020].</w:t>
          </w:r>
        </w:p>
        <w:p w14:paraId="629C71FE" w14:textId="77777777" w:rsidR="00224297" w:rsidRDefault="00224297" w:rsidP="00224297">
          <w:pPr>
            <w:pStyle w:val="Bibliography"/>
            <w:rPr>
              <w:noProof/>
              <w:lang w:val="en-US"/>
            </w:rPr>
          </w:pPr>
          <w:r>
            <w:rPr>
              <w:noProof/>
              <w:lang w:val="en-US"/>
            </w:rPr>
            <w:t xml:space="preserve">CIPD(f), 2019. </w:t>
          </w:r>
          <w:r>
            <w:rPr>
              <w:i/>
              <w:iCs/>
              <w:noProof/>
              <w:lang w:val="en-US"/>
            </w:rPr>
            <w:t xml:space="preserve">Labour outlook Report, </w:t>
          </w:r>
          <w:r>
            <w:rPr>
              <w:noProof/>
              <w:lang w:val="en-US"/>
            </w:rPr>
            <w:t>London: CIPD &amp; Adecco Group.</w:t>
          </w:r>
        </w:p>
        <w:p w14:paraId="26CDF8A5" w14:textId="77777777" w:rsidR="00224297" w:rsidRDefault="00224297" w:rsidP="00224297">
          <w:pPr>
            <w:pStyle w:val="Bibliography"/>
            <w:rPr>
              <w:noProof/>
              <w:lang w:val="en-US"/>
            </w:rPr>
          </w:pPr>
          <w:r>
            <w:rPr>
              <w:noProof/>
              <w:lang w:val="en-US"/>
            </w:rPr>
            <w:t xml:space="preserve">CIPD(g), 2020. </w:t>
          </w:r>
          <w:r>
            <w:rPr>
              <w:i/>
              <w:iCs/>
              <w:noProof/>
              <w:lang w:val="en-US"/>
            </w:rPr>
            <w:t xml:space="preserve">Labour Markets. </w:t>
          </w:r>
          <w:r>
            <w:rPr>
              <w:noProof/>
              <w:lang w:val="en-US"/>
            </w:rPr>
            <w:t xml:space="preserve">[Online] </w:t>
          </w:r>
          <w:r>
            <w:rPr>
              <w:noProof/>
              <w:lang w:val="en-US"/>
            </w:rPr>
            <w:br/>
            <w:t xml:space="preserve">Available at: </w:t>
          </w:r>
          <w:r>
            <w:rPr>
              <w:noProof/>
              <w:u w:val="single"/>
              <w:lang w:val="en-US"/>
            </w:rPr>
            <w:t>https://www.cipd.co.uk/knowledge/work/trends/economy-labour-market-factsheet</w:t>
          </w:r>
          <w:r>
            <w:rPr>
              <w:noProof/>
              <w:lang w:val="en-US"/>
            </w:rPr>
            <w:br/>
            <w:t>[Accessed 13.05.2020].</w:t>
          </w:r>
        </w:p>
        <w:p w14:paraId="46C8A496" w14:textId="77777777" w:rsidR="00224297" w:rsidRDefault="00224297" w:rsidP="00224297">
          <w:pPr>
            <w:pStyle w:val="Bibliography"/>
            <w:rPr>
              <w:noProof/>
              <w:lang w:val="en-US"/>
            </w:rPr>
          </w:pPr>
          <w:r>
            <w:rPr>
              <w:noProof/>
              <w:lang w:val="en-US"/>
            </w:rPr>
            <w:t xml:space="preserve">CIPD(h), 2020. </w:t>
          </w:r>
          <w:r>
            <w:rPr>
              <w:i/>
              <w:iCs/>
              <w:noProof/>
              <w:lang w:val="en-US"/>
            </w:rPr>
            <w:t xml:space="preserve">Corporate Responsibility. </w:t>
          </w:r>
          <w:r>
            <w:rPr>
              <w:noProof/>
              <w:lang w:val="en-US"/>
            </w:rPr>
            <w:t xml:space="preserve">[Online] </w:t>
          </w:r>
          <w:r>
            <w:rPr>
              <w:noProof/>
              <w:lang w:val="en-US"/>
            </w:rPr>
            <w:br/>
            <w:t xml:space="preserve">Available at: </w:t>
          </w:r>
          <w:r>
            <w:rPr>
              <w:noProof/>
              <w:u w:val="single"/>
              <w:lang w:val="en-US"/>
            </w:rPr>
            <w:t>https://www.cipd.co.uk/knowledge/strategy/corporate-responsibility/factsheet</w:t>
          </w:r>
          <w:r>
            <w:rPr>
              <w:noProof/>
              <w:lang w:val="en-US"/>
            </w:rPr>
            <w:br/>
            <w:t>[Accessed 13.05.2020].</w:t>
          </w:r>
        </w:p>
        <w:p w14:paraId="47F5418E" w14:textId="7197B82C" w:rsidR="00224297" w:rsidRDefault="00224297" w:rsidP="00224297">
          <w:pPr>
            <w:pStyle w:val="Bibliography"/>
            <w:rPr>
              <w:noProof/>
              <w:lang w:val="en-US"/>
            </w:rPr>
          </w:pPr>
          <w:r>
            <w:rPr>
              <w:noProof/>
              <w:lang w:val="en-US"/>
            </w:rPr>
            <w:lastRenderedPageBreak/>
            <w:t xml:space="preserve">Craig, W., 2018. </w:t>
          </w:r>
          <w:r>
            <w:rPr>
              <w:i/>
              <w:iCs/>
              <w:noProof/>
              <w:lang w:val="en-US"/>
            </w:rPr>
            <w:t xml:space="preserve">The Importance Of Creating Sustainable Employees In The Workplace. </w:t>
          </w:r>
          <w:r>
            <w:rPr>
              <w:noProof/>
              <w:lang w:val="en-US"/>
            </w:rPr>
            <w:t xml:space="preserve">[Online] </w:t>
          </w:r>
          <w:r>
            <w:rPr>
              <w:noProof/>
              <w:lang w:val="en-US"/>
            </w:rPr>
            <w:br/>
            <w:t xml:space="preserve">Available at: </w:t>
          </w:r>
          <w:r>
            <w:rPr>
              <w:noProof/>
              <w:u w:val="single"/>
              <w:lang w:val="en-US"/>
            </w:rPr>
            <w:t>https://www.forbes.com/sites/williamcraig/2018/06/19/the-importance-of-creating-sustainable-employees-in-the-workplace/#34b390387285</w:t>
          </w:r>
          <w:r>
            <w:rPr>
              <w:noProof/>
              <w:lang w:val="en-US"/>
            </w:rPr>
            <w:br/>
            <w:t>[Accessed 13.05.2020].</w:t>
          </w:r>
        </w:p>
        <w:p w14:paraId="6481719C" w14:textId="2258AE3A" w:rsidR="00224297" w:rsidRPr="00224297" w:rsidRDefault="00224297" w:rsidP="00224297">
          <w:pPr>
            <w:pStyle w:val="Bibliography"/>
            <w:rPr>
              <w:noProof/>
              <w:lang w:val="en-US"/>
            </w:rPr>
          </w:pPr>
          <w:r>
            <w:rPr>
              <w:noProof/>
              <w:lang w:val="en-US"/>
            </w:rPr>
            <w:t xml:space="preserve">Deloitte, 2018. </w:t>
          </w:r>
          <w:r>
            <w:rPr>
              <w:i/>
              <w:iCs/>
              <w:noProof/>
              <w:lang w:val="en-US"/>
            </w:rPr>
            <w:t xml:space="preserve">The rise of the social enterprise, </w:t>
          </w:r>
          <w:r>
            <w:rPr>
              <w:noProof/>
              <w:lang w:val="en-US"/>
            </w:rPr>
            <w:t>Europe: Deloitte ltd.</w:t>
          </w:r>
        </w:p>
        <w:p w14:paraId="26E0C625" w14:textId="77777777" w:rsidR="00224297" w:rsidRDefault="00224297" w:rsidP="00224297">
          <w:pPr>
            <w:pStyle w:val="Bibliography"/>
            <w:rPr>
              <w:noProof/>
              <w:lang w:val="en-US"/>
            </w:rPr>
          </w:pPr>
          <w:r>
            <w:rPr>
              <w:noProof/>
              <w:lang w:val="en-US"/>
            </w:rPr>
            <w:t xml:space="preserve">Deloitte(a), 2019. Leading in a VUCA world. </w:t>
          </w:r>
          <w:r>
            <w:rPr>
              <w:i/>
              <w:iCs/>
              <w:noProof/>
              <w:lang w:val="en-US"/>
            </w:rPr>
            <w:t>Deloitte</w:t>
          </w:r>
          <w:r>
            <w:rPr>
              <w:noProof/>
              <w:lang w:val="en-US"/>
            </w:rPr>
            <w:t>, 23 08, p. Online.</w:t>
          </w:r>
        </w:p>
        <w:p w14:paraId="181E3FF4" w14:textId="77777777" w:rsidR="00224297" w:rsidRDefault="00224297" w:rsidP="00224297">
          <w:pPr>
            <w:pStyle w:val="Bibliography"/>
            <w:rPr>
              <w:noProof/>
              <w:lang w:val="en-US"/>
            </w:rPr>
          </w:pPr>
          <w:r>
            <w:rPr>
              <w:noProof/>
              <w:lang w:val="en-US"/>
            </w:rPr>
            <w:t xml:space="preserve">Deloitte(b), 2019. </w:t>
          </w:r>
          <w:r>
            <w:rPr>
              <w:i/>
              <w:iCs/>
              <w:noProof/>
              <w:lang w:val="en-US"/>
            </w:rPr>
            <w:t xml:space="preserve">How are organizations helping their workforces perform and flourish?, </w:t>
          </w:r>
          <w:r>
            <w:rPr>
              <w:noProof/>
              <w:lang w:val="en-US"/>
            </w:rPr>
            <w:t>Manchester: Deloitte.</w:t>
          </w:r>
        </w:p>
        <w:p w14:paraId="10E1609E" w14:textId="77777777" w:rsidR="00224297" w:rsidRDefault="00224297" w:rsidP="00224297">
          <w:pPr>
            <w:pStyle w:val="Bibliography"/>
            <w:rPr>
              <w:noProof/>
              <w:lang w:val="en-US"/>
            </w:rPr>
          </w:pPr>
          <w:r>
            <w:rPr>
              <w:noProof/>
              <w:lang w:val="en-US"/>
            </w:rPr>
            <w:t xml:space="preserve">Dobbs, M., 2014. Guidelines for applying Porter's five forces framework: a set of industry analysis templates. </w:t>
          </w:r>
          <w:r>
            <w:rPr>
              <w:i/>
              <w:iCs/>
              <w:noProof/>
              <w:lang w:val="en-US"/>
            </w:rPr>
            <w:t xml:space="preserve">Competitiveness Review, </w:t>
          </w:r>
          <w:r>
            <w:rPr>
              <w:noProof/>
              <w:lang w:val="en-US"/>
            </w:rPr>
            <w:t>24(1), pp. 32-45.</w:t>
          </w:r>
        </w:p>
        <w:p w14:paraId="314447B2" w14:textId="77777777" w:rsidR="00224297" w:rsidRDefault="00224297" w:rsidP="00224297">
          <w:pPr>
            <w:pStyle w:val="Bibliography"/>
            <w:rPr>
              <w:noProof/>
              <w:lang w:val="en-US"/>
            </w:rPr>
          </w:pPr>
          <w:r>
            <w:rPr>
              <w:noProof/>
              <w:lang w:val="en-US"/>
            </w:rPr>
            <w:t xml:space="preserve">Everett, C., 2016. What does the gig economy mean for HR?. </w:t>
          </w:r>
          <w:r>
            <w:rPr>
              <w:i/>
              <w:iCs/>
              <w:noProof/>
              <w:lang w:val="en-US"/>
            </w:rPr>
            <w:t>Personnel Today</w:t>
          </w:r>
          <w:r>
            <w:rPr>
              <w:noProof/>
              <w:lang w:val="en-US"/>
            </w:rPr>
            <w:t>, 15 02, pp. 1-6.</w:t>
          </w:r>
        </w:p>
        <w:p w14:paraId="237F3748" w14:textId="77777777" w:rsidR="00224297" w:rsidRDefault="00224297" w:rsidP="00224297">
          <w:pPr>
            <w:pStyle w:val="Bibliography"/>
            <w:rPr>
              <w:noProof/>
              <w:lang w:val="en-US"/>
            </w:rPr>
          </w:pPr>
          <w:r>
            <w:rPr>
              <w:noProof/>
              <w:lang w:val="en-US"/>
            </w:rPr>
            <w:t xml:space="preserve">Farnham, D., 2015. Developing Corporate Strategies. In: </w:t>
          </w:r>
          <w:r>
            <w:rPr>
              <w:i/>
              <w:iCs/>
              <w:noProof/>
              <w:lang w:val="en-US"/>
            </w:rPr>
            <w:t xml:space="preserve">Human Resource Managment in Context. </w:t>
          </w:r>
          <w:r>
            <w:rPr>
              <w:noProof/>
              <w:lang w:val="en-US"/>
            </w:rPr>
            <w:t>4 ed. London: CIPD, pp. 138-149.</w:t>
          </w:r>
        </w:p>
        <w:p w14:paraId="627880CC" w14:textId="77777777" w:rsidR="00224297" w:rsidRDefault="00224297" w:rsidP="00224297">
          <w:pPr>
            <w:pStyle w:val="Bibliography"/>
            <w:rPr>
              <w:noProof/>
              <w:lang w:val="en-US"/>
            </w:rPr>
          </w:pPr>
          <w:r>
            <w:rPr>
              <w:noProof/>
              <w:lang w:val="en-US"/>
            </w:rPr>
            <w:t xml:space="preserve">Fiedler, F., 1967. </w:t>
          </w:r>
          <w:r>
            <w:rPr>
              <w:i/>
              <w:iCs/>
              <w:noProof/>
              <w:lang w:val="en-US"/>
            </w:rPr>
            <w:t xml:space="preserve">A thoery of leadership effectiveness. </w:t>
          </w:r>
          <w:r>
            <w:rPr>
              <w:noProof/>
              <w:lang w:val="en-US"/>
            </w:rPr>
            <w:t>New York : McGraw Hill .</w:t>
          </w:r>
        </w:p>
        <w:p w14:paraId="43F2026D" w14:textId="77777777" w:rsidR="00224297" w:rsidRDefault="00224297" w:rsidP="00224297">
          <w:pPr>
            <w:pStyle w:val="Bibliography"/>
            <w:rPr>
              <w:noProof/>
              <w:lang w:val="en-US"/>
            </w:rPr>
          </w:pPr>
          <w:r>
            <w:rPr>
              <w:noProof/>
              <w:lang w:val="en-US"/>
            </w:rPr>
            <w:t xml:space="preserve">GOV.UK, 2020. </w:t>
          </w:r>
          <w:r>
            <w:rPr>
              <w:i/>
              <w:iCs/>
              <w:noProof/>
              <w:lang w:val="en-US"/>
            </w:rPr>
            <w:t xml:space="preserve">COVID-19. </w:t>
          </w:r>
          <w:r>
            <w:rPr>
              <w:noProof/>
              <w:lang w:val="en-US"/>
            </w:rPr>
            <w:t xml:space="preserve">[Online] </w:t>
          </w:r>
          <w:r>
            <w:rPr>
              <w:noProof/>
              <w:lang w:val="en-US"/>
            </w:rPr>
            <w:br/>
            <w:t xml:space="preserve">Available at: </w:t>
          </w:r>
          <w:r>
            <w:rPr>
              <w:noProof/>
              <w:u w:val="single"/>
              <w:lang w:val="en-US"/>
            </w:rPr>
            <w:t>https://www.gov.uk/government/publications/changes-to-the-law-on-education-health-and-care-needs-assessments-and-plans-due-to-coronavirus</w:t>
          </w:r>
          <w:r>
            <w:rPr>
              <w:noProof/>
              <w:lang w:val="en-US"/>
            </w:rPr>
            <w:br/>
            <w:t>[Accessed 12.05.2020].</w:t>
          </w:r>
        </w:p>
        <w:p w14:paraId="3653F427" w14:textId="77777777" w:rsidR="00224297" w:rsidRDefault="00224297" w:rsidP="00224297">
          <w:pPr>
            <w:pStyle w:val="Bibliography"/>
            <w:rPr>
              <w:noProof/>
              <w:lang w:val="en-US"/>
            </w:rPr>
          </w:pPr>
          <w:r>
            <w:rPr>
              <w:noProof/>
              <w:lang w:val="en-US"/>
            </w:rPr>
            <w:t xml:space="preserve">Gov.uk, 2020. </w:t>
          </w:r>
          <w:r>
            <w:rPr>
              <w:i/>
              <w:iCs/>
              <w:noProof/>
              <w:lang w:val="en-US"/>
            </w:rPr>
            <w:t xml:space="preserve">Environmental and sustainability policy. </w:t>
          </w:r>
          <w:r>
            <w:rPr>
              <w:noProof/>
              <w:lang w:val="en-US"/>
            </w:rPr>
            <w:t xml:space="preserve">[Online] </w:t>
          </w:r>
          <w:r>
            <w:rPr>
              <w:noProof/>
              <w:lang w:val="en-US"/>
            </w:rPr>
            <w:br/>
            <w:t xml:space="preserve">Available at: </w:t>
          </w:r>
          <w:r>
            <w:rPr>
              <w:noProof/>
              <w:u w:val="single"/>
              <w:lang w:val="en-US"/>
            </w:rPr>
            <w:t>https://assets.publishing.service.gov.uk/government/uploads/system/uploads/attachment_data/file/356348/Environmental_and_sustainability_policy.pdf</w:t>
          </w:r>
          <w:r>
            <w:rPr>
              <w:noProof/>
              <w:lang w:val="en-US"/>
            </w:rPr>
            <w:br/>
            <w:t>[Accessed 13.05.2020].</w:t>
          </w:r>
        </w:p>
        <w:p w14:paraId="4DCA4CDD" w14:textId="77777777" w:rsidR="00224297" w:rsidRDefault="00224297" w:rsidP="00224297">
          <w:pPr>
            <w:pStyle w:val="Bibliography"/>
            <w:rPr>
              <w:noProof/>
              <w:lang w:val="en-US"/>
            </w:rPr>
          </w:pPr>
          <w:r>
            <w:rPr>
              <w:noProof/>
              <w:lang w:val="en-US"/>
            </w:rPr>
            <w:t xml:space="preserve">Jones, A. et al., 2007. </w:t>
          </w:r>
          <w:r>
            <w:rPr>
              <w:i/>
              <w:iCs/>
              <w:noProof/>
              <w:lang w:val="en-US"/>
            </w:rPr>
            <w:t xml:space="preserve">Transforming Work: reviewing the case for change and new ways of working, </w:t>
          </w:r>
          <w:r>
            <w:rPr>
              <w:noProof/>
              <w:lang w:val="en-US"/>
            </w:rPr>
            <w:t>Manchester: The Work Foundation and EQC.</w:t>
          </w:r>
        </w:p>
        <w:p w14:paraId="64F3AC2D" w14:textId="77777777" w:rsidR="00224297" w:rsidRDefault="00224297" w:rsidP="00224297">
          <w:pPr>
            <w:pStyle w:val="Bibliography"/>
            <w:rPr>
              <w:noProof/>
              <w:lang w:val="en-US"/>
            </w:rPr>
          </w:pPr>
          <w:r>
            <w:rPr>
              <w:noProof/>
              <w:lang w:val="en-US"/>
            </w:rPr>
            <w:t xml:space="preserve">Kaplan, R. &amp; Mikes , A., 2012. Managing Risks: A New Framework. </w:t>
          </w:r>
          <w:r>
            <w:rPr>
              <w:i/>
              <w:iCs/>
              <w:noProof/>
              <w:lang w:val="en-US"/>
            </w:rPr>
            <w:t>Harvard Business Review</w:t>
          </w:r>
          <w:r>
            <w:rPr>
              <w:noProof/>
              <w:lang w:val="en-US"/>
            </w:rPr>
            <w:t>, p. Online.</w:t>
          </w:r>
        </w:p>
        <w:p w14:paraId="732117C8" w14:textId="77777777" w:rsidR="00224297" w:rsidRDefault="00224297" w:rsidP="00224297">
          <w:pPr>
            <w:pStyle w:val="Bibliography"/>
            <w:rPr>
              <w:noProof/>
              <w:lang w:val="en-US"/>
            </w:rPr>
          </w:pPr>
          <w:r>
            <w:rPr>
              <w:noProof/>
              <w:lang w:val="en-US"/>
            </w:rPr>
            <w:t xml:space="preserve">Kew, J. &amp; Stredwick, J., 2013. </w:t>
          </w:r>
          <w:r>
            <w:rPr>
              <w:i/>
              <w:iCs/>
              <w:noProof/>
              <w:lang w:val="en-US"/>
            </w:rPr>
            <w:t xml:space="preserve">Human Resource Management in a Context. </w:t>
          </w:r>
          <w:r>
            <w:rPr>
              <w:noProof/>
              <w:lang w:val="en-US"/>
            </w:rPr>
            <w:t>2 ed. London: CIPD.</w:t>
          </w:r>
        </w:p>
        <w:p w14:paraId="579A40E7" w14:textId="77777777" w:rsidR="00224297" w:rsidRDefault="00224297" w:rsidP="00224297">
          <w:pPr>
            <w:pStyle w:val="Bibliography"/>
            <w:rPr>
              <w:noProof/>
              <w:lang w:val="en-US"/>
            </w:rPr>
          </w:pPr>
          <w:r>
            <w:rPr>
              <w:noProof/>
              <w:lang w:val="en-US"/>
            </w:rPr>
            <w:t xml:space="preserve">Mason, M., 2020. </w:t>
          </w:r>
          <w:r>
            <w:rPr>
              <w:i/>
              <w:iCs/>
              <w:noProof/>
              <w:lang w:val="en-US"/>
            </w:rPr>
            <w:t xml:space="preserve">What is sustainability?. </w:t>
          </w:r>
          <w:r>
            <w:rPr>
              <w:noProof/>
              <w:lang w:val="en-US"/>
            </w:rPr>
            <w:t xml:space="preserve">[Online] </w:t>
          </w:r>
          <w:r>
            <w:rPr>
              <w:noProof/>
              <w:lang w:val="en-US"/>
            </w:rPr>
            <w:br/>
            <w:t xml:space="preserve">Available at: </w:t>
          </w:r>
          <w:r>
            <w:rPr>
              <w:noProof/>
              <w:u w:val="single"/>
              <w:lang w:val="en-US"/>
            </w:rPr>
            <w:t>https://www.environmentalscience.org/sustainability</w:t>
          </w:r>
          <w:r>
            <w:rPr>
              <w:noProof/>
              <w:lang w:val="en-US"/>
            </w:rPr>
            <w:br/>
            <w:t>[Accessed 13.05.2020].</w:t>
          </w:r>
        </w:p>
        <w:p w14:paraId="53B8B176" w14:textId="77777777" w:rsidR="00224297" w:rsidRDefault="00224297" w:rsidP="00224297">
          <w:pPr>
            <w:pStyle w:val="Bibliography"/>
            <w:rPr>
              <w:noProof/>
              <w:lang w:val="en-US"/>
            </w:rPr>
          </w:pPr>
          <w:r>
            <w:rPr>
              <w:noProof/>
              <w:lang w:val="en-US"/>
            </w:rPr>
            <w:t xml:space="preserve">Mind, 2020. </w:t>
          </w:r>
          <w:r>
            <w:rPr>
              <w:i/>
              <w:iCs/>
              <w:noProof/>
              <w:lang w:val="en-US"/>
            </w:rPr>
            <w:t xml:space="preserve">Covid-19. </w:t>
          </w:r>
          <w:r>
            <w:rPr>
              <w:noProof/>
              <w:lang w:val="en-US"/>
            </w:rPr>
            <w:t xml:space="preserve">[Online] </w:t>
          </w:r>
          <w:r>
            <w:rPr>
              <w:noProof/>
              <w:lang w:val="en-US"/>
            </w:rPr>
            <w:br/>
            <w:t xml:space="preserve">Available at: </w:t>
          </w:r>
          <w:r>
            <w:rPr>
              <w:noProof/>
              <w:u w:val="single"/>
              <w:lang w:val="en-US"/>
            </w:rPr>
            <w:t>https://www.mind.org.uk/</w:t>
          </w:r>
          <w:r>
            <w:rPr>
              <w:noProof/>
              <w:lang w:val="en-US"/>
            </w:rPr>
            <w:br/>
            <w:t>[Accessed 12.05.2020].</w:t>
          </w:r>
        </w:p>
        <w:p w14:paraId="6F7CEA02" w14:textId="77777777" w:rsidR="00224297" w:rsidRDefault="00224297" w:rsidP="00224297">
          <w:pPr>
            <w:pStyle w:val="Bibliography"/>
            <w:rPr>
              <w:noProof/>
              <w:lang w:val="en-US"/>
            </w:rPr>
          </w:pPr>
          <w:r>
            <w:rPr>
              <w:noProof/>
              <w:lang w:val="en-US"/>
            </w:rPr>
            <w:t xml:space="preserve">Mintzburg, H., 1987. Crafting Strategy. </w:t>
          </w:r>
          <w:r>
            <w:rPr>
              <w:i/>
              <w:iCs/>
              <w:noProof/>
              <w:lang w:val="en-US"/>
            </w:rPr>
            <w:t xml:space="preserve">Harvard Buisness Review, </w:t>
          </w:r>
          <w:r>
            <w:rPr>
              <w:noProof/>
              <w:lang w:val="en-US"/>
            </w:rPr>
            <w:t>65(4), pp. 65-75.</w:t>
          </w:r>
        </w:p>
        <w:p w14:paraId="262A4F61" w14:textId="77777777" w:rsidR="00224297" w:rsidRDefault="00224297" w:rsidP="00224297">
          <w:pPr>
            <w:pStyle w:val="Bibliography"/>
            <w:rPr>
              <w:noProof/>
              <w:lang w:val="en-US"/>
            </w:rPr>
          </w:pPr>
          <w:r>
            <w:rPr>
              <w:noProof/>
              <w:lang w:val="en-US"/>
            </w:rPr>
            <w:t xml:space="preserve">Mullins, L., 2010. </w:t>
          </w:r>
          <w:r>
            <w:rPr>
              <w:i/>
              <w:iCs/>
              <w:noProof/>
              <w:lang w:val="en-US"/>
            </w:rPr>
            <w:t xml:space="preserve">Management and organisational behaviour. </w:t>
          </w:r>
          <w:r>
            <w:rPr>
              <w:noProof/>
              <w:lang w:val="en-US"/>
            </w:rPr>
            <w:t>9 ed. England: Pearson.</w:t>
          </w:r>
        </w:p>
        <w:p w14:paraId="5A808731" w14:textId="77777777" w:rsidR="00224297" w:rsidRDefault="00224297" w:rsidP="00224297">
          <w:pPr>
            <w:pStyle w:val="Bibliography"/>
            <w:rPr>
              <w:noProof/>
              <w:lang w:val="en-US"/>
            </w:rPr>
          </w:pPr>
          <w:r>
            <w:rPr>
              <w:noProof/>
              <w:lang w:val="en-US"/>
            </w:rPr>
            <w:t xml:space="preserve">Palmer, S., 2020. Two in five businesses have no contingency plan to manage coronavirus outbreak. </w:t>
          </w:r>
          <w:r>
            <w:rPr>
              <w:i/>
              <w:iCs/>
              <w:noProof/>
              <w:lang w:val="en-US"/>
            </w:rPr>
            <w:t>People management</w:t>
          </w:r>
          <w:r>
            <w:rPr>
              <w:noProof/>
              <w:lang w:val="en-US"/>
            </w:rPr>
            <w:t xml:space="preserve">, 13 03. </w:t>
          </w:r>
        </w:p>
        <w:p w14:paraId="4034116F" w14:textId="550CB767" w:rsidR="00224297" w:rsidRDefault="00224297" w:rsidP="00224297">
          <w:pPr>
            <w:pStyle w:val="Bibliography"/>
            <w:rPr>
              <w:noProof/>
              <w:lang w:val="en-US"/>
            </w:rPr>
          </w:pPr>
          <w:r>
            <w:rPr>
              <w:noProof/>
              <w:lang w:val="en-US"/>
            </w:rPr>
            <w:lastRenderedPageBreak/>
            <w:t xml:space="preserve">Palmer(a), S., 2020. HR managers fear rise in staff absence due to mental ill-health during lockdown. </w:t>
          </w:r>
          <w:r>
            <w:rPr>
              <w:i/>
              <w:iCs/>
              <w:noProof/>
              <w:lang w:val="en-US"/>
            </w:rPr>
            <w:t>People management</w:t>
          </w:r>
          <w:r>
            <w:rPr>
              <w:noProof/>
              <w:lang w:val="en-US"/>
            </w:rPr>
            <w:t>, 05 05, p. Online.</w:t>
          </w:r>
        </w:p>
        <w:p w14:paraId="288D96F5" w14:textId="5EB91554" w:rsidR="00224297" w:rsidRDefault="00224297" w:rsidP="00224297">
          <w:pPr>
            <w:pStyle w:val="Bibliography"/>
            <w:rPr>
              <w:noProof/>
              <w:lang w:val="en-US"/>
            </w:rPr>
          </w:pPr>
          <w:r>
            <w:rPr>
              <w:noProof/>
              <w:lang w:val="en-US"/>
            </w:rPr>
            <w:t xml:space="preserve">Palmer(b), S., 2020. Two in five anxious about returning to work, poll finds. </w:t>
          </w:r>
          <w:r>
            <w:rPr>
              <w:i/>
              <w:iCs/>
              <w:noProof/>
              <w:lang w:val="en-US"/>
            </w:rPr>
            <w:t>People Management</w:t>
          </w:r>
          <w:r>
            <w:rPr>
              <w:noProof/>
              <w:lang w:val="en-US"/>
            </w:rPr>
            <w:t>, 11 05, p. Online.</w:t>
          </w:r>
        </w:p>
        <w:p w14:paraId="7D74159F" w14:textId="35347265" w:rsidR="00224297" w:rsidRPr="00224297" w:rsidRDefault="00224297" w:rsidP="00224297">
          <w:pPr>
            <w:pStyle w:val="Bibliography"/>
            <w:rPr>
              <w:noProof/>
              <w:lang w:val="en-US"/>
            </w:rPr>
          </w:pPr>
          <w:r>
            <w:rPr>
              <w:noProof/>
              <w:lang w:val="en-US"/>
            </w:rPr>
            <w:t>Palmer</w:t>
          </w:r>
          <w:r>
            <w:rPr>
              <w:noProof/>
              <w:lang w:val="en-US"/>
            </w:rPr>
            <w:t>©</w:t>
          </w:r>
          <w:r>
            <w:rPr>
              <w:noProof/>
              <w:lang w:val="en-US"/>
            </w:rPr>
            <w:t xml:space="preserve">, S., 2020. UK Businesses Ignore Climate Change. </w:t>
          </w:r>
          <w:r>
            <w:rPr>
              <w:i/>
              <w:iCs/>
              <w:noProof/>
              <w:lang w:val="en-US"/>
            </w:rPr>
            <w:t>People Management</w:t>
          </w:r>
          <w:r>
            <w:rPr>
              <w:noProof/>
              <w:lang w:val="en-US"/>
            </w:rPr>
            <w:t>, p. Online.</w:t>
          </w:r>
        </w:p>
        <w:p w14:paraId="11483827" w14:textId="77777777" w:rsidR="00224297" w:rsidRDefault="00224297" w:rsidP="00224297">
          <w:pPr>
            <w:pStyle w:val="Bibliography"/>
            <w:rPr>
              <w:noProof/>
              <w:lang w:val="en-US"/>
            </w:rPr>
          </w:pPr>
          <w:r>
            <w:rPr>
              <w:noProof/>
              <w:lang w:val="en-US"/>
            </w:rPr>
            <w:t xml:space="preserve">Parliament, U., 2020. </w:t>
          </w:r>
          <w:r>
            <w:rPr>
              <w:i/>
              <w:iCs/>
              <w:noProof/>
              <w:lang w:val="en-US"/>
            </w:rPr>
            <w:t xml:space="preserve">Environment Bill 2019-2021. </w:t>
          </w:r>
          <w:r>
            <w:rPr>
              <w:noProof/>
              <w:lang w:val="en-US"/>
            </w:rPr>
            <w:t xml:space="preserve">[Online] </w:t>
          </w:r>
          <w:r>
            <w:rPr>
              <w:noProof/>
              <w:lang w:val="en-US"/>
            </w:rPr>
            <w:br/>
            <w:t xml:space="preserve">Available at: </w:t>
          </w:r>
          <w:r>
            <w:rPr>
              <w:noProof/>
              <w:u w:val="single"/>
              <w:lang w:val="en-US"/>
            </w:rPr>
            <w:t>https://services.parliament.uk/Bills/2019-21/environment/documents.html</w:t>
          </w:r>
          <w:r>
            <w:rPr>
              <w:noProof/>
              <w:lang w:val="en-US"/>
            </w:rPr>
            <w:br/>
            <w:t>[Accessed 13.05.2020].</w:t>
          </w:r>
        </w:p>
        <w:p w14:paraId="1A9EE153" w14:textId="77777777" w:rsidR="00224297" w:rsidRDefault="00224297" w:rsidP="00224297">
          <w:pPr>
            <w:pStyle w:val="Bibliography"/>
            <w:rPr>
              <w:noProof/>
              <w:lang w:val="en-US"/>
            </w:rPr>
          </w:pPr>
          <w:r>
            <w:rPr>
              <w:noProof/>
              <w:lang w:val="en-US"/>
            </w:rPr>
            <w:t xml:space="preserve">Payseno, K., 2018. </w:t>
          </w:r>
          <w:r>
            <w:rPr>
              <w:i/>
              <w:iCs/>
              <w:noProof/>
              <w:lang w:val="en-US"/>
            </w:rPr>
            <w:t xml:space="preserve">Top 20 Corporate Social Responsibility Initiatives of 2018. </w:t>
          </w:r>
          <w:r>
            <w:rPr>
              <w:noProof/>
              <w:lang w:val="en-US"/>
            </w:rPr>
            <w:t xml:space="preserve">[Online] </w:t>
          </w:r>
          <w:r>
            <w:rPr>
              <w:noProof/>
              <w:lang w:val="en-US"/>
            </w:rPr>
            <w:br/>
            <w:t xml:space="preserve">Available at: </w:t>
          </w:r>
          <w:r>
            <w:rPr>
              <w:noProof/>
              <w:u w:val="single"/>
              <w:lang w:val="en-US"/>
            </w:rPr>
            <w:t>https://www.smartrecruiters.com/blog/top-20-corporate-social-responsibility-initiatives-of-2018/</w:t>
          </w:r>
          <w:r>
            <w:rPr>
              <w:noProof/>
              <w:lang w:val="en-US"/>
            </w:rPr>
            <w:br/>
            <w:t>[Accessed 13.05.2020].</w:t>
          </w:r>
        </w:p>
        <w:p w14:paraId="5C36E69F" w14:textId="77777777" w:rsidR="00224297" w:rsidRDefault="00224297" w:rsidP="00224297">
          <w:pPr>
            <w:pStyle w:val="Bibliography"/>
            <w:rPr>
              <w:noProof/>
              <w:lang w:val="en-US"/>
            </w:rPr>
          </w:pPr>
          <w:r>
            <w:rPr>
              <w:noProof/>
              <w:lang w:val="en-US"/>
            </w:rPr>
            <w:t xml:space="preserve">Porter, M., 2008. The five competitive forces that shape strategy. </w:t>
          </w:r>
          <w:r>
            <w:rPr>
              <w:i/>
              <w:iCs/>
              <w:noProof/>
              <w:lang w:val="en-US"/>
            </w:rPr>
            <w:t>Harvard Business Review</w:t>
          </w:r>
          <w:r>
            <w:rPr>
              <w:noProof/>
              <w:lang w:val="en-US"/>
            </w:rPr>
            <w:t>, 86(1), pp. 78-93.</w:t>
          </w:r>
        </w:p>
        <w:p w14:paraId="413A47D0" w14:textId="77777777" w:rsidR="00224297" w:rsidRDefault="00224297" w:rsidP="00224297">
          <w:pPr>
            <w:pStyle w:val="Bibliography"/>
            <w:rPr>
              <w:noProof/>
              <w:lang w:val="en-US"/>
            </w:rPr>
          </w:pPr>
          <w:r>
            <w:rPr>
              <w:noProof/>
              <w:lang w:val="en-US"/>
            </w:rPr>
            <w:t xml:space="preserve">Quinn, J. B., 1980. </w:t>
          </w:r>
          <w:r>
            <w:rPr>
              <w:i/>
              <w:iCs/>
              <w:noProof/>
              <w:lang w:val="en-US"/>
            </w:rPr>
            <w:t xml:space="preserve">Strategies for Change. </w:t>
          </w:r>
          <w:r>
            <w:rPr>
              <w:noProof/>
              <w:lang w:val="en-US"/>
            </w:rPr>
            <w:t>Illionis, US: Irwin .</w:t>
          </w:r>
        </w:p>
        <w:p w14:paraId="73E1DF89" w14:textId="77777777" w:rsidR="00224297" w:rsidRDefault="00224297" w:rsidP="00224297">
          <w:pPr>
            <w:pStyle w:val="Bibliography"/>
            <w:rPr>
              <w:noProof/>
              <w:lang w:val="en-US"/>
            </w:rPr>
          </w:pPr>
          <w:r>
            <w:rPr>
              <w:noProof/>
              <w:lang w:val="en-US"/>
            </w:rPr>
            <w:t xml:space="preserve">Reed, D., 2013. SWOT your way to the future. </w:t>
          </w:r>
          <w:r>
            <w:rPr>
              <w:i/>
              <w:iCs/>
              <w:noProof/>
              <w:lang w:val="en-US"/>
            </w:rPr>
            <w:t xml:space="preserve">Industrial Management, </w:t>
          </w:r>
          <w:r>
            <w:rPr>
              <w:noProof/>
              <w:lang w:val="en-US"/>
            </w:rPr>
            <w:t>55(2), pp. 23-26.</w:t>
          </w:r>
        </w:p>
        <w:p w14:paraId="3B4976F7" w14:textId="77777777" w:rsidR="00224297" w:rsidRDefault="00224297" w:rsidP="00224297">
          <w:pPr>
            <w:pStyle w:val="Bibliography"/>
            <w:rPr>
              <w:noProof/>
              <w:lang w:val="en-US"/>
            </w:rPr>
          </w:pPr>
          <w:r>
            <w:rPr>
              <w:noProof/>
              <w:lang w:val="en-US"/>
            </w:rPr>
            <w:t xml:space="preserve">Smith, J., 2012. The Companies With the Best CSR Reputations. </w:t>
          </w:r>
          <w:r>
            <w:rPr>
              <w:i/>
              <w:iCs/>
              <w:noProof/>
              <w:lang w:val="en-US"/>
            </w:rPr>
            <w:t>Forbes</w:t>
          </w:r>
          <w:r>
            <w:rPr>
              <w:noProof/>
              <w:lang w:val="en-US"/>
            </w:rPr>
            <w:t>, 10 12, p. Online .</w:t>
          </w:r>
        </w:p>
        <w:p w14:paraId="0C65C6AA" w14:textId="77777777" w:rsidR="00224297" w:rsidRDefault="00224297" w:rsidP="00224297">
          <w:pPr>
            <w:pStyle w:val="Bibliography"/>
            <w:rPr>
              <w:noProof/>
              <w:lang w:val="en-US"/>
            </w:rPr>
          </w:pPr>
          <w:r>
            <w:rPr>
              <w:noProof/>
              <w:lang w:val="en-US"/>
            </w:rPr>
            <w:t xml:space="preserve">Stacey, R., 1993. </w:t>
          </w:r>
          <w:r>
            <w:rPr>
              <w:i/>
              <w:iCs/>
              <w:noProof/>
              <w:lang w:val="en-US"/>
            </w:rPr>
            <w:t xml:space="preserve">Strategic Management and Organisational Dynamics: The challenge of complexity to ways of thinking about organisations. </w:t>
          </w:r>
          <w:r>
            <w:rPr>
              <w:noProof/>
              <w:lang w:val="en-US"/>
            </w:rPr>
            <w:t>London: Pitman .</w:t>
          </w:r>
        </w:p>
        <w:p w14:paraId="37830E92" w14:textId="77777777" w:rsidR="00224297" w:rsidRDefault="00224297" w:rsidP="00224297">
          <w:pPr>
            <w:pStyle w:val="Bibliography"/>
            <w:rPr>
              <w:noProof/>
              <w:lang w:val="en-US"/>
            </w:rPr>
          </w:pPr>
          <w:r>
            <w:rPr>
              <w:noProof/>
              <w:lang w:val="en-US"/>
            </w:rPr>
            <w:t xml:space="preserve">Swan, M. &amp; Chamorro-Premuzic , T., 2020. Redefining HR’s priorities in a Covid-19 world. </w:t>
          </w:r>
          <w:r>
            <w:rPr>
              <w:i/>
              <w:iCs/>
              <w:noProof/>
              <w:lang w:val="en-US"/>
            </w:rPr>
            <w:t>People management</w:t>
          </w:r>
          <w:r>
            <w:rPr>
              <w:noProof/>
              <w:lang w:val="en-US"/>
            </w:rPr>
            <w:t>, 30 03, p. Online .</w:t>
          </w:r>
        </w:p>
        <w:p w14:paraId="39D2D453" w14:textId="77777777" w:rsidR="00224297" w:rsidRDefault="00224297" w:rsidP="00224297">
          <w:pPr>
            <w:pStyle w:val="Bibliography"/>
            <w:rPr>
              <w:noProof/>
              <w:lang w:val="en-US"/>
            </w:rPr>
          </w:pPr>
          <w:r>
            <w:rPr>
              <w:noProof/>
              <w:lang w:val="en-US"/>
            </w:rPr>
            <w:t xml:space="preserve">Taylor, S., 2005. </w:t>
          </w:r>
          <w:r>
            <w:rPr>
              <w:i/>
              <w:iCs/>
              <w:noProof/>
              <w:lang w:val="en-US"/>
            </w:rPr>
            <w:t xml:space="preserve">People Resourcing. </w:t>
          </w:r>
          <w:r>
            <w:rPr>
              <w:noProof/>
              <w:lang w:val="en-US"/>
            </w:rPr>
            <w:t>3 ed. London : CIPD .</w:t>
          </w:r>
        </w:p>
        <w:p w14:paraId="68285376" w14:textId="77777777" w:rsidR="00224297" w:rsidRDefault="00224297" w:rsidP="00224297">
          <w:pPr>
            <w:pStyle w:val="Bibliography"/>
            <w:rPr>
              <w:noProof/>
              <w:lang w:val="en-US"/>
            </w:rPr>
          </w:pPr>
          <w:r>
            <w:rPr>
              <w:noProof/>
              <w:lang w:val="en-US"/>
            </w:rPr>
            <w:t xml:space="preserve">Turner, S., 2002. </w:t>
          </w:r>
          <w:r>
            <w:rPr>
              <w:i/>
              <w:iCs/>
              <w:noProof/>
              <w:lang w:val="en-US"/>
            </w:rPr>
            <w:t xml:space="preserve">Tools for Success: A Managers Guide. </w:t>
          </w:r>
          <w:r>
            <w:rPr>
              <w:noProof/>
              <w:lang w:val="en-US"/>
            </w:rPr>
            <w:t>London: McGraw Hill.</w:t>
          </w:r>
        </w:p>
        <w:p w14:paraId="6E16B181" w14:textId="77777777" w:rsidR="00224297" w:rsidRDefault="00224297" w:rsidP="00224297">
          <w:pPr>
            <w:pStyle w:val="Bibliography"/>
            <w:rPr>
              <w:noProof/>
              <w:lang w:val="en-US"/>
            </w:rPr>
          </w:pPr>
          <w:r>
            <w:rPr>
              <w:noProof/>
              <w:lang w:val="en-US"/>
            </w:rPr>
            <w:t xml:space="preserve">WEF, W. E. F., 2020. </w:t>
          </w:r>
          <w:r>
            <w:rPr>
              <w:i/>
              <w:iCs/>
              <w:noProof/>
              <w:lang w:val="en-US"/>
            </w:rPr>
            <w:t xml:space="preserve">The Global Risks Report, </w:t>
          </w:r>
          <w:r>
            <w:rPr>
              <w:noProof/>
              <w:lang w:val="en-US"/>
            </w:rPr>
            <w:t>s.l.: Insight Report 15th Ed.</w:t>
          </w:r>
        </w:p>
        <w:p w14:paraId="77A48152" w14:textId="77777777" w:rsidR="00224297" w:rsidRDefault="00224297" w:rsidP="00224297">
          <w:pPr>
            <w:pStyle w:val="Bibliography"/>
            <w:rPr>
              <w:noProof/>
              <w:lang w:val="en-US"/>
            </w:rPr>
          </w:pPr>
          <w:r>
            <w:rPr>
              <w:noProof/>
              <w:lang w:val="en-US"/>
            </w:rPr>
            <w:t xml:space="preserve">Weston, M., 2019. How to get ahead in the labour market race. </w:t>
          </w:r>
          <w:r>
            <w:rPr>
              <w:i/>
              <w:iCs/>
              <w:noProof/>
              <w:lang w:val="en-US"/>
            </w:rPr>
            <w:t>Personnel Today</w:t>
          </w:r>
          <w:r>
            <w:rPr>
              <w:noProof/>
              <w:lang w:val="en-US"/>
            </w:rPr>
            <w:t>, 09 04, p. Online .</w:t>
          </w:r>
        </w:p>
        <w:p w14:paraId="7D021082" w14:textId="77777777" w:rsidR="00224297" w:rsidRDefault="00224297" w:rsidP="00224297">
          <w:pPr>
            <w:pStyle w:val="Bibliography"/>
            <w:rPr>
              <w:noProof/>
              <w:lang w:val="en-US"/>
            </w:rPr>
          </w:pPr>
          <w:r>
            <w:rPr>
              <w:noProof/>
              <w:lang w:val="en-US"/>
            </w:rPr>
            <w:t xml:space="preserve">Whittington, R., 2001. What is strategy and why does it matter?. </w:t>
          </w:r>
        </w:p>
        <w:p w14:paraId="534056D1" w14:textId="77777777" w:rsidR="00224297" w:rsidRDefault="00224297" w:rsidP="00224297">
          <w:pPr>
            <w:pStyle w:val="Bibliography"/>
            <w:rPr>
              <w:noProof/>
              <w:lang w:val="en-US"/>
            </w:rPr>
          </w:pPr>
          <w:r>
            <w:rPr>
              <w:noProof/>
              <w:lang w:val="en-US"/>
            </w:rPr>
            <w:t xml:space="preserve">Windle, M., 1999. Critical Conceptual and Measurement Issues in the Study of Resilience. </w:t>
          </w:r>
          <w:r>
            <w:rPr>
              <w:i/>
              <w:iCs/>
              <w:noProof/>
              <w:lang w:val="en-US"/>
            </w:rPr>
            <w:t xml:space="preserve">Resiliance and Development, </w:t>
          </w:r>
          <w:r>
            <w:rPr>
              <w:noProof/>
              <w:lang w:val="en-US"/>
            </w:rPr>
            <w:t>p. 303.</w:t>
          </w:r>
        </w:p>
        <w:p w14:paraId="664F790C" w14:textId="77777777" w:rsidR="00224297" w:rsidRDefault="00224297" w:rsidP="00224297">
          <w:pPr>
            <w:pStyle w:val="Bibliography"/>
            <w:rPr>
              <w:noProof/>
              <w:lang w:val="en-US"/>
            </w:rPr>
          </w:pPr>
          <w:r>
            <w:rPr>
              <w:noProof/>
              <w:lang w:val="en-US"/>
            </w:rPr>
            <w:t xml:space="preserve">Woodward, M., 2017. How to Thrive in a VUCA World. </w:t>
          </w:r>
          <w:r>
            <w:rPr>
              <w:i/>
              <w:iCs/>
              <w:noProof/>
              <w:lang w:val="en-US"/>
            </w:rPr>
            <w:t>Phychology Today</w:t>
          </w:r>
          <w:r>
            <w:rPr>
              <w:noProof/>
              <w:lang w:val="en-US"/>
            </w:rPr>
            <w:t>, 31 07, p. Online.</w:t>
          </w:r>
        </w:p>
        <w:p w14:paraId="43146903" w14:textId="6A80FCDC" w:rsidR="00224297" w:rsidRDefault="00224297" w:rsidP="00224297"/>
      </w:sdtContent>
    </w:sdt>
    <w:p w14:paraId="3F08BEF3" w14:textId="4D924492" w:rsidR="003E1485" w:rsidRDefault="003E1485" w:rsidP="00445288"/>
    <w:p w14:paraId="7F5D7C23" w14:textId="77777777" w:rsidR="003E1485" w:rsidRPr="00527453" w:rsidRDefault="003E1485" w:rsidP="00445288"/>
    <w:sectPr w:rsidR="003E1485" w:rsidRPr="0052745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974072" w14:textId="77777777" w:rsidR="006533E1" w:rsidRDefault="006533E1" w:rsidP="00224297">
      <w:pPr>
        <w:spacing w:after="0" w:line="240" w:lineRule="auto"/>
      </w:pPr>
      <w:r>
        <w:separator/>
      </w:r>
    </w:p>
  </w:endnote>
  <w:endnote w:type="continuationSeparator" w:id="0">
    <w:p w14:paraId="1A1696FB" w14:textId="77777777" w:rsidR="006533E1" w:rsidRDefault="006533E1" w:rsidP="002242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08AF5F" w14:textId="77777777" w:rsidR="006533E1" w:rsidRDefault="006533E1" w:rsidP="00224297">
      <w:pPr>
        <w:spacing w:after="0" w:line="240" w:lineRule="auto"/>
      </w:pPr>
      <w:r>
        <w:separator/>
      </w:r>
    </w:p>
  </w:footnote>
  <w:footnote w:type="continuationSeparator" w:id="0">
    <w:p w14:paraId="7603985A" w14:textId="77777777" w:rsidR="006533E1" w:rsidRDefault="006533E1" w:rsidP="002242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33748C"/>
    <w:multiLevelType w:val="multilevel"/>
    <w:tmpl w:val="D92AD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4F2082"/>
    <w:multiLevelType w:val="multilevel"/>
    <w:tmpl w:val="9D5EB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C4B0E89"/>
    <w:multiLevelType w:val="multilevel"/>
    <w:tmpl w:val="9050C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3F85EBC"/>
    <w:multiLevelType w:val="multilevel"/>
    <w:tmpl w:val="25AA5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61E1"/>
    <w:rsid w:val="00011EAA"/>
    <w:rsid w:val="00040EE5"/>
    <w:rsid w:val="001140F0"/>
    <w:rsid w:val="00120A5F"/>
    <w:rsid w:val="00147777"/>
    <w:rsid w:val="0019484C"/>
    <w:rsid w:val="001A7C20"/>
    <w:rsid w:val="001F7E75"/>
    <w:rsid w:val="00220E80"/>
    <w:rsid w:val="00221E8F"/>
    <w:rsid w:val="00221EBF"/>
    <w:rsid w:val="00224297"/>
    <w:rsid w:val="00240943"/>
    <w:rsid w:val="0034401E"/>
    <w:rsid w:val="0036214C"/>
    <w:rsid w:val="003B1B83"/>
    <w:rsid w:val="003B34CF"/>
    <w:rsid w:val="003B751B"/>
    <w:rsid w:val="003E1485"/>
    <w:rsid w:val="003E3980"/>
    <w:rsid w:val="003F063B"/>
    <w:rsid w:val="00415FB4"/>
    <w:rsid w:val="00445288"/>
    <w:rsid w:val="0046149B"/>
    <w:rsid w:val="00474B2B"/>
    <w:rsid w:val="004C4C92"/>
    <w:rsid w:val="004D0B0C"/>
    <w:rsid w:val="005074CF"/>
    <w:rsid w:val="00527453"/>
    <w:rsid w:val="00534116"/>
    <w:rsid w:val="00572E40"/>
    <w:rsid w:val="00587CAF"/>
    <w:rsid w:val="00595463"/>
    <w:rsid w:val="005B0417"/>
    <w:rsid w:val="005C4B49"/>
    <w:rsid w:val="005E266F"/>
    <w:rsid w:val="005E5BFB"/>
    <w:rsid w:val="00605BF6"/>
    <w:rsid w:val="006270E5"/>
    <w:rsid w:val="00636E68"/>
    <w:rsid w:val="006533E1"/>
    <w:rsid w:val="00665DED"/>
    <w:rsid w:val="00685B42"/>
    <w:rsid w:val="00696FC0"/>
    <w:rsid w:val="006D07D7"/>
    <w:rsid w:val="006D7E71"/>
    <w:rsid w:val="00765272"/>
    <w:rsid w:val="007A27BE"/>
    <w:rsid w:val="007D5A7E"/>
    <w:rsid w:val="008224AB"/>
    <w:rsid w:val="00831508"/>
    <w:rsid w:val="00835786"/>
    <w:rsid w:val="008473F9"/>
    <w:rsid w:val="00857982"/>
    <w:rsid w:val="00912D62"/>
    <w:rsid w:val="00927DEA"/>
    <w:rsid w:val="00933BC6"/>
    <w:rsid w:val="0097541B"/>
    <w:rsid w:val="009B5798"/>
    <w:rsid w:val="009F78AD"/>
    <w:rsid w:val="00A50EBD"/>
    <w:rsid w:val="00A876D0"/>
    <w:rsid w:val="00AB14D9"/>
    <w:rsid w:val="00B06412"/>
    <w:rsid w:val="00B24483"/>
    <w:rsid w:val="00B40C3A"/>
    <w:rsid w:val="00B84225"/>
    <w:rsid w:val="00BC7E30"/>
    <w:rsid w:val="00BE40C2"/>
    <w:rsid w:val="00C113AA"/>
    <w:rsid w:val="00C23361"/>
    <w:rsid w:val="00C261E1"/>
    <w:rsid w:val="00C431FC"/>
    <w:rsid w:val="00C43F9D"/>
    <w:rsid w:val="00C65DD3"/>
    <w:rsid w:val="00C72154"/>
    <w:rsid w:val="00C9393D"/>
    <w:rsid w:val="00CD4555"/>
    <w:rsid w:val="00D42638"/>
    <w:rsid w:val="00D54935"/>
    <w:rsid w:val="00DC2FB2"/>
    <w:rsid w:val="00E5635E"/>
    <w:rsid w:val="00F20FAB"/>
    <w:rsid w:val="00F22B2B"/>
    <w:rsid w:val="00F360E2"/>
    <w:rsid w:val="00F83986"/>
    <w:rsid w:val="00F86EDC"/>
    <w:rsid w:val="00FA0319"/>
    <w:rsid w:val="00FA6E71"/>
    <w:rsid w:val="00FC2D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34F6D"/>
  <w15:chartTrackingRefBased/>
  <w15:docId w15:val="{F3DC91C6-1801-4F46-AD06-2D3D1E72B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041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041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5B0417"/>
  </w:style>
  <w:style w:type="paragraph" w:styleId="Caption">
    <w:name w:val="caption"/>
    <w:basedOn w:val="Normal"/>
    <w:next w:val="Normal"/>
    <w:uiPriority w:val="35"/>
    <w:unhideWhenUsed/>
    <w:qFormat/>
    <w:rsid w:val="00C43F9D"/>
    <w:pPr>
      <w:spacing w:after="200" w:line="240" w:lineRule="auto"/>
    </w:pPr>
    <w:rPr>
      <w:i/>
      <w:iCs/>
      <w:color w:val="44546A" w:themeColor="text2"/>
      <w:sz w:val="18"/>
      <w:szCs w:val="18"/>
    </w:rPr>
  </w:style>
  <w:style w:type="paragraph" w:styleId="NormalWeb">
    <w:name w:val="Normal (Web)"/>
    <w:basedOn w:val="Normal"/>
    <w:uiPriority w:val="99"/>
    <w:semiHidden/>
    <w:unhideWhenUsed/>
    <w:rsid w:val="00F22B2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2242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4297"/>
  </w:style>
  <w:style w:type="paragraph" w:styleId="Footer">
    <w:name w:val="footer"/>
    <w:basedOn w:val="Normal"/>
    <w:link w:val="FooterChar"/>
    <w:uiPriority w:val="99"/>
    <w:unhideWhenUsed/>
    <w:rsid w:val="002242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42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860902">
      <w:bodyDiv w:val="1"/>
      <w:marLeft w:val="0"/>
      <w:marRight w:val="0"/>
      <w:marTop w:val="0"/>
      <w:marBottom w:val="0"/>
      <w:divBdr>
        <w:top w:val="none" w:sz="0" w:space="0" w:color="auto"/>
        <w:left w:val="none" w:sz="0" w:space="0" w:color="auto"/>
        <w:bottom w:val="none" w:sz="0" w:space="0" w:color="auto"/>
        <w:right w:val="none" w:sz="0" w:space="0" w:color="auto"/>
      </w:divBdr>
    </w:div>
    <w:div w:id="17661311">
      <w:bodyDiv w:val="1"/>
      <w:marLeft w:val="0"/>
      <w:marRight w:val="0"/>
      <w:marTop w:val="0"/>
      <w:marBottom w:val="0"/>
      <w:divBdr>
        <w:top w:val="none" w:sz="0" w:space="0" w:color="auto"/>
        <w:left w:val="none" w:sz="0" w:space="0" w:color="auto"/>
        <w:bottom w:val="none" w:sz="0" w:space="0" w:color="auto"/>
        <w:right w:val="none" w:sz="0" w:space="0" w:color="auto"/>
      </w:divBdr>
    </w:div>
    <w:div w:id="73405930">
      <w:bodyDiv w:val="1"/>
      <w:marLeft w:val="0"/>
      <w:marRight w:val="0"/>
      <w:marTop w:val="0"/>
      <w:marBottom w:val="0"/>
      <w:divBdr>
        <w:top w:val="none" w:sz="0" w:space="0" w:color="auto"/>
        <w:left w:val="none" w:sz="0" w:space="0" w:color="auto"/>
        <w:bottom w:val="none" w:sz="0" w:space="0" w:color="auto"/>
        <w:right w:val="none" w:sz="0" w:space="0" w:color="auto"/>
      </w:divBdr>
    </w:div>
    <w:div w:id="98842219">
      <w:bodyDiv w:val="1"/>
      <w:marLeft w:val="0"/>
      <w:marRight w:val="0"/>
      <w:marTop w:val="0"/>
      <w:marBottom w:val="0"/>
      <w:divBdr>
        <w:top w:val="none" w:sz="0" w:space="0" w:color="auto"/>
        <w:left w:val="none" w:sz="0" w:space="0" w:color="auto"/>
        <w:bottom w:val="none" w:sz="0" w:space="0" w:color="auto"/>
        <w:right w:val="none" w:sz="0" w:space="0" w:color="auto"/>
      </w:divBdr>
    </w:div>
    <w:div w:id="102041827">
      <w:bodyDiv w:val="1"/>
      <w:marLeft w:val="0"/>
      <w:marRight w:val="0"/>
      <w:marTop w:val="0"/>
      <w:marBottom w:val="0"/>
      <w:divBdr>
        <w:top w:val="none" w:sz="0" w:space="0" w:color="auto"/>
        <w:left w:val="none" w:sz="0" w:space="0" w:color="auto"/>
        <w:bottom w:val="none" w:sz="0" w:space="0" w:color="auto"/>
        <w:right w:val="none" w:sz="0" w:space="0" w:color="auto"/>
      </w:divBdr>
    </w:div>
    <w:div w:id="111365347">
      <w:bodyDiv w:val="1"/>
      <w:marLeft w:val="0"/>
      <w:marRight w:val="0"/>
      <w:marTop w:val="0"/>
      <w:marBottom w:val="0"/>
      <w:divBdr>
        <w:top w:val="none" w:sz="0" w:space="0" w:color="auto"/>
        <w:left w:val="none" w:sz="0" w:space="0" w:color="auto"/>
        <w:bottom w:val="none" w:sz="0" w:space="0" w:color="auto"/>
        <w:right w:val="none" w:sz="0" w:space="0" w:color="auto"/>
      </w:divBdr>
    </w:div>
    <w:div w:id="113867829">
      <w:bodyDiv w:val="1"/>
      <w:marLeft w:val="0"/>
      <w:marRight w:val="0"/>
      <w:marTop w:val="0"/>
      <w:marBottom w:val="0"/>
      <w:divBdr>
        <w:top w:val="none" w:sz="0" w:space="0" w:color="auto"/>
        <w:left w:val="none" w:sz="0" w:space="0" w:color="auto"/>
        <w:bottom w:val="none" w:sz="0" w:space="0" w:color="auto"/>
        <w:right w:val="none" w:sz="0" w:space="0" w:color="auto"/>
      </w:divBdr>
    </w:div>
    <w:div w:id="182134594">
      <w:bodyDiv w:val="1"/>
      <w:marLeft w:val="0"/>
      <w:marRight w:val="0"/>
      <w:marTop w:val="0"/>
      <w:marBottom w:val="0"/>
      <w:divBdr>
        <w:top w:val="none" w:sz="0" w:space="0" w:color="auto"/>
        <w:left w:val="none" w:sz="0" w:space="0" w:color="auto"/>
        <w:bottom w:val="none" w:sz="0" w:space="0" w:color="auto"/>
        <w:right w:val="none" w:sz="0" w:space="0" w:color="auto"/>
      </w:divBdr>
    </w:div>
    <w:div w:id="200434788">
      <w:bodyDiv w:val="1"/>
      <w:marLeft w:val="0"/>
      <w:marRight w:val="0"/>
      <w:marTop w:val="0"/>
      <w:marBottom w:val="0"/>
      <w:divBdr>
        <w:top w:val="none" w:sz="0" w:space="0" w:color="auto"/>
        <w:left w:val="none" w:sz="0" w:space="0" w:color="auto"/>
        <w:bottom w:val="none" w:sz="0" w:space="0" w:color="auto"/>
        <w:right w:val="none" w:sz="0" w:space="0" w:color="auto"/>
      </w:divBdr>
    </w:div>
    <w:div w:id="247155036">
      <w:bodyDiv w:val="1"/>
      <w:marLeft w:val="0"/>
      <w:marRight w:val="0"/>
      <w:marTop w:val="0"/>
      <w:marBottom w:val="0"/>
      <w:divBdr>
        <w:top w:val="none" w:sz="0" w:space="0" w:color="auto"/>
        <w:left w:val="none" w:sz="0" w:space="0" w:color="auto"/>
        <w:bottom w:val="none" w:sz="0" w:space="0" w:color="auto"/>
        <w:right w:val="none" w:sz="0" w:space="0" w:color="auto"/>
      </w:divBdr>
    </w:div>
    <w:div w:id="268005632">
      <w:bodyDiv w:val="1"/>
      <w:marLeft w:val="0"/>
      <w:marRight w:val="0"/>
      <w:marTop w:val="0"/>
      <w:marBottom w:val="0"/>
      <w:divBdr>
        <w:top w:val="none" w:sz="0" w:space="0" w:color="auto"/>
        <w:left w:val="none" w:sz="0" w:space="0" w:color="auto"/>
        <w:bottom w:val="none" w:sz="0" w:space="0" w:color="auto"/>
        <w:right w:val="none" w:sz="0" w:space="0" w:color="auto"/>
      </w:divBdr>
    </w:div>
    <w:div w:id="273635242">
      <w:bodyDiv w:val="1"/>
      <w:marLeft w:val="0"/>
      <w:marRight w:val="0"/>
      <w:marTop w:val="0"/>
      <w:marBottom w:val="0"/>
      <w:divBdr>
        <w:top w:val="none" w:sz="0" w:space="0" w:color="auto"/>
        <w:left w:val="none" w:sz="0" w:space="0" w:color="auto"/>
        <w:bottom w:val="none" w:sz="0" w:space="0" w:color="auto"/>
        <w:right w:val="none" w:sz="0" w:space="0" w:color="auto"/>
      </w:divBdr>
    </w:div>
    <w:div w:id="277882776">
      <w:bodyDiv w:val="1"/>
      <w:marLeft w:val="0"/>
      <w:marRight w:val="0"/>
      <w:marTop w:val="0"/>
      <w:marBottom w:val="0"/>
      <w:divBdr>
        <w:top w:val="none" w:sz="0" w:space="0" w:color="auto"/>
        <w:left w:val="none" w:sz="0" w:space="0" w:color="auto"/>
        <w:bottom w:val="none" w:sz="0" w:space="0" w:color="auto"/>
        <w:right w:val="none" w:sz="0" w:space="0" w:color="auto"/>
      </w:divBdr>
    </w:div>
    <w:div w:id="278756377">
      <w:bodyDiv w:val="1"/>
      <w:marLeft w:val="0"/>
      <w:marRight w:val="0"/>
      <w:marTop w:val="0"/>
      <w:marBottom w:val="0"/>
      <w:divBdr>
        <w:top w:val="none" w:sz="0" w:space="0" w:color="auto"/>
        <w:left w:val="none" w:sz="0" w:space="0" w:color="auto"/>
        <w:bottom w:val="none" w:sz="0" w:space="0" w:color="auto"/>
        <w:right w:val="none" w:sz="0" w:space="0" w:color="auto"/>
      </w:divBdr>
    </w:div>
    <w:div w:id="301230772">
      <w:bodyDiv w:val="1"/>
      <w:marLeft w:val="0"/>
      <w:marRight w:val="0"/>
      <w:marTop w:val="0"/>
      <w:marBottom w:val="0"/>
      <w:divBdr>
        <w:top w:val="none" w:sz="0" w:space="0" w:color="auto"/>
        <w:left w:val="none" w:sz="0" w:space="0" w:color="auto"/>
        <w:bottom w:val="none" w:sz="0" w:space="0" w:color="auto"/>
        <w:right w:val="none" w:sz="0" w:space="0" w:color="auto"/>
      </w:divBdr>
    </w:div>
    <w:div w:id="316418970">
      <w:bodyDiv w:val="1"/>
      <w:marLeft w:val="0"/>
      <w:marRight w:val="0"/>
      <w:marTop w:val="0"/>
      <w:marBottom w:val="0"/>
      <w:divBdr>
        <w:top w:val="none" w:sz="0" w:space="0" w:color="auto"/>
        <w:left w:val="none" w:sz="0" w:space="0" w:color="auto"/>
        <w:bottom w:val="none" w:sz="0" w:space="0" w:color="auto"/>
        <w:right w:val="none" w:sz="0" w:space="0" w:color="auto"/>
      </w:divBdr>
    </w:div>
    <w:div w:id="365327063">
      <w:bodyDiv w:val="1"/>
      <w:marLeft w:val="0"/>
      <w:marRight w:val="0"/>
      <w:marTop w:val="0"/>
      <w:marBottom w:val="0"/>
      <w:divBdr>
        <w:top w:val="none" w:sz="0" w:space="0" w:color="auto"/>
        <w:left w:val="none" w:sz="0" w:space="0" w:color="auto"/>
        <w:bottom w:val="none" w:sz="0" w:space="0" w:color="auto"/>
        <w:right w:val="none" w:sz="0" w:space="0" w:color="auto"/>
      </w:divBdr>
    </w:div>
    <w:div w:id="381947856">
      <w:bodyDiv w:val="1"/>
      <w:marLeft w:val="0"/>
      <w:marRight w:val="0"/>
      <w:marTop w:val="0"/>
      <w:marBottom w:val="0"/>
      <w:divBdr>
        <w:top w:val="none" w:sz="0" w:space="0" w:color="auto"/>
        <w:left w:val="none" w:sz="0" w:space="0" w:color="auto"/>
        <w:bottom w:val="none" w:sz="0" w:space="0" w:color="auto"/>
        <w:right w:val="none" w:sz="0" w:space="0" w:color="auto"/>
      </w:divBdr>
    </w:div>
    <w:div w:id="420957977">
      <w:bodyDiv w:val="1"/>
      <w:marLeft w:val="0"/>
      <w:marRight w:val="0"/>
      <w:marTop w:val="0"/>
      <w:marBottom w:val="0"/>
      <w:divBdr>
        <w:top w:val="none" w:sz="0" w:space="0" w:color="auto"/>
        <w:left w:val="none" w:sz="0" w:space="0" w:color="auto"/>
        <w:bottom w:val="none" w:sz="0" w:space="0" w:color="auto"/>
        <w:right w:val="none" w:sz="0" w:space="0" w:color="auto"/>
      </w:divBdr>
    </w:div>
    <w:div w:id="422261278">
      <w:bodyDiv w:val="1"/>
      <w:marLeft w:val="0"/>
      <w:marRight w:val="0"/>
      <w:marTop w:val="0"/>
      <w:marBottom w:val="0"/>
      <w:divBdr>
        <w:top w:val="none" w:sz="0" w:space="0" w:color="auto"/>
        <w:left w:val="none" w:sz="0" w:space="0" w:color="auto"/>
        <w:bottom w:val="none" w:sz="0" w:space="0" w:color="auto"/>
        <w:right w:val="none" w:sz="0" w:space="0" w:color="auto"/>
      </w:divBdr>
    </w:div>
    <w:div w:id="450055026">
      <w:bodyDiv w:val="1"/>
      <w:marLeft w:val="0"/>
      <w:marRight w:val="0"/>
      <w:marTop w:val="0"/>
      <w:marBottom w:val="0"/>
      <w:divBdr>
        <w:top w:val="none" w:sz="0" w:space="0" w:color="auto"/>
        <w:left w:val="none" w:sz="0" w:space="0" w:color="auto"/>
        <w:bottom w:val="none" w:sz="0" w:space="0" w:color="auto"/>
        <w:right w:val="none" w:sz="0" w:space="0" w:color="auto"/>
      </w:divBdr>
    </w:div>
    <w:div w:id="450707168">
      <w:bodyDiv w:val="1"/>
      <w:marLeft w:val="0"/>
      <w:marRight w:val="0"/>
      <w:marTop w:val="0"/>
      <w:marBottom w:val="0"/>
      <w:divBdr>
        <w:top w:val="none" w:sz="0" w:space="0" w:color="auto"/>
        <w:left w:val="none" w:sz="0" w:space="0" w:color="auto"/>
        <w:bottom w:val="none" w:sz="0" w:space="0" w:color="auto"/>
        <w:right w:val="none" w:sz="0" w:space="0" w:color="auto"/>
      </w:divBdr>
    </w:div>
    <w:div w:id="490146762">
      <w:bodyDiv w:val="1"/>
      <w:marLeft w:val="0"/>
      <w:marRight w:val="0"/>
      <w:marTop w:val="0"/>
      <w:marBottom w:val="0"/>
      <w:divBdr>
        <w:top w:val="none" w:sz="0" w:space="0" w:color="auto"/>
        <w:left w:val="none" w:sz="0" w:space="0" w:color="auto"/>
        <w:bottom w:val="none" w:sz="0" w:space="0" w:color="auto"/>
        <w:right w:val="none" w:sz="0" w:space="0" w:color="auto"/>
      </w:divBdr>
    </w:div>
    <w:div w:id="505487404">
      <w:bodyDiv w:val="1"/>
      <w:marLeft w:val="0"/>
      <w:marRight w:val="0"/>
      <w:marTop w:val="0"/>
      <w:marBottom w:val="0"/>
      <w:divBdr>
        <w:top w:val="none" w:sz="0" w:space="0" w:color="auto"/>
        <w:left w:val="none" w:sz="0" w:space="0" w:color="auto"/>
        <w:bottom w:val="none" w:sz="0" w:space="0" w:color="auto"/>
        <w:right w:val="none" w:sz="0" w:space="0" w:color="auto"/>
      </w:divBdr>
    </w:div>
    <w:div w:id="529689907">
      <w:bodyDiv w:val="1"/>
      <w:marLeft w:val="0"/>
      <w:marRight w:val="0"/>
      <w:marTop w:val="0"/>
      <w:marBottom w:val="0"/>
      <w:divBdr>
        <w:top w:val="none" w:sz="0" w:space="0" w:color="auto"/>
        <w:left w:val="none" w:sz="0" w:space="0" w:color="auto"/>
        <w:bottom w:val="none" w:sz="0" w:space="0" w:color="auto"/>
        <w:right w:val="none" w:sz="0" w:space="0" w:color="auto"/>
      </w:divBdr>
    </w:div>
    <w:div w:id="531458162">
      <w:bodyDiv w:val="1"/>
      <w:marLeft w:val="0"/>
      <w:marRight w:val="0"/>
      <w:marTop w:val="0"/>
      <w:marBottom w:val="0"/>
      <w:divBdr>
        <w:top w:val="none" w:sz="0" w:space="0" w:color="auto"/>
        <w:left w:val="none" w:sz="0" w:space="0" w:color="auto"/>
        <w:bottom w:val="none" w:sz="0" w:space="0" w:color="auto"/>
        <w:right w:val="none" w:sz="0" w:space="0" w:color="auto"/>
      </w:divBdr>
    </w:div>
    <w:div w:id="542180909">
      <w:bodyDiv w:val="1"/>
      <w:marLeft w:val="0"/>
      <w:marRight w:val="0"/>
      <w:marTop w:val="0"/>
      <w:marBottom w:val="0"/>
      <w:divBdr>
        <w:top w:val="none" w:sz="0" w:space="0" w:color="auto"/>
        <w:left w:val="none" w:sz="0" w:space="0" w:color="auto"/>
        <w:bottom w:val="none" w:sz="0" w:space="0" w:color="auto"/>
        <w:right w:val="none" w:sz="0" w:space="0" w:color="auto"/>
      </w:divBdr>
    </w:div>
    <w:div w:id="548032608">
      <w:bodyDiv w:val="1"/>
      <w:marLeft w:val="0"/>
      <w:marRight w:val="0"/>
      <w:marTop w:val="0"/>
      <w:marBottom w:val="0"/>
      <w:divBdr>
        <w:top w:val="none" w:sz="0" w:space="0" w:color="auto"/>
        <w:left w:val="none" w:sz="0" w:space="0" w:color="auto"/>
        <w:bottom w:val="none" w:sz="0" w:space="0" w:color="auto"/>
        <w:right w:val="none" w:sz="0" w:space="0" w:color="auto"/>
      </w:divBdr>
    </w:div>
    <w:div w:id="552739655">
      <w:bodyDiv w:val="1"/>
      <w:marLeft w:val="0"/>
      <w:marRight w:val="0"/>
      <w:marTop w:val="0"/>
      <w:marBottom w:val="0"/>
      <w:divBdr>
        <w:top w:val="none" w:sz="0" w:space="0" w:color="auto"/>
        <w:left w:val="none" w:sz="0" w:space="0" w:color="auto"/>
        <w:bottom w:val="none" w:sz="0" w:space="0" w:color="auto"/>
        <w:right w:val="none" w:sz="0" w:space="0" w:color="auto"/>
      </w:divBdr>
    </w:div>
    <w:div w:id="558245133">
      <w:bodyDiv w:val="1"/>
      <w:marLeft w:val="0"/>
      <w:marRight w:val="0"/>
      <w:marTop w:val="0"/>
      <w:marBottom w:val="0"/>
      <w:divBdr>
        <w:top w:val="none" w:sz="0" w:space="0" w:color="auto"/>
        <w:left w:val="none" w:sz="0" w:space="0" w:color="auto"/>
        <w:bottom w:val="none" w:sz="0" w:space="0" w:color="auto"/>
        <w:right w:val="none" w:sz="0" w:space="0" w:color="auto"/>
      </w:divBdr>
    </w:div>
    <w:div w:id="566455972">
      <w:bodyDiv w:val="1"/>
      <w:marLeft w:val="0"/>
      <w:marRight w:val="0"/>
      <w:marTop w:val="0"/>
      <w:marBottom w:val="0"/>
      <w:divBdr>
        <w:top w:val="none" w:sz="0" w:space="0" w:color="auto"/>
        <w:left w:val="none" w:sz="0" w:space="0" w:color="auto"/>
        <w:bottom w:val="none" w:sz="0" w:space="0" w:color="auto"/>
        <w:right w:val="none" w:sz="0" w:space="0" w:color="auto"/>
      </w:divBdr>
    </w:div>
    <w:div w:id="584266848">
      <w:bodyDiv w:val="1"/>
      <w:marLeft w:val="0"/>
      <w:marRight w:val="0"/>
      <w:marTop w:val="0"/>
      <w:marBottom w:val="0"/>
      <w:divBdr>
        <w:top w:val="none" w:sz="0" w:space="0" w:color="auto"/>
        <w:left w:val="none" w:sz="0" w:space="0" w:color="auto"/>
        <w:bottom w:val="none" w:sz="0" w:space="0" w:color="auto"/>
        <w:right w:val="none" w:sz="0" w:space="0" w:color="auto"/>
      </w:divBdr>
    </w:div>
    <w:div w:id="605577727">
      <w:bodyDiv w:val="1"/>
      <w:marLeft w:val="0"/>
      <w:marRight w:val="0"/>
      <w:marTop w:val="0"/>
      <w:marBottom w:val="0"/>
      <w:divBdr>
        <w:top w:val="none" w:sz="0" w:space="0" w:color="auto"/>
        <w:left w:val="none" w:sz="0" w:space="0" w:color="auto"/>
        <w:bottom w:val="none" w:sz="0" w:space="0" w:color="auto"/>
        <w:right w:val="none" w:sz="0" w:space="0" w:color="auto"/>
      </w:divBdr>
    </w:div>
    <w:div w:id="608438909">
      <w:bodyDiv w:val="1"/>
      <w:marLeft w:val="0"/>
      <w:marRight w:val="0"/>
      <w:marTop w:val="0"/>
      <w:marBottom w:val="0"/>
      <w:divBdr>
        <w:top w:val="none" w:sz="0" w:space="0" w:color="auto"/>
        <w:left w:val="none" w:sz="0" w:space="0" w:color="auto"/>
        <w:bottom w:val="none" w:sz="0" w:space="0" w:color="auto"/>
        <w:right w:val="none" w:sz="0" w:space="0" w:color="auto"/>
      </w:divBdr>
    </w:div>
    <w:div w:id="610823678">
      <w:bodyDiv w:val="1"/>
      <w:marLeft w:val="0"/>
      <w:marRight w:val="0"/>
      <w:marTop w:val="0"/>
      <w:marBottom w:val="0"/>
      <w:divBdr>
        <w:top w:val="none" w:sz="0" w:space="0" w:color="auto"/>
        <w:left w:val="none" w:sz="0" w:space="0" w:color="auto"/>
        <w:bottom w:val="none" w:sz="0" w:space="0" w:color="auto"/>
        <w:right w:val="none" w:sz="0" w:space="0" w:color="auto"/>
      </w:divBdr>
    </w:div>
    <w:div w:id="632097934">
      <w:bodyDiv w:val="1"/>
      <w:marLeft w:val="0"/>
      <w:marRight w:val="0"/>
      <w:marTop w:val="0"/>
      <w:marBottom w:val="0"/>
      <w:divBdr>
        <w:top w:val="none" w:sz="0" w:space="0" w:color="auto"/>
        <w:left w:val="none" w:sz="0" w:space="0" w:color="auto"/>
        <w:bottom w:val="none" w:sz="0" w:space="0" w:color="auto"/>
        <w:right w:val="none" w:sz="0" w:space="0" w:color="auto"/>
      </w:divBdr>
    </w:div>
    <w:div w:id="632444645">
      <w:bodyDiv w:val="1"/>
      <w:marLeft w:val="0"/>
      <w:marRight w:val="0"/>
      <w:marTop w:val="0"/>
      <w:marBottom w:val="0"/>
      <w:divBdr>
        <w:top w:val="none" w:sz="0" w:space="0" w:color="auto"/>
        <w:left w:val="none" w:sz="0" w:space="0" w:color="auto"/>
        <w:bottom w:val="none" w:sz="0" w:space="0" w:color="auto"/>
        <w:right w:val="none" w:sz="0" w:space="0" w:color="auto"/>
      </w:divBdr>
    </w:div>
    <w:div w:id="655842618">
      <w:bodyDiv w:val="1"/>
      <w:marLeft w:val="0"/>
      <w:marRight w:val="0"/>
      <w:marTop w:val="0"/>
      <w:marBottom w:val="0"/>
      <w:divBdr>
        <w:top w:val="none" w:sz="0" w:space="0" w:color="auto"/>
        <w:left w:val="none" w:sz="0" w:space="0" w:color="auto"/>
        <w:bottom w:val="none" w:sz="0" w:space="0" w:color="auto"/>
        <w:right w:val="none" w:sz="0" w:space="0" w:color="auto"/>
      </w:divBdr>
    </w:div>
    <w:div w:id="661203145">
      <w:bodyDiv w:val="1"/>
      <w:marLeft w:val="0"/>
      <w:marRight w:val="0"/>
      <w:marTop w:val="0"/>
      <w:marBottom w:val="0"/>
      <w:divBdr>
        <w:top w:val="none" w:sz="0" w:space="0" w:color="auto"/>
        <w:left w:val="none" w:sz="0" w:space="0" w:color="auto"/>
        <w:bottom w:val="none" w:sz="0" w:space="0" w:color="auto"/>
        <w:right w:val="none" w:sz="0" w:space="0" w:color="auto"/>
      </w:divBdr>
    </w:div>
    <w:div w:id="676033136">
      <w:bodyDiv w:val="1"/>
      <w:marLeft w:val="0"/>
      <w:marRight w:val="0"/>
      <w:marTop w:val="0"/>
      <w:marBottom w:val="0"/>
      <w:divBdr>
        <w:top w:val="none" w:sz="0" w:space="0" w:color="auto"/>
        <w:left w:val="none" w:sz="0" w:space="0" w:color="auto"/>
        <w:bottom w:val="none" w:sz="0" w:space="0" w:color="auto"/>
        <w:right w:val="none" w:sz="0" w:space="0" w:color="auto"/>
      </w:divBdr>
    </w:div>
    <w:div w:id="713122959">
      <w:bodyDiv w:val="1"/>
      <w:marLeft w:val="0"/>
      <w:marRight w:val="0"/>
      <w:marTop w:val="0"/>
      <w:marBottom w:val="0"/>
      <w:divBdr>
        <w:top w:val="none" w:sz="0" w:space="0" w:color="auto"/>
        <w:left w:val="none" w:sz="0" w:space="0" w:color="auto"/>
        <w:bottom w:val="none" w:sz="0" w:space="0" w:color="auto"/>
        <w:right w:val="none" w:sz="0" w:space="0" w:color="auto"/>
      </w:divBdr>
    </w:div>
    <w:div w:id="798260565">
      <w:bodyDiv w:val="1"/>
      <w:marLeft w:val="0"/>
      <w:marRight w:val="0"/>
      <w:marTop w:val="0"/>
      <w:marBottom w:val="0"/>
      <w:divBdr>
        <w:top w:val="none" w:sz="0" w:space="0" w:color="auto"/>
        <w:left w:val="none" w:sz="0" w:space="0" w:color="auto"/>
        <w:bottom w:val="none" w:sz="0" w:space="0" w:color="auto"/>
        <w:right w:val="none" w:sz="0" w:space="0" w:color="auto"/>
      </w:divBdr>
    </w:div>
    <w:div w:id="799571702">
      <w:bodyDiv w:val="1"/>
      <w:marLeft w:val="0"/>
      <w:marRight w:val="0"/>
      <w:marTop w:val="0"/>
      <w:marBottom w:val="0"/>
      <w:divBdr>
        <w:top w:val="none" w:sz="0" w:space="0" w:color="auto"/>
        <w:left w:val="none" w:sz="0" w:space="0" w:color="auto"/>
        <w:bottom w:val="none" w:sz="0" w:space="0" w:color="auto"/>
        <w:right w:val="none" w:sz="0" w:space="0" w:color="auto"/>
      </w:divBdr>
    </w:div>
    <w:div w:id="808668777">
      <w:bodyDiv w:val="1"/>
      <w:marLeft w:val="0"/>
      <w:marRight w:val="0"/>
      <w:marTop w:val="0"/>
      <w:marBottom w:val="0"/>
      <w:divBdr>
        <w:top w:val="none" w:sz="0" w:space="0" w:color="auto"/>
        <w:left w:val="none" w:sz="0" w:space="0" w:color="auto"/>
        <w:bottom w:val="none" w:sz="0" w:space="0" w:color="auto"/>
        <w:right w:val="none" w:sz="0" w:space="0" w:color="auto"/>
      </w:divBdr>
    </w:div>
    <w:div w:id="824199428">
      <w:bodyDiv w:val="1"/>
      <w:marLeft w:val="0"/>
      <w:marRight w:val="0"/>
      <w:marTop w:val="0"/>
      <w:marBottom w:val="0"/>
      <w:divBdr>
        <w:top w:val="none" w:sz="0" w:space="0" w:color="auto"/>
        <w:left w:val="none" w:sz="0" w:space="0" w:color="auto"/>
        <w:bottom w:val="none" w:sz="0" w:space="0" w:color="auto"/>
        <w:right w:val="none" w:sz="0" w:space="0" w:color="auto"/>
      </w:divBdr>
    </w:div>
    <w:div w:id="825166217">
      <w:bodyDiv w:val="1"/>
      <w:marLeft w:val="0"/>
      <w:marRight w:val="0"/>
      <w:marTop w:val="0"/>
      <w:marBottom w:val="0"/>
      <w:divBdr>
        <w:top w:val="none" w:sz="0" w:space="0" w:color="auto"/>
        <w:left w:val="none" w:sz="0" w:space="0" w:color="auto"/>
        <w:bottom w:val="none" w:sz="0" w:space="0" w:color="auto"/>
        <w:right w:val="none" w:sz="0" w:space="0" w:color="auto"/>
      </w:divBdr>
    </w:div>
    <w:div w:id="894196531">
      <w:bodyDiv w:val="1"/>
      <w:marLeft w:val="0"/>
      <w:marRight w:val="0"/>
      <w:marTop w:val="0"/>
      <w:marBottom w:val="0"/>
      <w:divBdr>
        <w:top w:val="none" w:sz="0" w:space="0" w:color="auto"/>
        <w:left w:val="none" w:sz="0" w:space="0" w:color="auto"/>
        <w:bottom w:val="none" w:sz="0" w:space="0" w:color="auto"/>
        <w:right w:val="none" w:sz="0" w:space="0" w:color="auto"/>
      </w:divBdr>
    </w:div>
    <w:div w:id="898056953">
      <w:bodyDiv w:val="1"/>
      <w:marLeft w:val="0"/>
      <w:marRight w:val="0"/>
      <w:marTop w:val="0"/>
      <w:marBottom w:val="0"/>
      <w:divBdr>
        <w:top w:val="none" w:sz="0" w:space="0" w:color="auto"/>
        <w:left w:val="none" w:sz="0" w:space="0" w:color="auto"/>
        <w:bottom w:val="none" w:sz="0" w:space="0" w:color="auto"/>
        <w:right w:val="none" w:sz="0" w:space="0" w:color="auto"/>
      </w:divBdr>
    </w:div>
    <w:div w:id="898395428">
      <w:bodyDiv w:val="1"/>
      <w:marLeft w:val="0"/>
      <w:marRight w:val="0"/>
      <w:marTop w:val="0"/>
      <w:marBottom w:val="0"/>
      <w:divBdr>
        <w:top w:val="none" w:sz="0" w:space="0" w:color="auto"/>
        <w:left w:val="none" w:sz="0" w:space="0" w:color="auto"/>
        <w:bottom w:val="none" w:sz="0" w:space="0" w:color="auto"/>
        <w:right w:val="none" w:sz="0" w:space="0" w:color="auto"/>
      </w:divBdr>
    </w:div>
    <w:div w:id="910196328">
      <w:bodyDiv w:val="1"/>
      <w:marLeft w:val="0"/>
      <w:marRight w:val="0"/>
      <w:marTop w:val="0"/>
      <w:marBottom w:val="0"/>
      <w:divBdr>
        <w:top w:val="none" w:sz="0" w:space="0" w:color="auto"/>
        <w:left w:val="none" w:sz="0" w:space="0" w:color="auto"/>
        <w:bottom w:val="none" w:sz="0" w:space="0" w:color="auto"/>
        <w:right w:val="none" w:sz="0" w:space="0" w:color="auto"/>
      </w:divBdr>
    </w:div>
    <w:div w:id="928124657">
      <w:bodyDiv w:val="1"/>
      <w:marLeft w:val="0"/>
      <w:marRight w:val="0"/>
      <w:marTop w:val="0"/>
      <w:marBottom w:val="0"/>
      <w:divBdr>
        <w:top w:val="none" w:sz="0" w:space="0" w:color="auto"/>
        <w:left w:val="none" w:sz="0" w:space="0" w:color="auto"/>
        <w:bottom w:val="none" w:sz="0" w:space="0" w:color="auto"/>
        <w:right w:val="none" w:sz="0" w:space="0" w:color="auto"/>
      </w:divBdr>
    </w:div>
    <w:div w:id="939289429">
      <w:bodyDiv w:val="1"/>
      <w:marLeft w:val="0"/>
      <w:marRight w:val="0"/>
      <w:marTop w:val="0"/>
      <w:marBottom w:val="0"/>
      <w:divBdr>
        <w:top w:val="none" w:sz="0" w:space="0" w:color="auto"/>
        <w:left w:val="none" w:sz="0" w:space="0" w:color="auto"/>
        <w:bottom w:val="none" w:sz="0" w:space="0" w:color="auto"/>
        <w:right w:val="none" w:sz="0" w:space="0" w:color="auto"/>
      </w:divBdr>
    </w:div>
    <w:div w:id="953098198">
      <w:bodyDiv w:val="1"/>
      <w:marLeft w:val="0"/>
      <w:marRight w:val="0"/>
      <w:marTop w:val="0"/>
      <w:marBottom w:val="0"/>
      <w:divBdr>
        <w:top w:val="none" w:sz="0" w:space="0" w:color="auto"/>
        <w:left w:val="none" w:sz="0" w:space="0" w:color="auto"/>
        <w:bottom w:val="none" w:sz="0" w:space="0" w:color="auto"/>
        <w:right w:val="none" w:sz="0" w:space="0" w:color="auto"/>
      </w:divBdr>
    </w:div>
    <w:div w:id="960499051">
      <w:bodyDiv w:val="1"/>
      <w:marLeft w:val="0"/>
      <w:marRight w:val="0"/>
      <w:marTop w:val="0"/>
      <w:marBottom w:val="0"/>
      <w:divBdr>
        <w:top w:val="none" w:sz="0" w:space="0" w:color="auto"/>
        <w:left w:val="none" w:sz="0" w:space="0" w:color="auto"/>
        <w:bottom w:val="none" w:sz="0" w:space="0" w:color="auto"/>
        <w:right w:val="none" w:sz="0" w:space="0" w:color="auto"/>
      </w:divBdr>
    </w:div>
    <w:div w:id="968778679">
      <w:bodyDiv w:val="1"/>
      <w:marLeft w:val="0"/>
      <w:marRight w:val="0"/>
      <w:marTop w:val="0"/>
      <w:marBottom w:val="0"/>
      <w:divBdr>
        <w:top w:val="none" w:sz="0" w:space="0" w:color="auto"/>
        <w:left w:val="none" w:sz="0" w:space="0" w:color="auto"/>
        <w:bottom w:val="none" w:sz="0" w:space="0" w:color="auto"/>
        <w:right w:val="none" w:sz="0" w:space="0" w:color="auto"/>
      </w:divBdr>
    </w:div>
    <w:div w:id="998071575">
      <w:bodyDiv w:val="1"/>
      <w:marLeft w:val="0"/>
      <w:marRight w:val="0"/>
      <w:marTop w:val="0"/>
      <w:marBottom w:val="0"/>
      <w:divBdr>
        <w:top w:val="none" w:sz="0" w:space="0" w:color="auto"/>
        <w:left w:val="none" w:sz="0" w:space="0" w:color="auto"/>
        <w:bottom w:val="none" w:sz="0" w:space="0" w:color="auto"/>
        <w:right w:val="none" w:sz="0" w:space="0" w:color="auto"/>
      </w:divBdr>
    </w:div>
    <w:div w:id="1008677995">
      <w:bodyDiv w:val="1"/>
      <w:marLeft w:val="0"/>
      <w:marRight w:val="0"/>
      <w:marTop w:val="0"/>
      <w:marBottom w:val="0"/>
      <w:divBdr>
        <w:top w:val="none" w:sz="0" w:space="0" w:color="auto"/>
        <w:left w:val="none" w:sz="0" w:space="0" w:color="auto"/>
        <w:bottom w:val="none" w:sz="0" w:space="0" w:color="auto"/>
        <w:right w:val="none" w:sz="0" w:space="0" w:color="auto"/>
      </w:divBdr>
    </w:div>
    <w:div w:id="1009480779">
      <w:bodyDiv w:val="1"/>
      <w:marLeft w:val="0"/>
      <w:marRight w:val="0"/>
      <w:marTop w:val="0"/>
      <w:marBottom w:val="0"/>
      <w:divBdr>
        <w:top w:val="none" w:sz="0" w:space="0" w:color="auto"/>
        <w:left w:val="none" w:sz="0" w:space="0" w:color="auto"/>
        <w:bottom w:val="none" w:sz="0" w:space="0" w:color="auto"/>
        <w:right w:val="none" w:sz="0" w:space="0" w:color="auto"/>
      </w:divBdr>
    </w:div>
    <w:div w:id="1009791074">
      <w:bodyDiv w:val="1"/>
      <w:marLeft w:val="0"/>
      <w:marRight w:val="0"/>
      <w:marTop w:val="0"/>
      <w:marBottom w:val="0"/>
      <w:divBdr>
        <w:top w:val="none" w:sz="0" w:space="0" w:color="auto"/>
        <w:left w:val="none" w:sz="0" w:space="0" w:color="auto"/>
        <w:bottom w:val="none" w:sz="0" w:space="0" w:color="auto"/>
        <w:right w:val="none" w:sz="0" w:space="0" w:color="auto"/>
      </w:divBdr>
    </w:div>
    <w:div w:id="1011027244">
      <w:bodyDiv w:val="1"/>
      <w:marLeft w:val="0"/>
      <w:marRight w:val="0"/>
      <w:marTop w:val="0"/>
      <w:marBottom w:val="0"/>
      <w:divBdr>
        <w:top w:val="none" w:sz="0" w:space="0" w:color="auto"/>
        <w:left w:val="none" w:sz="0" w:space="0" w:color="auto"/>
        <w:bottom w:val="none" w:sz="0" w:space="0" w:color="auto"/>
        <w:right w:val="none" w:sz="0" w:space="0" w:color="auto"/>
      </w:divBdr>
    </w:div>
    <w:div w:id="1016343973">
      <w:bodyDiv w:val="1"/>
      <w:marLeft w:val="0"/>
      <w:marRight w:val="0"/>
      <w:marTop w:val="0"/>
      <w:marBottom w:val="0"/>
      <w:divBdr>
        <w:top w:val="none" w:sz="0" w:space="0" w:color="auto"/>
        <w:left w:val="none" w:sz="0" w:space="0" w:color="auto"/>
        <w:bottom w:val="none" w:sz="0" w:space="0" w:color="auto"/>
        <w:right w:val="none" w:sz="0" w:space="0" w:color="auto"/>
      </w:divBdr>
    </w:div>
    <w:div w:id="1016351417">
      <w:bodyDiv w:val="1"/>
      <w:marLeft w:val="0"/>
      <w:marRight w:val="0"/>
      <w:marTop w:val="0"/>
      <w:marBottom w:val="0"/>
      <w:divBdr>
        <w:top w:val="none" w:sz="0" w:space="0" w:color="auto"/>
        <w:left w:val="none" w:sz="0" w:space="0" w:color="auto"/>
        <w:bottom w:val="none" w:sz="0" w:space="0" w:color="auto"/>
        <w:right w:val="none" w:sz="0" w:space="0" w:color="auto"/>
      </w:divBdr>
    </w:div>
    <w:div w:id="1028020193">
      <w:bodyDiv w:val="1"/>
      <w:marLeft w:val="0"/>
      <w:marRight w:val="0"/>
      <w:marTop w:val="0"/>
      <w:marBottom w:val="0"/>
      <w:divBdr>
        <w:top w:val="none" w:sz="0" w:space="0" w:color="auto"/>
        <w:left w:val="none" w:sz="0" w:space="0" w:color="auto"/>
        <w:bottom w:val="none" w:sz="0" w:space="0" w:color="auto"/>
        <w:right w:val="none" w:sz="0" w:space="0" w:color="auto"/>
      </w:divBdr>
    </w:div>
    <w:div w:id="1032876681">
      <w:bodyDiv w:val="1"/>
      <w:marLeft w:val="0"/>
      <w:marRight w:val="0"/>
      <w:marTop w:val="0"/>
      <w:marBottom w:val="0"/>
      <w:divBdr>
        <w:top w:val="none" w:sz="0" w:space="0" w:color="auto"/>
        <w:left w:val="none" w:sz="0" w:space="0" w:color="auto"/>
        <w:bottom w:val="none" w:sz="0" w:space="0" w:color="auto"/>
        <w:right w:val="none" w:sz="0" w:space="0" w:color="auto"/>
      </w:divBdr>
    </w:div>
    <w:div w:id="1067340347">
      <w:bodyDiv w:val="1"/>
      <w:marLeft w:val="0"/>
      <w:marRight w:val="0"/>
      <w:marTop w:val="0"/>
      <w:marBottom w:val="0"/>
      <w:divBdr>
        <w:top w:val="none" w:sz="0" w:space="0" w:color="auto"/>
        <w:left w:val="none" w:sz="0" w:space="0" w:color="auto"/>
        <w:bottom w:val="none" w:sz="0" w:space="0" w:color="auto"/>
        <w:right w:val="none" w:sz="0" w:space="0" w:color="auto"/>
      </w:divBdr>
    </w:div>
    <w:div w:id="1070035603">
      <w:bodyDiv w:val="1"/>
      <w:marLeft w:val="0"/>
      <w:marRight w:val="0"/>
      <w:marTop w:val="0"/>
      <w:marBottom w:val="0"/>
      <w:divBdr>
        <w:top w:val="none" w:sz="0" w:space="0" w:color="auto"/>
        <w:left w:val="none" w:sz="0" w:space="0" w:color="auto"/>
        <w:bottom w:val="none" w:sz="0" w:space="0" w:color="auto"/>
        <w:right w:val="none" w:sz="0" w:space="0" w:color="auto"/>
      </w:divBdr>
    </w:div>
    <w:div w:id="1081096619">
      <w:bodyDiv w:val="1"/>
      <w:marLeft w:val="0"/>
      <w:marRight w:val="0"/>
      <w:marTop w:val="0"/>
      <w:marBottom w:val="0"/>
      <w:divBdr>
        <w:top w:val="none" w:sz="0" w:space="0" w:color="auto"/>
        <w:left w:val="none" w:sz="0" w:space="0" w:color="auto"/>
        <w:bottom w:val="none" w:sz="0" w:space="0" w:color="auto"/>
        <w:right w:val="none" w:sz="0" w:space="0" w:color="auto"/>
      </w:divBdr>
    </w:div>
    <w:div w:id="1110658610">
      <w:bodyDiv w:val="1"/>
      <w:marLeft w:val="0"/>
      <w:marRight w:val="0"/>
      <w:marTop w:val="0"/>
      <w:marBottom w:val="0"/>
      <w:divBdr>
        <w:top w:val="none" w:sz="0" w:space="0" w:color="auto"/>
        <w:left w:val="none" w:sz="0" w:space="0" w:color="auto"/>
        <w:bottom w:val="none" w:sz="0" w:space="0" w:color="auto"/>
        <w:right w:val="none" w:sz="0" w:space="0" w:color="auto"/>
      </w:divBdr>
    </w:div>
    <w:div w:id="1153372538">
      <w:bodyDiv w:val="1"/>
      <w:marLeft w:val="0"/>
      <w:marRight w:val="0"/>
      <w:marTop w:val="0"/>
      <w:marBottom w:val="0"/>
      <w:divBdr>
        <w:top w:val="none" w:sz="0" w:space="0" w:color="auto"/>
        <w:left w:val="none" w:sz="0" w:space="0" w:color="auto"/>
        <w:bottom w:val="none" w:sz="0" w:space="0" w:color="auto"/>
        <w:right w:val="none" w:sz="0" w:space="0" w:color="auto"/>
      </w:divBdr>
    </w:div>
    <w:div w:id="1154756386">
      <w:bodyDiv w:val="1"/>
      <w:marLeft w:val="0"/>
      <w:marRight w:val="0"/>
      <w:marTop w:val="0"/>
      <w:marBottom w:val="0"/>
      <w:divBdr>
        <w:top w:val="none" w:sz="0" w:space="0" w:color="auto"/>
        <w:left w:val="none" w:sz="0" w:space="0" w:color="auto"/>
        <w:bottom w:val="none" w:sz="0" w:space="0" w:color="auto"/>
        <w:right w:val="none" w:sz="0" w:space="0" w:color="auto"/>
      </w:divBdr>
    </w:div>
    <w:div w:id="1174995886">
      <w:bodyDiv w:val="1"/>
      <w:marLeft w:val="0"/>
      <w:marRight w:val="0"/>
      <w:marTop w:val="0"/>
      <w:marBottom w:val="0"/>
      <w:divBdr>
        <w:top w:val="none" w:sz="0" w:space="0" w:color="auto"/>
        <w:left w:val="none" w:sz="0" w:space="0" w:color="auto"/>
        <w:bottom w:val="none" w:sz="0" w:space="0" w:color="auto"/>
        <w:right w:val="none" w:sz="0" w:space="0" w:color="auto"/>
      </w:divBdr>
    </w:div>
    <w:div w:id="1205018184">
      <w:bodyDiv w:val="1"/>
      <w:marLeft w:val="0"/>
      <w:marRight w:val="0"/>
      <w:marTop w:val="0"/>
      <w:marBottom w:val="0"/>
      <w:divBdr>
        <w:top w:val="none" w:sz="0" w:space="0" w:color="auto"/>
        <w:left w:val="none" w:sz="0" w:space="0" w:color="auto"/>
        <w:bottom w:val="none" w:sz="0" w:space="0" w:color="auto"/>
        <w:right w:val="none" w:sz="0" w:space="0" w:color="auto"/>
      </w:divBdr>
    </w:div>
    <w:div w:id="1215312322">
      <w:bodyDiv w:val="1"/>
      <w:marLeft w:val="0"/>
      <w:marRight w:val="0"/>
      <w:marTop w:val="0"/>
      <w:marBottom w:val="0"/>
      <w:divBdr>
        <w:top w:val="none" w:sz="0" w:space="0" w:color="auto"/>
        <w:left w:val="none" w:sz="0" w:space="0" w:color="auto"/>
        <w:bottom w:val="none" w:sz="0" w:space="0" w:color="auto"/>
        <w:right w:val="none" w:sz="0" w:space="0" w:color="auto"/>
      </w:divBdr>
    </w:div>
    <w:div w:id="1216889722">
      <w:bodyDiv w:val="1"/>
      <w:marLeft w:val="0"/>
      <w:marRight w:val="0"/>
      <w:marTop w:val="0"/>
      <w:marBottom w:val="0"/>
      <w:divBdr>
        <w:top w:val="none" w:sz="0" w:space="0" w:color="auto"/>
        <w:left w:val="none" w:sz="0" w:space="0" w:color="auto"/>
        <w:bottom w:val="none" w:sz="0" w:space="0" w:color="auto"/>
        <w:right w:val="none" w:sz="0" w:space="0" w:color="auto"/>
      </w:divBdr>
    </w:div>
    <w:div w:id="1248732537">
      <w:bodyDiv w:val="1"/>
      <w:marLeft w:val="0"/>
      <w:marRight w:val="0"/>
      <w:marTop w:val="0"/>
      <w:marBottom w:val="0"/>
      <w:divBdr>
        <w:top w:val="none" w:sz="0" w:space="0" w:color="auto"/>
        <w:left w:val="none" w:sz="0" w:space="0" w:color="auto"/>
        <w:bottom w:val="none" w:sz="0" w:space="0" w:color="auto"/>
        <w:right w:val="none" w:sz="0" w:space="0" w:color="auto"/>
      </w:divBdr>
    </w:div>
    <w:div w:id="1320884913">
      <w:bodyDiv w:val="1"/>
      <w:marLeft w:val="0"/>
      <w:marRight w:val="0"/>
      <w:marTop w:val="0"/>
      <w:marBottom w:val="0"/>
      <w:divBdr>
        <w:top w:val="none" w:sz="0" w:space="0" w:color="auto"/>
        <w:left w:val="none" w:sz="0" w:space="0" w:color="auto"/>
        <w:bottom w:val="none" w:sz="0" w:space="0" w:color="auto"/>
        <w:right w:val="none" w:sz="0" w:space="0" w:color="auto"/>
      </w:divBdr>
    </w:div>
    <w:div w:id="1325932909">
      <w:bodyDiv w:val="1"/>
      <w:marLeft w:val="0"/>
      <w:marRight w:val="0"/>
      <w:marTop w:val="0"/>
      <w:marBottom w:val="0"/>
      <w:divBdr>
        <w:top w:val="none" w:sz="0" w:space="0" w:color="auto"/>
        <w:left w:val="none" w:sz="0" w:space="0" w:color="auto"/>
        <w:bottom w:val="none" w:sz="0" w:space="0" w:color="auto"/>
        <w:right w:val="none" w:sz="0" w:space="0" w:color="auto"/>
      </w:divBdr>
    </w:div>
    <w:div w:id="1358626824">
      <w:bodyDiv w:val="1"/>
      <w:marLeft w:val="0"/>
      <w:marRight w:val="0"/>
      <w:marTop w:val="0"/>
      <w:marBottom w:val="0"/>
      <w:divBdr>
        <w:top w:val="none" w:sz="0" w:space="0" w:color="auto"/>
        <w:left w:val="none" w:sz="0" w:space="0" w:color="auto"/>
        <w:bottom w:val="none" w:sz="0" w:space="0" w:color="auto"/>
        <w:right w:val="none" w:sz="0" w:space="0" w:color="auto"/>
      </w:divBdr>
    </w:div>
    <w:div w:id="1359311747">
      <w:bodyDiv w:val="1"/>
      <w:marLeft w:val="0"/>
      <w:marRight w:val="0"/>
      <w:marTop w:val="0"/>
      <w:marBottom w:val="0"/>
      <w:divBdr>
        <w:top w:val="none" w:sz="0" w:space="0" w:color="auto"/>
        <w:left w:val="none" w:sz="0" w:space="0" w:color="auto"/>
        <w:bottom w:val="none" w:sz="0" w:space="0" w:color="auto"/>
        <w:right w:val="none" w:sz="0" w:space="0" w:color="auto"/>
      </w:divBdr>
    </w:div>
    <w:div w:id="1385258060">
      <w:bodyDiv w:val="1"/>
      <w:marLeft w:val="0"/>
      <w:marRight w:val="0"/>
      <w:marTop w:val="0"/>
      <w:marBottom w:val="0"/>
      <w:divBdr>
        <w:top w:val="none" w:sz="0" w:space="0" w:color="auto"/>
        <w:left w:val="none" w:sz="0" w:space="0" w:color="auto"/>
        <w:bottom w:val="none" w:sz="0" w:space="0" w:color="auto"/>
        <w:right w:val="none" w:sz="0" w:space="0" w:color="auto"/>
      </w:divBdr>
    </w:div>
    <w:div w:id="1403681111">
      <w:bodyDiv w:val="1"/>
      <w:marLeft w:val="0"/>
      <w:marRight w:val="0"/>
      <w:marTop w:val="0"/>
      <w:marBottom w:val="0"/>
      <w:divBdr>
        <w:top w:val="none" w:sz="0" w:space="0" w:color="auto"/>
        <w:left w:val="none" w:sz="0" w:space="0" w:color="auto"/>
        <w:bottom w:val="none" w:sz="0" w:space="0" w:color="auto"/>
        <w:right w:val="none" w:sz="0" w:space="0" w:color="auto"/>
      </w:divBdr>
    </w:div>
    <w:div w:id="1407802270">
      <w:bodyDiv w:val="1"/>
      <w:marLeft w:val="0"/>
      <w:marRight w:val="0"/>
      <w:marTop w:val="0"/>
      <w:marBottom w:val="0"/>
      <w:divBdr>
        <w:top w:val="none" w:sz="0" w:space="0" w:color="auto"/>
        <w:left w:val="none" w:sz="0" w:space="0" w:color="auto"/>
        <w:bottom w:val="none" w:sz="0" w:space="0" w:color="auto"/>
        <w:right w:val="none" w:sz="0" w:space="0" w:color="auto"/>
      </w:divBdr>
    </w:div>
    <w:div w:id="1434861574">
      <w:bodyDiv w:val="1"/>
      <w:marLeft w:val="0"/>
      <w:marRight w:val="0"/>
      <w:marTop w:val="0"/>
      <w:marBottom w:val="0"/>
      <w:divBdr>
        <w:top w:val="none" w:sz="0" w:space="0" w:color="auto"/>
        <w:left w:val="none" w:sz="0" w:space="0" w:color="auto"/>
        <w:bottom w:val="none" w:sz="0" w:space="0" w:color="auto"/>
        <w:right w:val="none" w:sz="0" w:space="0" w:color="auto"/>
      </w:divBdr>
    </w:div>
    <w:div w:id="1458522998">
      <w:bodyDiv w:val="1"/>
      <w:marLeft w:val="0"/>
      <w:marRight w:val="0"/>
      <w:marTop w:val="0"/>
      <w:marBottom w:val="0"/>
      <w:divBdr>
        <w:top w:val="none" w:sz="0" w:space="0" w:color="auto"/>
        <w:left w:val="none" w:sz="0" w:space="0" w:color="auto"/>
        <w:bottom w:val="none" w:sz="0" w:space="0" w:color="auto"/>
        <w:right w:val="none" w:sz="0" w:space="0" w:color="auto"/>
      </w:divBdr>
    </w:div>
    <w:div w:id="1462386784">
      <w:bodyDiv w:val="1"/>
      <w:marLeft w:val="0"/>
      <w:marRight w:val="0"/>
      <w:marTop w:val="0"/>
      <w:marBottom w:val="0"/>
      <w:divBdr>
        <w:top w:val="none" w:sz="0" w:space="0" w:color="auto"/>
        <w:left w:val="none" w:sz="0" w:space="0" w:color="auto"/>
        <w:bottom w:val="none" w:sz="0" w:space="0" w:color="auto"/>
        <w:right w:val="none" w:sz="0" w:space="0" w:color="auto"/>
      </w:divBdr>
    </w:div>
    <w:div w:id="1463502159">
      <w:bodyDiv w:val="1"/>
      <w:marLeft w:val="0"/>
      <w:marRight w:val="0"/>
      <w:marTop w:val="0"/>
      <w:marBottom w:val="0"/>
      <w:divBdr>
        <w:top w:val="none" w:sz="0" w:space="0" w:color="auto"/>
        <w:left w:val="none" w:sz="0" w:space="0" w:color="auto"/>
        <w:bottom w:val="none" w:sz="0" w:space="0" w:color="auto"/>
        <w:right w:val="none" w:sz="0" w:space="0" w:color="auto"/>
      </w:divBdr>
    </w:div>
    <w:div w:id="1469593996">
      <w:bodyDiv w:val="1"/>
      <w:marLeft w:val="0"/>
      <w:marRight w:val="0"/>
      <w:marTop w:val="0"/>
      <w:marBottom w:val="0"/>
      <w:divBdr>
        <w:top w:val="none" w:sz="0" w:space="0" w:color="auto"/>
        <w:left w:val="none" w:sz="0" w:space="0" w:color="auto"/>
        <w:bottom w:val="none" w:sz="0" w:space="0" w:color="auto"/>
        <w:right w:val="none" w:sz="0" w:space="0" w:color="auto"/>
      </w:divBdr>
    </w:div>
    <w:div w:id="1475831060">
      <w:bodyDiv w:val="1"/>
      <w:marLeft w:val="0"/>
      <w:marRight w:val="0"/>
      <w:marTop w:val="0"/>
      <w:marBottom w:val="0"/>
      <w:divBdr>
        <w:top w:val="none" w:sz="0" w:space="0" w:color="auto"/>
        <w:left w:val="none" w:sz="0" w:space="0" w:color="auto"/>
        <w:bottom w:val="none" w:sz="0" w:space="0" w:color="auto"/>
        <w:right w:val="none" w:sz="0" w:space="0" w:color="auto"/>
      </w:divBdr>
    </w:div>
    <w:div w:id="1485006988">
      <w:bodyDiv w:val="1"/>
      <w:marLeft w:val="0"/>
      <w:marRight w:val="0"/>
      <w:marTop w:val="0"/>
      <w:marBottom w:val="0"/>
      <w:divBdr>
        <w:top w:val="none" w:sz="0" w:space="0" w:color="auto"/>
        <w:left w:val="none" w:sz="0" w:space="0" w:color="auto"/>
        <w:bottom w:val="none" w:sz="0" w:space="0" w:color="auto"/>
        <w:right w:val="none" w:sz="0" w:space="0" w:color="auto"/>
      </w:divBdr>
    </w:div>
    <w:div w:id="1504972603">
      <w:bodyDiv w:val="1"/>
      <w:marLeft w:val="0"/>
      <w:marRight w:val="0"/>
      <w:marTop w:val="0"/>
      <w:marBottom w:val="0"/>
      <w:divBdr>
        <w:top w:val="none" w:sz="0" w:space="0" w:color="auto"/>
        <w:left w:val="none" w:sz="0" w:space="0" w:color="auto"/>
        <w:bottom w:val="none" w:sz="0" w:space="0" w:color="auto"/>
        <w:right w:val="none" w:sz="0" w:space="0" w:color="auto"/>
      </w:divBdr>
    </w:div>
    <w:div w:id="1507359347">
      <w:bodyDiv w:val="1"/>
      <w:marLeft w:val="0"/>
      <w:marRight w:val="0"/>
      <w:marTop w:val="0"/>
      <w:marBottom w:val="0"/>
      <w:divBdr>
        <w:top w:val="none" w:sz="0" w:space="0" w:color="auto"/>
        <w:left w:val="none" w:sz="0" w:space="0" w:color="auto"/>
        <w:bottom w:val="none" w:sz="0" w:space="0" w:color="auto"/>
        <w:right w:val="none" w:sz="0" w:space="0" w:color="auto"/>
      </w:divBdr>
    </w:div>
    <w:div w:id="1510100599">
      <w:bodyDiv w:val="1"/>
      <w:marLeft w:val="0"/>
      <w:marRight w:val="0"/>
      <w:marTop w:val="0"/>
      <w:marBottom w:val="0"/>
      <w:divBdr>
        <w:top w:val="none" w:sz="0" w:space="0" w:color="auto"/>
        <w:left w:val="none" w:sz="0" w:space="0" w:color="auto"/>
        <w:bottom w:val="none" w:sz="0" w:space="0" w:color="auto"/>
        <w:right w:val="none" w:sz="0" w:space="0" w:color="auto"/>
      </w:divBdr>
    </w:div>
    <w:div w:id="1525706547">
      <w:bodyDiv w:val="1"/>
      <w:marLeft w:val="0"/>
      <w:marRight w:val="0"/>
      <w:marTop w:val="0"/>
      <w:marBottom w:val="0"/>
      <w:divBdr>
        <w:top w:val="none" w:sz="0" w:space="0" w:color="auto"/>
        <w:left w:val="none" w:sz="0" w:space="0" w:color="auto"/>
        <w:bottom w:val="none" w:sz="0" w:space="0" w:color="auto"/>
        <w:right w:val="none" w:sz="0" w:space="0" w:color="auto"/>
      </w:divBdr>
    </w:div>
    <w:div w:id="1555969990">
      <w:bodyDiv w:val="1"/>
      <w:marLeft w:val="0"/>
      <w:marRight w:val="0"/>
      <w:marTop w:val="0"/>
      <w:marBottom w:val="0"/>
      <w:divBdr>
        <w:top w:val="none" w:sz="0" w:space="0" w:color="auto"/>
        <w:left w:val="none" w:sz="0" w:space="0" w:color="auto"/>
        <w:bottom w:val="none" w:sz="0" w:space="0" w:color="auto"/>
        <w:right w:val="none" w:sz="0" w:space="0" w:color="auto"/>
      </w:divBdr>
    </w:div>
    <w:div w:id="1613240591">
      <w:bodyDiv w:val="1"/>
      <w:marLeft w:val="0"/>
      <w:marRight w:val="0"/>
      <w:marTop w:val="0"/>
      <w:marBottom w:val="0"/>
      <w:divBdr>
        <w:top w:val="none" w:sz="0" w:space="0" w:color="auto"/>
        <w:left w:val="none" w:sz="0" w:space="0" w:color="auto"/>
        <w:bottom w:val="none" w:sz="0" w:space="0" w:color="auto"/>
        <w:right w:val="none" w:sz="0" w:space="0" w:color="auto"/>
      </w:divBdr>
    </w:div>
    <w:div w:id="1646353382">
      <w:bodyDiv w:val="1"/>
      <w:marLeft w:val="0"/>
      <w:marRight w:val="0"/>
      <w:marTop w:val="0"/>
      <w:marBottom w:val="0"/>
      <w:divBdr>
        <w:top w:val="none" w:sz="0" w:space="0" w:color="auto"/>
        <w:left w:val="none" w:sz="0" w:space="0" w:color="auto"/>
        <w:bottom w:val="none" w:sz="0" w:space="0" w:color="auto"/>
        <w:right w:val="none" w:sz="0" w:space="0" w:color="auto"/>
      </w:divBdr>
    </w:div>
    <w:div w:id="1650786410">
      <w:bodyDiv w:val="1"/>
      <w:marLeft w:val="0"/>
      <w:marRight w:val="0"/>
      <w:marTop w:val="0"/>
      <w:marBottom w:val="0"/>
      <w:divBdr>
        <w:top w:val="none" w:sz="0" w:space="0" w:color="auto"/>
        <w:left w:val="none" w:sz="0" w:space="0" w:color="auto"/>
        <w:bottom w:val="none" w:sz="0" w:space="0" w:color="auto"/>
        <w:right w:val="none" w:sz="0" w:space="0" w:color="auto"/>
      </w:divBdr>
    </w:div>
    <w:div w:id="1659115229">
      <w:bodyDiv w:val="1"/>
      <w:marLeft w:val="0"/>
      <w:marRight w:val="0"/>
      <w:marTop w:val="0"/>
      <w:marBottom w:val="0"/>
      <w:divBdr>
        <w:top w:val="none" w:sz="0" w:space="0" w:color="auto"/>
        <w:left w:val="none" w:sz="0" w:space="0" w:color="auto"/>
        <w:bottom w:val="none" w:sz="0" w:space="0" w:color="auto"/>
        <w:right w:val="none" w:sz="0" w:space="0" w:color="auto"/>
      </w:divBdr>
    </w:div>
    <w:div w:id="1703362527">
      <w:bodyDiv w:val="1"/>
      <w:marLeft w:val="0"/>
      <w:marRight w:val="0"/>
      <w:marTop w:val="0"/>
      <w:marBottom w:val="0"/>
      <w:divBdr>
        <w:top w:val="none" w:sz="0" w:space="0" w:color="auto"/>
        <w:left w:val="none" w:sz="0" w:space="0" w:color="auto"/>
        <w:bottom w:val="none" w:sz="0" w:space="0" w:color="auto"/>
        <w:right w:val="none" w:sz="0" w:space="0" w:color="auto"/>
      </w:divBdr>
    </w:div>
    <w:div w:id="1704937738">
      <w:bodyDiv w:val="1"/>
      <w:marLeft w:val="0"/>
      <w:marRight w:val="0"/>
      <w:marTop w:val="0"/>
      <w:marBottom w:val="0"/>
      <w:divBdr>
        <w:top w:val="none" w:sz="0" w:space="0" w:color="auto"/>
        <w:left w:val="none" w:sz="0" w:space="0" w:color="auto"/>
        <w:bottom w:val="none" w:sz="0" w:space="0" w:color="auto"/>
        <w:right w:val="none" w:sz="0" w:space="0" w:color="auto"/>
      </w:divBdr>
    </w:div>
    <w:div w:id="1704940925">
      <w:bodyDiv w:val="1"/>
      <w:marLeft w:val="0"/>
      <w:marRight w:val="0"/>
      <w:marTop w:val="0"/>
      <w:marBottom w:val="0"/>
      <w:divBdr>
        <w:top w:val="none" w:sz="0" w:space="0" w:color="auto"/>
        <w:left w:val="none" w:sz="0" w:space="0" w:color="auto"/>
        <w:bottom w:val="none" w:sz="0" w:space="0" w:color="auto"/>
        <w:right w:val="none" w:sz="0" w:space="0" w:color="auto"/>
      </w:divBdr>
    </w:div>
    <w:div w:id="1734114994">
      <w:bodyDiv w:val="1"/>
      <w:marLeft w:val="0"/>
      <w:marRight w:val="0"/>
      <w:marTop w:val="0"/>
      <w:marBottom w:val="0"/>
      <w:divBdr>
        <w:top w:val="none" w:sz="0" w:space="0" w:color="auto"/>
        <w:left w:val="none" w:sz="0" w:space="0" w:color="auto"/>
        <w:bottom w:val="none" w:sz="0" w:space="0" w:color="auto"/>
        <w:right w:val="none" w:sz="0" w:space="0" w:color="auto"/>
      </w:divBdr>
    </w:div>
    <w:div w:id="1759063016">
      <w:bodyDiv w:val="1"/>
      <w:marLeft w:val="0"/>
      <w:marRight w:val="0"/>
      <w:marTop w:val="0"/>
      <w:marBottom w:val="0"/>
      <w:divBdr>
        <w:top w:val="none" w:sz="0" w:space="0" w:color="auto"/>
        <w:left w:val="none" w:sz="0" w:space="0" w:color="auto"/>
        <w:bottom w:val="none" w:sz="0" w:space="0" w:color="auto"/>
        <w:right w:val="none" w:sz="0" w:space="0" w:color="auto"/>
      </w:divBdr>
    </w:div>
    <w:div w:id="1767381999">
      <w:bodyDiv w:val="1"/>
      <w:marLeft w:val="0"/>
      <w:marRight w:val="0"/>
      <w:marTop w:val="0"/>
      <w:marBottom w:val="0"/>
      <w:divBdr>
        <w:top w:val="none" w:sz="0" w:space="0" w:color="auto"/>
        <w:left w:val="none" w:sz="0" w:space="0" w:color="auto"/>
        <w:bottom w:val="none" w:sz="0" w:space="0" w:color="auto"/>
        <w:right w:val="none" w:sz="0" w:space="0" w:color="auto"/>
      </w:divBdr>
    </w:div>
    <w:div w:id="1815218518">
      <w:bodyDiv w:val="1"/>
      <w:marLeft w:val="0"/>
      <w:marRight w:val="0"/>
      <w:marTop w:val="0"/>
      <w:marBottom w:val="0"/>
      <w:divBdr>
        <w:top w:val="none" w:sz="0" w:space="0" w:color="auto"/>
        <w:left w:val="none" w:sz="0" w:space="0" w:color="auto"/>
        <w:bottom w:val="none" w:sz="0" w:space="0" w:color="auto"/>
        <w:right w:val="none" w:sz="0" w:space="0" w:color="auto"/>
      </w:divBdr>
    </w:div>
    <w:div w:id="1838642924">
      <w:bodyDiv w:val="1"/>
      <w:marLeft w:val="0"/>
      <w:marRight w:val="0"/>
      <w:marTop w:val="0"/>
      <w:marBottom w:val="0"/>
      <w:divBdr>
        <w:top w:val="none" w:sz="0" w:space="0" w:color="auto"/>
        <w:left w:val="none" w:sz="0" w:space="0" w:color="auto"/>
        <w:bottom w:val="none" w:sz="0" w:space="0" w:color="auto"/>
        <w:right w:val="none" w:sz="0" w:space="0" w:color="auto"/>
      </w:divBdr>
    </w:div>
    <w:div w:id="1850025762">
      <w:bodyDiv w:val="1"/>
      <w:marLeft w:val="0"/>
      <w:marRight w:val="0"/>
      <w:marTop w:val="0"/>
      <w:marBottom w:val="0"/>
      <w:divBdr>
        <w:top w:val="none" w:sz="0" w:space="0" w:color="auto"/>
        <w:left w:val="none" w:sz="0" w:space="0" w:color="auto"/>
        <w:bottom w:val="none" w:sz="0" w:space="0" w:color="auto"/>
        <w:right w:val="none" w:sz="0" w:space="0" w:color="auto"/>
      </w:divBdr>
    </w:div>
    <w:div w:id="1892574079">
      <w:bodyDiv w:val="1"/>
      <w:marLeft w:val="0"/>
      <w:marRight w:val="0"/>
      <w:marTop w:val="0"/>
      <w:marBottom w:val="0"/>
      <w:divBdr>
        <w:top w:val="none" w:sz="0" w:space="0" w:color="auto"/>
        <w:left w:val="none" w:sz="0" w:space="0" w:color="auto"/>
        <w:bottom w:val="none" w:sz="0" w:space="0" w:color="auto"/>
        <w:right w:val="none" w:sz="0" w:space="0" w:color="auto"/>
      </w:divBdr>
    </w:div>
    <w:div w:id="1937637739">
      <w:bodyDiv w:val="1"/>
      <w:marLeft w:val="0"/>
      <w:marRight w:val="0"/>
      <w:marTop w:val="0"/>
      <w:marBottom w:val="0"/>
      <w:divBdr>
        <w:top w:val="none" w:sz="0" w:space="0" w:color="auto"/>
        <w:left w:val="none" w:sz="0" w:space="0" w:color="auto"/>
        <w:bottom w:val="none" w:sz="0" w:space="0" w:color="auto"/>
        <w:right w:val="none" w:sz="0" w:space="0" w:color="auto"/>
      </w:divBdr>
    </w:div>
    <w:div w:id="1947882412">
      <w:bodyDiv w:val="1"/>
      <w:marLeft w:val="0"/>
      <w:marRight w:val="0"/>
      <w:marTop w:val="0"/>
      <w:marBottom w:val="0"/>
      <w:divBdr>
        <w:top w:val="none" w:sz="0" w:space="0" w:color="auto"/>
        <w:left w:val="none" w:sz="0" w:space="0" w:color="auto"/>
        <w:bottom w:val="none" w:sz="0" w:space="0" w:color="auto"/>
        <w:right w:val="none" w:sz="0" w:space="0" w:color="auto"/>
      </w:divBdr>
    </w:div>
    <w:div w:id="1950550613">
      <w:bodyDiv w:val="1"/>
      <w:marLeft w:val="0"/>
      <w:marRight w:val="0"/>
      <w:marTop w:val="0"/>
      <w:marBottom w:val="0"/>
      <w:divBdr>
        <w:top w:val="none" w:sz="0" w:space="0" w:color="auto"/>
        <w:left w:val="none" w:sz="0" w:space="0" w:color="auto"/>
        <w:bottom w:val="none" w:sz="0" w:space="0" w:color="auto"/>
        <w:right w:val="none" w:sz="0" w:space="0" w:color="auto"/>
      </w:divBdr>
    </w:div>
    <w:div w:id="1971548553">
      <w:bodyDiv w:val="1"/>
      <w:marLeft w:val="0"/>
      <w:marRight w:val="0"/>
      <w:marTop w:val="0"/>
      <w:marBottom w:val="0"/>
      <w:divBdr>
        <w:top w:val="none" w:sz="0" w:space="0" w:color="auto"/>
        <w:left w:val="none" w:sz="0" w:space="0" w:color="auto"/>
        <w:bottom w:val="none" w:sz="0" w:space="0" w:color="auto"/>
        <w:right w:val="none" w:sz="0" w:space="0" w:color="auto"/>
      </w:divBdr>
    </w:div>
    <w:div w:id="1973628754">
      <w:bodyDiv w:val="1"/>
      <w:marLeft w:val="0"/>
      <w:marRight w:val="0"/>
      <w:marTop w:val="0"/>
      <w:marBottom w:val="0"/>
      <w:divBdr>
        <w:top w:val="none" w:sz="0" w:space="0" w:color="auto"/>
        <w:left w:val="none" w:sz="0" w:space="0" w:color="auto"/>
        <w:bottom w:val="none" w:sz="0" w:space="0" w:color="auto"/>
        <w:right w:val="none" w:sz="0" w:space="0" w:color="auto"/>
      </w:divBdr>
    </w:div>
    <w:div w:id="1978293973">
      <w:bodyDiv w:val="1"/>
      <w:marLeft w:val="0"/>
      <w:marRight w:val="0"/>
      <w:marTop w:val="0"/>
      <w:marBottom w:val="0"/>
      <w:divBdr>
        <w:top w:val="none" w:sz="0" w:space="0" w:color="auto"/>
        <w:left w:val="none" w:sz="0" w:space="0" w:color="auto"/>
        <w:bottom w:val="none" w:sz="0" w:space="0" w:color="auto"/>
        <w:right w:val="none" w:sz="0" w:space="0" w:color="auto"/>
      </w:divBdr>
    </w:div>
    <w:div w:id="2020110709">
      <w:bodyDiv w:val="1"/>
      <w:marLeft w:val="0"/>
      <w:marRight w:val="0"/>
      <w:marTop w:val="0"/>
      <w:marBottom w:val="0"/>
      <w:divBdr>
        <w:top w:val="none" w:sz="0" w:space="0" w:color="auto"/>
        <w:left w:val="none" w:sz="0" w:space="0" w:color="auto"/>
        <w:bottom w:val="none" w:sz="0" w:space="0" w:color="auto"/>
        <w:right w:val="none" w:sz="0" w:space="0" w:color="auto"/>
      </w:divBdr>
    </w:div>
    <w:div w:id="2027750541">
      <w:bodyDiv w:val="1"/>
      <w:marLeft w:val="0"/>
      <w:marRight w:val="0"/>
      <w:marTop w:val="0"/>
      <w:marBottom w:val="0"/>
      <w:divBdr>
        <w:top w:val="none" w:sz="0" w:space="0" w:color="auto"/>
        <w:left w:val="none" w:sz="0" w:space="0" w:color="auto"/>
        <w:bottom w:val="none" w:sz="0" w:space="0" w:color="auto"/>
        <w:right w:val="none" w:sz="0" w:space="0" w:color="auto"/>
      </w:divBdr>
    </w:div>
    <w:div w:id="2029328380">
      <w:bodyDiv w:val="1"/>
      <w:marLeft w:val="0"/>
      <w:marRight w:val="0"/>
      <w:marTop w:val="0"/>
      <w:marBottom w:val="0"/>
      <w:divBdr>
        <w:top w:val="none" w:sz="0" w:space="0" w:color="auto"/>
        <w:left w:val="none" w:sz="0" w:space="0" w:color="auto"/>
        <w:bottom w:val="none" w:sz="0" w:space="0" w:color="auto"/>
        <w:right w:val="none" w:sz="0" w:space="0" w:color="auto"/>
      </w:divBdr>
    </w:div>
    <w:div w:id="2047753065">
      <w:bodyDiv w:val="1"/>
      <w:marLeft w:val="0"/>
      <w:marRight w:val="0"/>
      <w:marTop w:val="0"/>
      <w:marBottom w:val="0"/>
      <w:divBdr>
        <w:top w:val="none" w:sz="0" w:space="0" w:color="auto"/>
        <w:left w:val="none" w:sz="0" w:space="0" w:color="auto"/>
        <w:bottom w:val="none" w:sz="0" w:space="0" w:color="auto"/>
        <w:right w:val="none" w:sz="0" w:space="0" w:color="auto"/>
      </w:divBdr>
    </w:div>
    <w:div w:id="2056197886">
      <w:bodyDiv w:val="1"/>
      <w:marLeft w:val="0"/>
      <w:marRight w:val="0"/>
      <w:marTop w:val="0"/>
      <w:marBottom w:val="0"/>
      <w:divBdr>
        <w:top w:val="none" w:sz="0" w:space="0" w:color="auto"/>
        <w:left w:val="none" w:sz="0" w:space="0" w:color="auto"/>
        <w:bottom w:val="none" w:sz="0" w:space="0" w:color="auto"/>
        <w:right w:val="none" w:sz="0" w:space="0" w:color="auto"/>
      </w:divBdr>
    </w:div>
    <w:div w:id="2094541641">
      <w:bodyDiv w:val="1"/>
      <w:marLeft w:val="0"/>
      <w:marRight w:val="0"/>
      <w:marTop w:val="0"/>
      <w:marBottom w:val="0"/>
      <w:divBdr>
        <w:top w:val="none" w:sz="0" w:space="0" w:color="auto"/>
        <w:left w:val="none" w:sz="0" w:space="0" w:color="auto"/>
        <w:bottom w:val="none" w:sz="0" w:space="0" w:color="auto"/>
        <w:right w:val="none" w:sz="0" w:space="0" w:color="auto"/>
      </w:divBdr>
    </w:div>
    <w:div w:id="2108305874">
      <w:bodyDiv w:val="1"/>
      <w:marLeft w:val="0"/>
      <w:marRight w:val="0"/>
      <w:marTop w:val="0"/>
      <w:marBottom w:val="0"/>
      <w:divBdr>
        <w:top w:val="none" w:sz="0" w:space="0" w:color="auto"/>
        <w:left w:val="none" w:sz="0" w:space="0" w:color="auto"/>
        <w:bottom w:val="none" w:sz="0" w:space="0" w:color="auto"/>
        <w:right w:val="none" w:sz="0" w:space="0" w:color="auto"/>
      </w:divBdr>
    </w:div>
    <w:div w:id="2119447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Pal20</b:Tag>
    <b:SourceType>ArticleInAPeriodical</b:SourceType>
    <b:Guid>{1F00EB5A-3CF1-4E95-B389-1628B4CC26DD}</b:Guid>
    <b:Title>Two in five businesses have no contingency plan to manage coronavirus outbreak</b:Title>
    <b:Year>2020</b:Year>
    <b:Author>
      <b:Author>
        <b:NameList>
          <b:Person>
            <b:Last>Palmer</b:Last>
            <b:First>Siobhan</b:First>
          </b:Person>
        </b:NameList>
      </b:Author>
    </b:Author>
    <b:PeriodicalTitle>People management</b:PeriodicalTitle>
    <b:Month>03</b:Month>
    <b:Day>13</b:Day>
    <b:RefOrder>3</b:RefOrder>
  </b:Source>
  <b:Source>
    <b:Tag>Ben141</b:Tag>
    <b:SourceType>ArticleInAPeriodical</b:SourceType>
    <b:Guid>{6D229AAA-4C83-45B7-A268-A88CE9B6DA83}</b:Guid>
    <b:Author>
      <b:Author>
        <b:NameList>
          <b:Person>
            <b:Last>Bennett</b:Last>
            <b:First>Nathan</b:First>
          </b:Person>
          <b:Person>
            <b:Last>Lemoine</b:Last>
            <b:First>G James</b:First>
          </b:Person>
        </b:NameList>
      </b:Author>
    </b:Author>
    <b:Title>What VUCA really means for you</b:Title>
    <b:PeriodicalTitle>Harvard Business Review</b:PeriodicalTitle>
    <b:Year>2014</b:Year>
    <b:RefOrder>4</b:RefOrder>
  </b:Source>
  <b:Source>
    <b:Tag>CIP201</b:Tag>
    <b:SourceType>InternetSite</b:SourceType>
    <b:Guid>{E8F1A370-11F7-47E3-91D6-EE5E58BCBCD6}</b:Guid>
    <b:Title>PESTEL Analysis Factsheet</b:Title>
    <b:Year>2020</b:Year>
    <b:Author>
      <b:Author>
        <b:NameList>
          <b:Person>
            <b:Last>CIPD</b:Last>
          </b:Person>
        </b:NameList>
      </b:Author>
    </b:Author>
    <b:YearAccessed>12.05.2020</b:YearAccessed>
    <b:URL>https://www.cipd.co.uk/knowledge/strategy/organisational-development/pestle-analysis-factsheet#7992</b:URL>
    <b:RefOrder>5</b:RefOrder>
  </b:Source>
  <b:Source>
    <b:Tag>Tur02</b:Tag>
    <b:SourceType>Book</b:SourceType>
    <b:Guid>{E298B5AB-199A-4691-A44C-BAA05D9618CB}</b:Guid>
    <b:Title>Tools for Success: A Managers Guide</b:Title>
    <b:Year>2002</b:Year>
    <b:Author>
      <b:Author>
        <b:NameList>
          <b:Person>
            <b:Last>Turner</b:Last>
            <b:First>Suzanne</b:First>
          </b:Person>
        </b:NameList>
      </b:Author>
    </b:Author>
    <b:City>London</b:City>
    <b:Publisher>McGraw Hill</b:Publisher>
    <b:RefOrder>6</b:RefOrder>
  </b:Source>
  <b:Source>
    <b:Tag>CIP202</b:Tag>
    <b:SourceType>InternetSite</b:SourceType>
    <b:Guid>{72E7E52D-5E1D-4309-A6E8-AFD28B46E6EE}</b:Guid>
    <b:Title>SWOT Analysis Factsheet</b:Title>
    <b:Year>2020</b:Year>
    <b:Author>
      <b:Author>
        <b:NameList>
          <b:Person>
            <b:Last>CIPDa</b:Last>
          </b:Person>
        </b:NameList>
      </b:Author>
    </b:Author>
    <b:YearAccessed>12.05.2020</b:YearAccessed>
    <b:URL>https://www.cipd.co.uk/knowledge/strategy/organisational-development/swot-analysis-factsheet#8024</b:URL>
    <b:RefOrder>7</b:RefOrder>
  </b:Source>
  <b:Source>
    <b:Tag>Ree13</b:Tag>
    <b:SourceType>JournalArticle</b:SourceType>
    <b:Guid>{0A9EC565-AB9B-4647-8658-DCE096A864AE}</b:Guid>
    <b:Title>SWOT your way to the future</b:Title>
    <b:Year>2013</b:Year>
    <b:Author>
      <b:Author>
        <b:NameList>
          <b:Person>
            <b:Last>Reed</b:Last>
            <b:First>Doug</b:First>
          </b:Person>
        </b:NameList>
      </b:Author>
    </b:Author>
    <b:JournalName>Industrial Management</b:JournalName>
    <b:Pages>23-26</b:Pages>
    <b:Volume>55</b:Volume>
    <b:Issue>2</b:Issue>
    <b:RefOrder>8</b:RefOrder>
  </b:Source>
  <b:Source>
    <b:Tag>Mic14</b:Tag>
    <b:SourceType>JournalArticle</b:SourceType>
    <b:Guid>{7BB01677-E8E5-4B13-BE11-58CFF1BCC68E}</b:Guid>
    <b:Title>Guidelines for applying Porter's five forces framework: a set of industry analysis templates</b:Title>
    <b:JournalName>Competitiveness Review</b:JournalName>
    <b:Year>2014</b:Year>
    <b:Pages>32-45</b:Pages>
    <b:Volume>24</b:Volume>
    <b:Issue>1</b:Issue>
    <b:Author>
      <b:Author>
        <b:NameList>
          <b:Person>
            <b:Last>Dobbs</b:Last>
            <b:First>Michael</b:First>
          </b:Person>
        </b:NameList>
      </b:Author>
    </b:Author>
    <b:RefOrder>9</b:RefOrder>
  </b:Source>
  <b:Source>
    <b:Tag>Mic08</b:Tag>
    <b:SourceType>ArticleInAPeriodical</b:SourceType>
    <b:Guid>{A6B0742C-4156-4CDE-A358-CA23ED927BB1}</b:Guid>
    <b:Title>The five competitive forces that shape strategy</b:Title>
    <b:Year>2008</b:Year>
    <b:Pages>78-93</b:Pages>
    <b:Volume>86</b:Volume>
    <b:Issue>1</b:Issue>
    <b:Author>
      <b:Author>
        <b:NameList>
          <b:Person>
            <b:Last>Porter</b:Last>
            <b:First>Michael</b:First>
          </b:Person>
        </b:NameList>
      </b:Author>
    </b:Author>
    <b:PeriodicalTitle>Harvard Business Review</b:PeriodicalTitle>
    <b:RefOrder>10</b:RefOrder>
  </b:Source>
  <b:Source>
    <b:Tag>Kew132</b:Tag>
    <b:SourceType>Book</b:SourceType>
    <b:Guid>{49A72B04-46F7-41FB-82E1-3776CD6EDDA2}</b:Guid>
    <b:Title>Human Resource Management in a Context</b:Title>
    <b:Year>2013</b:Year>
    <b:Author>
      <b:Author>
        <b:NameList>
          <b:Person>
            <b:Last>Kew</b:Last>
            <b:First>John</b:First>
          </b:Person>
          <b:Person>
            <b:Last>Stredwick</b:Last>
            <b:First>John </b:First>
          </b:Person>
        </b:NameList>
      </b:Author>
    </b:Author>
    <b:City>London</b:City>
    <b:Publisher>CIPD</b:Publisher>
    <b:Edition>2</b:Edition>
    <b:RefOrder>1</b:RefOrder>
  </b:Source>
  <b:Source>
    <b:Tag>Far15</b:Tag>
    <b:SourceType>BookSection</b:SourceType>
    <b:Guid>{2801EE2B-DC3D-4E29-994F-DD10DF0DFC00}</b:Guid>
    <b:Title>Developing Corporate Strategies</b:Title>
    <b:Year>2015</b:Year>
    <b:Pages>138-149</b:Pages>
    <b:Author>
      <b:Author>
        <b:NameList>
          <b:Person>
            <b:Last>Farnham</b:Last>
            <b:First>David</b:First>
          </b:Person>
        </b:NameList>
      </b:Author>
    </b:Author>
    <b:BookTitle>Human Resource Managment in Context</b:BookTitle>
    <b:City>London</b:City>
    <b:Publisher>CIPD</b:Publisher>
    <b:Edition>4</b:Edition>
    <b:RefOrder>11</b:RefOrder>
  </b:Source>
  <b:Source>
    <b:Tag>Whi01</b:Tag>
    <b:SourceType>ArticleInAPeriodical</b:SourceType>
    <b:Guid>{97E8F59A-58AA-42AA-8836-0514362A01F1}</b:Guid>
    <b:Title>What is strategy and why does it matter?</b:Title>
    <b:Year>2001</b:Year>
    <b:City>London</b:City>
    <b:Publisher>Thomson Learning</b:Publisher>
    <b:Edition>2</b:Edition>
    <b:Author>
      <b:Author>
        <b:NameList>
          <b:Person>
            <b:Last>Whittington</b:Last>
            <b:First>Richard</b:First>
          </b:Person>
        </b:NameList>
      </b:Author>
    </b:Author>
    <b:RefOrder>12</b:RefOrder>
  </b:Source>
  <b:Source>
    <b:Tag>Sta93</b:Tag>
    <b:SourceType>Book</b:SourceType>
    <b:Guid>{A9B4AE67-8583-4D72-BD3F-8F50779599C5}</b:Guid>
    <b:Title>Strategic Management and Organisational Dynamics: The challenge of complexity to ways of thinking about organisations</b:Title>
    <b:Year>1993</b:Year>
    <b:Author>
      <b:Author>
        <b:NameList>
          <b:Person>
            <b:Last>Stacey</b:Last>
            <b:First>Ralph</b:First>
          </b:Person>
        </b:NameList>
      </b:Author>
    </b:Author>
    <b:City>London</b:City>
    <b:Publisher>Pitman </b:Publisher>
    <b:RefOrder>13</b:RefOrder>
  </b:Source>
  <b:Source>
    <b:Tag>Min87</b:Tag>
    <b:SourceType>JournalArticle</b:SourceType>
    <b:Guid>{9C9B7808-C520-44B9-92CE-827D5AA78B54}</b:Guid>
    <b:Title>Crafting Strategy</b:Title>
    <b:Year>1987</b:Year>
    <b:Author>
      <b:Author>
        <b:NameList>
          <b:Person>
            <b:Last>Mintzburg</b:Last>
            <b:First>Henry</b:First>
          </b:Person>
        </b:NameList>
      </b:Author>
    </b:Author>
    <b:JournalName>Harvard Buisness Review</b:JournalName>
    <b:Pages>65-75</b:Pages>
    <b:Volume>65</b:Volume>
    <b:Issue>4</b:Issue>
    <b:RefOrder>14</b:RefOrder>
  </b:Source>
  <b:Source>
    <b:Tag>Jam80</b:Tag>
    <b:SourceType>Book</b:SourceType>
    <b:Guid>{C6D84A46-E1AF-4EAD-A974-DEE4D0B134F9}</b:Guid>
    <b:Title>Strategies for Change </b:Title>
    <b:Year>1980</b:Year>
    <b:Author>
      <b:Author>
        <b:NameList>
          <b:Person>
            <b:Last>Quinn</b:Last>
            <b:First>James</b:First>
            <b:Middle>Brian</b:Middle>
          </b:Person>
        </b:NameList>
      </b:Author>
    </b:Author>
    <b:City>Illionis, US</b:City>
    <b:Publisher>Irwin </b:Publisher>
    <b:RefOrder>15</b:RefOrder>
  </b:Source>
  <b:Source>
    <b:Tag>Fre67</b:Tag>
    <b:SourceType>Book</b:SourceType>
    <b:Guid>{041ED5EB-0D6C-47D7-8050-22DFD8C8813F}</b:Guid>
    <b:Author>
      <b:Author>
        <b:NameList>
          <b:Person>
            <b:Last>Fiedler</b:Last>
            <b:First>Fred</b:First>
          </b:Person>
        </b:NameList>
      </b:Author>
    </b:Author>
    <b:Title>A thoery of leadership effectiveness </b:Title>
    <b:Year>1967</b:Year>
    <b:City>New York </b:City>
    <b:Publisher>McGraw Hill </b:Publisher>
    <b:RefOrder>16</b:RefOrder>
  </b:Source>
  <b:Source>
    <b:Tag>Mul10</b:Tag>
    <b:SourceType>Book</b:SourceType>
    <b:Guid>{C9E6A07D-FF12-422E-8A3B-BF31FCD3BB80}</b:Guid>
    <b:Author>
      <b:Author>
        <b:NameList>
          <b:Person>
            <b:Last>Mullins</b:Last>
            <b:First>Laurie</b:First>
          </b:Person>
        </b:NameList>
      </b:Author>
    </b:Author>
    <b:Title>Management and organisational behaviour</b:Title>
    <b:Year>2010</b:Year>
    <b:City>England</b:City>
    <b:Publisher>Pearson</b:Publisher>
    <b:Edition>9</b:Edition>
    <b:RefOrder>17</b:RefOrder>
  </b:Source>
  <b:Source>
    <b:Tag>CIP203</b:Tag>
    <b:SourceType>InternetSite</b:SourceType>
    <b:Guid>{D24C1464-2E29-4C71-9EDB-77C38CF739A7}</b:Guid>
    <b:Title>Coronavirus</b:Title>
    <b:Year>2020</b:Year>
    <b:Author>
      <b:Author>
        <b:NameList>
          <b:Person>
            <b:Last>CIPDb</b:Last>
          </b:Person>
        </b:NameList>
      </b:Author>
    </b:Author>
    <b:YearAccessed>12.05.2020</b:YearAccessed>
    <b:URL>https://www.cipd.co.uk/news-views/coronavirus</b:URL>
    <b:RefOrder>18</b:RefOrder>
  </b:Source>
  <b:Source>
    <b:Tag>Swa20</b:Tag>
    <b:SourceType>ArticleInAPeriodical</b:SourceType>
    <b:Guid>{679C52D5-632F-4B96-B8E8-B402243D96ED}</b:Guid>
    <b:Title>Redefining HR’s priorities in a Covid-19 world</b:Title>
    <b:Year>2020</b:Year>
    <b:YearAccessed>12.05.2020</b:YearAccessed>
    <b:Author>
      <b:Author>
        <b:NameList>
          <b:Person>
            <b:Last>Swan</b:Last>
            <b:First>Mara</b:First>
          </b:Person>
          <b:Person>
            <b:Last>Chamorro-Premuzic </b:Last>
            <b:First>Tomas </b:First>
          </b:Person>
        </b:NameList>
      </b:Author>
    </b:Author>
    <b:PeriodicalTitle>People management</b:PeriodicalTitle>
    <b:Month>03</b:Month>
    <b:Day>30</b:Day>
    <b:Pages>Online </b:Pages>
    <b:RefOrder>19</b:RefOrder>
  </b:Source>
  <b:Source>
    <b:Tag>Pal201</b:Tag>
    <b:SourceType>ArticleInAPeriodical</b:SourceType>
    <b:Guid>{5AAEA67E-C9E4-4C4B-B986-E4DAC93DFAB3}</b:Guid>
    <b:Author>
      <b:Author>
        <b:NameList>
          <b:Person>
            <b:Last>Palmer(a)</b:Last>
            <b:First>Siobhan</b:First>
          </b:Person>
        </b:NameList>
      </b:Author>
    </b:Author>
    <b:Title>HR managers fear rise in staff absence due to mental ill-health during lockdown</b:Title>
    <b:PeriodicalTitle>People management</b:PeriodicalTitle>
    <b:Year>2020</b:Year>
    <b:Month>05</b:Month>
    <b:Day>05</b:Day>
    <b:Pages>Online</b:Pages>
    <b:RefOrder>20</b:RefOrder>
  </b:Source>
  <b:Source>
    <b:Tag>Pal202</b:Tag>
    <b:SourceType>ArticleInAPeriodical</b:SourceType>
    <b:Guid>{451799AA-34B5-4A07-A691-5C66037E527D}</b:Guid>
    <b:Author>
      <b:Author>
        <b:NameList>
          <b:Person>
            <b:Last>Palmer(b)</b:Last>
            <b:First>Siobhan</b:First>
          </b:Person>
        </b:NameList>
      </b:Author>
    </b:Author>
    <b:Title>Two in five anxious about returning to work, poll finds</b:Title>
    <b:PeriodicalTitle>People Management</b:PeriodicalTitle>
    <b:Year>2020</b:Year>
    <b:Month>05</b:Month>
    <b:Day>11</b:Day>
    <b:Pages>Online</b:Pages>
    <b:RefOrder>21</b:RefOrder>
  </b:Source>
  <b:Source>
    <b:Tag>ACA20</b:Tag>
    <b:SourceType>InternetSite</b:SourceType>
    <b:Guid>{E01FEB47-C3A2-468B-A2FE-4A56C588E52C}</b:Guid>
    <b:Title>Working from home</b:Title>
    <b:Year>2020</b:Year>
    <b:Author>
      <b:Author>
        <b:NameList>
          <b:Person>
            <b:Last>ACAS</b:Last>
          </b:Person>
        </b:NameList>
      </b:Author>
    </b:Author>
    <b:YearAccessed>12.05.2020</b:YearAccessed>
    <b:URL>https://www.acas.org.uk/working-from-home</b:URL>
    <b:RefOrder>22</b:RefOrder>
  </b:Source>
  <b:Source>
    <b:Tag>ACA201</b:Tag>
    <b:SourceType>InternetSite</b:SourceType>
    <b:Guid>{FCA0350A-3228-4229-8EE1-46D289445521}</b:Guid>
    <b:Author>
      <b:Author>
        <b:NameList>
          <b:Person>
            <b:Last>ACAS(a)</b:Last>
          </b:Person>
        </b:NameList>
      </b:Author>
    </b:Author>
    <b:Title>Equality Act 2010</b:Title>
    <b:Year>2020</b:Year>
    <b:YearAccessed>12.05.2020</b:YearAccessed>
    <b:URL>https://archive.acas.org.uk/index.aspx?articleid=1859</b:URL>
    <b:RefOrder>23</b:RefOrder>
  </b:Source>
  <b:Source>
    <b:Tag>Min20</b:Tag>
    <b:SourceType>InternetSite</b:SourceType>
    <b:Guid>{B3CB434F-4F17-4A9F-BF9C-7F5581BE127A}</b:Guid>
    <b:Author>
      <b:Author>
        <b:NameList>
          <b:Person>
            <b:Last>Mind</b:Last>
          </b:Person>
        </b:NameList>
      </b:Author>
    </b:Author>
    <b:Title>Covid-19</b:Title>
    <b:Year>2020</b:Year>
    <b:YearAccessed>12.05.2020</b:YearAccessed>
    <b:URL>https://www.mind.org.uk/</b:URL>
    <b:RefOrder>24</b:RefOrder>
  </b:Source>
  <b:Source>
    <b:Tag>GOV20</b:Tag>
    <b:SourceType>InternetSite</b:SourceType>
    <b:Guid>{5D78759E-50DA-4E8D-A785-EF11AD20D4C8}</b:Guid>
    <b:Author>
      <b:Author>
        <b:Corporate>GOV.UK</b:Corporate>
      </b:Author>
    </b:Author>
    <b:Title>COVID-19</b:Title>
    <b:Year>2020</b:Year>
    <b:YearAccessed>12.05.2020</b:YearAccessed>
    <b:URL>https://www.gov.uk/government/publications/changes-to-the-law-on-education-health-and-care-needs-assessments-and-plans-due-to-coronavirus</b:URL>
    <b:RefOrder>25</b:RefOrder>
  </b:Source>
  <b:Source>
    <b:Tag>Jos20</b:Tag>
    <b:SourceType>InternetSite</b:SourceType>
    <b:Guid>{81325B89-EA0C-4016-848E-7CA06FC2617F}</b:Guid>
    <b:Author>
      <b:Author>
        <b:NameList>
          <b:Person>
            <b:Last>Bersin</b:Last>
            <b:First>Josh</b:First>
          </b:Person>
        </b:NameList>
      </b:Author>
    </b:Author>
    <b:Title>Responding To COVID-19. Ten Lessons From The World’s HR Leaders</b:Title>
    <b:Year>2020</b:Year>
    <b:YearAccessed>12.05.2020</b:YearAccessed>
    <b:URL>https://joshbersin.com/2020/04/responding-to-covid-19-ten-lessons-from-the-worlds-hr-leaders/</b:URL>
    <b:RefOrder>26</b:RefOrder>
  </b:Source>
  <b:Source>
    <b:Tag>Aff11</b:Tag>
    <b:SourceType>Report</b:SourceType>
    <b:Guid>{368B16CC-EB04-4E32-95EC-B4C2F600C9F5}</b:Guid>
    <b:Title>Developing Resilience</b:Title>
    <b:Year>2011</b:Year>
    <b:Author>
      <b:Author>
        <b:Corporate>Affinity Health at Work</b:Corporate>
      </b:Author>
    </b:Author>
    <b:Publisher>CIPD</b:Publisher>
    <b:City>London</b:City>
    <b:RefOrder>27</b:RefOrder>
  </b:Source>
  <b:Source>
    <b:Tag>Win99</b:Tag>
    <b:SourceType>JournalArticle</b:SourceType>
    <b:Guid>{CE4A0167-1D16-478E-AD13-4FD855D46FD7}</b:Guid>
    <b:Author>
      <b:Author>
        <b:NameList>
          <b:Person>
            <b:Last>Windle</b:Last>
            <b:First>Michael</b:First>
          </b:Person>
        </b:NameList>
      </b:Author>
    </b:Author>
    <b:Title>Critical Conceptual and Measurement Issues in the Study of Resilience</b:Title>
    <b:Year>1999</b:Year>
    <b:JournalName>Resiliance and Development</b:JournalName>
    <b:Pages>303</b:Pages>
    <b:DOI>https://doi.org/10.1007/b108350</b:DOI>
    <b:RefOrder>28</b:RefOrder>
  </b:Source>
  <b:Source>
    <b:Tag>Kap12</b:Tag>
    <b:SourceType>ArticleInAPeriodical</b:SourceType>
    <b:Guid>{00B960A8-EEBF-42A9-9415-A4D5D923A1A5}</b:Guid>
    <b:Title>Managing Risks: A New Framework</b:Title>
    <b:Year>2012</b:Year>
    <b:Pages>Online</b:Pages>
    <b:Author>
      <b:Author>
        <b:NameList>
          <b:Person>
            <b:Last>Kaplan</b:Last>
            <b:First>Robert</b:First>
          </b:Person>
          <b:Person>
            <b:Last>Mikes </b:Last>
            <b:First>Anette</b:First>
          </b:Person>
        </b:NameList>
      </b:Author>
    </b:Author>
    <b:PeriodicalTitle>Harvard Business Review</b:PeriodicalTitle>
    <b:RefOrder>29</b:RefOrder>
  </b:Source>
  <b:Source>
    <b:Tag>CIP204</b:Tag>
    <b:SourceType>InternetSite</b:SourceType>
    <b:Guid>{38517EC3-DC08-460A-B9D1-F030CC304C35}</b:Guid>
    <b:Title>Understanding resilience: in a nutshell issue 89</b:Title>
    <b:Year>2020</b:Year>
    <b:Author>
      <b:Author>
        <b:NameList>
          <b:Person>
            <b:Last>CIPD(c)</b:Last>
          </b:Person>
        </b:NameList>
      </b:Author>
    </b:Author>
    <b:YearAccessed>12.05.2020</b:YearAccessed>
    <b:URL>https://www.cipd.co.uk/news-views/nutshell/issue-89/resilience</b:URL>
    <b:RefOrder>30</b:RefOrder>
  </b:Source>
  <b:Source>
    <b:Tag>CIP205</b:Tag>
    <b:SourceType>SoundRecording</b:SourceType>
    <b:Guid>{FBAB51C1-698F-4CDE-997F-9AA164927460}</b:Guid>
    <b:Title>Business survival in the age of COVID-19</b:Title>
    <b:Year>2020</b:Year>
    <b:Author>
      <b:Composer>
        <b:NameList>
          <b:Person>
            <b:Last>CIPD(d) podcast</b:Last>
          </b:Person>
        </b:NameList>
      </b:Composer>
    </b:Author>
    <b:ProductionCompany>CIPD</b:ProductionCompany>
    <b:RefOrder>31</b:RefOrder>
  </b:Source>
  <b:Source>
    <b:Tag>Woo17</b:Tag>
    <b:SourceType>ArticleInAPeriodical</b:SourceType>
    <b:Guid>{5DE75504-9E32-4ECB-9740-314F67D2F442}</b:Guid>
    <b:Title>How to Thrive in a VUCA World</b:Title>
    <b:Year>2017</b:Year>
    <b:Author>
      <b:Author>
        <b:NameList>
          <b:Person>
            <b:Last>Woodward</b:Last>
            <b:First>Michael</b:First>
          </b:Person>
        </b:NameList>
      </b:Author>
    </b:Author>
    <b:PeriodicalTitle>Phychology Today</b:PeriodicalTitle>
    <b:Month>07</b:Month>
    <b:Day>31</b:Day>
    <b:Pages>Online</b:Pages>
    <b:RefOrder>32</b:RefOrder>
  </b:Source>
  <b:Source>
    <b:Tag>Pal203</b:Tag>
    <b:SourceType>ArticleInAPeriodical</b:SourceType>
    <b:Guid>{D3F011B7-0B98-4176-B935-C1F1E3686703}</b:Guid>
    <b:Author>
      <b:Author>
        <b:NameList>
          <b:Person>
            <b:Last>Palmer</b:Last>
            <b:First>S</b:First>
          </b:Person>
        </b:NameList>
      </b:Author>
    </b:Author>
    <b:Title>UK Businesses Ignore Climate Change</b:Title>
    <b:PeriodicalTitle>People Management</b:PeriodicalTitle>
    <b:Year>2020</b:Year>
    <b:Pages>Online</b:Pages>
    <b:YearAccessed>12.05.2020</b:YearAccessed>
    <b:URL>https://www.peoplemanagement.co.uk/experts/research/ukbusinesses-ignore-climate-change </b:URL>
    <b:RefOrder>2</b:RefOrder>
  </b:Source>
  <b:Source>
    <b:Tag>Del181</b:Tag>
    <b:SourceType>Report</b:SourceType>
    <b:Guid>{2DC5B63F-7E31-4C70-B4C0-17FAD7C94179}</b:Guid>
    <b:Title>The rise of the social enterprise</b:Title>
    <b:Year>2018</b:Year>
    <b:Author>
      <b:Author>
        <b:Corporate>Deloitte</b:Corporate>
      </b:Author>
    </b:Author>
    <b:Publisher>Deloitte ltd</b:Publisher>
    <b:City>Europe</b:City>
    <b:RefOrder>33</b:RefOrder>
  </b:Source>
  <b:Source>
    <b:Tag>Jon07</b:Tag>
    <b:SourceType>Report</b:SourceType>
    <b:Guid>{9EA35F08-000A-4077-A52F-89CC0D24D302}</b:Guid>
    <b:Title>Transforming Work: reviewing the case for change and new ways of working</b:Title>
    <b:Year>2007</b:Year>
    <b:Publisher> The Work Foundation and EQC</b:Publisher>
    <b:City>Manchester</b:City>
    <b:Author>
      <b:Author>
        <b:NameList>
          <b:Person>
            <b:Last>Jones</b:Last>
            <b:First>A</b:First>
          </b:Person>
          <b:Person>
            <b:Last>Visser</b:Last>
            <b:First>F</b:First>
          </b:Person>
          <b:Person>
            <b:Last>Coats</b:Last>
            <b:First>D</b:First>
          </b:Person>
          <b:Person>
            <b:Last>Bevan</b:Last>
            <b:First>S</b:First>
          </b:Person>
          <b:Person>
            <b:Last>MvVerry</b:Last>
            <b:First>A</b:First>
          </b:Person>
        </b:NameList>
      </b:Author>
    </b:Author>
    <b:JournalName>Transforming work Working paper series 60 The Work Foundation and EQC</b:JournalName>
    <b:RefOrder>34</b:RefOrder>
  </b:Source>
  <b:Source>
    <b:Tag>Del19</b:Tag>
    <b:SourceType>Report</b:SourceType>
    <b:Guid>{50FA98CB-1719-4B66-AA21-FBA7E47070B6}</b:Guid>
    <b:Title>How are organizations helping their workforces perform and flourish?</b:Title>
    <b:Year>2019</b:Year>
    <b:Author>
      <b:Author>
        <b:Corporate>Deloitte(b)</b:Corporate>
      </b:Author>
    </b:Author>
    <b:Publisher>Deloitte</b:Publisher>
    <b:City>Manchester</b:City>
    <b:RefOrder>35</b:RefOrder>
  </b:Source>
  <b:Source>
    <b:Tag>Box14</b:Tag>
    <b:SourceType>JournalArticle</b:SourceType>
    <b:Guid>{7B5F2FC3-3FFC-427B-8D60-D7E39202AC7D}</b:Guid>
    <b:Author>
      <b:Author>
        <b:NameList>
          <b:Person>
            <b:Last>Boxall</b:Last>
            <b:First>Peter</b:First>
          </b:Person>
          <b:Person>
            <b:Last>Macky </b:Last>
            <b:First>Keith </b:First>
          </b:Person>
        </b:NameList>
      </b:Author>
    </b:Author>
    <b:Title>High-involvement work processes, work intensification and employee well-being</b:Title>
    <b:Year>2014</b:Year>
    <b:JournalName>Work, employment and society</b:JournalName>
    <b:Pages>963 –984</b:Pages>
    <b:Volume>28</b:Volume>
    <b:Issue>6</b:Issue>
    <b:RefOrder>36</b:RefOrder>
  </b:Source>
  <b:Source>
    <b:Tag>CIP206</b:Tag>
    <b:SourceType>InternetSite</b:SourceType>
    <b:Guid>{353E29E4-D3A0-48E1-A919-97BFFBF5553C}</b:Guid>
    <b:Title>Employee Relations </b:Title>
    <b:Year>2020</b:Year>
    <b:Author>
      <b:Author>
        <b:Corporate>CIPD(e)</b:Corporate>
      </b:Author>
    </b:Author>
    <b:YearAccessed>13.05.2020</b:YearAccessed>
    <b:URL>https://www.cipd.co.uk/knowledge/fundamentals/relations/employees/factsheet</b:URL>
    <b:RefOrder>37</b:RefOrder>
  </b:Source>
  <b:Source>
    <b:Tag>Wil18</b:Tag>
    <b:SourceType>InternetSite</b:SourceType>
    <b:Guid>{906D5E8E-1A92-4FE0-993A-D536A2592365}</b:Guid>
    <b:Author>
      <b:Author>
        <b:NameList>
          <b:Person>
            <b:Last>Craig</b:Last>
            <b:First>William</b:First>
          </b:Person>
        </b:NameList>
      </b:Author>
    </b:Author>
    <b:Title>The Importance Of Creating Sustainable Employees In The Workplace</b:Title>
    <b:Year>2018</b:Year>
    <b:YearAccessed>13.05.2020</b:YearAccessed>
    <b:URL>https://www.forbes.com/sites/williamcraig/2018/06/19/the-importance-of-creating-sustainable-employees-in-the-workplace/#34b390387285</b:URL>
    <b:RefOrder>38</b:RefOrder>
  </b:Source>
  <b:Source>
    <b:Tag>Deo19</b:Tag>
    <b:SourceType>ArticleInAPeriodical</b:SourceType>
    <b:Guid>{87D9C65F-2C85-4710-A343-A961CE1B887D}</b:Guid>
    <b:Title>Leading in a VUCA world</b:Title>
    <b:Year>2019</b:Year>
    <b:Author>
      <b:Author>
        <b:Corporate>Deloitte(a)</b:Corporate>
      </b:Author>
    </b:Author>
    <b:PeriodicalTitle>Deloitte</b:PeriodicalTitle>
    <b:Month>08</b:Month>
    <b:Day>23</b:Day>
    <b:Pages>Online</b:Pages>
    <b:URL>https://www2.deloitte.com/us/en/pages/technology-media-and-telecommunications/articles/leading-in-a-vuca-world.html</b:URL>
    <b:RefOrder>39</b:RefOrder>
  </b:Source>
  <b:Source>
    <b:Tag>WEF20</b:Tag>
    <b:SourceType>Report</b:SourceType>
    <b:Guid>{22B02CEF-EFE2-4F51-984E-CBC12B715A65}</b:Guid>
    <b:Title>The Global Risks Report</b:Title>
    <b:Year>2020</b:Year>
    <b:Author>
      <b:Author>
        <b:NameList>
          <b:Person>
            <b:Last>WEF</b:Last>
            <b:First>World</b:First>
            <b:Middle>Economic Forum</b:Middle>
          </b:Person>
        </b:NameList>
      </b:Author>
    </b:Author>
    <b:Publisher>Insight Report 15th Ed</b:Publisher>
    <b:RefOrder>40</b:RefOrder>
  </b:Source>
  <b:Source>
    <b:Tag>CIP19</b:Tag>
    <b:SourceType>Report</b:SourceType>
    <b:Guid>{F23C2BEA-FDF9-4C39-931C-953024DEC0AC}</b:Guid>
    <b:Author>
      <b:Author>
        <b:Corporate>CIPD(f)</b:Corporate>
      </b:Author>
    </b:Author>
    <b:Title>Labour outlook Report</b:Title>
    <b:Year>2019</b:Year>
    <b:Publisher>CIPD &amp; Adecco Group</b:Publisher>
    <b:City>London</b:City>
    <b:RefOrder>41</b:RefOrder>
  </b:Source>
  <b:Source>
    <b:Tag>CIP207</b:Tag>
    <b:SourceType>InternetSite</b:SourceType>
    <b:Guid>{A7D15AAE-408C-4DB9-8691-E7C7B67E8DE1}</b:Guid>
    <b:Title>Labour Markets </b:Title>
    <b:Year>2020</b:Year>
    <b:Author>
      <b:Author>
        <b:Corporate>CIPD(g)</b:Corporate>
      </b:Author>
    </b:Author>
    <b:YearAccessed>13.05.2020</b:YearAccessed>
    <b:URL>https://www.cipd.co.uk/knowledge/work/trends/economy-labour-market-factsheet</b:URL>
    <b:RefOrder>42</b:RefOrder>
  </b:Source>
  <b:Source>
    <b:Tag>Ste05</b:Tag>
    <b:SourceType>Book</b:SourceType>
    <b:Guid>{5839EEED-998A-4F3C-AC00-2005ACC53515}</b:Guid>
    <b:Title>People Resourcing </b:Title>
    <b:Year>2005</b:Year>
    <b:Author>
      <b:Author>
        <b:NameList>
          <b:Person>
            <b:Last>Taylor</b:Last>
            <b:First>Stephen</b:First>
          </b:Person>
        </b:NameList>
      </b:Author>
    </b:Author>
    <b:City>London </b:City>
    <b:Publisher>CIPD </b:Publisher>
    <b:Edition>3</b:Edition>
    <b:RefOrder>43</b:RefOrder>
  </b:Source>
  <b:Source>
    <b:Tag>Wes19</b:Tag>
    <b:SourceType>ArticleInAPeriodical</b:SourceType>
    <b:Guid>{2FA2F16F-E582-4472-ABEF-51D86A576C74}</b:Guid>
    <b:Title>How to get ahead in the labour market race</b:Title>
    <b:Year>2019</b:Year>
    <b:PeriodicalTitle>Personnel Today</b:PeriodicalTitle>
    <b:Month>04</b:Month>
    <b:Day>09</b:Day>
    <b:Pages>Online </b:Pages>
    <b:URL>https://www.personneltoday.com/hr/how-to-get-ahead-in-the-labour-market-race/</b:URL>
    <b:Author>
      <b:Author>
        <b:NameList>
          <b:Person>
            <b:Last>Weston</b:Last>
            <b:First>Matt</b:First>
          </b:Person>
        </b:NameList>
      </b:Author>
    </b:Author>
    <b:RefOrder>44</b:RefOrder>
  </b:Source>
  <b:Source>
    <b:Tag>Eve16</b:Tag>
    <b:SourceType>ArticleInAPeriodical</b:SourceType>
    <b:Guid>{BB051DA6-ED31-4A42-8364-FD194FBDADB6}</b:Guid>
    <b:Author>
      <b:Author>
        <b:NameList>
          <b:Person>
            <b:Last>Everett</b:Last>
            <b:First>Cath</b:First>
          </b:Person>
        </b:NameList>
      </b:Author>
    </b:Author>
    <b:Title>What does the gig economy mean for HR?</b:Title>
    <b:PeriodicalTitle>Personnel Today</b:PeriodicalTitle>
    <b:Year>2016</b:Year>
    <b:Month>02</b:Month>
    <b:Day>15</b:Day>
    <b:Pages>1-6</b:Pages>
    <b:RefOrder>45</b:RefOrder>
  </b:Source>
  <b:Source>
    <b:Tag>CIP208</b:Tag>
    <b:SourceType>InternetSite</b:SourceType>
    <b:Guid>{56C166E8-BC25-4FBF-AB84-5A85BFCE69FB}</b:Guid>
    <b:Author>
      <b:Author>
        <b:Corporate>CIPD(h)</b:Corporate>
      </b:Author>
    </b:Author>
    <b:Title>Corporate Responsibility</b:Title>
    <b:Year>2020</b:Year>
    <b:YearAccessed>13.05.2020</b:YearAccessed>
    <b:URL>https://www.cipd.co.uk/knowledge/strategy/corporate-responsibility/factsheet</b:URL>
    <b:RefOrder>46</b:RefOrder>
  </b:Source>
  <b:Source>
    <b:Tag>Smi12</b:Tag>
    <b:SourceType>ArticleInAPeriodical</b:SourceType>
    <b:Guid>{B6D5B506-353C-488E-9ACD-1EB5F2EFEC45}</b:Guid>
    <b:Author>
      <b:Author>
        <b:NameList>
          <b:Person>
            <b:Last>Smith</b:Last>
            <b:First>Jacquelyn</b:First>
          </b:Person>
        </b:NameList>
      </b:Author>
    </b:Author>
    <b:Title>The Companies With the Best CSR Reputations</b:Title>
    <b:Year>2012</b:Year>
    <b:URL>https://www.forbes.com/sites/jacquelynsmith/2012/12/10/the-companies-with-the-best-csr-reputations/#10574d234404</b:URL>
    <b:PeriodicalTitle>Forbes</b:PeriodicalTitle>
    <b:Month>12</b:Month>
    <b:Day>10</b:Day>
    <b:Pages>Online </b:Pages>
    <b:RefOrder>47</b:RefOrder>
  </b:Source>
  <b:Source>
    <b:Tag>Kay18</b:Tag>
    <b:SourceType>InternetSite</b:SourceType>
    <b:Guid>{8EBF39B1-5B82-4879-B86B-1B9CE3CE40C6}</b:Guid>
    <b:Title>Top 20 Corporate Social Responsibility Initiatives of 2018</b:Title>
    <b:Year>2018</b:Year>
    <b:Author>
      <b:Author>
        <b:NameList>
          <b:Person>
            <b:Last>Payseno</b:Last>
            <b:First>Kaya</b:First>
          </b:Person>
        </b:NameList>
      </b:Author>
    </b:Author>
    <b:YearAccessed>13.05.2020</b:YearAccessed>
    <b:URL>https://www.smartrecruiters.com/blog/top-20-corporate-social-responsibility-initiatives-of-2018/</b:URL>
    <b:RefOrder>48</b:RefOrder>
  </b:Source>
  <b:Source>
    <b:Tag>UKP20</b:Tag>
    <b:SourceType>InternetSite</b:SourceType>
    <b:Guid>{CEEB48E0-01D5-4536-A9D9-6DEF3E40EEF7}</b:Guid>
    <b:Author>
      <b:Author>
        <b:NameList>
          <b:Person>
            <b:Last>Parliament</b:Last>
            <b:First>UK</b:First>
          </b:Person>
        </b:NameList>
      </b:Author>
    </b:Author>
    <b:Title>Environment Bill 2019-2021</b:Title>
    <b:Year>2020</b:Year>
    <b:YearAccessed>13.05.2020</b:YearAccessed>
    <b:URL>https://services.parliament.uk/Bills/2019-21/environment/documents.html</b:URL>
    <b:RefOrder>49</b:RefOrder>
  </b:Source>
  <b:Source>
    <b:Tag>Gov20</b:Tag>
    <b:SourceType>InternetSite</b:SourceType>
    <b:Guid>{EF1A3280-06AB-4CCB-BA26-82C9DAE83481}</b:Guid>
    <b:Author>
      <b:Author>
        <b:Corporate>Gov.uk</b:Corporate>
      </b:Author>
    </b:Author>
    <b:Title>Environmental and sustainability policy</b:Title>
    <b:Year>2020</b:Year>
    <b:YearAccessed>13.05.2020</b:YearAccessed>
    <b:URL>https://assets.publishing.service.gov.uk/government/uploads/system/uploads/attachment_data/file/356348/Environmental_and_sustainability_policy.pdf</b:URL>
    <b:RefOrder>50</b:RefOrder>
  </b:Source>
  <b:Source>
    <b:Tag>Mat20</b:Tag>
    <b:SourceType>InternetSite</b:SourceType>
    <b:Guid>{26024086-794E-4AB5-828B-B5E3C642091D}</b:Guid>
    <b:Author>
      <b:Author>
        <b:NameList>
          <b:Person>
            <b:Last>Mason</b:Last>
            <b:First>Matthew</b:First>
          </b:Person>
        </b:NameList>
      </b:Author>
    </b:Author>
    <b:Title>What is sustainability? </b:Title>
    <b:Year>2020</b:Year>
    <b:YearAccessed>13.05.2020</b:YearAccessed>
    <b:URL>https://www.environmentalscience.org/sustainability</b:URL>
    <b:RefOrder>51</b:RefOrder>
  </b:Source>
</b:Sources>
</file>

<file path=customXml/itemProps1.xml><?xml version="1.0" encoding="utf-8"?>
<ds:datastoreItem xmlns:ds="http://schemas.openxmlformats.org/officeDocument/2006/customXml" ds:itemID="{2DAFEDB0-A665-445F-8636-7088C3922B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2738</TotalTime>
  <Pages>12</Pages>
  <Words>4036</Words>
  <Characters>23010</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Lorna Jones</dc:creator>
  <cp:keywords/>
  <dc:description/>
  <cp:lastModifiedBy>Lorna Jones</cp:lastModifiedBy>
  <cp:revision>18</cp:revision>
  <dcterms:created xsi:type="dcterms:W3CDTF">2020-05-12T11:14:00Z</dcterms:created>
  <dcterms:modified xsi:type="dcterms:W3CDTF">2020-05-14T09:00:00Z</dcterms:modified>
</cp:coreProperties>
</file>