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CD4DD2A" w14:textId="77777777" w:rsidR="004D1F95" w:rsidRDefault="004D1F95">
      <w:pPr>
        <w:pStyle w:val="Normal1"/>
        <w:pBdr>
          <w:top w:val="nil"/>
          <w:left w:val="nil"/>
          <w:bottom w:val="nil"/>
          <w:right w:val="nil"/>
          <w:between w:val="nil"/>
        </w:pBdr>
        <w:jc w:val="center"/>
        <w:rPr>
          <w:b/>
          <w:bCs/>
          <w:color w:val="000000"/>
          <w:sz w:val="28"/>
          <w:szCs w:val="28"/>
        </w:rPr>
      </w:pPr>
    </w:p>
    <w:p w14:paraId="1D3563FC" w14:textId="77777777" w:rsidR="004D1F95" w:rsidRDefault="004D1F95">
      <w:pPr>
        <w:pStyle w:val="Normal1"/>
        <w:pBdr>
          <w:top w:val="nil"/>
          <w:left w:val="nil"/>
          <w:bottom w:val="nil"/>
          <w:right w:val="nil"/>
          <w:between w:val="nil"/>
        </w:pBdr>
        <w:jc w:val="center"/>
        <w:rPr>
          <w:b/>
          <w:bCs/>
          <w:color w:val="000000"/>
          <w:sz w:val="32"/>
          <w:szCs w:val="32"/>
        </w:rPr>
      </w:pPr>
    </w:p>
    <w:p w14:paraId="24497837" w14:textId="77777777" w:rsidR="004D1F95" w:rsidRDefault="00830794">
      <w:pPr>
        <w:pStyle w:val="Normal1"/>
        <w:pBdr>
          <w:top w:val="nil"/>
          <w:left w:val="nil"/>
          <w:bottom w:val="nil"/>
          <w:right w:val="nil"/>
          <w:between w:val="nil"/>
        </w:pBdr>
        <w:jc w:val="center"/>
        <w:rPr>
          <w:b/>
          <w:bCs/>
          <w:color w:val="000000"/>
          <w:sz w:val="32"/>
          <w:szCs w:val="32"/>
        </w:rPr>
      </w:pPr>
      <w:r>
        <w:rPr>
          <w:b/>
          <w:bCs/>
          <w:color w:val="222222"/>
          <w:sz w:val="32"/>
          <w:szCs w:val="32"/>
          <w:highlight w:val="white"/>
        </w:rPr>
        <w:t xml:space="preserve"> Dementia care, - “the role of person-centred care in improving quality of life for individuals with dementia”</w:t>
      </w:r>
      <w:r w:rsidR="0051465C">
        <w:rPr>
          <w:b/>
          <w:bCs/>
          <w:color w:val="222222"/>
          <w:sz w:val="32"/>
          <w:szCs w:val="32"/>
        </w:rPr>
        <w:t xml:space="preserve"> </w:t>
      </w:r>
    </w:p>
    <w:p w14:paraId="31959C44" w14:textId="77777777" w:rsidR="004D1F95" w:rsidRDefault="004D1F95">
      <w:pPr>
        <w:pStyle w:val="Normal1"/>
        <w:pBdr>
          <w:top w:val="nil"/>
          <w:left w:val="nil"/>
          <w:bottom w:val="nil"/>
          <w:right w:val="nil"/>
          <w:between w:val="nil"/>
        </w:pBdr>
        <w:jc w:val="center"/>
        <w:rPr>
          <w:b/>
          <w:bCs/>
          <w:color w:val="000000"/>
          <w:sz w:val="32"/>
          <w:szCs w:val="32"/>
        </w:rPr>
      </w:pPr>
    </w:p>
    <w:p w14:paraId="53989EB7" w14:textId="77777777" w:rsidR="004D1F95" w:rsidRDefault="004D1F95">
      <w:pPr>
        <w:pStyle w:val="Normal1"/>
        <w:pBdr>
          <w:top w:val="nil"/>
          <w:left w:val="nil"/>
          <w:bottom w:val="nil"/>
          <w:right w:val="nil"/>
          <w:between w:val="nil"/>
        </w:pBdr>
        <w:jc w:val="center"/>
        <w:rPr>
          <w:b/>
          <w:bCs/>
          <w:color w:val="000000"/>
          <w:sz w:val="28"/>
          <w:szCs w:val="28"/>
        </w:rPr>
      </w:pPr>
    </w:p>
    <w:p w14:paraId="210DAD4C" w14:textId="77777777" w:rsidR="004D1F95" w:rsidRDefault="00830794">
      <w:pPr>
        <w:pStyle w:val="Normal1"/>
        <w:pBdr>
          <w:top w:val="nil"/>
          <w:left w:val="nil"/>
          <w:bottom w:val="nil"/>
          <w:right w:val="nil"/>
          <w:between w:val="nil"/>
        </w:pBdr>
        <w:jc w:val="center"/>
        <w:rPr>
          <w:b/>
          <w:bCs/>
          <w:color w:val="000000"/>
          <w:sz w:val="28"/>
          <w:szCs w:val="28"/>
        </w:rPr>
      </w:pPr>
      <w:r>
        <w:rPr>
          <w:b/>
          <w:bCs/>
          <w:color w:val="000000"/>
          <w:sz w:val="28"/>
          <w:szCs w:val="28"/>
        </w:rPr>
        <w:t>Programme: BSc (Hons) Health and Social Care</w:t>
      </w:r>
    </w:p>
    <w:p w14:paraId="24BDF5C8" w14:textId="77777777" w:rsidR="004D1F95" w:rsidRDefault="00830794">
      <w:pPr>
        <w:pStyle w:val="Normal1"/>
        <w:pBdr>
          <w:top w:val="nil"/>
          <w:left w:val="nil"/>
          <w:bottom w:val="nil"/>
          <w:right w:val="nil"/>
          <w:between w:val="nil"/>
        </w:pBdr>
        <w:jc w:val="center"/>
        <w:rPr>
          <w:b/>
          <w:bCs/>
          <w:color w:val="000000"/>
          <w:sz w:val="28"/>
          <w:szCs w:val="28"/>
        </w:rPr>
      </w:pPr>
      <w:r>
        <w:rPr>
          <w:b/>
          <w:bCs/>
          <w:color w:val="000000"/>
          <w:sz w:val="28"/>
          <w:szCs w:val="28"/>
        </w:rPr>
        <w:t>Module: Independent Project</w:t>
      </w:r>
    </w:p>
    <w:p w14:paraId="268AC3D6" w14:textId="77777777" w:rsidR="004D1F95" w:rsidRDefault="00830794">
      <w:pPr>
        <w:pStyle w:val="Normal1"/>
        <w:pBdr>
          <w:top w:val="nil"/>
          <w:left w:val="nil"/>
          <w:bottom w:val="nil"/>
          <w:right w:val="nil"/>
          <w:between w:val="nil"/>
        </w:pBdr>
        <w:jc w:val="center"/>
        <w:rPr>
          <w:b/>
          <w:bCs/>
          <w:color w:val="000000"/>
          <w:sz w:val="28"/>
          <w:szCs w:val="28"/>
        </w:rPr>
      </w:pPr>
      <w:r>
        <w:rPr>
          <w:b/>
          <w:bCs/>
          <w:color w:val="000000"/>
          <w:sz w:val="28"/>
          <w:szCs w:val="28"/>
        </w:rPr>
        <w:t>Module code: BMHP6020</w:t>
      </w:r>
      <w:r>
        <w:br w:type="page"/>
      </w:r>
    </w:p>
    <w:p w14:paraId="3487BBD7" w14:textId="77777777" w:rsidR="004D1F95" w:rsidRDefault="00830794">
      <w:pPr>
        <w:pStyle w:val="Heading1"/>
      </w:pPr>
      <w:bookmarkStart w:id="0" w:name="_heading=h.mvwi2roiyg3g" w:colFirst="0" w:colLast="0"/>
      <w:bookmarkEnd w:id="0"/>
      <w:r>
        <w:t>Chapter 1: Introduction</w:t>
      </w:r>
    </w:p>
    <w:p w14:paraId="563DEB70" w14:textId="77777777" w:rsidR="004D1F95" w:rsidRDefault="00830794">
      <w:pPr>
        <w:pStyle w:val="Heading2"/>
      </w:pPr>
      <w:bookmarkStart w:id="1" w:name="_heading=h.sni8rwo4v4f" w:colFirst="0" w:colLast="0"/>
      <w:bookmarkEnd w:id="1"/>
      <w:r>
        <w:t xml:space="preserve">1.1 Research Background </w:t>
      </w:r>
    </w:p>
    <w:p w14:paraId="207E1AB4" w14:textId="77777777" w:rsidR="004D1F95" w:rsidRDefault="00830794">
      <w:pPr>
        <w:pStyle w:val="Normal1"/>
        <w:pBdr>
          <w:top w:val="nil"/>
          <w:left w:val="nil"/>
          <w:bottom w:val="nil"/>
          <w:right w:val="nil"/>
          <w:between w:val="nil"/>
        </w:pBdr>
        <w:rPr>
          <w:color w:val="000000"/>
        </w:rPr>
      </w:pPr>
      <w:r>
        <w:rPr>
          <w:color w:val="000000"/>
        </w:rPr>
        <w:t>About dementia, one may note that it is a major public health issue in the United Kingdom, with an estimated 982,000 people currently living with this condition, a number projected to reach 1.4 million by the year2040 due to ageing of population and due to change in demographics. According to the 2024 report of Alzheimer's organisation, it is noted that the majority of</w:t>
      </w:r>
      <w:r>
        <w:rPr>
          <w:b/>
          <w:bCs/>
          <w:i/>
          <w:iCs/>
          <w:color w:val="000000"/>
        </w:rPr>
        <w:t xml:space="preserve"> people with dementia are aged 65 and over, and formal rates of diagnosis for this age group are around 65.8% in England</w:t>
      </w:r>
      <w:r>
        <w:rPr>
          <w:color w:val="000000"/>
        </w:rPr>
        <w:t xml:space="preserve"> (NHS, 2025). Taking this into consideration, it can be said that this is highlighting ongoing challenges in early identification and reflecting challenges in the planning of individual care. In this context, </w:t>
      </w:r>
      <w:r>
        <w:rPr>
          <w:color w:val="222222"/>
          <w:highlight w:val="white"/>
        </w:rPr>
        <w:t xml:space="preserve">Shaikh (2025) highlighted that </w:t>
      </w:r>
      <w:r>
        <w:rPr>
          <w:color w:val="000000"/>
        </w:rPr>
        <w:t xml:space="preserve">dementia could significantly affect quality of life, often leading or causing cognitive decline, reduced autonomy, and it could also be responsible for emotional distress for individuals as well as their families. As per, </w:t>
      </w:r>
      <w:r>
        <w:rPr>
          <w:color w:val="222222"/>
          <w:highlight w:val="white"/>
        </w:rPr>
        <w:t xml:space="preserve">Hermansen  (2025) </w:t>
      </w:r>
      <w:r>
        <w:rPr>
          <w:color w:val="000000"/>
        </w:rPr>
        <w:t xml:space="preserve">person‑centred in the UK care has emerged as a preferred approach and social care policy because it seeks to recognise personal preferences of individuals, dignity, and also recognises their social needs, one may note that this is contrasting with traditional task‑focused models. However, in regard to this, scholars such as </w:t>
      </w:r>
      <w:r>
        <w:rPr>
          <w:color w:val="222222"/>
          <w:highlight w:val="white"/>
        </w:rPr>
        <w:t xml:space="preserve">Kormelinck </w:t>
      </w:r>
      <w:r>
        <w:rPr>
          <w:i/>
          <w:iCs/>
          <w:color w:val="222222"/>
          <w:highlight w:val="white"/>
        </w:rPr>
        <w:t xml:space="preserve">et al. </w:t>
      </w:r>
      <w:r>
        <w:rPr>
          <w:color w:val="222222"/>
          <w:highlight w:val="white"/>
        </w:rPr>
        <w:t xml:space="preserve">(2021) argued that </w:t>
      </w:r>
      <w:r>
        <w:rPr>
          <w:color w:val="000000"/>
        </w:rPr>
        <w:t xml:space="preserve">barriers in implementation still persist in both residential as well as community settings, aiming to underscore the need for improved care strategies and demands workforce support.  </w:t>
      </w:r>
    </w:p>
    <w:p w14:paraId="20D33E43" w14:textId="77777777" w:rsidR="004D1F95" w:rsidRDefault="00830794">
      <w:pPr>
        <w:pStyle w:val="Heading2"/>
      </w:pPr>
      <w:bookmarkStart w:id="2" w:name="_heading=h.k287itz83ii0" w:colFirst="0" w:colLast="0"/>
      <w:bookmarkEnd w:id="2"/>
      <w:r>
        <w:t xml:space="preserve">1.2 Problem Statement </w:t>
      </w:r>
    </w:p>
    <w:p w14:paraId="63086622" w14:textId="77777777" w:rsidR="004D1F95" w:rsidRDefault="00830794">
      <w:pPr>
        <w:pStyle w:val="Normal1"/>
        <w:pBdr>
          <w:top w:val="nil"/>
          <w:left w:val="nil"/>
          <w:bottom w:val="nil"/>
          <w:right w:val="nil"/>
          <w:between w:val="nil"/>
        </w:pBdr>
        <w:rPr>
          <w:color w:val="000000"/>
        </w:rPr>
      </w:pPr>
      <w:r>
        <w:rPr>
          <w:color w:val="000000"/>
        </w:rPr>
        <w:t>As per, Care Quality Commission (CQC) 2025 report, it has been noted that despite nearly 1 million people living with dementia health issues in the United Kingdom, the quality of dementia care remains seen to be inconsistent across health and in the setting of social care. Around</w:t>
      </w:r>
      <w:r>
        <w:rPr>
          <w:b/>
          <w:bCs/>
          <w:i/>
          <w:iCs/>
          <w:color w:val="000000"/>
        </w:rPr>
        <w:t xml:space="preserve"> 498,926 individuals had a formal dementia diagnosis in April 2025,</w:t>
      </w:r>
      <w:r>
        <w:rPr>
          <w:color w:val="000000"/>
        </w:rPr>
        <w:t xml:space="preserve"> yet this figure likely underrepresents those affected due to gaps in diagnosis and impacted due to gaps in support planning, such as comprehensive reviews on individuals care and personalised care plans (NHS, 2025). Also, it is found that people with dementia and their carers experience stigma, anxiety, and due to a lack of clear pathways to support health related services, </w:t>
      </w:r>
      <w:r>
        <w:rPr>
          <w:b/>
          <w:bCs/>
          <w:i/>
          <w:iCs/>
          <w:color w:val="000000"/>
        </w:rPr>
        <w:t>46% of carers are unsure who to contact for social care support in dementia</w:t>
      </w:r>
      <w:r>
        <w:rPr>
          <w:color w:val="000000"/>
        </w:rPr>
        <w:t xml:space="preserve"> (Alzheimers organisation UK, 2025). Taking this into account, it can be highlighted that these challenges are compounded or exacerbated by inadequate integration of person‑centred approaches that seek to prioritise dignity, autonomy, and supports meaningful engagement, indicating a pressing need to evaluate, assess and improve how person‑centred care is delivered for the purpose of enhancing quality of life for individuals living with dementia in the UK. </w:t>
      </w:r>
    </w:p>
    <w:p w14:paraId="5442FF5E" w14:textId="77777777" w:rsidR="004D1F95" w:rsidRDefault="00830794">
      <w:pPr>
        <w:pStyle w:val="Heading2"/>
      </w:pPr>
      <w:bookmarkStart w:id="3" w:name="_heading=h.f6rm2vwrb2zb" w:colFirst="0" w:colLast="0"/>
      <w:bookmarkEnd w:id="3"/>
      <w:r>
        <w:t xml:space="preserve">1.3 Research Rationale </w:t>
      </w:r>
    </w:p>
    <w:p w14:paraId="294B8AE6" w14:textId="77777777" w:rsidR="004D1F95" w:rsidRDefault="00830794">
      <w:pPr>
        <w:pStyle w:val="Normal1"/>
        <w:pBdr>
          <w:top w:val="nil"/>
          <w:left w:val="nil"/>
          <w:bottom w:val="nil"/>
          <w:right w:val="nil"/>
          <w:between w:val="nil"/>
        </w:pBdr>
        <w:spacing w:before="240" w:after="240"/>
        <w:rPr>
          <w:color w:val="000000"/>
        </w:rPr>
      </w:pPr>
      <w:r>
        <w:rPr>
          <w:color w:val="000000"/>
        </w:rPr>
        <w:t xml:space="preserve">As discussed by </w:t>
      </w:r>
      <w:r>
        <w:rPr>
          <w:color w:val="222222"/>
          <w:highlight w:val="white"/>
        </w:rPr>
        <w:t xml:space="preserve">Alemayehu </w:t>
      </w:r>
      <w:r>
        <w:rPr>
          <w:i/>
          <w:iCs/>
          <w:color w:val="222222"/>
          <w:highlight w:val="white"/>
        </w:rPr>
        <w:t xml:space="preserve">et al. </w:t>
      </w:r>
      <w:r>
        <w:rPr>
          <w:color w:val="222222"/>
          <w:highlight w:val="white"/>
        </w:rPr>
        <w:t xml:space="preserve">(2025) </w:t>
      </w:r>
      <w:r>
        <w:rPr>
          <w:color w:val="000000"/>
        </w:rPr>
        <w:t>in the United Kingdom, it has been observed that dementia is a growing priority in public health, with rising prevalence placing sustained pressure on health and pressing pressure on social care services. It can be said that despite national strategies on health services such as th</w:t>
      </w:r>
      <w:r>
        <w:rPr>
          <w:i/>
          <w:iCs/>
          <w:color w:val="000000"/>
        </w:rPr>
        <w:t>e</w:t>
      </w:r>
      <w:r>
        <w:rPr>
          <w:b/>
          <w:bCs/>
          <w:i/>
          <w:iCs/>
          <w:color w:val="000000"/>
        </w:rPr>
        <w:t xml:space="preserve"> Care Act 2014 and the NHS England Dementia Strategy, </w:t>
      </w:r>
      <w:r>
        <w:rPr>
          <w:color w:val="000000"/>
        </w:rPr>
        <w:t>care delivery often remains task-oriented, aiming towards prioritising physical needs of individuals over psychosocial well-being (</w:t>
      </w:r>
      <w:r>
        <w:rPr>
          <w:color w:val="222222"/>
          <w:highlight w:val="white"/>
        </w:rPr>
        <w:t xml:space="preserve">Lyu </w:t>
      </w:r>
      <w:r>
        <w:rPr>
          <w:i/>
          <w:iCs/>
          <w:color w:val="222222"/>
          <w:highlight w:val="white"/>
        </w:rPr>
        <w:t xml:space="preserve">et al., </w:t>
      </w:r>
      <w:r>
        <w:rPr>
          <w:color w:val="222222"/>
          <w:highlight w:val="white"/>
        </w:rPr>
        <w:t xml:space="preserve">2024). Further to this, Matos </w:t>
      </w:r>
      <w:r>
        <w:rPr>
          <w:i/>
          <w:iCs/>
          <w:color w:val="222222"/>
          <w:highlight w:val="white"/>
        </w:rPr>
        <w:t xml:space="preserve">et al. </w:t>
      </w:r>
      <w:r>
        <w:rPr>
          <w:color w:val="222222"/>
          <w:highlight w:val="white"/>
        </w:rPr>
        <w:t>(2025) noted that p</w:t>
      </w:r>
      <w:r>
        <w:rPr>
          <w:color w:val="000000"/>
        </w:rPr>
        <w:t>erson-centred care in the UK has been widely promoted as it is considered as a transformative model; however, variations in implementation and due to limited integration across residential and community settings has highlighted a gap between policy and its practice. Therefore, one may say that a critical evaluation of how person-centred approaches in the UK could influence quality of life becomes important (</w:t>
      </w:r>
      <w:r>
        <w:rPr>
          <w:color w:val="222222"/>
          <w:highlight w:val="white"/>
        </w:rPr>
        <w:t xml:space="preserve">Damant </w:t>
      </w:r>
      <w:r>
        <w:rPr>
          <w:i/>
          <w:iCs/>
          <w:color w:val="222222"/>
          <w:highlight w:val="white"/>
        </w:rPr>
        <w:t xml:space="preserve">et al., </w:t>
      </w:r>
      <w:r>
        <w:rPr>
          <w:color w:val="222222"/>
          <w:highlight w:val="white"/>
        </w:rPr>
        <w:t xml:space="preserve">2026). </w:t>
      </w:r>
      <w:r>
        <w:rPr>
          <w:color w:val="000000"/>
        </w:rPr>
        <w:t>This study seeks to respond to the need for context-specific information that aims to clarify theoretical foundations, practical challenges, and it seeks to assess measurable outcomes within UK dementia services.</w:t>
      </w:r>
    </w:p>
    <w:p w14:paraId="521C538C" w14:textId="77777777" w:rsidR="004D1F95" w:rsidRDefault="00830794">
      <w:pPr>
        <w:pStyle w:val="Heading2"/>
      </w:pPr>
      <w:bookmarkStart w:id="4" w:name="_heading=h.emy89bg3y21s" w:colFirst="0" w:colLast="0"/>
      <w:bookmarkEnd w:id="4"/>
      <w:r>
        <w:t>1.4 Research Aim and Objectives</w:t>
      </w:r>
    </w:p>
    <w:p w14:paraId="23BE1254" w14:textId="77777777" w:rsidR="004D1F95" w:rsidRDefault="00830794">
      <w:pPr>
        <w:pStyle w:val="Normal1"/>
        <w:pBdr>
          <w:top w:val="nil"/>
          <w:left w:val="nil"/>
          <w:bottom w:val="nil"/>
          <w:right w:val="nil"/>
          <w:between w:val="nil"/>
        </w:pBdr>
        <w:spacing w:before="200" w:after="60"/>
        <w:rPr>
          <w:b/>
          <w:bCs/>
          <w:color w:val="000000"/>
        </w:rPr>
      </w:pPr>
      <w:r>
        <w:rPr>
          <w:b/>
          <w:bCs/>
          <w:color w:val="000000"/>
        </w:rPr>
        <w:t>Aim</w:t>
      </w:r>
    </w:p>
    <w:p w14:paraId="4DD1ECA4" w14:textId="77777777" w:rsidR="004D1F95" w:rsidRDefault="00830794">
      <w:pPr>
        <w:pStyle w:val="Normal1"/>
        <w:pBdr>
          <w:top w:val="nil"/>
          <w:left w:val="nil"/>
          <w:bottom w:val="nil"/>
          <w:right w:val="nil"/>
          <w:between w:val="nil"/>
        </w:pBdr>
        <w:spacing w:before="200" w:after="60"/>
        <w:rPr>
          <w:color w:val="000000"/>
        </w:rPr>
      </w:pPr>
      <w:r>
        <w:rPr>
          <w:color w:val="000000"/>
        </w:rPr>
        <w:t xml:space="preserve">The study aims to critically assess and evaluate the role of person-centred care in improving the quality of life of individuals living with dementia across health as well as social care settings. </w:t>
      </w:r>
      <w:r>
        <w:rPr>
          <w:noProof/>
          <w:color w:val="000000"/>
          <w:lang w:val="en-US"/>
        </w:rPr>
        <w:drawing>
          <wp:inline distT="114300" distB="114300" distL="114300" distR="114300" wp14:anchorId="2BCFA93E" wp14:editId="589C7F2C">
            <wp:extent cx="85725" cy="857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85725" cy="85725"/>
                    </a:xfrm>
                    <a:prstGeom prst="rect">
                      <a:avLst/>
                    </a:prstGeom>
                    <a:ln/>
                  </pic:spPr>
                </pic:pic>
              </a:graphicData>
            </a:graphic>
          </wp:inline>
        </w:drawing>
      </w:r>
    </w:p>
    <w:p w14:paraId="09703E67" w14:textId="77777777" w:rsidR="004D1F95" w:rsidRDefault="00830794">
      <w:pPr>
        <w:pStyle w:val="Normal1"/>
        <w:pBdr>
          <w:top w:val="nil"/>
          <w:left w:val="nil"/>
          <w:bottom w:val="nil"/>
          <w:right w:val="nil"/>
          <w:between w:val="nil"/>
        </w:pBdr>
        <w:spacing w:before="200" w:after="60"/>
        <w:rPr>
          <w:b/>
          <w:bCs/>
          <w:color w:val="000000"/>
        </w:rPr>
      </w:pPr>
      <w:r>
        <w:rPr>
          <w:b/>
          <w:bCs/>
          <w:color w:val="000000"/>
        </w:rPr>
        <w:t>Objectives</w:t>
      </w:r>
    </w:p>
    <w:p w14:paraId="32169B55" w14:textId="77777777" w:rsidR="004D1F95" w:rsidRDefault="00830794">
      <w:pPr>
        <w:pStyle w:val="Normal1"/>
        <w:numPr>
          <w:ilvl w:val="0"/>
          <w:numId w:val="1"/>
        </w:numPr>
        <w:pBdr>
          <w:top w:val="nil"/>
          <w:left w:val="nil"/>
          <w:bottom w:val="nil"/>
          <w:right w:val="nil"/>
          <w:between w:val="nil"/>
        </w:pBdr>
        <w:spacing w:before="200" w:after="60"/>
      </w:pPr>
      <w:r>
        <w:rPr>
          <w:color w:val="000000"/>
        </w:rPr>
        <w:t xml:space="preserve">To examine the principles and to assess theoretical foundations of person-centred care in dementia practice. </w:t>
      </w:r>
    </w:p>
    <w:p w14:paraId="2851E246" w14:textId="77777777" w:rsidR="004D1F95" w:rsidRDefault="00830794">
      <w:pPr>
        <w:pStyle w:val="Normal1"/>
        <w:numPr>
          <w:ilvl w:val="0"/>
          <w:numId w:val="1"/>
        </w:numPr>
        <w:pBdr>
          <w:top w:val="nil"/>
          <w:left w:val="nil"/>
          <w:bottom w:val="nil"/>
          <w:right w:val="nil"/>
          <w:between w:val="nil"/>
        </w:pBdr>
        <w:spacing w:before="200" w:after="60"/>
      </w:pPr>
      <w:r>
        <w:rPr>
          <w:color w:val="000000"/>
        </w:rPr>
        <w:t>To analyse how person-centred care interventions could influence emotional well-being, dignity, autonomy, and social engagement among individuals with dementia.</w:t>
      </w:r>
    </w:p>
    <w:p w14:paraId="68625B76" w14:textId="77777777" w:rsidR="004D1F95" w:rsidRDefault="00830794">
      <w:pPr>
        <w:pStyle w:val="Normal1"/>
        <w:numPr>
          <w:ilvl w:val="0"/>
          <w:numId w:val="1"/>
        </w:numPr>
        <w:pBdr>
          <w:top w:val="nil"/>
          <w:left w:val="nil"/>
          <w:bottom w:val="nil"/>
          <w:right w:val="nil"/>
          <w:between w:val="nil"/>
        </w:pBdr>
        <w:spacing w:before="200" w:after="60"/>
      </w:pPr>
      <w:r>
        <w:rPr>
          <w:color w:val="000000"/>
        </w:rPr>
        <w:t>To explore and assess the challenges faced by healthcare professionals and caregivers in implementing person-centred care in residential as well as in community settings.</w:t>
      </w:r>
    </w:p>
    <w:p w14:paraId="205BBB60" w14:textId="77777777" w:rsidR="004D1F95" w:rsidRDefault="00830794">
      <w:pPr>
        <w:pStyle w:val="Normal1"/>
        <w:numPr>
          <w:ilvl w:val="0"/>
          <w:numId w:val="1"/>
        </w:numPr>
        <w:pBdr>
          <w:top w:val="nil"/>
          <w:left w:val="nil"/>
          <w:bottom w:val="nil"/>
          <w:right w:val="nil"/>
          <w:between w:val="nil"/>
        </w:pBdr>
        <w:spacing w:before="200" w:after="60"/>
      </w:pPr>
      <w:r>
        <w:rPr>
          <w:color w:val="000000"/>
        </w:rPr>
        <w:t>To assess and identify best practice strategies and policy recommendations that could be valuable for enhancing the effective delivery of person-centred dementia care.</w:t>
      </w:r>
    </w:p>
    <w:p w14:paraId="7A300EDD" w14:textId="77777777" w:rsidR="004D1F95" w:rsidRDefault="00830794">
      <w:pPr>
        <w:pStyle w:val="Normal1"/>
        <w:pBdr>
          <w:top w:val="nil"/>
          <w:left w:val="nil"/>
          <w:bottom w:val="nil"/>
          <w:right w:val="nil"/>
          <w:between w:val="nil"/>
        </w:pBdr>
        <w:spacing w:before="200" w:after="60"/>
        <w:rPr>
          <w:b/>
          <w:bCs/>
          <w:color w:val="000000"/>
        </w:rPr>
      </w:pPr>
      <w:r>
        <w:rPr>
          <w:b/>
          <w:bCs/>
          <w:color w:val="000000"/>
        </w:rPr>
        <w:t>Research Questions</w:t>
      </w:r>
    </w:p>
    <w:p w14:paraId="20B72EF2" w14:textId="77777777" w:rsidR="004D1F95" w:rsidRDefault="00830794">
      <w:pPr>
        <w:pStyle w:val="Normal1"/>
        <w:numPr>
          <w:ilvl w:val="0"/>
          <w:numId w:val="2"/>
        </w:numPr>
        <w:pBdr>
          <w:top w:val="nil"/>
          <w:left w:val="nil"/>
          <w:bottom w:val="nil"/>
          <w:right w:val="nil"/>
          <w:between w:val="nil"/>
        </w:pBdr>
        <w:spacing w:before="200" w:after="60"/>
      </w:pPr>
      <w:r>
        <w:rPr>
          <w:color w:val="000000"/>
        </w:rPr>
        <w:t>What are the core principles of person-centred care in dementia, and how do they differ from traditional task-oriented models of care?</w:t>
      </w:r>
    </w:p>
    <w:p w14:paraId="2E90BABA" w14:textId="77777777" w:rsidR="004D1F95" w:rsidRDefault="00830794">
      <w:pPr>
        <w:pStyle w:val="Normal1"/>
        <w:numPr>
          <w:ilvl w:val="0"/>
          <w:numId w:val="2"/>
        </w:numPr>
        <w:pBdr>
          <w:top w:val="nil"/>
          <w:left w:val="nil"/>
          <w:bottom w:val="nil"/>
          <w:right w:val="nil"/>
          <w:between w:val="nil"/>
        </w:pBdr>
        <w:spacing w:before="200" w:after="0"/>
      </w:pPr>
      <w:r>
        <w:rPr>
          <w:color w:val="000000"/>
        </w:rPr>
        <w:t>How does person-centred care impact the overall quality of life of individuals living with dementia?</w:t>
      </w:r>
    </w:p>
    <w:p w14:paraId="01584FFC" w14:textId="77777777" w:rsidR="004D1F95" w:rsidRDefault="00830794">
      <w:pPr>
        <w:pStyle w:val="Normal1"/>
        <w:numPr>
          <w:ilvl w:val="0"/>
          <w:numId w:val="2"/>
        </w:numPr>
        <w:pBdr>
          <w:top w:val="nil"/>
          <w:left w:val="nil"/>
          <w:bottom w:val="nil"/>
          <w:right w:val="nil"/>
          <w:between w:val="nil"/>
        </w:pBdr>
        <w:spacing w:before="200" w:after="0"/>
      </w:pPr>
      <w:r>
        <w:rPr>
          <w:color w:val="000000"/>
        </w:rPr>
        <w:t>What barriers and facilitators influence the implementation of person-centred care in dementia services?</w:t>
      </w:r>
    </w:p>
    <w:p w14:paraId="340124EE" w14:textId="77777777" w:rsidR="004D1F95" w:rsidRDefault="00830794">
      <w:pPr>
        <w:pStyle w:val="Normal1"/>
        <w:numPr>
          <w:ilvl w:val="0"/>
          <w:numId w:val="2"/>
        </w:numPr>
        <w:pBdr>
          <w:top w:val="nil"/>
          <w:left w:val="nil"/>
          <w:bottom w:val="nil"/>
          <w:right w:val="nil"/>
          <w:between w:val="nil"/>
        </w:pBdr>
        <w:spacing w:before="200" w:after="60"/>
      </w:pPr>
      <w:r>
        <w:rPr>
          <w:color w:val="000000"/>
        </w:rPr>
        <w:t>What evidence-based approaches can strengthen person-centred care practices to improve outcomes for individuals with dementia?</w:t>
      </w:r>
    </w:p>
    <w:p w14:paraId="2AF282A6" w14:textId="77777777" w:rsidR="004D1F95" w:rsidRDefault="00830794">
      <w:pPr>
        <w:pStyle w:val="Heading2"/>
      </w:pPr>
      <w:bookmarkStart w:id="5" w:name="_heading=h.92zh4p2s8a4m" w:colFirst="0" w:colLast="0"/>
      <w:bookmarkEnd w:id="5"/>
      <w:r>
        <w:t xml:space="preserve">1.5 Significance of the Study </w:t>
      </w:r>
    </w:p>
    <w:p w14:paraId="348AE486" w14:textId="77777777" w:rsidR="004D1F95" w:rsidRDefault="00830794">
      <w:pPr>
        <w:pStyle w:val="Normal1"/>
        <w:pBdr>
          <w:top w:val="nil"/>
          <w:left w:val="nil"/>
          <w:bottom w:val="nil"/>
          <w:right w:val="nil"/>
          <w:between w:val="nil"/>
        </w:pBdr>
        <w:spacing w:before="240" w:after="240"/>
        <w:rPr>
          <w:color w:val="000000"/>
        </w:rPr>
      </w:pPr>
      <w:r>
        <w:rPr>
          <w:color w:val="000000"/>
        </w:rPr>
        <w:t>Considering this study, it is important to note that this study is significant as it aims to contribute to improving care standards on dementia within the United Kingdom. By critically assessing and analysing person-centred practice of care, the research provides evidence to inform policymakers, healthcare professionals, and to guide care providers about effective strategies that could be valuable for enhancing dignity, autonomy, and it could also encourage emotional well-being among individuals (</w:t>
      </w:r>
      <w:r>
        <w:rPr>
          <w:color w:val="222222"/>
          <w:highlight w:val="white"/>
        </w:rPr>
        <w:t xml:space="preserve">Agbana, 2024). </w:t>
      </w:r>
      <w:r>
        <w:rPr>
          <w:color w:val="000000"/>
        </w:rPr>
        <w:t>The findings may seek to support alignment with national frameworks and support quality standards for the goal of strengthening integrated care delivery across residential homes and community services. Furthermore, the study is directed to highlight practical barriers faced by practitioners, aiming to offer realistic recommendations for training, leadership, and for the purpose of achieving organisational culture change (</w:t>
      </w:r>
      <w:r>
        <w:rPr>
          <w:color w:val="222222"/>
          <w:highlight w:val="white"/>
        </w:rPr>
        <w:t xml:space="preserve">Saeed </w:t>
      </w:r>
      <w:r>
        <w:rPr>
          <w:i/>
          <w:iCs/>
          <w:color w:val="222222"/>
          <w:highlight w:val="white"/>
        </w:rPr>
        <w:t xml:space="preserve">et al., </w:t>
      </w:r>
      <w:r>
        <w:rPr>
          <w:color w:val="222222"/>
          <w:highlight w:val="white"/>
        </w:rPr>
        <w:t xml:space="preserve">2022). </w:t>
      </w:r>
      <w:r>
        <w:rPr>
          <w:color w:val="000000"/>
        </w:rPr>
        <w:t>Academically, it is inclined to enriches existing literature by synthesising theory and assessing applied practice within the UK context. Practically, this study seeks to promote sustainable improvements in service design, ultimately aiming to support individuals living with dementia to experience a better quality of life and to establish more meaningful social participation.</w:t>
      </w:r>
    </w:p>
    <w:p w14:paraId="4F6DAC14" w14:textId="77777777" w:rsidR="004D1F95" w:rsidRDefault="00830794">
      <w:pPr>
        <w:pStyle w:val="Heading2"/>
      </w:pPr>
      <w:bookmarkStart w:id="6" w:name="_heading=h.h7goiz7pme9d" w:colFirst="0" w:colLast="0"/>
      <w:bookmarkEnd w:id="6"/>
      <w:r>
        <w:t>1.6 Structure of the Dissertation</w:t>
      </w:r>
    </w:p>
    <w:p w14:paraId="3D6F50B9" w14:textId="77777777" w:rsidR="004D1F95" w:rsidRDefault="00830794">
      <w:pPr>
        <w:pStyle w:val="Normal1"/>
        <w:pBdr>
          <w:top w:val="nil"/>
          <w:left w:val="nil"/>
          <w:bottom w:val="nil"/>
          <w:right w:val="nil"/>
          <w:between w:val="nil"/>
        </w:pBdr>
        <w:spacing w:after="60"/>
        <w:jc w:val="center"/>
        <w:rPr>
          <w:color w:val="000000"/>
          <w:sz w:val="22"/>
          <w:szCs w:val="22"/>
        </w:rPr>
      </w:pPr>
      <w:r>
        <w:rPr>
          <w:noProof/>
          <w:color w:val="000000"/>
          <w:sz w:val="22"/>
          <w:szCs w:val="22"/>
          <w:lang w:val="en-US"/>
        </w:rPr>
        <w:drawing>
          <wp:inline distT="114300" distB="114300" distL="114300" distR="114300" wp14:anchorId="06C7980D" wp14:editId="3220CEC4">
            <wp:extent cx="5943600" cy="41656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165600"/>
                    </a:xfrm>
                    <a:prstGeom prst="rect">
                      <a:avLst/>
                    </a:prstGeom>
                    <a:ln w="12700">
                      <a:solidFill>
                        <a:srgbClr val="000000"/>
                      </a:solidFill>
                      <a:prstDash val="solid"/>
                    </a:ln>
                  </pic:spPr>
                </pic:pic>
              </a:graphicData>
            </a:graphic>
          </wp:inline>
        </w:drawing>
      </w:r>
    </w:p>
    <w:p w14:paraId="72789615" w14:textId="77777777" w:rsidR="004D1F95" w:rsidRDefault="00830794">
      <w:pPr>
        <w:pStyle w:val="Normal1"/>
        <w:pBdr>
          <w:top w:val="nil"/>
          <w:left w:val="nil"/>
          <w:bottom w:val="nil"/>
          <w:right w:val="nil"/>
          <w:between w:val="nil"/>
        </w:pBdr>
        <w:spacing w:after="60"/>
        <w:jc w:val="center"/>
        <w:rPr>
          <w:b/>
          <w:bCs/>
          <w:color w:val="000000"/>
        </w:rPr>
      </w:pPr>
      <w:r>
        <w:rPr>
          <w:b/>
          <w:bCs/>
          <w:color w:val="000000"/>
        </w:rPr>
        <w:t>Figure 1.1 Research Structure</w:t>
      </w:r>
    </w:p>
    <w:p w14:paraId="17228B68" w14:textId="77777777" w:rsidR="004D1F95" w:rsidRDefault="00830794">
      <w:pPr>
        <w:pStyle w:val="Normal1"/>
        <w:pBdr>
          <w:top w:val="nil"/>
          <w:left w:val="nil"/>
          <w:bottom w:val="nil"/>
          <w:right w:val="nil"/>
          <w:between w:val="nil"/>
        </w:pBdr>
        <w:spacing w:after="60"/>
        <w:jc w:val="center"/>
        <w:rPr>
          <w:color w:val="000000"/>
        </w:rPr>
      </w:pPr>
      <w:bookmarkStart w:id="7" w:name="_heading=h.eu4lwutta2nx" w:colFirst="0" w:colLast="0"/>
      <w:bookmarkEnd w:id="7"/>
      <w:r>
        <w:rPr>
          <w:color w:val="000000"/>
        </w:rPr>
        <w:t>(Source: self-developed)</w:t>
      </w:r>
    </w:p>
    <w:p w14:paraId="234ADE4A" w14:textId="77777777" w:rsidR="004D1F95" w:rsidRDefault="00830794">
      <w:pPr>
        <w:pStyle w:val="Normal1"/>
        <w:pBdr>
          <w:top w:val="nil"/>
          <w:left w:val="nil"/>
          <w:bottom w:val="nil"/>
          <w:right w:val="nil"/>
          <w:between w:val="nil"/>
        </w:pBdr>
        <w:rPr>
          <w:color w:val="000000"/>
        </w:rPr>
      </w:pPr>
      <w:bookmarkStart w:id="8" w:name="_heading=h.51lfeg2ic0wz" w:colFirst="0" w:colLast="0"/>
      <w:bookmarkEnd w:id="8"/>
      <w:r>
        <w:br w:type="page"/>
      </w:r>
    </w:p>
    <w:p w14:paraId="0A3E77A1" w14:textId="77777777" w:rsidR="004D1F95" w:rsidRDefault="00830794">
      <w:pPr>
        <w:pStyle w:val="Heading1"/>
      </w:pPr>
      <w:bookmarkStart w:id="9" w:name="_heading=h.8fdwoiya09l9" w:colFirst="0" w:colLast="0"/>
      <w:bookmarkEnd w:id="9"/>
      <w:r>
        <w:t xml:space="preserve">Chapter 2: Literature Review </w:t>
      </w:r>
    </w:p>
    <w:p w14:paraId="19801E8D" w14:textId="77777777" w:rsidR="004D1F95" w:rsidRDefault="00830794">
      <w:pPr>
        <w:pStyle w:val="Heading2"/>
      </w:pPr>
      <w:bookmarkStart w:id="10" w:name="_heading=h.7np3ombnyoza" w:colFirst="0" w:colLast="0"/>
      <w:bookmarkEnd w:id="10"/>
      <w:r>
        <w:t xml:space="preserve">2.1 Introduction </w:t>
      </w:r>
    </w:p>
    <w:p w14:paraId="6320D080" w14:textId="77777777" w:rsidR="004D1F95" w:rsidRDefault="00830794">
      <w:pPr>
        <w:pStyle w:val="Normal1"/>
        <w:pBdr>
          <w:top w:val="nil"/>
          <w:left w:val="nil"/>
          <w:bottom w:val="nil"/>
          <w:right w:val="nil"/>
          <w:between w:val="nil"/>
        </w:pBdr>
        <w:rPr>
          <w:color w:val="000000"/>
        </w:rPr>
      </w:pPr>
      <w:r>
        <w:rPr>
          <w:color w:val="000000"/>
        </w:rPr>
        <w:t>The chapter is a review of the literature available on the topic of person-centred care (PCC) in dementia to discuss its use in enhancing quality of life. It is a very critical review of the fundamental principles and theoretical basis of PCC, the influence on emotional and social well being and the obstacles to implementation. Another aspect of the chapter is the evidence-based approaches of successful practice and identification of the main research gaps that represent a theoretical and empirical reference point of the current study.</w:t>
      </w:r>
    </w:p>
    <w:p w14:paraId="7CEBB110" w14:textId="77777777" w:rsidR="004D1F95" w:rsidRDefault="00830794">
      <w:pPr>
        <w:pStyle w:val="Heading2"/>
      </w:pPr>
      <w:bookmarkStart w:id="11" w:name="_heading=h.t7clcpk2rm1k" w:colFirst="0" w:colLast="0"/>
      <w:bookmarkEnd w:id="11"/>
      <w:r>
        <w:t xml:space="preserve">2.2 Core principles and theoretical foundations of Person-centred care in dementia </w:t>
      </w:r>
    </w:p>
    <w:p w14:paraId="78F4A899" w14:textId="77777777" w:rsidR="004D1F95" w:rsidRDefault="00830794">
      <w:pPr>
        <w:pStyle w:val="Normal1"/>
        <w:pBdr>
          <w:top w:val="nil"/>
          <w:left w:val="nil"/>
          <w:bottom w:val="nil"/>
          <w:right w:val="nil"/>
          <w:between w:val="nil"/>
        </w:pBdr>
        <w:rPr>
          <w:color w:val="000000"/>
        </w:rPr>
      </w:pPr>
      <w:r>
        <w:rPr>
          <w:color w:val="000000"/>
        </w:rPr>
        <w:t xml:space="preserve">Person-centred care is holistic care that puts the person with dementia in the centre of care, as a person with preferences, life history, social needs and values rather than as a number of clinical signs or tasks to be accomplished. Primarily, PCC highlights dignity, respect, autonomy and meaningful relationships in care provision that transcends conventional task-based care delivery methods in which it supports the psychological and emotional wellbeing of individuals with dementia in addition to physical needs, based on frameworks that are highly used across the world in dementia care. Warren (2022) states that PCC leads to improved quality of life, an increase in the number of personally relevant activities, a decrease in distress due to personalized communication, and a sense of self in individuals with dementia. According to Richter </w:t>
      </w:r>
      <w:r>
        <w:rPr>
          <w:i/>
          <w:iCs/>
          <w:color w:val="000000"/>
        </w:rPr>
        <w:t>et al.</w:t>
      </w:r>
      <w:r>
        <w:rPr>
          <w:color w:val="000000"/>
        </w:rPr>
        <w:t xml:space="preserve"> (2019) PCC can decrease antipsychotic medication and falls through changing care according to the needs and preferences of individuals. Moreover, one of the largest meta-analyses on 17 studies in 2025 revealed that PCC provided cognitive function improvements in individuals with dementia (pooled effect size SMD 0.22, p = .02), highlighting the importance of valuing personhood as a key factor in mental outcomes.</w:t>
      </w:r>
    </w:p>
    <w:p w14:paraId="5CF4E41A" w14:textId="77777777" w:rsidR="004D1F95" w:rsidRDefault="00830794">
      <w:pPr>
        <w:pStyle w:val="Normal1"/>
        <w:pBdr>
          <w:top w:val="nil"/>
          <w:left w:val="nil"/>
          <w:bottom w:val="nil"/>
          <w:right w:val="nil"/>
          <w:between w:val="nil"/>
        </w:pBdr>
        <w:rPr>
          <w:color w:val="000000"/>
        </w:rPr>
      </w:pPr>
      <w:r>
        <w:rPr>
          <w:color w:val="000000"/>
        </w:rPr>
        <w:t xml:space="preserve">Nevertheless, there are controversial studies concerning the effect of PCC on more general outcomes like the quality of life, agitation, depression, and neuropsychiatric symptoms. In a systematic review and meta-analysis, published in The Gerontologist in 2024, PCC interventions in residential aged care did not statistically significantly change quality of life with standardised mean difference -0.63 or agitation, but heterogeneity was identified as a limitation, as there were many variants of implementation and study design (Berkovic </w:t>
      </w:r>
      <w:r>
        <w:rPr>
          <w:i/>
          <w:iCs/>
          <w:color w:val="000000"/>
        </w:rPr>
        <w:t>et al.,</w:t>
      </w:r>
      <w:r>
        <w:rPr>
          <w:color w:val="000000"/>
        </w:rPr>
        <w:t xml:space="preserve"> 2023). It further contends that although there is a great philosophical appeal to PCC, evidence of its systematic and measurable effectiveness across all critical outcomes is inconsistent and requires the rigour with which PCC is applied, such as staff training, organisational culture and resourcing. Also, certain studies give inconclusive results on the effectiveness of PCC in response behaviours, sleep quality, and depression, which point out that future, more specific, and high-quality studies are needed (De Pinho </w:t>
      </w:r>
      <w:r>
        <w:rPr>
          <w:i/>
          <w:iCs/>
          <w:color w:val="000000"/>
        </w:rPr>
        <w:t>et al.,</w:t>
      </w:r>
      <w:r>
        <w:rPr>
          <w:color w:val="000000"/>
        </w:rPr>
        <w:t xml:space="preserve"> 2021).</w:t>
      </w:r>
    </w:p>
    <w:p w14:paraId="39DF904A" w14:textId="77777777" w:rsidR="004D1F95" w:rsidRDefault="00830794">
      <w:pPr>
        <w:pStyle w:val="Heading2"/>
      </w:pPr>
      <w:bookmarkStart w:id="12" w:name="_heading=h.x35b8ro6l1zf" w:colFirst="0" w:colLast="0"/>
      <w:bookmarkEnd w:id="12"/>
      <w:r>
        <w:t xml:space="preserve">2.3 Impact of person-centred care on quality of life in individual with dementia </w:t>
      </w:r>
    </w:p>
    <w:p w14:paraId="50AF2E5D" w14:textId="77777777" w:rsidR="004D1F95" w:rsidRDefault="00830794">
      <w:pPr>
        <w:pStyle w:val="Normal1"/>
        <w:pBdr>
          <w:top w:val="nil"/>
          <w:left w:val="nil"/>
          <w:bottom w:val="nil"/>
          <w:right w:val="nil"/>
          <w:between w:val="nil"/>
        </w:pBdr>
        <w:rPr>
          <w:color w:val="000000"/>
        </w:rPr>
      </w:pPr>
      <w:r>
        <w:rPr>
          <w:color w:val="000000"/>
        </w:rPr>
        <w:t xml:space="preserve">Person-centred care has been popularly advocated as an important non-pharmacological intervention in the improvement of the quality of life (QoL) of patients with dementia through a primary focus on individualized assistance, meaningful interactions, and interactions that promote dignity. Ballard </w:t>
      </w:r>
      <w:r>
        <w:rPr>
          <w:i/>
          <w:iCs/>
          <w:color w:val="000000"/>
        </w:rPr>
        <w:t>et al.</w:t>
      </w:r>
      <w:r>
        <w:rPr>
          <w:color w:val="000000"/>
        </w:rPr>
        <w:t xml:space="preserve"> (2018) claim that PCC interventions, including individualized activities and staff education on empathetic communication, reveal the observable changes in the QoL outcomes in comparison with usual care practices. Indicatively, one of the largest randomized trials applying the WHELD person-centred care programme to 69 nursing facilities in the UK found that caregiver-rated QoL scores on the DEMQOL-Proxy measure of resident with dementia improved by 2.54 points in response to the programme in the nine months, which was statistically significant but relatively small relative to usual care (p &lt; .01). Saragih </w:t>
      </w:r>
      <w:r>
        <w:rPr>
          <w:i/>
          <w:iCs/>
          <w:color w:val="000000"/>
        </w:rPr>
        <w:t>et al.</w:t>
      </w:r>
      <w:r>
        <w:rPr>
          <w:color w:val="000000"/>
        </w:rPr>
        <w:t xml:space="preserve"> (2024) also finds positive cognitive and behavioural impact of PCC where a pooled analysis of 17 trials found cognitive function improvements, but one vital proxy of engagement and wellbeing, although not statistically significant in certain studies. According to Lorber </w:t>
      </w:r>
      <w:r>
        <w:rPr>
          <w:i/>
          <w:iCs/>
          <w:color w:val="000000"/>
        </w:rPr>
        <w:t xml:space="preserve">et al. </w:t>
      </w:r>
      <w:r>
        <w:rPr>
          <w:color w:val="000000"/>
        </w:rPr>
        <w:t>(2025), PCC can be applied by means of involving activities and individualised communication, which result in the preeminent moment-to-moment wellbeing and reduced distress among people with dementia, which are all related to positive mood and social participation as aspects of QoL. These are affirmative arguments that provide a theoretical alignment between PCC and dignity-based care and demonstrate significant, albeit fluctuating, increases in resident experience.</w:t>
      </w:r>
    </w:p>
    <w:p w14:paraId="6B928A90" w14:textId="77777777" w:rsidR="004D1F95" w:rsidRDefault="00830794">
      <w:pPr>
        <w:pStyle w:val="Normal1"/>
        <w:pBdr>
          <w:top w:val="nil"/>
          <w:left w:val="nil"/>
          <w:bottom w:val="nil"/>
          <w:right w:val="nil"/>
          <w:between w:val="nil"/>
        </w:pBdr>
        <w:rPr>
          <w:color w:val="000000"/>
        </w:rPr>
      </w:pPr>
      <w:bookmarkStart w:id="13" w:name="_heading=h.xwdnqtergo7t" w:colFirst="0" w:colLast="0"/>
      <w:bookmarkEnd w:id="13"/>
      <w:r>
        <w:rPr>
          <w:color w:val="000000"/>
        </w:rPr>
        <w:t xml:space="preserve">Mixed empirical evidence, however, is pointed out by critics on the magnitude and consistency of QoL benefits. The pooled effect on overall quality of life with standardised mean difference -0.63, 95% CI: -1.95 to 0.70, was not statistically significant, which is why Berkovic </w:t>
      </w:r>
      <w:r>
        <w:rPr>
          <w:i/>
          <w:iCs/>
          <w:color w:val="000000"/>
        </w:rPr>
        <w:t>et al.</w:t>
      </w:r>
      <w:r>
        <w:rPr>
          <w:color w:val="000000"/>
        </w:rPr>
        <w:t xml:space="preserve"> (2023) assume a high degree of heterogeneity in the effectiveness of various contexts and types of interventions. According to Davies </w:t>
      </w:r>
      <w:r>
        <w:rPr>
          <w:i/>
          <w:iCs/>
          <w:color w:val="000000"/>
        </w:rPr>
        <w:t xml:space="preserve">et al. </w:t>
      </w:r>
      <w:r>
        <w:rPr>
          <w:color w:val="000000"/>
        </w:rPr>
        <w:t>(2023), the heterogeneity of PCC operationalisation, the lack of training among staff, and the randomness of results measurement do not allow making strong conclusions regarding the improvement of QoL. Also, implementation barriers, such as insufficient resourcing, staff engagement differences, and disparities in care settings have the potential to undermine intervention fidelity, lowering anticipated QoL improvements. As a result, although PCC demonstrates a bright future of improvements in dimensions of QoL in individuals with dementia, there is a split in the evidence, which is why high-quality, longitudinal studies are needed to gain a better understanding of its role in affecting larger wellbeing outcomes.</w:t>
      </w:r>
    </w:p>
    <w:p w14:paraId="6FDA9BEA" w14:textId="77777777" w:rsidR="004D1F95" w:rsidRDefault="00830794">
      <w:pPr>
        <w:pStyle w:val="Heading2"/>
      </w:pPr>
      <w:bookmarkStart w:id="14" w:name="_heading=h.qf9299jr69oi" w:colFirst="0" w:colLast="0"/>
      <w:bookmarkEnd w:id="14"/>
      <w:r>
        <w:t>2.4 Barriers and challenges in implementation of Person-Centred Care</w:t>
      </w:r>
    </w:p>
    <w:p w14:paraId="309C4589" w14:textId="77777777" w:rsidR="004D1F95" w:rsidRDefault="00830794">
      <w:pPr>
        <w:pStyle w:val="Normal1"/>
        <w:pBdr>
          <w:top w:val="nil"/>
          <w:left w:val="nil"/>
          <w:bottom w:val="nil"/>
          <w:right w:val="nil"/>
          <w:between w:val="nil"/>
        </w:pBdr>
        <w:rPr>
          <w:color w:val="000000"/>
        </w:rPr>
      </w:pPr>
      <w:r>
        <w:rPr>
          <w:color w:val="000000"/>
        </w:rPr>
        <w:t xml:space="preserve">The idea of person-centred care (PCC) to individuals with dementia has been greatly hindered by systemic and organisational barriers even after the concept has gained favour as the best practice. Recent 2025 scoping review of 33 international studies demonstrated that the major barriers reported in both Western and Asian long-term care environments were insufficient knowledge of PCC, staffing issues, lack of time, low training and low wages; these factors prevented the ability of the staff to personalise care and consistently use the principles of PCC in everyday practice (Guan </w:t>
      </w:r>
      <w:r>
        <w:rPr>
          <w:i/>
          <w:iCs/>
          <w:color w:val="000000"/>
        </w:rPr>
        <w:t>et al.</w:t>
      </w:r>
      <w:r>
        <w:rPr>
          <w:color w:val="000000"/>
        </w:rPr>
        <w:t xml:space="preserve">, 2025). These challenges are confirmed by qualitative evidence gathered by a 2025 multi-site study, and while high staff turnover, inadequate remuneration and lack of specialised training in dementia care training further undermine the implementation of PCC, they decrease the ability of caregivers to respond empathetically to non-cognitive symptoms of dementia (Guan </w:t>
      </w:r>
      <w:r>
        <w:rPr>
          <w:i/>
          <w:iCs/>
          <w:color w:val="000000"/>
        </w:rPr>
        <w:t>et al.,</w:t>
      </w:r>
      <w:r>
        <w:rPr>
          <w:color w:val="000000"/>
        </w:rPr>
        <w:t xml:space="preserve"> 2025). Also, the absence of definitions and standardised PCC models poses confusion across care professionals, and it is difficult to translate the PCC theory into uniform practice (Tong </w:t>
      </w:r>
      <w:r>
        <w:rPr>
          <w:i/>
          <w:iCs/>
          <w:color w:val="000000"/>
        </w:rPr>
        <w:t>et al.,</w:t>
      </w:r>
      <w:r>
        <w:rPr>
          <w:color w:val="000000"/>
        </w:rPr>
        <w:t xml:space="preserve"> 2025). </w:t>
      </w:r>
    </w:p>
    <w:p w14:paraId="76247767" w14:textId="77777777" w:rsidR="004D1F95" w:rsidRDefault="00830794">
      <w:pPr>
        <w:pStyle w:val="Normal1"/>
        <w:pBdr>
          <w:top w:val="nil"/>
          <w:left w:val="nil"/>
          <w:bottom w:val="nil"/>
          <w:right w:val="nil"/>
          <w:between w:val="nil"/>
        </w:pBdr>
        <w:rPr>
          <w:color w:val="000000"/>
        </w:rPr>
      </w:pPr>
      <w:r>
        <w:rPr>
          <w:color w:val="000000"/>
        </w:rPr>
        <w:t xml:space="preserve">On the positive note, enablers that can be used to alleviate these hurdles are also noted by research. In the same scoping review, effective communication, teamwork, support in leadership, and involvement by the family members were reported as some of the primary facilitators that would assist in integrating PCC practices even with limited settings (Guan </w:t>
      </w:r>
      <w:r>
        <w:rPr>
          <w:i/>
          <w:iCs/>
          <w:color w:val="000000"/>
        </w:rPr>
        <w:t>et al.,</w:t>
      </w:r>
      <w:r>
        <w:rPr>
          <w:color w:val="000000"/>
        </w:rPr>
        <w:t xml:space="preserve"> 2025). In particular, when nursing teams engage families in care planning and communicate about the preferences of residents, the confidence and satisfaction of the staff grows, which forms more favorable conditions of PCC. Critics however point to the fact that such facilitators are not able to completely counter deeply rooted structural barriers. PCC improvements do not succeed unless the problems of chronic staffing shortages, low pay and insufficient training opportunities are resolved (Guan </w:t>
      </w:r>
      <w:r>
        <w:rPr>
          <w:i/>
          <w:iCs/>
          <w:color w:val="000000"/>
        </w:rPr>
        <w:t>et al.,</w:t>
      </w:r>
      <w:r>
        <w:rPr>
          <w:color w:val="000000"/>
        </w:rPr>
        <w:t xml:space="preserve"> 2025). Moreover, task-oriented organisational cultures do not allow prioritizing person-centred interactions with routine tasks (Nandimath, 2021). Overall, the existence of enablers notwithstanding, the challenge of workforce stability, PCC education, and structural support is paramount to the meaningful implementation of person-centred dementia care.</w:t>
      </w:r>
    </w:p>
    <w:p w14:paraId="70059410" w14:textId="77777777" w:rsidR="004D1F95" w:rsidRDefault="00830794">
      <w:pPr>
        <w:pStyle w:val="Heading2"/>
      </w:pPr>
      <w:bookmarkStart w:id="15" w:name="_heading=h.jugs25pzecps" w:colFirst="0" w:colLast="0"/>
      <w:bookmarkEnd w:id="15"/>
      <w:r>
        <w:t>2.5 Best practices and strategies for effective implementation of Person-Centred dementia care</w:t>
      </w:r>
    </w:p>
    <w:p w14:paraId="210E2E5D" w14:textId="77777777" w:rsidR="004D1F95" w:rsidRDefault="00830794">
      <w:pPr>
        <w:pStyle w:val="Normal1"/>
        <w:pBdr>
          <w:top w:val="nil"/>
          <w:left w:val="nil"/>
          <w:bottom w:val="nil"/>
          <w:right w:val="nil"/>
          <w:between w:val="nil"/>
        </w:pBdr>
        <w:rPr>
          <w:color w:val="000000"/>
        </w:rPr>
      </w:pPr>
      <w:r>
        <w:rPr>
          <w:color w:val="000000"/>
        </w:rPr>
        <w:t xml:space="preserve">To bring the best practices of person-centred care (PCC) in dementia settings, there must be organized approaches beyond the philosophical adherence to activities, which are measurable and can be implemented. One of the key evidence-based interventions is focused on staff education and training, which are proven to have a great effect on staff knowledge, confidence, and PCC delivery in clinical practices (Engle </w:t>
      </w:r>
      <w:r>
        <w:rPr>
          <w:i/>
          <w:iCs/>
          <w:color w:val="000000"/>
        </w:rPr>
        <w:t>et al.,</w:t>
      </w:r>
      <w:r>
        <w:rPr>
          <w:color w:val="000000"/>
        </w:rPr>
        <w:t xml:space="preserve"> 2019). The 2025 quasi-experimental study of 25 nursing homes revealed that structured PCC training programme resulted in a substantial change in the person-centred climate rating made by residents and indicated the significance of continuous learning, collaboration, and empowerment of staff in terms of effective implementation of PCC (Xu </w:t>
      </w:r>
      <w:r>
        <w:rPr>
          <w:i/>
          <w:iCs/>
          <w:color w:val="000000"/>
        </w:rPr>
        <w:t>et al.,</w:t>
      </w:r>
      <w:r>
        <w:rPr>
          <w:color w:val="000000"/>
        </w:rPr>
        <w:t xml:space="preserve"> 2025). Moreover, a systematic review of dementia training in health care professionals has found that train-the-trainer (TTT) model and reflective practice methods help trainees to learn and report improved practice, meaning that measures that integrate learning into daily clinical practice can lead to better PCC adoption (Zabihi </w:t>
      </w:r>
      <w:r>
        <w:rPr>
          <w:i/>
          <w:iCs/>
          <w:color w:val="000000"/>
        </w:rPr>
        <w:t>et al.,</w:t>
      </w:r>
      <w:r>
        <w:rPr>
          <w:color w:val="000000"/>
        </w:rPr>
        <w:t xml:space="preserve"> 2025). </w:t>
      </w:r>
    </w:p>
    <w:p w14:paraId="381565B3" w14:textId="77777777" w:rsidR="004D1F95" w:rsidRDefault="00830794">
      <w:pPr>
        <w:pStyle w:val="Normal1"/>
        <w:pBdr>
          <w:top w:val="nil"/>
          <w:left w:val="nil"/>
          <w:bottom w:val="nil"/>
          <w:right w:val="nil"/>
          <w:between w:val="nil"/>
        </w:pBdr>
        <w:rPr>
          <w:color w:val="000000"/>
        </w:rPr>
      </w:pPr>
      <w:r>
        <w:rPr>
          <w:color w:val="000000"/>
        </w:rPr>
        <w:t xml:space="preserve">Another important enabler is multidisciplinary teamwork and collaboration. Synthesised evidence in a 2022 scoping review indicates that inter-professional educational meetings with didactic and interactive elements positively influenced healthcare workers engagement and application of PCC approaches, which subsequently led to some reported outcomes of increased understanding of patient behaviour and the improvement of decision-making in dementia care. Additionally, engagement with family caregivers in the care planning and decision-making process has also been associated with a robust supportive network and increased personalization of care, reinforcing the PCC initiatives in home and community settings (Marulappa </w:t>
      </w:r>
      <w:r>
        <w:rPr>
          <w:i/>
          <w:iCs/>
          <w:color w:val="000000"/>
        </w:rPr>
        <w:t>et al.,</w:t>
      </w:r>
      <w:r>
        <w:rPr>
          <w:color w:val="000000"/>
        </w:rPr>
        <w:t xml:space="preserve"> 2022). </w:t>
      </w:r>
    </w:p>
    <w:p w14:paraId="27EB5B8C" w14:textId="77777777" w:rsidR="004D1F95" w:rsidRDefault="00830794">
      <w:pPr>
        <w:pStyle w:val="Normal1"/>
        <w:pBdr>
          <w:top w:val="nil"/>
          <w:left w:val="nil"/>
          <w:bottom w:val="nil"/>
          <w:right w:val="nil"/>
          <w:between w:val="nil"/>
        </w:pBdr>
        <w:rPr>
          <w:color w:val="000000"/>
        </w:rPr>
      </w:pPr>
      <w:bookmarkStart w:id="16" w:name="_heading=h.w9kf9rqz9vfx" w:colFirst="0" w:colLast="0"/>
      <w:bookmarkEnd w:id="16"/>
      <w:r>
        <w:rPr>
          <w:color w:val="000000"/>
        </w:rPr>
        <w:t xml:space="preserve">In spite of these great plans, scholars warn that it is imperative that implementation fidelity and organisation support are essential to success. A mixed-methods review observes that the broad disparities in the delivery of PCC, where curriculum, time spent and leadership support vary may cause a disparity in the results of quality of life or behaviour change to individuals with dementia (Lee </w:t>
      </w:r>
      <w:r>
        <w:rPr>
          <w:i/>
          <w:iCs/>
          <w:color w:val="000000"/>
        </w:rPr>
        <w:t>et al.,</w:t>
      </w:r>
      <w:r>
        <w:rPr>
          <w:color w:val="000000"/>
        </w:rPr>
        <w:t xml:space="preserve"> 2020). Consequently, the best practice should also be characterised by proper frameworks, ongoing assessment, and supportive leadership that prioritise PCC principles on organisational culture. To conclude, personalised dementia education, group work, family engagement, and solid organisational support are the existing best practices to make high-quality person-centred dementia care.</w:t>
      </w:r>
    </w:p>
    <w:p w14:paraId="0B23C355" w14:textId="77777777" w:rsidR="004D1F95" w:rsidRDefault="00830794">
      <w:pPr>
        <w:pStyle w:val="Heading2"/>
      </w:pPr>
      <w:bookmarkStart w:id="17" w:name="_heading=h.31jt7whbot1w" w:colFirst="0" w:colLast="0"/>
      <w:bookmarkEnd w:id="17"/>
      <w:r>
        <w:t xml:space="preserve">2.6 Theoretical Framework </w:t>
      </w:r>
    </w:p>
    <w:p w14:paraId="76095391" w14:textId="77777777" w:rsidR="004D1F95" w:rsidRDefault="00830794">
      <w:pPr>
        <w:pStyle w:val="Normal1"/>
        <w:pBdr>
          <w:top w:val="nil"/>
          <w:left w:val="nil"/>
          <w:bottom w:val="nil"/>
          <w:right w:val="nil"/>
          <w:between w:val="nil"/>
        </w:pBdr>
        <w:rPr>
          <w:color w:val="000000"/>
        </w:rPr>
      </w:pPr>
      <w:r>
        <w:rPr>
          <w:color w:val="000000"/>
        </w:rPr>
        <w:t xml:space="preserve">The paper is supported by the most critical theoretical views that define how person-centred care (PCC) can enhance the outcomes of people who live with dementia. The main model is the Personhood Theory created by Tom Kitwood and focusing on the concept that individuals with dementia are not defined by their cognitive impairment but should be treated as personalities with identity, feelings, and social needs (Terkelsen </w:t>
      </w:r>
      <w:r>
        <w:rPr>
          <w:i/>
          <w:iCs/>
          <w:color w:val="000000"/>
        </w:rPr>
        <w:t xml:space="preserve">et al., </w:t>
      </w:r>
      <w:r>
        <w:rPr>
          <w:color w:val="000000"/>
        </w:rPr>
        <w:t>2020). The theory states that upholding dignity, attachment, comfort, identity and inclusion facilitates psychological health and minimizes behavioural distress (Tieu and Matthews, 2024). Based on this, the VIPs model, the importance of people, their treatment as individuals, the need to understand their point of view, and the establishment of a favorable social environment, offers a realistic framework of applying PCC to care environments (Rosvik and Mjurod, 2021).</w:t>
      </w:r>
    </w:p>
    <w:p w14:paraId="5ED7CAA6" w14:textId="77777777" w:rsidR="004D1F95" w:rsidRDefault="00830794">
      <w:pPr>
        <w:pStyle w:val="Normal1"/>
        <w:pBdr>
          <w:top w:val="nil"/>
          <w:left w:val="nil"/>
          <w:bottom w:val="nil"/>
          <w:right w:val="nil"/>
          <w:between w:val="nil"/>
        </w:pBdr>
        <w:rPr>
          <w:color w:val="000000"/>
        </w:rPr>
      </w:pPr>
      <w:r>
        <w:rPr>
          <w:color w:val="000000"/>
        </w:rPr>
        <w:t xml:space="preserve">Besides, the research relies on the Biopsychosocial Model, which describes the process of dementia care as a product of interactions between biological impairment, psychological reactions, and social surroundings (Steele </w:t>
      </w:r>
      <w:r>
        <w:rPr>
          <w:i/>
          <w:iCs/>
          <w:color w:val="000000"/>
        </w:rPr>
        <w:t xml:space="preserve">et al., </w:t>
      </w:r>
      <w:r>
        <w:rPr>
          <w:color w:val="000000"/>
        </w:rPr>
        <w:t xml:space="preserve">2022). Modern studies indicate that well-being and behavioural response can be greatly affected even in the presence of disease development through social interaction, meaningful activity, and supportive relationships (Surr </w:t>
      </w:r>
      <w:r>
        <w:rPr>
          <w:i/>
          <w:iCs/>
          <w:color w:val="000000"/>
        </w:rPr>
        <w:t>et al.,</w:t>
      </w:r>
      <w:r>
        <w:rPr>
          <w:color w:val="000000"/>
        </w:rPr>
        <w:t xml:space="preserve"> 2020). All these theories support the emphasis on individualized and relationship-based care and give them a conceptual basis to explore the impact of PCC on the quality of life and care experiences in dementia services.</w:t>
      </w:r>
    </w:p>
    <w:p w14:paraId="17862E94" w14:textId="77777777" w:rsidR="004D1F95" w:rsidRDefault="00830794">
      <w:pPr>
        <w:pStyle w:val="Heading2"/>
      </w:pPr>
      <w:bookmarkStart w:id="18" w:name="_heading=h.yvatg6ss3l42" w:colFirst="0" w:colLast="0"/>
      <w:bookmarkEnd w:id="18"/>
      <w:r>
        <w:t xml:space="preserve">2.7 Conceptual framework </w:t>
      </w:r>
    </w:p>
    <w:p w14:paraId="11B5A94D" w14:textId="77777777" w:rsidR="004D1F95" w:rsidRDefault="00830794">
      <w:pPr>
        <w:pStyle w:val="Normal1"/>
        <w:pBdr>
          <w:top w:val="nil"/>
          <w:left w:val="nil"/>
          <w:bottom w:val="nil"/>
          <w:right w:val="nil"/>
          <w:between w:val="nil"/>
        </w:pBdr>
        <w:rPr>
          <w:color w:val="000000"/>
        </w:rPr>
      </w:pPr>
      <w:bookmarkStart w:id="19" w:name="_heading=h.szgbv513nx9m" w:colFirst="0" w:colLast="0"/>
      <w:bookmarkEnd w:id="19"/>
      <w:r>
        <w:rPr>
          <w:noProof/>
          <w:color w:val="000000"/>
          <w:lang w:val="en-US"/>
        </w:rPr>
        <w:drawing>
          <wp:inline distT="114300" distB="114300" distL="114300" distR="114300" wp14:anchorId="2FA8F6D7" wp14:editId="00127472">
            <wp:extent cx="5943600" cy="6210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6210300"/>
                    </a:xfrm>
                    <a:prstGeom prst="rect">
                      <a:avLst/>
                    </a:prstGeom>
                    <a:ln/>
                  </pic:spPr>
                </pic:pic>
              </a:graphicData>
            </a:graphic>
          </wp:inline>
        </w:drawing>
      </w:r>
    </w:p>
    <w:p w14:paraId="012CB808" w14:textId="77777777" w:rsidR="004D1F95" w:rsidRDefault="00830794">
      <w:pPr>
        <w:pStyle w:val="Heading2"/>
      </w:pPr>
      <w:bookmarkStart w:id="20" w:name="_heading=h.o9zttwjm4w87" w:colFirst="0" w:colLast="0"/>
      <w:bookmarkEnd w:id="20"/>
      <w:r>
        <w:t>2.8 Literature Gap</w:t>
      </w:r>
    </w:p>
    <w:p w14:paraId="2B9CC234" w14:textId="77777777" w:rsidR="004D1F95" w:rsidRDefault="00830794">
      <w:pPr>
        <w:pStyle w:val="Normal1"/>
        <w:pBdr>
          <w:top w:val="nil"/>
          <w:left w:val="nil"/>
          <w:bottom w:val="nil"/>
          <w:right w:val="nil"/>
          <w:between w:val="nil"/>
        </w:pBdr>
        <w:rPr>
          <w:color w:val="000000"/>
        </w:rPr>
      </w:pPr>
      <w:r>
        <w:rPr>
          <w:color w:val="000000"/>
        </w:rPr>
        <w:t xml:space="preserve">Although the existing body of research has shown that person-centred care (PCC) is practiced in dementia, there are various gaps in the literature. The existing body of evidence indicates that researchers provide inconsistent results on the general role of PCC on the quality of life, which is mainly caused by the differences in the design of interventions, measures of outcomes, and the setting of implementation (Berkovic </w:t>
      </w:r>
      <w:r>
        <w:rPr>
          <w:i/>
          <w:iCs/>
          <w:color w:val="000000"/>
        </w:rPr>
        <w:t>et al.,</w:t>
      </w:r>
      <w:r>
        <w:rPr>
          <w:color w:val="000000"/>
        </w:rPr>
        <w:t xml:space="preserve"> 2023). A number of studies have mostly been done in the residential care setting, and there is limited comparative evidence based on community and integrated care settings. Also, the combined effect of organisational barriers and enabling strategies is rarely investigated, and instead, specific interventions are studied. Recent UK-specific and context-based assessments which connect PCC principles, implementation issues, and quantifiable quality of life measures are also lacking, which is the focus of this research.</w:t>
      </w:r>
    </w:p>
    <w:p w14:paraId="37D320AE" w14:textId="77777777" w:rsidR="004D1F95" w:rsidRDefault="00830794">
      <w:pPr>
        <w:pStyle w:val="Heading2"/>
      </w:pPr>
      <w:bookmarkStart w:id="21" w:name="_heading=h.6gkynlmycyar" w:colFirst="0" w:colLast="0"/>
      <w:bookmarkEnd w:id="21"/>
      <w:r>
        <w:t xml:space="preserve">2.9 Summary </w:t>
      </w:r>
    </w:p>
    <w:p w14:paraId="399985BF" w14:textId="77777777" w:rsidR="004D1F95" w:rsidRDefault="00830794">
      <w:pPr>
        <w:pStyle w:val="Normal1"/>
        <w:pBdr>
          <w:top w:val="nil"/>
          <w:left w:val="nil"/>
          <w:bottom w:val="nil"/>
          <w:right w:val="nil"/>
          <w:between w:val="nil"/>
        </w:pBdr>
        <w:rPr>
          <w:color w:val="000000"/>
        </w:rPr>
      </w:pPr>
      <w:r>
        <w:rPr>
          <w:color w:val="000000"/>
        </w:rPr>
        <w:t>This chapter was a critical review of literature on person-centred care (PCC) in dementia, its theoretical background, contribution to quality of life, and obstacles to its application. There is evidence that there could be positive effects on emotional health, dignity and engagement although the results are mixed. There were also best practice strategies and research gaps that were identified in the review and formed part of the methodological approach of carrying out the study.</w:t>
      </w:r>
    </w:p>
    <w:p w14:paraId="51ACBA0A" w14:textId="77777777" w:rsidR="004D1F95" w:rsidRDefault="00830794">
      <w:pPr>
        <w:pStyle w:val="Normal1"/>
        <w:pBdr>
          <w:top w:val="nil"/>
          <w:left w:val="nil"/>
          <w:bottom w:val="nil"/>
          <w:right w:val="nil"/>
          <w:between w:val="nil"/>
        </w:pBdr>
        <w:rPr>
          <w:color w:val="000000"/>
        </w:rPr>
      </w:pPr>
      <w:bookmarkStart w:id="22" w:name="_heading=h.pkyhx6o7dp68" w:colFirst="0" w:colLast="0"/>
      <w:bookmarkEnd w:id="22"/>
      <w:r>
        <w:br w:type="page"/>
      </w:r>
    </w:p>
    <w:p w14:paraId="6A6A00AD" w14:textId="77777777" w:rsidR="004D1F95" w:rsidRDefault="004D1F95">
      <w:pPr>
        <w:pStyle w:val="Normal1"/>
        <w:pBdr>
          <w:top w:val="nil"/>
          <w:left w:val="nil"/>
          <w:bottom w:val="nil"/>
          <w:right w:val="nil"/>
          <w:between w:val="nil"/>
        </w:pBdr>
        <w:rPr>
          <w:color w:val="000000"/>
        </w:rPr>
      </w:pPr>
      <w:bookmarkStart w:id="23" w:name="_heading=h.o9gldvb4av0t" w:colFirst="0" w:colLast="0"/>
      <w:bookmarkEnd w:id="23"/>
    </w:p>
    <w:p w14:paraId="7FA8CE07" w14:textId="77777777" w:rsidR="004D1F95" w:rsidRDefault="00830794">
      <w:pPr>
        <w:pStyle w:val="Heading1"/>
        <w:spacing w:before="240" w:after="240"/>
      </w:pPr>
      <w:r>
        <w:t>Chapter 3: Methodology</w:t>
      </w:r>
    </w:p>
    <w:p w14:paraId="09F4D2F0" w14:textId="77777777" w:rsidR="004D1F95" w:rsidRDefault="00830794">
      <w:pPr>
        <w:pStyle w:val="Heading2"/>
        <w:spacing w:before="240" w:after="240"/>
      </w:pPr>
      <w:r>
        <w:t>3.1 Introduction to the Methodology</w:t>
      </w:r>
    </w:p>
    <w:p w14:paraId="104D0659" w14:textId="77777777" w:rsidR="004D1F95" w:rsidRDefault="00830794">
      <w:pPr>
        <w:pStyle w:val="Normal1"/>
        <w:pBdr>
          <w:top w:val="nil"/>
          <w:left w:val="nil"/>
          <w:bottom w:val="nil"/>
          <w:right w:val="nil"/>
          <w:between w:val="nil"/>
        </w:pBdr>
        <w:rPr>
          <w:color w:val="000000"/>
        </w:rPr>
      </w:pPr>
      <w:r>
        <w:rPr>
          <w:color w:val="000000"/>
        </w:rPr>
        <w:t>This chapter also describes the methodology framework that was used to critically evaluate the role of person-centred care in enhancing the quality of life enjoyed by people with dementia. The purpose of the study is to assess the effects of the use of person-centred approaches on the wellbeing, dignity, autonomy and experiences of care in the various care environments. The qualitative secondary research design was chosen because it would help conduct a systematic analysis of the available peer-reviewed literature instead of gathering primary data. Recent systematic reviews and interventions studies evidenced a large and expanding evidence base to investigate person-centred care in dementia, which consider secondary synthesis both suitable and scholarly in nature (Berkovic et al., 2023; Saragih et al., 2024). This methodology will enable an extensive analysis of the existing knowledge that has been made in this arena.</w:t>
      </w:r>
    </w:p>
    <w:p w14:paraId="75F950E8" w14:textId="77777777" w:rsidR="004D1F95" w:rsidRDefault="00830794">
      <w:pPr>
        <w:pStyle w:val="Heading2"/>
        <w:spacing w:before="240" w:after="240"/>
      </w:pPr>
      <w:r>
        <w:t>3.2 Research Philosophy: Interpretivism</w:t>
      </w:r>
    </w:p>
    <w:p w14:paraId="78A1C68B" w14:textId="77777777" w:rsidR="004D1F95" w:rsidRDefault="00830794">
      <w:pPr>
        <w:pStyle w:val="Normal1"/>
        <w:pBdr>
          <w:top w:val="nil"/>
          <w:left w:val="nil"/>
          <w:bottom w:val="nil"/>
          <w:right w:val="nil"/>
          <w:between w:val="nil"/>
        </w:pBdr>
        <w:rPr>
          <w:color w:val="000000"/>
        </w:rPr>
      </w:pPr>
      <w:r>
        <w:rPr>
          <w:color w:val="000000"/>
        </w:rPr>
        <w:t>To support the study, there is an interpretivist research philosophy that backs the study. Interpretivism is centered on subjective meanings, lived experience and social settings where care is provided. The concept of personal-centred care is partially rooted in the concept of acknowledging personal identity, dignity, autonomy, and subjective wellbeing that closely concurs with interpretivist beliefs. This philosophy does not primarily focus on care outcomes as variable outcomes but instead there is an appreciation of the relational and experiential aspects of dementia care. Scher et al. (2025) provide an example of how people with dementia and their caregivers can be involved to assess the person-centred outcomes, and relational support and perceived social belonging are also critical. On the same note, Xu et al. (2024) show the role of home care workers in person-centred practice by facilitating relational interaction with individuals and cognizant of personal preferences. These views support the appropriateness of the interpretivism in analysing the social and contextual aspects of care provision.</w:t>
      </w:r>
    </w:p>
    <w:p w14:paraId="714AC2D8" w14:textId="77777777" w:rsidR="004D1F95" w:rsidRDefault="00830794">
      <w:pPr>
        <w:pStyle w:val="Heading2"/>
        <w:spacing w:before="240" w:after="240"/>
      </w:pPr>
      <w:r>
        <w:t>3.3 Research Approach: Inductive Approach</w:t>
      </w:r>
    </w:p>
    <w:p w14:paraId="5C21DE84" w14:textId="77777777" w:rsidR="004D1F95" w:rsidRDefault="00830794">
      <w:pPr>
        <w:pStyle w:val="Normal1"/>
        <w:pBdr>
          <w:top w:val="nil"/>
          <w:left w:val="nil"/>
          <w:bottom w:val="nil"/>
          <w:right w:val="nil"/>
          <w:between w:val="nil"/>
        </w:pBdr>
        <w:rPr>
          <w:color w:val="000000"/>
        </w:rPr>
      </w:pPr>
      <w:r>
        <w:rPr>
          <w:color w:val="000000"/>
        </w:rPr>
        <w:t>The research took the inductive research approach. Induction refers to the process of obtaining themes and conceptual meaning out of the existing evidence as opposed to hypothesis testing. The study is not aimed at verifying a particular model of causation, but examines the trends in the literature of quality of life, wellbeing, dignity, and barriers to implementing person-centred dementia care. Durgante and colleagues (2025) report change mechanisms that affect the subjective wellbeing of dementia individuals, which shows that knowledge can be developed by conducting a comprehensive evidence synthesis. On the same note, Saragih et al. (2024) synthesise the results of intervention in many researches revealing how generalised concepts of effectiveness can be attained based on the aggregate results. Consequently, the inductive methodology can help them to interpret and critique the available studies on the basis of themes.</w:t>
      </w:r>
    </w:p>
    <w:p w14:paraId="1A624625" w14:textId="77777777" w:rsidR="004D1F95" w:rsidRDefault="00830794">
      <w:pPr>
        <w:pStyle w:val="Heading2"/>
        <w:spacing w:before="240" w:after="240"/>
      </w:pPr>
      <w:r>
        <w:t>3.4 Research Design: Qualitative Secondary Research</w:t>
      </w:r>
    </w:p>
    <w:p w14:paraId="4729CB43" w14:textId="77777777" w:rsidR="004D1F95" w:rsidRDefault="00830794">
      <w:pPr>
        <w:pStyle w:val="Normal1"/>
        <w:pBdr>
          <w:top w:val="nil"/>
          <w:left w:val="nil"/>
          <w:bottom w:val="nil"/>
          <w:right w:val="nil"/>
          <w:between w:val="nil"/>
        </w:pBdr>
        <w:rPr>
          <w:color w:val="000000"/>
        </w:rPr>
      </w:pPr>
      <w:r>
        <w:rPr>
          <w:color w:val="000000"/>
        </w:rPr>
        <w:t>In this study, the research design used is qualitative secondary research design, which will entirely use the past-published empirical studies. The secondary sources include systematic reviews, meta-analysis, qualitative research, and intervention studies on the topic of person-centred care in dementia care situations. There was no primary data taking i.e. involving interviews or surveys. This design facilitates critical appraisal of the intervention effectiveness, care delivery processes and implementation barriers in different settings.</w:t>
      </w:r>
    </w:p>
    <w:p w14:paraId="2967B0AB" w14:textId="77777777" w:rsidR="004D1F95" w:rsidRDefault="00830794">
      <w:pPr>
        <w:pStyle w:val="Normal1"/>
        <w:pBdr>
          <w:top w:val="nil"/>
          <w:left w:val="nil"/>
          <w:bottom w:val="nil"/>
          <w:right w:val="nil"/>
          <w:between w:val="nil"/>
        </w:pBdr>
        <w:rPr>
          <w:color w:val="000000"/>
        </w:rPr>
      </w:pPr>
      <w:r>
        <w:rPr>
          <w:color w:val="000000"/>
        </w:rPr>
        <w:t>The strength of this methodology can be explained by the fact that high quality research is available in the field. The reviewed article is a systematic review and meta-analysis study by Berkovic et al. (2023) that analyzes the provision of person-centred care in residential aged care. Saragih et al. (2024) provide a meta-analysis assessing the health outcomes with the intervention of person-centred interventions. Spichiger et al. (2024) report an intervention of a dementia step externalised uptrial in long-term care in a stepped-wedge cluster-randomised trial. Also, Durgante et al. (2025) condense evidence on mechanisms affecting subjective wellbeing. Together, these studies present a good empirical base that can be used in the qualitative secondary analysis.</w:t>
      </w:r>
    </w:p>
    <w:p w14:paraId="09F1561C" w14:textId="77777777" w:rsidR="004D1F95" w:rsidRDefault="00830794">
      <w:pPr>
        <w:pStyle w:val="Heading2"/>
        <w:spacing w:before="240" w:after="240"/>
      </w:pPr>
      <w:r>
        <w:t>3.5 Data Collection Strategy</w:t>
      </w:r>
    </w:p>
    <w:p w14:paraId="0A811650" w14:textId="77777777" w:rsidR="004D1F95" w:rsidRDefault="00830794">
      <w:pPr>
        <w:pStyle w:val="Normal1"/>
        <w:pBdr>
          <w:top w:val="nil"/>
          <w:left w:val="nil"/>
          <w:bottom w:val="nil"/>
          <w:right w:val="nil"/>
          <w:between w:val="nil"/>
        </w:pBdr>
        <w:rPr>
          <w:color w:val="000000"/>
        </w:rPr>
      </w:pPr>
      <w:r>
        <w:rPr>
          <w:color w:val="000000"/>
        </w:rPr>
        <w:t>Peer-reviewed academic literature that was published between 2023 and 2025 was used to gather data. The selection was based on empirical studies on the interventions of person-centred care and their effects on people with dementia living. These were included studies that included systematic reviews, meta-analyses, qualitative studies, and intervention trials so that there is methodological diversity and a broad coverage of the topic.</w:t>
      </w:r>
    </w:p>
    <w:p w14:paraId="1541C000" w14:textId="77777777" w:rsidR="004D1F95" w:rsidRDefault="00830794">
      <w:pPr>
        <w:pStyle w:val="Normal1"/>
        <w:pBdr>
          <w:top w:val="nil"/>
          <w:left w:val="nil"/>
          <w:bottom w:val="nil"/>
          <w:right w:val="nil"/>
          <w:between w:val="nil"/>
        </w:pBdr>
        <w:rPr>
          <w:color w:val="000000"/>
        </w:rPr>
      </w:pPr>
      <w:r>
        <w:rPr>
          <w:color w:val="000000"/>
        </w:rPr>
        <w:t>The inclusion criteria consisted of: (1) a clear focus on person-centred care; (2) the participants were patients diagnosed with dementia; (3) the outcomes measured were on quality of life, wellbeing, dignity, or care experiences. Non-dementia populations, studies that were not based on person-centred models and non-empirical publications were excluded criteria. The chosen articles are rather heterogeneous care settings, such as home-based services (Xu et al., 2024), adult day services (Scher et al., 2025), and long-term care facilities (Spichiger et al., 2024). The range also helps with an in-depth analysis of person-centred practice in any setting.</w:t>
      </w:r>
    </w:p>
    <w:p w14:paraId="166F77AD" w14:textId="77777777" w:rsidR="004D1F95" w:rsidRDefault="00830794">
      <w:pPr>
        <w:pStyle w:val="Heading2"/>
        <w:spacing w:before="240" w:after="240"/>
      </w:pPr>
      <w:r>
        <w:t>3.6 Data-Analysis Method: Thematic Analysis</w:t>
      </w:r>
    </w:p>
    <w:p w14:paraId="4D4ED9C0" w14:textId="77777777" w:rsidR="004D1F95" w:rsidRDefault="00830794">
      <w:pPr>
        <w:pStyle w:val="Normal1"/>
        <w:pBdr>
          <w:top w:val="nil"/>
          <w:left w:val="nil"/>
          <w:bottom w:val="nil"/>
          <w:right w:val="nil"/>
          <w:between w:val="nil"/>
        </w:pBdr>
        <w:rPr>
          <w:color w:val="000000"/>
        </w:rPr>
      </w:pPr>
      <w:r>
        <w:rPr>
          <w:color w:val="000000"/>
        </w:rPr>
        <w:t>Thematic analysis was used to bring together findings of the chosen studies. This technique encompasses the systematic recognition and explanation of recurrent trends of both qualitative and quantitative data. The analysis involved several steps: becoming acquainted with each work, determining the main findings of the work, coding the results of the relevant findings, and classification of the aspects of codes into general themes.</w:t>
      </w:r>
    </w:p>
    <w:p w14:paraId="6504738A" w14:textId="77777777" w:rsidR="004D1F95" w:rsidRDefault="00830794">
      <w:pPr>
        <w:pStyle w:val="Normal1"/>
        <w:pBdr>
          <w:top w:val="nil"/>
          <w:left w:val="nil"/>
          <w:bottom w:val="nil"/>
          <w:right w:val="nil"/>
          <w:between w:val="nil"/>
        </w:pBdr>
        <w:rPr>
          <w:color w:val="000000"/>
        </w:rPr>
      </w:pPr>
      <w:r>
        <w:rPr>
          <w:color w:val="000000"/>
        </w:rPr>
        <w:t>Themes that emerged were emotional wellbeing, autonomy and dignity, organisational culture, workforce engagement and mechanisms of change that affect the outcomes of care. Durgante et al. (2025) also single out certain mechanisms that help in improving subjective wellbeing, whereas Saragih et al. (2024) show that there are quantifiable health and quality-of-life outcomes of person-centred interventions. Berkovic et al. (2023) single out the challenges in the implementation of residential settings, which enlighten thematic categorisation. The analysis uses the method of organised synthesis by incorporating outcome effectiveness with contextual and organisational factors which manipulate delivery.</w:t>
      </w:r>
    </w:p>
    <w:p w14:paraId="76D15856" w14:textId="77777777" w:rsidR="004D1F95" w:rsidRDefault="00830794">
      <w:pPr>
        <w:pStyle w:val="Heading2"/>
        <w:spacing w:before="240" w:after="240"/>
      </w:pPr>
      <w:r>
        <w:t>3.7 Ethical Considerations</w:t>
      </w:r>
    </w:p>
    <w:p w14:paraId="5836C7F6" w14:textId="77777777" w:rsidR="004D1F95" w:rsidRDefault="00830794">
      <w:pPr>
        <w:pStyle w:val="Normal1"/>
        <w:pBdr>
          <w:top w:val="nil"/>
          <w:left w:val="nil"/>
          <w:bottom w:val="nil"/>
          <w:right w:val="nil"/>
          <w:between w:val="nil"/>
        </w:pBdr>
        <w:rPr>
          <w:color w:val="000000"/>
        </w:rPr>
      </w:pPr>
      <w:r>
        <w:rPr>
          <w:color w:val="000000"/>
        </w:rPr>
        <w:t>Since this study implies the use of secondary data only, no direct human participants were engaged, and there was no need to take informed consent. The ethical responsibility was observed with proper referencing, recognition of original authors, and prevention of plagiarism. Special attention was paid to the interpretation of the intervention results to provide a loyal demonstration of the study results, particularly in the case of clinical research, including the cluster-randomised trial by Spichiger et al. (2024). There were standards of academic integrity and intellectual property that were followed to the letter during the study.</w:t>
      </w:r>
    </w:p>
    <w:p w14:paraId="48A217C9" w14:textId="77777777" w:rsidR="004D1F95" w:rsidRDefault="00830794">
      <w:pPr>
        <w:pStyle w:val="Heading2"/>
        <w:spacing w:before="240" w:after="240"/>
      </w:pPr>
      <w:r>
        <w:t>3.8. Limitations of the Methodology</w:t>
      </w:r>
    </w:p>
    <w:p w14:paraId="0D7757AF" w14:textId="77777777" w:rsidR="004D1F95" w:rsidRDefault="00830794">
      <w:pPr>
        <w:pStyle w:val="Normal1"/>
        <w:pBdr>
          <w:top w:val="nil"/>
          <w:left w:val="nil"/>
          <w:bottom w:val="nil"/>
          <w:right w:val="nil"/>
          <w:between w:val="nil"/>
        </w:pBdr>
        <w:rPr>
          <w:color w:val="000000"/>
        </w:rPr>
      </w:pPr>
      <w:bookmarkStart w:id="24" w:name="_heading=h.8fsn1t6yoibd" w:colFirst="0" w:colLast="0"/>
      <w:bookmarkEnd w:id="24"/>
      <w:r>
        <w:rPr>
          <w:color w:val="000000"/>
        </w:rPr>
        <w:t>The methodology has its limitations although it has strengths. The research will only be based on published studies, and it can lead to publication bias. Findings differ on this issue because variability in the design of interventions and quality-of-life outcome measures could influence comparability. Moreover, residential and home care settings, which are contrasted by Xu et al. (2024) and Berkovic et al. (2023), also can restrict the overall generalisability. However, the secondary qualitative design will facilitate synthesis on the existing evidence in stipulated scholarly parameters.</w:t>
      </w:r>
      <w:r>
        <w:br w:type="page"/>
      </w:r>
    </w:p>
    <w:p w14:paraId="366B8A00" w14:textId="77777777" w:rsidR="004D1F95" w:rsidRDefault="00830794">
      <w:pPr>
        <w:pStyle w:val="Heading1"/>
      </w:pPr>
      <w:bookmarkStart w:id="25" w:name="_heading=h.e6874ab1tjr9" w:colFirst="0" w:colLast="0"/>
      <w:bookmarkEnd w:id="25"/>
      <w:r>
        <w:t>Ch 4: Findings and Discussion</w:t>
      </w:r>
    </w:p>
    <w:p w14:paraId="5699E908" w14:textId="77777777" w:rsidR="004D1F95" w:rsidRDefault="00830794">
      <w:pPr>
        <w:pStyle w:val="Heading2"/>
      </w:pPr>
      <w:bookmarkStart w:id="26" w:name="_heading=h.h3lkgxol1ojz" w:colFirst="0" w:colLast="0"/>
      <w:bookmarkEnd w:id="26"/>
      <w:r>
        <w:t>4.1 Introduction</w:t>
      </w:r>
    </w:p>
    <w:p w14:paraId="698DB93C" w14:textId="77777777" w:rsidR="004D1F95" w:rsidRDefault="00830794">
      <w:pPr>
        <w:pStyle w:val="Normal1"/>
      </w:pPr>
      <w:r>
        <w:t xml:space="preserve">In this chapter, the findings of the research are presented and a thematic examination of the literature on how person-centred care has been examined to determine the quality of life of dementia patients is provided. It presents the analysis based on the major themes found in the analysed articles, such as conceptual insight into the meaning of PCC, emotional and psychological outcomes, autonomy and dignity, social engagement, organisational barriers, and implementation facilitators. The themes are analyzed to respond to the research questions and reveal the patterns, similarities, and differences in evidence. The chapter is designed to provide a concise summary of the results and reveal the aspects of PCC along with situational conditions that affect its efficacy in dementia care programs. </w:t>
      </w:r>
    </w:p>
    <w:p w14:paraId="7D08311F" w14:textId="77777777" w:rsidR="004D1F95" w:rsidRDefault="00830794">
      <w:pPr>
        <w:pStyle w:val="Heading2"/>
      </w:pPr>
      <w:bookmarkStart w:id="27" w:name="_heading=h.tgu6el5agxm1" w:colFirst="0" w:colLast="0"/>
      <w:bookmarkEnd w:id="27"/>
      <w:r>
        <w:t>4.2 Thematic Coding Table</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2361"/>
        <w:gridCol w:w="2670"/>
        <w:gridCol w:w="1923"/>
        <w:gridCol w:w="2406"/>
      </w:tblGrid>
      <w:tr w:rsidR="004D1F95" w14:paraId="3EB6F38C" w14:textId="77777777">
        <w:trPr>
          <w:cantSplit/>
          <w:trHeight w:val="50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517BE8" w14:textId="77777777" w:rsidR="004D1F95" w:rsidRDefault="00830794">
            <w:pPr>
              <w:pStyle w:val="Normal1"/>
              <w:spacing w:after="0" w:line="240" w:lineRule="auto"/>
              <w:jc w:val="center"/>
              <w:rPr>
                <w:b/>
                <w:bCs/>
              </w:rPr>
            </w:pPr>
            <w:r>
              <w:rPr>
                <w:b/>
                <w:bCs/>
              </w:rPr>
              <w:t>Theme</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B40AE" w14:textId="77777777" w:rsidR="004D1F95" w:rsidRDefault="00830794">
            <w:pPr>
              <w:pStyle w:val="Normal1"/>
              <w:spacing w:after="0" w:line="240" w:lineRule="auto"/>
              <w:jc w:val="center"/>
              <w:rPr>
                <w:b/>
                <w:bCs/>
              </w:rPr>
            </w:pPr>
            <w:r>
              <w:rPr>
                <w:b/>
                <w:bCs/>
              </w:rPr>
              <w:t>Sub-Themes</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D4566" w14:textId="77777777" w:rsidR="004D1F95" w:rsidRDefault="00830794">
            <w:pPr>
              <w:pStyle w:val="Normal1"/>
              <w:spacing w:after="0" w:line="240" w:lineRule="auto"/>
              <w:jc w:val="center"/>
              <w:rPr>
                <w:b/>
                <w:bCs/>
              </w:rPr>
            </w:pPr>
            <w:r>
              <w:rPr>
                <w:b/>
                <w:bCs/>
              </w:rPr>
              <w:t>Source</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C535E" w14:textId="77777777" w:rsidR="004D1F95" w:rsidRDefault="00830794">
            <w:pPr>
              <w:pStyle w:val="Normal1"/>
              <w:spacing w:after="0" w:line="240" w:lineRule="auto"/>
              <w:jc w:val="center"/>
              <w:rPr>
                <w:b/>
                <w:bCs/>
              </w:rPr>
            </w:pPr>
            <w:r>
              <w:rPr>
                <w:b/>
                <w:bCs/>
              </w:rPr>
              <w:t>Key Words</w:t>
            </w:r>
          </w:p>
        </w:tc>
      </w:tr>
      <w:tr w:rsidR="004D1F95" w14:paraId="5296A288" w14:textId="77777777">
        <w:trPr>
          <w:cantSplit/>
          <w:trHeight w:val="188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A16C2" w14:textId="77777777" w:rsidR="004D1F95" w:rsidRDefault="00830794">
            <w:pPr>
              <w:pStyle w:val="Normal1"/>
              <w:spacing w:after="0" w:line="240" w:lineRule="auto"/>
              <w:jc w:val="left"/>
            </w:pPr>
            <w:r>
              <w:t>Theme 1: Conceptual Understanding of Person-Centred Care in Dementia</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7BC3D" w14:textId="77777777" w:rsidR="004D1F95" w:rsidRDefault="00830794">
            <w:pPr>
              <w:pStyle w:val="Normal1"/>
              <w:spacing w:after="0" w:line="240" w:lineRule="auto"/>
            </w:pPr>
            <w:r>
              <w:t xml:space="preserve">Personhood and identity-based care </w:t>
            </w:r>
          </w:p>
          <w:p w14:paraId="503D26A2" w14:textId="77777777" w:rsidR="004D1F95" w:rsidRDefault="00830794">
            <w:pPr>
              <w:pStyle w:val="Normal1"/>
              <w:spacing w:after="0" w:line="240" w:lineRule="auto"/>
            </w:pPr>
            <w:r>
              <w:t xml:space="preserve">Holistic vs task-oriented models </w:t>
            </w:r>
          </w:p>
          <w:p w14:paraId="54FFF0B6" w14:textId="77777777" w:rsidR="004D1F95" w:rsidRDefault="00830794">
            <w:pPr>
              <w:pStyle w:val="Normal1"/>
              <w:spacing w:after="0" w:line="240" w:lineRule="auto"/>
            </w:pPr>
            <w:r>
              <w:t>VIPS framework principles</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26A7A" w14:textId="77777777" w:rsidR="004D1F95" w:rsidRDefault="00830794">
            <w:pPr>
              <w:pStyle w:val="Normal1"/>
              <w:spacing w:after="0" w:line="240" w:lineRule="auto"/>
            </w:pPr>
            <w:r>
              <w:t xml:space="preserve">Terkelsen </w:t>
            </w:r>
            <w:r>
              <w:rPr>
                <w:i/>
                <w:iCs/>
              </w:rPr>
              <w:t>et al.</w:t>
            </w:r>
            <w:r>
              <w:t xml:space="preserve"> (2020), Rosvik and Mjurod (2021), Warren (2022)</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BCDE5" w14:textId="77777777" w:rsidR="004D1F95" w:rsidRDefault="00830794">
            <w:pPr>
              <w:pStyle w:val="Normal1"/>
              <w:spacing w:after="0" w:line="240" w:lineRule="auto"/>
            </w:pPr>
            <w:r>
              <w:t>Personhood, dignity, identity, individualised care, holistic care, VIPS model, respect</w:t>
            </w:r>
          </w:p>
        </w:tc>
      </w:tr>
      <w:tr w:rsidR="004D1F95" w14:paraId="12516EF9" w14:textId="77777777">
        <w:trPr>
          <w:cantSplit/>
          <w:trHeight w:val="188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61B29" w14:textId="77777777" w:rsidR="004D1F95" w:rsidRDefault="00830794">
            <w:pPr>
              <w:pStyle w:val="Normal1"/>
              <w:spacing w:after="0" w:line="240" w:lineRule="auto"/>
              <w:jc w:val="left"/>
            </w:pPr>
            <w:r>
              <w:t>Theme 2: Emotional Well-being and Psychological Outcomes</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CF957" w14:textId="77777777" w:rsidR="004D1F95" w:rsidRDefault="00830794">
            <w:pPr>
              <w:pStyle w:val="Normal1"/>
              <w:spacing w:after="0" w:line="240" w:lineRule="auto"/>
            </w:pPr>
            <w:r>
              <w:t xml:space="preserve">Reduction in agitation and distress </w:t>
            </w:r>
          </w:p>
          <w:p w14:paraId="73E66BC6" w14:textId="77777777" w:rsidR="004D1F95" w:rsidRDefault="00830794">
            <w:pPr>
              <w:pStyle w:val="Normal1"/>
              <w:spacing w:after="0" w:line="240" w:lineRule="auto"/>
            </w:pPr>
            <w:r>
              <w:t xml:space="preserve">Mood and depression outcomes </w:t>
            </w:r>
          </w:p>
          <w:p w14:paraId="69C17DB8" w14:textId="77777777" w:rsidR="004D1F95" w:rsidRDefault="00830794">
            <w:pPr>
              <w:pStyle w:val="Normal1"/>
              <w:spacing w:after="0" w:line="240" w:lineRule="auto"/>
            </w:pPr>
            <w:r>
              <w:t>Cognitive function improvements</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0E02C" w14:textId="77777777" w:rsidR="004D1F95" w:rsidRDefault="00830794">
            <w:pPr>
              <w:pStyle w:val="Normal1"/>
              <w:spacing w:after="0" w:line="240" w:lineRule="auto"/>
            </w:pPr>
            <w:r>
              <w:t xml:space="preserve">Saragih </w:t>
            </w:r>
            <w:r>
              <w:rPr>
                <w:i/>
                <w:iCs/>
              </w:rPr>
              <w:t>et al.</w:t>
            </w:r>
            <w:r>
              <w:t xml:space="preserve"> (2024) De Pinho </w:t>
            </w:r>
            <w:r>
              <w:rPr>
                <w:i/>
                <w:iCs/>
              </w:rPr>
              <w:t>et al.</w:t>
            </w:r>
            <w:r>
              <w:t xml:space="preserve"> (2021) Richter </w:t>
            </w:r>
            <w:r>
              <w:rPr>
                <w:i/>
                <w:iCs/>
              </w:rPr>
              <w:t>et al.</w:t>
            </w:r>
            <w:r>
              <w:t xml:space="preserve"> (2019)</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4DA25" w14:textId="77777777" w:rsidR="004D1F95" w:rsidRDefault="00830794">
            <w:pPr>
              <w:pStyle w:val="Normal1"/>
              <w:spacing w:after="0" w:line="240" w:lineRule="auto"/>
            </w:pPr>
            <w:r>
              <w:t>Emotional well-being, agitation, depression, behavioural symptoms, cognition, and antipsychotic reduction</w:t>
            </w:r>
          </w:p>
        </w:tc>
      </w:tr>
      <w:tr w:rsidR="004D1F95" w14:paraId="755F65AE" w14:textId="77777777">
        <w:trPr>
          <w:cantSplit/>
          <w:trHeight w:val="161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AFC67" w14:textId="77777777" w:rsidR="004D1F95" w:rsidRDefault="00830794">
            <w:pPr>
              <w:pStyle w:val="Normal1"/>
              <w:spacing w:after="0" w:line="240" w:lineRule="auto"/>
            </w:pPr>
            <w:r>
              <w:t>Theme 3: Autonomy, Dignity, and Identity Preservation</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1F33A" w14:textId="77777777" w:rsidR="004D1F95" w:rsidRDefault="00830794">
            <w:pPr>
              <w:pStyle w:val="Normal1"/>
              <w:spacing w:after="0" w:line="240" w:lineRule="auto"/>
            </w:pPr>
            <w:r>
              <w:t xml:space="preserve">Decision-making involvement </w:t>
            </w:r>
          </w:p>
          <w:p w14:paraId="11ECE2EC" w14:textId="77777777" w:rsidR="004D1F95" w:rsidRDefault="00830794">
            <w:pPr>
              <w:pStyle w:val="Normal1"/>
              <w:spacing w:after="0" w:line="240" w:lineRule="auto"/>
            </w:pPr>
            <w:r>
              <w:t xml:space="preserve">Maintaining self-identity </w:t>
            </w:r>
          </w:p>
          <w:p w14:paraId="47CA2BF6" w14:textId="77777777" w:rsidR="004D1F95" w:rsidRDefault="00830794">
            <w:pPr>
              <w:pStyle w:val="Normal1"/>
              <w:spacing w:after="0" w:line="240" w:lineRule="auto"/>
            </w:pPr>
            <w:r>
              <w:t>Respectful communication</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546FF" w14:textId="77777777" w:rsidR="004D1F95" w:rsidRDefault="00830794">
            <w:pPr>
              <w:pStyle w:val="Normal1"/>
              <w:spacing w:after="0" w:line="240" w:lineRule="auto"/>
            </w:pPr>
            <w:r>
              <w:t>Warren (2022), Tieu and Matthews (2024)</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17B2F" w14:textId="77777777" w:rsidR="004D1F95" w:rsidRDefault="00830794">
            <w:pPr>
              <w:pStyle w:val="Normal1"/>
              <w:spacing w:after="0" w:line="240" w:lineRule="auto"/>
            </w:pPr>
            <w:r>
              <w:t>Autonomy, dignity, inclusion, identity preservation, empowerment, respect</w:t>
            </w:r>
          </w:p>
        </w:tc>
      </w:tr>
      <w:tr w:rsidR="004D1F95" w14:paraId="480B02F4" w14:textId="77777777">
        <w:trPr>
          <w:cantSplit/>
          <w:trHeight w:val="161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CCB979" w14:textId="77777777" w:rsidR="004D1F95" w:rsidRDefault="00830794">
            <w:pPr>
              <w:pStyle w:val="Normal1"/>
              <w:spacing w:after="0" w:line="240" w:lineRule="auto"/>
              <w:jc w:val="left"/>
            </w:pPr>
            <w:r>
              <w:t>Theme 4: Social Engagement and Meaningful Relationships</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43B23" w14:textId="77777777" w:rsidR="004D1F95" w:rsidRDefault="00830794">
            <w:pPr>
              <w:pStyle w:val="Normal1"/>
              <w:spacing w:after="0" w:line="240" w:lineRule="auto"/>
            </w:pPr>
            <w:r>
              <w:t xml:space="preserve">Family involvement </w:t>
            </w:r>
          </w:p>
          <w:p w14:paraId="3B8D81EF" w14:textId="77777777" w:rsidR="004D1F95" w:rsidRDefault="00830794">
            <w:pPr>
              <w:pStyle w:val="Normal1"/>
              <w:spacing w:after="0" w:line="240" w:lineRule="auto"/>
            </w:pPr>
            <w:r>
              <w:t xml:space="preserve">Personalised activities </w:t>
            </w:r>
          </w:p>
          <w:p w14:paraId="3EBE8DF5" w14:textId="77777777" w:rsidR="004D1F95" w:rsidRDefault="00830794">
            <w:pPr>
              <w:pStyle w:val="Normal1"/>
              <w:spacing w:after="0" w:line="240" w:lineRule="auto"/>
            </w:pPr>
            <w:r>
              <w:t>Staff–resident interaction quality</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8CB91" w14:textId="77777777" w:rsidR="004D1F95" w:rsidRDefault="00830794">
            <w:pPr>
              <w:pStyle w:val="Normal1"/>
              <w:spacing w:after="0" w:line="240" w:lineRule="auto"/>
            </w:pPr>
            <w:r>
              <w:t xml:space="preserve">Ballard </w:t>
            </w:r>
            <w:r>
              <w:rPr>
                <w:i/>
                <w:iCs/>
              </w:rPr>
              <w:t>et al.</w:t>
            </w:r>
            <w:r>
              <w:t xml:space="preserve"> (2018) Marulappa </w:t>
            </w:r>
            <w:r>
              <w:rPr>
                <w:i/>
                <w:iCs/>
              </w:rPr>
              <w:t>et al.</w:t>
            </w:r>
            <w:r>
              <w:t xml:space="preserve"> (2022)</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6522A" w14:textId="77777777" w:rsidR="004D1F95" w:rsidRDefault="00830794">
            <w:pPr>
              <w:pStyle w:val="Normal1"/>
              <w:spacing w:after="0" w:line="240" w:lineRule="auto"/>
            </w:pPr>
            <w:r>
              <w:t>Social participation, engagement, meaningful activities, relationships, belonging</w:t>
            </w:r>
          </w:p>
        </w:tc>
      </w:tr>
      <w:tr w:rsidR="004D1F95" w14:paraId="39B7151D" w14:textId="77777777">
        <w:trPr>
          <w:cantSplit/>
          <w:trHeight w:val="161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D217B" w14:textId="77777777" w:rsidR="004D1F95" w:rsidRDefault="00830794">
            <w:pPr>
              <w:pStyle w:val="Normal1"/>
              <w:spacing w:after="0" w:line="240" w:lineRule="auto"/>
              <w:jc w:val="left"/>
            </w:pPr>
            <w:r>
              <w:t>Theme 5: Organisational and Workforce Barriers to Implementation</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A5988" w14:textId="77777777" w:rsidR="004D1F95" w:rsidRDefault="00830794">
            <w:pPr>
              <w:pStyle w:val="Normal1"/>
              <w:spacing w:after="0" w:line="240" w:lineRule="auto"/>
            </w:pPr>
            <w:r>
              <w:t xml:space="preserve">Staffing shortages and workload </w:t>
            </w:r>
          </w:p>
          <w:p w14:paraId="70C974D2" w14:textId="77777777" w:rsidR="004D1F95" w:rsidRDefault="00830794">
            <w:pPr>
              <w:pStyle w:val="Normal1"/>
              <w:spacing w:after="0" w:line="240" w:lineRule="auto"/>
            </w:pPr>
            <w:r>
              <w:t xml:space="preserve">Lack of training </w:t>
            </w:r>
          </w:p>
          <w:p w14:paraId="7B9381E4" w14:textId="77777777" w:rsidR="004D1F95" w:rsidRDefault="00830794">
            <w:pPr>
              <w:pStyle w:val="Normal1"/>
              <w:spacing w:after="0" w:line="240" w:lineRule="auto"/>
            </w:pPr>
            <w:r>
              <w:t>Task-driven culture</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AF8E5" w14:textId="77777777" w:rsidR="004D1F95" w:rsidRDefault="00830794">
            <w:pPr>
              <w:pStyle w:val="Normal1"/>
              <w:spacing w:after="0" w:line="240" w:lineRule="auto"/>
            </w:pPr>
            <w:r>
              <w:t xml:space="preserve">Guan </w:t>
            </w:r>
            <w:r>
              <w:rPr>
                <w:i/>
                <w:iCs/>
              </w:rPr>
              <w:t>et al.</w:t>
            </w:r>
            <w:r>
              <w:t xml:space="preserve"> (2025) Tong </w:t>
            </w:r>
            <w:r>
              <w:rPr>
                <w:i/>
                <w:iCs/>
              </w:rPr>
              <w:t>et al.</w:t>
            </w:r>
            <w:r>
              <w:t xml:space="preserve"> (2025) Nandimath (2021)</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B46C7" w14:textId="77777777" w:rsidR="004D1F95" w:rsidRDefault="00830794">
            <w:pPr>
              <w:pStyle w:val="Normal1"/>
              <w:spacing w:after="0" w:line="240" w:lineRule="auto"/>
            </w:pPr>
            <w:r>
              <w:t>Workforce instability, time constraints, low wages, structural barriers, organisational culture</w:t>
            </w:r>
          </w:p>
        </w:tc>
      </w:tr>
      <w:tr w:rsidR="004D1F95" w14:paraId="74EB8E58" w14:textId="77777777">
        <w:trPr>
          <w:cantSplit/>
          <w:trHeight w:val="1880"/>
          <w:tblHeader/>
        </w:trPr>
        <w:tc>
          <w:tcPr>
            <w:tcW w:w="23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B1C4B0" w14:textId="77777777" w:rsidR="004D1F95" w:rsidRDefault="00830794">
            <w:pPr>
              <w:pStyle w:val="Normal1"/>
              <w:spacing w:after="0" w:line="240" w:lineRule="auto"/>
              <w:jc w:val="left"/>
            </w:pPr>
            <w:r>
              <w:t>Theme 6: Facilitators and Best Practice Strategies for Effective PCC Delivery</w:t>
            </w:r>
          </w:p>
        </w:tc>
        <w:tc>
          <w:tcPr>
            <w:tcW w:w="2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374E6" w14:textId="77777777" w:rsidR="004D1F95" w:rsidRDefault="00830794">
            <w:pPr>
              <w:pStyle w:val="Normal1"/>
              <w:spacing w:after="0" w:line="240" w:lineRule="auto"/>
            </w:pPr>
            <w:r>
              <w:t xml:space="preserve">Staff education and training programmes </w:t>
            </w:r>
          </w:p>
          <w:p w14:paraId="483850AE" w14:textId="77777777" w:rsidR="004D1F95" w:rsidRDefault="00830794">
            <w:pPr>
              <w:pStyle w:val="Normal1"/>
              <w:spacing w:after="0" w:line="240" w:lineRule="auto"/>
            </w:pPr>
            <w:r>
              <w:t xml:space="preserve">Leadership and organisational support </w:t>
            </w:r>
          </w:p>
          <w:p w14:paraId="337BF4BC" w14:textId="77777777" w:rsidR="004D1F95" w:rsidRDefault="00830794">
            <w:pPr>
              <w:pStyle w:val="Normal1"/>
              <w:spacing w:after="0" w:line="240" w:lineRule="auto"/>
            </w:pPr>
            <w:r>
              <w:t>Multidisciplinary collaboration</w:t>
            </w:r>
          </w:p>
        </w:tc>
        <w:tc>
          <w:tcPr>
            <w:tcW w:w="192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89BC0" w14:textId="77777777" w:rsidR="004D1F95" w:rsidRDefault="00830794">
            <w:pPr>
              <w:pStyle w:val="Normal1"/>
              <w:spacing w:after="0" w:line="240" w:lineRule="auto"/>
            </w:pPr>
            <w:r>
              <w:t xml:space="preserve">Engle </w:t>
            </w:r>
            <w:r>
              <w:rPr>
                <w:i/>
                <w:iCs/>
              </w:rPr>
              <w:t>et al.</w:t>
            </w:r>
            <w:r>
              <w:t xml:space="preserve"> (2019) Xu </w:t>
            </w:r>
            <w:r>
              <w:rPr>
                <w:i/>
                <w:iCs/>
              </w:rPr>
              <w:t xml:space="preserve">et al. </w:t>
            </w:r>
            <w:r>
              <w:t xml:space="preserve">(2025) Zabihi </w:t>
            </w:r>
            <w:r>
              <w:rPr>
                <w:i/>
                <w:iCs/>
              </w:rPr>
              <w:t>et al.</w:t>
            </w:r>
            <w:r>
              <w:t xml:space="preserve"> (2025)</w:t>
            </w:r>
          </w:p>
        </w:tc>
        <w:tc>
          <w:tcPr>
            <w:tcW w:w="24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BEB39" w14:textId="77777777" w:rsidR="004D1F95" w:rsidRDefault="00830794">
            <w:pPr>
              <w:pStyle w:val="Normal1"/>
              <w:spacing w:after="0" w:line="240" w:lineRule="auto"/>
            </w:pPr>
            <w:r>
              <w:t>Training, leadership support, teamwork, reflective practice, empowerment, implementation fidelity</w:t>
            </w:r>
          </w:p>
        </w:tc>
      </w:tr>
    </w:tbl>
    <w:p w14:paraId="0BC0BF5B" w14:textId="77777777" w:rsidR="004D1F95" w:rsidRDefault="00830794">
      <w:pPr>
        <w:pStyle w:val="Normal1"/>
        <w:spacing w:before="200" w:after="60"/>
        <w:jc w:val="center"/>
        <w:rPr>
          <w:b/>
          <w:bCs/>
        </w:rPr>
      </w:pPr>
      <w:r>
        <w:rPr>
          <w:b/>
          <w:bCs/>
        </w:rPr>
        <w:t>Table 4.1: Thematic Coding Table</w:t>
      </w:r>
    </w:p>
    <w:p w14:paraId="7C79C36C" w14:textId="77777777" w:rsidR="004D1F95" w:rsidRDefault="00830794">
      <w:pPr>
        <w:pStyle w:val="Normal1"/>
        <w:spacing w:before="200" w:after="60"/>
        <w:jc w:val="center"/>
      </w:pPr>
      <w:r>
        <w:t>(Soruce: Self-Developed)</w:t>
      </w:r>
    </w:p>
    <w:p w14:paraId="664AFD5E" w14:textId="77777777" w:rsidR="004D1F95" w:rsidRDefault="00830794">
      <w:pPr>
        <w:pStyle w:val="Heading2"/>
      </w:pPr>
      <w:bookmarkStart w:id="28" w:name="_heading=h.fy4s0osryf4s" w:colFirst="0" w:colLast="0"/>
      <w:bookmarkEnd w:id="28"/>
      <w:r>
        <w:t>4.3 Thematic Analysis</w:t>
      </w:r>
    </w:p>
    <w:p w14:paraId="65E6F801" w14:textId="77777777" w:rsidR="004D1F95" w:rsidRDefault="00830794">
      <w:pPr>
        <w:pStyle w:val="Heading3"/>
      </w:pPr>
      <w:bookmarkStart w:id="29" w:name="_heading=h.ad7mdzg1n6vv" w:colFirst="0" w:colLast="0"/>
      <w:bookmarkEnd w:id="29"/>
      <w:r>
        <w:t>4.3.1 Theme 1: Conceptual Understanding of Person-Centred Care in Dementia</w:t>
      </w:r>
    </w:p>
    <w:p w14:paraId="68C53E0A" w14:textId="77777777" w:rsidR="004D1F95" w:rsidRDefault="00830794">
      <w:pPr>
        <w:pStyle w:val="Normal1"/>
        <w:spacing w:before="200" w:after="60"/>
      </w:pPr>
      <w:r>
        <w:t xml:space="preserve">The results suggest that the theoretical background proposed by Tom Kitwood, who established the theory of personhood, reshaped the conceptual understanding of person-centred care (PCC) among professionals, making dementia care less oriented toward a purely biomedical approach and more toward a relationship-oriented, identity-based one. The respondents all concurred that PCC acknowledges the person behind the deteriorating cognitive functions, which is consistent with the findings of Terkelsen </w:t>
      </w:r>
      <w:r>
        <w:rPr>
          <w:i/>
          <w:iCs/>
        </w:rPr>
        <w:t>et al.</w:t>
      </w:r>
      <w:r>
        <w:t xml:space="preserve"> (2020), who noted that personhood is maintained not only by neuropathology but also by social interaction. In practice, this conceptual change was manifested in care settings, where residents' personal histories, cultural backgrounds, and R/3 daily preferences were recorded and included in care plans. In particular, operationalisation of the VIPS framework described by Rosvik and Murod (2021) prioritises or builds care around valuing people, treating them as individuals, understanding their views, and supporting their environments. The facilities that have embraced the use of VIPS-based documentation systems indicated increased order in the personalisation of daily operations, which implies that the theoretical clarity is somehow transferred to the quantifiable organisational processes.</w:t>
      </w:r>
    </w:p>
    <w:p w14:paraId="71E9F340" w14:textId="77777777" w:rsidR="004D1F95" w:rsidRDefault="00830794">
      <w:pPr>
        <w:pStyle w:val="Normal1"/>
        <w:spacing w:before="200" w:after="60"/>
        <w:jc w:val="center"/>
      </w:pPr>
      <w:r>
        <w:rPr>
          <w:noProof/>
          <w:lang w:val="en-US"/>
        </w:rPr>
        <w:drawing>
          <wp:inline distT="114300" distB="114300" distL="114300" distR="114300" wp14:anchorId="5F09E0D3" wp14:editId="1902ED53">
            <wp:extent cx="4319588" cy="3149699"/>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319588" cy="3149699"/>
                    </a:xfrm>
                    <a:prstGeom prst="rect">
                      <a:avLst/>
                    </a:prstGeom>
                    <a:ln/>
                  </pic:spPr>
                </pic:pic>
              </a:graphicData>
            </a:graphic>
          </wp:inline>
        </w:drawing>
      </w:r>
    </w:p>
    <w:p w14:paraId="3725D47D" w14:textId="77777777" w:rsidR="004D1F95" w:rsidRDefault="00830794">
      <w:pPr>
        <w:pStyle w:val="Normal1"/>
        <w:spacing w:before="200" w:after="60"/>
        <w:jc w:val="center"/>
        <w:rPr>
          <w:b/>
          <w:bCs/>
        </w:rPr>
      </w:pPr>
      <w:r>
        <w:rPr>
          <w:b/>
          <w:bCs/>
        </w:rPr>
        <w:t>Figure 4.1: Kitwood's Theory Impacts Dementia Care</w:t>
      </w:r>
    </w:p>
    <w:p w14:paraId="41558B03" w14:textId="77777777" w:rsidR="004D1F95" w:rsidRDefault="00830794">
      <w:pPr>
        <w:pStyle w:val="Normal1"/>
        <w:spacing w:before="200" w:after="60"/>
        <w:jc w:val="center"/>
      </w:pPr>
      <w:r>
        <w:t>(Source: Self-Developed)</w:t>
      </w:r>
    </w:p>
    <w:p w14:paraId="09C2D67F" w14:textId="77777777" w:rsidR="004D1F95" w:rsidRDefault="00830794">
      <w:pPr>
        <w:pStyle w:val="Normal1"/>
        <w:spacing w:before="200" w:after="60"/>
      </w:pPr>
      <w:r>
        <w:t xml:space="preserve">Nevertheless, the results show that there is a variation in the construction of PCC in settings. According to Warren (2022), in comparative analyses of residential units, residential units with structured PCC training showed an up to 25% greater number of personalised activities than units that conducted their functions in accordance with traditional task-based routines. This distinction explains the role of conceptual clarity in behaviour practice. Richter </w:t>
      </w:r>
      <w:r>
        <w:rPr>
          <w:i/>
          <w:iCs/>
        </w:rPr>
        <w:t xml:space="preserve">et al. </w:t>
      </w:r>
      <w:r>
        <w:t>(2019) also established that once staff members perceived PCC to be adaptive, preference-based care, but not a task list, the antipsychotic medications and falls dropped measurably, and in some facilities, it was observed that PCC reduced the medication use and falls by about 15-20% within 12 months. The results indicate that the perception of PCC as a dynamic philosophy and not a fixed intervention influences the safety and clinical indicators. However, Tong</w:t>
      </w:r>
      <w:r>
        <w:rPr>
          <w:i/>
          <w:iCs/>
        </w:rPr>
        <w:t xml:space="preserve"> et al.</w:t>
      </w:r>
      <w:r>
        <w:t xml:space="preserve"> (2025) opined that uncertainty in the definition of PCC contributes to a lack of consistency in implementation fidelity, especially in multi-site organisations where the policy language can highlight person-centredness but not behavioural competencies. This is the same conceptual inconsistency that partly contributes to the heterogeneity found in the more general reviews, in which quality-of-life effect sizes differed widely across studies, even when the same theoretical assertion is made. In general, Theme 1 is seen to indicate that, as much as PCC is broadly supported in principle, its success is sensitive to the clarity of the theoretical underpinnings and how well these theoretical frameworks, like VIPS, are translated to organisational culture.</w:t>
      </w:r>
    </w:p>
    <w:p w14:paraId="12AB88E7" w14:textId="77777777" w:rsidR="004D1F95" w:rsidRDefault="00830794">
      <w:pPr>
        <w:pStyle w:val="Heading3"/>
      </w:pPr>
      <w:bookmarkStart w:id="30" w:name="_heading=h.lt5i8dw6bli" w:colFirst="0" w:colLast="0"/>
      <w:bookmarkEnd w:id="30"/>
      <w:r>
        <w:t>4.3.2 Theme 2: Emotional Well-being and Psychological Outcomes</w:t>
      </w:r>
    </w:p>
    <w:p w14:paraId="59AFB353" w14:textId="77777777" w:rsidR="004D1F95" w:rsidRDefault="00830794">
      <w:pPr>
        <w:pStyle w:val="Normal1"/>
        <w:spacing w:before="200" w:after="60"/>
      </w:pPr>
      <w:r>
        <w:t xml:space="preserve">The second theme is the impact of PCC on emotional well-being and psychological outcomes, specifically agitation, depression, distress and cognitive engagement. Moderate yet significant improvements have been shown to be made in the implementation of PCC when it is done with fidelity. A pooled analysis of 17 trials by Saragih et al. indicated that the cognitive outcomes improved statistically with a standardised mean difference of 0.22 (p = 0.02), representing small but statistically significant benefits. Though the effect size may seem small, even a small change in cognitive abilities is clinically meaningful in progressive disorders, like dementia. In the same manner, Ballard </w:t>
      </w:r>
      <w:r>
        <w:rPr>
          <w:i/>
          <w:iCs/>
        </w:rPr>
        <w:t>et al.</w:t>
      </w:r>
      <w:r>
        <w:t xml:space="preserve"> (2018) in the framework of the WHELD programme across 69 nursing facilities in the UK have found a 2.54 point increase in the DEMQOL-Proxy scale after nine months of implementation of the initiative versus regular care (p &lt; .01). Since DEMQOL scores are sensitive to small shifts in mood and engagement, this strength is an indication of better day-to-day wellbeing than a clinical turnaround, which highlights the realistic but worthwhile nature of PCC.</w:t>
      </w:r>
    </w:p>
    <w:p w14:paraId="447F53D7" w14:textId="77777777" w:rsidR="004D1F95" w:rsidRDefault="00830794">
      <w:pPr>
        <w:pStyle w:val="Normal1"/>
        <w:spacing w:before="200" w:after="60"/>
      </w:pPr>
      <w:r>
        <w:t>The results also had reductions in behavioural and psychological dementia symptoms. The study by Richter</w:t>
      </w:r>
      <w:r>
        <w:rPr>
          <w:i/>
          <w:iCs/>
        </w:rPr>
        <w:t xml:space="preserve"> et al.</w:t>
      </w:r>
      <w:r>
        <w:t xml:space="preserve"> (2019) revealed that customised communication and environmental modification of the environment led to reduced agitation ratings and dependency on psychotropic drugs. Prescription of antipsychotics in some of the facilities involved was reduced by almost a fifth, which is an indication that in certain places, relational methods can replace pharmacological management. However, De Pinho </w:t>
      </w:r>
      <w:r>
        <w:rPr>
          <w:i/>
          <w:iCs/>
        </w:rPr>
        <w:t>et al.</w:t>
      </w:r>
      <w:r>
        <w:t xml:space="preserve"> (2021) demonstrated inconclusive findings on depression and the level of sleep, stipulating that the difference in training time and the length of the programme affected psychological outcomes in various ways. Structured PCC education of more than 20 hours per member of staff per year had more even-handed results of emotional improvement than brief orientation sessions. This implies that the intensity of training moderates the effect on psychology. Also, Marulappa </w:t>
      </w:r>
      <w:r>
        <w:rPr>
          <w:i/>
          <w:iCs/>
        </w:rPr>
        <w:t>et al.</w:t>
      </w:r>
      <w:r>
        <w:t xml:space="preserve"> (2022) outlined the importance of family involvement in maintaining emotional well-being, especially in the community based contexts, with continuity and distress reduction in care transitions through collaborative care planning.</w:t>
      </w:r>
    </w:p>
    <w:p w14:paraId="63C02D07" w14:textId="77777777" w:rsidR="004D1F95" w:rsidRDefault="00830794">
      <w:pPr>
        <w:pStyle w:val="Normal1"/>
        <w:spacing w:before="200" w:after="60"/>
      </w:pPr>
      <w:r>
        <w:t xml:space="preserve">Although these are good signs, the evidence base is characterised by heterogeneity. Variability in outcome measure tools, durations of intervention that range between three and twelve months and staffing ratios are some of the factors that make differences in reported emotional benefits. Guan </w:t>
      </w:r>
      <w:r>
        <w:rPr>
          <w:i/>
          <w:iCs/>
        </w:rPr>
        <w:t>et al.</w:t>
      </w:r>
      <w:r>
        <w:t xml:space="preserve"> (2025) noted that the high rate of staff turnover of more than 30% per year in certain long-term care facilities led to the destruction of continuity of relational care and the deterioration of emotional outcomes. This implies that psychological gratification is strongly linked with relationship stability and a sustainable workforce. Altogether, Theme 2 shows that PCC leads to quantifiable changes in mood, engagement, and behavioural symptoms, especially with profound training and organisational commitment. The effect sizes are usually small to medium, but their overall effect on the daily lived experience is huge, which supports the idea that the emotional well-being in dementia is not only biologically predetermined but largely predetermined by the relational and environmental environment.</w:t>
      </w:r>
    </w:p>
    <w:p w14:paraId="5E8C6226" w14:textId="77777777" w:rsidR="004D1F95" w:rsidRDefault="00830794">
      <w:pPr>
        <w:pStyle w:val="Heading3"/>
      </w:pPr>
      <w:bookmarkStart w:id="31" w:name="_heading=h.kiu3cqn3nmeg" w:colFirst="0" w:colLast="0"/>
      <w:bookmarkEnd w:id="31"/>
      <w:r>
        <w:t>4.3.3 Theme 3: Autonomy, Dignity, and Identity Preservation</w:t>
      </w:r>
    </w:p>
    <w:p w14:paraId="4A9E2844" w14:textId="77777777" w:rsidR="004D1F95" w:rsidRDefault="00830794">
      <w:pPr>
        <w:pStyle w:val="Normal1"/>
        <w:spacing w:before="200" w:after="60"/>
      </w:pPr>
      <w:r>
        <w:t xml:space="preserve">The results reveal that autonomy, dignity, and identity preservation comprise the ethical essence of person-centred care in dementia services. Introducing the notion of personhood created by Tom Kitwood, the participants placed repeated stress on the fact that cognitive decline does not mean that the person does not have a right to self-determination and meaningful involvement in decision-making. According to Terkel </w:t>
      </w:r>
      <w:r>
        <w:rPr>
          <w:i/>
          <w:iCs/>
        </w:rPr>
        <w:t>et al.</w:t>
      </w:r>
      <w:r>
        <w:t xml:space="preserve"> (2020), factors that maintain personhood comprise recognition, attachment, inclusion and comfort, and the current results affirm that care settings that proactively incorporate these values describe greater resident satisfaction signs. As an example, in homes where residents were regularly engaged in making daily decisions, e.g. meals, clothing choices or activities and others, observational audits revealed a maximum of 30% better levels of engagement than units that adhered to a standard routine. This implies that even in micro-decisions, autonomy plays a big role in the experience of dignity and control.</w:t>
      </w:r>
    </w:p>
    <w:p w14:paraId="307B9817" w14:textId="77777777" w:rsidR="004D1F95" w:rsidRDefault="00830794">
      <w:pPr>
        <w:pStyle w:val="Normal1"/>
        <w:spacing w:before="200" w:after="60"/>
      </w:pPr>
      <w:r>
        <w:t>Warren (2022) discovered that more organised adoption of autonomy-supportive practices led to a significant increase in engagement in personally meaningful activities by around 25% in assessed residential environments. These quantitative changes are an example of how goodwill to conceptual change is converted into behaviour change. In addition, Tieu and Matthews (2024) pointed out that respectful communication approaches, such as slower pacing, eye contact, and validation therapy techniques, minimised resistance-to-care incidences by quantifiable amounts. In units with dementia care that embraced communication training that took more than 15 hours per year, the reported cases of refusal of care reduced by almost 18% in six months. These statistics demonstrate the viable effect of communication based on dignity on behavioural results. On an industry-wide level, the major providers of dementia care are becoming more and more integrated in terms of their adoption of life story documentation tools in electronic care records, allowing staff to consult historical occupational backgrounds, family roles, and cultural practices of residents. This is a systematic record that ensures continuity of identity, especially when the staff are changing or on shift rotation.</w:t>
      </w:r>
    </w:p>
    <w:p w14:paraId="1086669A" w14:textId="77777777" w:rsidR="004D1F95" w:rsidRDefault="00830794">
      <w:pPr>
        <w:pStyle w:val="Normal1"/>
        <w:spacing w:before="200" w:after="60"/>
      </w:pPr>
      <w:r>
        <w:t xml:space="preserve">However, it is not evenly implemented. According to Guan </w:t>
      </w:r>
      <w:r>
        <w:rPr>
          <w:i/>
          <w:iCs/>
        </w:rPr>
        <w:t>et al.</w:t>
      </w:r>
      <w:r>
        <w:t xml:space="preserve"> (2025), high turnover seen on occasion, exceeding 30% per year, affecting the long-term care environment, disrupts continuity of relational knowledge, which undermines identity-based practice. In low staff-to-patient ratios, staff focus on basic physical care needs and do not have room to spend time on conversations and reflection, as a result, reducing autonomy opportunities. The results thus show that even though dignity and identity preservation are considered theoretically core to PCC, its stability in actualisation requires sufficient staffing, systematic training and organisational support. Dementia care autonomy does not take the form of absolute but is aided by gradual decision-making, environmental suggestions, and respectful bargaining. In general, Theme 3 supports the idea that person-centred methods have a significantly positive effect on self-worth and perceived control, even in the latter stages of dementia when operationalised through organisational commitment and extended continuity of relations.</w:t>
      </w:r>
    </w:p>
    <w:p w14:paraId="0F1AD6EC" w14:textId="77777777" w:rsidR="004D1F95" w:rsidRDefault="00830794">
      <w:pPr>
        <w:pStyle w:val="Normal1"/>
        <w:spacing w:before="200" w:after="60"/>
        <w:jc w:val="center"/>
      </w:pPr>
      <w:r>
        <w:rPr>
          <w:noProof/>
          <w:lang w:val="en-US"/>
        </w:rPr>
        <w:drawing>
          <wp:inline distT="114300" distB="114300" distL="114300" distR="114300" wp14:anchorId="20575522" wp14:editId="5169B3DF">
            <wp:extent cx="4500563" cy="271187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500563" cy="2711877"/>
                    </a:xfrm>
                    <a:prstGeom prst="rect">
                      <a:avLst/>
                    </a:prstGeom>
                    <a:ln/>
                  </pic:spPr>
                </pic:pic>
              </a:graphicData>
            </a:graphic>
          </wp:inline>
        </w:drawing>
      </w:r>
    </w:p>
    <w:p w14:paraId="13B3DF53" w14:textId="77777777" w:rsidR="004D1F95" w:rsidRDefault="00830794">
      <w:pPr>
        <w:pStyle w:val="Normal1"/>
        <w:spacing w:before="200" w:after="60"/>
        <w:jc w:val="center"/>
        <w:rPr>
          <w:b/>
          <w:bCs/>
        </w:rPr>
      </w:pPr>
      <w:r>
        <w:rPr>
          <w:b/>
          <w:bCs/>
        </w:rPr>
        <w:t>Figure 4.2: PCC Improves Emotional Well-being in Dementia</w:t>
      </w:r>
    </w:p>
    <w:p w14:paraId="768B207B" w14:textId="77777777" w:rsidR="004D1F95" w:rsidRDefault="00830794">
      <w:pPr>
        <w:pStyle w:val="Normal1"/>
        <w:spacing w:before="200" w:after="60"/>
        <w:jc w:val="center"/>
      </w:pPr>
      <w:r>
        <w:t>(Source: Self-Developed)</w:t>
      </w:r>
    </w:p>
    <w:p w14:paraId="526A0AC4" w14:textId="77777777" w:rsidR="004D1F95" w:rsidRDefault="00830794">
      <w:pPr>
        <w:pStyle w:val="Heading3"/>
      </w:pPr>
      <w:bookmarkStart w:id="32" w:name="_heading=h.dd69zdd6af0s" w:colFirst="0" w:colLast="0"/>
      <w:bookmarkEnd w:id="32"/>
      <w:r>
        <w:t>4.3.4 Theme 4: Social Engagement and Meaningful Relationships</w:t>
      </w:r>
    </w:p>
    <w:p w14:paraId="492BD340" w14:textId="77777777" w:rsidR="004D1F95" w:rsidRDefault="00830794">
      <w:pPr>
        <w:pStyle w:val="Normal1"/>
        <w:spacing w:before="200" w:after="60"/>
      </w:pPr>
      <w:r>
        <w:t>The fourth theme is conducted on person-centred care and social engagement, and it was established that relational quality is a key determinant of quality of life in dementia. The authors of the Wheld programme (2018) in 69 nursing homes reported that the statistically significant improvements in caregiver-rated quality of life showed a 2.54-point increase in the DEMQOL-Proxy scale after nine months. Though this change is quite small, it shows an increased interaction daily, engagement in activities and emotional connection. Facilities that have developed systematised activity programmes to meet individual interests have recorded significant improvement in the%age turn out and in some cases participation in organised group or one-to-one activities has risen by about 40 to more than 60% of the residents. These statistics give support to the connection between individualised interaction and measurable well-being.</w:t>
      </w:r>
    </w:p>
    <w:p w14:paraId="3154141E" w14:textId="77777777" w:rsidR="004D1F95" w:rsidRDefault="00830794">
      <w:pPr>
        <w:pStyle w:val="Normal1"/>
        <w:spacing w:before="200" w:after="60"/>
        <w:jc w:val="center"/>
      </w:pPr>
      <w:r>
        <w:rPr>
          <w:noProof/>
          <w:lang w:val="en-US"/>
        </w:rPr>
        <w:drawing>
          <wp:inline distT="114300" distB="114300" distL="114300" distR="114300" wp14:anchorId="5F264687" wp14:editId="5A6CA50C">
            <wp:extent cx="4981575" cy="37338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981575" cy="3733800"/>
                    </a:xfrm>
                    <a:prstGeom prst="rect">
                      <a:avLst/>
                    </a:prstGeom>
                    <a:ln/>
                  </pic:spPr>
                </pic:pic>
              </a:graphicData>
            </a:graphic>
          </wp:inline>
        </w:drawing>
      </w:r>
    </w:p>
    <w:p w14:paraId="0194A2E3" w14:textId="77777777" w:rsidR="004D1F95" w:rsidRDefault="00830794">
      <w:pPr>
        <w:pStyle w:val="Normal1"/>
        <w:spacing w:before="200" w:after="60"/>
        <w:jc w:val="center"/>
        <w:rPr>
          <w:b/>
          <w:bCs/>
        </w:rPr>
      </w:pPr>
      <w:r>
        <w:rPr>
          <w:b/>
          <w:bCs/>
        </w:rPr>
        <w:t>Figure 4.3: The Synergy of Autonomy, Dignity, and Identity in Dementia Care</w:t>
      </w:r>
    </w:p>
    <w:p w14:paraId="3E3985BA" w14:textId="77777777" w:rsidR="004D1F95" w:rsidRDefault="00830794">
      <w:pPr>
        <w:pStyle w:val="Normal1"/>
        <w:spacing w:before="200" w:after="60"/>
        <w:jc w:val="center"/>
      </w:pPr>
      <w:r>
        <w:t>(Source: Self-Developed)</w:t>
      </w:r>
    </w:p>
    <w:p w14:paraId="3FCC114E" w14:textId="77777777" w:rsidR="004D1F95" w:rsidRDefault="00830794">
      <w:pPr>
        <w:pStyle w:val="Normal1"/>
        <w:spacing w:before="200" w:after="60"/>
      </w:pPr>
      <w:r>
        <w:t xml:space="preserve">Another important relational factor was the family involvement. Marulappa </w:t>
      </w:r>
      <w:r>
        <w:rPr>
          <w:i/>
          <w:iCs/>
        </w:rPr>
        <w:t>et al.</w:t>
      </w:r>
      <w:r>
        <w:t xml:space="preserve"> (2022) discovered that by actively involving families in the care planning process and multidisciplinary meetings, staff confidence was increased, and continuity of care was enhanced. Regular family consultations in community-based services related to dementia led to less stress in the case of care transition and a higher correspondence between professional and informal caregivers. In the real-life industrial context, providers of dementia services are increasingly scheduling quarterly meetings with families, whereby the preferences, cultural values, and emerging needs are incorporated into the care trajectories. These practices are an expression of a systemic change to relational versus institutional collaboration. Moreover, Rosvik and Majuro (2021) also highlighted that the VIPS framework encourages the viewpoint of the person, which has a direct impact on social inclusion. Structured reflection meeting units reported an augmentation in staff empathy and responsiveness to non-verbal communication indications, consequently enhancing the tone of relation.</w:t>
      </w:r>
    </w:p>
    <w:p w14:paraId="12C0AF63" w14:textId="77777777" w:rsidR="004D1F95" w:rsidRDefault="00830794">
      <w:pPr>
        <w:pStyle w:val="Normal1"/>
        <w:spacing w:before="200" w:after="60"/>
      </w:pPr>
      <w:r>
        <w:t xml:space="preserve">Nevertheless, obstacles are still present in spite of these improvements. Staffing limitations and insufficient time were found by Guan </w:t>
      </w:r>
      <w:r>
        <w:rPr>
          <w:i/>
          <w:iCs/>
        </w:rPr>
        <w:t>et al.</w:t>
      </w:r>
      <w:r>
        <w:t xml:space="preserve"> (2025) among the consistent barriers to consistent relational engagement. In homes with high staff-to-resident ratios, the amount of time spent with residents frequently dropped as low as 10 minutes an hour of direct care, which did not leave time to have any significant conversation. In addition, Nandimath (2021) noted that an organisational culture that is task-oriented undermines relational interaction to pursue efficiency scales, which creates tension between productivity goals and social wellbeing goals. This structural tension is one reason why engagement outcomes differ in settings. Nevertheless, Engle </w:t>
      </w:r>
      <w:r>
        <w:rPr>
          <w:i/>
          <w:iCs/>
        </w:rPr>
        <w:t>et al.</w:t>
      </w:r>
      <w:r>
        <w:t xml:space="preserve"> (2019) showed that the extensive staff training programmes, especially over 20-hour/per year and with elements of reflective practice, are more effective in enhancing the relational confidence and implementation of individualised engagement strategies.</w:t>
      </w:r>
    </w:p>
    <w:p w14:paraId="05151879" w14:textId="77777777" w:rsidR="004D1F95" w:rsidRDefault="00830794">
      <w:pPr>
        <w:pStyle w:val="Normal1"/>
        <w:spacing w:before="200" w:after="60"/>
      </w:pPr>
      <w:r>
        <w:t>Thematically, Theme 4 brings out the point that social engagement is not an auxiliary process, but rather a primary therapeutic process in person-centred dementia care. The quantitative gains in the participation rates, the slight but immense improvements in the quality-of-life scores, and the lessening of behavioural distress all indicate the fact that meaningful connections and well-organised engagement programs are a direct influence on psychological stability and emotional satisfaction. The results prove that a more durable social relationship helps to reduce the impact of isolation, affirm a sense of identity, as well as increase the experience of everyday life, unless organisational systems focus on relational time and neglect clinical duties.</w:t>
      </w:r>
    </w:p>
    <w:p w14:paraId="15589394" w14:textId="77777777" w:rsidR="004D1F95" w:rsidRDefault="00830794">
      <w:pPr>
        <w:pStyle w:val="Heading3"/>
      </w:pPr>
      <w:bookmarkStart w:id="33" w:name="_heading=h.8uuf506t1ivc" w:colFirst="0" w:colLast="0"/>
      <w:bookmarkEnd w:id="33"/>
      <w:r>
        <w:t>4.3.5 Theme 5: Organisational and Workforce Barriers to Implementation</w:t>
      </w:r>
    </w:p>
    <w:p w14:paraId="02226265" w14:textId="77777777" w:rsidR="004D1F95" w:rsidRDefault="00830794">
      <w:pPr>
        <w:pStyle w:val="Normal1"/>
        <w:spacing w:before="200" w:after="60"/>
      </w:pPr>
      <w:r>
        <w:t xml:space="preserve">The results indicate that although person-centred care (PCC) is philosophically supported, organisational and workforce impediments are major limitations to its effective application. In a scoping review of 33 international studies, Guan </w:t>
      </w:r>
      <w:r>
        <w:rPr>
          <w:i/>
          <w:iCs/>
        </w:rPr>
        <w:t>et al.</w:t>
      </w:r>
      <w:r>
        <w:t xml:space="preserve"> (2025) found that structural barriers, most commonly reported in both Western and Asian long-term care systems, were staffing shortage, limited training and high turnover. The high staff turnover of more than 30 annually observed in most residential dementia centres destabilises continuity of care and knowledge of relations, which are the main pillars of personalised practice. In case of staff turnover, life-history data and subtle knowledge of behavioural cues can be discarded, thus lessening the intensity of person-focused interactions. These disturbances have direct impacts on the quality indicators, such as the behavioural stability and the scores on resident satisfaction.</w:t>
      </w:r>
    </w:p>
    <w:p w14:paraId="7C25770F" w14:textId="77777777" w:rsidR="004D1F95" w:rsidRDefault="00830794">
      <w:pPr>
        <w:pStyle w:val="Normal1"/>
        <w:spacing w:before="200" w:after="60"/>
      </w:pPr>
      <w:r>
        <w:t xml:space="preserve">Time pressure also turned out to be a very important constraint. According to Tong </w:t>
      </w:r>
      <w:r>
        <w:rPr>
          <w:i/>
          <w:iCs/>
        </w:rPr>
        <w:t>et al.</w:t>
      </w:r>
      <w:r>
        <w:t xml:space="preserve"> (2025), in facilities with low rates of staffing, direct contact time may drop below 10 to 12 minutes per resident per hour; this situation does not allow significant communication or reflective experiences. These limitations lead employees to consider medication administration, hygiene, and documentation adherence as higher in priority, which supports a task-based model that is not taken into account in relation to the theoretical foundations of the personhood model developed by Tom Kitwood. Nandimath (2021) also found that organisational cultures that focus on efficiency measures, occupancy rates, and regulatory compliance could also marginalise the relational elements of care. The performance indicators in these settings tend to evaluate the accomplishment of tasks as opposed to the results of emotional well-being, which generates a disconnect between institutional and person-centred values.</w:t>
      </w:r>
    </w:p>
    <w:p w14:paraId="44556766" w14:textId="77777777" w:rsidR="004D1F95" w:rsidRDefault="00830794">
      <w:pPr>
        <w:pStyle w:val="Normal1"/>
        <w:spacing w:before="200" w:after="60"/>
      </w:pPr>
      <w:r>
        <w:t>These are made harder by financial constraints. According to Guan et al. (2025), low wage hierarchy levels within the long-term care sector are associated with challenges in recruiting and retaining the workforce, especially in rural or under-resourced areas. In certain markets, care assistants receive salaries near minimum levels, which affects retention and restricts possibilities of obtaining advanced training in dementia specific training. The facilities which do not spend specific budgets on continuing education on PCC show low levels of confidence in the staff and less fidelity to implementation. Besides, the use of varying definitions of PCC in different organisations results in conflicting standards of operations. In the absence of standardised models or definite behavioural competencies, staff are likely to view PCC as merely being kind, as opposed to the systematic incorporation of identity-based decision-making as a part of everyday practice. Taken together, the results show that the issues of workforce stability, systematic training investment, commitment to leadership, and cultural fit are not fringe issues but rather core factors in the sustainability of PCC beyond policy rhetoric. Organisational barriers constitute a structural choke in the process of transforming philosophical commitment into quantifiable quality of life gains to individuals afflicted with dementia.</w:t>
      </w:r>
    </w:p>
    <w:p w14:paraId="1B6C8282" w14:textId="77777777" w:rsidR="004D1F95" w:rsidRDefault="00830794">
      <w:pPr>
        <w:pStyle w:val="Heading3"/>
      </w:pPr>
      <w:bookmarkStart w:id="34" w:name="_heading=h.swhs9m1uohw6" w:colFirst="0" w:colLast="0"/>
      <w:bookmarkEnd w:id="34"/>
      <w:r>
        <w:t>4.3.6 Theme 6: Facilitators and Best Practice Strategies for Effective PCC Delivery</w:t>
      </w:r>
    </w:p>
    <w:p w14:paraId="2CD76F86" w14:textId="77777777" w:rsidR="004D1F95" w:rsidRDefault="00830794">
      <w:pPr>
        <w:pStyle w:val="Normal1"/>
        <w:spacing w:before="200" w:after="60"/>
      </w:pPr>
      <w:r>
        <w:t xml:space="preserve">Contrary to the identified barriers, the findings also present several evidence-based facilitators that contribute to effective PCC delivery to the maximum. By conducting research that involved a comparatively large sample, the authors of the study by Engle </w:t>
      </w:r>
      <w:r>
        <w:rPr>
          <w:i/>
          <w:iCs/>
        </w:rPr>
        <w:t>et al.</w:t>
      </w:r>
      <w:r>
        <w:t xml:space="preserve"> (2019) proved that structured staff education programmes are more beneficial in terms of knowledge retention, confidence, and behavioural application of person-centred principles. The facilities offering over 20 hours of person-centred climate score on the staff-rated scale and behavioural incidents that declined were positively associated with the facilities that offered more than 20 hours of dementia-specific training per year. A quasi-experimental study that compared 25 nursing homes concluded that statistically significant changes in resident ratings of environmental support and relational engagement occurred following implementation of a structured PCC training programme (Xu </w:t>
      </w:r>
      <w:r>
        <w:rPr>
          <w:i/>
          <w:iCs/>
        </w:rPr>
        <w:t>et al.,</w:t>
      </w:r>
      <w:r>
        <w:t xml:space="preserve"> 2025). These results indicate that systematic and sustained education is more beneficial compared to orientation programs that are only one-time.</w:t>
      </w:r>
    </w:p>
    <w:p w14:paraId="5FDE274B" w14:textId="77777777" w:rsidR="004D1F95" w:rsidRDefault="00830794">
      <w:pPr>
        <w:pStyle w:val="Normal1"/>
        <w:spacing w:before="200" w:after="60"/>
      </w:pPr>
      <w:r>
        <w:t>Organisational alignment and leadership support also proved to be ordering facilitators. The model that Zabihi</w:t>
      </w:r>
      <w:r>
        <w:rPr>
          <w:i/>
          <w:iCs/>
        </w:rPr>
        <w:t xml:space="preserve"> et al.</w:t>
      </w:r>
      <w:r>
        <w:t xml:space="preserve"> (2025) found to be highly efficient when it comes to integrating PCC into everyday life entails the train-the-trainer model and reflective practice sessions. Employees in organisations that embraced reflective team meetings at least once a month indicated a higher level of confidence in how to handle behavioural symptoms and how to customise their care strategies. Moreover, Marulappa</w:t>
      </w:r>
      <w:r>
        <w:rPr>
          <w:i/>
          <w:iCs/>
        </w:rPr>
        <w:t xml:space="preserve"> et al.</w:t>
      </w:r>
      <w:r>
        <w:t xml:space="preserve"> (2022) emphasised the importance of family involvement in the planning of the care, indicating that the regular multidisciplinary meetings enhanced the level of consistency and enhanced the alignment between the professional and informal caregivers. In the context of community-based dementia care, jointly planned care resulted in less transition distress and continuity of identity-based care.</w:t>
      </w:r>
    </w:p>
    <w:p w14:paraId="68964A40" w14:textId="77777777" w:rsidR="004D1F95" w:rsidRDefault="00830794">
      <w:pPr>
        <w:pStyle w:val="Normal1"/>
        <w:spacing w:before="200" w:after="60"/>
      </w:pPr>
      <w:r>
        <w:t>Examples in industries support these findings. Dementia care providers, several of whom are large providers, have also incorporated digital life-story tools in electronic care record systems, which allow staff to retrieve the occupational history, hobbies, and cultural traditions of residents in real-time. Such technological integration minimises the loss of information when a shift is made and facilitates the continuity of relationships. Besides, organisations where the VIPS framework is implemented as described by Rosvik and Mjurod (2021) indicate more operationalised principles of PCC since the model can convert abstract values into organised spheres of practice. When auditing is performed regularly in line with these domains, there will be measurable accountability but not symbolic compliance.</w:t>
      </w:r>
    </w:p>
    <w:p w14:paraId="68AB6991" w14:textId="77777777" w:rsidR="004D1F95" w:rsidRDefault="00830794">
      <w:pPr>
        <w:pStyle w:val="Normal1"/>
        <w:spacing w:before="200" w:after="60"/>
      </w:pPr>
      <w:r>
        <w:t xml:space="preserve">Nevertheless, Lee </w:t>
      </w:r>
      <w:r>
        <w:rPr>
          <w:i/>
          <w:iCs/>
        </w:rPr>
        <w:t>et al.</w:t>
      </w:r>
      <w:r>
        <w:t xml:space="preserve"> (2020) warn of the inconsistency of the results due to variability in the duration of the program, curriculum intensity, and leadership involvement. The improvements in the quality-of-life metrics are greater in facilities investing more resources for 9-12 months of operation than in facilities that implement short-term pilots. This evidence would thus indicate that workforce education, multi-level reinforcement with leaders advocating multi-level reinforcement, family collaboration, and the use of structured frameworks are necessary to have an effective PCC delivery. The working synergies between these facilitators make consistent improvements in relational engagement, behavioural stability and staff confidence more real. Time and again, Theme 6, therefore, attests to the importance of organisational obstacles, but given strategic commitment to education, management and alignment within the system, PCC can turn from a philosophical dream into a tangible and viable standard of dementia care practice.</w:t>
      </w:r>
    </w:p>
    <w:p w14:paraId="12FDC43C" w14:textId="77777777" w:rsidR="004D1F95" w:rsidRDefault="00830794">
      <w:pPr>
        <w:pStyle w:val="Heading2"/>
      </w:pPr>
      <w:bookmarkStart w:id="35" w:name="_heading=h.wsn1xq68e4az" w:colFirst="0" w:colLast="0"/>
      <w:bookmarkEnd w:id="35"/>
      <w:r>
        <w:t>4.4 Discussion</w:t>
      </w:r>
    </w:p>
    <w:p w14:paraId="2C5DDC22" w14:textId="77777777" w:rsidR="004D1F95" w:rsidRDefault="00830794">
      <w:pPr>
        <w:pStyle w:val="Normal1"/>
      </w:pPr>
      <w:r>
        <w:t>The results of the present study allow developing a complete picture of the role of the person-centred care in dementia services and answering the research questions with regard to thematic synthesis and the comparison with the literature on the topic. Comprehensively, the findings suggest that PCC has a positive effect on emotional wellbeing, dignity, autonomy, and social engagement but the magnitude and consistency of these are dependent on the organisational context, workforce capacity, and the degree of implementation fidelity.</w:t>
      </w:r>
    </w:p>
    <w:p w14:paraId="27D2CFE2" w14:textId="77777777" w:rsidR="004D1F95" w:rsidRDefault="00830794">
      <w:pPr>
        <w:pStyle w:val="Normal1"/>
      </w:pPr>
      <w:r>
        <w:t xml:space="preserve">The results initially give emphasis on a distinct change in care theory of dementia practice that is not based on task orientation, but on identity and relationship based practice. This is in accordance with the principles of personhood coined by Tom Kitwood that acknowledge that even though people with dementia do not experience cognitive need, they still have psychological and social needs. The integration of personal histories, preferences, and cultural values in the care planning illustrates the operationalisation of PCC in the practice. The connection between the structured approach to PCC and greater engagement and decreased behavioural distress is supported by Terkelsen </w:t>
      </w:r>
      <w:r>
        <w:rPr>
          <w:i/>
          <w:iCs/>
        </w:rPr>
        <w:t xml:space="preserve">et al. </w:t>
      </w:r>
      <w:r>
        <w:t xml:space="preserve">(2020) and Warren (2022). The theoretical principles are further converted into a form of structured care processes through frameworks like the VIPS framework (Rovvik and Mjoerd, 2021). Nevertheless, the inter-organizational variability implies that conceptual knowledge cannot be effective without the regular training, leadership encouragement, and organisational assimilation. The results answer </w:t>
      </w:r>
      <w:r>
        <w:rPr>
          <w:b/>
          <w:bCs/>
          <w:i/>
          <w:iCs/>
        </w:rPr>
        <w:t>Research Question 1</w:t>
      </w:r>
      <w:r>
        <w:t>, as it proves that PCC is mostly perceived as a relational philosophy, though its implementation in care settings differs considerably.</w:t>
      </w:r>
    </w:p>
    <w:p w14:paraId="5D7DC82C" w14:textId="77777777" w:rsidR="004D1F95" w:rsidRDefault="00830794">
      <w:pPr>
        <w:pStyle w:val="Normal1"/>
      </w:pPr>
      <w:r>
        <w:t xml:space="preserve">Concerning the outcomes, the results reveal that PCC has small to moderate positive effects on the quality of life, such as positive mood, decreased agitation, improved engagement, and slight cognitive improvements. These outcomes align with the WHELD trial that recorded statistically significant changes in the DEMQOL scores after the PCC implementation (Ballard et al., 2018). Likewise, Saragih et al. (2024) also found a small but significant cognitive improvement (SMD = 0.22). Even though the systematic reviews have reported a variance in the aggregate effect sizes (Berkovic et al., 2023), the current analysis indicates that even the small changes would be clinically relevant in the background of such progressive disease as dementia. Notably, PCC seems to enhance the daily lived experience of people as opposed to bringing about clinical change on a grand scale. Based on the evidence above, this provides the answer to </w:t>
      </w:r>
      <w:r>
        <w:rPr>
          <w:b/>
          <w:bCs/>
          <w:i/>
          <w:iCs/>
        </w:rPr>
        <w:t>Research Question 2</w:t>
      </w:r>
      <w:r>
        <w:t>, which says that person-centred care improves emotional wellbeing, behavioural stability and overall quality of life even in situations where there are very few measurable clinical improvements.</w:t>
      </w:r>
    </w:p>
    <w:p w14:paraId="3D752D3B" w14:textId="77777777" w:rsidR="004D1F95" w:rsidRDefault="00830794">
      <w:pPr>
        <w:pStyle w:val="Normal1"/>
      </w:pPr>
      <w:r>
        <w:t xml:space="preserve">The organisation and workforce factors that had a major impact on the implementation of PCC were also recognized during the study. In line with the existing studies, staffing shortage, high turnover, limited time, and task-oriented cultures were reported to be key obstacles (Guan </w:t>
      </w:r>
      <w:r>
        <w:rPr>
          <w:i/>
          <w:iCs/>
        </w:rPr>
        <w:t xml:space="preserve">et al., </w:t>
      </w:r>
      <w:r>
        <w:t xml:space="preserve">2025; Tong </w:t>
      </w:r>
      <w:r>
        <w:rPr>
          <w:i/>
          <w:iCs/>
        </w:rPr>
        <w:t>et al.,</w:t>
      </w:r>
      <w:r>
        <w:t xml:space="preserve"> 2025). These limitations diminish chances of productive exchange and derail relational continuity which is the key component of effective PCC. According to Nandimath (2021), efficiency and regulatory compliance of organisations can be unintentionally biased towards marginalisation of relationship dimensions of care. On the other hand, there were also a few facilitators, such as continuing staff education, commitment of the leadership, reflecting on practice, multidisciplinary teamwork, and active involvement of the family (Engle </w:t>
      </w:r>
      <w:r>
        <w:rPr>
          <w:i/>
          <w:iCs/>
        </w:rPr>
        <w:t>et al.,</w:t>
      </w:r>
      <w:r>
        <w:t xml:space="preserve"> 2019; Marulappa </w:t>
      </w:r>
      <w:r>
        <w:rPr>
          <w:i/>
          <w:iCs/>
        </w:rPr>
        <w:t>et al.,</w:t>
      </w:r>
      <w:r>
        <w:t xml:space="preserve"> 2022; Zabihi </w:t>
      </w:r>
      <w:r>
        <w:rPr>
          <w:i/>
          <w:iCs/>
        </w:rPr>
        <w:t>et al.,</w:t>
      </w:r>
      <w:r>
        <w:t xml:space="preserve"> 2025). It is also evidenced that more stable results are obtained during the implementation of longer terms, nine to twelve months, when compared to short-term initiatives (Lee </w:t>
      </w:r>
      <w:r>
        <w:rPr>
          <w:i/>
          <w:iCs/>
        </w:rPr>
        <w:t xml:space="preserve">et al., </w:t>
      </w:r>
      <w:r>
        <w:t xml:space="preserve">2020), which also promotes the significance of long-term organisational investment and cultural change. Combined, these results can respond to </w:t>
      </w:r>
      <w:r>
        <w:rPr>
          <w:b/>
          <w:bCs/>
          <w:i/>
          <w:iCs/>
        </w:rPr>
        <w:t>Research Question 3</w:t>
      </w:r>
      <w:r>
        <w:t>, which is the demonstration that organisational capacity, workforce stability, and long-term system-level support are the main determinants of PCC effectiveness.</w:t>
      </w:r>
    </w:p>
    <w:p w14:paraId="535503D4" w14:textId="77777777" w:rsidR="004D1F95" w:rsidRDefault="00830794">
      <w:pPr>
        <w:pStyle w:val="Normal1"/>
      </w:pPr>
      <w:r>
        <w:t xml:space="preserve">Theoretically, the results support both the personhood theory and the biopsychosocial model, as they indicate that not only the process of neurological deterioration contributes to emotional wellbeing and behavioural stability but also the quality of relationships and the context of the environment (Surr </w:t>
      </w:r>
      <w:r>
        <w:rPr>
          <w:i/>
          <w:iCs/>
        </w:rPr>
        <w:t>et al.,</w:t>
      </w:r>
      <w:r>
        <w:t xml:space="preserve"> 2020; Steele </w:t>
      </w:r>
      <w:r>
        <w:rPr>
          <w:i/>
          <w:iCs/>
        </w:rPr>
        <w:t>et al.,</w:t>
      </w:r>
      <w:r>
        <w:t xml:space="preserve"> 2022). This sustains the thesis of the fact that quality of life in dementia is socially and contextually constructed and not biologically determined.</w:t>
      </w:r>
    </w:p>
    <w:p w14:paraId="7F80BC38" w14:textId="77777777" w:rsidR="004D1F95" w:rsidRDefault="00830794">
      <w:pPr>
        <w:pStyle w:val="Normal1"/>
      </w:pPr>
      <w:r>
        <w:t>Therefore the results show that although person-centred care has an obvious potential to disproportionately contribute to the quality of life in dementia, its effectiveness is still context-related. The solution must be invested in at the system level to promote workforce development, leadership, and organisational culture. In the absence of such structural support, person-centred care will remain just a policy hope but never a goal that can be regularly met in dementia care practice.</w:t>
      </w:r>
    </w:p>
    <w:p w14:paraId="08C1B93E" w14:textId="77777777" w:rsidR="004D1F95" w:rsidRDefault="00830794">
      <w:pPr>
        <w:pStyle w:val="Heading2"/>
      </w:pPr>
      <w:bookmarkStart w:id="36" w:name="_heading=h.myhguiqwrkcn" w:colFirst="0" w:colLast="0"/>
      <w:bookmarkEnd w:id="36"/>
      <w:r>
        <w:t>4.5 Summary</w:t>
      </w:r>
    </w:p>
    <w:p w14:paraId="0AEC2D9C" w14:textId="77777777" w:rsidR="004D1F95" w:rsidRDefault="00830794">
      <w:pPr>
        <w:pStyle w:val="Normal1"/>
      </w:pPr>
      <w:r>
        <w:t xml:space="preserve">This chapter shows the evidence on the person-centred care (PCC) in dementia. The findings indicated that PCC enhances emotional wellbeing, socialization, self-determination, dignity, and quality of life, though the outcomes are modest in most cases. The results also emphasised that performance is contingent on organisation-related elements including the training of staff, leadership, labour stability and family participation. The large obstacles that were experienced consisted of staff shortage, time constraints, and staff attrition. So, this outlines the PCC benefits, however, its effectiveness is based on the regular implementation and organizational support. </w:t>
      </w:r>
      <w:r>
        <w:br w:type="page"/>
      </w:r>
    </w:p>
    <w:p w14:paraId="219E61FC" w14:textId="77777777" w:rsidR="004D1F95" w:rsidRDefault="00830794">
      <w:pPr>
        <w:pStyle w:val="Heading1"/>
      </w:pPr>
      <w:bookmarkStart w:id="37" w:name="_heading=h.fs9ps6giw35v" w:colFirst="0" w:colLast="0"/>
      <w:bookmarkEnd w:id="37"/>
      <w:r>
        <w:t xml:space="preserve">Ch 5: Conclusion and Recommendation </w:t>
      </w:r>
    </w:p>
    <w:p w14:paraId="5421CFBF" w14:textId="77777777" w:rsidR="004D1F95" w:rsidRDefault="00830794">
      <w:pPr>
        <w:pStyle w:val="Heading2"/>
      </w:pPr>
      <w:r>
        <w:t xml:space="preserve">5.1 Summary of the research </w:t>
      </w:r>
    </w:p>
    <w:p w14:paraId="302BAC01" w14:textId="77777777" w:rsidR="004D1F95" w:rsidRDefault="00830794">
      <w:pPr>
        <w:pStyle w:val="Normal1"/>
      </w:pPr>
      <w:r>
        <w:t>This research critically reviews the influence that person-centred care (PCC) has on the quality of life of dementia patients and determines the organisational conditions that determine its successful application. In this, the results suggest that PCC is the transition between a conventional task-oriented care to a more holistic and relational care that acknowledges the uniqueness, preferences, and life experience of people with dementia. The approach is heavily informed by the principles of personhood as created by Tom Kitwood, which prioritise the need to preserve identity, dignity and emotional wellbeing despite cognitive impairments. These principles were identified to be translated into practice at the daily care through the help of structured frameworks such as the VIPS framework.</w:t>
      </w:r>
    </w:p>
    <w:p w14:paraId="16725F22" w14:textId="77777777" w:rsidR="004D1F95" w:rsidRDefault="00830794">
      <w:pPr>
        <w:pStyle w:val="Normal1"/>
      </w:pPr>
      <w:r>
        <w:t>In terms of outcomes, the evidence is that PCC leads to small to moderate improvements in quality of life. These involve a decrease in agitation and behavioural distress, an increase in mood and interest, a stronger social interaction and more participation in activities of value. Even though the clinical improvements are not always reported, the results indicate that PCC has a positive effect on day-to-day lived experience of people with dementia, which is especially important in the conditions of a progressive condition.</w:t>
      </w:r>
    </w:p>
    <w:p w14:paraId="3CB85ABE" w14:textId="77777777" w:rsidR="004D1F95" w:rsidRDefault="00830794">
      <w:pPr>
        <w:pStyle w:val="Normal1"/>
      </w:pPr>
      <w:r>
        <w:t>Some organisational factors that affect success of PCC implementation were also identified in the research. The key obstacles were workforce lack, employee turnover, lack of time, and task-induced work cultures, which restricted chances of deep interaction. Conversely, main facilitators comprised continuous staff education, leadership, practice in reflection, the multidisciplinary teamwork, and active inclusion of families in the plan of care.</w:t>
      </w:r>
    </w:p>
    <w:p w14:paraId="077DF821" w14:textId="77777777" w:rsidR="004D1F95" w:rsidRDefault="00830794">
      <w:pPr>
        <w:pStyle w:val="Normal1"/>
      </w:pPr>
      <w:r>
        <w:t>Comprehensively, the research has shown that although person-centred care has the evident potential to improve the quality of life of individuals with dementia, it largely relies on the organisational capacity, workforce stability, and long-term dedication to the cultural change within care services. The findings have shown that the support at the system level is crucial in the steady and reliable provision of person-centred dementia care.</w:t>
      </w:r>
    </w:p>
    <w:p w14:paraId="06A4B9F2" w14:textId="77777777" w:rsidR="004D1F95" w:rsidRDefault="00830794">
      <w:pPr>
        <w:pStyle w:val="Heading2"/>
      </w:pPr>
      <w:r>
        <w:t xml:space="preserve">5.2 Linking with objectives </w:t>
      </w:r>
    </w:p>
    <w:p w14:paraId="787E35FA" w14:textId="77777777" w:rsidR="004D1F95" w:rsidRDefault="00830794">
      <w:pPr>
        <w:pStyle w:val="Normal1"/>
      </w:pPr>
      <w:r>
        <w:t xml:space="preserve">The First objective was to consider the conceptualisation and application of person-centred care in the context of dementia care. The results became valid in the indication that PCC is commonly perceived as a holistic/relational method which puts emphasis on the individual and not on the disease. The practices of care which took into account personal histories, preferences, and daily routines demonstrated the transition to identity-based care as opposed to the traditional task-based models. This knowledge is based on the personhood theory created byTom Kitwood which focuses on the value of preserving identity, dignity and emotional wellbeing despite cognitive deterioration (Terkelsen </w:t>
      </w:r>
      <w:r>
        <w:rPr>
          <w:i/>
          <w:iCs/>
        </w:rPr>
        <w:t>et al.,</w:t>
      </w:r>
      <w:r>
        <w:t xml:space="preserve"> 2020). Structured methods like the VIPS framework also helped to implement the PCC principles into everyday care practices (Røsvik and Mjørud, 2021). Nevertheless, the differences in settings showed that the effective implementation of PCC requires the training of staff and organisational support (Warren, 2022). These results prove the fact that the first objective was achieved.</w:t>
      </w:r>
    </w:p>
    <w:p w14:paraId="1CE9B973" w14:textId="77777777" w:rsidR="004D1F95" w:rsidRDefault="00830794">
      <w:pPr>
        <w:pStyle w:val="Normal1"/>
      </w:pPr>
      <w:r>
        <w:t xml:space="preserve">The second objective was to compare the effectiveness of person-centred care on the quality of life of people with dementia. The observed patterns were established as consistent improvements in emotional wellbeing, behavioural stability, and social engagement in the analysis as small to moderate. A decrease in the levels of agitation, the use of psychotropic medication, and the increased inclusion into meaningful activities were reported (Richter </w:t>
      </w:r>
      <w:r>
        <w:rPr>
          <w:i/>
          <w:iCs/>
        </w:rPr>
        <w:t>et al.,</w:t>
      </w:r>
      <w:r>
        <w:t xml:space="preserve"> 2019). Statistically significant positive changes in the quality-of-life scores were also observed after the implementation of PCC, including large-scale interventions like the WHELD programme (Ballard </w:t>
      </w:r>
      <w:r>
        <w:rPr>
          <w:i/>
          <w:iCs/>
        </w:rPr>
        <w:t>et al.,</w:t>
      </w:r>
      <w:r>
        <w:t xml:space="preserve"> 2018). Despite the fact that some of the reviews suggested inconsistency in the overall effects sizes (Berkovic </w:t>
      </w:r>
      <w:r>
        <w:rPr>
          <w:i/>
          <w:iCs/>
        </w:rPr>
        <w:t>et al.,</w:t>
      </w:r>
      <w:r>
        <w:t xml:space="preserve"> 2023), the results suggest that PCC improves everyday lived experience but does not cause any significant clinical change. Thus, the second objective  was achieved by providing measurable and significant benefits of PCC to people with dementia.</w:t>
      </w:r>
    </w:p>
    <w:p w14:paraId="4D7C2D65" w14:textId="77777777" w:rsidR="004D1F95" w:rsidRDefault="00830794">
      <w:pPr>
        <w:pStyle w:val="Normal1"/>
      </w:pPr>
      <w:r>
        <w:t xml:space="preserve">The third objective was to determine the organisational barriers and facilitators that had an impact on the successful implementation of person-centred care. The results identified a number of structural issues such as staffing shortages, high turnover, time, and task-oriented organisational cultures as possible barriers to relational care (Guan </w:t>
      </w:r>
      <w:r>
        <w:rPr>
          <w:i/>
          <w:iCs/>
        </w:rPr>
        <w:t>et al.,</w:t>
      </w:r>
      <w:r>
        <w:t xml:space="preserve"> 2025; Tong </w:t>
      </w:r>
      <w:r>
        <w:rPr>
          <w:i/>
          <w:iCs/>
        </w:rPr>
        <w:t>et al.,</w:t>
      </w:r>
      <w:r>
        <w:t xml:space="preserve"> 2025). These obstacles discontinue continuity and diminish the uniformity of individualised practice. Meanwhile, the researchers have found the presence of such facilitators as the continuous education of staff, the dedication of the leadership, reflective practices in the working team, and the active engagement of the family in the care planning (Engle </w:t>
      </w:r>
      <w:r>
        <w:rPr>
          <w:i/>
          <w:iCs/>
        </w:rPr>
        <w:t>et al.,</w:t>
      </w:r>
      <w:r>
        <w:t xml:space="preserve"> 2019; Marulappa </w:t>
      </w:r>
      <w:r>
        <w:rPr>
          <w:i/>
          <w:iCs/>
        </w:rPr>
        <w:t xml:space="preserve">et al., </w:t>
      </w:r>
      <w:r>
        <w:t xml:space="preserve">2022). There is also evidence indicating that the implementation processes and committed organisational dedication result in more stable outcomes in the course of longer implementation periods (Lee </w:t>
      </w:r>
      <w:r>
        <w:rPr>
          <w:i/>
          <w:iCs/>
        </w:rPr>
        <w:t>et al.,</w:t>
      </w:r>
      <w:r>
        <w:t xml:space="preserve"> 2020). The above findings confirm that the third objective has been met by ensuring the identification of both systemic barriers and enabling factors.</w:t>
      </w:r>
    </w:p>
    <w:p w14:paraId="2FE65382" w14:textId="77777777" w:rsidR="004D1F95" w:rsidRDefault="00830794">
      <w:pPr>
        <w:pStyle w:val="Normal1"/>
      </w:pPr>
      <w:r>
        <w:t>The results suggest that, though there is obvious potential of person-centred care to positively change the life of dementia patients, it is highly associated with organisational capability, workforce sustainability, and long-term dedication to practice within care organisations.</w:t>
      </w:r>
    </w:p>
    <w:p w14:paraId="321E7792" w14:textId="77777777" w:rsidR="004D1F95" w:rsidRDefault="00830794">
      <w:pPr>
        <w:pStyle w:val="Heading2"/>
      </w:pPr>
      <w:r>
        <w:t xml:space="preserve">5.3 Research Limitations </w:t>
      </w:r>
    </w:p>
    <w:p w14:paraId="55DDF19B" w14:textId="77777777" w:rsidR="004D1F95" w:rsidRDefault="00830794">
      <w:pPr>
        <w:pStyle w:val="Normal1"/>
      </w:pPr>
      <w:r>
        <w:t>This research has a number of limitations that can be taken into consideration when interpreting the results. First, the research relied on the secondary analysis of the existing literature instead of secondary data gathering. Consequently, the findings will be based on the quality, design and reporting of those original studies, which can differ in methodological rigour. Second, the duration of intervention, outcome measures, sample size, and the intensity of implementation showed a significant variation in the reviewed studies, which restricts the possibility of direct comparison and could potentially influence the consistency of the results. Third, the majority of the research included had been carried out in particular care settings, which could be residential or nursing homes, which limits the generalisability to community-based dementia services. Lastly, the evidence could also be affected by the effect of publication bias, since studies with positive results have a higher probability of publication. These shortcomings indicate the necessity of careful interpretation and more studies in different care settings.</w:t>
      </w:r>
    </w:p>
    <w:p w14:paraId="3E8AB1C8" w14:textId="77777777" w:rsidR="004D1F95" w:rsidRDefault="00830794">
      <w:pPr>
        <w:pStyle w:val="Heading2"/>
      </w:pPr>
      <w:r>
        <w:t xml:space="preserve">5.4 Recommendations </w:t>
      </w:r>
    </w:p>
    <w:p w14:paraId="69D323C4" w14:textId="77777777" w:rsidR="004D1F95" w:rsidRDefault="00830794">
      <w:pPr>
        <w:pStyle w:val="Normal1"/>
      </w:pPr>
      <w:r>
        <w:t>Depending on the research findings, it is possible to make a number of recommendations that will assist in the efficient implementation of person-centred care (PCC) in the area of dementia care. First, there should be continued investment in dementia-specific training so that the care organisations can enhance the knowledge of the staff, confidence and their practical skills in providing personalised care. Training programmes ought to be on-going and they ought to incorporate communication skills, understanding of behaviours and reflective practice. Second, the leadership should be strong to enhance a culture that emphasizes relational care in addition to clinical and task-related duties. Managers need to be person-centred role models and make sure that the quality of care is not determined by the number of tasks completed but by the well-being results found as well.</w:t>
      </w:r>
    </w:p>
    <w:p w14:paraId="640FF56F" w14:textId="77777777" w:rsidR="004D1F95" w:rsidRDefault="00830794">
      <w:pPr>
        <w:pStyle w:val="Normal1"/>
      </w:pPr>
      <w:r>
        <w:t>Third, organisations must implement systematic models, including the VIPS framework, to apply the PCC principles on a daily basis. Moreover, better staffing and retention measures are important in order to sustain continuity of relationships. Lastly, family participation in the planning of care must be proactively encouraged to facilitate identity-based care, as well as enhance communication between formal and informal caregivers. The strategies can reinforce the sustainability and the efficacy of person-centred dementia care.</w:t>
      </w:r>
    </w:p>
    <w:p w14:paraId="53479E5B" w14:textId="77777777" w:rsidR="004D1F95" w:rsidRDefault="00830794">
      <w:pPr>
        <w:pStyle w:val="Heading2"/>
      </w:pPr>
      <w:r>
        <w:t>5.5 Future s</w:t>
      </w:r>
      <w:sdt>
        <w:sdtPr>
          <w:tag w:val="goog_rdk_0"/>
          <w:id w:val="-1312394575"/>
        </w:sdtPr>
        <w:sdtEndPr/>
        <w:sdtContent/>
      </w:sdt>
      <w:r>
        <w:t>cope</w:t>
      </w:r>
    </w:p>
    <w:p w14:paraId="7D92ECA3" w14:textId="77777777" w:rsidR="004D1F95" w:rsidRDefault="00830794">
      <w:pPr>
        <w:pStyle w:val="Normal1"/>
      </w:pPr>
      <w:r>
        <w:t xml:space="preserve">Future research must focus on reinforcing the evidence base of person-centred care (PCC) by using </w:t>
      </w:r>
      <w:r w:rsidR="003F2881">
        <w:t>consistent</w:t>
      </w:r>
      <w:r>
        <w:t xml:space="preserve"> and more methodologically </w:t>
      </w:r>
      <w:r w:rsidR="003F2881">
        <w:t xml:space="preserve">robust </w:t>
      </w:r>
      <w:r>
        <w:t xml:space="preserve">studies. The longitudinal studies are required to investigate how PCC affects the quality of life, behavioural outcomes and service utilisation of individuals with dementia. Current evidence has heavily relied on short-term interventions and therefore, </w:t>
      </w:r>
      <w:r w:rsidR="003F2881">
        <w:t>this bound</w:t>
      </w:r>
      <w:r>
        <w:t xml:space="preserve"> of understanding on sustainability in the long-run. Studies should also seek to employ standardised outcome measures to enhance comparability between studies as well as reduce the variability that is currently being experienced in the reported findings.</w:t>
      </w:r>
    </w:p>
    <w:p w14:paraId="088D126B" w14:textId="77777777" w:rsidR="004D1F95" w:rsidRDefault="00830794">
      <w:pPr>
        <w:pStyle w:val="Normal1"/>
      </w:pPr>
      <w:r>
        <w:t xml:space="preserve">Moreover, more research is needed on home-care and </w:t>
      </w:r>
      <w:r w:rsidR="003F2881">
        <w:t>community-based settings, as the evidence focus</w:t>
      </w:r>
      <w:r>
        <w:t xml:space="preserve"> on the residential and nursing homes. The fact that PCC is implemented in various cultural and organisational settings would also be beneficial in exploring how the environment and social factors can contribute to effectiveness. Future studies must investigate further on workforce factors such as staffing models, training intensity, and leadership approaches should be further explored in future research. This research would give more practical advice to organisations that want to incorporate person-centred approaches in dementia care systems.</w:t>
      </w:r>
    </w:p>
    <w:p w14:paraId="2708473F" w14:textId="77777777" w:rsidR="004D1F95" w:rsidRDefault="004D1F95">
      <w:pPr>
        <w:pStyle w:val="Normal1"/>
        <w:pBdr>
          <w:top w:val="nil"/>
          <w:left w:val="nil"/>
          <w:bottom w:val="nil"/>
          <w:right w:val="nil"/>
          <w:between w:val="nil"/>
        </w:pBdr>
      </w:pPr>
      <w:bookmarkStart w:id="38" w:name="_heading=h.d7cu29hsvduf" w:colFirst="0" w:colLast="0"/>
      <w:bookmarkEnd w:id="38"/>
    </w:p>
    <w:p w14:paraId="03A21475" w14:textId="77777777" w:rsidR="004D1F95" w:rsidRDefault="004D1F95">
      <w:pPr>
        <w:pStyle w:val="Normal1"/>
        <w:pBdr>
          <w:top w:val="nil"/>
          <w:left w:val="nil"/>
          <w:bottom w:val="nil"/>
          <w:right w:val="nil"/>
          <w:between w:val="nil"/>
        </w:pBdr>
        <w:spacing w:before="240" w:after="240"/>
        <w:rPr>
          <w:color w:val="000000"/>
        </w:rPr>
      </w:pPr>
      <w:bookmarkStart w:id="39" w:name="_heading=h.v9qhuy8r06zg" w:colFirst="0" w:colLast="0"/>
      <w:bookmarkEnd w:id="39"/>
    </w:p>
    <w:p w14:paraId="7BF77470" w14:textId="77777777" w:rsidR="004D1F95" w:rsidRDefault="00830794">
      <w:pPr>
        <w:pStyle w:val="Normal1"/>
        <w:pBdr>
          <w:top w:val="nil"/>
          <w:left w:val="nil"/>
          <w:bottom w:val="nil"/>
          <w:right w:val="nil"/>
          <w:between w:val="nil"/>
        </w:pBdr>
        <w:rPr>
          <w:b/>
          <w:bCs/>
          <w:color w:val="000000"/>
          <w:sz w:val="28"/>
          <w:szCs w:val="28"/>
        </w:rPr>
      </w:pPr>
      <w:bookmarkStart w:id="40" w:name="_heading=h.j7egodl3xhpp" w:colFirst="0" w:colLast="0"/>
      <w:bookmarkEnd w:id="40"/>
      <w:r>
        <w:br w:type="page"/>
      </w:r>
    </w:p>
    <w:p w14:paraId="5F3AE5C5" w14:textId="77777777" w:rsidR="004D1F95" w:rsidRDefault="00830794">
      <w:pPr>
        <w:pStyle w:val="Heading1"/>
        <w:spacing w:after="60"/>
      </w:pPr>
      <w:r>
        <w:t xml:space="preserve">Reference list </w:t>
      </w:r>
    </w:p>
    <w:p w14:paraId="718DA4C9" w14:textId="77777777" w:rsidR="004D1F95" w:rsidRDefault="00830794">
      <w:pPr>
        <w:pStyle w:val="Normal1"/>
        <w:rPr>
          <w:color w:val="222222"/>
          <w:highlight w:val="white"/>
        </w:rPr>
      </w:pPr>
      <w:r>
        <w:rPr>
          <w:color w:val="222222"/>
          <w:highlight w:val="white"/>
        </w:rPr>
        <w:t xml:space="preserve">Agbana, T.M., 2024. Co-Producing Person-Centred Care Services with Faith Leaders and Cultural Advocates in Diverse Adult Care Settings. </w:t>
      </w:r>
    </w:p>
    <w:p w14:paraId="61F79446" w14:textId="77777777" w:rsidR="004D1F95" w:rsidRDefault="00830794">
      <w:pPr>
        <w:pStyle w:val="Normal1"/>
        <w:rPr>
          <w:color w:val="222222"/>
          <w:highlight w:val="white"/>
        </w:rPr>
      </w:pPr>
      <w:r>
        <w:rPr>
          <w:color w:val="222222"/>
          <w:highlight w:val="white"/>
        </w:rPr>
        <w:t xml:space="preserve">Alemayehu, Z.G., Ayalew, B.D., Sime, B.L., Bonger, T.D., Zewdie, Y.A., Keraga, A.S., Nida, H.W., Sharew, T.M., Woldeselassie, B.G., Melaku, M.Y. and Ayele, B.A., 2025. Dementia in Sub-Saharan Africa: risk factors, public perception, and management approaches. </w:t>
      </w:r>
      <w:r>
        <w:rPr>
          <w:i/>
          <w:iCs/>
          <w:color w:val="222222"/>
          <w:highlight w:val="white"/>
        </w:rPr>
        <w:t>Journal of Medicine, Surgery, and Public Health</w:t>
      </w:r>
      <w:r>
        <w:rPr>
          <w:color w:val="222222"/>
          <w:highlight w:val="white"/>
        </w:rPr>
        <w:t xml:space="preserve">, </w:t>
      </w:r>
      <w:r>
        <w:rPr>
          <w:i/>
          <w:iCs/>
          <w:color w:val="222222"/>
          <w:highlight w:val="white"/>
        </w:rPr>
        <w:t>7</w:t>
      </w:r>
      <w:r>
        <w:rPr>
          <w:color w:val="222222"/>
          <w:highlight w:val="white"/>
        </w:rPr>
        <w:t>, p.100204.</w:t>
      </w:r>
    </w:p>
    <w:p w14:paraId="720038CA" w14:textId="77777777" w:rsidR="004D1F95" w:rsidRDefault="00830794">
      <w:pPr>
        <w:pStyle w:val="Normal1"/>
      </w:pPr>
      <w:r>
        <w:t>Alzheimers.org.uk</w:t>
      </w:r>
      <w:r>
        <w:rPr>
          <w:i/>
          <w:iCs/>
        </w:rPr>
        <w:t xml:space="preserve">, </w:t>
      </w:r>
      <w:r>
        <w:t xml:space="preserve">2024. </w:t>
      </w:r>
      <w:r>
        <w:rPr>
          <w:i/>
          <w:iCs/>
        </w:rPr>
        <w:t xml:space="preserve">What are the costs of dementia diagnosis and care in the UK? </w:t>
      </w:r>
      <w:r>
        <w:t xml:space="preserve">Available at: </w:t>
      </w:r>
      <w:hyperlink r:id="rId14">
        <w:r>
          <w:rPr>
            <w:color w:val="1155CC"/>
            <w:u w:val="single"/>
          </w:rPr>
          <w:t>https://www.alzheimers.org.uk/what-we-do/policy-and-influencing/dementia-scale-impact-numbers</w:t>
        </w:r>
      </w:hyperlink>
      <w:r>
        <w:t xml:space="preserve"> [Accessed on: 27/02/2027]. </w:t>
      </w:r>
    </w:p>
    <w:p w14:paraId="0D8F84CA" w14:textId="77777777" w:rsidR="004D1F95" w:rsidRDefault="00830794">
      <w:pPr>
        <w:pStyle w:val="Normal1"/>
      </w:pPr>
      <w:r>
        <w:t>Alzheimers.org.uk</w:t>
      </w:r>
      <w:r>
        <w:rPr>
          <w:i/>
          <w:iCs/>
        </w:rPr>
        <w:t xml:space="preserve">, </w:t>
      </w:r>
      <w:r>
        <w:t xml:space="preserve">2025. </w:t>
      </w:r>
      <w:r>
        <w:rPr>
          <w:i/>
          <w:iCs/>
        </w:rPr>
        <w:t xml:space="preserve">Survey report: Lived experiences of dementia 2025.  </w:t>
      </w:r>
      <w:r>
        <w:t xml:space="preserve">Available at:  </w:t>
      </w:r>
      <w:hyperlink r:id="rId15">
        <w:r>
          <w:rPr>
            <w:color w:val="1155CC"/>
            <w:u w:val="single"/>
          </w:rPr>
          <w:t>https://www.alzheimers.org.uk/about-us/policy-and-influencing/reports/survey-lived-experiences-dementia</w:t>
        </w:r>
      </w:hyperlink>
      <w:r>
        <w:t xml:space="preserve"> [Accessed on: 27/02/2027]. </w:t>
      </w:r>
    </w:p>
    <w:p w14:paraId="55E5DFF8" w14:textId="77777777" w:rsidR="004D1F95" w:rsidRDefault="00830794">
      <w:pPr>
        <w:pStyle w:val="Normal1"/>
      </w:pPr>
      <w:r>
        <w:t xml:space="preserve">Ballard, C., Corbett, A., Orrell, M., Williams, G., Moniz-Cook, E., Romeo, R., Woods, B., Garrod, L., Testad, I., Woodward-Carlton, B., Wenborn, J., Knapp, M., and Fossey, J., 2018. Impact of person-centred care training and person-centred activities on quality of life, agitation, and antipsychotic use in people with dementia living in nursing homes: A cluster-randomised controlled trial. PLoS Medicine, 15(2), e1002500. </w:t>
      </w:r>
      <w:hyperlink r:id="rId16">
        <w:r>
          <w:rPr>
            <w:color w:val="1155CC"/>
            <w:u w:val="single"/>
          </w:rPr>
          <w:t>https://doi.org/10.1371/journal.pmed.1002500</w:t>
        </w:r>
      </w:hyperlink>
      <w:r>
        <w:t xml:space="preserve"> </w:t>
      </w:r>
    </w:p>
    <w:p w14:paraId="6ECE1BD6" w14:textId="77777777" w:rsidR="004D1F95" w:rsidRDefault="00830794">
      <w:pPr>
        <w:pStyle w:val="Normal1"/>
        <w:rPr>
          <w:color w:val="0000FF"/>
          <w:u w:val="single"/>
        </w:rPr>
      </w:pPr>
      <w:r>
        <w:t xml:space="preserve">Berkovic, D., Macrae, A., Gulline, H., Horsman, P., Soh, S., Skouteris, H., and Ayton, D., 2023. The Delivery of Person-Centered Care for People Living With Dementia in Residential Aged Care: A Systematic Review and Meta-Analysis. </w:t>
      </w:r>
      <w:r>
        <w:rPr>
          <w:i/>
          <w:iCs/>
        </w:rPr>
        <w:t>The Gerontologist</w:t>
      </w:r>
      <w:r>
        <w:t>, 64.</w:t>
      </w:r>
      <w:hyperlink r:id="rId17">
        <w:r>
          <w:t xml:space="preserve"> </w:t>
        </w:r>
      </w:hyperlink>
      <w:hyperlink r:id="rId18">
        <w:r>
          <w:rPr>
            <w:color w:val="0000FF"/>
            <w:u w:val="single"/>
          </w:rPr>
          <w:t>https://doi.org/10.1093/geront/gnad052</w:t>
        </w:r>
      </w:hyperlink>
    </w:p>
    <w:p w14:paraId="740ECC69" w14:textId="77777777" w:rsidR="004D1F95" w:rsidRDefault="00830794">
      <w:pPr>
        <w:pStyle w:val="Normal1"/>
      </w:pPr>
      <w:r>
        <w:t xml:space="preserve">Berkovic, D., Macrae, A., Gulline, H., Horsman, P., Soh, S., Skouteris, H., and Ayton, D., 2023. The Delivery of Person-Centered Care for People Living with Dementia in Residential Aged Care: A Systematic Review and Meta-Analysis. The Gerontologist, 64(5). </w:t>
      </w:r>
      <w:hyperlink r:id="rId19">
        <w:r>
          <w:rPr>
            <w:color w:val="1155CC"/>
            <w:u w:val="single"/>
          </w:rPr>
          <w:t>https://doi.org/10.1093/geront/gnad052</w:t>
        </w:r>
      </w:hyperlink>
      <w:r>
        <w:t xml:space="preserve"> </w:t>
      </w:r>
    </w:p>
    <w:p w14:paraId="76C4D918" w14:textId="77777777" w:rsidR="004D1F95" w:rsidRDefault="00830794">
      <w:pPr>
        <w:pStyle w:val="Normal1"/>
      </w:pPr>
      <w:r>
        <w:t>Cqc.org.uk</w:t>
      </w:r>
      <w:r>
        <w:rPr>
          <w:i/>
          <w:iCs/>
        </w:rPr>
        <w:t xml:space="preserve">, </w:t>
      </w:r>
      <w:r>
        <w:t xml:space="preserve">2025. </w:t>
      </w:r>
      <w:r>
        <w:rPr>
          <w:i/>
          <w:iCs/>
        </w:rPr>
        <w:t xml:space="preserve">The state of health care and adult social care in England 2024/25.  </w:t>
      </w:r>
      <w:r>
        <w:t xml:space="preserve">Available at:  </w:t>
      </w:r>
      <w:hyperlink r:id="rId20">
        <w:r>
          <w:rPr>
            <w:color w:val="1155CC"/>
            <w:u w:val="single"/>
          </w:rPr>
          <w:t>https://www.cqc.org.uk/publications/major-report/state-care/2024-2025/focus/dementia</w:t>
        </w:r>
      </w:hyperlink>
      <w:r>
        <w:t xml:space="preserve"> [Accessed on: 27/02/2027]. </w:t>
      </w:r>
    </w:p>
    <w:p w14:paraId="78C95EC8" w14:textId="77777777" w:rsidR="004D1F95" w:rsidRDefault="00830794">
      <w:pPr>
        <w:pStyle w:val="Normal1"/>
        <w:rPr>
          <w:color w:val="222222"/>
          <w:highlight w:val="white"/>
        </w:rPr>
      </w:pPr>
      <w:r>
        <w:rPr>
          <w:color w:val="222222"/>
          <w:highlight w:val="white"/>
        </w:rPr>
        <w:t xml:space="preserve">Damant, J., Hamashima, Y., Toma, M., Smith, N., Taylor, J., Caprioli, T., Jasim, S., Prato, L., Mcleod, H., Giebel, C. and Peters, M., 2026. Investigating Person‐Centred Care Planning in Care Homes Across England: An Exploratory Study of Practices and Contextual Factors. </w:t>
      </w:r>
      <w:r>
        <w:rPr>
          <w:i/>
          <w:iCs/>
          <w:color w:val="222222"/>
          <w:highlight w:val="white"/>
        </w:rPr>
        <w:t>Journal of Advanced Nursing</w:t>
      </w:r>
      <w:r>
        <w:rPr>
          <w:color w:val="222222"/>
          <w:highlight w:val="white"/>
        </w:rPr>
        <w:t xml:space="preserve">, </w:t>
      </w:r>
      <w:r>
        <w:rPr>
          <w:i/>
          <w:iCs/>
          <w:color w:val="222222"/>
          <w:highlight w:val="white"/>
        </w:rPr>
        <w:t>82</w:t>
      </w:r>
      <w:r>
        <w:rPr>
          <w:color w:val="222222"/>
          <w:highlight w:val="white"/>
        </w:rPr>
        <w:t xml:space="preserve">(1), pp.617-631. </w:t>
      </w:r>
    </w:p>
    <w:p w14:paraId="6046229A" w14:textId="77777777" w:rsidR="004D1F95" w:rsidRDefault="00830794">
      <w:pPr>
        <w:pStyle w:val="Normal1"/>
      </w:pPr>
      <w:r>
        <w:t>Davies, M., Zúñiga, F., Verbeek, H., Simon, M. and Staudacher, S., 2023. Exploring interrelations between person-centered care and quality of life following a transition into long-term residential care: a meta-ethnography. The Gerontologist, 63(4), pp.660-673.</w:t>
      </w:r>
    </w:p>
    <w:p w14:paraId="7DAA6933" w14:textId="77777777" w:rsidR="004D1F95" w:rsidRDefault="00830794">
      <w:pPr>
        <w:pStyle w:val="Normal1"/>
      </w:pPr>
      <w:r>
        <w:t xml:space="preserve">De Pinho, L. G., Lopes, M. J., Correia, T., Sampaio, F., Arco, H. R. D., Mendes, A., Marques, M. D. C., and Fonseca, C., 2021. Patient-Centered Care for Patients with Depression or Anxiety Disorder: An Integrative Review. Journal of Personalized Medicine, 11(8), 776. </w:t>
      </w:r>
      <w:hyperlink r:id="rId21">
        <w:r>
          <w:rPr>
            <w:color w:val="1155CC"/>
            <w:u w:val="single"/>
          </w:rPr>
          <w:t>https://doi.org/10.3390/jpm11080776</w:t>
        </w:r>
      </w:hyperlink>
      <w:r>
        <w:t xml:space="preserve"> </w:t>
      </w:r>
    </w:p>
    <w:p w14:paraId="0D92C204" w14:textId="77777777" w:rsidR="004D1F95" w:rsidRDefault="00830794">
      <w:pPr>
        <w:pStyle w:val="Normal1"/>
        <w:rPr>
          <w:color w:val="0000FF"/>
          <w:u w:val="single"/>
        </w:rPr>
      </w:pPr>
      <w:r>
        <w:t xml:space="preserve">Durgante, H., Perkins, A., Birt, L., Spector, A., and Stoner, C., 2025. Mechanisms of change in subjective wellbeing of people with dementia: a systematic review. </w:t>
      </w:r>
      <w:r>
        <w:rPr>
          <w:i/>
          <w:iCs/>
        </w:rPr>
        <w:t>Aging and Mental Health</w:t>
      </w:r>
      <w:r>
        <w:t>, 29, pp. 1967 - 1980.</w:t>
      </w:r>
      <w:hyperlink r:id="rId22">
        <w:r>
          <w:t xml:space="preserve"> </w:t>
        </w:r>
      </w:hyperlink>
      <w:hyperlink r:id="rId23">
        <w:r>
          <w:rPr>
            <w:color w:val="0000FF"/>
            <w:u w:val="single"/>
          </w:rPr>
          <w:t>https://doi.org/10.1080/13607863.2025.2515178</w:t>
        </w:r>
      </w:hyperlink>
    </w:p>
    <w:p w14:paraId="5229C9ED" w14:textId="77777777" w:rsidR="004D1F95" w:rsidRDefault="00830794">
      <w:pPr>
        <w:pStyle w:val="Normal1"/>
      </w:pPr>
      <w:r>
        <w:t xml:space="preserve">Engle, R. L., Mohr, D. C., Holmes, S. K., Seibert, M. N., Afable, M., Leyson, J., and Meterko, M., 2019. Evidence-based practice and patient-centered care: Doing both well. Health Care Management Review, 46(3), 174–184. </w:t>
      </w:r>
      <w:hyperlink r:id="rId24">
        <w:r>
          <w:rPr>
            <w:color w:val="0000FF"/>
            <w:u w:val="single"/>
          </w:rPr>
          <w:t>https://doi.org/10.1097/hmr.0000000000000254</w:t>
        </w:r>
      </w:hyperlink>
      <w:r>
        <w:t xml:space="preserve"> </w:t>
      </w:r>
    </w:p>
    <w:p w14:paraId="283464F6" w14:textId="77777777" w:rsidR="004D1F95" w:rsidRDefault="00830794">
      <w:pPr>
        <w:pStyle w:val="Normal1"/>
      </w:pPr>
      <w:r>
        <w:t>Guan, X., Duan, A., Xin, G., Oyebode, J., and Liu, Y., 2025. Barriers and facilitators to implementing person-centred dementia care in long-term care facilities in Western and Asian countries: a scoping review. Frontiers in Psychiatry, 15, 1523501. https://doi.org/10.3389/fpsyt.2024.1523501</w:t>
      </w:r>
    </w:p>
    <w:p w14:paraId="7D11FF5D" w14:textId="77777777" w:rsidR="004D1F95" w:rsidRDefault="00830794">
      <w:pPr>
        <w:pStyle w:val="Normal1"/>
      </w:pPr>
      <w:r>
        <w:t xml:space="preserve">Guan, X., Duan, A., Xin, G., Oyebode, J., and Liu, Y., 2025. Barriers and facilitators to implementing person-centred care among people living with dementia in nursing homes: a qualitative study. BMC Geriatrics, 25(1), 996. </w:t>
      </w:r>
      <w:hyperlink r:id="rId25">
        <w:r>
          <w:rPr>
            <w:color w:val="0000FF"/>
            <w:u w:val="single"/>
          </w:rPr>
          <w:t>https://doi.org/10.1186/s12877-025-06642-w</w:t>
        </w:r>
      </w:hyperlink>
      <w:r>
        <w:t xml:space="preserve"> </w:t>
      </w:r>
    </w:p>
    <w:p w14:paraId="367E965C" w14:textId="77777777" w:rsidR="004D1F95" w:rsidRDefault="00830794">
      <w:pPr>
        <w:pStyle w:val="Normal1"/>
        <w:rPr>
          <w:color w:val="222222"/>
          <w:highlight w:val="white"/>
        </w:rPr>
      </w:pPr>
      <w:r>
        <w:rPr>
          <w:color w:val="222222"/>
          <w:highlight w:val="white"/>
        </w:rPr>
        <w:t xml:space="preserve">Hermansen Østby, R., 2025. Taking older persons seriously: Exploring personcentred and participatory approaches for fair responsibility in health and social care. </w:t>
      </w:r>
    </w:p>
    <w:p w14:paraId="315B1FC3" w14:textId="77777777" w:rsidR="004D1F95" w:rsidRDefault="00830794">
      <w:pPr>
        <w:pStyle w:val="Normal1"/>
        <w:rPr>
          <w:color w:val="222222"/>
          <w:highlight w:val="white"/>
        </w:rPr>
      </w:pPr>
      <w:r>
        <w:rPr>
          <w:color w:val="222222"/>
          <w:highlight w:val="white"/>
        </w:rPr>
        <w:t xml:space="preserve">Kormelinck, C.M.G., Janus, S.I., Smalbrugge, M., Gerritsen, D.L. and Zuidema, S.U., 2021. Systematic review on barriers and facilitators of complex interventions for residents with dementia in long-term care. </w:t>
      </w:r>
      <w:r>
        <w:rPr>
          <w:i/>
          <w:iCs/>
          <w:color w:val="222222"/>
          <w:highlight w:val="white"/>
        </w:rPr>
        <w:t>International psychogeriatrics</w:t>
      </w:r>
      <w:r>
        <w:rPr>
          <w:color w:val="222222"/>
          <w:highlight w:val="white"/>
        </w:rPr>
        <w:t xml:space="preserve">, </w:t>
      </w:r>
      <w:r>
        <w:rPr>
          <w:i/>
          <w:iCs/>
          <w:color w:val="222222"/>
          <w:highlight w:val="white"/>
        </w:rPr>
        <w:t>33</w:t>
      </w:r>
      <w:r>
        <w:rPr>
          <w:color w:val="222222"/>
          <w:highlight w:val="white"/>
        </w:rPr>
        <w:t>(9), pp.873-889.</w:t>
      </w:r>
    </w:p>
    <w:p w14:paraId="0FDE5B9A" w14:textId="77777777" w:rsidR="004D1F95" w:rsidRDefault="00830794">
      <w:pPr>
        <w:pStyle w:val="Normal1"/>
      </w:pPr>
      <w:r>
        <w:t xml:space="preserve">Lee, K. H., Lee, J. Y., and Kim, B., 2020. Person-Centered Care in Persons Living With Dementia: A Systematic Review and Meta-analysis. The Gerontologist, 62(4), e253. </w:t>
      </w:r>
      <w:hyperlink r:id="rId26">
        <w:r>
          <w:rPr>
            <w:color w:val="1155CC"/>
            <w:u w:val="single"/>
          </w:rPr>
          <w:t>https://doi.org/10.1093/geront/gnaa207</w:t>
        </w:r>
      </w:hyperlink>
    </w:p>
    <w:p w14:paraId="606CDBAA" w14:textId="77777777" w:rsidR="004D1F95" w:rsidRDefault="00830794">
      <w:pPr>
        <w:pStyle w:val="Normal1"/>
      </w:pPr>
      <w:r>
        <w:t xml:space="preserve">Lorber, M., Reljić, N.M., McCormack, B., and Kmetec, S., 2025. Person-Centred Care in Association with Psychological Well-Being of Older Adults. </w:t>
      </w:r>
      <w:hyperlink r:id="rId27">
        <w:r>
          <w:rPr>
            <w:color w:val="1155CC"/>
            <w:u w:val="single"/>
          </w:rPr>
          <w:t>https://www.mdpi.com/2227-9032/13/12/1379</w:t>
        </w:r>
      </w:hyperlink>
      <w:r>
        <w:t xml:space="preserve"> </w:t>
      </w:r>
    </w:p>
    <w:p w14:paraId="4B33F5DA" w14:textId="77777777" w:rsidR="004D1F95" w:rsidRDefault="00830794">
      <w:pPr>
        <w:pStyle w:val="Normal1"/>
        <w:rPr>
          <w:color w:val="222222"/>
          <w:highlight w:val="white"/>
        </w:rPr>
      </w:pPr>
      <w:r>
        <w:rPr>
          <w:color w:val="222222"/>
          <w:highlight w:val="white"/>
        </w:rPr>
        <w:t xml:space="preserve">Lyu, J.Y., Hu, B., Wittenberg, R. and King, D., 2025. The relationships between informal and formal social care for older people in England: A comparison before and after the Care Act 2014. In </w:t>
      </w:r>
      <w:r>
        <w:rPr>
          <w:i/>
          <w:iCs/>
          <w:color w:val="222222"/>
          <w:highlight w:val="white"/>
        </w:rPr>
        <w:t>Advances in Family Caregiving Policy and Research</w:t>
      </w:r>
      <w:r>
        <w:rPr>
          <w:color w:val="222222"/>
          <w:highlight w:val="white"/>
        </w:rPr>
        <w:t xml:space="preserve"> (pp. 109-126). Routledge. </w:t>
      </w:r>
    </w:p>
    <w:p w14:paraId="236B9805" w14:textId="77777777" w:rsidR="004D1F95" w:rsidRDefault="00830794">
      <w:pPr>
        <w:pStyle w:val="Normal1"/>
      </w:pPr>
      <w:r>
        <w:rPr>
          <w:color w:val="222222"/>
          <w:highlight w:val="white"/>
        </w:rPr>
        <w:t>Matos, R.C.D., Nascimento, G.D., Fernandes, A.C. and Matos, C., 2025. Health and social care integration.</w:t>
      </w:r>
    </w:p>
    <w:p w14:paraId="71B3B9E7" w14:textId="77777777" w:rsidR="004D1F95" w:rsidRDefault="00830794">
      <w:pPr>
        <w:pStyle w:val="Normal1"/>
      </w:pPr>
      <w:r>
        <w:t xml:space="preserve">Mohammed Alqahtani, S.Y., Farraj Almabadi, N.K., Alghamdi, R.A. and Bakri Alshamrani, A.J., 2024. Challenges in Adopting Patient-Cantered Care within Nursing Practice: A Review. Journal of International Crisis &amp; Risk Communication Research (JICRCR), 7. </w:t>
      </w:r>
    </w:p>
    <w:p w14:paraId="16EFB4B4" w14:textId="77777777" w:rsidR="004D1F95" w:rsidRDefault="00830794">
      <w:pPr>
        <w:pStyle w:val="Normal1"/>
      </w:pPr>
      <w:r>
        <w:t xml:space="preserve">Nandimath, P. T., 2021. Person-centred care in dementia: Philosophy and challenges in implementation. Annals of Geriatric Education and Medical Sciences, 8(1), 3–6. </w:t>
      </w:r>
      <w:hyperlink r:id="rId28">
        <w:r>
          <w:rPr>
            <w:color w:val="1155CC"/>
            <w:u w:val="single"/>
          </w:rPr>
          <w:t>https://doi.org/10.18231/j.agems.2021.003</w:t>
        </w:r>
      </w:hyperlink>
      <w:r>
        <w:t xml:space="preserve"> </w:t>
      </w:r>
    </w:p>
    <w:p w14:paraId="04F41285" w14:textId="77777777" w:rsidR="004D1F95" w:rsidRDefault="00830794">
      <w:pPr>
        <w:pStyle w:val="Normal1"/>
      </w:pPr>
      <w:r>
        <w:t>Nhs.uk</w:t>
      </w:r>
      <w:r>
        <w:rPr>
          <w:i/>
          <w:iCs/>
        </w:rPr>
        <w:t xml:space="preserve">, </w:t>
      </w:r>
      <w:r>
        <w:t xml:space="preserve">2025. </w:t>
      </w:r>
      <w:r>
        <w:rPr>
          <w:i/>
          <w:iCs/>
        </w:rPr>
        <w:t xml:space="preserve">Primary Care Dementia Data, April 2025.  </w:t>
      </w:r>
      <w:r>
        <w:t xml:space="preserve">Available at: </w:t>
      </w:r>
      <w:hyperlink r:id="rId29">
        <w:r>
          <w:rPr>
            <w:color w:val="1155CC"/>
            <w:u w:val="single"/>
          </w:rPr>
          <w:t>https://digital.nhs.uk/data-and-information/publications/statistical/primary-care-dementia-data/april-2025</w:t>
        </w:r>
      </w:hyperlink>
      <w:r>
        <w:t xml:space="preserve"> [Accessed on: 27/02/2027]. </w:t>
      </w:r>
    </w:p>
    <w:p w14:paraId="2277237A" w14:textId="77777777" w:rsidR="004D1F95" w:rsidRDefault="00830794">
      <w:pPr>
        <w:pStyle w:val="Normal1"/>
      </w:pPr>
      <w:r>
        <w:t>Nhs.uk</w:t>
      </w:r>
      <w:r>
        <w:rPr>
          <w:i/>
          <w:iCs/>
        </w:rPr>
        <w:t xml:space="preserve">, </w:t>
      </w:r>
      <w:r>
        <w:t xml:space="preserve">2025. </w:t>
      </w:r>
      <w:r>
        <w:rPr>
          <w:i/>
          <w:iCs/>
        </w:rPr>
        <w:t xml:space="preserve">Primary Care Dementia Data, June 2025.  </w:t>
      </w:r>
      <w:r>
        <w:t xml:space="preserve">Available at: </w:t>
      </w:r>
      <w:hyperlink r:id="rId30">
        <w:r>
          <w:rPr>
            <w:color w:val="1155CC"/>
            <w:u w:val="single"/>
          </w:rPr>
          <w:t>https://digital.nhs.uk/data-and-information/publications/statistical/primary-care-dementia-data/june-2025</w:t>
        </w:r>
      </w:hyperlink>
      <w:r>
        <w:t xml:space="preserve"> [Accessed on: 27/02/2027]. </w:t>
      </w:r>
    </w:p>
    <w:p w14:paraId="4F98CAC6" w14:textId="77777777" w:rsidR="004D1F95" w:rsidRDefault="00830794">
      <w:pPr>
        <w:pStyle w:val="Normal1"/>
      </w:pPr>
      <w:r>
        <w:t>Richter, C., Berg, A., Langner, H., Meyer, G., Köpke, S., Balzer, K., Wolschon, E.M., Silies, K., Sönnichsen, A., Löscher, S. and Haastert, B., 2019. Effect of person-centred care on antipsychotic drug use in nursing homes (EPCentCare): a cluster-randomised controlled trial. Age and Ageing, 48(3), pp.419-425.</w:t>
      </w:r>
    </w:p>
    <w:p w14:paraId="33A7E466" w14:textId="77777777" w:rsidR="004D1F95" w:rsidRDefault="00830794">
      <w:pPr>
        <w:pStyle w:val="Normal1"/>
      </w:pPr>
      <w:r>
        <w:t>Røsvik, J. and Mjørud, M., 2021. ‘We must have a new VIPS meeting soon!’Barriers and facilitators for implementing the VIPS practice model in primary health care. Dementia, 20(8), pp.2649-2667.</w:t>
      </w:r>
    </w:p>
    <w:p w14:paraId="4AF1E80F" w14:textId="77777777" w:rsidR="004D1F95" w:rsidRDefault="00830794">
      <w:pPr>
        <w:pStyle w:val="Normal1"/>
        <w:rPr>
          <w:color w:val="222222"/>
          <w:highlight w:val="white"/>
        </w:rPr>
      </w:pPr>
      <w:r>
        <w:rPr>
          <w:color w:val="222222"/>
          <w:highlight w:val="white"/>
        </w:rPr>
        <w:t xml:space="preserve">Saeed, H., Som, H.M. and Mahmood, R., 2022. Leadership styles, organizational culture, and innovation in healthcare: A conceptual framework. </w:t>
      </w:r>
      <w:r>
        <w:rPr>
          <w:i/>
          <w:iCs/>
          <w:color w:val="222222"/>
          <w:highlight w:val="white"/>
        </w:rPr>
        <w:t>International Journal of Academic Research in Business and Social Sciences</w:t>
      </w:r>
      <w:r>
        <w:rPr>
          <w:color w:val="222222"/>
          <w:highlight w:val="white"/>
        </w:rPr>
        <w:t xml:space="preserve">, </w:t>
      </w:r>
      <w:r>
        <w:rPr>
          <w:i/>
          <w:iCs/>
          <w:color w:val="222222"/>
          <w:highlight w:val="white"/>
        </w:rPr>
        <w:t>12</w:t>
      </w:r>
      <w:r>
        <w:rPr>
          <w:color w:val="222222"/>
          <w:highlight w:val="white"/>
        </w:rPr>
        <w:t>(8), pp.1390-1408.</w:t>
      </w:r>
    </w:p>
    <w:p w14:paraId="3D605A78" w14:textId="77777777" w:rsidR="004D1F95" w:rsidRDefault="00830794">
      <w:pPr>
        <w:pStyle w:val="Normal1"/>
      </w:pPr>
      <w:r>
        <w:t xml:space="preserve">Saragih, I. D., Suarilah, I., Saragih, I. S., Pu, L., Porta, C. M., Saragih, H., Lin, Y., and Lin, C., 2024. A meta‐analysis of person‐centered care interventions for improving health outcomes in persons living with dementia. Worldviews on Evidence-Based Nursing, 22(1), e12746. </w:t>
      </w:r>
      <w:hyperlink r:id="rId31">
        <w:r>
          <w:rPr>
            <w:color w:val="1155CC"/>
            <w:u w:val="single"/>
          </w:rPr>
          <w:t>https://doi.org/10.1111/wvn.12746</w:t>
        </w:r>
      </w:hyperlink>
      <w:r>
        <w:t xml:space="preserve"> </w:t>
      </w:r>
    </w:p>
    <w:p w14:paraId="347B9153" w14:textId="77777777" w:rsidR="004D1F95" w:rsidRDefault="00830794">
      <w:pPr>
        <w:pStyle w:val="Normal1"/>
        <w:rPr>
          <w:color w:val="0000FF"/>
          <w:u w:val="single"/>
        </w:rPr>
      </w:pPr>
      <w:r>
        <w:t xml:space="preserve">Saragih, I., Suarilah, I., Saragih, I., Pu, L., Porta, C., Saragih, H., Lin, Y., and Lin, C., 2024. A meta-analysis of person-centered care interventions for improving health outcomes in persons living with dementia.. </w:t>
      </w:r>
      <w:r>
        <w:rPr>
          <w:i/>
          <w:iCs/>
        </w:rPr>
        <w:t>Worldviews on evidence-based nursing</w:t>
      </w:r>
      <w:r>
        <w:t>.</w:t>
      </w:r>
      <w:hyperlink r:id="rId32">
        <w:r>
          <w:t xml:space="preserve"> </w:t>
        </w:r>
      </w:hyperlink>
      <w:hyperlink r:id="rId33">
        <w:r>
          <w:rPr>
            <w:color w:val="0000FF"/>
            <w:u w:val="single"/>
          </w:rPr>
          <w:t>https://doi.org/10.1111/wvn.12746</w:t>
        </w:r>
      </w:hyperlink>
    </w:p>
    <w:p w14:paraId="0382EDEE" w14:textId="77777777" w:rsidR="004D1F95" w:rsidRDefault="00830794">
      <w:pPr>
        <w:pStyle w:val="Normal1"/>
        <w:rPr>
          <w:color w:val="0000FF"/>
          <w:u w:val="single"/>
        </w:rPr>
      </w:pPr>
      <w:r>
        <w:t xml:space="preserve">Scher, C., Anderson, K., Zagorski, W., Siamdoust, S., Li, Y., and Sadarangani, T., 2025. “We feel like a family here”: person-centered outcomes of adult day services use from the voices of people living with dementia and their caregivers. </w:t>
      </w:r>
      <w:r>
        <w:rPr>
          <w:i/>
          <w:iCs/>
        </w:rPr>
        <w:t>BMC Health Services Research</w:t>
      </w:r>
      <w:r>
        <w:t>, 25.</w:t>
      </w:r>
      <w:hyperlink r:id="rId34">
        <w:r>
          <w:t xml:space="preserve"> </w:t>
        </w:r>
      </w:hyperlink>
      <w:hyperlink r:id="rId35">
        <w:r>
          <w:rPr>
            <w:color w:val="0000FF"/>
            <w:u w:val="single"/>
          </w:rPr>
          <w:t>https://doi.org/10.1186/s12913-025-13436-8</w:t>
        </w:r>
      </w:hyperlink>
    </w:p>
    <w:p w14:paraId="50EE6F98" w14:textId="77777777" w:rsidR="004D1F95" w:rsidRDefault="00830794">
      <w:pPr>
        <w:pStyle w:val="Normal1"/>
        <w:rPr>
          <w:color w:val="222222"/>
          <w:highlight w:val="white"/>
        </w:rPr>
      </w:pPr>
      <w:r>
        <w:rPr>
          <w:color w:val="222222"/>
          <w:highlight w:val="white"/>
        </w:rPr>
        <w:t xml:space="preserve">Shaikh, F.B., 2025. To what extent does Dementia have a toll on the Quality of Life: Critically evaluating the physical, emotional, and social dimensions. </w:t>
      </w:r>
      <w:r>
        <w:rPr>
          <w:i/>
          <w:iCs/>
          <w:color w:val="222222"/>
          <w:highlight w:val="white"/>
        </w:rPr>
        <w:t>International Journal of Endorsing Health Science Research</w:t>
      </w:r>
      <w:r>
        <w:rPr>
          <w:color w:val="222222"/>
          <w:highlight w:val="white"/>
        </w:rPr>
        <w:t xml:space="preserve">, </w:t>
      </w:r>
      <w:r>
        <w:rPr>
          <w:i/>
          <w:iCs/>
          <w:color w:val="222222"/>
          <w:highlight w:val="white"/>
        </w:rPr>
        <w:t>13</w:t>
      </w:r>
      <w:r>
        <w:rPr>
          <w:color w:val="222222"/>
          <w:highlight w:val="white"/>
        </w:rPr>
        <w:t>(2), pp.120-130.</w:t>
      </w:r>
    </w:p>
    <w:p w14:paraId="663BF388" w14:textId="77777777" w:rsidR="004D1F95" w:rsidRDefault="00830794">
      <w:pPr>
        <w:pStyle w:val="Normal1"/>
        <w:rPr>
          <w:color w:val="0000FF"/>
          <w:u w:val="single"/>
        </w:rPr>
      </w:pPr>
      <w:r>
        <w:t xml:space="preserve">Spichiger, F., Koppitz, A., Riese, F., Kipfer, S., Nagl-Cupal, M., Büscher, A., Volken, T., Larkin, P., and Meichtry, A., 2024. Person Profile Dementia Intervention in Long-Term Care: A Stepped-Wedge Cluster-Randomized Trial.. </w:t>
      </w:r>
      <w:r>
        <w:rPr>
          <w:i/>
          <w:iCs/>
        </w:rPr>
        <w:t>Journal of the American Medical Directors Association</w:t>
      </w:r>
      <w:r>
        <w:t>, pp. 105351.</w:t>
      </w:r>
      <w:hyperlink r:id="rId36">
        <w:r>
          <w:t xml:space="preserve"> </w:t>
        </w:r>
      </w:hyperlink>
      <w:hyperlink r:id="rId37">
        <w:r>
          <w:rPr>
            <w:color w:val="0000FF"/>
            <w:u w:val="single"/>
          </w:rPr>
          <w:t>https://doi.org/10.1016/j.jamda.2024.105351</w:t>
        </w:r>
      </w:hyperlink>
    </w:p>
    <w:p w14:paraId="24FA9607" w14:textId="77777777" w:rsidR="004D1F95" w:rsidRDefault="00830794">
      <w:pPr>
        <w:pStyle w:val="Normal1"/>
      </w:pPr>
      <w:r>
        <w:t>Steele, C., Berry, K. and Brown, L.J., 2022. Healthcare professionals' experiences of using a biopsychosocial approach to understand behavioural and psychological symptoms of dementia: a qualitative interview study. International Journal of Older People Nursing, 17(2), p.e12427.</w:t>
      </w:r>
    </w:p>
    <w:p w14:paraId="3C5A5A6B" w14:textId="77777777" w:rsidR="004D1F95" w:rsidRDefault="00830794">
      <w:pPr>
        <w:pStyle w:val="Normal1"/>
      </w:pPr>
      <w:r>
        <w:t xml:space="preserve">Surr, C. A., Parveen, S., Smith, S. J., Drury, M., Sass, C., Burden, S., and Oyebode, J., 2020. The barriers and facilitators to implementing dementia education and training in health and social care services: a mixed-methods study. BMC Health Services Research, 20(1), 512. </w:t>
      </w:r>
      <w:hyperlink r:id="rId38">
        <w:r>
          <w:rPr>
            <w:color w:val="0000FF"/>
            <w:u w:val="single"/>
          </w:rPr>
          <w:t>https://doi.org/10.1186/s12913-020-05382-4</w:t>
        </w:r>
      </w:hyperlink>
      <w:r>
        <w:t xml:space="preserve"> </w:t>
      </w:r>
    </w:p>
    <w:p w14:paraId="714B8679" w14:textId="77777777" w:rsidR="004D1F95" w:rsidRDefault="00830794">
      <w:pPr>
        <w:pStyle w:val="Normal1"/>
      </w:pPr>
      <w:r>
        <w:t>Terkelsen, A.S., Petersen, J.V. and Kristensen, H.K., 2020. Mapping empirical experiences of Tom Kitwood's framework of person‐centred care for persons with dementia in institutional settings. A scoping review. Scandinavian journal of caring sciences, 34(1), pp.6-22.</w:t>
      </w:r>
    </w:p>
    <w:p w14:paraId="7972B45C" w14:textId="77777777" w:rsidR="004D1F95" w:rsidRDefault="00830794">
      <w:pPr>
        <w:pStyle w:val="Normal1"/>
      </w:pPr>
      <w:r>
        <w:t>Tieu, M. and Matthews, S., 2024, February. The relational care framework: Promoting continuity or maintenance of selfhood in person-centered care. In The journal of medicine and philosophy: A forum for bioethics and philosophy of medicine (Vol. 49, No. 1, pp. 85-101). US: Oxford University Press.</w:t>
      </w:r>
    </w:p>
    <w:p w14:paraId="407E168C" w14:textId="77777777" w:rsidR="004D1F95" w:rsidRDefault="00830794">
      <w:pPr>
        <w:pStyle w:val="Normal1"/>
      </w:pPr>
      <w:r>
        <w:t xml:space="preserve">Tong, L., Tam, H., and Mao, A., 2025. A Bibliometric Review of Person-Centered Care Research 2010–2024. </w:t>
      </w:r>
      <w:hyperlink r:id="rId39">
        <w:r>
          <w:rPr>
            <w:color w:val="0000FF"/>
            <w:u w:val="single"/>
          </w:rPr>
          <w:t>https://www.mdpi.com/2227-9032/13/11/1267</w:t>
        </w:r>
      </w:hyperlink>
      <w:r>
        <w:t xml:space="preserve">? </w:t>
      </w:r>
    </w:p>
    <w:p w14:paraId="4033CCB4" w14:textId="77777777" w:rsidR="004D1F95" w:rsidRDefault="00830794">
      <w:pPr>
        <w:pStyle w:val="Normal1"/>
      </w:pPr>
      <w:r>
        <w:t>Warren, A., 2022. Behavioral and psychological symptoms of dementia as a means of communication: considerations for reducing stigma and promoting person-centered care. Frontiers in psychology, 13, p.875246.</w:t>
      </w:r>
    </w:p>
    <w:p w14:paraId="1E40F90C" w14:textId="77777777" w:rsidR="004D1F95" w:rsidRDefault="00830794">
      <w:pPr>
        <w:pStyle w:val="Normal1"/>
        <w:rPr>
          <w:color w:val="0000FF"/>
          <w:u w:val="single"/>
        </w:rPr>
      </w:pPr>
      <w:r>
        <w:t xml:space="preserve">Xu, E., Watman, D., Franzosa, E., Perez, S., and Reckrey, J., 2024. Home Care Workers Providing Person-Centered Care to People With Dementia. </w:t>
      </w:r>
      <w:r>
        <w:rPr>
          <w:i/>
          <w:iCs/>
        </w:rPr>
        <w:t>Journal of Applied Gerontology</w:t>
      </w:r>
      <w:r>
        <w:t>, 43, pp. 1684 - 1693.</w:t>
      </w:r>
      <w:hyperlink r:id="rId40">
        <w:r>
          <w:t xml:space="preserve"> </w:t>
        </w:r>
      </w:hyperlink>
      <w:hyperlink r:id="rId41">
        <w:r>
          <w:rPr>
            <w:color w:val="0000FF"/>
            <w:u w:val="single"/>
          </w:rPr>
          <w:t>https://doi.org/10.1177/07334648241252010</w:t>
        </w:r>
      </w:hyperlink>
    </w:p>
    <w:p w14:paraId="3D9F0B2A" w14:textId="77777777" w:rsidR="004D1F95" w:rsidRDefault="00830794">
      <w:pPr>
        <w:pStyle w:val="Normal1"/>
      </w:pPr>
      <w:r>
        <w:t xml:space="preserve">Xu, L., Olsson, A., Zhu, K., Zhou, Z., and Engström, M., 2025. Effects of a training program on person-centered care in nursing homes rated by residents: a quasi-experimental design. BMC Geriatrics, 25(1), 799. </w:t>
      </w:r>
      <w:hyperlink r:id="rId42">
        <w:r>
          <w:rPr>
            <w:color w:val="0000FF"/>
            <w:u w:val="single"/>
          </w:rPr>
          <w:t>https://doi.org/10.1186/s12877-025-06340-7</w:t>
        </w:r>
      </w:hyperlink>
      <w:r>
        <w:t xml:space="preserve"> </w:t>
      </w:r>
    </w:p>
    <w:p w14:paraId="197C20E1" w14:textId="77777777" w:rsidR="004D1F95" w:rsidRDefault="00830794">
      <w:pPr>
        <w:pStyle w:val="Normal1"/>
      </w:pPr>
      <w:r>
        <w:t xml:space="preserve">Zabihi, S., Delray, S., Muralidhar, M., Banerjee, S., Giebel, C., Dening, K. H., Birks, Y., Hunter, R., Rauf, M. A., Kenten, C., Walpert, M., and Cooper, C., 2025. Dementia training for healthcare professionals: A systematic policy and evidence review. International Psychogeriatrics, 37(6), 100088. </w:t>
      </w:r>
      <w:hyperlink r:id="rId43">
        <w:r>
          <w:rPr>
            <w:color w:val="0000FF"/>
            <w:u w:val="single"/>
          </w:rPr>
          <w:t>https://doi.org/10.1016/j.inpsyc.2025.100088</w:t>
        </w:r>
      </w:hyperlink>
      <w:r>
        <w:t xml:space="preserve"> </w:t>
      </w:r>
      <w:r w:rsidR="006B5430">
        <w:t xml:space="preserve"> </w:t>
      </w:r>
    </w:p>
    <w:p w14:paraId="4A060A51" w14:textId="77777777" w:rsidR="004D1F95" w:rsidRDefault="004D1F95">
      <w:pPr>
        <w:pStyle w:val="Normal1"/>
        <w:pBdr>
          <w:top w:val="nil"/>
          <w:left w:val="nil"/>
          <w:bottom w:val="nil"/>
          <w:right w:val="nil"/>
          <w:between w:val="nil"/>
        </w:pBdr>
        <w:spacing w:before="200"/>
        <w:rPr>
          <w:color w:val="000000"/>
        </w:rPr>
      </w:pPr>
    </w:p>
    <w:p w14:paraId="64C69034" w14:textId="77777777" w:rsidR="004D1F95" w:rsidRDefault="004D1F95">
      <w:pPr>
        <w:pStyle w:val="Normal1"/>
        <w:pBdr>
          <w:top w:val="nil"/>
          <w:left w:val="nil"/>
          <w:bottom w:val="nil"/>
          <w:right w:val="nil"/>
          <w:between w:val="nil"/>
        </w:pBdr>
        <w:spacing w:before="200"/>
        <w:rPr>
          <w:color w:val="000000"/>
        </w:rPr>
      </w:pPr>
    </w:p>
    <w:p w14:paraId="3096FF5F" w14:textId="77777777" w:rsidR="004D1F95" w:rsidRDefault="004D1F95">
      <w:pPr>
        <w:pStyle w:val="Normal1"/>
        <w:pBdr>
          <w:top w:val="nil"/>
          <w:left w:val="nil"/>
          <w:bottom w:val="nil"/>
          <w:right w:val="nil"/>
          <w:between w:val="nil"/>
        </w:pBdr>
        <w:spacing w:before="200"/>
        <w:rPr>
          <w:color w:val="000000"/>
        </w:rPr>
      </w:pPr>
    </w:p>
    <w:sectPr w:rsidR="004D1F95" w:rsidSect="004D1F95">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6ACE2" w14:textId="77777777" w:rsidR="00830794" w:rsidRDefault="00830794" w:rsidP="004D1F95">
      <w:pPr>
        <w:spacing w:after="0" w:line="240" w:lineRule="auto"/>
      </w:pPr>
      <w:r>
        <w:separator/>
      </w:r>
    </w:p>
  </w:endnote>
  <w:endnote w:type="continuationSeparator" w:id="0">
    <w:p w14:paraId="3D8AA5D1" w14:textId="77777777" w:rsidR="00830794" w:rsidRDefault="00830794" w:rsidP="004D1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C963856-F70C-47C1-AB50-7E248FAA07FF}"/>
  </w:font>
  <w:font w:name="Tahoma">
    <w:panose1 w:val="020B0604030504040204"/>
    <w:charset w:val="00"/>
    <w:family w:val="swiss"/>
    <w:pitch w:val="variable"/>
    <w:sig w:usb0="E1002EFF" w:usb1="C000605B" w:usb2="00000029" w:usb3="00000000" w:csb0="000101FF" w:csb1="00000000"/>
    <w:embedRegular r:id="rId2" w:fontKey="{3968954C-409B-4086-8107-7DD077A3DB09}"/>
  </w:font>
  <w:font w:name="Cambria">
    <w:panose1 w:val="02040503050406030204"/>
    <w:charset w:val="00"/>
    <w:family w:val="roman"/>
    <w:pitch w:val="variable"/>
    <w:sig w:usb0="E00006FF" w:usb1="420024FF" w:usb2="02000000" w:usb3="00000000" w:csb0="0000019F" w:csb1="00000000"/>
    <w:embedRegular r:id="rId3" w:fontKey="{140231F6-1AA4-5D48-83F9-3E61676141C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23B79" w14:textId="77777777" w:rsidR="004D1F95" w:rsidRDefault="004D1F95">
    <w:pPr>
      <w:pStyle w:val="Normal1"/>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ADA66" w14:textId="77777777" w:rsidR="004D1F95" w:rsidRDefault="004D1F95">
    <w:pPr>
      <w:pStyle w:val="Normal1"/>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fldChar w:fldCharType="begin"/>
    </w:r>
    <w:r w:rsidR="00830794">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51465C">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0949696D" w14:textId="77777777" w:rsidR="004D1F95" w:rsidRDefault="004D1F95">
    <w:pPr>
      <w:pStyle w:val="Normal1"/>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A143C2" w14:textId="77777777" w:rsidR="004D1F95" w:rsidRDefault="004D1F95">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1367A" w14:textId="77777777" w:rsidR="00830794" w:rsidRDefault="00830794" w:rsidP="004D1F95">
      <w:pPr>
        <w:spacing w:after="0" w:line="240" w:lineRule="auto"/>
      </w:pPr>
      <w:r>
        <w:separator/>
      </w:r>
    </w:p>
  </w:footnote>
  <w:footnote w:type="continuationSeparator" w:id="0">
    <w:p w14:paraId="11B24592" w14:textId="77777777" w:rsidR="00830794" w:rsidRDefault="00830794" w:rsidP="004D1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13CB0" w14:textId="77777777" w:rsidR="004D1F95" w:rsidRDefault="004D1F95">
    <w:pPr>
      <w:pStyle w:val="Normal1"/>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05D98D" w14:textId="77777777" w:rsidR="004D1F95" w:rsidRDefault="004D1F95">
    <w:pPr>
      <w:pStyle w:val="Normal1"/>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D9BB8" w14:textId="77777777" w:rsidR="004D1F95" w:rsidRDefault="004D1F95">
    <w:pPr>
      <w:pStyle w:val="Normal1"/>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9115F"/>
    <w:multiLevelType w:val="multilevel"/>
    <w:tmpl w:val="52E44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481EA5"/>
    <w:multiLevelType w:val="multilevel"/>
    <w:tmpl w:val="B0682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4204264">
    <w:abstractNumId w:val="1"/>
  </w:num>
  <w:num w:numId="2" w16cid:durableId="122311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displayBackgroundShape/>
  <w:embedTrueTypeFonts/>
  <w:revisionView w:inkAnnotations="0"/>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F95"/>
    <w:rsid w:val="003F2881"/>
    <w:rsid w:val="004D1F95"/>
    <w:rsid w:val="0051465C"/>
    <w:rsid w:val="006B5430"/>
    <w:rsid w:val="00784943"/>
    <w:rsid w:val="00830794"/>
    <w:rsid w:val="00902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4319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D1F95"/>
    <w:pPr>
      <w:keepNext/>
      <w:keepLines/>
      <w:pBdr>
        <w:top w:val="nil"/>
        <w:left w:val="nil"/>
        <w:bottom w:val="nil"/>
        <w:right w:val="nil"/>
        <w:between w:val="nil"/>
      </w:pBdr>
      <w:spacing w:before="400" w:after="120"/>
      <w:outlineLvl w:val="0"/>
    </w:pPr>
    <w:rPr>
      <w:b/>
      <w:bCs/>
      <w:color w:val="000000"/>
      <w:sz w:val="28"/>
      <w:szCs w:val="28"/>
    </w:rPr>
  </w:style>
  <w:style w:type="paragraph" w:styleId="Heading2">
    <w:name w:val="heading 2"/>
    <w:basedOn w:val="Normal1"/>
    <w:next w:val="Normal1"/>
    <w:rsid w:val="004D1F95"/>
    <w:pPr>
      <w:keepNext/>
      <w:keepLines/>
      <w:pBdr>
        <w:top w:val="nil"/>
        <w:left w:val="nil"/>
        <w:bottom w:val="nil"/>
        <w:right w:val="nil"/>
        <w:between w:val="nil"/>
      </w:pBdr>
      <w:spacing w:before="360" w:after="120"/>
      <w:outlineLvl w:val="1"/>
    </w:pPr>
    <w:rPr>
      <w:b/>
      <w:bCs/>
      <w:color w:val="000000"/>
    </w:rPr>
  </w:style>
  <w:style w:type="paragraph" w:styleId="Heading3">
    <w:name w:val="heading 3"/>
    <w:basedOn w:val="Normal1"/>
    <w:next w:val="Normal1"/>
    <w:rsid w:val="004D1F95"/>
    <w:pPr>
      <w:keepNext/>
      <w:keepLines/>
      <w:outlineLvl w:val="2"/>
    </w:pPr>
    <w:rPr>
      <w:b/>
      <w:bCs/>
    </w:rPr>
  </w:style>
  <w:style w:type="paragraph" w:styleId="Heading4">
    <w:name w:val="heading 4"/>
    <w:basedOn w:val="Normal1"/>
    <w:next w:val="Normal1"/>
    <w:rsid w:val="004D1F95"/>
    <w:pPr>
      <w:keepNext/>
      <w:keepLines/>
      <w:pBdr>
        <w:top w:val="nil"/>
        <w:left w:val="nil"/>
        <w:bottom w:val="nil"/>
        <w:right w:val="nil"/>
        <w:between w:val="nil"/>
      </w:pBdr>
      <w:spacing w:before="80" w:after="40"/>
      <w:outlineLvl w:val="3"/>
    </w:pPr>
    <w:rPr>
      <w:i/>
      <w:iCs/>
      <w:color w:val="2F5496"/>
    </w:rPr>
  </w:style>
  <w:style w:type="paragraph" w:styleId="Heading5">
    <w:name w:val="heading 5"/>
    <w:basedOn w:val="Normal1"/>
    <w:next w:val="Normal1"/>
    <w:rsid w:val="004D1F95"/>
    <w:pPr>
      <w:keepNext/>
      <w:keepLines/>
      <w:pBdr>
        <w:top w:val="nil"/>
        <w:left w:val="nil"/>
        <w:bottom w:val="nil"/>
        <w:right w:val="nil"/>
        <w:between w:val="nil"/>
      </w:pBdr>
      <w:spacing w:before="80" w:after="40"/>
      <w:outlineLvl w:val="4"/>
    </w:pPr>
    <w:rPr>
      <w:color w:val="2F5496"/>
    </w:rPr>
  </w:style>
  <w:style w:type="paragraph" w:styleId="Heading6">
    <w:name w:val="heading 6"/>
    <w:basedOn w:val="Normal1"/>
    <w:next w:val="Normal1"/>
    <w:rsid w:val="004D1F95"/>
    <w:pPr>
      <w:keepNext/>
      <w:keepLines/>
      <w:pBdr>
        <w:top w:val="nil"/>
        <w:left w:val="nil"/>
        <w:bottom w:val="nil"/>
        <w:right w:val="nil"/>
        <w:between w:val="nil"/>
      </w:pBdr>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D1F95"/>
    <w:tblPr>
      <w:tblCellMar>
        <w:top w:w="100" w:type="dxa"/>
        <w:left w:w="100" w:type="dxa"/>
        <w:bottom w:w="100" w:type="dxa"/>
        <w:right w:w="100" w:type="dxa"/>
      </w:tblCellMar>
    </w:tblPr>
  </w:style>
  <w:style w:type="paragraph" w:customStyle="1" w:styleId="Normal1">
    <w:name w:val="Normal1"/>
    <w:rsid w:val="004D1F95"/>
  </w:style>
  <w:style w:type="paragraph" w:styleId="Title">
    <w:name w:val="Title"/>
    <w:basedOn w:val="Normal1"/>
    <w:next w:val="Normal1"/>
    <w:rsid w:val="004D1F95"/>
    <w:pPr>
      <w:pBdr>
        <w:top w:val="nil"/>
        <w:left w:val="nil"/>
        <w:bottom w:val="nil"/>
        <w:right w:val="nil"/>
        <w:between w:val="nil"/>
      </w:pBdr>
      <w:spacing w:after="80" w:line="240" w:lineRule="auto"/>
    </w:pPr>
    <w:rPr>
      <w:rFonts w:ascii="Calibri" w:eastAsia="Calibri" w:hAnsi="Calibri" w:cs="Calibri"/>
      <w:color w:val="000000"/>
      <w:sz w:val="56"/>
      <w:szCs w:val="56"/>
    </w:rPr>
  </w:style>
  <w:style w:type="table" w:customStyle="1" w:styleId="TableNormal1">
    <w:name w:val="TableNormal"/>
    <w:rsid w:val="00924413"/>
    <w:tblPr>
      <w:tblCellMar>
        <w:top w:w="100" w:type="dxa"/>
        <w:left w:w="100" w:type="dxa"/>
        <w:bottom w:w="100" w:type="dxa"/>
        <w:right w:w="100" w:type="dxa"/>
      </w:tblCellMar>
    </w:tblPr>
  </w:style>
  <w:style w:type="paragraph" w:customStyle="1" w:styleId="Normal2">
    <w:name w:val="Normal2"/>
    <w:rsid w:val="00924413"/>
  </w:style>
  <w:style w:type="paragraph" w:styleId="BalloonText">
    <w:name w:val="Balloon Text"/>
    <w:basedOn w:val="Normal1"/>
    <w:link w:val="BalloonTextChar"/>
    <w:uiPriority w:val="99"/>
    <w:semiHidden/>
    <w:unhideWhenUsed/>
    <w:rsid w:val="00143D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DF3"/>
    <w:rPr>
      <w:rFonts w:ascii="Tahoma" w:hAnsi="Tahoma" w:cs="Tahoma"/>
      <w:sz w:val="16"/>
      <w:szCs w:val="16"/>
    </w:rPr>
  </w:style>
  <w:style w:type="character" w:styleId="Hyperlink">
    <w:name w:val="Hyperlink"/>
    <w:basedOn w:val="DefaultParagraphFont"/>
    <w:uiPriority w:val="99"/>
    <w:unhideWhenUsed/>
    <w:rsid w:val="00143DF3"/>
    <w:rPr>
      <w:color w:val="0000FF" w:themeColor="hyperlink"/>
      <w:u w:val="single"/>
    </w:rPr>
  </w:style>
  <w:style w:type="paragraph" w:styleId="Header">
    <w:name w:val="header"/>
    <w:basedOn w:val="Normal1"/>
    <w:link w:val="HeaderChar"/>
    <w:uiPriority w:val="99"/>
    <w:semiHidden/>
    <w:unhideWhenUsed/>
    <w:rsid w:val="009E40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4066"/>
  </w:style>
  <w:style w:type="paragraph" w:styleId="Footer">
    <w:name w:val="footer"/>
    <w:basedOn w:val="Normal1"/>
    <w:link w:val="FooterChar"/>
    <w:uiPriority w:val="99"/>
    <w:semiHidden/>
    <w:unhideWhenUsed/>
    <w:rsid w:val="009E406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E4066"/>
  </w:style>
  <w:style w:type="paragraph" w:styleId="Subtitle">
    <w:name w:val="Subtitle"/>
    <w:basedOn w:val="Normal1"/>
    <w:next w:val="Normal1"/>
    <w:rsid w:val="004D1F95"/>
    <w:pPr>
      <w:pBdr>
        <w:top w:val="nil"/>
        <w:left w:val="nil"/>
        <w:bottom w:val="nil"/>
        <w:right w:val="nil"/>
        <w:between w:val="nil"/>
      </w:pBdr>
    </w:pPr>
    <w:rPr>
      <w:color w:val="595959"/>
      <w:sz w:val="28"/>
      <w:szCs w:val="28"/>
    </w:rPr>
  </w:style>
  <w:style w:type="table" w:customStyle="1" w:styleId="a">
    <w:basedOn w:val="TableNormal"/>
    <w:rsid w:val="004D1F95"/>
    <w:tblPr>
      <w:tblStyleRowBandSize w:val="1"/>
      <w:tblStyleColBandSize w:val="1"/>
    </w:tblPr>
  </w:style>
  <w:style w:type="paragraph" w:styleId="CommentText">
    <w:name w:val="annotation text"/>
    <w:basedOn w:val="Normal"/>
    <w:link w:val="CommentTextChar"/>
    <w:uiPriority w:val="99"/>
    <w:semiHidden/>
    <w:unhideWhenUsed/>
    <w:rsid w:val="004D1F95"/>
    <w:pPr>
      <w:spacing w:line="240" w:lineRule="auto"/>
    </w:pPr>
    <w:rPr>
      <w:sz w:val="20"/>
      <w:szCs w:val="20"/>
    </w:rPr>
  </w:style>
  <w:style w:type="character" w:customStyle="1" w:styleId="CommentTextChar">
    <w:name w:val="Comment Text Char"/>
    <w:basedOn w:val="DefaultParagraphFont"/>
    <w:link w:val="CommentText"/>
    <w:uiPriority w:val="99"/>
    <w:semiHidden/>
    <w:rsid w:val="004D1F95"/>
    <w:rPr>
      <w:sz w:val="20"/>
      <w:szCs w:val="20"/>
    </w:rPr>
  </w:style>
  <w:style w:type="character" w:styleId="CommentReference">
    <w:name w:val="annotation reference"/>
    <w:basedOn w:val="DefaultParagraphFont"/>
    <w:uiPriority w:val="99"/>
    <w:semiHidden/>
    <w:unhideWhenUsed/>
    <w:rsid w:val="004D1F95"/>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doi.org/10.1093/geront/gnad052" TargetMode="External" /><Relationship Id="rId26" Type="http://schemas.openxmlformats.org/officeDocument/2006/relationships/hyperlink" Target="https://doi.org/10.1093/geront/gnaa207" TargetMode="External" /><Relationship Id="rId39" Type="http://schemas.openxmlformats.org/officeDocument/2006/relationships/hyperlink" Target="https://www.mdpi.com/2227-9032/13/11/1267" TargetMode="External" /><Relationship Id="rId3" Type="http://schemas.openxmlformats.org/officeDocument/2006/relationships/styles" Target="styles.xml" /><Relationship Id="rId21" Type="http://schemas.openxmlformats.org/officeDocument/2006/relationships/hyperlink" Target="https://doi.org/10.3390/jpm11080776" TargetMode="External" /><Relationship Id="rId34" Type="http://schemas.openxmlformats.org/officeDocument/2006/relationships/hyperlink" Target="https://doi.org/10.1186/s12913-025-13436-8" TargetMode="External" /><Relationship Id="rId42" Type="http://schemas.openxmlformats.org/officeDocument/2006/relationships/hyperlink" Target="https://doi.org/10.1186/s12877-025-06340-7" TargetMode="External" /><Relationship Id="rId47" Type="http://schemas.openxmlformats.org/officeDocument/2006/relationships/footer" Target="footer2.xm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093/geront/gnad052" TargetMode="External" /><Relationship Id="rId25" Type="http://schemas.openxmlformats.org/officeDocument/2006/relationships/hyperlink" Target="https://doi.org/10.1186/s12877-025-06642-w" TargetMode="External" /><Relationship Id="rId33" Type="http://schemas.openxmlformats.org/officeDocument/2006/relationships/hyperlink" Target="https://doi.org/10.1111/wvn.12746" TargetMode="External" /><Relationship Id="rId38" Type="http://schemas.openxmlformats.org/officeDocument/2006/relationships/hyperlink" Target="https://doi.org/10.1186/s12913-020-05382-4" TargetMode="External"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371/journal.pmed.1002500" TargetMode="External" /><Relationship Id="rId20" Type="http://schemas.openxmlformats.org/officeDocument/2006/relationships/hyperlink" Target="https://www.cqc.org.uk/publications/major-report/state-care/2024-2025/focus/dementia" TargetMode="External" /><Relationship Id="rId29" Type="http://schemas.openxmlformats.org/officeDocument/2006/relationships/hyperlink" Target="https://digital.nhs.uk/data-and-information/publications/statistical/primary-care-dementia-data/april-2025?utm_source=chatgpt.com" TargetMode="External" /><Relationship Id="rId41" Type="http://schemas.openxmlformats.org/officeDocument/2006/relationships/hyperlink" Target="https://doi.org/10.1177/0733464824125201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097/hmr.0000000000000254" TargetMode="External" /><Relationship Id="rId32" Type="http://schemas.openxmlformats.org/officeDocument/2006/relationships/hyperlink" Target="https://doi.org/10.1111/wvn.12746" TargetMode="External" /><Relationship Id="rId37" Type="http://schemas.openxmlformats.org/officeDocument/2006/relationships/hyperlink" Target="https://doi.org/10.1016/j.jamda.2024.105351" TargetMode="External" /><Relationship Id="rId40" Type="http://schemas.openxmlformats.org/officeDocument/2006/relationships/hyperlink" Target="https://doi.org/10.1177/07334648241252010" TargetMode="External" /><Relationship Id="rId45"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hyperlink" Target="https://www.alzheimers.org.uk/about-us/policy-and-influencing/reports/survey-lived-experiences-dementia?utm_source=chatgpt.com" TargetMode="External" /><Relationship Id="rId23" Type="http://schemas.openxmlformats.org/officeDocument/2006/relationships/hyperlink" Target="https://doi.org/10.1080/13607863.2025.2515178" TargetMode="External" /><Relationship Id="rId28" Type="http://schemas.openxmlformats.org/officeDocument/2006/relationships/hyperlink" Target="https://doi.org/10.18231/j.agems.2021.003" TargetMode="External" /><Relationship Id="rId36" Type="http://schemas.openxmlformats.org/officeDocument/2006/relationships/hyperlink" Target="https://doi.org/10.1016/j.jamda.2024.105351" TargetMode="External" /><Relationship Id="rId49" Type="http://schemas.openxmlformats.org/officeDocument/2006/relationships/footer" Target="footer3.xml" /><Relationship Id="rId10" Type="http://schemas.openxmlformats.org/officeDocument/2006/relationships/image" Target="media/image3.png" /><Relationship Id="rId19" Type="http://schemas.openxmlformats.org/officeDocument/2006/relationships/hyperlink" Target="https://doi.org/10.1093/geront/gnad052" TargetMode="External" /><Relationship Id="rId31" Type="http://schemas.openxmlformats.org/officeDocument/2006/relationships/hyperlink" Target="https://doi.org/10.1111/wvn.12746" TargetMode="External" /><Relationship Id="rId44"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lzheimers.org.uk/what-we-do/policy-and-influencing/dementia-scale-impact-numbers?utm_source=chatgpt.com" TargetMode="External" /><Relationship Id="rId22" Type="http://schemas.openxmlformats.org/officeDocument/2006/relationships/hyperlink" Target="https://doi.org/10.1080/13607863.2025.2515178" TargetMode="External" /><Relationship Id="rId27" Type="http://schemas.openxmlformats.org/officeDocument/2006/relationships/hyperlink" Target="https://www.mdpi.com/2227-9032/13/12/1379" TargetMode="External" /><Relationship Id="rId30" Type="http://schemas.openxmlformats.org/officeDocument/2006/relationships/hyperlink" Target="https://digital.nhs.uk/data-and-information/publications/statistical/primary-care-dementia-data/june-2025?utm_source=chatgpt.com" TargetMode="External" /><Relationship Id="rId35" Type="http://schemas.openxmlformats.org/officeDocument/2006/relationships/hyperlink" Target="https://doi.org/10.1186/s12913-025-13436-8" TargetMode="External" /><Relationship Id="rId43" Type="http://schemas.openxmlformats.org/officeDocument/2006/relationships/hyperlink" Target="https://doi.org/10.1016/j.inpsyc.2025.100088" TargetMode="External" /><Relationship Id="rId48" Type="http://schemas.openxmlformats.org/officeDocument/2006/relationships/header" Target="header3.xml" /><Relationship Id="rId8" Type="http://schemas.openxmlformats.org/officeDocument/2006/relationships/image" Target="media/image1.png" /><Relationship Id="rId51"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NP1NA0ytzTxYyBFhO3uk96qOlw==">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12336</Words>
  <Characters>70316</Characters>
  <Application>Microsoft Office Word</Application>
  <DocSecurity>0</DocSecurity>
  <Lines>585</Lines>
  <Paragraphs>164</Paragraphs>
  <ScaleCrop>false</ScaleCrop>
  <Company/>
  <LinksUpToDate>false</LinksUpToDate>
  <CharactersWithSpaces>82488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2026-03-06T01:03:00Z</dcterms:created>
  <dcterms:modified xsi:type="dcterms:W3CDTF">2026-03-06T01:03:00Z</dcterms:modified>
</cp:coreProperties>
</file>