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62AD42B" w:rsidR="00986B43" w:rsidRPr="00BB61DD"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BB61DD">
              <w:rPr>
                <w:rFonts w:ascii="Times New Roman" w:hAnsi="Times New Roman" w:cs="Times New Roman"/>
                <w:b/>
                <w:color w:val="auto"/>
                <w:sz w:val="40"/>
                <w:szCs w:val="40"/>
              </w:rPr>
              <w:t>Learner’s name:</w:t>
            </w:r>
            <w:r w:rsidR="00247265" w:rsidRPr="00BB61DD">
              <w:rPr>
                <w:rFonts w:ascii="Times New Roman" w:hAnsi="Times New Roman" w:cs="Times New Roman"/>
                <w:b/>
                <w:color w:val="auto"/>
                <w:sz w:val="40"/>
                <w:szCs w:val="40"/>
              </w:rPr>
              <w:t xml:space="preserve"> </w:t>
            </w:r>
            <w:r w:rsidR="00FA3A0E" w:rsidRPr="00BB61DD">
              <w:rPr>
                <w:rFonts w:ascii="Times New Roman" w:hAnsi="Times New Roman" w:cs="Times New Roman"/>
                <w:b/>
                <w:color w:val="auto"/>
                <w:sz w:val="40"/>
                <w:szCs w:val="40"/>
              </w:rPr>
              <w:t>Leah Williams</w:t>
            </w:r>
          </w:p>
          <w:p w14:paraId="0B6CD0DB" w14:textId="689515B5" w:rsidR="009C337F" w:rsidRPr="00BB61DD"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52350D52" w:rsidR="009C337F" w:rsidRPr="00BB61DD"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BB61DD">
              <w:rPr>
                <w:rFonts w:ascii="Times New Roman" w:hAnsi="Times New Roman" w:cs="Times New Roman"/>
                <w:b/>
                <w:color w:val="auto"/>
                <w:sz w:val="40"/>
                <w:szCs w:val="40"/>
              </w:rPr>
              <w:t xml:space="preserve">Email </w:t>
            </w:r>
            <w:r w:rsidR="004423E1" w:rsidRPr="00BB61DD">
              <w:rPr>
                <w:rFonts w:ascii="Times New Roman" w:hAnsi="Times New Roman" w:cs="Times New Roman"/>
                <w:b/>
                <w:color w:val="auto"/>
                <w:sz w:val="40"/>
                <w:szCs w:val="40"/>
              </w:rPr>
              <w:t>address: l.williams13@npt.gov.uk</w:t>
            </w:r>
          </w:p>
          <w:p w14:paraId="22E38809" w14:textId="77777777" w:rsidR="00986B43" w:rsidRPr="00BB61DD"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74E9CFC4" w:rsidR="00F927A1" w:rsidRPr="00BB61DD"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BB61DD">
              <w:rPr>
                <w:rFonts w:ascii="Times New Roman" w:hAnsi="Times New Roman" w:cs="Times New Roman"/>
                <w:b/>
                <w:color w:val="auto"/>
                <w:sz w:val="40"/>
                <w:szCs w:val="40"/>
              </w:rPr>
              <w:t>Learner’s University Registration</w:t>
            </w:r>
            <w:r w:rsidR="00F927A1" w:rsidRPr="00BB61DD">
              <w:rPr>
                <w:rFonts w:ascii="Times New Roman" w:hAnsi="Times New Roman" w:cs="Times New Roman"/>
                <w:b/>
                <w:color w:val="auto"/>
                <w:sz w:val="40"/>
                <w:szCs w:val="40"/>
              </w:rPr>
              <w:t xml:space="preserve"> Number:</w:t>
            </w:r>
            <w:r w:rsidR="00F840C2" w:rsidRPr="00BB61DD">
              <w:rPr>
                <w:rFonts w:ascii="Times New Roman" w:hAnsi="Times New Roman" w:cs="Times New Roman"/>
                <w:b/>
                <w:color w:val="auto"/>
                <w:sz w:val="40"/>
                <w:szCs w:val="40"/>
              </w:rPr>
              <w:t xml:space="preserve"> </w:t>
            </w:r>
            <w:r w:rsidR="00BB61DD" w:rsidRPr="00BB61DD">
              <w:rPr>
                <w:rFonts w:ascii="Times New Roman" w:hAnsi="Times New Roman" w:cs="Times New Roman"/>
                <w:b/>
                <w:color w:val="auto"/>
                <w:sz w:val="40"/>
                <w:szCs w:val="40"/>
              </w:rPr>
              <w:t>2014541</w:t>
            </w:r>
          </w:p>
          <w:p w14:paraId="622FD17A" w14:textId="77777777" w:rsidR="0085230E" w:rsidRPr="00BB61DD"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BB61DD">
              <w:rPr>
                <w:rFonts w:ascii="Times New Roman" w:hAnsi="Times New Roman" w:cs="Times New Roman"/>
                <w:b/>
                <w:color w:val="auto"/>
                <w:sz w:val="40"/>
                <w:szCs w:val="40"/>
              </w:rPr>
              <w:t xml:space="preserve">Cohort: </w:t>
            </w:r>
            <w:r w:rsidR="00B037B0" w:rsidRPr="00BB61DD">
              <w:rPr>
                <w:rFonts w:ascii="Times New Roman" w:hAnsi="Times New Roman" w:cs="Times New Roman"/>
                <w:b/>
                <w:color w:val="auto"/>
                <w:sz w:val="40"/>
                <w:szCs w:val="40"/>
              </w:rPr>
              <w:t>21</w:t>
            </w:r>
            <w:r w:rsidR="00AE6231" w:rsidRPr="00BB61DD">
              <w:rPr>
                <w:rFonts w:ascii="Times New Roman" w:hAnsi="Times New Roman" w:cs="Times New Roman"/>
                <w:b/>
                <w:color w:val="auto"/>
                <w:sz w:val="40"/>
                <w:szCs w:val="40"/>
              </w:rPr>
              <w:t xml:space="preserve"> onwards</w:t>
            </w:r>
          </w:p>
        </w:tc>
      </w:tr>
      <w:tr w:rsidR="00FA3A0E" w:rsidRPr="005D3F07" w14:paraId="7D5EE81A" w14:textId="77777777" w:rsidTr="005D3F07">
        <w:tc>
          <w:tcPr>
            <w:tcW w:w="10368" w:type="dxa"/>
          </w:tcPr>
          <w:p w14:paraId="41448995" w14:textId="77777777" w:rsidR="00FA3A0E" w:rsidRDefault="00FA3A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640AFE96" w14:textId="77777777" w:rsidR="00AD3849" w:rsidRPr="00A208A4" w:rsidRDefault="00AD3849" w:rsidP="00FF7EBB">
            <w:pPr>
              <w:jc w:val="both"/>
              <w:rPr>
                <w:i/>
                <w:sz w:val="24"/>
                <w:szCs w:val="24"/>
              </w:rPr>
            </w:pPr>
          </w:p>
          <w:p w14:paraId="2C963CE3" w14:textId="77777777" w:rsidR="00AD3849" w:rsidRPr="00A208A4" w:rsidRDefault="00AD3849" w:rsidP="00AD3849">
            <w:pPr>
              <w:rPr>
                <w:sz w:val="24"/>
                <w:szCs w:val="24"/>
              </w:rPr>
            </w:pPr>
            <w:r w:rsidRPr="00A208A4">
              <w:rPr>
                <w:sz w:val="24"/>
                <w:szCs w:val="24"/>
              </w:rPr>
              <w:t xml:space="preserve">The case study explored within this assignment is based on an individual with whom I have worked since commencing my role within the Community Mental Health Team (CMHT). To maintain confidentiality, this individual will be referred to as Person </w:t>
            </w:r>
            <w:r w:rsidRPr="00A208A4">
              <w:rPr>
                <w:i/>
                <w:iCs/>
                <w:sz w:val="24"/>
                <w:szCs w:val="24"/>
              </w:rPr>
              <w:t>2</w:t>
            </w:r>
            <w:r w:rsidRPr="00A208A4">
              <w:rPr>
                <w:sz w:val="24"/>
                <w:szCs w:val="24"/>
              </w:rPr>
              <w:t xml:space="preserve"> throughout. The purpose of this case study is to critically reflect on my professional practice with Person 2 within the context of multidisciplinary working in the CMHT. Brief reference will be made to the individual’s mental health diagnosis to provide contextual understanding.</w:t>
            </w:r>
          </w:p>
          <w:p w14:paraId="1AAAA343" w14:textId="77777777" w:rsidR="00AD3849" w:rsidRPr="00A208A4" w:rsidRDefault="00AD3849" w:rsidP="00AD3849">
            <w:pPr>
              <w:rPr>
                <w:sz w:val="24"/>
                <w:szCs w:val="24"/>
              </w:rPr>
            </w:pPr>
            <w:r w:rsidRPr="00A208A4">
              <w:rPr>
                <w:sz w:val="24"/>
                <w:szCs w:val="24"/>
              </w:rPr>
              <w:t>This reflection will be underpinned by relevant legislation and statutory frameworks, including the Mental Health Act 1983 (as amended in 2007), the Mental Health (Wales) Measure 2010, the Social Services and Well-being (Wales) Act 2014, the Human Rights Act 1998, and the Wales Safeguarding Procedures (2019). Particular attention will be given to how these frameworks inform assessment, intervention, and safeguarding practice. The case study will also explore barriers identified through multi</w:t>
            </w:r>
            <w:r w:rsidRPr="00A208A4">
              <w:rPr>
                <w:sz w:val="24"/>
                <w:szCs w:val="24"/>
              </w:rPr>
              <w:noBreakHyphen/>
              <w:t>agency working and will critically reflect on the effectiveness and challenges of collaborative practice when supporting individuals with complex mental health needs.</w:t>
            </w:r>
          </w:p>
          <w:p w14:paraId="76232605" w14:textId="77777777" w:rsidR="00CD5016" w:rsidRPr="00A208A4" w:rsidRDefault="00CD5016" w:rsidP="00AD3849">
            <w:pPr>
              <w:rPr>
                <w:sz w:val="24"/>
                <w:szCs w:val="24"/>
              </w:rPr>
            </w:pPr>
          </w:p>
          <w:p w14:paraId="1F46102B" w14:textId="77777777" w:rsidR="00AD3849" w:rsidRPr="00A208A4" w:rsidRDefault="00AD3849" w:rsidP="00AD3849">
            <w:pPr>
              <w:rPr>
                <w:sz w:val="24"/>
                <w:szCs w:val="24"/>
              </w:rPr>
            </w:pPr>
            <w:r w:rsidRPr="00A208A4">
              <w:rPr>
                <w:sz w:val="24"/>
                <w:szCs w:val="24"/>
              </w:rPr>
              <w:t>Safeguarding within adult social care in Wales is underpinned by the Social Services and Well</w:t>
            </w:r>
            <w:r w:rsidRPr="00A208A4">
              <w:rPr>
                <w:sz w:val="24"/>
                <w:szCs w:val="24"/>
              </w:rPr>
              <w:noBreakHyphen/>
              <w:t>being (Wales) Act 2014 (SSWBA, 2014). Part 7 of the Act sets out the statutory framework for safeguarding adults and places a clear duty on local authorities to make enquiries where there is reasonable cause to suspect that an adult is experiencing, or is at risk of, abuse or neglect. These enquiries must be proportionate, person</w:t>
            </w:r>
            <w:r w:rsidRPr="00A208A4">
              <w:rPr>
                <w:sz w:val="24"/>
                <w:szCs w:val="24"/>
              </w:rPr>
              <w:noBreakHyphen/>
              <w:t>centred, and focused on both the protection and well</w:t>
            </w:r>
            <w:r w:rsidRPr="00A208A4">
              <w:rPr>
                <w:sz w:val="24"/>
                <w:szCs w:val="24"/>
              </w:rPr>
              <w:noBreakHyphen/>
              <w:t>being of the adult at risk.</w:t>
            </w:r>
          </w:p>
          <w:p w14:paraId="5DE6F864" w14:textId="77777777" w:rsidR="00AD3849" w:rsidRPr="00A208A4" w:rsidRDefault="00AD3849" w:rsidP="00AD3849">
            <w:pPr>
              <w:rPr>
                <w:sz w:val="24"/>
                <w:szCs w:val="24"/>
              </w:rPr>
            </w:pPr>
            <w:r w:rsidRPr="00A208A4">
              <w:rPr>
                <w:sz w:val="24"/>
                <w:szCs w:val="24"/>
              </w:rPr>
              <w:t>The Act defines an “adult at risk” as an individual who is experiencing or is at risk of abuse or neglect, has needs for care and support, and as a result of those needs is unable to protect themselves from the abuse or neglect or the risk of it. Importantly, the safeguarding duty does not rely solely on a diagnosis or the presence of mental incapacity; rather, it considers the interaction between care and support needs, vulnerability, and the risk of harm.</w:t>
            </w:r>
          </w:p>
          <w:p w14:paraId="0613E016" w14:textId="77777777" w:rsidR="00CD5016" w:rsidRPr="00A208A4" w:rsidRDefault="00CD5016" w:rsidP="00AD3849">
            <w:pPr>
              <w:rPr>
                <w:sz w:val="24"/>
                <w:szCs w:val="24"/>
              </w:rPr>
            </w:pPr>
          </w:p>
          <w:p w14:paraId="00D40C11" w14:textId="77777777" w:rsidR="00AD3849" w:rsidRPr="00A208A4" w:rsidRDefault="00AD3849" w:rsidP="00AD3849">
            <w:pPr>
              <w:rPr>
                <w:sz w:val="24"/>
                <w:szCs w:val="24"/>
              </w:rPr>
            </w:pPr>
            <w:r w:rsidRPr="00A208A4">
              <w:rPr>
                <w:sz w:val="24"/>
                <w:szCs w:val="24"/>
              </w:rPr>
              <w:t>Overall, the SSWBA (2014) positions safeguarding not solely as a risk</w:t>
            </w:r>
            <w:r w:rsidRPr="00A208A4">
              <w:rPr>
                <w:sz w:val="24"/>
                <w:szCs w:val="24"/>
              </w:rPr>
              <w:noBreakHyphen/>
              <w:t>management process, but as an integral aspect of promoting well</w:t>
            </w:r>
            <w:r w:rsidRPr="00A208A4">
              <w:rPr>
                <w:sz w:val="24"/>
                <w:szCs w:val="24"/>
              </w:rPr>
              <w:noBreakHyphen/>
              <w:t>being, rights, and dignity. This aligns closely with the principles of the Mental Capacity Act (2005), reinforcing the need to presume capacity, involve individuals as fully as possible, and ensure that safeguarding interventions are lawful, ethical, and proportionate.</w:t>
            </w:r>
          </w:p>
          <w:p w14:paraId="5FC68728" w14:textId="77777777" w:rsidR="00CD5016" w:rsidRPr="00A208A4" w:rsidRDefault="00CD5016" w:rsidP="00AD3849">
            <w:pPr>
              <w:rPr>
                <w:sz w:val="24"/>
                <w:szCs w:val="24"/>
              </w:rPr>
            </w:pPr>
          </w:p>
          <w:p w14:paraId="61DFA5B1" w14:textId="4C89838E" w:rsidR="00AD3849" w:rsidRPr="00A208A4" w:rsidRDefault="00AD3849" w:rsidP="00AD3849">
            <w:pPr>
              <w:rPr>
                <w:sz w:val="24"/>
                <w:szCs w:val="24"/>
              </w:rPr>
            </w:pPr>
            <w:r w:rsidRPr="00A208A4">
              <w:rPr>
                <w:sz w:val="24"/>
                <w:szCs w:val="24"/>
              </w:rPr>
              <w:t>I discussed with my mentor around using this case due to the complexities that I have experienced whilst working with partner agencies to support person 2. Person 2 is a 44-year-old transgender (Female to Male). I have co worked this case with a community Psychiatric nurse (CPN) on the team for over a year. Person 2 has been known to mental health services for a number of years, however, has only been care coordinated by the CMHT since 2023.</w:t>
            </w:r>
            <w:r w:rsidR="00B94F88">
              <w:rPr>
                <w:sz w:val="24"/>
                <w:szCs w:val="24"/>
              </w:rPr>
              <w:t xml:space="preserve"> </w:t>
            </w:r>
          </w:p>
          <w:p w14:paraId="3A91650E" w14:textId="77777777" w:rsidR="00CD5016" w:rsidRPr="00A208A4" w:rsidRDefault="00CD5016" w:rsidP="00AD3849">
            <w:pPr>
              <w:rPr>
                <w:sz w:val="24"/>
                <w:szCs w:val="24"/>
              </w:rPr>
            </w:pPr>
          </w:p>
          <w:p w14:paraId="5BE45603" w14:textId="77777777" w:rsidR="00AD3849" w:rsidRDefault="00AD3849" w:rsidP="00AD3849">
            <w:pPr>
              <w:rPr>
                <w:sz w:val="24"/>
                <w:szCs w:val="24"/>
              </w:rPr>
            </w:pPr>
            <w:r w:rsidRPr="00A208A4">
              <w:rPr>
                <w:sz w:val="24"/>
                <w:szCs w:val="24"/>
              </w:rPr>
              <w:t>Person 2 has a diagnosis of Emotionally Unstable Personality Disorder (EUPD), alongside a history of trauma and substance use. EUPD is a mental health condition characterised by persistent patterns of impulsive behaviours, unstable emotional regulation, disturbed or rapidly shifting thought processes, and suicidal ideation. These symptoms can be continuous, overwhelming, and exhausting for the individual experiencing them, often impacting daily functioning, relationships, and overall wellbeing (National Health Service, 2022).</w:t>
            </w:r>
          </w:p>
          <w:p w14:paraId="530D2437" w14:textId="77777777" w:rsidR="00A208A4" w:rsidRPr="00A208A4" w:rsidRDefault="00A208A4" w:rsidP="00AD3849">
            <w:pPr>
              <w:rPr>
                <w:sz w:val="24"/>
                <w:szCs w:val="24"/>
              </w:rPr>
            </w:pPr>
          </w:p>
          <w:p w14:paraId="61C486CE" w14:textId="77777777" w:rsidR="00AD3849" w:rsidRPr="00A208A4" w:rsidRDefault="00AD3849" w:rsidP="00AD3849">
            <w:pPr>
              <w:rPr>
                <w:sz w:val="24"/>
                <w:szCs w:val="24"/>
              </w:rPr>
            </w:pPr>
            <w:r w:rsidRPr="00A208A4">
              <w:rPr>
                <w:sz w:val="24"/>
                <w:szCs w:val="24"/>
              </w:rPr>
              <w:t>When initiating assessments with Person 2 at the start of my involvement, it was important to establish a positive but honest professional relationship. In order to work in a person</w:t>
            </w:r>
            <w:r w:rsidRPr="00A208A4">
              <w:rPr>
                <w:sz w:val="24"/>
                <w:szCs w:val="24"/>
              </w:rPr>
              <w:noBreakHyphen/>
              <w:t>centred way, I needed to identify and understand the individual’s needs, wishes, and outcomes in line with the principles of the Social Services and Well</w:t>
            </w:r>
            <w:r w:rsidRPr="00A208A4">
              <w:rPr>
                <w:sz w:val="24"/>
                <w:szCs w:val="24"/>
              </w:rPr>
              <w:noBreakHyphen/>
              <w:t>being (Wales) Act 2014, which places the individual at the centre of assessment and care planning. My initial involvement occurred at a time when Person 2 was in the process of being evicted from their property, which heightened their level of stress and vulnerability. It was therefore essential during the initial assessment to capture Person 2’s views alongside information from professionals involved in their support network, to ensure a holistic understanding of their circumstances. This approach was also undertaken in compliance with Part 2 of the Mental Health (Wales) Measure 2010, relating to secondary mental health services, which requires a care coordinator to be allocated under Section 14 and the completion of a comprehensive Care and Treatment Plan (Welsh Government, 2012).</w:t>
            </w:r>
          </w:p>
          <w:p w14:paraId="559434A8" w14:textId="77777777" w:rsidR="00CD5016" w:rsidRPr="00A208A4" w:rsidRDefault="00CD5016" w:rsidP="00AD3849">
            <w:pPr>
              <w:rPr>
                <w:sz w:val="24"/>
                <w:szCs w:val="24"/>
              </w:rPr>
            </w:pPr>
          </w:p>
          <w:p w14:paraId="4B74853F" w14:textId="77777777" w:rsidR="00AD3849" w:rsidRPr="00A208A4" w:rsidRDefault="00AD3849" w:rsidP="00AD3849">
            <w:pPr>
              <w:rPr>
                <w:sz w:val="24"/>
                <w:szCs w:val="24"/>
              </w:rPr>
            </w:pPr>
            <w:r w:rsidRPr="00A208A4">
              <w:rPr>
                <w:sz w:val="24"/>
                <w:szCs w:val="24"/>
              </w:rPr>
              <w:t>In addition, reference was made to the principles set out in the Welsh Language (Wales) Measure 2011, which require local authorities to operate in compliance with the Measure and ensure that the Welsh language is treated no less favourably than the English language. Person 2 chose to undertake the assessment in English, explaining that they have limited ability in the Welsh language. Completing the assessment in English therefore ensured that Person 2’s views, choices, and support needs were accurately communicated, captured, and understood.</w:t>
            </w:r>
          </w:p>
          <w:p w14:paraId="6B6B55D7" w14:textId="77777777" w:rsidR="00D9162B" w:rsidRPr="00A208A4" w:rsidRDefault="00D9162B" w:rsidP="00AD3849">
            <w:pPr>
              <w:rPr>
                <w:sz w:val="24"/>
                <w:szCs w:val="24"/>
              </w:rPr>
            </w:pPr>
          </w:p>
          <w:p w14:paraId="502897C1" w14:textId="77777777" w:rsidR="00AD3849" w:rsidRPr="00A208A4" w:rsidRDefault="00AD3849" w:rsidP="00AD3849">
            <w:pPr>
              <w:rPr>
                <w:sz w:val="24"/>
                <w:szCs w:val="24"/>
              </w:rPr>
            </w:pPr>
            <w:r w:rsidRPr="00A208A4">
              <w:rPr>
                <w:sz w:val="24"/>
                <w:szCs w:val="24"/>
              </w:rPr>
              <w:t>Person 2 resided within a local authority area with a population of approximately 142,300, as reported by the Office for National Statistics (ONS, 2022). The local authority comprises a mix of urban and rural communities. When working with Person 2, it was important to take this context into consideration to ensure that principles of equality were upheld, particularly in relation to access to local services and the continuity of care and support across the authority. Although Person 2 was care coordinated, these considerations remained the responsibility of all professionals involved in their care, in line with the duties set out in the Social Services and Well</w:t>
            </w:r>
            <w:r w:rsidRPr="00A208A4">
              <w:rPr>
                <w:sz w:val="24"/>
                <w:szCs w:val="24"/>
              </w:rPr>
              <w:noBreakHyphen/>
              <w:t>being (Wales) Act 2014.</w:t>
            </w:r>
          </w:p>
          <w:p w14:paraId="2D420709" w14:textId="77777777" w:rsidR="00D9162B" w:rsidRPr="00A208A4" w:rsidRDefault="00D9162B" w:rsidP="00AD3849">
            <w:pPr>
              <w:rPr>
                <w:sz w:val="24"/>
                <w:szCs w:val="24"/>
              </w:rPr>
            </w:pPr>
          </w:p>
          <w:p w14:paraId="4052A719" w14:textId="2C185EE0" w:rsidR="00AD3849" w:rsidRPr="00A208A4" w:rsidRDefault="00AD3849" w:rsidP="00AD3849">
            <w:pPr>
              <w:rPr>
                <w:sz w:val="24"/>
                <w:szCs w:val="24"/>
              </w:rPr>
            </w:pPr>
            <w:r w:rsidRPr="00A208A4">
              <w:rPr>
                <w:sz w:val="24"/>
                <w:szCs w:val="24"/>
              </w:rPr>
              <w:t>Person 2 was living in a Housing Support Grant (HSG) placement within the local authority</w:t>
            </w:r>
            <w:r w:rsidR="00D9162B" w:rsidRPr="00A208A4">
              <w:rPr>
                <w:sz w:val="24"/>
                <w:szCs w:val="24"/>
              </w:rPr>
              <w:t xml:space="preserve"> after previously becoming homeless due to a deterioration in their mental health</w:t>
            </w:r>
            <w:r w:rsidRPr="00A208A4">
              <w:rPr>
                <w:sz w:val="24"/>
                <w:szCs w:val="24"/>
              </w:rPr>
              <w:t xml:space="preserve">. Welsh Government (2025) in 2019 brought into effect the early intervention and prevention of supporting people from becoming homeless. Additionally, it was set out to also support individuals with their vulnerabilities, Mental Health, skill setting and management and also substance use. </w:t>
            </w:r>
          </w:p>
          <w:p w14:paraId="1A004ED3" w14:textId="77777777" w:rsidR="00D9162B" w:rsidRPr="00A208A4" w:rsidRDefault="00D9162B" w:rsidP="00AD3849">
            <w:pPr>
              <w:rPr>
                <w:sz w:val="24"/>
                <w:szCs w:val="24"/>
              </w:rPr>
            </w:pPr>
          </w:p>
          <w:p w14:paraId="3DE137B5" w14:textId="77777777" w:rsidR="00AD3849" w:rsidRPr="00A208A4" w:rsidRDefault="00AD3849" w:rsidP="00AD3849">
            <w:pPr>
              <w:rPr>
                <w:sz w:val="24"/>
                <w:szCs w:val="24"/>
              </w:rPr>
            </w:pPr>
            <w:r w:rsidRPr="00A208A4">
              <w:rPr>
                <w:sz w:val="24"/>
                <w:szCs w:val="24"/>
              </w:rPr>
              <w:t>Support staff at the HSG placement where Person 2 was residing raised several safeguarding concerns regarding the individual’s presentation and behaviour. These included ongoing substance use and poor engagement with key health services, particularly district nurses responsible for administering insulin. Person 2 had a diagnosis of Type 1 diabetes, a long</w:t>
            </w:r>
            <w:r w:rsidRPr="00A208A4">
              <w:rPr>
                <w:sz w:val="24"/>
                <w:szCs w:val="24"/>
              </w:rPr>
              <w:noBreakHyphen/>
              <w:t>term condition requiring daily insulin management. The National Health Service (NHS, 2024) defines Type 1 diabetes as a condition in which the body is unable to produce insulin, a hormone essential for regulating blood glucose levels. Failure to receive regular insulin places individuals at significant risk of serious and potentially life</w:t>
            </w:r>
            <w:r w:rsidRPr="00A208A4">
              <w:rPr>
                <w:sz w:val="24"/>
                <w:szCs w:val="24"/>
              </w:rPr>
              <w:noBreakHyphen/>
              <w:t>threatening health complications.</w:t>
            </w:r>
          </w:p>
          <w:p w14:paraId="66FC4B33" w14:textId="77777777" w:rsidR="00D9162B" w:rsidRPr="00A208A4" w:rsidRDefault="00D9162B" w:rsidP="00AD3849">
            <w:pPr>
              <w:rPr>
                <w:sz w:val="24"/>
                <w:szCs w:val="24"/>
              </w:rPr>
            </w:pPr>
          </w:p>
          <w:p w14:paraId="7E21D48F" w14:textId="77777777" w:rsidR="009D11A5" w:rsidRDefault="009D11A5" w:rsidP="009D11A5">
            <w:pPr>
              <w:rPr>
                <w:sz w:val="24"/>
                <w:szCs w:val="24"/>
              </w:rPr>
            </w:pPr>
            <w:r w:rsidRPr="009D11A5">
              <w:rPr>
                <w:sz w:val="24"/>
                <w:szCs w:val="24"/>
              </w:rPr>
              <w:t>Additional concerns were identified regarding Person 2's limited engagement with support staff within the HSG placement and ongoing patterns of unpredictable behaviour. There were also frequent hospital admissions associated with substance misuse, during which Person 2 disclosed that these incidents had been attempts to end their life. This significantly increased the safeguarding concerns and highlighted the complexity of the risks presented. McClelland, Cleare and O'Connor (2023) note that suicidal behaviours are more prevalent among individuals experiencing mental health difficulties, with those diagnosed with personality disorders being at an increased risk of repeated suicide attempts. This evidence emphasised the importance of a coordinated and multidisciplinary response to effectively manage risk while promoting Person 2's wellbeing and autonomy.</w:t>
            </w:r>
          </w:p>
          <w:p w14:paraId="21B6A0E1" w14:textId="77777777" w:rsidR="00C50566" w:rsidRPr="009D11A5" w:rsidRDefault="00C50566" w:rsidP="009D11A5">
            <w:pPr>
              <w:rPr>
                <w:sz w:val="24"/>
                <w:szCs w:val="24"/>
              </w:rPr>
            </w:pPr>
          </w:p>
          <w:p w14:paraId="72E45CCB" w14:textId="77777777" w:rsidR="009D11A5" w:rsidRPr="009D11A5" w:rsidRDefault="009D11A5" w:rsidP="009D11A5">
            <w:pPr>
              <w:rPr>
                <w:sz w:val="24"/>
                <w:szCs w:val="24"/>
              </w:rPr>
            </w:pPr>
            <w:r w:rsidRPr="009D11A5">
              <w:rPr>
                <w:sz w:val="24"/>
                <w:szCs w:val="24"/>
              </w:rPr>
              <w:t>In light of these concerns, the Community Mental Health Team determined that a joint health and social care approach was required. Person 2 was therefore allocated a Community Psychiatric Nurse (CPN) to provide ongoing mental health support, while I remained involved as the allocated social worker to coordinate community-based interventions and address wider social care needs. This collaborative approach enabled risks to be monitored and managed from both a health and social care perspective, ensuring that Person 2 received holistic and person-centred support. Furthermore, it facilitated the sharing of professional knowledge and expertise, which was essential in responding to the interconnected challenges of mental health, substance misuse, housing instability, and safeguarding concerns.</w:t>
            </w:r>
          </w:p>
          <w:p w14:paraId="10DBEF24" w14:textId="77777777" w:rsidR="00D9162B" w:rsidRPr="00A208A4" w:rsidRDefault="00D9162B" w:rsidP="00AD3849">
            <w:pPr>
              <w:rPr>
                <w:sz w:val="24"/>
                <w:szCs w:val="24"/>
              </w:rPr>
            </w:pPr>
          </w:p>
          <w:p w14:paraId="4D16B0FE" w14:textId="77777777" w:rsidR="00AD3849" w:rsidRPr="00A208A4" w:rsidRDefault="00AD3849" w:rsidP="00AD3849">
            <w:pPr>
              <w:rPr>
                <w:sz w:val="24"/>
                <w:szCs w:val="24"/>
              </w:rPr>
            </w:pPr>
            <w:r w:rsidRPr="00A208A4">
              <w:rPr>
                <w:sz w:val="24"/>
                <w:szCs w:val="24"/>
              </w:rPr>
              <w:t>In response to these concerns and following the collation of supporting evidence as part of the referral, it was agreed that Section 126 enquiries under the Social Services and Well-being (Wales) Act 2014 would be initiated. Evidence</w:t>
            </w:r>
            <w:r w:rsidRPr="00A208A4">
              <w:rPr>
                <w:sz w:val="24"/>
                <w:szCs w:val="24"/>
              </w:rPr>
              <w:noBreakHyphen/>
              <w:t>based practice is essential within mental health settings, particularly where individuals present with complex needs and where multiple agencies are involved. A collaborative, evidence</w:t>
            </w:r>
            <w:r w:rsidRPr="00A208A4">
              <w:rPr>
                <w:sz w:val="24"/>
                <w:szCs w:val="24"/>
              </w:rPr>
              <w:noBreakHyphen/>
              <w:t>informed approach supports effective decision</w:t>
            </w:r>
            <w:r w:rsidRPr="00A208A4">
              <w:rPr>
                <w:sz w:val="24"/>
                <w:szCs w:val="24"/>
              </w:rPr>
              <w:noBreakHyphen/>
              <w:t>making, enhances intervention outcomes, and enables purposeful, goal</w:t>
            </w:r>
            <w:r w:rsidRPr="00A208A4">
              <w:rPr>
                <w:sz w:val="24"/>
                <w:szCs w:val="24"/>
              </w:rPr>
              <w:noBreakHyphen/>
              <w:t>directed work (Knott &amp; Scragg, 2010).</w:t>
            </w:r>
          </w:p>
          <w:p w14:paraId="36A8E51D" w14:textId="77777777" w:rsidR="00AB5B4A" w:rsidRPr="00A208A4" w:rsidRDefault="00AB5B4A" w:rsidP="00AD3849">
            <w:pPr>
              <w:rPr>
                <w:sz w:val="24"/>
                <w:szCs w:val="24"/>
              </w:rPr>
            </w:pPr>
          </w:p>
          <w:p w14:paraId="1D38D4BC" w14:textId="77777777" w:rsidR="00050CFC" w:rsidRDefault="00050CFC" w:rsidP="00050CFC">
            <w:pPr>
              <w:rPr>
                <w:sz w:val="24"/>
                <w:szCs w:val="24"/>
              </w:rPr>
            </w:pPr>
            <w:r w:rsidRPr="00050CFC">
              <w:rPr>
                <w:sz w:val="24"/>
                <w:szCs w:val="24"/>
              </w:rPr>
              <w:t>As the Care Coordinator, my role was to discuss the safeguarding concerns with all relevant agencies and individuals involved in Person 2's care and to attend safeguarding strategy meetings within the local authority. These meetings provided a forum to share information, evaluate risk, and develop coordinated interventions to promote Person 2's safety and wellbeing. In addition, I acted as the lead coordinator within these meetings, ensuring that communication between agencies remained effective and that agreed actions were implemented and reviewed appropriately (Social Care Wales, 2026).</w:t>
            </w:r>
          </w:p>
          <w:p w14:paraId="6324E6FA" w14:textId="77777777" w:rsidR="0044371E" w:rsidRPr="00050CFC" w:rsidRDefault="0044371E" w:rsidP="00050CFC">
            <w:pPr>
              <w:rPr>
                <w:sz w:val="24"/>
                <w:szCs w:val="24"/>
              </w:rPr>
            </w:pPr>
          </w:p>
          <w:p w14:paraId="2845E007" w14:textId="77777777" w:rsidR="00050CFC" w:rsidRDefault="00050CFC" w:rsidP="00050CFC">
            <w:pPr>
              <w:rPr>
                <w:sz w:val="24"/>
                <w:szCs w:val="24"/>
              </w:rPr>
            </w:pPr>
            <w:r w:rsidRPr="00050CFC">
              <w:rPr>
                <w:sz w:val="24"/>
                <w:szCs w:val="24"/>
              </w:rPr>
              <w:t>A key area of discussion throughout the strategy meetings was whether Person 2 recognised the level of risk associated with their behaviours and decision-making, particularly in relation to their substance misuse, mental health difficulties, and self-neglect. Questions were also raised regarding Person 2's capacity to make informed decisions about their care and support needs. As Care Coordinator, I was responsible for ensuring that any assessments of capacity were undertaken in accordance with the principles outlined within the Mental Capacity Act (2005), recognising that capacity is both decision-specific and time-specific.</w:t>
            </w:r>
          </w:p>
          <w:p w14:paraId="33FF9C55" w14:textId="77777777" w:rsidR="00050CFC" w:rsidRPr="00050CFC" w:rsidRDefault="00050CFC" w:rsidP="00050CFC">
            <w:pPr>
              <w:rPr>
                <w:sz w:val="24"/>
                <w:szCs w:val="24"/>
              </w:rPr>
            </w:pPr>
          </w:p>
          <w:p w14:paraId="1BB03B12" w14:textId="77777777" w:rsidR="00050CFC" w:rsidRPr="00050CFC" w:rsidRDefault="00050CFC" w:rsidP="00050CFC">
            <w:pPr>
              <w:rPr>
                <w:sz w:val="24"/>
                <w:szCs w:val="24"/>
              </w:rPr>
            </w:pPr>
            <w:r w:rsidRPr="00050CFC">
              <w:rPr>
                <w:sz w:val="24"/>
                <w:szCs w:val="24"/>
              </w:rPr>
              <w:t>Furthermore, as the HSG placement had initiated eviction proceedings due to ongoing concerns regarding engagement and behaviour, professionals questioned whether Person 2 possessed the capacity to make decisions relating to their housing needs. Staff within the placement were uncertain whether the individual's non-compliance with support plans represented an informed choice or whether it reflected an inability to understand, retain, weigh, and communicate information relevant to those decisions. This distinction was particularly important, as the Mental Capacity Act (2005) states that individuals should not be regarded as lacking capacity simply because they make what others perceive to be an unwise decision. Consequently, it was necessary to undertake a robust assessment to establish whether Person 2's decisions were the result of autonomous choice or the consequence of an impairment or disturbance in the functioning of their mind or brain.</w:t>
            </w:r>
          </w:p>
          <w:p w14:paraId="52D6E2CD" w14:textId="77777777" w:rsidR="00050CFC" w:rsidRPr="00050CFC" w:rsidRDefault="00050CFC" w:rsidP="00050CFC">
            <w:pPr>
              <w:rPr>
                <w:sz w:val="24"/>
                <w:szCs w:val="24"/>
              </w:rPr>
            </w:pPr>
            <w:r w:rsidRPr="00050CFC">
              <w:rPr>
                <w:sz w:val="24"/>
                <w:szCs w:val="24"/>
              </w:rPr>
              <w:t>Critically, this situation highlighted the tensions that can arise between promoting an individual's right to self-determination and managing significant safeguarding concerns. While professionals had a duty to minimise foreseeable harm, it was equally important to uphold Person 2's rights and ensure that any intervention was proportionate and least restrictive. This required careful consideration of both legal and ethical principles to balance autonomy with protection, ensuring that Person 2 remained central to all decision-making processes.</w:t>
            </w:r>
          </w:p>
          <w:p w14:paraId="6D3F2F02" w14:textId="77777777" w:rsidR="00147627" w:rsidRPr="00A208A4" w:rsidRDefault="00147627" w:rsidP="00AD3849">
            <w:pPr>
              <w:rPr>
                <w:sz w:val="24"/>
                <w:szCs w:val="24"/>
              </w:rPr>
            </w:pPr>
          </w:p>
          <w:p w14:paraId="22A7953A" w14:textId="77777777" w:rsidR="00AD3849" w:rsidRPr="00A208A4" w:rsidRDefault="00AD3849" w:rsidP="00AD3849">
            <w:pPr>
              <w:rPr>
                <w:sz w:val="24"/>
                <w:szCs w:val="24"/>
              </w:rPr>
            </w:pPr>
            <w:r w:rsidRPr="00A208A4">
              <w:rPr>
                <w:sz w:val="24"/>
                <w:szCs w:val="24"/>
              </w:rPr>
              <w:t>Although these outcomes were commissioned within the safeguarding arena, it was important to clearly articulate that capacity must always be assumed unless proven otherwise, in accordance with the core principles of the Mental Capacity Act (2005). When undertaking capacity assessments for individuals who use substances, consideration must be given to whether the assessment is being conducted at a fair and appropriate time. In this case, it was determined that the capacity assessment should be completed following a period of abstinence from substances to ensure reliability and validity.</w:t>
            </w:r>
          </w:p>
          <w:p w14:paraId="2D70958A" w14:textId="77777777" w:rsidR="00244247" w:rsidRPr="00A208A4" w:rsidRDefault="00244247" w:rsidP="00AD3849">
            <w:pPr>
              <w:rPr>
                <w:sz w:val="24"/>
                <w:szCs w:val="24"/>
              </w:rPr>
            </w:pPr>
          </w:p>
          <w:p w14:paraId="02C53ED8" w14:textId="77777777" w:rsidR="00E6136B" w:rsidRPr="00A208A4" w:rsidRDefault="00E6136B" w:rsidP="00E6136B">
            <w:pPr>
              <w:rPr>
                <w:sz w:val="24"/>
                <w:szCs w:val="24"/>
              </w:rPr>
            </w:pPr>
            <w:r w:rsidRPr="00A208A4">
              <w:rPr>
                <w:sz w:val="24"/>
                <w:szCs w:val="24"/>
              </w:rPr>
              <w:t xml:space="preserve">It was also necessary to recognise that the individual may have capacity overall; however, their capacity could fluctuate when under the influence of substances. This required careful and proportionate consideration, alongside the statutory principle of the Mental Capacity Act (2005), which states that adults have the right to make decisions that others may regard as unwise. Substance use alone does not indicate a lack of capacity, and practitioners must avoid conflating risk-taking behaviours or lifestyle choices with incapacity. However, as Person 2 has a dual diagnosis, impairment in decision-making and functioning may be either temporary or permanent, depending on the severity of both the substance misuse and the mental health condition. Therefore, effective risk management was essential to safeguard the individual's wellbeing, support informed decision-making, and ensure that care planning was responsive to changes in capacity and risk (Hyndman </w:t>
            </w:r>
            <w:r w:rsidRPr="00A208A4">
              <w:rPr>
                <w:i/>
                <w:iCs/>
                <w:sz w:val="24"/>
                <w:szCs w:val="24"/>
              </w:rPr>
              <w:t>et al</w:t>
            </w:r>
            <w:r w:rsidRPr="00A208A4">
              <w:rPr>
                <w:sz w:val="24"/>
                <w:szCs w:val="24"/>
              </w:rPr>
              <w:t>., 2025).</w:t>
            </w:r>
          </w:p>
          <w:p w14:paraId="41FE9F7E" w14:textId="77777777" w:rsidR="00A6032D" w:rsidRPr="00A208A4" w:rsidRDefault="00A6032D" w:rsidP="00AD3849">
            <w:pPr>
              <w:rPr>
                <w:sz w:val="24"/>
                <w:szCs w:val="24"/>
              </w:rPr>
            </w:pPr>
          </w:p>
          <w:p w14:paraId="5B8CBF14" w14:textId="77777777" w:rsidR="00604FA5" w:rsidRPr="00A208A4" w:rsidRDefault="00604FA5" w:rsidP="00604FA5">
            <w:pPr>
              <w:rPr>
                <w:sz w:val="24"/>
                <w:szCs w:val="24"/>
              </w:rPr>
            </w:pPr>
            <w:r w:rsidRPr="00A208A4">
              <w:rPr>
                <w:sz w:val="24"/>
                <w:szCs w:val="24"/>
              </w:rPr>
              <w:t>Additionally, Brown (2024) explains that the purpose of a capacity assessment is to determine an individual's decision-making ability through both a diagnostic and functional test of capacity. This involves assessing whether the person can understand relevant information, retain that information long enough to make a decision, use or weigh the information as part of the decision-making process, and communicate their decision. Importantly, there must be evidence that the individual can demonstrate these abilities at the time the specific decision needs to be made.</w:t>
            </w:r>
          </w:p>
          <w:p w14:paraId="719EE5F8" w14:textId="77777777" w:rsidR="00B16DED" w:rsidRPr="00A208A4" w:rsidRDefault="00B16DED" w:rsidP="00604FA5">
            <w:pPr>
              <w:rPr>
                <w:sz w:val="24"/>
                <w:szCs w:val="24"/>
              </w:rPr>
            </w:pPr>
          </w:p>
          <w:p w14:paraId="418B3BCE" w14:textId="77777777" w:rsidR="00604FA5" w:rsidRPr="00A208A4" w:rsidRDefault="00604FA5" w:rsidP="00604FA5">
            <w:pPr>
              <w:rPr>
                <w:sz w:val="24"/>
                <w:szCs w:val="24"/>
              </w:rPr>
            </w:pPr>
            <w:r w:rsidRPr="00A208A4">
              <w:rPr>
                <w:sz w:val="24"/>
                <w:szCs w:val="24"/>
              </w:rPr>
              <w:t>In accordance with the Mental Capacity Act (2005), it was essential to give due consideration to the individual's wishes, feelings, beliefs, and values when undertaking the assessment. Even where risks are identified, a person who has capacity retains the right to make decisions that others may regard as unwise, provided they are able to satisfy the requirements of the functional test of capacity. Therefore, the role of the practitioner is not to judge the quality or outcome of the decision, but to assess the individual's ability to make that decision. This ensures that the assessment process remains lawful, person-centred, and respectful of the individual's autonomy and right to self-determination (Brown, 2024).</w:t>
            </w:r>
          </w:p>
          <w:p w14:paraId="21A2991D" w14:textId="77777777" w:rsidR="00824397" w:rsidRPr="00A208A4" w:rsidRDefault="00824397" w:rsidP="00AD3849">
            <w:pPr>
              <w:rPr>
                <w:sz w:val="24"/>
                <w:szCs w:val="24"/>
              </w:rPr>
            </w:pPr>
          </w:p>
          <w:p w14:paraId="17EB4ACE" w14:textId="14F8A143" w:rsidR="00AD3849" w:rsidRPr="00A208A4" w:rsidRDefault="00AD3849" w:rsidP="00AD3849">
            <w:pPr>
              <w:rPr>
                <w:sz w:val="24"/>
                <w:szCs w:val="24"/>
              </w:rPr>
            </w:pPr>
            <w:r w:rsidRPr="00A208A4">
              <w:rPr>
                <w:sz w:val="24"/>
                <w:szCs w:val="24"/>
              </w:rPr>
              <w:t>Through reflection and consideration of the information presented, it became evident that there were differing professional opinions among the services supporting Person 2. For example, staff at the HSG placement expressed the view that Person 2 was unable to meet his basic needs independently and therefore required a 24</w:t>
            </w:r>
            <w:r w:rsidRPr="00A208A4">
              <w:rPr>
                <w:sz w:val="24"/>
                <w:szCs w:val="24"/>
              </w:rPr>
              <w:noBreakHyphen/>
              <w:t>hour supported placement. Their rationale was based on observations that Person 2 engaged minimally with staff, associated with other tenants who used illicit substances, and did not engage with support offered around maintaining his accommodation. Concerns were also raised regarding household management tasks, such as failing to regularly dispose of rubbish or engage in recycling practices.</w:t>
            </w:r>
          </w:p>
          <w:p w14:paraId="36E5479A" w14:textId="77777777" w:rsidR="00CD5016" w:rsidRPr="00A208A4" w:rsidRDefault="00CD5016" w:rsidP="00AD3849">
            <w:pPr>
              <w:rPr>
                <w:sz w:val="24"/>
                <w:szCs w:val="24"/>
              </w:rPr>
            </w:pPr>
          </w:p>
          <w:p w14:paraId="46781EAD" w14:textId="77777777" w:rsidR="004A2DEF" w:rsidRPr="00A208A4" w:rsidRDefault="004A2DEF" w:rsidP="004A2DEF">
            <w:pPr>
              <w:rPr>
                <w:sz w:val="24"/>
                <w:szCs w:val="24"/>
              </w:rPr>
            </w:pPr>
            <w:r w:rsidRPr="00A208A4">
              <w:rPr>
                <w:sz w:val="24"/>
                <w:szCs w:val="24"/>
              </w:rPr>
              <w:t>While it was important to acknowledge and consider the concerns raised by the placement provider, it was equally essential to ensure that Person 2 remained at the centre of the safeguarding and care-planning process. It was therefore necessary to distinguish between behaviours that reflected lifestyle choices, self-neglect, or disengagement from services, and evidence that might indicate a lack of decision-making capacity. In this context, the five statutory principles of the Mental Capacity Act (2005) were fundamental to the assessment process. In particular, Principle 3 states that a person should not be treated as unable to make a decision merely because they make a decision that others consider unwise. Consequently, Person 2's choices and behaviours could not be regarded as evidence of impaired capacity without a formal assessment demonstrating an impairment or disturbance in the functioning of the mind or brain that affected their ability to make the specific decision in question.</w:t>
            </w:r>
          </w:p>
          <w:p w14:paraId="7CE644C9" w14:textId="77777777" w:rsidR="004A2DEF" w:rsidRPr="00A208A4" w:rsidRDefault="004A2DEF" w:rsidP="004A2DEF">
            <w:pPr>
              <w:rPr>
                <w:sz w:val="24"/>
                <w:szCs w:val="24"/>
              </w:rPr>
            </w:pPr>
          </w:p>
          <w:p w14:paraId="093D9A8F" w14:textId="77777777" w:rsidR="004A2DEF" w:rsidRDefault="004A2DEF" w:rsidP="004A2DEF">
            <w:pPr>
              <w:rPr>
                <w:sz w:val="24"/>
                <w:szCs w:val="24"/>
              </w:rPr>
            </w:pPr>
            <w:r w:rsidRPr="00A208A4">
              <w:rPr>
                <w:sz w:val="24"/>
                <w:szCs w:val="24"/>
              </w:rPr>
              <w:t>Although Person 2 chose to continue using illicit substances and was not engaging with aspects of support relating to property maintenance, these factors alone did not indicate a lack of capacity. NICE (2018) highlights that information should be tailored to the individual so that it is accessible, understandable and relevant to their personal circumstances. By providing clear information about available options, risks, benefits and potential outcomes, practitioners can support individuals to participate in decision-making and make informed choices regarding their care. This person-centred approach promotes autonomy, dignity and empowerment.</w:t>
            </w:r>
          </w:p>
          <w:p w14:paraId="5B3B6565" w14:textId="77777777" w:rsidR="00A208A4" w:rsidRPr="00A208A4" w:rsidRDefault="00A208A4" w:rsidP="004A2DEF">
            <w:pPr>
              <w:rPr>
                <w:sz w:val="24"/>
                <w:szCs w:val="24"/>
              </w:rPr>
            </w:pPr>
          </w:p>
          <w:p w14:paraId="1B5F0CE9" w14:textId="77777777" w:rsidR="004A2DEF" w:rsidRPr="00A208A4" w:rsidRDefault="004A2DEF" w:rsidP="004A2DEF">
            <w:pPr>
              <w:rPr>
                <w:sz w:val="24"/>
                <w:szCs w:val="24"/>
              </w:rPr>
            </w:pPr>
            <w:r w:rsidRPr="00A208A4">
              <w:rPr>
                <w:sz w:val="24"/>
                <w:szCs w:val="24"/>
              </w:rPr>
              <w:t>Furthermore, it was important to recognise that Person 2 may have possessed decision-making capacity overall, but that this capacity could fluctuate during periods of substance use. As Hyndman et al. (2025) note, individuals with a dual diagnosis may experience temporary or longer-term impairments in functioning, depending on the severity of both their mental health condition and substance misuse. Therefore, ongoing assessment, effective risk management, and regular review were necessary to ensure that Person 2's safety and wellbeing were protected while also respecting their rights, preferences, and autonomy. Rather than focusing solely on the perceived risks associated with their behaviour, the assessment process needed to establish whether Person 2 was able to understand, retain, use or weigh relevant information and communicate their decision at the time the decision was required.</w:t>
            </w:r>
          </w:p>
          <w:p w14:paraId="38A16D6B" w14:textId="0C651E2B" w:rsidR="00AD3849" w:rsidRPr="00A208A4" w:rsidRDefault="00AD3849" w:rsidP="00AD3849">
            <w:pPr>
              <w:rPr>
                <w:sz w:val="24"/>
                <w:szCs w:val="24"/>
              </w:rPr>
            </w:pPr>
          </w:p>
          <w:p w14:paraId="23EF7EA2" w14:textId="74794E76" w:rsidR="00AD3849" w:rsidRPr="00A208A4" w:rsidRDefault="00A208A4" w:rsidP="00AD3849">
            <w:pPr>
              <w:rPr>
                <w:sz w:val="24"/>
                <w:szCs w:val="24"/>
              </w:rPr>
            </w:pPr>
            <w:r w:rsidRPr="00A208A4">
              <w:rPr>
                <w:sz w:val="24"/>
                <w:szCs w:val="24"/>
              </w:rPr>
              <w:t>Likewise</w:t>
            </w:r>
            <w:r w:rsidR="00AD3849" w:rsidRPr="00A208A4">
              <w:rPr>
                <w:sz w:val="24"/>
                <w:szCs w:val="24"/>
              </w:rPr>
              <w:t>, extensive assessments undertaken with Person 2 indicated that he was able to demonstrate key skills necessary to meet his basic needs. This included an understanding of his living environment, the ability to access food and essentials, and an awareness of the support available to him should he choose to engage. On this basis, it was concluded that the evidence did not support the need for a 24</w:t>
            </w:r>
            <w:r w:rsidR="00AD3849" w:rsidRPr="00A208A4">
              <w:rPr>
                <w:sz w:val="24"/>
                <w:szCs w:val="24"/>
              </w:rPr>
              <w:noBreakHyphen/>
              <w:t xml:space="preserve">hour placement, as Person 2 was able to demonstrate capacity and functionality despite presenting risks. This decision aligned with the principles of the Mental Capacity Act (2005), particularly the presumption of capacity and the recognition that individuals with capacity are entitled to make choices that others may view as unwise. More importantly it was also not what person 2 wanted for themselves, they spoke of future plans to be independent with a focus of having their own tenancy. </w:t>
            </w:r>
          </w:p>
          <w:p w14:paraId="2DC63E8A" w14:textId="77777777" w:rsidR="004A2DEF" w:rsidRPr="00A208A4" w:rsidRDefault="004A2DEF" w:rsidP="00AD3849">
            <w:pPr>
              <w:rPr>
                <w:sz w:val="24"/>
                <w:szCs w:val="24"/>
              </w:rPr>
            </w:pPr>
          </w:p>
          <w:p w14:paraId="35D9E1BF" w14:textId="6ADDBA31" w:rsidR="00AD3849" w:rsidRDefault="00AD3849" w:rsidP="00AD3849">
            <w:pPr>
              <w:rPr>
                <w:sz w:val="24"/>
                <w:szCs w:val="24"/>
              </w:rPr>
            </w:pPr>
            <w:r w:rsidRPr="00A208A4">
              <w:rPr>
                <w:sz w:val="24"/>
                <w:szCs w:val="24"/>
              </w:rPr>
              <w:t>Taking this into consideration, the approach adopted correlates with the National Occupational Standards for Social Work, specifically Key Role 3, “Promote engagement and participation,” and Key Role 4, “Assess needs, risks and circumstances.” These roles are central to the social work assessment process and require practitioners to gather and weigh information from a range of sources, while simultaneously ensuring that the voice, wishes, and lived experience of the individual remain central to decision</w:t>
            </w:r>
            <w:r w:rsidRPr="00A208A4">
              <w:rPr>
                <w:sz w:val="24"/>
                <w:szCs w:val="24"/>
              </w:rPr>
              <w:noBreakHyphen/>
              <w:t>making.</w:t>
            </w:r>
            <w:r w:rsidR="00DC07FF">
              <w:rPr>
                <w:sz w:val="24"/>
                <w:szCs w:val="24"/>
              </w:rPr>
              <w:t xml:space="preserve"> (Social Care Wales, 2026)</w:t>
            </w:r>
          </w:p>
          <w:p w14:paraId="49EB16A7" w14:textId="77777777" w:rsidR="00AA05FC" w:rsidRPr="00A208A4" w:rsidRDefault="00AA05FC" w:rsidP="00AD3849">
            <w:pPr>
              <w:rPr>
                <w:sz w:val="24"/>
                <w:szCs w:val="24"/>
              </w:rPr>
            </w:pPr>
          </w:p>
          <w:p w14:paraId="02B62E83" w14:textId="77777777" w:rsidR="00AD3849" w:rsidRDefault="00AD3849" w:rsidP="00AD3849">
            <w:pPr>
              <w:rPr>
                <w:sz w:val="24"/>
                <w:szCs w:val="24"/>
              </w:rPr>
            </w:pPr>
            <w:r w:rsidRPr="00A208A4">
              <w:rPr>
                <w:sz w:val="24"/>
                <w:szCs w:val="24"/>
              </w:rPr>
              <w:t>This balance reflects core social work values, whereby professional judgement is informed not only by the perspectives of those supporting the individual, but also by direct engagement with the person themselves. In agreement, Martin (2010) highlights that effective assessments are undertaken through the use of varied methods and sources of information; however, they must always be grounded in the unique circumstances, strengths, and expressed outcomes of the individual receiving support. This reinforces the importance of person</w:t>
            </w:r>
            <w:r w:rsidRPr="00A208A4">
              <w:rPr>
                <w:sz w:val="24"/>
                <w:szCs w:val="24"/>
              </w:rPr>
              <w:noBreakHyphen/>
              <w:t>centred practice and ensures that assessment processes remain ethical, proportionate, and responsive to individual need.</w:t>
            </w:r>
          </w:p>
          <w:p w14:paraId="4D460D56" w14:textId="3ED71BF0" w:rsidR="00172C9C" w:rsidRDefault="00172C9C" w:rsidP="00AD3849">
            <w:pPr>
              <w:rPr>
                <w:sz w:val="24"/>
                <w:szCs w:val="24"/>
              </w:rPr>
            </w:pPr>
          </w:p>
          <w:p w14:paraId="6D93156B" w14:textId="77777777" w:rsidR="00F541DF" w:rsidRDefault="00F541DF" w:rsidP="00F541DF">
            <w:pPr>
              <w:jc w:val="both"/>
              <w:rPr>
                <w:iCs/>
                <w:sz w:val="24"/>
                <w:szCs w:val="24"/>
              </w:rPr>
            </w:pPr>
            <w:r w:rsidRPr="00F541DF">
              <w:rPr>
                <w:iCs/>
                <w:sz w:val="24"/>
                <w:szCs w:val="24"/>
              </w:rPr>
              <w:t>It became evident throughout this process that collaborative working with other support agencies within the local authority could be challenging due to differing professional perspectives and approaches to risk. However, multi-agency collaboration is essential in supporting individuals to achieve positive outcomes and overcome the challenges they face. Furthermore, adopting an anti-oppressive approach is a fundamental aspect of social work practice, as individuals receiving health and social care services may experience feelings of oppression due to the power and authority held by professionals (Laird, 2008). By working in partnership with individuals and promoting their participation in decision-making, practitioners can help to reduce power imbalances and uphold individual rights. However, Smith (2008) argues that the exercise of professional power within social work can present ethical challenges, particularly when safeguarding concerns arise and practitioners are required to balance an individual's autonomy with their duty to protect them from harm. Therefore, effective social work practice requires professionals to use their authority responsibly, ensuring that interventions are proportionate, person-centred, and grounded in the principles of empowerment and anti-oppressive practice.</w:t>
            </w:r>
          </w:p>
          <w:p w14:paraId="63E6AEDD" w14:textId="77777777" w:rsidR="00850445" w:rsidRDefault="00850445" w:rsidP="00F541DF">
            <w:pPr>
              <w:jc w:val="both"/>
              <w:rPr>
                <w:iCs/>
                <w:sz w:val="24"/>
                <w:szCs w:val="24"/>
              </w:rPr>
            </w:pPr>
          </w:p>
          <w:p w14:paraId="5A13FF15" w14:textId="16A02560" w:rsidR="007D314A" w:rsidRDefault="007D314A" w:rsidP="007D314A">
            <w:pPr>
              <w:jc w:val="both"/>
              <w:rPr>
                <w:iCs/>
                <w:sz w:val="24"/>
                <w:szCs w:val="24"/>
              </w:rPr>
            </w:pPr>
            <w:r w:rsidRPr="007D314A">
              <w:rPr>
                <w:iCs/>
                <w:sz w:val="24"/>
                <w:szCs w:val="24"/>
              </w:rPr>
              <w:t>Following the completion of the capacity assessments and the resulting outcomes, safeguarding meetings continued due to concerns regarding the risk of Person 2 becoming homeless. As previously discussed, Person 2 disclosed ongoing illicit substance use and explained that when he was in environments where others were using substances, he found it difficult to refrain from using himself. This frequently had a detrimental impact on his mental health and overall wellbeing. Although Person 2 initially reported a poor relationship with support staff at the HSG, over time I was able to establish a positive and trusting working relationship with him. This rapport enabled open discussions regarding the factors contributing to his substance use. Research by Stritzel (2022) suggests that spending time with peers who engage in substance use can significantly increase an individual's likelihood of using substances themselves. This understanding helped to</w:t>
            </w:r>
            <w:r w:rsidR="00BE1FBE">
              <w:rPr>
                <w:iCs/>
                <w:sz w:val="24"/>
                <w:szCs w:val="24"/>
              </w:rPr>
              <w:t xml:space="preserve"> highlight</w:t>
            </w:r>
            <w:r w:rsidRPr="007D314A">
              <w:rPr>
                <w:iCs/>
                <w:sz w:val="24"/>
                <w:szCs w:val="24"/>
              </w:rPr>
              <w:t xml:space="preserve"> Person 2's experiences and </w:t>
            </w:r>
            <w:r w:rsidR="00FF1CBE" w:rsidRPr="007D314A">
              <w:rPr>
                <w:iCs/>
                <w:sz w:val="24"/>
                <w:szCs w:val="24"/>
              </w:rPr>
              <w:t>emphasi</w:t>
            </w:r>
            <w:r w:rsidR="00FF1CBE">
              <w:rPr>
                <w:iCs/>
                <w:sz w:val="24"/>
                <w:szCs w:val="24"/>
              </w:rPr>
              <w:t>s</w:t>
            </w:r>
            <w:r w:rsidR="00FF1CBE" w:rsidRPr="007D314A">
              <w:rPr>
                <w:iCs/>
                <w:sz w:val="24"/>
                <w:szCs w:val="24"/>
              </w:rPr>
              <w:t>ed</w:t>
            </w:r>
            <w:r w:rsidRPr="007D314A">
              <w:rPr>
                <w:iCs/>
                <w:sz w:val="24"/>
                <w:szCs w:val="24"/>
              </w:rPr>
              <w:t xml:space="preserve"> the importance of identifying supportive environments that could reduce exposure to substance-using peer groups.</w:t>
            </w:r>
          </w:p>
          <w:p w14:paraId="4E1BDDC6" w14:textId="77777777" w:rsidR="007D6F32" w:rsidRDefault="007D6F32" w:rsidP="007D314A">
            <w:pPr>
              <w:jc w:val="both"/>
              <w:rPr>
                <w:iCs/>
                <w:sz w:val="24"/>
                <w:szCs w:val="24"/>
              </w:rPr>
            </w:pPr>
          </w:p>
          <w:p w14:paraId="5AB7A2DF" w14:textId="545BBFED" w:rsidR="004E57C7" w:rsidRDefault="004E57C7" w:rsidP="004E57C7">
            <w:pPr>
              <w:jc w:val="both"/>
              <w:rPr>
                <w:iCs/>
                <w:sz w:val="24"/>
                <w:szCs w:val="24"/>
              </w:rPr>
            </w:pPr>
            <w:r w:rsidRPr="004E57C7">
              <w:rPr>
                <w:iCs/>
                <w:sz w:val="24"/>
                <w:szCs w:val="24"/>
              </w:rPr>
              <w:t>From this information, I was able to work collaboratively with both the local authority housing team and Person 2 to identify the most appropriate course of action. In considering the area in which Person 2 was currently residing, alongside the risks associated with his substance use, I undertook further research to better understand the wider context of substance misuse within England and Wales. Findings from the Office for National Statistics (ONS, 2025) indicated that 8.7% of individuals aged 16 to 59 years reported using an illicit drug in the year ending March 2025, with 3.3% reporting the use of a Class A substance. As Person 2 fell within this age range, these statistics provided valuable insight into the prevalence of substance use and highlighted the increasing challenges associated with drug misuse within communities across England and Wales. This information enhanced my understanding of the wider social factors that may influence substance use and informed discussions with housing services regarding the importance of identifying accommodation that would minimise Person 2's exposure to environments where substance use was prevalent. By adopting a person-centred</w:t>
            </w:r>
            <w:r w:rsidR="009E7B49">
              <w:rPr>
                <w:iCs/>
                <w:sz w:val="24"/>
                <w:szCs w:val="24"/>
              </w:rPr>
              <w:t>,</w:t>
            </w:r>
            <w:r w:rsidRPr="004E57C7">
              <w:rPr>
                <w:iCs/>
                <w:sz w:val="24"/>
                <w:szCs w:val="24"/>
              </w:rPr>
              <w:t xml:space="preserve"> </w:t>
            </w:r>
            <w:r w:rsidR="008357D6">
              <w:rPr>
                <w:iCs/>
                <w:sz w:val="24"/>
                <w:szCs w:val="24"/>
              </w:rPr>
              <w:t xml:space="preserve">recovery </w:t>
            </w:r>
            <w:r w:rsidRPr="004E57C7">
              <w:rPr>
                <w:iCs/>
                <w:sz w:val="24"/>
                <w:szCs w:val="24"/>
              </w:rPr>
              <w:t>approach</w:t>
            </w:r>
            <w:r w:rsidR="009E7B49">
              <w:rPr>
                <w:iCs/>
                <w:sz w:val="24"/>
                <w:szCs w:val="24"/>
              </w:rPr>
              <w:t xml:space="preserve"> and empowerment</w:t>
            </w:r>
            <w:r w:rsidRPr="004E57C7">
              <w:rPr>
                <w:iCs/>
                <w:sz w:val="24"/>
                <w:szCs w:val="24"/>
              </w:rPr>
              <w:t>, I was able to</w:t>
            </w:r>
            <w:r w:rsidR="00A95981">
              <w:rPr>
                <w:iCs/>
                <w:sz w:val="24"/>
                <w:szCs w:val="24"/>
              </w:rPr>
              <w:t xml:space="preserve"> advocate suitable </w:t>
            </w:r>
            <w:r w:rsidRPr="004E57C7">
              <w:rPr>
                <w:iCs/>
                <w:sz w:val="24"/>
                <w:szCs w:val="24"/>
              </w:rPr>
              <w:t>housing options that would better support Person 2's recovery, wellbeing, and long-term stability.</w:t>
            </w:r>
          </w:p>
          <w:p w14:paraId="51DC44F2" w14:textId="77777777" w:rsidR="00A30DD5" w:rsidRDefault="00A30DD5" w:rsidP="004E57C7">
            <w:pPr>
              <w:jc w:val="both"/>
              <w:rPr>
                <w:iCs/>
                <w:sz w:val="24"/>
                <w:szCs w:val="24"/>
              </w:rPr>
            </w:pPr>
          </w:p>
          <w:p w14:paraId="323A995D" w14:textId="77777777" w:rsidR="005A15B6" w:rsidRDefault="005A15B6" w:rsidP="005A15B6">
            <w:pPr>
              <w:jc w:val="both"/>
              <w:rPr>
                <w:iCs/>
                <w:sz w:val="24"/>
                <w:szCs w:val="24"/>
              </w:rPr>
            </w:pPr>
            <w:r w:rsidRPr="005A15B6">
              <w:rPr>
                <w:iCs/>
                <w:sz w:val="24"/>
                <w:szCs w:val="24"/>
              </w:rPr>
              <w:t>Moving forward, through collaborative working with Person 2, safeguarding professionals, and community-based services, Person 2 was supported to secure temporary accommodation. Housing officers worked alongside him to help achieve his long-term goal of independently managing his own tenancy. Support was also provided in relation to his Type 1 diabetes, with district nursing services implemented to maximise opportunities for learning and enable him to safely and effectively self-administer his medication. In addition, referrals were made to substance misuse services to support Person 2 in reducing his substance use within the community and working towards his goal of abstinence.</w:t>
            </w:r>
          </w:p>
          <w:p w14:paraId="6C96CBB8" w14:textId="77777777" w:rsidR="00307F46" w:rsidRPr="005A15B6" w:rsidRDefault="00307F46" w:rsidP="005A15B6">
            <w:pPr>
              <w:jc w:val="both"/>
              <w:rPr>
                <w:iCs/>
                <w:sz w:val="24"/>
                <w:szCs w:val="24"/>
              </w:rPr>
            </w:pPr>
          </w:p>
          <w:p w14:paraId="6EEE86D2" w14:textId="77777777" w:rsidR="00307F46" w:rsidRPr="00307F46" w:rsidRDefault="00307F46" w:rsidP="00307F46">
            <w:pPr>
              <w:jc w:val="both"/>
              <w:rPr>
                <w:iCs/>
                <w:sz w:val="24"/>
                <w:szCs w:val="24"/>
              </w:rPr>
            </w:pPr>
            <w:r w:rsidRPr="00307F46">
              <w:rPr>
                <w:iCs/>
                <w:sz w:val="24"/>
                <w:szCs w:val="24"/>
              </w:rPr>
              <w:t>These interventions were underpinned by an empowerment approach. According to Teater (2014), empowerment is a process through which individuals are actively involved in decision-making and supported to gain greater control over the circumstances affecting their lives, enabling them to achieve more positive outcomes. Applying this approach enabled Person 2 to gain greater control over his life and take an active role in making decisions about his future. Furthermore, a person-centred approach promotes autonomy, self-determination, and independence, all of which are essential for long-term recovery and rehabilitation. Through collaborative partnership working, Person 2 was encouraged to identify and pursue his own goals while receiving appropriate support to develop the skills, confidence, and resilience required for sustainable independent living. This approach helped ensure that interventions were tailored to his individual strengths, needs, and aspirations, thereby enhancing both his engagement in the process and the likelihood of achieving positive outcomes.</w:t>
            </w:r>
          </w:p>
          <w:p w14:paraId="44E8CD0A" w14:textId="77777777" w:rsidR="00DB6793" w:rsidRDefault="00DB6793" w:rsidP="00F541DF">
            <w:pPr>
              <w:jc w:val="both"/>
              <w:rPr>
                <w:iCs/>
                <w:sz w:val="24"/>
                <w:szCs w:val="24"/>
              </w:rPr>
            </w:pPr>
          </w:p>
          <w:p w14:paraId="768F3DBA" w14:textId="25EE15BB" w:rsidR="00754579" w:rsidRPr="00754579" w:rsidRDefault="00754579" w:rsidP="00754579">
            <w:pPr>
              <w:jc w:val="both"/>
              <w:rPr>
                <w:iCs/>
                <w:sz w:val="24"/>
                <w:szCs w:val="24"/>
              </w:rPr>
            </w:pPr>
            <w:r w:rsidRPr="00754579">
              <w:rPr>
                <w:iCs/>
                <w:sz w:val="24"/>
                <w:szCs w:val="24"/>
              </w:rPr>
              <w:t xml:space="preserve">In conclusion, this case study required me to develop and apply critical analysis throughout the intervention process. This was achieved by enhancing my understanding of key legislation and policy frameworks, including the Human Rights Act 1998, the Mental Health Act 1983 (as amended 2007), the Mental Capacity Act 2005, and the Wales Safeguarding Procedures (2019). Applying this knowledge enabled me to adopt a </w:t>
            </w:r>
            <w:r w:rsidR="0044371E">
              <w:rPr>
                <w:iCs/>
                <w:sz w:val="24"/>
                <w:szCs w:val="24"/>
              </w:rPr>
              <w:t>person-centred</w:t>
            </w:r>
            <w:r w:rsidRPr="00754579">
              <w:rPr>
                <w:iCs/>
                <w:sz w:val="24"/>
                <w:szCs w:val="24"/>
              </w:rPr>
              <w:t xml:space="preserve"> approach, ensuring that Person 2 remained at the centre of decision-making and that their views, wishes, and desired outcomes were appropriately represented and advocated for throughout the safeguarding process.</w:t>
            </w:r>
          </w:p>
          <w:p w14:paraId="704006F9" w14:textId="77777777" w:rsidR="00754579" w:rsidRDefault="00754579" w:rsidP="00754579">
            <w:pPr>
              <w:jc w:val="both"/>
              <w:rPr>
                <w:iCs/>
                <w:sz w:val="24"/>
                <w:szCs w:val="24"/>
              </w:rPr>
            </w:pPr>
            <w:r w:rsidRPr="00754579">
              <w:rPr>
                <w:iCs/>
                <w:sz w:val="24"/>
                <w:szCs w:val="24"/>
              </w:rPr>
              <w:t>A significant learning point from this case was the complexity of balancing differing professional perspectives while maintaining a person-centred approach. Although partner agencies shared the common aim of reducing risk, there were occasions when opinions differed regarding the most appropriate intervention. This required me to critically evaluate information from multiple sources, consider the legal and ethical implications of decision-making, and ensure that any actions taken were proportionate, least restrictive, and in Person 2's best interests when required. Reflecting on this process highlighted the importance of professional curiosity, effective multi-agency working, and evidence-informed practice in safeguarding adults with complex needs.</w:t>
            </w:r>
          </w:p>
          <w:p w14:paraId="3E514E5C" w14:textId="77777777" w:rsidR="0044371E" w:rsidRPr="00754579" w:rsidRDefault="0044371E" w:rsidP="00754579">
            <w:pPr>
              <w:jc w:val="both"/>
              <w:rPr>
                <w:iCs/>
                <w:sz w:val="24"/>
                <w:szCs w:val="24"/>
              </w:rPr>
            </w:pPr>
          </w:p>
          <w:p w14:paraId="635868C7" w14:textId="77777777" w:rsidR="00754579" w:rsidRDefault="00754579" w:rsidP="00754579">
            <w:pPr>
              <w:jc w:val="both"/>
              <w:rPr>
                <w:iCs/>
                <w:sz w:val="24"/>
                <w:szCs w:val="24"/>
              </w:rPr>
            </w:pPr>
            <w:r w:rsidRPr="00754579">
              <w:rPr>
                <w:iCs/>
                <w:sz w:val="24"/>
                <w:szCs w:val="24"/>
              </w:rPr>
              <w:t>Throughout the intervention, I made effective use of supervision with my line manager to seek guidance, support, and professional challenge. Given the number of professionals involved and the complexity of the presenting issues, supervision was invaluable in enabling me to reflect on my practice and critically analyse my professional judgement. This aligns with the British Association of Social Workers' Code of Ethics, which emphasises the importance of reflective practice, accountability, and continuous professional development (BASW, 2021). Furthermore, Howe et al. (2018) suggest that supervision provides a space for practitioners to explore experiences, develop professional understanding, and enhance decision-making within complex cases.</w:t>
            </w:r>
          </w:p>
          <w:p w14:paraId="0B6E5307" w14:textId="77777777" w:rsidR="0044371E" w:rsidRPr="00754579" w:rsidRDefault="0044371E" w:rsidP="00754579">
            <w:pPr>
              <w:jc w:val="both"/>
              <w:rPr>
                <w:iCs/>
                <w:sz w:val="24"/>
                <w:szCs w:val="24"/>
              </w:rPr>
            </w:pPr>
          </w:p>
          <w:p w14:paraId="51B890E7" w14:textId="77777777" w:rsidR="00754579" w:rsidRPr="00754579" w:rsidRDefault="00754579" w:rsidP="00754579">
            <w:pPr>
              <w:jc w:val="both"/>
              <w:rPr>
                <w:iCs/>
                <w:sz w:val="24"/>
                <w:szCs w:val="24"/>
              </w:rPr>
            </w:pPr>
            <w:r w:rsidRPr="00754579">
              <w:rPr>
                <w:iCs/>
                <w:sz w:val="24"/>
                <w:szCs w:val="24"/>
              </w:rPr>
              <w:t>As a newly qualified social worker, this experience significantly contributed to my professional development. It strengthened my confidence in applying legislation to practice, enhanced my ability to work collaboratively with multiple agencies, and further developed key skills such as empathy, communication, critical reflection, and case management. Importantly, the case reinforced the value of relationship-based practice and demonstrated how empowerment, advocacy, and person-centred working can support individuals to achieve positive and sustainable outcomes despite significant adversity.</w:t>
            </w:r>
          </w:p>
          <w:p w14:paraId="63FE447C" w14:textId="77777777" w:rsidR="00AD3849" w:rsidRPr="00AD3849" w:rsidRDefault="00AD3849" w:rsidP="00FF7EBB">
            <w:pPr>
              <w:jc w:val="both"/>
              <w:rPr>
                <w:iCs/>
                <w:sz w:val="24"/>
                <w:szCs w:val="24"/>
              </w:rPr>
            </w:pPr>
          </w:p>
          <w:p w14:paraId="20370495" w14:textId="79B79501"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3074C9FC" w:rsidR="00D3203C" w:rsidRDefault="00D06082" w:rsidP="00FF7EBB">
            <w:pPr>
              <w:jc w:val="both"/>
              <w:rPr>
                <w:i/>
                <w:sz w:val="24"/>
                <w:szCs w:val="24"/>
              </w:rPr>
            </w:pPr>
            <w:r>
              <w:rPr>
                <w:i/>
                <w:sz w:val="24"/>
                <w:szCs w:val="24"/>
              </w:rPr>
              <w:t>4</w:t>
            </w:r>
            <w:r w:rsidR="004423E1">
              <w:rPr>
                <w:i/>
                <w:sz w:val="24"/>
                <w:szCs w:val="24"/>
              </w:rPr>
              <w:t>129.</w:t>
            </w: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7231DCD8" w:rsidR="00CC135E" w:rsidRPr="003B29BC" w:rsidRDefault="004E2676" w:rsidP="003B29BC">
      <w:pPr>
        <w:rPr>
          <w:color w:val="auto"/>
          <w:sz w:val="24"/>
          <w:szCs w:val="24"/>
        </w:rPr>
      </w:pPr>
      <w:r>
        <w:rPr>
          <w:color w:val="auto"/>
          <w:sz w:val="24"/>
          <w:szCs w:val="24"/>
        </w:rPr>
        <w:t xml:space="preserve"> </w:t>
      </w: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73A80" w14:textId="77777777" w:rsidR="00F31816" w:rsidRDefault="00F31816">
      <w:r>
        <w:separator/>
      </w:r>
    </w:p>
  </w:endnote>
  <w:endnote w:type="continuationSeparator" w:id="0">
    <w:p w14:paraId="03EC4C31" w14:textId="77777777" w:rsidR="00F31816" w:rsidRDefault="00F318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6A5AD" w14:textId="77777777" w:rsidR="00F31816" w:rsidRDefault="00F31816">
      <w:r>
        <w:separator/>
      </w:r>
    </w:p>
  </w:footnote>
  <w:footnote w:type="continuationSeparator" w:id="0">
    <w:p w14:paraId="32C925D4" w14:textId="77777777" w:rsidR="00F31816" w:rsidRDefault="00F318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600"/>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0CFC"/>
    <w:rsid w:val="00051908"/>
    <w:rsid w:val="00054A07"/>
    <w:rsid w:val="00055D43"/>
    <w:rsid w:val="00056DDA"/>
    <w:rsid w:val="00056FAC"/>
    <w:rsid w:val="00057751"/>
    <w:rsid w:val="0006173E"/>
    <w:rsid w:val="00062E39"/>
    <w:rsid w:val="00064063"/>
    <w:rsid w:val="0006581A"/>
    <w:rsid w:val="00074461"/>
    <w:rsid w:val="000766EC"/>
    <w:rsid w:val="00080E58"/>
    <w:rsid w:val="00083D99"/>
    <w:rsid w:val="00084DA6"/>
    <w:rsid w:val="00085699"/>
    <w:rsid w:val="00090160"/>
    <w:rsid w:val="0009117C"/>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1EC5"/>
    <w:rsid w:val="000F42AE"/>
    <w:rsid w:val="000F6196"/>
    <w:rsid w:val="000F6BC3"/>
    <w:rsid w:val="0010312C"/>
    <w:rsid w:val="00105026"/>
    <w:rsid w:val="0010662B"/>
    <w:rsid w:val="00106DC7"/>
    <w:rsid w:val="00110067"/>
    <w:rsid w:val="00110CE5"/>
    <w:rsid w:val="00112391"/>
    <w:rsid w:val="00114F52"/>
    <w:rsid w:val="00130119"/>
    <w:rsid w:val="00132812"/>
    <w:rsid w:val="001347F8"/>
    <w:rsid w:val="001359EE"/>
    <w:rsid w:val="00137BB5"/>
    <w:rsid w:val="00137E05"/>
    <w:rsid w:val="001447F6"/>
    <w:rsid w:val="00147627"/>
    <w:rsid w:val="00147DE3"/>
    <w:rsid w:val="00150794"/>
    <w:rsid w:val="00151DA6"/>
    <w:rsid w:val="001608C4"/>
    <w:rsid w:val="00164832"/>
    <w:rsid w:val="00171418"/>
    <w:rsid w:val="001724C8"/>
    <w:rsid w:val="00172C9C"/>
    <w:rsid w:val="001772BF"/>
    <w:rsid w:val="001772DE"/>
    <w:rsid w:val="0019496C"/>
    <w:rsid w:val="001961CF"/>
    <w:rsid w:val="001A59BB"/>
    <w:rsid w:val="001A607E"/>
    <w:rsid w:val="001A6A51"/>
    <w:rsid w:val="001A79C4"/>
    <w:rsid w:val="001B331A"/>
    <w:rsid w:val="001B7561"/>
    <w:rsid w:val="001C0237"/>
    <w:rsid w:val="001C0E74"/>
    <w:rsid w:val="001C266D"/>
    <w:rsid w:val="001C4DB8"/>
    <w:rsid w:val="001C50B8"/>
    <w:rsid w:val="001D229F"/>
    <w:rsid w:val="001E2EB6"/>
    <w:rsid w:val="001F3AFC"/>
    <w:rsid w:val="001F4552"/>
    <w:rsid w:val="002019EB"/>
    <w:rsid w:val="00203D62"/>
    <w:rsid w:val="00204B58"/>
    <w:rsid w:val="00205051"/>
    <w:rsid w:val="002068D6"/>
    <w:rsid w:val="00211F65"/>
    <w:rsid w:val="00214047"/>
    <w:rsid w:val="00216563"/>
    <w:rsid w:val="0021792F"/>
    <w:rsid w:val="00220A3B"/>
    <w:rsid w:val="00220D06"/>
    <w:rsid w:val="002246A0"/>
    <w:rsid w:val="002273A0"/>
    <w:rsid w:val="00230439"/>
    <w:rsid w:val="00232A09"/>
    <w:rsid w:val="00233B83"/>
    <w:rsid w:val="00235176"/>
    <w:rsid w:val="00236061"/>
    <w:rsid w:val="0024100E"/>
    <w:rsid w:val="00241C1B"/>
    <w:rsid w:val="0024288B"/>
    <w:rsid w:val="00243DB0"/>
    <w:rsid w:val="00244247"/>
    <w:rsid w:val="00247265"/>
    <w:rsid w:val="00260663"/>
    <w:rsid w:val="002657E9"/>
    <w:rsid w:val="0026665E"/>
    <w:rsid w:val="0027147E"/>
    <w:rsid w:val="00272ABC"/>
    <w:rsid w:val="00274A90"/>
    <w:rsid w:val="002761F4"/>
    <w:rsid w:val="002775E1"/>
    <w:rsid w:val="00277979"/>
    <w:rsid w:val="002828FB"/>
    <w:rsid w:val="00291ADD"/>
    <w:rsid w:val="002920DF"/>
    <w:rsid w:val="00292F3D"/>
    <w:rsid w:val="00295CA1"/>
    <w:rsid w:val="002A0E51"/>
    <w:rsid w:val="002A1A44"/>
    <w:rsid w:val="002A291A"/>
    <w:rsid w:val="002A2C54"/>
    <w:rsid w:val="002A32F8"/>
    <w:rsid w:val="002A4E2E"/>
    <w:rsid w:val="002A5604"/>
    <w:rsid w:val="002A6A9C"/>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42E"/>
    <w:rsid w:val="002E5FC6"/>
    <w:rsid w:val="002E6D17"/>
    <w:rsid w:val="002E7017"/>
    <w:rsid w:val="002E7F2C"/>
    <w:rsid w:val="002F1FC7"/>
    <w:rsid w:val="002F2185"/>
    <w:rsid w:val="002F4F6E"/>
    <w:rsid w:val="003015C3"/>
    <w:rsid w:val="00307F46"/>
    <w:rsid w:val="003106DB"/>
    <w:rsid w:val="0031350A"/>
    <w:rsid w:val="00314740"/>
    <w:rsid w:val="003162EC"/>
    <w:rsid w:val="00316815"/>
    <w:rsid w:val="003168CA"/>
    <w:rsid w:val="00321255"/>
    <w:rsid w:val="0032230D"/>
    <w:rsid w:val="00322A0B"/>
    <w:rsid w:val="00330881"/>
    <w:rsid w:val="00331CD2"/>
    <w:rsid w:val="00332426"/>
    <w:rsid w:val="00335C41"/>
    <w:rsid w:val="00335FC5"/>
    <w:rsid w:val="0033771E"/>
    <w:rsid w:val="00337FEF"/>
    <w:rsid w:val="00343937"/>
    <w:rsid w:val="00354B6D"/>
    <w:rsid w:val="00355210"/>
    <w:rsid w:val="00355CFD"/>
    <w:rsid w:val="00365DF9"/>
    <w:rsid w:val="0037066E"/>
    <w:rsid w:val="00372DB4"/>
    <w:rsid w:val="00373A36"/>
    <w:rsid w:val="0037419E"/>
    <w:rsid w:val="00375AF5"/>
    <w:rsid w:val="003761BD"/>
    <w:rsid w:val="00377448"/>
    <w:rsid w:val="00377884"/>
    <w:rsid w:val="003826BD"/>
    <w:rsid w:val="00383005"/>
    <w:rsid w:val="00385414"/>
    <w:rsid w:val="00390074"/>
    <w:rsid w:val="00392F73"/>
    <w:rsid w:val="00393600"/>
    <w:rsid w:val="0039762B"/>
    <w:rsid w:val="003A0C37"/>
    <w:rsid w:val="003A1B6B"/>
    <w:rsid w:val="003A46C0"/>
    <w:rsid w:val="003A600E"/>
    <w:rsid w:val="003A6513"/>
    <w:rsid w:val="003B0017"/>
    <w:rsid w:val="003B16C7"/>
    <w:rsid w:val="003B1E58"/>
    <w:rsid w:val="003B29BC"/>
    <w:rsid w:val="003B3115"/>
    <w:rsid w:val="003C19F1"/>
    <w:rsid w:val="003C3C67"/>
    <w:rsid w:val="003C4186"/>
    <w:rsid w:val="003C6185"/>
    <w:rsid w:val="003D0D2D"/>
    <w:rsid w:val="003D1885"/>
    <w:rsid w:val="003D1BC0"/>
    <w:rsid w:val="003D20F1"/>
    <w:rsid w:val="003D4710"/>
    <w:rsid w:val="003D600D"/>
    <w:rsid w:val="003D7607"/>
    <w:rsid w:val="003E16D7"/>
    <w:rsid w:val="003E197E"/>
    <w:rsid w:val="003E4B70"/>
    <w:rsid w:val="003E54CF"/>
    <w:rsid w:val="003E5FBA"/>
    <w:rsid w:val="003F1233"/>
    <w:rsid w:val="003F3FF5"/>
    <w:rsid w:val="003F67A4"/>
    <w:rsid w:val="00400786"/>
    <w:rsid w:val="00401FDA"/>
    <w:rsid w:val="004046F0"/>
    <w:rsid w:val="0040668F"/>
    <w:rsid w:val="00406A4C"/>
    <w:rsid w:val="00411EF7"/>
    <w:rsid w:val="00412677"/>
    <w:rsid w:val="00425160"/>
    <w:rsid w:val="00430DE3"/>
    <w:rsid w:val="004348AE"/>
    <w:rsid w:val="004376C0"/>
    <w:rsid w:val="0044223A"/>
    <w:rsid w:val="004423E1"/>
    <w:rsid w:val="004428AA"/>
    <w:rsid w:val="0044371E"/>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593"/>
    <w:rsid w:val="00484CE3"/>
    <w:rsid w:val="004911B4"/>
    <w:rsid w:val="0049196A"/>
    <w:rsid w:val="004923DA"/>
    <w:rsid w:val="00492EEB"/>
    <w:rsid w:val="00493434"/>
    <w:rsid w:val="004968E2"/>
    <w:rsid w:val="004A2A49"/>
    <w:rsid w:val="004A2DEF"/>
    <w:rsid w:val="004A4B0E"/>
    <w:rsid w:val="004A5A64"/>
    <w:rsid w:val="004B4B77"/>
    <w:rsid w:val="004B5553"/>
    <w:rsid w:val="004B600B"/>
    <w:rsid w:val="004B6822"/>
    <w:rsid w:val="004B69F6"/>
    <w:rsid w:val="004C23CC"/>
    <w:rsid w:val="004C2D3A"/>
    <w:rsid w:val="004C51D4"/>
    <w:rsid w:val="004D03C4"/>
    <w:rsid w:val="004D0BF1"/>
    <w:rsid w:val="004D0F4E"/>
    <w:rsid w:val="004D3278"/>
    <w:rsid w:val="004D35A4"/>
    <w:rsid w:val="004D445F"/>
    <w:rsid w:val="004E087B"/>
    <w:rsid w:val="004E2676"/>
    <w:rsid w:val="004E44A4"/>
    <w:rsid w:val="004E57C7"/>
    <w:rsid w:val="004E7B8B"/>
    <w:rsid w:val="004E7BDD"/>
    <w:rsid w:val="004F1966"/>
    <w:rsid w:val="004F1E21"/>
    <w:rsid w:val="004F2542"/>
    <w:rsid w:val="004F4E33"/>
    <w:rsid w:val="004F740D"/>
    <w:rsid w:val="004F7B8F"/>
    <w:rsid w:val="004F7E36"/>
    <w:rsid w:val="00500748"/>
    <w:rsid w:val="005011D6"/>
    <w:rsid w:val="00502A14"/>
    <w:rsid w:val="005042F1"/>
    <w:rsid w:val="0050481B"/>
    <w:rsid w:val="005113D4"/>
    <w:rsid w:val="0051287D"/>
    <w:rsid w:val="00513027"/>
    <w:rsid w:val="00513C7D"/>
    <w:rsid w:val="00521123"/>
    <w:rsid w:val="00521221"/>
    <w:rsid w:val="0052250B"/>
    <w:rsid w:val="00525826"/>
    <w:rsid w:val="00530354"/>
    <w:rsid w:val="005305C6"/>
    <w:rsid w:val="00532C7C"/>
    <w:rsid w:val="00540EEC"/>
    <w:rsid w:val="005414F4"/>
    <w:rsid w:val="00543034"/>
    <w:rsid w:val="00543B75"/>
    <w:rsid w:val="00546187"/>
    <w:rsid w:val="0054762C"/>
    <w:rsid w:val="00547B11"/>
    <w:rsid w:val="005514AE"/>
    <w:rsid w:val="005530AE"/>
    <w:rsid w:val="00557D77"/>
    <w:rsid w:val="00562EAA"/>
    <w:rsid w:val="00563B58"/>
    <w:rsid w:val="005640C4"/>
    <w:rsid w:val="0056684C"/>
    <w:rsid w:val="00574A0C"/>
    <w:rsid w:val="0057780F"/>
    <w:rsid w:val="00581E0A"/>
    <w:rsid w:val="00586D89"/>
    <w:rsid w:val="005877C8"/>
    <w:rsid w:val="00587923"/>
    <w:rsid w:val="00594F9F"/>
    <w:rsid w:val="005A15B6"/>
    <w:rsid w:val="005A1B4C"/>
    <w:rsid w:val="005A545C"/>
    <w:rsid w:val="005B271A"/>
    <w:rsid w:val="005B3503"/>
    <w:rsid w:val="005B3A2D"/>
    <w:rsid w:val="005C1567"/>
    <w:rsid w:val="005C28D3"/>
    <w:rsid w:val="005C4533"/>
    <w:rsid w:val="005C6CE5"/>
    <w:rsid w:val="005D378B"/>
    <w:rsid w:val="005D3F07"/>
    <w:rsid w:val="005D4A1E"/>
    <w:rsid w:val="005D4F72"/>
    <w:rsid w:val="005E13EA"/>
    <w:rsid w:val="005E17F1"/>
    <w:rsid w:val="005F109E"/>
    <w:rsid w:val="005F64AA"/>
    <w:rsid w:val="005F7851"/>
    <w:rsid w:val="00601788"/>
    <w:rsid w:val="00604FA5"/>
    <w:rsid w:val="00606E27"/>
    <w:rsid w:val="006108C9"/>
    <w:rsid w:val="0061405E"/>
    <w:rsid w:val="00614DF7"/>
    <w:rsid w:val="006179BB"/>
    <w:rsid w:val="0062158D"/>
    <w:rsid w:val="006223FD"/>
    <w:rsid w:val="006326D1"/>
    <w:rsid w:val="00632E0A"/>
    <w:rsid w:val="00633165"/>
    <w:rsid w:val="00637106"/>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814"/>
    <w:rsid w:val="006A72E9"/>
    <w:rsid w:val="006B1C08"/>
    <w:rsid w:val="006B4496"/>
    <w:rsid w:val="006B5E67"/>
    <w:rsid w:val="006B6612"/>
    <w:rsid w:val="006C2EB5"/>
    <w:rsid w:val="006C7E6F"/>
    <w:rsid w:val="006D18A3"/>
    <w:rsid w:val="006D5970"/>
    <w:rsid w:val="006D79F2"/>
    <w:rsid w:val="006E481E"/>
    <w:rsid w:val="006E795F"/>
    <w:rsid w:val="006F0862"/>
    <w:rsid w:val="006F1438"/>
    <w:rsid w:val="006F2A9E"/>
    <w:rsid w:val="006F3B4F"/>
    <w:rsid w:val="006F5ED3"/>
    <w:rsid w:val="00700249"/>
    <w:rsid w:val="00700F9C"/>
    <w:rsid w:val="00704D53"/>
    <w:rsid w:val="007061D9"/>
    <w:rsid w:val="007069CD"/>
    <w:rsid w:val="00706BB5"/>
    <w:rsid w:val="0071231A"/>
    <w:rsid w:val="00712E90"/>
    <w:rsid w:val="00713B7E"/>
    <w:rsid w:val="007168BC"/>
    <w:rsid w:val="00723791"/>
    <w:rsid w:val="00724894"/>
    <w:rsid w:val="0072678F"/>
    <w:rsid w:val="007276E5"/>
    <w:rsid w:val="00727C4C"/>
    <w:rsid w:val="00734809"/>
    <w:rsid w:val="0073714E"/>
    <w:rsid w:val="007374EF"/>
    <w:rsid w:val="007406E1"/>
    <w:rsid w:val="00743E40"/>
    <w:rsid w:val="00745016"/>
    <w:rsid w:val="0075031F"/>
    <w:rsid w:val="00751263"/>
    <w:rsid w:val="007544FC"/>
    <w:rsid w:val="00754579"/>
    <w:rsid w:val="00755427"/>
    <w:rsid w:val="00756548"/>
    <w:rsid w:val="0075673A"/>
    <w:rsid w:val="0075704F"/>
    <w:rsid w:val="00763B2D"/>
    <w:rsid w:val="00764C84"/>
    <w:rsid w:val="007710AD"/>
    <w:rsid w:val="00771DBB"/>
    <w:rsid w:val="00772924"/>
    <w:rsid w:val="0078112D"/>
    <w:rsid w:val="00783918"/>
    <w:rsid w:val="007872F2"/>
    <w:rsid w:val="007873F9"/>
    <w:rsid w:val="007908E0"/>
    <w:rsid w:val="00793EB3"/>
    <w:rsid w:val="00794205"/>
    <w:rsid w:val="0079422A"/>
    <w:rsid w:val="007A1F6A"/>
    <w:rsid w:val="007A628F"/>
    <w:rsid w:val="007B0DE3"/>
    <w:rsid w:val="007B1BFD"/>
    <w:rsid w:val="007B7191"/>
    <w:rsid w:val="007C1B40"/>
    <w:rsid w:val="007C1D94"/>
    <w:rsid w:val="007C556F"/>
    <w:rsid w:val="007C5ABE"/>
    <w:rsid w:val="007C5DAE"/>
    <w:rsid w:val="007C6A87"/>
    <w:rsid w:val="007D0A07"/>
    <w:rsid w:val="007D0F11"/>
    <w:rsid w:val="007D133D"/>
    <w:rsid w:val="007D314A"/>
    <w:rsid w:val="007D3EB4"/>
    <w:rsid w:val="007D3F16"/>
    <w:rsid w:val="007D6F32"/>
    <w:rsid w:val="007F10BD"/>
    <w:rsid w:val="007F312E"/>
    <w:rsid w:val="007F3F7E"/>
    <w:rsid w:val="007F4BA4"/>
    <w:rsid w:val="00801A9C"/>
    <w:rsid w:val="00813CEC"/>
    <w:rsid w:val="0081534C"/>
    <w:rsid w:val="00816CE7"/>
    <w:rsid w:val="008171E4"/>
    <w:rsid w:val="00817E59"/>
    <w:rsid w:val="008208EA"/>
    <w:rsid w:val="00822B44"/>
    <w:rsid w:val="00824397"/>
    <w:rsid w:val="00824E67"/>
    <w:rsid w:val="00825A64"/>
    <w:rsid w:val="00826F48"/>
    <w:rsid w:val="008308AE"/>
    <w:rsid w:val="00830DD1"/>
    <w:rsid w:val="0083166E"/>
    <w:rsid w:val="00831DC3"/>
    <w:rsid w:val="008322C7"/>
    <w:rsid w:val="008340BA"/>
    <w:rsid w:val="0083471D"/>
    <w:rsid w:val="00834F1D"/>
    <w:rsid w:val="00834F2A"/>
    <w:rsid w:val="008357D6"/>
    <w:rsid w:val="00836FEC"/>
    <w:rsid w:val="00841F9D"/>
    <w:rsid w:val="008420E1"/>
    <w:rsid w:val="00844D98"/>
    <w:rsid w:val="00846D84"/>
    <w:rsid w:val="0084729A"/>
    <w:rsid w:val="00847492"/>
    <w:rsid w:val="00850233"/>
    <w:rsid w:val="00850445"/>
    <w:rsid w:val="0085230E"/>
    <w:rsid w:val="008550A1"/>
    <w:rsid w:val="00861038"/>
    <w:rsid w:val="00865B58"/>
    <w:rsid w:val="00866B50"/>
    <w:rsid w:val="00867A63"/>
    <w:rsid w:val="008708F1"/>
    <w:rsid w:val="00871960"/>
    <w:rsid w:val="0087369F"/>
    <w:rsid w:val="00880539"/>
    <w:rsid w:val="0088155F"/>
    <w:rsid w:val="008859E8"/>
    <w:rsid w:val="0088737B"/>
    <w:rsid w:val="00891078"/>
    <w:rsid w:val="00892716"/>
    <w:rsid w:val="00893067"/>
    <w:rsid w:val="008933DE"/>
    <w:rsid w:val="00895FCE"/>
    <w:rsid w:val="008965E1"/>
    <w:rsid w:val="00897F3E"/>
    <w:rsid w:val="008A21B4"/>
    <w:rsid w:val="008B07DE"/>
    <w:rsid w:val="008B1309"/>
    <w:rsid w:val="008B28E7"/>
    <w:rsid w:val="008B5C11"/>
    <w:rsid w:val="008B67F6"/>
    <w:rsid w:val="008C14C7"/>
    <w:rsid w:val="008C2FFB"/>
    <w:rsid w:val="008C38B4"/>
    <w:rsid w:val="008C633F"/>
    <w:rsid w:val="008C6EEA"/>
    <w:rsid w:val="008C7770"/>
    <w:rsid w:val="008C79C7"/>
    <w:rsid w:val="008D03B0"/>
    <w:rsid w:val="008D2150"/>
    <w:rsid w:val="008D5813"/>
    <w:rsid w:val="008D5999"/>
    <w:rsid w:val="008D634E"/>
    <w:rsid w:val="008D778A"/>
    <w:rsid w:val="008D78C9"/>
    <w:rsid w:val="008E3195"/>
    <w:rsid w:val="008E4A42"/>
    <w:rsid w:val="008E5A35"/>
    <w:rsid w:val="008F0712"/>
    <w:rsid w:val="008F127E"/>
    <w:rsid w:val="008F32D9"/>
    <w:rsid w:val="00902A65"/>
    <w:rsid w:val="00903932"/>
    <w:rsid w:val="00906AB7"/>
    <w:rsid w:val="009079BD"/>
    <w:rsid w:val="00912BD9"/>
    <w:rsid w:val="00916FB2"/>
    <w:rsid w:val="00917994"/>
    <w:rsid w:val="00920A0A"/>
    <w:rsid w:val="00920E5B"/>
    <w:rsid w:val="00926436"/>
    <w:rsid w:val="00926C53"/>
    <w:rsid w:val="0093018C"/>
    <w:rsid w:val="0093696E"/>
    <w:rsid w:val="00940650"/>
    <w:rsid w:val="0094495F"/>
    <w:rsid w:val="009544C0"/>
    <w:rsid w:val="00954FA4"/>
    <w:rsid w:val="00956AE9"/>
    <w:rsid w:val="00964CC6"/>
    <w:rsid w:val="00967BFA"/>
    <w:rsid w:val="009810D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59D5"/>
    <w:rsid w:val="009C6092"/>
    <w:rsid w:val="009C7342"/>
    <w:rsid w:val="009D11A5"/>
    <w:rsid w:val="009D2C05"/>
    <w:rsid w:val="009D4365"/>
    <w:rsid w:val="009D477B"/>
    <w:rsid w:val="009D4E3B"/>
    <w:rsid w:val="009D59C2"/>
    <w:rsid w:val="009D678B"/>
    <w:rsid w:val="009D7BC9"/>
    <w:rsid w:val="009E122F"/>
    <w:rsid w:val="009E1982"/>
    <w:rsid w:val="009E4D2C"/>
    <w:rsid w:val="009E7B49"/>
    <w:rsid w:val="009F0978"/>
    <w:rsid w:val="009F3AEC"/>
    <w:rsid w:val="009F6801"/>
    <w:rsid w:val="00A00081"/>
    <w:rsid w:val="00A06422"/>
    <w:rsid w:val="00A10D56"/>
    <w:rsid w:val="00A12AAE"/>
    <w:rsid w:val="00A12F22"/>
    <w:rsid w:val="00A16DD1"/>
    <w:rsid w:val="00A208A4"/>
    <w:rsid w:val="00A22441"/>
    <w:rsid w:val="00A23F3B"/>
    <w:rsid w:val="00A24406"/>
    <w:rsid w:val="00A25184"/>
    <w:rsid w:val="00A25F64"/>
    <w:rsid w:val="00A275F6"/>
    <w:rsid w:val="00A27EAD"/>
    <w:rsid w:val="00A303B9"/>
    <w:rsid w:val="00A30DD5"/>
    <w:rsid w:val="00A36A55"/>
    <w:rsid w:val="00A37416"/>
    <w:rsid w:val="00A400BB"/>
    <w:rsid w:val="00A40ED6"/>
    <w:rsid w:val="00A47621"/>
    <w:rsid w:val="00A479CD"/>
    <w:rsid w:val="00A50CFC"/>
    <w:rsid w:val="00A52773"/>
    <w:rsid w:val="00A54D67"/>
    <w:rsid w:val="00A55A3F"/>
    <w:rsid w:val="00A5656A"/>
    <w:rsid w:val="00A60103"/>
    <w:rsid w:val="00A6032D"/>
    <w:rsid w:val="00A652F6"/>
    <w:rsid w:val="00A65861"/>
    <w:rsid w:val="00A732EA"/>
    <w:rsid w:val="00A7489E"/>
    <w:rsid w:val="00A8015F"/>
    <w:rsid w:val="00A80CE5"/>
    <w:rsid w:val="00A85039"/>
    <w:rsid w:val="00A906AA"/>
    <w:rsid w:val="00A94C5E"/>
    <w:rsid w:val="00A95981"/>
    <w:rsid w:val="00AA05FC"/>
    <w:rsid w:val="00AA252C"/>
    <w:rsid w:val="00AA666E"/>
    <w:rsid w:val="00AA7960"/>
    <w:rsid w:val="00AB5518"/>
    <w:rsid w:val="00AB5B4A"/>
    <w:rsid w:val="00AC3A0E"/>
    <w:rsid w:val="00AC4A04"/>
    <w:rsid w:val="00AC5679"/>
    <w:rsid w:val="00AD336F"/>
    <w:rsid w:val="00AD3849"/>
    <w:rsid w:val="00AD70CC"/>
    <w:rsid w:val="00AE134C"/>
    <w:rsid w:val="00AE1868"/>
    <w:rsid w:val="00AE2564"/>
    <w:rsid w:val="00AE301F"/>
    <w:rsid w:val="00AE3302"/>
    <w:rsid w:val="00AE5BA6"/>
    <w:rsid w:val="00AE6231"/>
    <w:rsid w:val="00AE7077"/>
    <w:rsid w:val="00AF61C2"/>
    <w:rsid w:val="00AF6CC6"/>
    <w:rsid w:val="00B00837"/>
    <w:rsid w:val="00B0296A"/>
    <w:rsid w:val="00B037B0"/>
    <w:rsid w:val="00B06857"/>
    <w:rsid w:val="00B07E79"/>
    <w:rsid w:val="00B10E05"/>
    <w:rsid w:val="00B12295"/>
    <w:rsid w:val="00B137BE"/>
    <w:rsid w:val="00B15998"/>
    <w:rsid w:val="00B16DED"/>
    <w:rsid w:val="00B17FA0"/>
    <w:rsid w:val="00B2292C"/>
    <w:rsid w:val="00B22C3C"/>
    <w:rsid w:val="00B24344"/>
    <w:rsid w:val="00B26769"/>
    <w:rsid w:val="00B2754B"/>
    <w:rsid w:val="00B31C91"/>
    <w:rsid w:val="00B3747F"/>
    <w:rsid w:val="00B42E76"/>
    <w:rsid w:val="00B43194"/>
    <w:rsid w:val="00B43421"/>
    <w:rsid w:val="00B436BF"/>
    <w:rsid w:val="00B47734"/>
    <w:rsid w:val="00B50FBA"/>
    <w:rsid w:val="00B558EB"/>
    <w:rsid w:val="00B577D3"/>
    <w:rsid w:val="00B60466"/>
    <w:rsid w:val="00B6548F"/>
    <w:rsid w:val="00B71A32"/>
    <w:rsid w:val="00B7502A"/>
    <w:rsid w:val="00B77305"/>
    <w:rsid w:val="00B774BD"/>
    <w:rsid w:val="00B77C47"/>
    <w:rsid w:val="00B82CC2"/>
    <w:rsid w:val="00B84A89"/>
    <w:rsid w:val="00B904DC"/>
    <w:rsid w:val="00B9256C"/>
    <w:rsid w:val="00B92BEF"/>
    <w:rsid w:val="00B93A7B"/>
    <w:rsid w:val="00B94443"/>
    <w:rsid w:val="00B94F88"/>
    <w:rsid w:val="00B9689A"/>
    <w:rsid w:val="00B96D1E"/>
    <w:rsid w:val="00B97056"/>
    <w:rsid w:val="00BA373D"/>
    <w:rsid w:val="00BA531E"/>
    <w:rsid w:val="00BA728B"/>
    <w:rsid w:val="00BB06CB"/>
    <w:rsid w:val="00BB261F"/>
    <w:rsid w:val="00BB2887"/>
    <w:rsid w:val="00BB3B56"/>
    <w:rsid w:val="00BB5EAA"/>
    <w:rsid w:val="00BB5F11"/>
    <w:rsid w:val="00BB61DD"/>
    <w:rsid w:val="00BB6638"/>
    <w:rsid w:val="00BB7FD2"/>
    <w:rsid w:val="00BC04FA"/>
    <w:rsid w:val="00BC1C22"/>
    <w:rsid w:val="00BC38D4"/>
    <w:rsid w:val="00BC460B"/>
    <w:rsid w:val="00BC4ED3"/>
    <w:rsid w:val="00BC5725"/>
    <w:rsid w:val="00BC573B"/>
    <w:rsid w:val="00BC77F0"/>
    <w:rsid w:val="00BD30B1"/>
    <w:rsid w:val="00BE0F7B"/>
    <w:rsid w:val="00BE10C2"/>
    <w:rsid w:val="00BE183C"/>
    <w:rsid w:val="00BE1FBE"/>
    <w:rsid w:val="00BF0D6C"/>
    <w:rsid w:val="00C01D14"/>
    <w:rsid w:val="00C01D97"/>
    <w:rsid w:val="00C025B4"/>
    <w:rsid w:val="00C029EC"/>
    <w:rsid w:val="00C161FD"/>
    <w:rsid w:val="00C17C9F"/>
    <w:rsid w:val="00C23F17"/>
    <w:rsid w:val="00C246F2"/>
    <w:rsid w:val="00C26D0D"/>
    <w:rsid w:val="00C275F8"/>
    <w:rsid w:val="00C27C95"/>
    <w:rsid w:val="00C300D2"/>
    <w:rsid w:val="00C3270F"/>
    <w:rsid w:val="00C3278B"/>
    <w:rsid w:val="00C33375"/>
    <w:rsid w:val="00C34C23"/>
    <w:rsid w:val="00C368FA"/>
    <w:rsid w:val="00C4058E"/>
    <w:rsid w:val="00C42005"/>
    <w:rsid w:val="00C4664D"/>
    <w:rsid w:val="00C472AA"/>
    <w:rsid w:val="00C50566"/>
    <w:rsid w:val="00C50A05"/>
    <w:rsid w:val="00C54AED"/>
    <w:rsid w:val="00C555FC"/>
    <w:rsid w:val="00C55E9B"/>
    <w:rsid w:val="00C56D09"/>
    <w:rsid w:val="00C57D24"/>
    <w:rsid w:val="00C604D6"/>
    <w:rsid w:val="00C63CAB"/>
    <w:rsid w:val="00C63D00"/>
    <w:rsid w:val="00C640FD"/>
    <w:rsid w:val="00C6441B"/>
    <w:rsid w:val="00C65921"/>
    <w:rsid w:val="00C668C6"/>
    <w:rsid w:val="00C7108B"/>
    <w:rsid w:val="00C75883"/>
    <w:rsid w:val="00C77FA5"/>
    <w:rsid w:val="00C8089F"/>
    <w:rsid w:val="00C821C5"/>
    <w:rsid w:val="00C835FE"/>
    <w:rsid w:val="00C836CC"/>
    <w:rsid w:val="00C852D6"/>
    <w:rsid w:val="00C87A74"/>
    <w:rsid w:val="00C92C71"/>
    <w:rsid w:val="00C93F8F"/>
    <w:rsid w:val="00C97AC8"/>
    <w:rsid w:val="00CA0894"/>
    <w:rsid w:val="00CA3593"/>
    <w:rsid w:val="00CA5726"/>
    <w:rsid w:val="00CA66FE"/>
    <w:rsid w:val="00CA7E6A"/>
    <w:rsid w:val="00CB258E"/>
    <w:rsid w:val="00CB3C8F"/>
    <w:rsid w:val="00CB63AE"/>
    <w:rsid w:val="00CC02F1"/>
    <w:rsid w:val="00CC1122"/>
    <w:rsid w:val="00CC11A6"/>
    <w:rsid w:val="00CC135E"/>
    <w:rsid w:val="00CC7226"/>
    <w:rsid w:val="00CD0735"/>
    <w:rsid w:val="00CD10F5"/>
    <w:rsid w:val="00CD45E3"/>
    <w:rsid w:val="00CD4771"/>
    <w:rsid w:val="00CD5016"/>
    <w:rsid w:val="00CD5089"/>
    <w:rsid w:val="00CD5287"/>
    <w:rsid w:val="00CD5D3F"/>
    <w:rsid w:val="00CD7701"/>
    <w:rsid w:val="00CD7E1F"/>
    <w:rsid w:val="00CE4BC4"/>
    <w:rsid w:val="00CE7DA2"/>
    <w:rsid w:val="00CF2F8A"/>
    <w:rsid w:val="00CF3DB3"/>
    <w:rsid w:val="00CF6E61"/>
    <w:rsid w:val="00D01BDA"/>
    <w:rsid w:val="00D0274B"/>
    <w:rsid w:val="00D0503D"/>
    <w:rsid w:val="00D052BC"/>
    <w:rsid w:val="00D06082"/>
    <w:rsid w:val="00D07026"/>
    <w:rsid w:val="00D146AE"/>
    <w:rsid w:val="00D22C8F"/>
    <w:rsid w:val="00D25D96"/>
    <w:rsid w:val="00D318ED"/>
    <w:rsid w:val="00D3203C"/>
    <w:rsid w:val="00D32D22"/>
    <w:rsid w:val="00D33491"/>
    <w:rsid w:val="00D3442D"/>
    <w:rsid w:val="00D36F00"/>
    <w:rsid w:val="00D448B6"/>
    <w:rsid w:val="00D44B67"/>
    <w:rsid w:val="00D44F8E"/>
    <w:rsid w:val="00D51FD5"/>
    <w:rsid w:val="00D55DE0"/>
    <w:rsid w:val="00D607EF"/>
    <w:rsid w:val="00D60F88"/>
    <w:rsid w:val="00D646BD"/>
    <w:rsid w:val="00D65558"/>
    <w:rsid w:val="00D66C9F"/>
    <w:rsid w:val="00D70291"/>
    <w:rsid w:val="00D71201"/>
    <w:rsid w:val="00D720C7"/>
    <w:rsid w:val="00D84841"/>
    <w:rsid w:val="00D876E6"/>
    <w:rsid w:val="00D90958"/>
    <w:rsid w:val="00D9162B"/>
    <w:rsid w:val="00D9189B"/>
    <w:rsid w:val="00DA074F"/>
    <w:rsid w:val="00DA0D3E"/>
    <w:rsid w:val="00DA1025"/>
    <w:rsid w:val="00DA22EC"/>
    <w:rsid w:val="00DA53B9"/>
    <w:rsid w:val="00DA5682"/>
    <w:rsid w:val="00DA5860"/>
    <w:rsid w:val="00DA5C0C"/>
    <w:rsid w:val="00DB22EA"/>
    <w:rsid w:val="00DB2767"/>
    <w:rsid w:val="00DB6793"/>
    <w:rsid w:val="00DC07FF"/>
    <w:rsid w:val="00DC1B10"/>
    <w:rsid w:val="00DC2924"/>
    <w:rsid w:val="00DC4729"/>
    <w:rsid w:val="00DD141D"/>
    <w:rsid w:val="00DD31C5"/>
    <w:rsid w:val="00DD5020"/>
    <w:rsid w:val="00DD63BE"/>
    <w:rsid w:val="00DE4296"/>
    <w:rsid w:val="00DF2469"/>
    <w:rsid w:val="00DF7899"/>
    <w:rsid w:val="00E0524C"/>
    <w:rsid w:val="00E11A81"/>
    <w:rsid w:val="00E15751"/>
    <w:rsid w:val="00E17160"/>
    <w:rsid w:val="00E17D41"/>
    <w:rsid w:val="00E231D1"/>
    <w:rsid w:val="00E3288D"/>
    <w:rsid w:val="00E35112"/>
    <w:rsid w:val="00E35BEC"/>
    <w:rsid w:val="00E40AC4"/>
    <w:rsid w:val="00E41A6A"/>
    <w:rsid w:val="00E46AAA"/>
    <w:rsid w:val="00E50821"/>
    <w:rsid w:val="00E51F91"/>
    <w:rsid w:val="00E5498A"/>
    <w:rsid w:val="00E5535E"/>
    <w:rsid w:val="00E559CE"/>
    <w:rsid w:val="00E5754C"/>
    <w:rsid w:val="00E60F42"/>
    <w:rsid w:val="00E6136B"/>
    <w:rsid w:val="00E66720"/>
    <w:rsid w:val="00E6746C"/>
    <w:rsid w:val="00E7086E"/>
    <w:rsid w:val="00E71248"/>
    <w:rsid w:val="00E73C41"/>
    <w:rsid w:val="00E75911"/>
    <w:rsid w:val="00E7598F"/>
    <w:rsid w:val="00E76F60"/>
    <w:rsid w:val="00E776F6"/>
    <w:rsid w:val="00E812B5"/>
    <w:rsid w:val="00E83D90"/>
    <w:rsid w:val="00E83F91"/>
    <w:rsid w:val="00E86299"/>
    <w:rsid w:val="00E9107A"/>
    <w:rsid w:val="00E91F62"/>
    <w:rsid w:val="00E929FD"/>
    <w:rsid w:val="00E93240"/>
    <w:rsid w:val="00E9479B"/>
    <w:rsid w:val="00E94E22"/>
    <w:rsid w:val="00E95F08"/>
    <w:rsid w:val="00E9612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751D"/>
    <w:rsid w:val="00F01F92"/>
    <w:rsid w:val="00F030D4"/>
    <w:rsid w:val="00F04053"/>
    <w:rsid w:val="00F06573"/>
    <w:rsid w:val="00F10A08"/>
    <w:rsid w:val="00F15354"/>
    <w:rsid w:val="00F22AC5"/>
    <w:rsid w:val="00F254D1"/>
    <w:rsid w:val="00F270E3"/>
    <w:rsid w:val="00F31816"/>
    <w:rsid w:val="00F32B82"/>
    <w:rsid w:val="00F34C86"/>
    <w:rsid w:val="00F4043E"/>
    <w:rsid w:val="00F41795"/>
    <w:rsid w:val="00F41BBC"/>
    <w:rsid w:val="00F444F0"/>
    <w:rsid w:val="00F446FF"/>
    <w:rsid w:val="00F45521"/>
    <w:rsid w:val="00F50847"/>
    <w:rsid w:val="00F53F27"/>
    <w:rsid w:val="00F541DF"/>
    <w:rsid w:val="00F543DD"/>
    <w:rsid w:val="00F546D1"/>
    <w:rsid w:val="00F60281"/>
    <w:rsid w:val="00F61010"/>
    <w:rsid w:val="00F66272"/>
    <w:rsid w:val="00F709C0"/>
    <w:rsid w:val="00F81FEC"/>
    <w:rsid w:val="00F840C2"/>
    <w:rsid w:val="00F927A1"/>
    <w:rsid w:val="00F92E4D"/>
    <w:rsid w:val="00F95D08"/>
    <w:rsid w:val="00FA23BD"/>
    <w:rsid w:val="00FA3764"/>
    <w:rsid w:val="00FA3A0E"/>
    <w:rsid w:val="00FA41C7"/>
    <w:rsid w:val="00FA4A79"/>
    <w:rsid w:val="00FA56ED"/>
    <w:rsid w:val="00FB05DD"/>
    <w:rsid w:val="00FB0F7C"/>
    <w:rsid w:val="00FB24EA"/>
    <w:rsid w:val="00FB2C29"/>
    <w:rsid w:val="00FB3DAB"/>
    <w:rsid w:val="00FB5FA6"/>
    <w:rsid w:val="00FC0334"/>
    <w:rsid w:val="00FC1310"/>
    <w:rsid w:val="00FC2FF3"/>
    <w:rsid w:val="00FC3263"/>
    <w:rsid w:val="00FC51F9"/>
    <w:rsid w:val="00FC5B40"/>
    <w:rsid w:val="00FC5FF8"/>
    <w:rsid w:val="00FD271B"/>
    <w:rsid w:val="00FD3D7C"/>
    <w:rsid w:val="00FD4F8F"/>
    <w:rsid w:val="00FD5C39"/>
    <w:rsid w:val="00FE0C16"/>
    <w:rsid w:val="00FE14B1"/>
    <w:rsid w:val="00FE4D97"/>
    <w:rsid w:val="00FE5F90"/>
    <w:rsid w:val="00FF0070"/>
    <w:rsid w:val="00FF07C3"/>
    <w:rsid w:val="00FF1CBE"/>
    <w:rsid w:val="00FF215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10</Pages>
  <Words>4488</Words>
  <Characters>25588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Williams</cp:lastModifiedBy>
  <cp:revision>187</cp:revision>
  <cp:lastPrinted>2020-02-11T19:20:00Z</cp:lastPrinted>
  <dcterms:created xsi:type="dcterms:W3CDTF">2025-08-04T09:11:00Z</dcterms:created>
  <dcterms:modified xsi:type="dcterms:W3CDTF">2026-09-23T09:24:00Z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