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34C04" w14:textId="0B5A1D7B" w:rsidR="001F1D27" w:rsidRPr="004202A0" w:rsidRDefault="009A1421">
      <w:pPr>
        <w:rPr>
          <w:rFonts w:asciiTheme="majorHAnsi" w:hAnsiTheme="majorHAnsi"/>
          <w:sz w:val="32"/>
          <w:szCs w:val="32"/>
        </w:rPr>
      </w:pPr>
      <w:r w:rsidRPr="004202A0">
        <w:rPr>
          <w:rFonts w:asciiTheme="majorHAnsi" w:hAnsiTheme="majorHAnsi"/>
          <w:sz w:val="32"/>
          <w:szCs w:val="32"/>
        </w:rPr>
        <w:t>Use Childe’s characteristics of complex societies discuss at least one of them by giving examples from BOTH Egypt and China.</w:t>
      </w:r>
    </w:p>
    <w:p w14:paraId="726334E9" w14:textId="326C4AA6" w:rsidR="002A6FE8" w:rsidRDefault="00883B07">
      <w:r w:rsidRPr="00883B07">
        <w:t>Childe’s theory of the urban revolution describes how early agricultural villages developed into socially, economically and politically urban societies. He coined the term urban revolution to capture this transformation and identified ten criteria that, in his view, marked the rise of urban civilization</w:t>
      </w:r>
      <w:r w:rsidR="00307764">
        <w:t xml:space="preserve"> </w:t>
      </w:r>
      <w:r w:rsidRPr="00883B07">
        <w:t>larger and denser settlements, concentrated wealth, monumental public works, writing, representational art, exact sciences, long</w:t>
      </w:r>
      <w:r w:rsidR="001E6368">
        <w:rPr>
          <w:rFonts w:ascii="Cambria Math" w:hAnsi="Cambria Math" w:cs="Cambria Math"/>
        </w:rPr>
        <w:t xml:space="preserve"> </w:t>
      </w:r>
      <w:r w:rsidRPr="00883B07">
        <w:t>distance trade, full</w:t>
      </w:r>
      <w:r w:rsidR="001E6368">
        <w:rPr>
          <w:rFonts w:ascii="Cambria Math" w:hAnsi="Cambria Math" w:cs="Cambria Math"/>
        </w:rPr>
        <w:t xml:space="preserve"> </w:t>
      </w:r>
      <w:r w:rsidRPr="00883B07">
        <w:t xml:space="preserve">time specialists, class stratification, and </w:t>
      </w:r>
      <w:proofErr w:type="gramStart"/>
      <w:r w:rsidRPr="00883B07">
        <w:t>residence</w:t>
      </w:r>
      <w:r w:rsidR="001725D0">
        <w:rPr>
          <w:rFonts w:ascii="Cambria Math" w:hAnsi="Cambria Math" w:cs="Cambria Math"/>
        </w:rPr>
        <w:t xml:space="preserve"> </w:t>
      </w:r>
      <w:r w:rsidRPr="00883B07">
        <w:t>based</w:t>
      </w:r>
      <w:proofErr w:type="gramEnd"/>
      <w:r w:rsidRPr="00883B07">
        <w:t xml:space="preserve"> community organization. Childe reached these conclusions by examining archaeological evidence showing how farming communities changed once they produced storable food surpluses, which he considered a necessary condition for population growth and</w:t>
      </w:r>
      <w:r w:rsidR="00307764">
        <w:t xml:space="preserve"> </w:t>
      </w:r>
      <w:r w:rsidR="00307764" w:rsidRPr="00307764">
        <w:t>occupational differentiation. The article also highlights the importance of exchange and redistribution systems, unequal control of resources, and defensive pressures in shaping early urban development. His model drew on comparisons across regions where urbanism arose independently, including Egypt, northern China</w:t>
      </w:r>
      <w:r w:rsidR="001E6368">
        <w:t xml:space="preserve"> </w:t>
      </w:r>
      <w:r w:rsidR="004276EE">
        <w:t xml:space="preserve">as well as other countries. </w:t>
      </w:r>
      <w:r w:rsidR="00307764" w:rsidRPr="00307764">
        <w:t>Although later scholars treat his criteria as heuristic rather than universal, the article affirms that Childe’s synthesis remains foundational for understanding early cities.</w:t>
      </w:r>
      <w:r w:rsidR="002A6FE8">
        <w:t xml:space="preserve"> </w:t>
      </w:r>
      <w:r w:rsidR="002A6FE8" w:rsidRPr="002A6FE8">
        <w:t>Childe’s list of urban traits is now regarded as a heuristic device rather than a universal checklist and later research shows that food surplus alone was a necessary but not a sufficient condition</w:t>
      </w:r>
      <w:r w:rsidR="002C4273">
        <w:t xml:space="preserve"> </w:t>
      </w:r>
      <w:r w:rsidR="002A6FE8" w:rsidRPr="002A6FE8">
        <w:t>for urban development. These limits highlight why his model cannot fully explain the diversity of early cities.</w:t>
      </w:r>
    </w:p>
    <w:p w14:paraId="22BE5602" w14:textId="6A63B553" w:rsidR="005816F8" w:rsidRDefault="0090040F" w:rsidP="004202A0">
      <w:pPr>
        <w:ind w:left="1134" w:right="1088"/>
      </w:pPr>
      <w:r>
        <w:t>“The earliest Egyptian complex sign system was ancestral to the scripts that developed from around 3100 BCE onward. In China the first writing is not securely attested until c. 1400–1250. In both civilisations the principal writing media were perishable and are lost but must be allowed for. Both systems had two realisations, one more pictorial and less cursive than the other.”</w:t>
      </w:r>
      <w:r w:rsidR="00364E90">
        <w:fldChar w:fldCharType="begin"/>
      </w:r>
      <w:r w:rsidR="00364E90">
        <w:instrText xml:space="preserve"> ADDIN ZOTERO_ITEM CSL_CITATION {"citationID":"Lf39Rwbt","properties":{"formattedCitation":"(Baines and Dazhi, 2024)","plainCitation":"(Baines and Dazhi, 2024)","noteIndex":0},"citationItems":[{"id":112,"uris":["http://zotero.org/users/local/NNZzcgDv/items/FPEQDFD3"],"itemData":{"id":112,"type":"chapter","DOI":"10.1515/9783111360805-004","ISBN":"978-3-11-136080-5","page":"71-128","source":"ResearchGate","title":"Material, Spatial, and Social Contexts of Early Writing: Egypt and China","title-short":"Material, Spatial, and Social Contexts of Early Writing","author":[{"family":"Baines","given":"John"},{"family":"Dazhi","given":"Cao"}],"issued":{"date-parts":[["2024",2,19]]}}}],"schema":"https://github.com/citation-style-language/schema/raw/master/csl-citation.json"} </w:instrText>
      </w:r>
      <w:r w:rsidR="00364E90">
        <w:fldChar w:fldCharType="separate"/>
      </w:r>
      <w:r w:rsidR="00364E90" w:rsidRPr="00364E90">
        <w:rPr>
          <w:rFonts w:ascii="Aptos" w:hAnsi="Aptos"/>
        </w:rPr>
        <w:t>(Baines and Dazhi, 2024)</w:t>
      </w:r>
      <w:r w:rsidR="00364E90">
        <w:fldChar w:fldCharType="end"/>
      </w:r>
    </w:p>
    <w:p w14:paraId="712513A1" w14:textId="25FAE0E0" w:rsidR="00AD13D3" w:rsidRDefault="00042B81" w:rsidP="00A07397">
      <w:r w:rsidRPr="00042B81">
        <w:t>When you examine the early</w:t>
      </w:r>
      <w:r w:rsidR="004202A0">
        <w:t xml:space="preserve"> stages </w:t>
      </w:r>
      <w:r w:rsidRPr="00042B81">
        <w:t>of Egypt and China</w:t>
      </w:r>
      <w:r w:rsidR="009844BB">
        <w:t>s civilisations</w:t>
      </w:r>
      <w:r w:rsidRPr="00042B81">
        <w:t xml:space="preserve">, you encounter two societies in which writing </w:t>
      </w:r>
      <w:r w:rsidR="00F96081">
        <w:t>came to be</w:t>
      </w:r>
      <w:r w:rsidRPr="00042B81">
        <w:t xml:space="preserve"> not as an isolated invention but as part of a wider constellation of social</w:t>
      </w:r>
      <w:r w:rsidR="00F96081">
        <w:t xml:space="preserve"> and </w:t>
      </w:r>
      <w:r w:rsidRPr="00042B81">
        <w:t>material</w:t>
      </w:r>
      <w:r w:rsidR="00F96081">
        <w:t xml:space="preserve"> </w:t>
      </w:r>
      <w:r w:rsidRPr="00042B81">
        <w:t xml:space="preserve">practices. </w:t>
      </w:r>
      <w:r w:rsidR="00B36694">
        <w:t xml:space="preserve">For </w:t>
      </w:r>
      <w:r w:rsidR="005B509F">
        <w:t>example,</w:t>
      </w:r>
      <w:r w:rsidRPr="00042B81">
        <w:t xml:space="preserve"> in Egypt the development of writing</w:t>
      </w:r>
      <w:r>
        <w:t xml:space="preserve"> </w:t>
      </w:r>
      <w:r w:rsidRPr="00042B81">
        <w:t xml:space="preserve">from a </w:t>
      </w:r>
      <w:r w:rsidR="00EC45BD">
        <w:t>limited</w:t>
      </w:r>
      <w:r w:rsidRPr="00042B81">
        <w:t xml:space="preserve"> set of signs to a fully expressive script</w:t>
      </w:r>
      <w:r>
        <w:t xml:space="preserve"> </w:t>
      </w:r>
      <w:r w:rsidRPr="00042B81">
        <w:t>reflects a cultural commitment to stabilising meaning and projecting continuity across generations. Even as spoken Egyptian underwent significant syntactic transformation, you observe that its written counterpart remained conservative, becoming a defining element of Egyptian identity rather than a direct transcription of everyday speech.</w:t>
      </w:r>
    </w:p>
    <w:p w14:paraId="237BCFD4" w14:textId="2709404B" w:rsidR="00042B81" w:rsidRDefault="00AD13D3" w:rsidP="00A07397">
      <w:r w:rsidRPr="00AD13D3">
        <w:lastRenderedPageBreak/>
        <w:t xml:space="preserve">At the same time, </w:t>
      </w:r>
      <w:r w:rsidR="00EF3FE0">
        <w:t>written language</w:t>
      </w:r>
      <w:r w:rsidR="005F58F0">
        <w:t xml:space="preserve"> had</w:t>
      </w:r>
      <w:r w:rsidRPr="00AD13D3">
        <w:t xml:space="preserve"> </w:t>
      </w:r>
      <w:r w:rsidR="005F58F0">
        <w:t>begun to shift</w:t>
      </w:r>
      <w:r w:rsidRPr="00AD13D3">
        <w:t xml:space="preserve"> alongside oral</w:t>
      </w:r>
      <w:r w:rsidR="00EF3FE0">
        <w:t xml:space="preserve"> language</w:t>
      </w:r>
      <w:r w:rsidRPr="00AD13D3">
        <w:t xml:space="preserve"> and bodily traditions that were equally integral to social life, even if they left fewer durable traces. When you turn to Western Zhou China, you encounter a revealing parallel</w:t>
      </w:r>
      <w:r w:rsidR="009F1D63">
        <w:t xml:space="preserve"> </w:t>
      </w:r>
      <w:r w:rsidRPr="00AD13D3">
        <w:t xml:space="preserve">inscribed bronzes that recorded grants of privilege were not merely textual </w:t>
      </w:r>
      <w:r w:rsidR="009F1D63" w:rsidRPr="00AD13D3">
        <w:t>artefacts,</w:t>
      </w:r>
      <w:r w:rsidRPr="00AD13D3">
        <w:t xml:space="preserve"> but objects incorporated into ceremonial display, sometimes attached to belts and worn on the body. This comparison prompts you to consider how writing in both cultures operated not only as a visual record but as a material participant in ritual and political performance. Through this lens, you recognise a shared impulse to embed text within the embodied rhythms of authority and social order.</w:t>
      </w:r>
    </w:p>
    <w:p w14:paraId="75CE74D5" w14:textId="49B65CCA" w:rsidR="00275E92" w:rsidRDefault="00275E92" w:rsidP="00A07397">
      <w:r w:rsidRPr="00275E92">
        <w:t>Childe’s criteria show how early Egypt and China developed complex societies through comparable but distinct pathways. Both formed urban centres</w:t>
      </w:r>
      <w:r>
        <w:t xml:space="preserve"> </w:t>
      </w:r>
      <w:r w:rsidRPr="00275E92">
        <w:t>such as Memphis</w:t>
      </w:r>
      <w:r w:rsidR="00826BDD">
        <w:t xml:space="preserve"> </w:t>
      </w:r>
      <w:r w:rsidRPr="00275E92">
        <w:t>that concentrated population</w:t>
      </w:r>
      <w:r w:rsidR="00826BDD">
        <w:t>,</w:t>
      </w:r>
      <w:r w:rsidRPr="00275E92">
        <w:t xml:space="preserve"> labour</w:t>
      </w:r>
      <w:r w:rsidR="00826BDD">
        <w:t xml:space="preserve"> </w:t>
      </w:r>
      <w:r w:rsidRPr="00275E92">
        <w:t xml:space="preserve">and ritual authority. </w:t>
      </w:r>
      <w:r w:rsidR="006B2502">
        <w:t>S</w:t>
      </w:r>
      <w:r w:rsidRPr="00275E92">
        <w:t>pecialists like Egyptian scribes and Chinese diviners supported by centralised surplus. Monumental architecture, from pyramids to Shang tombs, expressed elite ideology, while social stratification is visible in burial and material wealth. Writing diverged Egypt used it for administration and cultural continuity, whereas China embedded it in divination. Both developed sciences, elite arts, long</w:t>
      </w:r>
      <w:r w:rsidRPr="00275E92">
        <w:rPr>
          <w:rFonts w:ascii="Cambria Math" w:hAnsi="Cambria Math" w:cs="Cambria Math"/>
        </w:rPr>
        <w:t>‑</w:t>
      </w:r>
      <w:r w:rsidRPr="00275E92">
        <w:t>distance trade, and state structures, though Egypt emphasised cosmic kingship and China ancestral</w:t>
      </w:r>
      <w:r w:rsidRPr="00275E92">
        <w:rPr>
          <w:rFonts w:ascii="Cambria Math" w:hAnsi="Cambria Math" w:cs="Cambria Math"/>
        </w:rPr>
        <w:t>‑</w:t>
      </w:r>
      <w:r w:rsidRPr="00275E92">
        <w:t>ritual governance.</w:t>
      </w:r>
    </w:p>
    <w:p w14:paraId="5A419C7C" w14:textId="77777777" w:rsidR="00220555" w:rsidRDefault="00220555" w:rsidP="00A07397"/>
    <w:p w14:paraId="2C659D37" w14:textId="6604597D" w:rsidR="0096675C" w:rsidRDefault="00220555" w:rsidP="0096675C">
      <w:r w:rsidRPr="00220555">
        <w:t>Early Chinese writing developed through a long process that culminated in the oracle bone script, the earliest securely attested form of written Chinese. Dating to the late second millennium BCE,</w:t>
      </w:r>
      <w:r w:rsidR="00E42B92">
        <w:fldChar w:fldCharType="begin"/>
      </w:r>
      <w:r w:rsidR="00E42B92">
        <w:instrText xml:space="preserve"> ADDIN ZOTERO_ITEM CSL_CITATION {"citationID":"gXPsQc5n","properties":{"formattedCitation":"(Lu and Aiken, 2004)","plainCitation":"(Lu and Aiken, 2004)","noteIndex":0},"citationItems":[{"id":106,"uris":["http://zotero.org/users/local/NNZzcgDv/items/6NUCTG2B"],"itemData":{"id":106,"type":"article-journal","abstract":"The history of Chinese writing extends back more than 6000 years and the Chinese writing system remains unique among all writing systems. In this paper, the origin and evolution of Chinese writing systems will be discussed. It will be shown that in the Shang dynasty (about 1200 BC) the principles of Chinese writing had been formulated and that over the following 3000 years the structure and key elements of the system have remained, although the style of writing has changed (Li, 1969; Keightly, 1989). Explanations of the possible motivation behind the invention of Chinese writing will also be discussed. It can be shown that numerals had the highest frequency of occurrence in the earliest writing system - pottery inscriptions - and this finding indicates that one of the purposes of innovation of a writing system was for counting. This paper concludes that evidence of early Chinese writing confirms there is a significant relationship between the invention of a writing system and abstract counting and accounting requirements.","container-title":"Accounting History","DOI":"10.1177/103237320400900303","ISSN":"1032-3732","issue":"3","language":"EN","page":"25-51","publisher":"SAGE Publications Ltd","source":"SAGE Journals","title":"Origins and evolution of Chinese writing systems and preliminary counting relationships","volume":"9","author":[{"family":"Lu","given":"Wei"},{"family":"Aiken","given":"Max"}],"issued":{"date-parts":[["2004",11,1]]}}}],"schema":"https://github.com/citation-style-language/schema/raw/master/csl-citation.json"} </w:instrText>
      </w:r>
      <w:r w:rsidR="00E42B92">
        <w:fldChar w:fldCharType="separate"/>
      </w:r>
      <w:r w:rsidR="00E42B92" w:rsidRPr="00E42B92">
        <w:rPr>
          <w:rFonts w:ascii="Aptos" w:hAnsi="Aptos"/>
        </w:rPr>
        <w:t>(Lu and Aiken, 2004)</w:t>
      </w:r>
      <w:r w:rsidR="00E42B92">
        <w:fldChar w:fldCharType="end"/>
      </w:r>
      <w:r w:rsidRPr="00220555">
        <w:t xml:space="preserve"> these inscriptions were carved onto ox scapulae and turtle plastrons and used primarily for royal divination, showing that writing was already embedded in ritual and political authority rather than everyday administration. The script is logographic, representing words or morphemes rather than sounds, and appears in a mature, standardised form, implying earlier, less</w:t>
      </w:r>
      <w:r w:rsidR="00F92926">
        <w:t xml:space="preserve"> </w:t>
      </w:r>
      <w:r w:rsidRPr="00220555">
        <w:t>preserved stages of development. Its discovery at Anyang revealed a fully functioning writing system that records</w:t>
      </w:r>
      <w:r w:rsidR="00D134BD">
        <w:t xml:space="preserve"> </w:t>
      </w:r>
      <w:r w:rsidR="00D134BD" w:rsidRPr="00D134BD">
        <w:t>names, events, offering</w:t>
      </w:r>
      <w:r w:rsidR="00D134BD">
        <w:t>s</w:t>
      </w:r>
      <w:r w:rsidR="00D134BD" w:rsidRPr="00D134BD">
        <w:t xml:space="preserve"> and ancestral communication, marking the beginning of China’s continuous written tradition.</w:t>
      </w:r>
    </w:p>
    <w:p w14:paraId="78A90917" w14:textId="27CD8454" w:rsidR="004640C7" w:rsidRDefault="00FE1E2A" w:rsidP="004640C7">
      <w:r w:rsidRPr="00FE1E2A">
        <w:t>The earliest form of writing in Egypt is best represented by the discoveries from Tomb U</w:t>
      </w:r>
      <w:r w:rsidRPr="00FE1E2A">
        <w:rPr>
          <w:rFonts w:ascii="Cambria Math" w:hAnsi="Cambria Math" w:cs="Cambria Math"/>
        </w:rPr>
        <w:t>‑</w:t>
      </w:r>
      <w:r w:rsidRPr="00FE1E2A">
        <w:t>j at Abydos, dated between roughly 3320 and 3150</w:t>
      </w:r>
      <w:r w:rsidRPr="00FE1E2A">
        <w:rPr>
          <w:rFonts w:ascii="Arial" w:hAnsi="Arial" w:cs="Arial"/>
        </w:rPr>
        <w:t> </w:t>
      </w:r>
      <w:r w:rsidRPr="00FE1E2A">
        <w:t>BCE.</w:t>
      </w:r>
      <w:r w:rsidR="0096675C">
        <w:fldChar w:fldCharType="begin"/>
      </w:r>
      <w:r w:rsidR="0096675C">
        <w:instrText xml:space="preserve"> ADDIN ZOTERO_ITEM CSL_CITATION {"citationID":"JiB9du48","properties":{"formattedCitation":"({\\i{}The Earliest Known Egyptian Writing\\uc0\\u8239{}: History of Information}, no date)","plainCitation":"(The Earliest Known Egyptian Writing</w:instrText>
      </w:r>
      <w:r w:rsidR="0096675C">
        <w:rPr>
          <w:rFonts w:ascii="Arial" w:hAnsi="Arial" w:cs="Arial"/>
        </w:rPr>
        <w:instrText> </w:instrText>
      </w:r>
      <w:r w:rsidR="0096675C">
        <w:instrText xml:space="preserve">: History of Information, no date)","noteIndex":0},"citationItems":[{"id":115,"uris":["http://zotero.org/users/local/NNZzcgDv/items/B4Q9EQKE"],"itemData":{"id":115,"type":"webpage","title":"The Earliest Known Egyptian Writing : History of Information","URL":"https://historyofinformation.com/detail.php?id=3428","accessed":{"date-parts":[["2026",2,1]]}}}],"schema":"https://github.com/citation-style-language/schema/raw/master/csl-citation.json"} </w:instrText>
      </w:r>
      <w:r w:rsidR="0096675C">
        <w:fldChar w:fldCharType="separate"/>
      </w:r>
      <w:r w:rsidR="0096675C" w:rsidRPr="0096675C">
        <w:rPr>
          <w:rFonts w:ascii="Aptos" w:hAnsi="Aptos" w:cs="Times New Roman"/>
          <w:kern w:val="0"/>
        </w:rPr>
        <w:t>(</w:t>
      </w:r>
      <w:r w:rsidR="0096675C" w:rsidRPr="0096675C">
        <w:rPr>
          <w:rFonts w:ascii="Aptos" w:hAnsi="Aptos" w:cs="Times New Roman"/>
          <w:i/>
          <w:iCs/>
          <w:kern w:val="0"/>
        </w:rPr>
        <w:t>The Earliest Known Egyptian Writing : History of Information</w:t>
      </w:r>
      <w:r w:rsidR="0096675C" w:rsidRPr="0096675C">
        <w:rPr>
          <w:rFonts w:ascii="Aptos" w:hAnsi="Aptos" w:cs="Times New Roman"/>
          <w:kern w:val="0"/>
        </w:rPr>
        <w:t>, no date)</w:t>
      </w:r>
      <w:r w:rsidR="0096675C">
        <w:fldChar w:fldCharType="end"/>
      </w:r>
      <w:r w:rsidRPr="00FE1E2A">
        <w:t xml:space="preserve"> Excavations revealed more than a hundred small bone and ivory tags, along with pottery vessels and clay sealings, each bearing between one and four hieroglyphic signs. According to the History of Information account, these objects constitute the oldest securely dated examples of Egyptian writing. Their function appears to have been administrative the tags were originally attached to jars and goods, identifying commodities, places of origin, or officials responsible for their movement.</w:t>
      </w:r>
      <w:r w:rsidR="0096675C" w:rsidRPr="0096675C">
        <w:t xml:space="preserve"> </w:t>
      </w:r>
      <w:r w:rsidR="0096675C" w:rsidRPr="0096675C">
        <w:t xml:space="preserve">This evidence shows that writing in Egypt began not as a literary or religious medium but as a practical tool for managing resources within an </w:t>
      </w:r>
      <w:r w:rsidR="0096675C" w:rsidRPr="0096675C">
        <w:lastRenderedPageBreak/>
        <w:t>increasingly complex society. The placement of these inscribed tags in a royal tomb suggests that early rulers relied on written labels to control taxation, storage, and redistribution. Although the signs do not yet form continuous sentences, they demonstrate a clear system of symbolic communication that later developed into the full hieroglyphic script. The material from Tomb U</w:t>
      </w:r>
      <w:r w:rsidR="0096675C" w:rsidRPr="0096675C">
        <w:rPr>
          <w:rFonts w:ascii="Cambria Math" w:hAnsi="Cambria Math" w:cs="Cambria Math"/>
        </w:rPr>
        <w:t>‑</w:t>
      </w:r>
      <w:r w:rsidR="0096675C" w:rsidRPr="0096675C">
        <w:t>j therefore reveals that Egyptian writing originated in the economic and administrative needs of early state formation, rather than in artistic or ceremonial expression.</w:t>
      </w:r>
    </w:p>
    <w:p w14:paraId="42D538AA" w14:textId="45056310" w:rsidR="0064709B" w:rsidRDefault="004640C7" w:rsidP="0064709B">
      <w:r>
        <w:t>The development of language and writing in ancient Egypt and China reveals two contrasting paths toward creating stable, long</w:t>
      </w:r>
      <w:r>
        <w:rPr>
          <w:rFonts w:ascii="Cambria Math" w:hAnsi="Cambria Math" w:cs="Cambria Math"/>
        </w:rPr>
        <w:t>‑</w:t>
      </w:r>
      <w:r>
        <w:t>lasting civilizations. In Egypt, writing emerged through a sequence of scripts</w:t>
      </w:r>
      <w:r w:rsidR="007225BD">
        <w:rPr>
          <w:rFonts w:ascii="Aptos" w:hAnsi="Aptos" w:cs="Aptos"/>
        </w:rPr>
        <w:t xml:space="preserve"> </w:t>
      </w:r>
      <w:r>
        <w:t>hieroglyphic, hieratic, and later demotic</w:t>
      </w:r>
      <w:r w:rsidR="007225BD">
        <w:rPr>
          <w:rFonts w:ascii="Aptos" w:hAnsi="Aptos" w:cs="Aptos"/>
        </w:rPr>
        <w:t xml:space="preserve"> </w:t>
      </w:r>
      <w:r>
        <w:t>each associated with different social and administrative functions. This layered system reflects a culture in which writing adapted to changing political structures, religious practices, and bureaucratic needs. Over time, the spoken language itself shifted significantly, eventually giving rise to Coptic and later being replaced by Arabic. These transitions illustrate a pattern in which linguistic change accompanied broader cultural and political transformations,</w:t>
      </w:r>
      <w:r w:rsidR="0064709B" w:rsidRPr="0064709B">
        <w:t xml:space="preserve"> </w:t>
      </w:r>
      <w:r w:rsidR="0064709B">
        <w:t>producing a landscape where language was repeatedly reshaped by external influence and internal evolution.</w:t>
      </w:r>
    </w:p>
    <w:p w14:paraId="6D5BB718" w14:textId="77777777" w:rsidR="00E307F2" w:rsidRDefault="0064709B" w:rsidP="00E307F2">
      <w:r>
        <w:t>China followed a different trajectory. From the earliest oracle bone inscriptions onward, Chinese writing developed as a continuous logographic system that retained its core structure even as its visual forms evolved. This continuity allowed written communication to remain stable across vast regions and long periods, despite the emergence of diverse and often mutually unintelligible spoken varieties. The endurance of a unified script supported strong ideological commitments to cultural continuity and</w:t>
      </w:r>
      <w:r w:rsidR="00E307F2">
        <w:t xml:space="preserve"> </w:t>
      </w:r>
      <w:r w:rsidR="00E307F2">
        <w:t>centralized authority. While spoken Chinese changed dramatically over millennia, the written system acted as a stabilizing force that linked successive dynasties and regional communities.</w:t>
      </w:r>
    </w:p>
    <w:p w14:paraId="054EBF6A" w14:textId="693B7EB0" w:rsidR="00070DB3" w:rsidRDefault="00E307F2" w:rsidP="00E307F2">
      <w:r>
        <w:t>Comparing these two traditions highlights how writing systems can shape the character of a civilization. Egypt’s shifting scripts and eventual linguistic replacement reflect a history marked by adaptation and cultural layering. China’s enduring script by contrast</w:t>
      </w:r>
      <w:r w:rsidR="00953845">
        <w:t xml:space="preserve"> </w:t>
      </w:r>
      <w:r>
        <w:t>anchored a model of long-term continuity that persisted despite internal diversity. Together, these cases show how</w:t>
      </w:r>
      <w:r>
        <w:t xml:space="preserve"> l</w:t>
      </w:r>
      <w:r w:rsidRPr="00E307F2">
        <w:t>anguage development can follow very different paths while fulfilling similar roles in sustaining complex societies.</w:t>
      </w:r>
    </w:p>
    <w:p w14:paraId="656CB2C8" w14:textId="51113D2D" w:rsidR="00923C48" w:rsidRDefault="009018AC" w:rsidP="00A07397">
      <w:r w:rsidRPr="009018AC">
        <w:t xml:space="preserve">Language development in ancient China played a crucial role in unifying a vast and diverse society. The early logographic script created a stable written system that remained consistent even as spoken languages varied widely across regions. This continuity allowed officials, scholars, and communities to communicate through a shared written medium, strengthening administrative control and cultural cohesion. A stable script also supported the preservation of historical records, rituals, and philosophical traditions, giving people a sense of connection to earlier generations. As </w:t>
      </w:r>
      <w:r w:rsidRPr="009018AC">
        <w:lastRenderedPageBreak/>
        <w:t>literacy spread among the elite, writing became a pathway to government service, offering opportunities for social mobility. Overall,</w:t>
      </w:r>
      <w:r w:rsidR="00192447" w:rsidRPr="00192447">
        <w:t xml:space="preserve"> </w:t>
      </w:r>
      <w:r w:rsidR="00192447" w:rsidRPr="00192447">
        <w:t>the development of a continuous writing system helped maintain political stability and cultural unity across centuries of change.</w:t>
      </w:r>
    </w:p>
    <w:p w14:paraId="78BF2F03" w14:textId="67BDDD54" w:rsidR="0032486A" w:rsidRDefault="001229AA" w:rsidP="00A07397">
      <w:r w:rsidRPr="001229AA">
        <w:t>Language development in ancient Egypt helped people maintain social order, religious continuity, and administrative control across thousands of years. The evolution of writing</w:t>
      </w:r>
      <w:r w:rsidR="00087D8C">
        <w:t xml:space="preserve"> </w:t>
      </w:r>
      <w:r w:rsidRPr="001229AA">
        <w:t>from hieroglyphic to hieratic and later demotic</w:t>
      </w:r>
      <w:r w:rsidR="00087D8C">
        <w:t xml:space="preserve"> </w:t>
      </w:r>
      <w:r w:rsidRPr="001229AA">
        <w:t>allowed Egyptians to adapt communication to different needs, from sacred inscriptions to everyday record</w:t>
      </w:r>
      <w:r w:rsidRPr="001229AA">
        <w:rPr>
          <w:rFonts w:ascii="Cambria Math" w:hAnsi="Cambria Math" w:cs="Cambria Math"/>
        </w:rPr>
        <w:t>‑</w:t>
      </w:r>
      <w:r w:rsidRPr="001229AA">
        <w:t>keeping. This flexibility made it possible to manage taxation, trade, and legal matters across a large and diverse population. Writing also preserved religious texts and ritual knowledge, giving people a stable cultural framework that connected generations. As scripts changed, they reflected shifts in society while still carrying forward older traditions. In this way, language</w:t>
      </w:r>
      <w:r>
        <w:t xml:space="preserve"> </w:t>
      </w:r>
      <w:r w:rsidRPr="001229AA">
        <w:t>development supported both practical governance and a shared sense of identity throughout Egypt’s long history.</w:t>
      </w:r>
    </w:p>
    <w:p w14:paraId="25D4B522" w14:textId="48448CD5" w:rsidR="007473F1" w:rsidRDefault="00162281" w:rsidP="00A07397">
      <w:r w:rsidRPr="00162281">
        <w:t>Together</w:t>
      </w:r>
      <w:r w:rsidR="009D1957">
        <w:t xml:space="preserve"> </w:t>
      </w:r>
      <w:r w:rsidRPr="00162281">
        <w:t>the experiences of Egypt and China show that language development</w:t>
      </w:r>
      <w:r w:rsidR="00F13EAC">
        <w:t xml:space="preserve"> </w:t>
      </w:r>
      <w:r w:rsidRPr="00162281">
        <w:t xml:space="preserve">whether through changing scripts or a continuous writing </w:t>
      </w:r>
      <w:r w:rsidR="007225BD" w:rsidRPr="00162281">
        <w:t>system was</w:t>
      </w:r>
      <w:r w:rsidRPr="00162281">
        <w:t xml:space="preserve"> essential for holding complex societies together. Each civilization used writing to manage daily life, preserve cultural knowledge, and maintain political stability, even though they followed very different linguistic paths. Their comparison highlights how communication systems shaped identity and helped sustain </w:t>
      </w:r>
      <w:r w:rsidR="001C5560">
        <w:t>longevity</w:t>
      </w:r>
      <w:r w:rsidR="00535A94">
        <w:rPr>
          <w:rFonts w:ascii="Cambria Math" w:hAnsi="Cambria Math" w:cs="Cambria Math"/>
        </w:rPr>
        <w:t>.</w:t>
      </w:r>
    </w:p>
    <w:p w14:paraId="102EA553" w14:textId="293B08CE" w:rsidR="001C51B7" w:rsidRDefault="007473F1" w:rsidP="00A07397">
      <w:pPr>
        <w:rPr>
          <w:rFonts w:asciiTheme="majorHAnsi" w:hAnsiTheme="majorHAnsi"/>
          <w:sz w:val="32"/>
          <w:szCs w:val="32"/>
        </w:rPr>
      </w:pPr>
      <w:r>
        <w:t>T</w:t>
      </w:r>
      <w:r w:rsidRPr="007473F1">
        <w:t>he emergence of writing in ancient Egypt and ancient China illustrates how one of Childe’s ten points of civilisation functioned as both a product and a driver of wider social transformation. In Egypt, hieroglyphic writing grew from the administrative pressures of a centralising state</w:t>
      </w:r>
      <w:r w:rsidR="000A540D">
        <w:t xml:space="preserve"> </w:t>
      </w:r>
      <w:r w:rsidRPr="007473F1">
        <w:t>tracking labour, taxation, and temple wealth</w:t>
      </w:r>
      <w:r w:rsidR="000A540D">
        <w:t xml:space="preserve"> </w:t>
      </w:r>
      <w:r w:rsidRPr="007473F1">
        <w:t>yet it soon became essential for expressing religious ideology and legitimising pharaonic authority. In China, early script developed within the ritual and divinatory practices of the Shang court, but it</w:t>
      </w:r>
      <w:r w:rsidR="009258B4">
        <w:t xml:space="preserve"> </w:t>
      </w:r>
      <w:r w:rsidR="009258B4" w:rsidRPr="009258B4">
        <w:t>likewise evolved into a bureaucratic tool that stabilised governance and enabled the management of expanding territorial power. Although their origins differed, both systems reveal how writing amplified other elements of Childe’s model it supported economic specialisation, facilitated long</w:t>
      </w:r>
      <w:r w:rsidR="000A540D">
        <w:rPr>
          <w:rFonts w:ascii="Cambria Math" w:hAnsi="Cambria Math" w:cs="Cambria Math"/>
        </w:rPr>
        <w:t xml:space="preserve"> </w:t>
      </w:r>
      <w:r w:rsidR="009258B4" w:rsidRPr="009258B4">
        <w:t>distance exchange, entrenched social hierarchies, and allowed political institutions to project power across</w:t>
      </w:r>
      <w:r w:rsidR="00ED7152">
        <w:t xml:space="preserve"> s</w:t>
      </w:r>
      <w:r w:rsidR="00ED7152" w:rsidRPr="00ED7152">
        <w:t>pace and time. Most importantly, writing transformed memory into a durable, state</w:t>
      </w:r>
      <w:r w:rsidR="00ED7152" w:rsidRPr="00ED7152">
        <w:rPr>
          <w:rFonts w:ascii="Cambria Math" w:hAnsi="Cambria Math" w:cs="Cambria Math"/>
        </w:rPr>
        <w:t>‑</w:t>
      </w:r>
      <w:r w:rsidR="00ED7152" w:rsidRPr="00ED7152">
        <w:t>controlled resource, enabling elites to preserve histories, codify beliefs, and maintain administrative continuity across generations. By comparing Egypt and China, it becomes clear that writing was not simply one criterion among many but a foundational mechanism that allowed early civilisations to coordinate complexity, imagine</w:t>
      </w:r>
      <w:r w:rsidR="000F4D74">
        <w:t xml:space="preserve"> </w:t>
      </w:r>
      <w:r w:rsidR="000F4D74" w:rsidRPr="000F4D74">
        <w:t xml:space="preserve">themselves as coherent entities, and endure beyond the limits of oral tradition. In this sense, writing stands at the heart of Childe’s vision of civilisation, embodying the shift from transient communities to structured, </w:t>
      </w:r>
      <w:r w:rsidR="000A540D" w:rsidRPr="000F4D74">
        <w:t>self</w:t>
      </w:r>
      <w:r w:rsidR="000A540D">
        <w:rPr>
          <w:rFonts w:ascii="Cambria Math" w:hAnsi="Cambria Math" w:cs="Cambria Math"/>
        </w:rPr>
        <w:t>-</w:t>
      </w:r>
      <w:r w:rsidR="000A540D" w:rsidRPr="000F4D74">
        <w:t>sustaining</w:t>
      </w:r>
      <w:r w:rsidR="000F4D74" w:rsidRPr="000F4D74">
        <w:t xml:space="preserve"> states.</w:t>
      </w:r>
    </w:p>
    <w:p w14:paraId="2BBD7499" w14:textId="0A664340" w:rsidR="00D87860" w:rsidRDefault="00B8232B" w:rsidP="00A07397">
      <w:pPr>
        <w:rPr>
          <w:rFonts w:asciiTheme="majorHAnsi" w:hAnsiTheme="majorHAnsi"/>
          <w:sz w:val="32"/>
          <w:szCs w:val="32"/>
        </w:rPr>
      </w:pPr>
      <w:r>
        <w:rPr>
          <w:rFonts w:asciiTheme="majorHAnsi" w:hAnsiTheme="majorHAnsi"/>
          <w:sz w:val="32"/>
          <w:szCs w:val="32"/>
        </w:rPr>
        <w:lastRenderedPageBreak/>
        <w:t xml:space="preserve">Bibliography </w:t>
      </w:r>
    </w:p>
    <w:p w14:paraId="4B9CE4E2"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 xml:space="preserve">Baines, J. and </w:t>
      </w:r>
      <w:proofErr w:type="spellStart"/>
      <w:r w:rsidRPr="001C51B7">
        <w:rPr>
          <w:rFonts w:ascii="Times New Roman" w:eastAsia="Times New Roman" w:hAnsi="Times New Roman" w:cs="Times New Roman"/>
          <w:kern w:val="0"/>
          <w:lang w:eastAsia="en-GB"/>
          <w14:ligatures w14:val="none"/>
        </w:rPr>
        <w:t>Dazhi</w:t>
      </w:r>
      <w:proofErr w:type="spellEnd"/>
      <w:r w:rsidRPr="001C51B7">
        <w:rPr>
          <w:rFonts w:ascii="Times New Roman" w:eastAsia="Times New Roman" w:hAnsi="Times New Roman" w:cs="Times New Roman"/>
          <w:kern w:val="0"/>
          <w:lang w:eastAsia="en-GB"/>
          <w14:ligatures w14:val="none"/>
        </w:rPr>
        <w:t xml:space="preserve">, C. (2024) ‘Material, Spatial, and Social Contexts of Early Writing: Egypt and China’, in, pp. 71–128. Available at: </w:t>
      </w:r>
      <w:hyperlink r:id="rId8" w:history="1">
        <w:r w:rsidRPr="001C51B7">
          <w:rPr>
            <w:rFonts w:ascii="Times New Roman" w:eastAsia="Times New Roman" w:hAnsi="Times New Roman" w:cs="Times New Roman"/>
            <w:color w:val="0000FF"/>
            <w:kern w:val="0"/>
            <w:u w:val="single"/>
            <w:lang w:eastAsia="en-GB"/>
            <w14:ligatures w14:val="none"/>
          </w:rPr>
          <w:t>https://doi.org/10.1515/9783111360805-004</w:t>
        </w:r>
      </w:hyperlink>
      <w:r w:rsidRPr="001C51B7">
        <w:rPr>
          <w:rFonts w:ascii="Times New Roman" w:eastAsia="Times New Roman" w:hAnsi="Times New Roman" w:cs="Times New Roman"/>
          <w:kern w:val="0"/>
          <w:lang w:eastAsia="en-GB"/>
          <w14:ligatures w14:val="none"/>
        </w:rPr>
        <w:t>.</w:t>
      </w:r>
    </w:p>
    <w:p w14:paraId="5D057D07"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 xml:space="preserve">Bywater, M.E. (2013) </w:t>
      </w:r>
      <w:r w:rsidRPr="001C51B7">
        <w:rPr>
          <w:rFonts w:ascii="Times New Roman" w:eastAsia="Times New Roman" w:hAnsi="Times New Roman" w:cs="Times New Roman"/>
          <w:i/>
          <w:iCs/>
          <w:kern w:val="0"/>
          <w:lang w:eastAsia="en-GB"/>
          <w14:ligatures w14:val="none"/>
        </w:rPr>
        <w:t>The impact of writing: ancient and modern views on the role of early writing systems within society and as a part of ‘civilisation’</w:t>
      </w:r>
      <w:r w:rsidRPr="001C51B7">
        <w:rPr>
          <w:rFonts w:ascii="Times New Roman" w:eastAsia="Times New Roman" w:hAnsi="Times New Roman" w:cs="Times New Roman"/>
          <w:kern w:val="0"/>
          <w:lang w:eastAsia="en-GB"/>
          <w14:ligatures w14:val="none"/>
        </w:rPr>
        <w:t xml:space="preserve">, </w:t>
      </w:r>
      <w:proofErr w:type="spellStart"/>
      <w:proofErr w:type="gramStart"/>
      <w:r w:rsidRPr="001C51B7">
        <w:rPr>
          <w:rFonts w:ascii="Times New Roman" w:eastAsia="Times New Roman" w:hAnsi="Times New Roman" w:cs="Times New Roman"/>
          <w:i/>
          <w:iCs/>
          <w:kern w:val="0"/>
          <w:lang w:eastAsia="en-GB"/>
          <w14:ligatures w14:val="none"/>
        </w:rPr>
        <w:t>Masters</w:t>
      </w:r>
      <w:proofErr w:type="spellEnd"/>
      <w:proofErr w:type="gramEnd"/>
      <w:r w:rsidRPr="001C51B7">
        <w:rPr>
          <w:rFonts w:ascii="Times New Roman" w:eastAsia="Times New Roman" w:hAnsi="Times New Roman" w:cs="Times New Roman"/>
          <w:i/>
          <w:iCs/>
          <w:kern w:val="0"/>
          <w:lang w:eastAsia="en-GB"/>
          <w14:ligatures w14:val="none"/>
        </w:rPr>
        <w:t xml:space="preserve"> thesis, UCL (University College London).</w:t>
      </w:r>
      <w:r w:rsidRPr="001C51B7">
        <w:rPr>
          <w:rFonts w:ascii="Times New Roman" w:eastAsia="Times New Roman" w:hAnsi="Times New Roman" w:cs="Times New Roman"/>
          <w:kern w:val="0"/>
          <w:lang w:eastAsia="en-GB"/>
          <w14:ligatures w14:val="none"/>
        </w:rPr>
        <w:t xml:space="preserve"> Masters. UCL (University College London). Available at: </w:t>
      </w:r>
      <w:hyperlink r:id="rId9" w:history="1">
        <w:r w:rsidRPr="001C51B7">
          <w:rPr>
            <w:rFonts w:ascii="Times New Roman" w:eastAsia="Times New Roman" w:hAnsi="Times New Roman" w:cs="Times New Roman"/>
            <w:color w:val="0000FF"/>
            <w:kern w:val="0"/>
            <w:u w:val="single"/>
            <w:lang w:eastAsia="en-GB"/>
            <w14:ligatures w14:val="none"/>
          </w:rPr>
          <w:t>https://discovery.ucl.ac.uk/id/eprint/1387202/</w:t>
        </w:r>
      </w:hyperlink>
      <w:r w:rsidRPr="001C51B7">
        <w:rPr>
          <w:rFonts w:ascii="Times New Roman" w:eastAsia="Times New Roman" w:hAnsi="Times New Roman" w:cs="Times New Roman"/>
          <w:kern w:val="0"/>
          <w:lang w:eastAsia="en-GB"/>
          <w14:ligatures w14:val="none"/>
        </w:rPr>
        <w:t xml:space="preserve"> (Accessed: 28 January 2026).</w:t>
      </w:r>
    </w:p>
    <w:p w14:paraId="369A67F6"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i/>
          <w:iCs/>
          <w:kern w:val="0"/>
          <w:lang w:eastAsia="en-GB"/>
          <w14:ligatures w14:val="none"/>
        </w:rPr>
        <w:t>Chinese Writing from 5000 B.C. to Present</w:t>
      </w:r>
      <w:r w:rsidRPr="001C51B7">
        <w:rPr>
          <w:rFonts w:ascii="Times New Roman" w:eastAsia="Times New Roman" w:hAnsi="Times New Roman" w:cs="Times New Roman"/>
          <w:kern w:val="0"/>
          <w:lang w:eastAsia="en-GB"/>
          <w14:ligatures w14:val="none"/>
        </w:rPr>
        <w:t xml:space="preserve"> (no date). Available at: </w:t>
      </w:r>
      <w:hyperlink r:id="rId10" w:history="1">
        <w:r w:rsidRPr="001C51B7">
          <w:rPr>
            <w:rFonts w:ascii="Times New Roman" w:eastAsia="Times New Roman" w:hAnsi="Times New Roman" w:cs="Times New Roman"/>
            <w:color w:val="0000FF"/>
            <w:kern w:val="0"/>
            <w:u w:val="single"/>
            <w:lang w:eastAsia="en-GB"/>
            <w14:ligatures w14:val="none"/>
          </w:rPr>
          <w:t>https://chem.rutgers.edu/ky-chen-laboratory-research/oracle-bone-inscription/641-chinese-writing-from-5000-b-c-to-present</w:t>
        </w:r>
      </w:hyperlink>
      <w:r w:rsidRPr="001C51B7">
        <w:rPr>
          <w:rFonts w:ascii="Times New Roman" w:eastAsia="Times New Roman" w:hAnsi="Times New Roman" w:cs="Times New Roman"/>
          <w:kern w:val="0"/>
          <w:lang w:eastAsia="en-GB"/>
          <w14:ligatures w14:val="none"/>
        </w:rPr>
        <w:t xml:space="preserve"> (Accessed: 1 February 2026).</w:t>
      </w:r>
    </w:p>
    <w:p w14:paraId="5C9309DA"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 xml:space="preserve">Josiffe, C. (2010) </w:t>
      </w:r>
      <w:r w:rsidRPr="001C51B7">
        <w:rPr>
          <w:rFonts w:ascii="Times New Roman" w:eastAsia="Times New Roman" w:hAnsi="Times New Roman" w:cs="Times New Roman"/>
          <w:i/>
          <w:iCs/>
          <w:kern w:val="0"/>
          <w:lang w:eastAsia="en-GB"/>
          <w14:ligatures w14:val="none"/>
        </w:rPr>
        <w:t xml:space="preserve">Origins of writing: magic or </w:t>
      </w:r>
      <w:proofErr w:type="gramStart"/>
      <w:r w:rsidRPr="001C51B7">
        <w:rPr>
          <w:rFonts w:ascii="Times New Roman" w:eastAsia="Times New Roman" w:hAnsi="Times New Roman" w:cs="Times New Roman"/>
          <w:i/>
          <w:iCs/>
          <w:kern w:val="0"/>
          <w:lang w:eastAsia="en-GB"/>
          <w14:ligatures w14:val="none"/>
        </w:rPr>
        <w:t>accountancy?</w:t>
      </w:r>
      <w:r w:rsidRPr="001C51B7">
        <w:rPr>
          <w:rFonts w:ascii="Times New Roman" w:eastAsia="Times New Roman" w:hAnsi="Times New Roman" w:cs="Times New Roman"/>
          <w:kern w:val="0"/>
          <w:lang w:eastAsia="en-GB"/>
          <w14:ligatures w14:val="none"/>
        </w:rPr>
        <w:t>,</w:t>
      </w:r>
      <w:proofErr w:type="gramEnd"/>
      <w:r w:rsidRPr="001C51B7">
        <w:rPr>
          <w:rFonts w:ascii="Times New Roman" w:eastAsia="Times New Roman" w:hAnsi="Times New Roman" w:cs="Times New Roman"/>
          <w:kern w:val="0"/>
          <w:lang w:eastAsia="en-GB"/>
          <w14:ligatures w14:val="none"/>
        </w:rPr>
        <w:t xml:space="preserve"> </w:t>
      </w:r>
      <w:proofErr w:type="spellStart"/>
      <w:proofErr w:type="gramStart"/>
      <w:r w:rsidRPr="001C51B7">
        <w:rPr>
          <w:rFonts w:ascii="Times New Roman" w:eastAsia="Times New Roman" w:hAnsi="Times New Roman" w:cs="Times New Roman"/>
          <w:i/>
          <w:iCs/>
          <w:kern w:val="0"/>
          <w:lang w:eastAsia="en-GB"/>
          <w14:ligatures w14:val="none"/>
        </w:rPr>
        <w:t>Masters</w:t>
      </w:r>
      <w:proofErr w:type="spellEnd"/>
      <w:proofErr w:type="gramEnd"/>
      <w:r w:rsidRPr="001C51B7">
        <w:rPr>
          <w:rFonts w:ascii="Times New Roman" w:eastAsia="Times New Roman" w:hAnsi="Times New Roman" w:cs="Times New Roman"/>
          <w:i/>
          <w:iCs/>
          <w:kern w:val="0"/>
          <w:lang w:eastAsia="en-GB"/>
          <w14:ligatures w14:val="none"/>
        </w:rPr>
        <w:t xml:space="preserve"> thesis, SOAS University of London.</w:t>
      </w:r>
      <w:r w:rsidRPr="001C51B7">
        <w:rPr>
          <w:rFonts w:ascii="Times New Roman" w:eastAsia="Times New Roman" w:hAnsi="Times New Roman" w:cs="Times New Roman"/>
          <w:kern w:val="0"/>
          <w:lang w:eastAsia="en-GB"/>
          <w14:ligatures w14:val="none"/>
        </w:rPr>
        <w:t xml:space="preserve"> Masters. SOAS University of London. Available at: </w:t>
      </w:r>
      <w:hyperlink r:id="rId11" w:history="1">
        <w:r w:rsidRPr="001C51B7">
          <w:rPr>
            <w:rFonts w:ascii="Times New Roman" w:eastAsia="Times New Roman" w:hAnsi="Times New Roman" w:cs="Times New Roman"/>
            <w:color w:val="0000FF"/>
            <w:kern w:val="0"/>
            <w:u w:val="single"/>
            <w:lang w:eastAsia="en-GB"/>
            <w14:ligatures w14:val="none"/>
          </w:rPr>
          <w:t>https://discovery.ucl.ac.uk/id/eprint/10082208/</w:t>
        </w:r>
      </w:hyperlink>
      <w:r w:rsidRPr="001C51B7">
        <w:rPr>
          <w:rFonts w:ascii="Times New Roman" w:eastAsia="Times New Roman" w:hAnsi="Times New Roman" w:cs="Times New Roman"/>
          <w:kern w:val="0"/>
          <w:lang w:eastAsia="en-GB"/>
          <w14:ligatures w14:val="none"/>
        </w:rPr>
        <w:t xml:space="preserve"> (Accessed: 28 January 2026).</w:t>
      </w:r>
    </w:p>
    <w:p w14:paraId="0FEDE6F6"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 xml:space="preserve">Langer, C. and Zhao, K. (2025) ‘The Nile and the Yellow River: Comparative Studies between Ancient Egypt and China’, </w:t>
      </w:r>
      <w:r w:rsidRPr="001C51B7">
        <w:rPr>
          <w:rFonts w:ascii="Times New Roman" w:eastAsia="Times New Roman" w:hAnsi="Times New Roman" w:cs="Times New Roman"/>
          <w:i/>
          <w:iCs/>
          <w:kern w:val="0"/>
          <w:lang w:eastAsia="en-GB"/>
          <w14:ligatures w14:val="none"/>
        </w:rPr>
        <w:t>Cambridge Archaeological Journal</w:t>
      </w:r>
      <w:r w:rsidRPr="001C51B7">
        <w:rPr>
          <w:rFonts w:ascii="Times New Roman" w:eastAsia="Times New Roman" w:hAnsi="Times New Roman" w:cs="Times New Roman"/>
          <w:kern w:val="0"/>
          <w:lang w:eastAsia="en-GB"/>
          <w14:ligatures w14:val="none"/>
        </w:rPr>
        <w:t xml:space="preserve">, 35(2), pp. 305–316. Available at: </w:t>
      </w:r>
      <w:hyperlink r:id="rId12" w:history="1">
        <w:r w:rsidRPr="001C51B7">
          <w:rPr>
            <w:rFonts w:ascii="Times New Roman" w:eastAsia="Times New Roman" w:hAnsi="Times New Roman" w:cs="Times New Roman"/>
            <w:color w:val="0000FF"/>
            <w:kern w:val="0"/>
            <w:u w:val="single"/>
            <w:lang w:eastAsia="en-GB"/>
            <w14:ligatures w14:val="none"/>
          </w:rPr>
          <w:t>https://doi.org/10.1017/S0959774324000349</w:t>
        </w:r>
      </w:hyperlink>
      <w:r w:rsidRPr="001C51B7">
        <w:rPr>
          <w:rFonts w:ascii="Times New Roman" w:eastAsia="Times New Roman" w:hAnsi="Times New Roman" w:cs="Times New Roman"/>
          <w:kern w:val="0"/>
          <w:lang w:eastAsia="en-GB"/>
          <w14:ligatures w14:val="none"/>
        </w:rPr>
        <w:t>.</w:t>
      </w:r>
    </w:p>
    <w:p w14:paraId="34C21B06"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 xml:space="preserve">Lu, W. and Aiken, M. (2004) ‘Origins and evolution of Chinese writing systems and preliminary counting relationships’, </w:t>
      </w:r>
      <w:r w:rsidRPr="001C51B7">
        <w:rPr>
          <w:rFonts w:ascii="Times New Roman" w:eastAsia="Times New Roman" w:hAnsi="Times New Roman" w:cs="Times New Roman"/>
          <w:i/>
          <w:iCs/>
          <w:kern w:val="0"/>
          <w:lang w:eastAsia="en-GB"/>
          <w14:ligatures w14:val="none"/>
        </w:rPr>
        <w:t>Accounting History</w:t>
      </w:r>
      <w:r w:rsidRPr="001C51B7">
        <w:rPr>
          <w:rFonts w:ascii="Times New Roman" w:eastAsia="Times New Roman" w:hAnsi="Times New Roman" w:cs="Times New Roman"/>
          <w:kern w:val="0"/>
          <w:lang w:eastAsia="en-GB"/>
          <w14:ligatures w14:val="none"/>
        </w:rPr>
        <w:t xml:space="preserve">, 9(3), pp. 25–51. Available at: </w:t>
      </w:r>
      <w:hyperlink r:id="rId13" w:history="1">
        <w:r w:rsidRPr="001C51B7">
          <w:rPr>
            <w:rFonts w:ascii="Times New Roman" w:eastAsia="Times New Roman" w:hAnsi="Times New Roman" w:cs="Times New Roman"/>
            <w:color w:val="0000FF"/>
            <w:kern w:val="0"/>
            <w:u w:val="single"/>
            <w:lang w:eastAsia="en-GB"/>
            <w14:ligatures w14:val="none"/>
          </w:rPr>
          <w:t>https://doi.org/10.1177/103237320400900303</w:t>
        </w:r>
      </w:hyperlink>
      <w:r w:rsidRPr="001C51B7">
        <w:rPr>
          <w:rFonts w:ascii="Times New Roman" w:eastAsia="Times New Roman" w:hAnsi="Times New Roman" w:cs="Times New Roman"/>
          <w:kern w:val="0"/>
          <w:lang w:eastAsia="en-GB"/>
          <w14:ligatures w14:val="none"/>
        </w:rPr>
        <w:t>.</w:t>
      </w:r>
    </w:p>
    <w:p w14:paraId="15937CBD"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kern w:val="0"/>
          <w:lang w:eastAsia="en-GB"/>
          <w14:ligatures w14:val="none"/>
        </w:rPr>
        <w:t>Schmandt-</w:t>
      </w:r>
      <w:proofErr w:type="spellStart"/>
      <w:r w:rsidRPr="001C51B7">
        <w:rPr>
          <w:rFonts w:ascii="Times New Roman" w:eastAsia="Times New Roman" w:hAnsi="Times New Roman" w:cs="Times New Roman"/>
          <w:kern w:val="0"/>
          <w:lang w:eastAsia="en-GB"/>
          <w14:ligatures w14:val="none"/>
        </w:rPr>
        <w:t>Besserat</w:t>
      </w:r>
      <w:proofErr w:type="spellEnd"/>
      <w:r w:rsidRPr="001C51B7">
        <w:rPr>
          <w:rFonts w:ascii="Times New Roman" w:eastAsia="Times New Roman" w:hAnsi="Times New Roman" w:cs="Times New Roman"/>
          <w:kern w:val="0"/>
          <w:lang w:eastAsia="en-GB"/>
          <w14:ligatures w14:val="none"/>
        </w:rPr>
        <w:t xml:space="preserve">, D. and Erard, M. (2007) ‘Origins and Forms of Writing’, in </w:t>
      </w:r>
      <w:r w:rsidRPr="001C51B7">
        <w:rPr>
          <w:rFonts w:ascii="Times New Roman" w:eastAsia="Times New Roman" w:hAnsi="Times New Roman" w:cs="Times New Roman"/>
          <w:i/>
          <w:iCs/>
          <w:kern w:val="0"/>
          <w:lang w:eastAsia="en-GB"/>
          <w14:ligatures w14:val="none"/>
        </w:rPr>
        <w:t>Handbook of Research on Writing</w:t>
      </w:r>
      <w:r w:rsidRPr="001C51B7">
        <w:rPr>
          <w:rFonts w:ascii="Times New Roman" w:eastAsia="Times New Roman" w:hAnsi="Times New Roman" w:cs="Times New Roman"/>
          <w:kern w:val="0"/>
          <w:lang w:eastAsia="en-GB"/>
          <w14:ligatures w14:val="none"/>
        </w:rPr>
        <w:t>. Routledge.</w:t>
      </w:r>
    </w:p>
    <w:p w14:paraId="5625240B"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i/>
          <w:iCs/>
          <w:kern w:val="0"/>
          <w:lang w:eastAsia="en-GB"/>
          <w14:ligatures w14:val="none"/>
        </w:rPr>
        <w:t xml:space="preserve">The Earliest Known Egyptian </w:t>
      </w:r>
      <w:proofErr w:type="gramStart"/>
      <w:r w:rsidRPr="001C51B7">
        <w:rPr>
          <w:rFonts w:ascii="Times New Roman" w:eastAsia="Times New Roman" w:hAnsi="Times New Roman" w:cs="Times New Roman"/>
          <w:i/>
          <w:iCs/>
          <w:kern w:val="0"/>
          <w:lang w:eastAsia="en-GB"/>
          <w14:ligatures w14:val="none"/>
        </w:rPr>
        <w:t>Writing :</w:t>
      </w:r>
      <w:proofErr w:type="gramEnd"/>
      <w:r w:rsidRPr="001C51B7">
        <w:rPr>
          <w:rFonts w:ascii="Times New Roman" w:eastAsia="Times New Roman" w:hAnsi="Times New Roman" w:cs="Times New Roman"/>
          <w:i/>
          <w:iCs/>
          <w:kern w:val="0"/>
          <w:lang w:eastAsia="en-GB"/>
          <w14:ligatures w14:val="none"/>
        </w:rPr>
        <w:t xml:space="preserve"> History of Information</w:t>
      </w:r>
      <w:r w:rsidRPr="001C51B7">
        <w:rPr>
          <w:rFonts w:ascii="Times New Roman" w:eastAsia="Times New Roman" w:hAnsi="Times New Roman" w:cs="Times New Roman"/>
          <w:kern w:val="0"/>
          <w:lang w:eastAsia="en-GB"/>
          <w14:ligatures w14:val="none"/>
        </w:rPr>
        <w:t xml:space="preserve"> (no date). Available at: </w:t>
      </w:r>
      <w:hyperlink r:id="rId14" w:history="1">
        <w:r w:rsidRPr="001C51B7">
          <w:rPr>
            <w:rFonts w:ascii="Times New Roman" w:eastAsia="Times New Roman" w:hAnsi="Times New Roman" w:cs="Times New Roman"/>
            <w:color w:val="0000FF"/>
            <w:kern w:val="0"/>
            <w:u w:val="single"/>
            <w:lang w:eastAsia="en-GB"/>
            <w14:ligatures w14:val="none"/>
          </w:rPr>
          <w:t>https://historyofinformation.com/detail.php?id=3428</w:t>
        </w:r>
      </w:hyperlink>
      <w:r w:rsidRPr="001C51B7">
        <w:rPr>
          <w:rFonts w:ascii="Times New Roman" w:eastAsia="Times New Roman" w:hAnsi="Times New Roman" w:cs="Times New Roman"/>
          <w:kern w:val="0"/>
          <w:lang w:eastAsia="en-GB"/>
          <w14:ligatures w14:val="none"/>
        </w:rPr>
        <w:t xml:space="preserve"> (Accessed: 1 February 2026).</w:t>
      </w:r>
    </w:p>
    <w:p w14:paraId="69E49B7A"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proofErr w:type="spellStart"/>
      <w:r w:rsidRPr="001C51B7">
        <w:rPr>
          <w:rFonts w:ascii="Times New Roman" w:eastAsia="Times New Roman" w:hAnsi="Times New Roman" w:cs="Times New Roman"/>
          <w:kern w:val="0"/>
          <w:lang w:eastAsia="en-GB"/>
          <w14:ligatures w14:val="none"/>
        </w:rPr>
        <w:t>T.v</w:t>
      </w:r>
      <w:proofErr w:type="spellEnd"/>
      <w:r w:rsidRPr="001C51B7">
        <w:rPr>
          <w:rFonts w:ascii="Times New Roman" w:eastAsia="Times New Roman" w:hAnsi="Times New Roman" w:cs="Times New Roman"/>
          <w:kern w:val="0"/>
          <w:lang w:eastAsia="en-GB"/>
          <w14:ligatures w14:val="none"/>
        </w:rPr>
        <w:t xml:space="preserve">, D. (2016) ‘The theory of civilizations through the lens of contemporary humanities’, </w:t>
      </w:r>
      <w:proofErr w:type="spellStart"/>
      <w:r w:rsidRPr="001C51B7">
        <w:rPr>
          <w:rFonts w:ascii="Times New Roman" w:eastAsia="Times New Roman" w:hAnsi="Times New Roman" w:cs="Times New Roman"/>
          <w:i/>
          <w:iCs/>
          <w:kern w:val="0"/>
          <w:lang w:eastAsia="en-GB"/>
          <w14:ligatures w14:val="none"/>
        </w:rPr>
        <w:t>Антропологические</w:t>
      </w:r>
      <w:proofErr w:type="spellEnd"/>
      <w:r w:rsidRPr="001C51B7">
        <w:rPr>
          <w:rFonts w:ascii="Times New Roman" w:eastAsia="Times New Roman" w:hAnsi="Times New Roman" w:cs="Times New Roman"/>
          <w:i/>
          <w:iCs/>
          <w:kern w:val="0"/>
          <w:lang w:eastAsia="en-GB"/>
          <w14:ligatures w14:val="none"/>
        </w:rPr>
        <w:t xml:space="preserve"> </w:t>
      </w:r>
      <w:proofErr w:type="spellStart"/>
      <w:r w:rsidRPr="001C51B7">
        <w:rPr>
          <w:rFonts w:ascii="Times New Roman" w:eastAsia="Times New Roman" w:hAnsi="Times New Roman" w:cs="Times New Roman"/>
          <w:i/>
          <w:iCs/>
          <w:kern w:val="0"/>
          <w:lang w:eastAsia="en-GB"/>
          <w14:ligatures w14:val="none"/>
        </w:rPr>
        <w:t>измерения</w:t>
      </w:r>
      <w:proofErr w:type="spellEnd"/>
      <w:r w:rsidRPr="001C51B7">
        <w:rPr>
          <w:rFonts w:ascii="Times New Roman" w:eastAsia="Times New Roman" w:hAnsi="Times New Roman" w:cs="Times New Roman"/>
          <w:i/>
          <w:iCs/>
          <w:kern w:val="0"/>
          <w:lang w:eastAsia="en-GB"/>
          <w14:ligatures w14:val="none"/>
        </w:rPr>
        <w:t xml:space="preserve"> </w:t>
      </w:r>
      <w:proofErr w:type="spellStart"/>
      <w:r w:rsidRPr="001C51B7">
        <w:rPr>
          <w:rFonts w:ascii="Times New Roman" w:eastAsia="Times New Roman" w:hAnsi="Times New Roman" w:cs="Times New Roman"/>
          <w:i/>
          <w:iCs/>
          <w:kern w:val="0"/>
          <w:lang w:eastAsia="en-GB"/>
          <w14:ligatures w14:val="none"/>
        </w:rPr>
        <w:t>философских</w:t>
      </w:r>
      <w:proofErr w:type="spellEnd"/>
      <w:r w:rsidRPr="001C51B7">
        <w:rPr>
          <w:rFonts w:ascii="Times New Roman" w:eastAsia="Times New Roman" w:hAnsi="Times New Roman" w:cs="Times New Roman"/>
          <w:i/>
          <w:iCs/>
          <w:kern w:val="0"/>
          <w:lang w:eastAsia="en-GB"/>
          <w14:ligatures w14:val="none"/>
        </w:rPr>
        <w:t xml:space="preserve"> </w:t>
      </w:r>
      <w:proofErr w:type="spellStart"/>
      <w:r w:rsidRPr="001C51B7">
        <w:rPr>
          <w:rFonts w:ascii="Times New Roman" w:eastAsia="Times New Roman" w:hAnsi="Times New Roman" w:cs="Times New Roman"/>
          <w:i/>
          <w:iCs/>
          <w:kern w:val="0"/>
          <w:lang w:eastAsia="en-GB"/>
          <w14:ligatures w14:val="none"/>
        </w:rPr>
        <w:t>исследований</w:t>
      </w:r>
      <w:proofErr w:type="spellEnd"/>
      <w:r w:rsidRPr="001C51B7">
        <w:rPr>
          <w:rFonts w:ascii="Times New Roman" w:eastAsia="Times New Roman" w:hAnsi="Times New Roman" w:cs="Times New Roman"/>
          <w:kern w:val="0"/>
          <w:lang w:eastAsia="en-GB"/>
          <w14:ligatures w14:val="none"/>
        </w:rPr>
        <w:t>, (9), pp. 55–62.</w:t>
      </w:r>
    </w:p>
    <w:p w14:paraId="022D7D3A" w14:textId="77777777" w:rsidR="001C51B7" w:rsidRPr="001C51B7" w:rsidRDefault="001C51B7" w:rsidP="001C51B7">
      <w:pPr>
        <w:spacing w:after="0" w:line="240" w:lineRule="auto"/>
        <w:rPr>
          <w:rFonts w:ascii="Times New Roman" w:eastAsia="Times New Roman" w:hAnsi="Times New Roman" w:cs="Times New Roman"/>
          <w:kern w:val="0"/>
          <w:lang w:eastAsia="en-GB"/>
          <w14:ligatures w14:val="none"/>
        </w:rPr>
      </w:pPr>
      <w:r w:rsidRPr="001C51B7">
        <w:rPr>
          <w:rFonts w:ascii="Times New Roman" w:eastAsia="Times New Roman" w:hAnsi="Times New Roman" w:cs="Times New Roman"/>
          <w:i/>
          <w:iCs/>
          <w:kern w:val="0"/>
          <w:lang w:eastAsia="en-GB"/>
          <w14:ligatures w14:val="none"/>
        </w:rPr>
        <w:t>Urban revolution | Definition, V. Gordon Childe, Theory, Cities, Migration, &amp; Globalization | Britannica</w:t>
      </w:r>
      <w:r w:rsidRPr="001C51B7">
        <w:rPr>
          <w:rFonts w:ascii="Times New Roman" w:eastAsia="Times New Roman" w:hAnsi="Times New Roman" w:cs="Times New Roman"/>
          <w:kern w:val="0"/>
          <w:lang w:eastAsia="en-GB"/>
          <w14:ligatures w14:val="none"/>
        </w:rPr>
        <w:t xml:space="preserve"> (2026). Available at: </w:t>
      </w:r>
      <w:hyperlink r:id="rId15" w:history="1">
        <w:r w:rsidRPr="001C51B7">
          <w:rPr>
            <w:rFonts w:ascii="Times New Roman" w:eastAsia="Times New Roman" w:hAnsi="Times New Roman" w:cs="Times New Roman"/>
            <w:color w:val="0000FF"/>
            <w:kern w:val="0"/>
            <w:u w:val="single"/>
            <w:lang w:eastAsia="en-GB"/>
            <w14:ligatures w14:val="none"/>
          </w:rPr>
          <w:t>https://www.britannica.com/topic/urban-revolution</w:t>
        </w:r>
      </w:hyperlink>
      <w:r w:rsidRPr="001C51B7">
        <w:rPr>
          <w:rFonts w:ascii="Times New Roman" w:eastAsia="Times New Roman" w:hAnsi="Times New Roman" w:cs="Times New Roman"/>
          <w:kern w:val="0"/>
          <w:lang w:eastAsia="en-GB"/>
          <w14:ligatures w14:val="none"/>
        </w:rPr>
        <w:t xml:space="preserve"> (Accessed: 30 January 2026).</w:t>
      </w:r>
    </w:p>
    <w:p w14:paraId="0E247DA6" w14:textId="77777777" w:rsidR="00B8232B" w:rsidRPr="00B8232B" w:rsidRDefault="00B8232B" w:rsidP="00A07397">
      <w:pPr>
        <w:rPr>
          <w:rFonts w:asciiTheme="majorHAnsi" w:hAnsiTheme="majorHAnsi"/>
          <w:sz w:val="32"/>
          <w:szCs w:val="32"/>
        </w:rPr>
      </w:pPr>
    </w:p>
    <w:p w14:paraId="20031BCF" w14:textId="655B022A" w:rsidR="00542AC4" w:rsidRDefault="00542AC4" w:rsidP="00A07397"/>
    <w:sectPr w:rsidR="00542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9930FE"/>
    <w:multiLevelType w:val="hybridMultilevel"/>
    <w:tmpl w:val="5EC2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66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592"/>
    <w:rsid w:val="00042B81"/>
    <w:rsid w:val="000569FA"/>
    <w:rsid w:val="000619E2"/>
    <w:rsid w:val="00070DB3"/>
    <w:rsid w:val="00087D8C"/>
    <w:rsid w:val="000A540D"/>
    <w:rsid w:val="000F4D74"/>
    <w:rsid w:val="001174B1"/>
    <w:rsid w:val="001229AA"/>
    <w:rsid w:val="00162281"/>
    <w:rsid w:val="001725D0"/>
    <w:rsid w:val="00175A1C"/>
    <w:rsid w:val="00192447"/>
    <w:rsid w:val="00192D50"/>
    <w:rsid w:val="001A7F8E"/>
    <w:rsid w:val="001C51B7"/>
    <w:rsid w:val="001C5560"/>
    <w:rsid w:val="001D29BB"/>
    <w:rsid w:val="001D5BF8"/>
    <w:rsid w:val="001E6368"/>
    <w:rsid w:val="001F1D27"/>
    <w:rsid w:val="00220555"/>
    <w:rsid w:val="00275E92"/>
    <w:rsid w:val="002A6FE8"/>
    <w:rsid w:val="002C4273"/>
    <w:rsid w:val="002D0E6F"/>
    <w:rsid w:val="00307764"/>
    <w:rsid w:val="0032486A"/>
    <w:rsid w:val="00364E90"/>
    <w:rsid w:val="003912B2"/>
    <w:rsid w:val="003943BF"/>
    <w:rsid w:val="003A020F"/>
    <w:rsid w:val="003D1095"/>
    <w:rsid w:val="003D4C2D"/>
    <w:rsid w:val="00412AA2"/>
    <w:rsid w:val="004202A0"/>
    <w:rsid w:val="004276EE"/>
    <w:rsid w:val="004640C7"/>
    <w:rsid w:val="00476D2A"/>
    <w:rsid w:val="00497BEE"/>
    <w:rsid w:val="004D257A"/>
    <w:rsid w:val="004E2271"/>
    <w:rsid w:val="00535A94"/>
    <w:rsid w:val="00542AC4"/>
    <w:rsid w:val="00555D21"/>
    <w:rsid w:val="00575B94"/>
    <w:rsid w:val="005816F8"/>
    <w:rsid w:val="005B509F"/>
    <w:rsid w:val="005F58F0"/>
    <w:rsid w:val="00600DA4"/>
    <w:rsid w:val="0064709B"/>
    <w:rsid w:val="00665E92"/>
    <w:rsid w:val="006B2502"/>
    <w:rsid w:val="006B3CDF"/>
    <w:rsid w:val="006E140A"/>
    <w:rsid w:val="00715824"/>
    <w:rsid w:val="007225BD"/>
    <w:rsid w:val="007473F1"/>
    <w:rsid w:val="00826BDD"/>
    <w:rsid w:val="00883B07"/>
    <w:rsid w:val="008F5985"/>
    <w:rsid w:val="0090040F"/>
    <w:rsid w:val="009018AC"/>
    <w:rsid w:val="00923C48"/>
    <w:rsid w:val="009258B4"/>
    <w:rsid w:val="00953845"/>
    <w:rsid w:val="00957020"/>
    <w:rsid w:val="00964819"/>
    <w:rsid w:val="0096675C"/>
    <w:rsid w:val="009844BB"/>
    <w:rsid w:val="009A1421"/>
    <w:rsid w:val="009B658E"/>
    <w:rsid w:val="009C0540"/>
    <w:rsid w:val="009D1957"/>
    <w:rsid w:val="009F1D63"/>
    <w:rsid w:val="00A07397"/>
    <w:rsid w:val="00A21509"/>
    <w:rsid w:val="00AD13D3"/>
    <w:rsid w:val="00B36694"/>
    <w:rsid w:val="00B729FC"/>
    <w:rsid w:val="00B8232B"/>
    <w:rsid w:val="00B83E3B"/>
    <w:rsid w:val="00BB461C"/>
    <w:rsid w:val="00BE1B70"/>
    <w:rsid w:val="00BE37AA"/>
    <w:rsid w:val="00C22852"/>
    <w:rsid w:val="00C40345"/>
    <w:rsid w:val="00C801BE"/>
    <w:rsid w:val="00D134BD"/>
    <w:rsid w:val="00D7488E"/>
    <w:rsid w:val="00D87860"/>
    <w:rsid w:val="00DA1592"/>
    <w:rsid w:val="00DC57FB"/>
    <w:rsid w:val="00DC7C76"/>
    <w:rsid w:val="00DF272B"/>
    <w:rsid w:val="00E26B6E"/>
    <w:rsid w:val="00E307F2"/>
    <w:rsid w:val="00E42B92"/>
    <w:rsid w:val="00E77536"/>
    <w:rsid w:val="00E8385D"/>
    <w:rsid w:val="00EA2DF7"/>
    <w:rsid w:val="00EC0CFB"/>
    <w:rsid w:val="00EC45BD"/>
    <w:rsid w:val="00EC7A5E"/>
    <w:rsid w:val="00ED7152"/>
    <w:rsid w:val="00EF3FE0"/>
    <w:rsid w:val="00F04270"/>
    <w:rsid w:val="00F13EAC"/>
    <w:rsid w:val="00F148C5"/>
    <w:rsid w:val="00F34A57"/>
    <w:rsid w:val="00F92926"/>
    <w:rsid w:val="00F96081"/>
    <w:rsid w:val="00FE1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6FB9"/>
  <w15:chartTrackingRefBased/>
  <w15:docId w15:val="{9C12C80E-9417-4484-AD99-AE231F853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5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5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5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5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5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5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5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5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5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592"/>
    <w:rPr>
      <w:rFonts w:eastAsiaTheme="majorEastAsia" w:cstheme="majorBidi"/>
      <w:color w:val="272727" w:themeColor="text1" w:themeTint="D8"/>
    </w:rPr>
  </w:style>
  <w:style w:type="paragraph" w:styleId="Title">
    <w:name w:val="Title"/>
    <w:basedOn w:val="Normal"/>
    <w:next w:val="Normal"/>
    <w:link w:val="TitleChar"/>
    <w:uiPriority w:val="10"/>
    <w:qFormat/>
    <w:rsid w:val="00DA15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5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592"/>
    <w:pPr>
      <w:spacing w:before="160"/>
      <w:jc w:val="center"/>
    </w:pPr>
    <w:rPr>
      <w:i/>
      <w:iCs/>
      <w:color w:val="404040" w:themeColor="text1" w:themeTint="BF"/>
    </w:rPr>
  </w:style>
  <w:style w:type="character" w:customStyle="1" w:styleId="QuoteChar">
    <w:name w:val="Quote Char"/>
    <w:basedOn w:val="DefaultParagraphFont"/>
    <w:link w:val="Quote"/>
    <w:uiPriority w:val="29"/>
    <w:rsid w:val="00DA1592"/>
    <w:rPr>
      <w:i/>
      <w:iCs/>
      <w:color w:val="404040" w:themeColor="text1" w:themeTint="BF"/>
    </w:rPr>
  </w:style>
  <w:style w:type="paragraph" w:styleId="ListParagraph">
    <w:name w:val="List Paragraph"/>
    <w:basedOn w:val="Normal"/>
    <w:uiPriority w:val="34"/>
    <w:qFormat/>
    <w:rsid w:val="00DA1592"/>
    <w:pPr>
      <w:ind w:left="720"/>
      <w:contextualSpacing/>
    </w:pPr>
  </w:style>
  <w:style w:type="character" w:styleId="IntenseEmphasis">
    <w:name w:val="Intense Emphasis"/>
    <w:basedOn w:val="DefaultParagraphFont"/>
    <w:uiPriority w:val="21"/>
    <w:qFormat/>
    <w:rsid w:val="00DA1592"/>
    <w:rPr>
      <w:i/>
      <w:iCs/>
      <w:color w:val="0F4761" w:themeColor="accent1" w:themeShade="BF"/>
    </w:rPr>
  </w:style>
  <w:style w:type="paragraph" w:styleId="IntenseQuote">
    <w:name w:val="Intense Quote"/>
    <w:basedOn w:val="Normal"/>
    <w:next w:val="Normal"/>
    <w:link w:val="IntenseQuoteChar"/>
    <w:uiPriority w:val="30"/>
    <w:qFormat/>
    <w:rsid w:val="00DA15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592"/>
    <w:rPr>
      <w:i/>
      <w:iCs/>
      <w:color w:val="0F4761" w:themeColor="accent1" w:themeShade="BF"/>
    </w:rPr>
  </w:style>
  <w:style w:type="character" w:styleId="IntenseReference">
    <w:name w:val="Intense Reference"/>
    <w:basedOn w:val="DefaultParagraphFont"/>
    <w:uiPriority w:val="32"/>
    <w:qFormat/>
    <w:rsid w:val="00DA1592"/>
    <w:rPr>
      <w:b/>
      <w:bCs/>
      <w:smallCaps/>
      <w:color w:val="0F4761" w:themeColor="accent1" w:themeShade="BF"/>
      <w:spacing w:val="5"/>
    </w:rPr>
  </w:style>
  <w:style w:type="paragraph" w:styleId="Caption">
    <w:name w:val="caption"/>
    <w:basedOn w:val="Normal"/>
    <w:next w:val="Normal"/>
    <w:uiPriority w:val="35"/>
    <w:unhideWhenUsed/>
    <w:qFormat/>
    <w:rsid w:val="001D29B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9783111360805-004" TargetMode="External"/><Relationship Id="rId13" Type="http://schemas.openxmlformats.org/officeDocument/2006/relationships/hyperlink" Target="https://doi.org/10.1177/10323732040090030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17/S095977432400034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scovery.ucl.ac.uk/id/eprint/10082208/" TargetMode="External"/><Relationship Id="rId5" Type="http://schemas.openxmlformats.org/officeDocument/2006/relationships/styles" Target="styles.xml"/><Relationship Id="rId15" Type="http://schemas.openxmlformats.org/officeDocument/2006/relationships/hyperlink" Target="https://www.britannica.com/topic/urban-revolution" TargetMode="External"/><Relationship Id="rId10" Type="http://schemas.openxmlformats.org/officeDocument/2006/relationships/hyperlink" Target="https://chem.rutgers.edu/ky-chen-laboratory-research/oracle-bone-inscription/641-chinese-writing-from-5000-b-c-to-present" TargetMode="External"/><Relationship Id="rId4" Type="http://schemas.openxmlformats.org/officeDocument/2006/relationships/numbering" Target="numbering.xml"/><Relationship Id="rId9" Type="http://schemas.openxmlformats.org/officeDocument/2006/relationships/hyperlink" Target="https://discovery.ucl.ac.uk/id/eprint/1387202/" TargetMode="External"/><Relationship Id="rId14" Type="http://schemas.openxmlformats.org/officeDocument/2006/relationships/hyperlink" Target="https://historyofinformation.com/detail.php?id=3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154c45cb3867b43810f023473442fb6">
  <xsd:schema xmlns:xsd="http://www.w3.org/2001/XMLSchema" xmlns:xs="http://www.w3.org/2001/XMLSchema" xmlns:p="http://schemas.microsoft.com/office/2006/metadata/properties" xmlns:ns3="0085e1a2-9cbf-4b92-866b-21f3c89040b6" targetNamespace="http://schemas.microsoft.com/office/2006/metadata/properties" ma:root="true" ma:fieldsID="0dd7df74fbfc706e047bc042477ac33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BE956B9-48A4-42C6-BC9F-20D0557D3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CE1B1D-1844-486B-8114-04B7039D6066}">
  <ds:schemaRefs>
    <ds:schemaRef ds:uri="http://schemas.microsoft.com/sharepoint/v3/contenttype/forms"/>
  </ds:schemaRefs>
</ds:datastoreItem>
</file>

<file path=customXml/itemProps3.xml><?xml version="1.0" encoding="utf-8"?>
<ds:datastoreItem xmlns:ds="http://schemas.openxmlformats.org/officeDocument/2006/customXml" ds:itemID="{D120BEE3-024C-4D78-BAA3-C624D844D39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2718</Words>
  <Characters>15493</Characters>
  <Application>Microsoft Office Word</Application>
  <DocSecurity>0</DocSecurity>
  <Lines>129</Lines>
  <Paragraphs>36</Paragraphs>
  <ScaleCrop>false</ScaleCrop>
  <Company/>
  <LinksUpToDate>false</LinksUpToDate>
  <CharactersWithSpaces>18175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Lye (2406167)</dc:creator>
  <cp:keywords/>
  <dc:description/>
  <cp:lastModifiedBy>Alex Lye (2406167)</cp:lastModifiedBy>
  <cp:revision>2</cp:revision>
  <dcterms:created xsi:type="dcterms:W3CDTF">2026-02-01T22:46:00Z</dcterms:created>
  <dcterms:modified xsi:type="dcterms:W3CDTF">2026-02-01T22:46:00Z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zotero-version="7.0.32"&gt;&lt;session id="XQ4ExMak"/&gt;&lt;style id="http://www.zotero.org/styles/harvard-cite-them-right" locale="en-GB" hasBibliography="1" bibliographyStyleHasBeenSet="0"/&gt;&lt;prefs&gt;&lt;pref name="fieldType" value="Field"/&gt;&lt;pref </vt:lpwstr>
  </property>
  <property fmtid="{D5CDD505-2E9C-101B-9397-08002B2CF9AE}" pid="4" name="ZOTERO_PREF_2">
    <vt:lpwstr>name="automaticJournalAbbreviations" value="true"/&gt;&lt;/prefs&gt;&lt;/data&gt;</vt:lpwstr>
  </property>
</Properties>
</file>