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sz w:val="48"/>
          <w:szCs w:val="48"/>
        </w:rPr>
      </w:pPr>
      <w:r>
        <w:rPr>
          <w:b/>
          <w:sz w:val="48"/>
          <w:szCs w:val="48"/>
        </w:rPr>
        <w:drawing>
          <wp:inline distL="0" distT="0" distB="0" distR="0">
            <wp:extent cx="3048000" cy="1524000"/>
            <wp:effectExtent l="0" t="0" r="0" b="0"/>
            <wp:docPr id="1026" name="image1.png" descr="C:\Users\Asus\Desktop\uwtsd-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3048000" cy="1524000"/>
                    </a:xfrm>
                    <a:prstGeom prst="rect"/>
                    <a:ln cmpd="sng" cap="flat" w="9525">
                      <a:solidFill>
                        <a:srgbClr val="000000"/>
                      </a:solidFill>
                      <a:prstDash val="solid"/>
                      <a:round/>
                      <a:headEnd/>
                      <a:tailEnd/>
                    </a:ln>
                  </pic:spPr>
                </pic:pic>
              </a:graphicData>
            </a:graphic>
          </wp:inline>
        </w:drawing>
      </w:r>
    </w:p>
    <w:p>
      <w:pPr>
        <w:pStyle w:val="style0"/>
        <w:jc w:val="center"/>
        <w:rPr>
          <w:b/>
          <w:sz w:val="48"/>
          <w:szCs w:val="48"/>
        </w:rPr>
      </w:pPr>
    </w:p>
    <w:p>
      <w:pPr>
        <w:pStyle w:val="style0"/>
        <w:jc w:val="center"/>
        <w:rPr>
          <w:b/>
          <w:sz w:val="44"/>
          <w:szCs w:val="44"/>
        </w:rPr>
      </w:pPr>
      <w:r>
        <w:rPr>
          <w:b/>
          <w:sz w:val="44"/>
          <w:szCs w:val="44"/>
        </w:rPr>
        <w:t>LCBB5004 – Managing People</w:t>
      </w:r>
    </w:p>
    <w:p>
      <w:pPr>
        <w:pStyle w:val="style0"/>
        <w:jc w:val="center"/>
        <w:rPr>
          <w:b/>
          <w:sz w:val="36"/>
          <w:szCs w:val="36"/>
        </w:rPr>
      </w:pPr>
      <w:r>
        <w:rPr>
          <w:b/>
          <w:sz w:val="36"/>
          <w:szCs w:val="36"/>
        </w:rPr>
        <w:t>(Assessment 2)</w:t>
      </w:r>
    </w:p>
    <w:p>
      <w:pPr>
        <w:pStyle w:val="style0"/>
        <w:jc w:val="center"/>
        <w:rPr>
          <w:b/>
          <w:sz w:val="36"/>
          <w:szCs w:val="36"/>
        </w:rPr>
      </w:pPr>
    </w:p>
    <w:p>
      <w:pPr>
        <w:pStyle w:val="style0"/>
        <w:jc w:val="left"/>
        <w:rPr>
          <w:b/>
          <w:sz w:val="28"/>
          <w:szCs w:val="28"/>
        </w:rPr>
      </w:pPr>
    </w:p>
    <w:p>
      <w:pPr>
        <w:pStyle w:val="style0"/>
        <w:jc w:val="center"/>
        <w:rPr>
          <w:b/>
          <w:sz w:val="28"/>
          <w:szCs w:val="28"/>
        </w:rPr>
      </w:pPr>
      <w:r>
        <w:rPr>
          <w:b/>
          <w:sz w:val="28"/>
          <w:szCs w:val="28"/>
        </w:rPr>
        <w:t>Student Name: Gina Velicu</w:t>
      </w:r>
    </w:p>
    <w:p>
      <w:pPr>
        <w:pStyle w:val="style0"/>
        <w:jc w:val="center"/>
        <w:rPr>
          <w:b/>
          <w:sz w:val="20"/>
          <w:szCs w:val="20"/>
        </w:rPr>
      </w:pPr>
      <w:r>
        <w:rPr>
          <w:b/>
          <w:sz w:val="28"/>
          <w:szCs w:val="28"/>
        </w:rPr>
        <w:t xml:space="preserve">Student ID: </w:t>
      </w:r>
      <w:r>
        <w:rPr>
          <w:b/>
          <w:sz w:val="28"/>
          <w:szCs w:val="28"/>
          <w:lang w:val="en-US"/>
        </w:rPr>
        <w:t>2028707</w:t>
      </w:r>
    </w:p>
    <w:p>
      <w:pPr>
        <w:pStyle w:val="style0"/>
        <w:jc w:val="center"/>
        <w:rPr>
          <w:b/>
        </w:rPr>
      </w:pPr>
    </w:p>
    <w:p>
      <w:pPr>
        <w:pStyle w:val="style0"/>
        <w:jc w:val="center"/>
        <w:rPr/>
      </w:pPr>
      <w:r>
        <w:br w:type="page"/>
      </w:r>
    </w:p>
    <w:bookmarkStart w:id="0" w:name="_gjdgxs" w:colFirst="0" w:colLast="0"/>
    <w:bookmarkEnd w:id="0"/>
    <w:p>
      <w:pPr>
        <w:pStyle w:val="style0"/>
        <w:keepNext/>
        <w:keepLines/>
        <w:pageBreakBefore w:val="false"/>
        <w:widowControl/>
        <w:pBdr>
          <w:left w:val="nil"/>
          <w:right w:val="nil"/>
          <w:top w:val="nil"/>
          <w:bottom w:val="nil"/>
          <w:between w:val="nil"/>
        </w:pBdr>
        <w:shd w:val="clear" w:color="auto" w:fill="auto"/>
        <w:spacing w:before="600" w:after="120" w:lineRule="auto" w:line="360"/>
        <w:ind w:left="0" w:right="0" w:firstLine="0"/>
        <w:jc w:val="center"/>
        <w:rPr>
          <w:rFonts w:ascii="Arial" w:cs="Arial" w:eastAsia="Arial" w:hAnsi="Arial"/>
          <w:b/>
          <w:i w:val="false"/>
          <w:smallCaps w:val="false"/>
          <w:color w:val="000000"/>
          <w:sz w:val="32"/>
          <w:szCs w:val="32"/>
          <w:u w:val="none"/>
          <w:shd w:val="clear" w:color="auto" w:fill="auto"/>
          <w:vertAlign w:val="baseline"/>
        </w:rPr>
      </w:pPr>
      <w:r>
        <w:rPr>
          <w:rFonts w:ascii="Arial" w:cs="Arial" w:eastAsia="Arial" w:hAnsi="Arial"/>
          <w:b/>
          <w:i w:val="false"/>
          <w:smallCaps w:val="false"/>
          <w:color w:val="000000"/>
          <w:sz w:val="32"/>
          <w:szCs w:val="32"/>
          <w:u w:val="none"/>
          <w:shd w:val="clear" w:color="auto" w:fill="auto"/>
          <w:vertAlign w:val="baseline"/>
        </w:rPr>
        <w:t>Table of Contents</w:t>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TOC \h \u \z </w:instrText>
      </w:r>
      <w:r>
        <w:rPr/>
        <w:fldChar w:fldCharType="separate"/>
      </w:r>
      <w:r>
        <w:rPr/>
        <w:fldChar w:fldCharType="begin"/>
      </w:r>
      <w:r>
        <w:instrText xml:space="preserve"> HYPERLINK \l "_30j0zll"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Introduction</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1</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"_1fob9te"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Part 1</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2</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"_3znysh7"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Explanation of how important the CIPD behaviours are for effective HR professionals working in the UK</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2</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"_2et92p0"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Explaining to what extent the CIPD map could be applied to HR professionals</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"_tyjcwt"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Part 2</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5</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"_3dy6vkm"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Explanation of why public sectors in the UK are facing skills shortages despite the high unemployment rate</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5</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24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"_1t3h5sf"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Identification and discussion of long-term labour market developments to address the skills shortages in healthcare sector professions in the UK</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"_4d34og8"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Conclusion</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8</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360"/>
        <w:ind w:left="0" w:right="0" w:firstLine="0"/>
        <w:jc w:val="both"/>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"_2s8eyo1" </w:instrText>
      </w:r>
      <w:r>
        <w:rPr/>
        <w:fldChar w:fldCharType="separate"/>
      </w:r>
      <w:r>
        <w:rPr>
          <w:rFonts w:ascii="Arial" w:cs="Arial" w:eastAsia="Arial" w:hAnsi="Arial"/>
          <w:b w:val="false"/>
          <w:i w:val="false"/>
          <w:smallCaps w:val="false"/>
          <w:color w:val="000000"/>
          <w:sz w:val="24"/>
          <w:szCs w:val="24"/>
          <w:u w:val="none"/>
          <w:shd w:val="clear" w:color="auto" w:fill="auto"/>
          <w:vertAlign w:val="baseline"/>
        </w:rPr>
        <w:t>References</w:t>
      </w:r>
      <w:r>
        <w:rPr>
          <w:rFonts w:ascii="Arial" w:cs="Arial" w:eastAsia="Arial" w:hAnsi="Arial"/>
          <w:b w:val="false"/>
          <w:i w:val="false"/>
          <w:smallCaps w:val="false"/>
          <w:color w:val="000000"/>
          <w:sz w:val="24"/>
          <w:szCs w:val="24"/>
          <w:u w:val="none"/>
          <w:shd w:val="clear" w:color="auto" w:fill="auto"/>
          <w:vertAlign w:val="baseline"/>
        </w:rPr>
        <w:tab/>
      </w:r>
      <w:r>
        <w:rPr>
          <w:rFonts w:ascii="Arial" w:cs="Arial" w:eastAsia="Arial" w:hAnsi="Arial"/>
          <w:b w:val="false"/>
          <w:i w:val="false"/>
          <w:smallCaps w:val="false"/>
          <w:color w:val="000000"/>
          <w:sz w:val="24"/>
          <w:szCs w:val="24"/>
          <w:u w:val="none"/>
          <w:shd w:val="clear" w:color="auto" w:fill="auto"/>
          <w:vertAlign w:val="baseline"/>
        </w:rPr>
        <w:t>9</w:t>
      </w:r>
      <w:r>
        <w:rPr/>
        <w:fldChar w:fldCharType="end"/>
      </w:r>
    </w:p>
    <w:p>
      <w:pPr>
        <w:pStyle w:val="style0"/>
        <w:rPr/>
      </w:pPr>
      <w:r>
        <w:rPr/>
        <w:fldChar w:fldCharType="end"/>
      </w:r>
    </w:p>
    <w:p>
      <w:pPr>
        <w:pStyle w:val="style0"/>
        <w:rPr/>
      </w:pPr>
    </w:p>
    <w:p>
      <w:pPr>
        <w:pStyle w:val="style1"/>
        <w:rPr/>
        <w:sectPr>
          <w:footerReference w:type="default" r:id="rId3"/>
          <w:pgSz w:w="12240" w:h="15840" w:orient="portrait"/>
          <w:pgMar w:top="1440" w:right="1440" w:bottom="1440" w:left="1440" w:header="720" w:footer="720" w:gutter="0"/>
          <w:pgNumType w:start="1"/>
        </w:sectPr>
      </w:pPr>
      <w:r>
        <w:br w:type="page"/>
      </w:r>
    </w:p>
    <w:bookmarkStart w:id="1" w:name="_30j0zll" w:colFirst="0" w:colLast="0"/>
    <w:bookmarkEnd w:id="1"/>
    <w:p>
      <w:pPr>
        <w:pStyle w:val="style1"/>
        <w:rPr/>
      </w:pPr>
      <w:r>
        <w:rPr/>
        <w:t>Introduction</w:t>
      </w:r>
    </w:p>
    <w:p>
      <w:pPr>
        <w:pStyle w:val="style0"/>
        <w:rPr/>
      </w:pPr>
      <w:r>
        <w:rPr/>
        <w:t xml:space="preserve">There are so many factors in the business environment that affect the management of the business, especially the resource people. People management requires considering a lot of requirements that are very important prospects the HR Professionals deal with broadly (Emmott, 2016). This study consists of two parts where the first part mainly includes the CIPD Profession Map, how the core behaviours of this map influence HR professionals, and to what extent this map can affect organisations all around the world. In the second part, the reasons behind the current skill shortages in the UK have been explained, and also several ways of long-term labour market development have been discussed for the healthcare sector of the country. </w:t>
      </w:r>
    </w:p>
    <w:p>
      <w:pPr>
        <w:pStyle w:val="style0"/>
        <w:rPr/>
      </w:pPr>
      <w:r>
        <w:br w:type="page"/>
      </w:r>
    </w:p>
    <w:bookmarkStart w:id="2" w:name="_1fob9te" w:colFirst="0" w:colLast="0"/>
    <w:bookmarkEnd w:id="2"/>
    <w:p>
      <w:pPr>
        <w:pStyle w:val="style1"/>
        <w:rPr/>
      </w:pPr>
      <w:r>
        <w:rPr/>
        <w:t>Part 1</w:t>
      </w:r>
    </w:p>
    <w:bookmarkStart w:id="3" w:name="_3znysh7" w:colFirst="0" w:colLast="0"/>
    <w:bookmarkEnd w:id="3"/>
    <w:p>
      <w:pPr>
        <w:pStyle w:val="style2"/>
        <w:rPr>
          <w:color w:val="000000"/>
        </w:rPr>
      </w:pPr>
      <w:r>
        <w:rPr>
          <w:color w:val="000000"/>
        </w:rPr>
        <w:t xml:space="preserve">Explanation of how important the CIPD behaviours are for effective HR professionals working in the UK </w:t>
      </w:r>
    </w:p>
    <w:p>
      <w:pPr>
        <w:pStyle w:val="style0"/>
        <w:rPr/>
      </w:pPr>
      <w:r>
        <w:rPr/>
        <w:t xml:space="preserve">Apparently, it is the prime responsibility of all HR professionals to ensure better working conditions and enhanced opportunities for both the business and people. Although the world is full of unexpected circumstances and the business world is highly inconstant, HR professionals always try to come up with some effective ways of thinking and acting that must continue to be constant and common (Ulrich et al., 2013). These core behaviours of the CIPD profession map are the ways that help HR professionals to be more effective and successful in an unstable workplace. </w:t>
      </w:r>
    </w:p>
    <w:p>
      <w:pPr>
        <w:pStyle w:val="style0"/>
        <w:rPr>
          <w:b/>
        </w:rPr>
      </w:pPr>
      <w:r>
        <w:rPr>
          <w:b/>
        </w:rPr>
        <w:t xml:space="preserve">Ethical Practice: </w:t>
      </w:r>
      <w:r>
        <w:rPr/>
        <w:t xml:space="preserve">The first core behaviour is an ethical practice that promotes developing trust and values by role-modelling ethical behaviour and applying principles consistently in decision-making (Emmott, 2016). This behaviour enables the HR professionals to focus only on establishing righteousness and integrity amongst the people to make the output more efficient. </w:t>
      </w:r>
    </w:p>
    <w:p>
      <w:pPr>
        <w:pStyle w:val="style0"/>
        <w:rPr>
          <w:b/>
        </w:rPr>
      </w:pPr>
      <w:r>
        <w:rPr>
          <w:b/>
        </w:rPr>
        <w:t xml:space="preserve">Professional Courage and Influence: </w:t>
      </w:r>
      <w:r>
        <w:rPr/>
        <w:t>It is indeed a crucial ability or skill to influence people and to express questions courageously wherever needed by HR professionals. Hence, this behaviour is very important as it promotes having the courage to put effort into ethics, morality and fairness, and to speak for the right things every time for the HR professionals to make others do so as well (Ulrich et al., 2013).</w:t>
      </w:r>
    </w:p>
    <w:p>
      <w:pPr>
        <w:pStyle w:val="style0"/>
        <w:rPr>
          <w:b/>
        </w:rPr>
      </w:pPr>
      <w:r>
        <w:rPr>
          <w:b/>
        </w:rPr>
        <w:t xml:space="preserve">Valuing People: </w:t>
      </w:r>
      <w:r>
        <w:rPr/>
        <w:t xml:space="preserve">Without a culture of sharing, and proper integration of organisational and human resource wellbeing, it is not possible to bring greater improvement to an organisation at all (Ulrich et al., 2013). HR professionals are required to deal with people regularly, show compassion and fairness to them, and support others to do the same to create such a culture at the workplace, that is what this behaviour upholds (Armstrong and Baron, 2019). </w:t>
      </w:r>
    </w:p>
    <w:p>
      <w:pPr>
        <w:pStyle w:val="style0"/>
        <w:rPr>
          <w:b/>
        </w:rPr>
      </w:pPr>
      <w:r>
        <w:rPr>
          <w:b/>
        </w:rPr>
        <w:t xml:space="preserve">Working Inclusively: </w:t>
      </w:r>
      <w:r>
        <w:rPr/>
        <w:t xml:space="preserve">For achieving the expected outcomes and success for an organisation it is a must to establish a collaborative work environment across boundaries that are both inclusive and effective (CIPD, 2021). This behaviour helps HR professionals to understand why being inclusive is a necessary thing in this world to have the advantages like high-trust work relationships and fewer internal conflicts etc. </w:t>
      </w:r>
    </w:p>
    <w:p>
      <w:pPr>
        <w:pStyle w:val="style0"/>
        <w:rPr>
          <w:b/>
        </w:rPr>
      </w:pPr>
      <w:r>
        <w:rPr>
          <w:b/>
        </w:rPr>
        <w:t xml:space="preserve">Commercial Drive: </w:t>
      </w:r>
      <w:r>
        <w:rPr/>
        <w:t>Commercial drive behaviour states that applying a business and customer-focused strategy is all a business should do to ensure desired value and outcome. This behaviour mainly helps HR professionals to understand that they have a responsibility to ensure value for people and businesses in whatever they do.</w:t>
      </w:r>
    </w:p>
    <w:p>
      <w:pPr>
        <w:pStyle w:val="style0"/>
        <w:rPr/>
      </w:pPr>
      <w:r>
        <w:rPr>
          <w:b/>
        </w:rPr>
        <w:t xml:space="preserve">Passion for Learning: </w:t>
      </w:r>
      <w:r>
        <w:rPr/>
        <w:t>This behaviour focuses on how HR professionals can support themselves and other people in continuing professional growth because commitment to ongoing development is a key component of professionalism (Emmott, 2016).</w:t>
      </w:r>
    </w:p>
    <w:p>
      <w:pPr>
        <w:pStyle w:val="style0"/>
        <w:rPr>
          <w:b/>
        </w:rPr>
      </w:pPr>
      <w:r>
        <w:rPr>
          <w:b/>
        </w:rPr>
        <w:t xml:space="preserve">Insight Focused: </w:t>
      </w:r>
      <w:r>
        <w:rPr/>
        <w:t>HR professionals are required to ensure a systematic approach to comprehending and diagnosing issues before using a variety of evidence to generate human insights and solutions (Chartered Institute of Personnel and Development, 2015).  HR professionals can learn more about the types and scope of constraints, as well as the most effective strategies for dealing with them, by engaging in this core behaviour.</w:t>
      </w:r>
    </w:p>
    <w:p>
      <w:pPr>
        <w:pStyle w:val="style0"/>
        <w:rPr>
          <w:b/>
        </w:rPr>
      </w:pPr>
      <w:r>
        <w:rPr>
          <w:b/>
        </w:rPr>
        <w:t xml:space="preserve">Situational Decision Making: </w:t>
      </w:r>
      <w:r>
        <w:rPr/>
        <w:t xml:space="preserve">This behaviour helps HR professionals to entail determine available options or possibilities, analyse their advantages and disadvantages, and set the link on how those can be connected with ethical standards and beliefs (CIPD, 2021). This, therefore, makes HR professionals take more fruitful decisions. </w:t>
      </w:r>
    </w:p>
    <w:bookmarkStart w:id="4" w:name="_2et92p0" w:colFirst="0" w:colLast="0"/>
    <w:bookmarkEnd w:id="4"/>
    <w:p>
      <w:pPr>
        <w:pStyle w:val="style2"/>
        <w:rPr>
          <w:color w:val="000000"/>
        </w:rPr>
      </w:pPr>
      <w:r>
        <w:rPr>
          <w:color w:val="000000"/>
        </w:rPr>
        <w:t xml:space="preserve">Explaining to what extent the CIPD map could be applied to HR professionals </w:t>
      </w:r>
    </w:p>
    <w:p>
      <w:pPr>
        <w:pStyle w:val="style0"/>
        <w:rPr/>
      </w:pPr>
      <w:r>
        <w:rPr/>
        <w:t xml:space="preserve">The applicability of the map is effective for every HR professional all around the world beyond the organisational type, size, and operations they are involved in. This map enables HR professionals and employees to make value-based decisions where each person's full worth will be clear and value to each other will be provided. Moreover, this profession map enables the HR professionals to have peace of mind knowing that he or she, as HR professional, is making every single effort to maintain the highest international industry standards for the industry, regardless what is the size or type of the organisation (Ulrich et al., 2013). This profession map establishes a universal standard for the human resources industry globally. It can be applied in some critical functions of an organisation such as considering organisational objectives, providing training and development opportunities, reviewing gaps in the organisation, exploring talent, compensating based on performance, and implementing flexible working arrangements. </w:t>
      </w:r>
    </w:p>
    <w:p>
      <w:pPr>
        <w:pStyle w:val="style0"/>
        <w:rPr/>
      </w:pPr>
      <w:r>
        <w:rPr/>
        <w:t xml:space="preserve">CIPD Profession Map with its professional values enables HR personnel to maintain a well-driven and collective identity that further fosters developing as well as attaining the </w:t>
      </w:r>
      <w:r>
        <w:rPr>
          <w:b/>
        </w:rPr>
        <w:t>organisational objectives</w:t>
      </w:r>
      <w:r>
        <w:rPr/>
        <w:t xml:space="preserve">. This map, if properly applied, helps an organisation to ensure that the activities going on inside the organisation are appropriately aligned with its objectives and future directions (Emmott, 2016). This profession map can be applied in providing </w:t>
      </w:r>
      <w:r>
        <w:rPr>
          <w:b/>
        </w:rPr>
        <w:t>training and development</w:t>
      </w:r>
      <w:r>
        <w:rPr/>
        <w:t xml:space="preserve"> also as it promotes that people are the foundations of business through its principle titled people matters. All across the world, HR professionals that adhere to this principle uphold the belief that each employee is unique and deserving of respect, consideration, and investment. Also, a prime function of HRs is </w:t>
      </w:r>
      <w:r>
        <w:rPr>
          <w:b/>
        </w:rPr>
        <w:t xml:space="preserve">to review the gaps </w:t>
      </w:r>
      <w:r>
        <w:rPr/>
        <w:t xml:space="preserve">of the organisation from time to time and fill those by </w:t>
      </w:r>
      <w:r>
        <w:rPr>
          <w:b/>
        </w:rPr>
        <w:t>exploring and hiring the best talent</w:t>
      </w:r>
      <w:r>
        <w:rPr/>
        <w:t xml:space="preserve"> for a better future. The principle of CIPD titles as work matters states that HR should help people use their talents and skills effectively and link those with their work. This, therefore, makes it clear for everyone that there is a specific amount of compensation for what they contribute that establishes the base for </w:t>
      </w:r>
      <w:r>
        <w:rPr>
          <w:b/>
        </w:rPr>
        <w:t>a performance-based pay</w:t>
      </w:r>
      <w:r>
        <w:rPr/>
        <w:t xml:space="preserve"> system within the organisation as well. The outcomes-driven principle of the CIPD Profession Map under the professional value helps HRs to develop a </w:t>
      </w:r>
      <w:r>
        <w:rPr>
          <w:b/>
        </w:rPr>
        <w:t>flexible working arrangement</w:t>
      </w:r>
      <w:r>
        <w:rPr/>
        <w:t xml:space="preserve"> within the organisation also (CIPD, 2021). It promotes that the HR professionals everywhere have to ensure that the workplace maintains a shared value culture, inclusive workplace, respectful working manner, integrity with professionalism, and lastly a fair work environment (Armstrong and Baron, 2019). As a result, applying this map effectively influences the extent that helps a business to adopt international standards in a systematic way.</w:t>
      </w:r>
    </w:p>
    <w:bookmarkStart w:id="5" w:name="_tyjcwt" w:colFirst="0" w:colLast="0"/>
    <w:bookmarkEnd w:id="5"/>
    <w:p>
      <w:pPr>
        <w:pStyle w:val="style1"/>
        <w:rPr/>
      </w:pPr>
      <w:r>
        <w:rPr/>
        <w:t>Part 2</w:t>
      </w:r>
    </w:p>
    <w:bookmarkStart w:id="6" w:name="_3dy6vkm" w:colFirst="0" w:colLast="0"/>
    <w:bookmarkEnd w:id="6"/>
    <w:p>
      <w:pPr>
        <w:pStyle w:val="style2"/>
        <w:rPr>
          <w:color w:val="000000"/>
        </w:rPr>
      </w:pPr>
      <w:r>
        <w:rPr>
          <w:color w:val="000000"/>
        </w:rPr>
        <w:t>Explanation of why public sectors in the UK are facing skills shortages despite the high unemployment rate</w:t>
      </w:r>
    </w:p>
    <w:p>
      <w:pPr>
        <w:pStyle w:val="style0"/>
        <w:rPr/>
      </w:pPr>
      <w:r>
        <w:rPr/>
        <w:t xml:space="preserve">More than half of UK businesses currently face a shortage of skills and a study of nearly 500 CEOs of medium-sized businesses in England and Scotland revealed that they all believed the present UK skills shortage might threaten their companies’ ability to thrive. According to the Institute for Employment Studies, there are 600,000 fewer people employed today than there were before the epidemic, which is probably owing to fewer immigrants entering the labour force, older employees retiring, and younger people entering higher education (Storey, 2020). In addition to this expanding labour shortage, there are significant gaps between the skills required for new positions being advertised and those now occupied by the workforce. There are so many reasons available that explain why the UK's sectors especially the public sector face skills shortages even though there is a high unemployment rate. </w:t>
      </w:r>
    </w:p>
    <w:p>
      <w:pPr>
        <w:pStyle w:val="style0"/>
        <w:rPr/>
      </w:pPr>
      <w:r>
        <w:rPr/>
        <w:t xml:space="preserve">One of the very first reasons or explanations behind the shortage can be the </w:t>
      </w:r>
      <w:r>
        <w:rPr>
          <w:b/>
        </w:rPr>
        <w:t xml:space="preserve">inadequate workforce planning </w:t>
      </w:r>
      <w:r>
        <w:rPr/>
        <w:t xml:space="preserve">in the public sector of the UK. Although unemployment is high in this country, there is no special attention towards them to make them filled with proper planning. Also, this associates another important reason which is the </w:t>
      </w:r>
      <w:r>
        <w:rPr>
          <w:b/>
        </w:rPr>
        <w:t xml:space="preserve">less financing for training and development of the workforce. </w:t>
      </w:r>
      <w:r>
        <w:rPr/>
        <w:t xml:space="preserve">The relevant authorities are not providing the required concern towards employee and worker’s training and development facilities, therefore, forcing the lack of skills as well (Cussons, 2018). </w:t>
      </w:r>
      <w:r>
        <w:rPr>
          <w:b/>
        </w:rPr>
        <w:t>Recruitment difficulties and poor handling</w:t>
      </w:r>
      <w:r>
        <w:rPr/>
        <w:t xml:space="preserve"> </w:t>
      </w:r>
      <w:r>
        <w:rPr>
          <w:b/>
        </w:rPr>
        <w:t>of recruits</w:t>
      </w:r>
      <w:r>
        <w:rPr/>
        <w:t xml:space="preserve"> can be prime reasons. The recruiting effort is not sufficiently effective in public sectors which is why it is not being possible to find talented candidates and also retain them for a long period. It is important to recruit more widely via different media and wider geographical regions. </w:t>
      </w:r>
      <w:r>
        <w:rPr>
          <w:b/>
        </w:rPr>
        <w:t>Unfavourable salary and T&amp;C applied for employment</w:t>
      </w:r>
      <w:r>
        <w:rPr/>
        <w:t xml:space="preserve"> can be another reason in this case. In the UK, income tax, national insurance contributions (NICs), and social security taxes all take a significant portion out of people's take-home pay that, therefore, equates to less disposable income for UK workers (Armstrong and Baron, 2019). Moreover, the terms and conditions applied to employees are highly complicated sometimes which makes the effort of having necessary talents within an organisation failure. Besides, the </w:t>
      </w:r>
      <w:r>
        <w:rPr>
          <w:b/>
        </w:rPr>
        <w:t>poor working condition</w:t>
      </w:r>
      <w:r>
        <w:rPr/>
        <w:t xml:space="preserve"> in the public sector can be also a reason. From a social scientific perspective, public sector employment in the UK, pay and working conditions more broadly are contributing to and exasperating some of the greatest socioeconomic and international macroeconomic crises through the effect on firms' and workers' productivity, morale, well-being, and wider socio-cultural norms (Armstrong and Taylor, 2020). </w:t>
      </w:r>
      <w:r>
        <w:rPr>
          <w:b/>
        </w:rPr>
        <w:t>Low morale</w:t>
      </w:r>
      <w:r>
        <w:rPr/>
        <w:t xml:space="preserve"> of employees can be an option of reasons also in this skill shortage as low morale increases employee turnover in the organisation (CIPD, 2021). Finding out the same skill sets of labour with the required years of experience further will be much more difficult for the companies again. Several work positions in the UK are not always secure. Although the rate of </w:t>
      </w:r>
      <w:r>
        <w:rPr>
          <w:b/>
        </w:rPr>
        <w:t>job security</w:t>
      </w:r>
      <w:r>
        <w:rPr/>
        <w:t xml:space="preserve"> is not much low in the UK, because of the more usage of automation and machine work filling the gaps in human skills is really very threatening. This is forcing the human resources to gain other skills that are being overflowed and that therefore increasing only unemployment. </w:t>
      </w:r>
    </w:p>
    <w:bookmarkStart w:id="7" w:name="_1t3h5sf" w:colFirst="0" w:colLast="0"/>
    <w:bookmarkEnd w:id="7"/>
    <w:p>
      <w:pPr>
        <w:pStyle w:val="style2"/>
        <w:rPr>
          <w:color w:val="000000"/>
        </w:rPr>
      </w:pPr>
      <w:r>
        <w:rPr>
          <w:color w:val="000000"/>
        </w:rPr>
        <w:t>Identification and discussion of long-term labour market developments to address the skills shortages in healthcare sector professions in the UK</w:t>
      </w:r>
    </w:p>
    <w:p>
      <w:pPr>
        <w:pStyle w:val="style0"/>
        <w:rPr/>
      </w:pPr>
      <w:r>
        <w:rPr/>
        <w:t xml:space="preserve">The workforce difficulties the healthcare sector is facing and the threat this poses to the delivery and quality of treatment requires a proper plan for more than the next 10 years. It needs a properly developed long-term plan for the labour market developments to address the shortages in this sector. The national division of labour responsibilities, inadequate workforce planning, cuts to financing for training positions, tight immigration laws made worse by Brexit, and alarmingly high rates of early retirement among doctors and nurses are all contributing contributors to the current shortages in the healthcare industry (Storey, 2020). Several important factors are there that can be considered while developing the plan have been identified and discussed here below. </w:t>
      </w:r>
    </w:p>
    <w:p>
      <w:pPr>
        <w:pStyle w:val="style0"/>
        <w:rPr/>
      </w:pPr>
      <w:r>
        <w:rPr>
          <w:b/>
        </w:rPr>
        <w:t>Reward and Recognition:</w:t>
      </w:r>
      <w:r>
        <w:rPr/>
        <w:t xml:space="preserve"> People working in the healthcare sector in the UK are truly very less appreciated. Rewards and recognition besides basic remuneration are important factors in developing a more committed and retained workforce for a longer period of time (Ulrich et al., 2013). Including rewards and recognition programs encourages staff engagement, which has several advantages for the organisation, including greater productivity and employee retention.</w:t>
      </w:r>
    </w:p>
    <w:p>
      <w:pPr>
        <w:pStyle w:val="style0"/>
        <w:rPr/>
      </w:pPr>
      <w:r>
        <w:rPr>
          <w:b/>
        </w:rPr>
        <w:t>Invest in Training and Development:</w:t>
      </w:r>
      <w:r>
        <w:rPr/>
        <w:t xml:space="preserve"> One of the most required ways of labour market development in this sector is sufficient financing and investment for the training and development programs for employees. Training to make people more skilled and learn digital tools usage is crucially needed for a developed labour base for the next few years of crisis. </w:t>
      </w:r>
    </w:p>
    <w:p>
      <w:pPr>
        <w:pStyle w:val="style0"/>
        <w:rPr/>
      </w:pPr>
      <w:r>
        <w:rPr>
          <w:b/>
        </w:rPr>
        <w:t>Empower Staff:</w:t>
      </w:r>
      <w:r>
        <w:rPr/>
        <w:t xml:space="preserve"> It is a highly known fact that the individuals working in the healthcare sector tend to be more overworking and hardworking yet disempowered and unappreciated (Harris, Cortvriend and Hyde, 2017). Employees and staff should be given clear direction and power of action to make them more productive and efficient. </w:t>
      </w:r>
    </w:p>
    <w:p>
      <w:pPr>
        <w:pStyle w:val="style0"/>
        <w:rPr/>
      </w:pPr>
      <w:r>
        <w:rPr>
          <w:b/>
        </w:rPr>
        <w:t xml:space="preserve">Review Workforce Planning and Apprenticeship Recruiting: </w:t>
      </w:r>
      <w:r>
        <w:rPr/>
        <w:t xml:space="preserve">There should be a proper means of evaluation of the skill improvement and overall performance of the hires. Testimonial evidence can also be sought to justify the relevance and then new hires or apprentices can be encouraged (Storey, 2020). </w:t>
      </w:r>
    </w:p>
    <w:p>
      <w:pPr>
        <w:pStyle w:val="style0"/>
        <w:rPr/>
      </w:pPr>
      <w:r>
        <w:rPr>
          <w:b/>
        </w:rPr>
        <w:t>Focus on Staff Retention and Morale:</w:t>
      </w:r>
      <w:r>
        <w:rPr/>
        <w:t xml:space="preserve"> There is an argument that ensuring high staff morale and motivation is essential to fulfilling the Government's goals to develop the healthcare sector in the future and modernize it (Macfarlane et al., 2012). So, proper staff retention and morale-enhancing initiatives will enhance both work productivity and patient care as well as the overall outcome. </w:t>
      </w:r>
    </w:p>
    <w:p>
      <w:pPr>
        <w:pStyle w:val="style0"/>
        <w:jc w:val="left"/>
        <w:rPr/>
      </w:pPr>
      <w:r>
        <w:br w:type="page"/>
      </w:r>
    </w:p>
    <w:bookmarkStart w:id="8" w:name="_4d34og8" w:colFirst="0" w:colLast="0"/>
    <w:bookmarkEnd w:id="8"/>
    <w:p>
      <w:pPr>
        <w:pStyle w:val="style1"/>
        <w:rPr/>
      </w:pPr>
      <w:r>
        <w:rPr/>
        <w:t>Conclusion</w:t>
      </w:r>
    </w:p>
    <w:p>
      <w:pPr>
        <w:pStyle w:val="style0"/>
        <w:rPr/>
      </w:pPr>
      <w:r>
        <w:rPr/>
        <w:t xml:space="preserve">It may seem a bit complex solution for business organisations and HR professionals to manage people, but if a systematic way can be followed properly it ends up being very effective as well. The CIPD Profession Map can be one best source from where necessary guidance can be gained by the HRs around the world and then applied to the organisation for ensuring a fruitful recruitment process. Thus, it can also enable the business firms in the UK currently face a skills shortage. It will take some time but a well-developed plan can be effective also as discussed above in the report.   </w:t>
      </w:r>
    </w:p>
    <w:p>
      <w:pPr>
        <w:pStyle w:val="style0"/>
        <w:jc w:val="left"/>
        <w:rPr/>
      </w:pPr>
      <w:r>
        <w:br w:type="page"/>
      </w:r>
    </w:p>
    <w:bookmarkStart w:id="9" w:name="_2s8eyo1" w:colFirst="0" w:colLast="0"/>
    <w:bookmarkEnd w:id="9"/>
    <w:p>
      <w:pPr>
        <w:pStyle w:val="style1"/>
        <w:rPr/>
      </w:pPr>
      <w:r>
        <w:rPr/>
        <w:t>References</w:t>
      </w:r>
    </w:p>
    <w:p>
      <w:pPr>
        <w:pStyle w:val="style0"/>
        <w:rPr/>
      </w:pPr>
      <w:r>
        <w:rPr/>
        <w:t>Armstrong, M. and Baron, A., 2019. Managing performance: performance management in action. CIPD publishing.</w:t>
      </w:r>
    </w:p>
    <w:p>
      <w:pPr>
        <w:pStyle w:val="style0"/>
        <w:rPr/>
      </w:pPr>
      <w:r>
        <w:rPr/>
        <w:t xml:space="preserve">Armstrong, M. and Taylor, S., 2020. </w:t>
      </w:r>
      <w:r>
        <w:rPr>
          <w:i/>
        </w:rPr>
        <w:t>Armstrong's handbook of human resource management practice</w:t>
      </w:r>
      <w:r>
        <w:rPr/>
        <w:t>. Kogan Page Publishers.</w:t>
      </w:r>
    </w:p>
    <w:p>
      <w:pPr>
        <w:pStyle w:val="style0"/>
        <w:rPr/>
      </w:pPr>
      <w:r>
        <w:rPr/>
        <w:t xml:space="preserve">Chartered Institute of Personnel and Development, 2015. The CIPD profession map. </w:t>
      </w:r>
      <w:r>
        <w:rPr>
          <w:i/>
        </w:rPr>
        <w:t>Our Professional Standards</w:t>
      </w:r>
      <w:r>
        <w:rPr/>
        <w:t xml:space="preserve">, </w:t>
      </w:r>
      <w:r>
        <w:rPr>
          <w:i/>
        </w:rPr>
        <w:t>2</w:t>
      </w:r>
      <w:r>
        <w:rPr/>
        <w:t>, p.4.</w:t>
      </w:r>
    </w:p>
    <w:p>
      <w:pPr>
        <w:pStyle w:val="style0"/>
        <w:rPr/>
      </w:pPr>
      <w:r>
        <w:rPr/>
        <w:t xml:space="preserve">CIPD, H., 2021. Profession Map—Our Professional Standards. </w:t>
      </w:r>
      <w:r>
        <w:rPr>
          <w:i/>
        </w:rPr>
        <w:t>Chartered Institute of Personnel and Development</w:t>
      </w:r>
      <w:r>
        <w:rPr/>
        <w:t>.</w:t>
      </w:r>
    </w:p>
    <w:p>
      <w:pPr>
        <w:pStyle w:val="style0"/>
        <w:rPr/>
      </w:pPr>
      <w:r>
        <w:rPr/>
        <w:t xml:space="preserve">Cussons, M., 2018. Learning and Development Practice. </w:t>
      </w:r>
      <w:r>
        <w:rPr>
          <w:i/>
        </w:rPr>
        <w:t>Industrial and Commercial Training</w:t>
      </w:r>
      <w:r>
        <w:rPr/>
        <w:t>.</w:t>
      </w:r>
    </w:p>
    <w:p>
      <w:pPr>
        <w:pStyle w:val="style0"/>
        <w:rPr/>
      </w:pPr>
      <w:r>
        <w:rPr/>
        <w:t xml:space="preserve">Emmott, M., 2016. CIPD. In </w:t>
      </w:r>
      <w:r>
        <w:rPr>
          <w:i/>
        </w:rPr>
        <w:t>Encyclopedia of Human Resource Management</w:t>
      </w:r>
      <w:r>
        <w:rPr/>
        <w:t>. Edward Elgar Publishing Limited.</w:t>
      </w:r>
    </w:p>
    <w:p>
      <w:pPr>
        <w:pStyle w:val="style0"/>
        <w:rPr/>
      </w:pPr>
      <w:r>
        <w:rPr/>
        <w:t xml:space="preserve">Harris, C., Cortvriend, P. and Hyde, P., 2017. Human resource management and performance in healthcare organisations. </w:t>
      </w:r>
      <w:r>
        <w:rPr>
          <w:i/>
        </w:rPr>
        <w:t>Journal of health organisation and management</w:t>
      </w:r>
      <w:r>
        <w:rPr/>
        <w:t>.</w:t>
      </w:r>
    </w:p>
    <w:p>
      <w:pPr>
        <w:pStyle w:val="style0"/>
        <w:rPr/>
      </w:pPr>
      <w:r>
        <w:rPr/>
        <w:t xml:space="preserve">Macfarlane, F., Duberley, J., Fewtrell, C. and Powell, M., 2012. Talent management for NHS managers: human resources or resourceful humans?. </w:t>
      </w:r>
      <w:r>
        <w:rPr>
          <w:i/>
        </w:rPr>
        <w:t>Public Money &amp; Management</w:t>
      </w:r>
      <w:r>
        <w:rPr/>
        <w:t xml:space="preserve">, </w:t>
      </w:r>
      <w:r>
        <w:rPr>
          <w:i/>
        </w:rPr>
        <w:t>32</w:t>
      </w:r>
      <w:r>
        <w:rPr/>
        <w:t>(6), pp.445-452.</w:t>
      </w:r>
    </w:p>
    <w:p>
      <w:pPr>
        <w:pStyle w:val="style0"/>
        <w:rPr/>
      </w:pPr>
      <w:r>
        <w:rPr/>
        <w:t xml:space="preserve">Storey, J., 2020. Human resource management in the public sector. </w:t>
      </w:r>
      <w:r>
        <w:rPr>
          <w:i/>
        </w:rPr>
        <w:t>Public Money &amp; Management</w:t>
      </w:r>
      <w:r>
        <w:rPr/>
        <w:t xml:space="preserve">, </w:t>
      </w:r>
      <w:r>
        <w:rPr>
          <w:i/>
        </w:rPr>
        <w:t>9</w:t>
      </w:r>
      <w:r>
        <w:rPr/>
        <w:t>(3), pp.19-24.</w:t>
      </w:r>
    </w:p>
    <w:p>
      <w:pPr>
        <w:pStyle w:val="style0"/>
        <w:rPr/>
      </w:pPr>
      <w:r>
        <w:rPr/>
        <w:t xml:space="preserve">Ulrich, D., Younger, J., Brockbank, W. and Ulrich, M.D., 2013. The state of the HR profession. </w:t>
      </w:r>
      <w:r>
        <w:rPr>
          <w:i/>
        </w:rPr>
        <w:t>Human Resource Management</w:t>
      </w:r>
      <w:r>
        <w:rPr/>
        <w:t xml:space="preserve">, </w:t>
      </w:r>
      <w:r>
        <w:rPr>
          <w:i/>
        </w:rPr>
        <w:t>52</w:t>
      </w:r>
      <w:r>
        <w:rPr/>
        <w:t>(3), pp.457-471.</w:t>
      </w:r>
    </w:p>
    <w:p>
      <w:pPr>
        <w:pStyle w:val="style0"/>
        <w:rPr/>
      </w:pPr>
    </w:p>
    <w:p>
      <w:pPr>
        <w:pStyle w:val="style0"/>
        <w:rPr/>
      </w:pPr>
    </w:p>
    <w:sectPr>
      <w:footerReference w:type="default" r:id="rId4"/>
      <w:type w:val="nextPage"/>
      <w:pgSz w:w="12240" w:h="15840" w:orient="portrait"/>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680"/>
        <w:tab w:val="right" w:leader="none" w:pos="9360"/>
      </w:tabs>
      <w:spacing w:before="0" w:after="0" w:lineRule="auto" w:line="240"/>
      <w:ind w:left="0" w:right="0" w:firstLine="0"/>
      <w:jc w:val="right"/>
      <w:rPr>
        <w:rFonts w:ascii="Arial" w:cs="Arial" w:eastAsia="Arial" w:hAnsi="Arial"/>
        <w:b w:val="false"/>
        <w:i w:val="false"/>
        <w:smallCaps w:val="false"/>
        <w:color w:val="000000"/>
        <w:sz w:val="24"/>
        <w:szCs w:val="24"/>
        <w:u w:val="none"/>
        <w:shd w:val="clear" w:color="auto" w:fill="auto"/>
        <w:vertAlign w:val="baseline"/>
      </w:rPr>
    </w:pPr>
    <w:r>
      <w:rPr>
        <w:rFonts w:ascii="Arial" w:cs="Arial" w:eastAsia="Arial" w:hAnsi="Arial"/>
        <w:b w:val="false"/>
        <w:i w:val="false"/>
        <w:smallCaps w:val="false"/>
        <w:color w:val="000000"/>
        <w:sz w:val="24"/>
        <w:szCs w:val="24"/>
        <w:u w:val="none"/>
        <w:shd w:val="clear" w:color="auto" w:fill="auto"/>
        <w:vertAlign w:val="baseline"/>
      </w:rPr>
      <w:fldChar w:fldCharType="begin"/>
    </w:r>
    <w:r>
      <w:rPr>
        <w:rFonts w:ascii="Arial" w:cs="Arial" w:eastAsia="Arial" w:hAnsi="Arial"/>
        <w:b w:val="false"/>
        <w:i w:val="false"/>
        <w:smallCaps w:val="false"/>
        <w:color w:val="000000"/>
        <w:sz w:val="24"/>
        <w:szCs w:val="24"/>
        <w:u w:val="none"/>
        <w:shd w:val="clear" w:color="auto" w:fill="auto"/>
        <w:vertAlign w:val="baseline"/>
      </w:rPr>
      <w:instrText>PAGE</w:instrText>
    </w:r>
    <w:r>
      <w:rPr>
        <w:rFonts w:ascii="Arial" w:cs="Arial" w:eastAsia="Arial" w:hAnsi="Arial"/>
        <w:b w:val="false"/>
        <w:i w:val="false"/>
        <w:smallCaps w:val="false"/>
        <w:color w:val="000000"/>
        <w:sz w:val="24"/>
        <w:szCs w:val="24"/>
        <w:u w:val="none"/>
        <w:shd w:val="clear" w:color="auto" w:fill="auto"/>
        <w:vertAlign w:val="baseline"/>
      </w:rPr>
      <w:fldChar w:fldCharType="separate"/>
    </w:r>
    <w:r>
      <w:rPr>
        <w:rFonts w:ascii="Arial" w:cs="Arial" w:eastAsia="Arial" w:hAnsi="Arial"/>
        <w:b w:val="false"/>
        <w:i w:val="false"/>
        <w:smallCaps w:val="false"/>
        <w:color w:val="000000"/>
        <w:sz w:val="24"/>
        <w:szCs w:val="24"/>
        <w:u w:val="none"/>
        <w:shd w:val="clear" w:color="auto" w:fill="auto"/>
        <w:vertAlign w:val="baseline"/>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center" w:leader="none" w:pos="4680"/>
        <w:tab w:val="right" w:leader="none" w:pos="9360"/>
      </w:tabs>
      <w:spacing w:before="0" w:after="0" w:lineRule="auto" w:line="240"/>
      <w:ind w:left="0" w:right="0" w:firstLine="0"/>
      <w:jc w:val="both"/>
      <w:rPr>
        <w:rFonts w:ascii="Arial" w:cs="Arial" w:eastAsia="Arial" w:hAnsi="Arial"/>
        <w:b w:val="false"/>
        <w:i w:val="false"/>
        <w:smallCaps w:val="false"/>
        <w:color w:val="000000"/>
        <w:sz w:val="24"/>
        <w:szCs w:val="24"/>
        <w:u w:val="none"/>
        <w:shd w:val="clear" w:color="auto" w:fill="auto"/>
        <w:vertAlign w:val="baseline"/>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680"/>
        <w:tab w:val="right" w:leader="none" w:pos="9360"/>
      </w:tabs>
      <w:spacing w:before="0" w:after="0" w:lineRule="auto" w:line="240"/>
      <w:ind w:left="0" w:right="0" w:firstLine="0"/>
      <w:jc w:val="right"/>
      <w:rPr>
        <w:rFonts w:ascii="Arial" w:cs="Arial" w:eastAsia="Arial" w:hAnsi="Arial"/>
        <w:b w:val="false"/>
        <w:i w:val="false"/>
        <w:smallCaps w:val="false"/>
        <w:color w:val="000000"/>
        <w:sz w:val="24"/>
        <w:szCs w:val="24"/>
        <w:u w:val="none"/>
        <w:shd w:val="clear" w:color="auto" w:fill="auto"/>
        <w:vertAlign w:val="baseline"/>
      </w:rPr>
    </w:pPr>
    <w:r>
      <w:rPr>
        <w:rFonts w:ascii="Arial" w:cs="Arial" w:eastAsia="Arial" w:hAnsi="Arial"/>
        <w:b w:val="false"/>
        <w:i w:val="false"/>
        <w:smallCaps w:val="false"/>
        <w:color w:val="000000"/>
        <w:sz w:val="24"/>
        <w:szCs w:val="24"/>
        <w:u w:val="none"/>
        <w:shd w:val="clear" w:color="auto" w:fill="auto"/>
        <w:vertAlign w:val="baseline"/>
      </w:rPr>
      <w:fldChar w:fldCharType="begin"/>
    </w:r>
    <w:r>
      <w:rPr>
        <w:rFonts w:ascii="Arial" w:cs="Arial" w:eastAsia="Arial" w:hAnsi="Arial"/>
        <w:b w:val="false"/>
        <w:i w:val="false"/>
        <w:smallCaps w:val="false"/>
        <w:color w:val="000000"/>
        <w:sz w:val="24"/>
        <w:szCs w:val="24"/>
        <w:u w:val="none"/>
        <w:shd w:val="clear" w:color="auto" w:fill="auto"/>
        <w:vertAlign w:val="baseline"/>
      </w:rPr>
      <w:instrText>PAGE</w:instrText>
    </w:r>
    <w:r>
      <w:rPr>
        <w:rFonts w:ascii="Arial" w:cs="Arial" w:eastAsia="Arial" w:hAnsi="Arial"/>
        <w:b w:val="false"/>
        <w:i w:val="false"/>
        <w:smallCaps w:val="false"/>
        <w:color w:val="000000"/>
        <w:sz w:val="24"/>
        <w:szCs w:val="24"/>
        <w:u w:val="none"/>
        <w:shd w:val="clear" w:color="auto" w:fill="auto"/>
        <w:vertAlign w:val="baseline"/>
      </w:rPr>
      <w:fldChar w:fldCharType="separate"/>
    </w:r>
    <w:r>
      <w:rPr>
        <w:rFonts w:ascii="Arial" w:cs="Arial" w:eastAsia="Arial" w:hAnsi="Arial"/>
        <w:b w:val="false"/>
        <w:i w:val="false"/>
        <w:smallCaps w:val="false"/>
        <w:color w:val="000000"/>
        <w:sz w:val="24"/>
        <w:szCs w:val="24"/>
        <w:u w:val="none"/>
        <w:shd w:val="clear" w:color="auto" w:fill="auto"/>
        <w:vertAlign w:val="baseline"/>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center" w:leader="none" w:pos="4680"/>
        <w:tab w:val="right" w:leader="none" w:pos="9360"/>
      </w:tabs>
      <w:spacing w:before="0" w:after="0" w:lineRule="auto" w:line="240"/>
      <w:ind w:left="0" w:right="0" w:firstLine="0"/>
      <w:jc w:val="both"/>
      <w:rPr>
        <w:rFonts w:ascii="Arial" w:cs="Arial" w:eastAsia="Arial" w:hAnsi="Arial"/>
        <w:b w:val="false"/>
        <w:i w:val="false"/>
        <w:smallCaps w:val="false"/>
        <w:color w:val="000000"/>
        <w:sz w:val="24"/>
        <w:szCs w:val="24"/>
        <w:u w:val="none"/>
        <w:shd w:val="clear" w:color="auto" w:fill="auto"/>
        <w:vertAlign w:val="baseline"/>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US"/>
      </w:rPr>
    </w:rPrDefault>
    <w:pPrDefault>
      <w:pPr>
        <w:spacing w:after="200" w:lineRule="auto" w:line="360"/>
        <w:jc w:val="both"/>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spacing w:before="600" w:after="120"/>
      <w:jc w:val="center"/>
    </w:pPr>
    <w:rPr>
      <w:b/>
      <w:sz w:val="32"/>
      <w:szCs w:val="32"/>
    </w:rPr>
  </w:style>
  <w:style w:type="paragraph" w:styleId="style2">
    <w:name w:val="heading 2"/>
    <w:basedOn w:val="style4097"/>
    <w:next w:val="style4097"/>
    <w:pPr>
      <w:keepNext/>
      <w:keepLines/>
      <w:spacing w:before="200" w:after="0"/>
    </w:pPr>
    <w:rPr>
      <w:b/>
      <w:color w:val="000000"/>
      <w:sz w:val="26"/>
      <w:szCs w:val="26"/>
    </w:rPr>
  </w:style>
  <w:style w:type="paragraph" w:styleId="style3">
    <w:name w:val="heading 3"/>
    <w:basedOn w:val="style4097"/>
    <w:next w:val="style4097"/>
    <w:pPr>
      <w:keepNext/>
      <w:keepLines/>
      <w:pageBreakBefore w:val="false"/>
      <w:spacing w:before="280" w:after="80"/>
    </w:pPr>
    <w:rPr>
      <w:b/>
      <w:sz w:val="28"/>
      <w:szCs w:val="28"/>
    </w:rPr>
  </w:style>
  <w:style w:type="paragraph" w:styleId="style4">
    <w:name w:val="heading 4"/>
    <w:basedOn w:val="style4097"/>
    <w:next w:val="style4097"/>
    <w:pPr>
      <w:keepNext/>
      <w:keepLines/>
      <w:pageBreakBefore w:val="false"/>
      <w:spacing w:before="240" w:after="40"/>
    </w:pPr>
    <w:rPr>
      <w:b/>
      <w:sz w:val="24"/>
      <w:szCs w:val="24"/>
    </w:rPr>
  </w:style>
  <w:style w:type="paragraph" w:styleId="style5">
    <w:name w:val="heading 5"/>
    <w:basedOn w:val="style4097"/>
    <w:next w:val="style4097"/>
    <w:pPr>
      <w:keepNext/>
      <w:keepLines/>
      <w:pageBreakBefore w:val="false"/>
      <w:spacing w:before="220" w:after="40"/>
    </w:pPr>
    <w:rPr>
      <w:b/>
      <w:sz w:val="22"/>
      <w:szCs w:val="22"/>
    </w:rPr>
  </w:style>
  <w:style w:type="paragraph" w:styleId="style6">
    <w:name w:val="heading 6"/>
    <w:basedOn w:val="style4097"/>
    <w:next w:val="style4097"/>
    <w:pPr>
      <w:keepNext/>
      <w:keepLines/>
      <w:pageBreakBefore w:val="false"/>
      <w:spacing w:before="200" w:after="40"/>
    </w:pPr>
    <w:rPr>
      <w:b/>
      <w:sz w:val="20"/>
      <w:szCs w:val="20"/>
    </w:rPr>
  </w:style>
  <w:style w:type="paragraph" w:styleId="style62">
    <w:name w:val="Title"/>
    <w:basedOn w:val="style4097"/>
    <w:next w:val="style4097"/>
    <w:pPr>
      <w:keepNext/>
      <w:keepLines/>
      <w:pageBreakBefore w:val="false"/>
      <w:spacing w:before="480" w:after="120"/>
    </w:pPr>
    <w:rPr>
      <w:b/>
      <w:sz w:val="72"/>
      <w:szCs w:val="72"/>
    </w:rPr>
  </w:style>
  <w:style w:type="paragraph" w:styleId="style74">
    <w:name w:val="Subtitle"/>
    <w:basedOn w:val="style4097"/>
    <w:next w:val="style4097"/>
    <w:pPr>
      <w:keepNext/>
      <w:keepLines/>
      <w:pageBreakBefore w:val="false"/>
      <w:spacing w:before="360" w:after="80"/>
    </w:pPr>
    <w:rPr>
      <w:rFonts w:ascii="Georgia" w:cs="Georgia" w:eastAsia="Georgia" w:hAnsi="Georgia"/>
      <w:i/>
      <w:color w:val="666666"/>
      <w:sz w:val="48"/>
      <w:szCs w:val="48"/>
    </w:rPr>
  </w:style>
  <w:style w:type="paragraph" w:default="1" w:styleId="style0">
    <w:name w:val="Normal"/>
    <w:pPr>
      <w:jc w:val="both"/>
    </w:pPr>
    <w:rPr>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1</TotalTime>
  <Words>2465</Words>
  <Characters>13697</Characters>
  <Application>WPS Office</Application>
  <Paragraphs>74</Paragraphs>
  <CharactersWithSpaces>16128</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2022-08-25T14:47:02Z</dcterms:created>
  <dc:creator>WPS Office</dc:creator>
  <lastModifiedBy>AGS3-W09</lastModifiedBy>
  <dcterms:modified xsi:type="dcterms:W3CDTF">2022-08-25T14:47:02Z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d3e3fbb885ca4c6aa533352b62aee398</vt:lpwstr>
  </property>
</Properties>
</file>