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11E4A" w14:textId="347271EC" w:rsidR="00EB73C9" w:rsidRPr="00EB73C9" w:rsidRDefault="00EB73C9" w:rsidP="00EB73C9">
      <w:pPr>
        <w:spacing w:beforeAutospacing="1" w:afterAutospacing="1"/>
        <w:rPr>
          <w:rFonts w:ascii="Times New Roman" w:eastAsia="Times New Roman" w:hAnsi="Times New Roman" w:cs="Times New Roman"/>
          <w:b/>
          <w:bCs/>
          <w:color w:val="201F1E"/>
          <w:bdr w:val="none" w:sz="0" w:space="0" w:color="auto" w:frame="1"/>
          <w:lang w:eastAsia="en-GB"/>
        </w:rPr>
      </w:pPr>
      <w:r w:rsidRPr="00EB73C9">
        <w:rPr>
          <w:rFonts w:ascii="Times New Roman" w:eastAsia="Times New Roman" w:hAnsi="Times New Roman" w:cs="Times New Roman"/>
          <w:b/>
          <w:bCs/>
          <w:color w:val="201F1E"/>
          <w:bdr w:val="none" w:sz="0" w:space="0" w:color="auto" w:frame="1"/>
          <w:lang w:eastAsia="en-GB"/>
        </w:rPr>
        <w:t>Name: Sharon Heather Cole</w:t>
      </w:r>
    </w:p>
    <w:p w14:paraId="25893B82" w14:textId="7BF0AB46" w:rsidR="00EB73C9" w:rsidRDefault="00EB73C9" w:rsidP="00EB73C9">
      <w:pPr>
        <w:spacing w:beforeAutospacing="1" w:afterAutospacing="1"/>
        <w:rPr>
          <w:rFonts w:ascii="Times New Roman" w:eastAsia="Times New Roman" w:hAnsi="Times New Roman" w:cs="Times New Roman"/>
          <w:b/>
          <w:bCs/>
          <w:color w:val="201F1E"/>
          <w:bdr w:val="none" w:sz="0" w:space="0" w:color="auto" w:frame="1"/>
          <w:lang w:eastAsia="en-GB"/>
        </w:rPr>
      </w:pPr>
      <w:r w:rsidRPr="00EB73C9">
        <w:rPr>
          <w:rFonts w:ascii="Times New Roman" w:eastAsia="Times New Roman" w:hAnsi="Times New Roman" w:cs="Times New Roman"/>
          <w:b/>
          <w:bCs/>
          <w:color w:val="201F1E"/>
          <w:bdr w:val="none" w:sz="0" w:space="0" w:color="auto" w:frame="1"/>
          <w:lang w:eastAsia="en-GB"/>
        </w:rPr>
        <w:t>Student</w:t>
      </w:r>
      <w:r>
        <w:rPr>
          <w:rFonts w:ascii="Times New Roman" w:eastAsia="Times New Roman" w:hAnsi="Times New Roman" w:cs="Times New Roman"/>
          <w:b/>
          <w:bCs/>
          <w:color w:val="201F1E"/>
          <w:bdr w:val="none" w:sz="0" w:space="0" w:color="auto" w:frame="1"/>
          <w:lang w:eastAsia="en-GB"/>
        </w:rPr>
        <w:t xml:space="preserve"> no: 1403063</w:t>
      </w:r>
    </w:p>
    <w:p w14:paraId="5AE79451" w14:textId="26434307" w:rsidR="00EB73C9" w:rsidRPr="00EB73C9" w:rsidRDefault="00EB73C9" w:rsidP="00EB73C9">
      <w:pPr>
        <w:spacing w:beforeAutospacing="1" w:afterAutospacing="1"/>
        <w:rPr>
          <w:rFonts w:ascii="Times New Roman" w:eastAsia="Times New Roman" w:hAnsi="Times New Roman" w:cs="Times New Roman"/>
          <w:b/>
          <w:bCs/>
          <w:color w:val="201F1E"/>
          <w:bdr w:val="none" w:sz="0" w:space="0" w:color="auto" w:frame="1"/>
          <w:lang w:eastAsia="en-GB"/>
        </w:rPr>
      </w:pPr>
      <w:r>
        <w:rPr>
          <w:rFonts w:ascii="Times New Roman" w:eastAsia="Times New Roman" w:hAnsi="Times New Roman" w:cs="Times New Roman"/>
          <w:b/>
          <w:bCs/>
          <w:color w:val="201F1E"/>
          <w:bdr w:val="none" w:sz="0" w:space="0" w:color="auto" w:frame="1"/>
          <w:lang w:eastAsia="en-GB"/>
        </w:rPr>
        <w:t>Course code: ECGE7004Q</w:t>
      </w:r>
    </w:p>
    <w:p w14:paraId="7FE66DC0" w14:textId="77777777" w:rsidR="00EB73C9" w:rsidRDefault="00EB73C9" w:rsidP="004A129F">
      <w:pPr>
        <w:spacing w:beforeAutospacing="1" w:afterAutospacing="1"/>
        <w:rPr>
          <w:rFonts w:ascii="Times New Roman" w:eastAsia="Times New Roman" w:hAnsi="Times New Roman" w:cs="Times New Roman"/>
          <w:b/>
          <w:bCs/>
          <w:color w:val="201F1E"/>
          <w:u w:val="single"/>
          <w:bdr w:val="none" w:sz="0" w:space="0" w:color="auto" w:frame="1"/>
          <w:lang w:eastAsia="en-GB"/>
        </w:rPr>
      </w:pPr>
    </w:p>
    <w:p w14:paraId="2A45E751" w14:textId="56C7DC93" w:rsidR="00EB73C9" w:rsidRPr="00FF225A" w:rsidRDefault="00A04398" w:rsidP="004A129F">
      <w:pPr>
        <w:spacing w:beforeAutospacing="1" w:afterAutospacing="1"/>
        <w:rPr>
          <w:rFonts w:ascii="Times New Roman" w:eastAsia="Times New Roman" w:hAnsi="Times New Roman" w:cs="Times New Roman"/>
          <w:b/>
          <w:bCs/>
          <w:color w:val="201F1E"/>
          <w:u w:val="single"/>
          <w:bdr w:val="none" w:sz="0" w:space="0" w:color="auto" w:frame="1"/>
          <w:lang w:eastAsia="en-GB"/>
        </w:rPr>
      </w:pPr>
      <w:r w:rsidRPr="00FF225A">
        <w:rPr>
          <w:rFonts w:ascii="Times New Roman" w:eastAsia="Times New Roman" w:hAnsi="Times New Roman" w:cs="Times New Roman"/>
          <w:b/>
          <w:bCs/>
          <w:color w:val="201F1E"/>
          <w:u w:val="single"/>
          <w:bdr w:val="none" w:sz="0" w:space="0" w:color="auto" w:frame="1"/>
          <w:lang w:eastAsia="en-GB"/>
        </w:rPr>
        <w:t xml:space="preserve">Online Contribution 1 </w:t>
      </w:r>
    </w:p>
    <w:p w14:paraId="141BA9E3" w14:textId="2E9AE918"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b/>
          <w:bCs/>
          <w:color w:val="201F1E"/>
          <w:u w:val="single"/>
          <w:bdr w:val="none" w:sz="0" w:space="0" w:color="auto" w:frame="1"/>
          <w:lang w:eastAsia="en-GB"/>
        </w:rPr>
        <w:t>Is Independent Advocacy necessary and effective in giving adults with learning disability choice and control over decisions that affect their lives?</w:t>
      </w:r>
    </w:p>
    <w:p w14:paraId="39FD96A0" w14:textId="3AFD3132"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b/>
          <w:bCs/>
          <w:i/>
          <w:iCs/>
          <w:color w:val="201F1E"/>
          <w:lang w:eastAsia="en-GB"/>
        </w:rPr>
        <w:t>Independent Advocacy and learning disability: A critical review of systems of support</w:t>
      </w:r>
    </w:p>
    <w:p w14:paraId="50884227"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The aim of this research is to assess both the effectiveness of Independent Advocacy (</w:t>
      </w:r>
      <w:r w:rsidRPr="00FF225A">
        <w:rPr>
          <w:rFonts w:ascii="Times New Roman" w:eastAsia="Times New Roman" w:hAnsi="Times New Roman" w:cs="Times New Roman"/>
          <w:b/>
          <w:bCs/>
          <w:color w:val="201F1E"/>
          <w:lang w:eastAsia="en-GB"/>
        </w:rPr>
        <w:t>IA</w:t>
      </w:r>
      <w:r w:rsidRPr="00FF225A">
        <w:rPr>
          <w:rFonts w:ascii="Times New Roman" w:eastAsia="Times New Roman" w:hAnsi="Times New Roman" w:cs="Times New Roman"/>
          <w:color w:val="201F1E"/>
          <w:lang w:eastAsia="en-GB"/>
        </w:rPr>
        <w:t>) and its necessity in the lives of adults with learning disabilities (</w:t>
      </w:r>
      <w:r w:rsidRPr="00FF225A">
        <w:rPr>
          <w:rFonts w:ascii="Times New Roman" w:eastAsia="Times New Roman" w:hAnsi="Times New Roman" w:cs="Times New Roman"/>
          <w:b/>
          <w:bCs/>
          <w:color w:val="201F1E"/>
          <w:lang w:eastAsia="en-GB"/>
        </w:rPr>
        <w:t>ALD</w:t>
      </w:r>
      <w:r w:rsidRPr="00FF225A">
        <w:rPr>
          <w:rFonts w:ascii="Times New Roman" w:eastAsia="Times New Roman" w:hAnsi="Times New Roman" w:cs="Times New Roman"/>
          <w:color w:val="201F1E"/>
          <w:lang w:eastAsia="en-GB"/>
        </w:rPr>
        <w:t xml:space="preserve">).  It is generally understood that ‘with the help of an advocate, people with learning disabilities can gain control over their lives, make their own choices about what happens to them and be as independent as possible’ (Seap.org.uk, 2019).  Goldsmith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(2015) assert that adults with learning disabilities are vulnerable to discrimination and breaches of human rights. This research will explore whether IA supports ALD to uphold their rights and reduces vulnerability to social inequality as per protection afforded under the Equality Act, 2010</w:t>
      </w:r>
      <w:r w:rsidRPr="00FF225A">
        <w:rPr>
          <w:rFonts w:ascii="Times New Roman" w:eastAsia="Times New Roman" w:hAnsi="Times New Roman" w:cs="Times New Roman"/>
          <w:b/>
          <w:bCs/>
          <w:color w:val="201F1E"/>
          <w:lang w:eastAsia="en-GB"/>
        </w:rPr>
        <w:t> </w:t>
      </w:r>
      <w:r w:rsidRPr="00FF225A">
        <w:rPr>
          <w:rFonts w:ascii="Times New Roman" w:eastAsia="Times New Roman" w:hAnsi="Times New Roman" w:cs="Times New Roman"/>
          <w:color w:val="201F1E"/>
          <w:lang w:eastAsia="en-GB"/>
        </w:rPr>
        <w:t>(legislation.gov.uk, 2019).</w:t>
      </w:r>
    </w:p>
    <w:p w14:paraId="165EBDB1"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Independent advocacy gives a voice to those who feel disempowered and gives them choice over matters that effect their lives (Grant et al, 2010).  This research will embrace this, engaging with ALD, IA and Professionals </w:t>
      </w:r>
      <w:r w:rsidRPr="00FF225A">
        <w:rPr>
          <w:rFonts w:ascii="Times New Roman" w:eastAsia="Times New Roman" w:hAnsi="Times New Roman" w:cs="Times New Roman"/>
          <w:b/>
          <w:bCs/>
          <w:color w:val="201F1E"/>
          <w:lang w:eastAsia="en-GB"/>
        </w:rPr>
        <w:t>(P)</w:t>
      </w:r>
      <w:r w:rsidRPr="00FF225A">
        <w:rPr>
          <w:rFonts w:ascii="Times New Roman" w:eastAsia="Times New Roman" w:hAnsi="Times New Roman" w:cs="Times New Roman"/>
          <w:color w:val="201F1E"/>
          <w:lang w:eastAsia="en-GB"/>
        </w:rPr>
        <w:t> and/or Carers </w:t>
      </w:r>
      <w:r w:rsidRPr="00FF225A">
        <w:rPr>
          <w:rFonts w:ascii="Times New Roman" w:eastAsia="Times New Roman" w:hAnsi="Times New Roman" w:cs="Times New Roman"/>
          <w:b/>
          <w:bCs/>
          <w:color w:val="201F1E"/>
          <w:lang w:eastAsia="en-GB"/>
        </w:rPr>
        <w:t>(C)</w:t>
      </w:r>
      <w:r w:rsidRPr="00FF225A">
        <w:rPr>
          <w:rFonts w:ascii="Times New Roman" w:eastAsia="Times New Roman" w:hAnsi="Times New Roman" w:cs="Times New Roman"/>
          <w:color w:val="201F1E"/>
          <w:lang w:eastAsia="en-GB"/>
        </w:rPr>
        <w:t> involved in the lives of ALD, ensuring respect for all participants are upheld and ethical considerations addressed. </w:t>
      </w:r>
    </w:p>
    <w:p w14:paraId="4B9FFBE1"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This research will adopt a pragmatist viewpoint with the underlying aim to improve the experiences of ALD.  State legislation referred to in Wales gives individuals’ access to Independent Professional Advocacy, Independent Mental Health Advocacy and Independent Mental Capacity Advocacy. Despite this ‘right’ of access to services, bureaucracy demands that criteria must be met to receive these services and unless in crisis, ALD may not meet the specified criteria and could benefit from IA services that are not covered by legislation (Sherwood-Johnson, 2016).  As a tutor/assessor of IA, the researcher maybe a little more sensitive and understanding of the issues being investigated, hence leading to a greater relationship of trust being developed between participants and researcher, however, it can also result in ‘a greater bias or to a research direction that is more important to the researcher’ (</w:t>
      </w:r>
      <w:proofErr w:type="spellStart"/>
      <w:r w:rsidRPr="00FF225A">
        <w:rPr>
          <w:rFonts w:ascii="Times New Roman" w:eastAsia="Times New Roman" w:hAnsi="Times New Roman" w:cs="Times New Roman"/>
          <w:color w:val="201F1E"/>
          <w:lang w:eastAsia="en-GB"/>
        </w:rPr>
        <w:t>OpenLearn</w:t>
      </w:r>
      <w:proofErr w:type="spellEnd"/>
      <w:r w:rsidRPr="00FF225A">
        <w:rPr>
          <w:rFonts w:ascii="Times New Roman" w:eastAsia="Times New Roman" w:hAnsi="Times New Roman" w:cs="Times New Roman"/>
          <w:color w:val="201F1E"/>
          <w:lang w:eastAsia="en-GB"/>
        </w:rPr>
        <w:t>, 2019).  To minimise this risk, the researcher acknowledges the necessity to ensure objectivity in the investigation of the phenomenon of IA with ALD and will look at the problem from varying viewpoints.   </w:t>
      </w:r>
    </w:p>
    <w:p w14:paraId="538EB2A4" w14:textId="302FF4CC"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xml:space="preserve">Research will gather the views of IA, ALD (those that have and haven’t received IA support) and (P)and/or (C) involved in the lives of ALD.  This ‘triangulation of data’ will endeavour to filter out any bias and ‘making possible a more comprehensive understanding of the issue under study’ (Flick, 2015, p. 221).  By undertaking the research in this manner, as per the ethical guidelines of the British Sociological Association (2019), the researcher will be satisfied that appropriate techniques </w:t>
      </w:r>
      <w:r w:rsidR="00391989">
        <w:rPr>
          <w:rFonts w:ascii="Times New Roman" w:eastAsia="Times New Roman" w:hAnsi="Times New Roman" w:cs="Times New Roman"/>
          <w:color w:val="201F1E"/>
          <w:lang w:eastAsia="en-GB"/>
        </w:rPr>
        <w:t xml:space="preserve">were </w:t>
      </w:r>
      <w:r w:rsidRPr="00FF225A">
        <w:rPr>
          <w:rFonts w:ascii="Times New Roman" w:eastAsia="Times New Roman" w:hAnsi="Times New Roman" w:cs="Times New Roman"/>
          <w:color w:val="201F1E"/>
          <w:lang w:eastAsia="en-GB"/>
        </w:rPr>
        <w:t xml:space="preserve">undertaken to allow a worthwhile review.   To </w:t>
      </w:r>
      <w:r w:rsidRPr="00FF225A">
        <w:rPr>
          <w:rFonts w:ascii="Times New Roman" w:eastAsia="Times New Roman" w:hAnsi="Times New Roman" w:cs="Times New Roman"/>
          <w:color w:val="201F1E"/>
          <w:lang w:eastAsia="en-GB"/>
        </w:rPr>
        <w:lastRenderedPageBreak/>
        <w:t>further enhance and support an objective and robust investigation, methodology adopt</w:t>
      </w:r>
      <w:r w:rsidR="00EB73C9">
        <w:rPr>
          <w:rFonts w:ascii="Times New Roman" w:eastAsia="Times New Roman" w:hAnsi="Times New Roman" w:cs="Times New Roman"/>
          <w:color w:val="201F1E"/>
          <w:lang w:eastAsia="en-GB"/>
        </w:rPr>
        <w:t>s</w:t>
      </w:r>
      <w:r w:rsidRPr="00FF225A">
        <w:rPr>
          <w:rFonts w:ascii="Times New Roman" w:eastAsia="Times New Roman" w:hAnsi="Times New Roman" w:cs="Times New Roman"/>
          <w:color w:val="201F1E"/>
          <w:lang w:eastAsia="en-GB"/>
        </w:rPr>
        <w:t xml:space="preserve"> a mixed-methods approach and will include; </w:t>
      </w:r>
    </w:p>
    <w:p w14:paraId="2468177E" w14:textId="77777777" w:rsidR="004A129F" w:rsidRPr="00FF225A" w:rsidRDefault="004A129F" w:rsidP="004A129F">
      <w:pPr>
        <w:numPr>
          <w:ilvl w:val="0"/>
          <w:numId w:val="1"/>
        </w:num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Questionnaires to gather information regarding the need for IA.  Participants will include ALD, IA and a variety of other P and/or C that are involved in the lives of ALD</w:t>
      </w:r>
    </w:p>
    <w:p w14:paraId="485A156A" w14:textId="77777777" w:rsidR="004A129F" w:rsidRPr="00FF225A" w:rsidRDefault="004A129F" w:rsidP="004A129F">
      <w:pPr>
        <w:numPr>
          <w:ilvl w:val="0"/>
          <w:numId w:val="1"/>
        </w:num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Qualitative Interviews with ALD’s to understand effectiveness of IA </w:t>
      </w:r>
    </w:p>
    <w:p w14:paraId="42F458C7" w14:textId="77777777" w:rsidR="004A129F" w:rsidRPr="00FF225A" w:rsidRDefault="004A129F" w:rsidP="004A129F">
      <w:pPr>
        <w:numPr>
          <w:ilvl w:val="0"/>
          <w:numId w:val="1"/>
        </w:num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Case studies to ‘explore processes’ and understand both ALD and IA ‘lived experiences’ (Creswell, 2003)</w:t>
      </w:r>
    </w:p>
    <w:p w14:paraId="32FE98E5"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Questionnaires will avoid questions that elicit bias in answers and qualitative interviews will ask open ended questions that allow participants to speak freely (Nielsen Norman Group, 2016).</w:t>
      </w:r>
    </w:p>
    <w:p w14:paraId="6C3C516B"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xml:space="preserve">Participants will be identified and recruited by ‘gatekeepers’ (Goldsmith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xml:space="preserve">, 2015), from organisations that engage with ALD across S.E Wales and will include those who have and haven’t utilised Independent Advocacy services.  Care will be taken when recruiting ALD, as Goldsmith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xml:space="preserve"> (2015) assert, issues involved when researching ALD include whether the individual has capacity to consent to the research or not.  To abate this issue, all participants will be those that have not been deemed to be lacking capacity and are able to freely give consent to the research.   In England and Wales, the Mental Capacity Act, 2005 states that ‘A person must be assumed to have capacity unless it is established that he lacks capacity’.   Informed consent will be gained from all participants and provided in an easy read format ensuring accessibility for ‘a range of intellectual abilities and communication impairments’ (Goldsmith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xml:space="preserve">, 2015).  Goldsmith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2015 further propose that ALD’s have an inclination to want to please the researcher or the professional during research, this will be reduced through recruitment by gatekeepers, who will ensure participants do not feel coerced into participating, providing all with information about the research, what is involved, any risk and confirm ‘understanding of the nature of the research and its likely impact’ (Creswell, 2003).  Gatekeepers will complete either consent interviews or provide participants with consent forms depending on individuals’ ability or preference (UWTSD, 2017). </w:t>
      </w:r>
    </w:p>
    <w:p w14:paraId="610C79F8"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Individuals will be advised that participation is completely voluntary and as per the BSS, 2017 ‘Statement of Ethical Practice’, they will be told that they have a right to withdraw at any time (Brit.soc.co.uk, 2017).  In recognition of the General Data Protection Regulations (2018) participants will be informed that data gathered will only be utilised for the purpose of the research and questions asked and answered will be developed to ensure they are ‘adequate and relevant’.  Information collected will be anonymous ensuring participant anonymity and will be made available for scrutiny upon request.  </w:t>
      </w:r>
    </w:p>
    <w:p w14:paraId="36B001ED" w14:textId="6CBEDECA"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xml:space="preserve">Research activities will include paper questionnaires and audio recorded interviews.  With consent, audio recordings will be transcribed.   To ensure secure storage of recorded interviews and subsequent transcriptions, details will be encrypted and held on a lockable </w:t>
      </w:r>
      <w:r w:rsidR="00EB73C9">
        <w:rPr>
          <w:rFonts w:ascii="Times New Roman" w:eastAsia="Times New Roman" w:hAnsi="Times New Roman" w:cs="Times New Roman"/>
          <w:color w:val="201F1E"/>
          <w:lang w:eastAsia="en-GB"/>
        </w:rPr>
        <w:t xml:space="preserve">USB </w:t>
      </w:r>
      <w:r w:rsidRPr="00FF225A">
        <w:rPr>
          <w:rFonts w:ascii="Times New Roman" w:eastAsia="Times New Roman" w:hAnsi="Times New Roman" w:cs="Times New Roman"/>
          <w:color w:val="201F1E"/>
          <w:lang w:eastAsia="en-GB"/>
        </w:rPr>
        <w:t xml:space="preserve">stick.   Questionnaires collected will be stored in a secure, lockable filing cabinet within the researchers’ office until the final paper has been accepted and graded by the university’s exam board.  All data will be anonymous, therefore if a participant withdraws at any stage, the only information that will be destroyed is the audio recording, as this makes the individual identifiable and any such personal information must be destroyed (GDPR, 2018). </w:t>
      </w:r>
      <w:r w:rsidRPr="00FF225A">
        <w:rPr>
          <w:rFonts w:ascii="Times New Roman" w:eastAsia="Times New Roman" w:hAnsi="Times New Roman" w:cs="Times New Roman"/>
          <w:color w:val="201F1E"/>
          <w:lang w:eastAsia="en-GB"/>
        </w:rPr>
        <w:lastRenderedPageBreak/>
        <w:t>However, during the process, once the audio is transcribed, the recording will automatically be destroyed.  </w:t>
      </w:r>
    </w:p>
    <w:p w14:paraId="1946AAFB"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Discussions and questionnaires may invoke distressing memories regarding control over one’s life or fighting for their rights.  The Individuals care worker or close family member will have been briefed before-hand to ensure support is immediate if required.  Details of signpost services will be made available of the reverse of the questionnaire, should participants wish to access.  Research will be completed within gatekeepers’ premises and following each session time will be given for the participants to discuss any issues they may have and any further support they may need, including following any local or national safeguarding procedures.  </w:t>
      </w:r>
    </w:p>
    <w:p w14:paraId="471A1668"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The safety and rights of all participants is of utmost importance therefore, ethical, legal and professional consideration will be made throughout the research process.  This will ensure integrity and uphold the reputation of the researcher and the university (UWTSD, 2019).</w:t>
      </w:r>
    </w:p>
    <w:p w14:paraId="4EDA6899"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w:t>
      </w:r>
    </w:p>
    <w:p w14:paraId="2BEBA71A" w14:textId="77777777" w:rsidR="004A129F" w:rsidRPr="00FF225A" w:rsidRDefault="004A129F" w:rsidP="004A129F">
      <w:pPr>
        <w:spacing w:beforeAutospacing="1" w:afterAutospacing="1"/>
        <w:jc w:val="center"/>
        <w:rPr>
          <w:rFonts w:ascii="Times New Roman" w:eastAsia="Times New Roman" w:hAnsi="Times New Roman" w:cs="Times New Roman"/>
          <w:color w:val="201F1E"/>
          <w:lang w:eastAsia="en-GB"/>
        </w:rPr>
      </w:pPr>
      <w:r w:rsidRPr="00FF225A">
        <w:rPr>
          <w:rFonts w:ascii="Times New Roman" w:eastAsia="Times New Roman" w:hAnsi="Times New Roman" w:cs="Times New Roman"/>
          <w:b/>
          <w:bCs/>
          <w:color w:val="201F1E"/>
          <w:u w:val="single"/>
          <w:bdr w:val="none" w:sz="0" w:space="0" w:color="auto" w:frame="1"/>
          <w:lang w:eastAsia="en-GB"/>
        </w:rPr>
        <w:t>References</w:t>
      </w:r>
    </w:p>
    <w:p w14:paraId="0A764B0B"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w:t>
      </w:r>
    </w:p>
    <w:p w14:paraId="77299A1E"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Britsoc.co.uk. (2017). [online] Available at: </w:t>
      </w:r>
      <w:hyperlink r:id="rId5" w:tgtFrame="_blank" w:tooltip="Original URL: https://www.britsoc.co.uk/media/24310/bsa_statement_of_ethical_practice.pdf. Click or tap if you trust this link." w:history="1">
        <w:r w:rsidRPr="00FF225A">
          <w:rPr>
            <w:rFonts w:ascii="Times New Roman" w:eastAsia="Times New Roman" w:hAnsi="Times New Roman" w:cs="Times New Roman"/>
            <w:color w:val="0000FF"/>
            <w:u w:val="single"/>
            <w:bdr w:val="none" w:sz="0" w:space="0" w:color="auto" w:frame="1"/>
            <w:lang w:eastAsia="en-GB"/>
          </w:rPr>
          <w:t>https://www.britsoc.co.uk/media/24310/bsa_statement_of_ethical_practice.pdf</w:t>
        </w:r>
      </w:hyperlink>
      <w:r w:rsidRPr="00FF225A">
        <w:rPr>
          <w:rFonts w:ascii="Times New Roman" w:eastAsia="Times New Roman" w:hAnsi="Times New Roman" w:cs="Times New Roman"/>
          <w:color w:val="201F1E"/>
          <w:lang w:eastAsia="en-GB"/>
        </w:rPr>
        <w:t>  (Accessed 1st Dec. 2019)</w:t>
      </w:r>
    </w:p>
    <w:p w14:paraId="120A68C9"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Creswell, J. W. (2003). </w:t>
      </w:r>
      <w:r w:rsidRPr="00FF225A">
        <w:rPr>
          <w:rFonts w:ascii="Times New Roman" w:eastAsia="Times New Roman" w:hAnsi="Times New Roman" w:cs="Times New Roman"/>
          <w:i/>
          <w:iCs/>
          <w:color w:val="201F1E"/>
          <w:lang w:eastAsia="en-GB"/>
        </w:rPr>
        <w:t xml:space="preserve">Research design: Qualitative, </w:t>
      </w:r>
      <w:proofErr w:type="spellStart"/>
      <w:r w:rsidRPr="00FF225A">
        <w:rPr>
          <w:rFonts w:ascii="Times New Roman" w:eastAsia="Times New Roman" w:hAnsi="Times New Roman" w:cs="Times New Roman"/>
          <w:i/>
          <w:iCs/>
          <w:color w:val="201F1E"/>
          <w:lang w:eastAsia="en-GB"/>
        </w:rPr>
        <w:t>quantitive</w:t>
      </w:r>
      <w:proofErr w:type="spellEnd"/>
      <w:r w:rsidRPr="00FF225A">
        <w:rPr>
          <w:rFonts w:ascii="Times New Roman" w:eastAsia="Times New Roman" w:hAnsi="Times New Roman" w:cs="Times New Roman"/>
          <w:i/>
          <w:iCs/>
          <w:color w:val="201F1E"/>
          <w:lang w:eastAsia="en-GB"/>
        </w:rPr>
        <w:t>, and mixed methods approaches</w:t>
      </w:r>
      <w:r w:rsidRPr="00FF225A">
        <w:rPr>
          <w:rFonts w:ascii="Times New Roman" w:eastAsia="Times New Roman" w:hAnsi="Times New Roman" w:cs="Times New Roman"/>
          <w:color w:val="201F1E"/>
          <w:lang w:eastAsia="en-GB"/>
        </w:rPr>
        <w:t> (2nd ed.) Thousand Oaks, CA: Sage Publications, Inc</w:t>
      </w:r>
    </w:p>
    <w:p w14:paraId="3462B279"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Flick, U. (2015). </w:t>
      </w:r>
      <w:r w:rsidRPr="00FF225A">
        <w:rPr>
          <w:rFonts w:ascii="Times New Roman" w:eastAsia="Times New Roman" w:hAnsi="Times New Roman" w:cs="Times New Roman"/>
          <w:i/>
          <w:iCs/>
          <w:color w:val="201F1E"/>
          <w:lang w:eastAsia="en-GB"/>
        </w:rPr>
        <w:t>Introducing research methodology (</w:t>
      </w:r>
      <w:r w:rsidRPr="00FF225A">
        <w:rPr>
          <w:rFonts w:ascii="Times New Roman" w:eastAsia="Times New Roman" w:hAnsi="Times New Roman" w:cs="Times New Roman"/>
          <w:color w:val="201F1E"/>
          <w:lang w:eastAsia="en-GB"/>
        </w:rPr>
        <w:t>2nd ed.) London:  Sage Publications Limited</w:t>
      </w:r>
    </w:p>
    <w:p w14:paraId="4965A26D"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GDPR, General Data Protection Regulations (2018) [Online] Available from: </w:t>
      </w:r>
      <w:hyperlink r:id="rId6" w:tgtFrame="_blank" w:tooltip="Original URL: https://assets.publishing.service.gov.uk/government/uploads/system/uploads/attachment_data/file/711097/guide-to-the-general-data-protection-regulation-gdpr-1-0.pdf. Click or tap if you trust this link." w:history="1">
        <w:r w:rsidRPr="00FF225A">
          <w:rPr>
            <w:rFonts w:ascii="Times New Roman" w:eastAsia="Times New Roman" w:hAnsi="Times New Roman" w:cs="Times New Roman"/>
            <w:color w:val="0000FF"/>
            <w:u w:val="single"/>
            <w:bdr w:val="none" w:sz="0" w:space="0" w:color="auto" w:frame="1"/>
            <w:lang w:eastAsia="en-GB"/>
          </w:rPr>
          <w:t>https://assets.publishing.service.gov.uk/government/uploads/system/uploads/attachment_data/file/711097/guide-to-the-general-data-protection-regulation-gdpr-1-0.pdf</w:t>
        </w:r>
      </w:hyperlink>
      <w:r w:rsidRPr="00FF225A">
        <w:rPr>
          <w:rFonts w:ascii="Times New Roman" w:eastAsia="Times New Roman" w:hAnsi="Times New Roman" w:cs="Times New Roman"/>
          <w:color w:val="201F1E"/>
          <w:lang w:eastAsia="en-GB"/>
        </w:rPr>
        <w:t>  (Accessed 15th November 2019)</w:t>
      </w:r>
    </w:p>
    <w:p w14:paraId="5B14FA99"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xml:space="preserve">Goldsmith, L. and </w:t>
      </w:r>
      <w:proofErr w:type="spellStart"/>
      <w:r w:rsidRPr="00FF225A">
        <w:rPr>
          <w:rFonts w:ascii="Times New Roman" w:eastAsia="Times New Roman" w:hAnsi="Times New Roman" w:cs="Times New Roman"/>
          <w:color w:val="201F1E"/>
          <w:lang w:eastAsia="en-GB"/>
        </w:rPr>
        <w:t>Skirton</w:t>
      </w:r>
      <w:proofErr w:type="spellEnd"/>
      <w:r w:rsidRPr="00FF225A">
        <w:rPr>
          <w:rFonts w:ascii="Times New Roman" w:eastAsia="Times New Roman" w:hAnsi="Times New Roman" w:cs="Times New Roman"/>
          <w:color w:val="201F1E"/>
          <w:lang w:eastAsia="en-GB"/>
        </w:rPr>
        <w:t>, H. (2015a). Research involving people with a learning disability – methodological challenges and ethical considerations. </w:t>
      </w:r>
      <w:r w:rsidRPr="00FF225A">
        <w:rPr>
          <w:rFonts w:ascii="Times New Roman" w:eastAsia="Times New Roman" w:hAnsi="Times New Roman" w:cs="Times New Roman"/>
          <w:i/>
          <w:iCs/>
          <w:color w:val="201F1E"/>
          <w:lang w:eastAsia="en-GB"/>
        </w:rPr>
        <w:t>Journal of Research in Nursing</w:t>
      </w:r>
      <w:r w:rsidRPr="00FF225A">
        <w:rPr>
          <w:rFonts w:ascii="Times New Roman" w:eastAsia="Times New Roman" w:hAnsi="Times New Roman" w:cs="Times New Roman"/>
          <w:color w:val="201F1E"/>
          <w:lang w:eastAsia="en-GB"/>
        </w:rPr>
        <w:t>, 20(6), pp. 435–446.</w:t>
      </w:r>
    </w:p>
    <w:p w14:paraId="4EDEB8F7"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Legislation.gov.uk. (2019). </w:t>
      </w:r>
      <w:r w:rsidRPr="00FF225A">
        <w:rPr>
          <w:rFonts w:ascii="Times New Roman" w:eastAsia="Times New Roman" w:hAnsi="Times New Roman" w:cs="Times New Roman"/>
          <w:i/>
          <w:iCs/>
          <w:color w:val="201F1E"/>
          <w:lang w:eastAsia="en-GB"/>
        </w:rPr>
        <w:t>Equality Act 2010. </w:t>
      </w:r>
      <w:r w:rsidRPr="00FF225A">
        <w:rPr>
          <w:rFonts w:ascii="Times New Roman" w:eastAsia="Times New Roman" w:hAnsi="Times New Roman" w:cs="Times New Roman"/>
          <w:color w:val="201F1E"/>
          <w:lang w:eastAsia="en-GB"/>
        </w:rPr>
        <w:t>[online] Available at: </w:t>
      </w:r>
      <w:hyperlink r:id="rId7" w:tgtFrame="_blank" w:tooltip="Original URL: http://www.legislation.gov.uk/ukpga/2010/15/contents. Click or tap if you trust this link." w:history="1">
        <w:r w:rsidRPr="00FF225A">
          <w:rPr>
            <w:rFonts w:ascii="Times New Roman" w:eastAsia="Times New Roman" w:hAnsi="Times New Roman" w:cs="Times New Roman"/>
            <w:color w:val="0000FF"/>
            <w:u w:val="single"/>
            <w:bdr w:val="none" w:sz="0" w:space="0" w:color="auto" w:frame="1"/>
            <w:lang w:eastAsia="en-GB"/>
          </w:rPr>
          <w:t>http://www.legislation.gov.uk/ukpga/2010/15/contents</w:t>
        </w:r>
      </w:hyperlink>
      <w:r w:rsidRPr="00FF225A">
        <w:rPr>
          <w:rFonts w:ascii="Times New Roman" w:eastAsia="Times New Roman" w:hAnsi="Times New Roman" w:cs="Times New Roman"/>
          <w:color w:val="201F1E"/>
          <w:lang w:eastAsia="en-GB"/>
        </w:rPr>
        <w:t> (Accessed 15 Nov. 2019)</w:t>
      </w:r>
    </w:p>
    <w:p w14:paraId="516ABF76"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Nielsen Norman Group. (2016). </w:t>
      </w:r>
      <w:r w:rsidRPr="00FF225A">
        <w:rPr>
          <w:rFonts w:ascii="Times New Roman" w:eastAsia="Times New Roman" w:hAnsi="Times New Roman" w:cs="Times New Roman"/>
          <w:i/>
          <w:iCs/>
          <w:color w:val="201F1E"/>
          <w:lang w:eastAsia="en-GB"/>
        </w:rPr>
        <w:t>Open-Ended vs. Closed-Ended Questions in User Research </w:t>
      </w:r>
      <w:r w:rsidRPr="00FF225A">
        <w:rPr>
          <w:rFonts w:ascii="Times New Roman" w:eastAsia="Times New Roman" w:hAnsi="Times New Roman" w:cs="Times New Roman"/>
          <w:color w:val="201F1E"/>
          <w:lang w:eastAsia="en-GB"/>
        </w:rPr>
        <w:t>[Online] Available at: </w:t>
      </w:r>
      <w:hyperlink r:id="rId8" w:tgtFrame="_blank" w:tooltip="Original URL: https://www.nngroup.com/articles/open-ended-questions. Click or tap if you trust this link." w:history="1">
        <w:r w:rsidRPr="00FF225A">
          <w:rPr>
            <w:rFonts w:ascii="Times New Roman" w:eastAsia="Times New Roman" w:hAnsi="Times New Roman" w:cs="Times New Roman"/>
            <w:color w:val="0000FF"/>
            <w:u w:val="single"/>
            <w:bdr w:val="none" w:sz="0" w:space="0" w:color="auto" w:frame="1"/>
            <w:lang w:eastAsia="en-GB"/>
          </w:rPr>
          <w:t>https://www.nngroup.com/articles/open-ended-questions</w:t>
        </w:r>
      </w:hyperlink>
      <w:r w:rsidRPr="00FF225A">
        <w:rPr>
          <w:rFonts w:ascii="Times New Roman" w:eastAsia="Times New Roman" w:hAnsi="Times New Roman" w:cs="Times New Roman"/>
          <w:color w:val="201F1E"/>
          <w:lang w:eastAsia="en-GB"/>
        </w:rPr>
        <w:t> (Accessed 3rd December 2019)</w:t>
      </w:r>
    </w:p>
    <w:p w14:paraId="073FE2A5"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proofErr w:type="spellStart"/>
      <w:r w:rsidRPr="00FF225A">
        <w:rPr>
          <w:rFonts w:ascii="Times New Roman" w:eastAsia="Times New Roman" w:hAnsi="Times New Roman" w:cs="Times New Roman"/>
          <w:color w:val="201F1E"/>
          <w:lang w:eastAsia="en-GB"/>
        </w:rPr>
        <w:lastRenderedPageBreak/>
        <w:t>OpenLearn</w:t>
      </w:r>
      <w:proofErr w:type="spellEnd"/>
      <w:r w:rsidRPr="00FF225A">
        <w:rPr>
          <w:rFonts w:ascii="Times New Roman" w:eastAsia="Times New Roman" w:hAnsi="Times New Roman" w:cs="Times New Roman"/>
          <w:color w:val="201F1E"/>
          <w:lang w:eastAsia="en-GB"/>
        </w:rPr>
        <w:t>. (2019). </w:t>
      </w:r>
      <w:r w:rsidRPr="00FF225A">
        <w:rPr>
          <w:rFonts w:ascii="Times New Roman" w:eastAsia="Times New Roman" w:hAnsi="Times New Roman" w:cs="Times New Roman"/>
          <w:i/>
          <w:iCs/>
          <w:color w:val="201F1E"/>
          <w:lang w:eastAsia="en-GB"/>
        </w:rPr>
        <w:t>Understanding different research perspectives. </w:t>
      </w:r>
      <w:r w:rsidRPr="00FF225A">
        <w:rPr>
          <w:rFonts w:ascii="Times New Roman" w:eastAsia="Times New Roman" w:hAnsi="Times New Roman" w:cs="Times New Roman"/>
          <w:color w:val="201F1E"/>
          <w:lang w:eastAsia="en-GB"/>
        </w:rPr>
        <w:t>[online] Available at: </w:t>
      </w:r>
      <w:hyperlink r:id="rId9" w:tgtFrame="_blank" w:tooltip="Original URL: https://www.open.edu/openlearn/money-management/understanding-different-research-perspectives/content-section-2. Click or tap if you trust this link." w:history="1">
        <w:r w:rsidRPr="00FF225A">
          <w:rPr>
            <w:rFonts w:ascii="Times New Roman" w:eastAsia="Times New Roman" w:hAnsi="Times New Roman" w:cs="Times New Roman"/>
            <w:color w:val="0000FF"/>
            <w:u w:val="single"/>
            <w:bdr w:val="none" w:sz="0" w:space="0" w:color="auto" w:frame="1"/>
            <w:lang w:eastAsia="en-GB"/>
          </w:rPr>
          <w:t>https://www.open.edu/openlearn/money-management/understanding-different-research-perspectives/content-section-2</w:t>
        </w:r>
      </w:hyperlink>
      <w:r w:rsidRPr="00FF225A">
        <w:rPr>
          <w:rFonts w:ascii="Times New Roman" w:eastAsia="Times New Roman" w:hAnsi="Times New Roman" w:cs="Times New Roman"/>
          <w:color w:val="201F1E"/>
          <w:lang w:eastAsia="en-GB"/>
        </w:rPr>
        <w:t>(Accessed 20 Nov. 2019)</w:t>
      </w:r>
    </w:p>
    <w:p w14:paraId="38E68013"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Seap.org.uk. (2019). </w:t>
      </w:r>
      <w:r w:rsidRPr="00FF225A">
        <w:rPr>
          <w:rFonts w:ascii="Times New Roman" w:eastAsia="Times New Roman" w:hAnsi="Times New Roman" w:cs="Times New Roman"/>
          <w:i/>
          <w:iCs/>
          <w:color w:val="201F1E"/>
          <w:lang w:eastAsia="en-GB"/>
        </w:rPr>
        <w:t>Learning Disability Advocacy - SEAP</w:t>
      </w:r>
      <w:r w:rsidRPr="00FF225A">
        <w:rPr>
          <w:rFonts w:ascii="Times New Roman" w:eastAsia="Times New Roman" w:hAnsi="Times New Roman" w:cs="Times New Roman"/>
          <w:color w:val="201F1E"/>
          <w:lang w:eastAsia="en-GB"/>
        </w:rPr>
        <w:t>. [online] Available at: https://www.seap.org.uk/services/learning-disability-advocacy/ (Accessed 28 Nov. 2019)</w:t>
      </w:r>
    </w:p>
    <w:p w14:paraId="7DCC3237" w14:textId="77777777"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Sherwood-Johnson, F. (2016). Independent advocacy in adult support and protection work.  </w:t>
      </w:r>
      <w:r w:rsidRPr="00FF225A">
        <w:rPr>
          <w:rFonts w:ascii="Times New Roman" w:eastAsia="Times New Roman" w:hAnsi="Times New Roman" w:cs="Times New Roman"/>
          <w:i/>
          <w:iCs/>
          <w:color w:val="201F1E"/>
          <w:lang w:eastAsia="en-GB"/>
        </w:rPr>
        <w:t>The Journal of Adult Protection, </w:t>
      </w:r>
      <w:r w:rsidRPr="00FF225A">
        <w:rPr>
          <w:rFonts w:ascii="Times New Roman" w:eastAsia="Times New Roman" w:hAnsi="Times New Roman" w:cs="Times New Roman"/>
          <w:color w:val="201F1E"/>
          <w:lang w:eastAsia="en-GB"/>
        </w:rPr>
        <w:t>18(2), pp. 109-118</w:t>
      </w:r>
    </w:p>
    <w:p w14:paraId="1DAF559A" w14:textId="77777777" w:rsidR="004A129F" w:rsidRPr="00FF225A" w:rsidRDefault="004A129F" w:rsidP="004A129F">
      <w:pPr>
        <w:spacing w:beforeAutospacing="1"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UWTSD, Research </w:t>
      </w:r>
      <w:hyperlink r:id="rId10" w:tgtFrame="_blank" w:tooltip="Original URL: https://moodle.uwtsd.ac.uk/mod/url/view.php?id=133964. Click or tap if you trust this link." w:history="1">
        <w:r w:rsidRPr="00FF225A">
          <w:rPr>
            <w:rFonts w:ascii="Times New Roman" w:eastAsia="Times New Roman" w:hAnsi="Times New Roman" w:cs="Times New Roman"/>
            <w:color w:val="0000FF"/>
            <w:u w:val="single"/>
            <w:bdr w:val="none" w:sz="0" w:space="0" w:color="auto" w:frame="1"/>
            <w:lang w:eastAsia="en-GB"/>
          </w:rPr>
          <w:t>Ethics</w:t>
        </w:r>
      </w:hyperlink>
      <w:r w:rsidRPr="00FF225A">
        <w:rPr>
          <w:rFonts w:ascii="Times New Roman" w:eastAsia="Times New Roman" w:hAnsi="Times New Roman" w:cs="Times New Roman"/>
          <w:color w:val="201F1E"/>
          <w:lang w:eastAsia="en-GB"/>
        </w:rPr>
        <w:t> and Integrity Code of Practice (2017) [Online] Available at: </w:t>
      </w:r>
      <w:hyperlink r:id="rId11" w:tgtFrame="_blank" w:tooltip="Original URL: https://www.uwtsd.ac.uk/media/uwtsd-website/content-assets/documents/research/research-ethics-integrity-code-practice.pdf. Click or tap if you trust this link." w:history="1">
        <w:r w:rsidRPr="00FF225A">
          <w:rPr>
            <w:rFonts w:ascii="Times New Roman" w:eastAsia="Times New Roman" w:hAnsi="Times New Roman" w:cs="Times New Roman"/>
            <w:color w:val="0000FF"/>
            <w:u w:val="single"/>
            <w:bdr w:val="none" w:sz="0" w:space="0" w:color="auto" w:frame="1"/>
            <w:lang w:eastAsia="en-GB"/>
          </w:rPr>
          <w:t>https://www.uwtsd.ac.uk/media/uwtsd-website/content-assets/documents/research/research-ethics-integrity-code-practice.pdf</w:t>
        </w:r>
      </w:hyperlink>
      <w:r w:rsidRPr="00FF225A">
        <w:rPr>
          <w:rFonts w:ascii="Times New Roman" w:eastAsia="Times New Roman" w:hAnsi="Times New Roman" w:cs="Times New Roman"/>
          <w:color w:val="201F1E"/>
          <w:lang w:eastAsia="en-GB"/>
        </w:rPr>
        <w:t> (Accessed 5 Dec. 2019)</w:t>
      </w:r>
    </w:p>
    <w:p w14:paraId="6A73C4E4" w14:textId="529FEDEE" w:rsidR="004A129F" w:rsidRPr="00FF225A" w:rsidRDefault="004A129F" w:rsidP="004A129F">
      <w:pPr>
        <w:spacing w:before="100" w:beforeAutospacing="1" w:after="100" w:afterAutospacing="1"/>
        <w:rPr>
          <w:rFonts w:ascii="Times New Roman" w:eastAsia="Times New Roman" w:hAnsi="Times New Roman" w:cs="Times New Roman"/>
          <w:color w:val="201F1E"/>
          <w:lang w:eastAsia="en-GB"/>
        </w:rPr>
      </w:pPr>
      <w:r w:rsidRPr="00FF225A">
        <w:rPr>
          <w:rFonts w:ascii="Times New Roman" w:eastAsia="Times New Roman" w:hAnsi="Times New Roman" w:cs="Times New Roman"/>
          <w:color w:val="201F1E"/>
          <w:lang w:eastAsia="en-GB"/>
        </w:rPr>
        <w:t> </w:t>
      </w:r>
    </w:p>
    <w:p w14:paraId="5C77AC95" w14:textId="63C4AF29" w:rsidR="00A04398" w:rsidRPr="009E5732" w:rsidRDefault="00A04398" w:rsidP="004A129F">
      <w:pPr>
        <w:spacing w:before="100" w:beforeAutospacing="1" w:after="100" w:afterAutospacing="1"/>
        <w:rPr>
          <w:rFonts w:ascii="Times New Roman" w:eastAsia="Times New Roman" w:hAnsi="Times New Roman" w:cs="Times New Roman"/>
          <w:b/>
          <w:bCs/>
          <w:color w:val="201F1E"/>
          <w:u w:val="single"/>
          <w:lang w:eastAsia="en-GB"/>
        </w:rPr>
      </w:pPr>
      <w:r w:rsidRPr="009E5732">
        <w:rPr>
          <w:rFonts w:ascii="Times New Roman" w:eastAsia="Times New Roman" w:hAnsi="Times New Roman" w:cs="Times New Roman"/>
          <w:b/>
          <w:bCs/>
          <w:color w:val="201F1E"/>
          <w:u w:val="single"/>
          <w:lang w:eastAsia="en-GB"/>
        </w:rPr>
        <w:t>Online Contribution 2</w:t>
      </w:r>
    </w:p>
    <w:p w14:paraId="765557C2" w14:textId="77777777" w:rsidR="004A129F" w:rsidRPr="00FF225A" w:rsidRDefault="004A129F" w:rsidP="004A129F">
      <w:pPr>
        <w:rPr>
          <w:rFonts w:ascii="Times New Roman" w:eastAsia="Times New Roman" w:hAnsi="Times New Roman" w:cs="Times New Roman"/>
          <w:lang w:eastAsia="en-GB"/>
        </w:rPr>
      </w:pPr>
    </w:p>
    <w:p w14:paraId="1584858C" w14:textId="77777777" w:rsidR="004B0ABA" w:rsidRPr="00FF225A" w:rsidRDefault="004B0ABA" w:rsidP="004B0ABA">
      <w:pPr>
        <w:pStyle w:val="xmsonormal"/>
        <w:spacing w:before="0" w:beforeAutospacing="0" w:after="0" w:afterAutospacing="0"/>
      </w:pPr>
      <w:r w:rsidRPr="00FF225A">
        <w:t xml:space="preserve">This paper will reflect upon the ethical considerations made regarding my proposed research regarding the necessity and effectiveness of Independent Advocacy in the lives of adults with learning disability.  Where required I will address areas that need to be improved upon and provide solutions to issues highlighted. </w:t>
      </w:r>
    </w:p>
    <w:p w14:paraId="1804136B" w14:textId="77777777" w:rsidR="004B0ABA" w:rsidRPr="00FF225A" w:rsidRDefault="004B0ABA" w:rsidP="004B0ABA">
      <w:pPr>
        <w:pStyle w:val="xmsonormal"/>
        <w:spacing w:before="0" w:beforeAutospacing="0" w:after="0" w:afterAutospacing="0"/>
        <w:rPr>
          <w:color w:val="201F1E"/>
        </w:rPr>
      </w:pPr>
    </w:p>
    <w:p w14:paraId="1395B572" w14:textId="77777777" w:rsidR="009E5732" w:rsidRDefault="004B0ABA" w:rsidP="004B0ABA">
      <w:pPr>
        <w:rPr>
          <w:rFonts w:ascii="Times New Roman" w:hAnsi="Times New Roman" w:cs="Times New Roman"/>
        </w:rPr>
      </w:pPr>
      <w:r w:rsidRPr="00FF225A">
        <w:rPr>
          <w:rFonts w:ascii="Times New Roman" w:hAnsi="Times New Roman" w:cs="Times New Roman"/>
        </w:rPr>
        <w:t xml:space="preserve">Upon reflection I am satisfied that my research topic will ultimately provide some benefit to both Independent Advocates and Adults with learning disability and will therefore be a worthwhile use of their ‘time and energy’ (Thomas, 2011, p. 41).   Whilst I briefly mentioned that I, the researcher, am a tutor/assessor of Independent Advocacy in Wales, upon reflection I feel it pertinent to mention that within this role I regularly observe Independent Advocates working with Adults with Learning Disability and am therefore a worker-researcher, with a relationship to those being researched.  </w:t>
      </w:r>
    </w:p>
    <w:p w14:paraId="177B44B3" w14:textId="77777777" w:rsidR="009E5732" w:rsidRDefault="009E5732" w:rsidP="004B0ABA">
      <w:pPr>
        <w:rPr>
          <w:rFonts w:ascii="Times New Roman" w:hAnsi="Times New Roman" w:cs="Times New Roman"/>
        </w:rPr>
      </w:pPr>
    </w:p>
    <w:p w14:paraId="16BDB68A" w14:textId="77777777" w:rsidR="009E5732" w:rsidRDefault="004B0ABA" w:rsidP="004B0ABA">
      <w:pPr>
        <w:rPr>
          <w:rFonts w:ascii="Times New Roman" w:hAnsi="Times New Roman" w:cs="Times New Roman"/>
        </w:rPr>
      </w:pPr>
      <w:r w:rsidRPr="00FF225A">
        <w:rPr>
          <w:rFonts w:ascii="Times New Roman" w:hAnsi="Times New Roman" w:cs="Times New Roman"/>
        </w:rPr>
        <w:t xml:space="preserve">I regularly witness the actions of independent advocates and the choices their clients are able to access with their assistance.   With this is mind, I am aware that there is an ‘additional duty not to violate the dignity of the researched’ (Gibbs et al, 2007) and a necessity to ensure research isn’t directed in a way that I, as a worker-researcher, feel is important.  To assist in ethically addressing these issues, I will, as proposed by Gibbs et al, 2007, keep and write in a diary throughout my research, this will allow me to reflect on all actions and support my learning and evolution from worker to researcher.  </w:t>
      </w:r>
    </w:p>
    <w:p w14:paraId="2060C54F" w14:textId="77777777" w:rsidR="009E5732" w:rsidRDefault="009E5732" w:rsidP="004B0ABA">
      <w:pPr>
        <w:rPr>
          <w:rFonts w:ascii="Times New Roman" w:hAnsi="Times New Roman" w:cs="Times New Roman"/>
        </w:rPr>
      </w:pPr>
    </w:p>
    <w:p w14:paraId="6F69B541" w14:textId="73BC72CA" w:rsidR="004B0ABA" w:rsidRPr="00FF225A" w:rsidRDefault="004B0ABA" w:rsidP="004B0ABA">
      <w:pPr>
        <w:rPr>
          <w:rFonts w:ascii="Times New Roman" w:hAnsi="Times New Roman" w:cs="Times New Roman"/>
        </w:rPr>
      </w:pPr>
      <w:r w:rsidRPr="00FF225A">
        <w:rPr>
          <w:rFonts w:ascii="Times New Roman" w:hAnsi="Times New Roman" w:cs="Times New Roman"/>
        </w:rPr>
        <w:t xml:space="preserve">Further, this will enable me to review ethical conduct, keep a track of my own thoughts and progress and provide me with a valuable tool to review and the reflect on the research I am conducting.   Keeping a diary will also aid in managing the risk associated with my own emotions when conducting and reviewing research. It is important for the researcher to display neutrality and as such ‘extensive emotion work may result in burnout or stress’ (Israel, 2015 p.177), writing down thoughts and reflecting will assist in mitigating this risk, allowing further perspective and catharsis. </w:t>
      </w:r>
    </w:p>
    <w:p w14:paraId="6B321756" w14:textId="77777777" w:rsidR="009E5732" w:rsidRDefault="009E5732" w:rsidP="004B0ABA">
      <w:pPr>
        <w:rPr>
          <w:rFonts w:ascii="Times New Roman" w:hAnsi="Times New Roman" w:cs="Times New Roman"/>
        </w:rPr>
      </w:pPr>
    </w:p>
    <w:p w14:paraId="455B6018" w14:textId="6045A75A" w:rsidR="004B0ABA" w:rsidRPr="00FF225A" w:rsidRDefault="004B0ABA" w:rsidP="004B0ABA">
      <w:pPr>
        <w:rPr>
          <w:rFonts w:ascii="Times New Roman" w:hAnsi="Times New Roman" w:cs="Times New Roman"/>
        </w:rPr>
      </w:pPr>
      <w:r w:rsidRPr="00FF225A">
        <w:rPr>
          <w:rFonts w:ascii="Times New Roman" w:hAnsi="Times New Roman" w:cs="Times New Roman"/>
        </w:rPr>
        <w:lastRenderedPageBreak/>
        <w:t xml:space="preserve">Throughout the ethical consideration paper, I endeavoured to question every aspect of my proposed research.  This process led me to consider using a wider group of research participants to ensure all viewpoints were addressed and a worthwhile review undertaken.   Ethically considering all participants, I discussed gaining informed consent from all and ensuring all were aware that consent can be withdrawn at any time.  Reflecting on this and understanding that some individuals will have learning disability, I will need to ensure that participants are advised at regular intervals that they are able to withdraw and additionally, through the use of carers and other professionals, ensure that they understand what this means (Thomas, 2013 p. 52).  </w:t>
      </w:r>
    </w:p>
    <w:p w14:paraId="1E7E8DD1" w14:textId="77777777" w:rsidR="009E5732" w:rsidRDefault="009E5732" w:rsidP="004B0ABA">
      <w:pPr>
        <w:rPr>
          <w:rFonts w:ascii="Times New Roman" w:hAnsi="Times New Roman" w:cs="Times New Roman"/>
        </w:rPr>
      </w:pPr>
    </w:p>
    <w:p w14:paraId="5D825EB2" w14:textId="4D9F41F6" w:rsidR="004B0ABA" w:rsidRPr="00FF225A" w:rsidRDefault="004B0ABA" w:rsidP="004B0ABA">
      <w:pPr>
        <w:rPr>
          <w:rFonts w:ascii="Times New Roman" w:hAnsi="Times New Roman" w:cs="Times New Roman"/>
        </w:rPr>
      </w:pPr>
      <w:r w:rsidRPr="00FF225A">
        <w:rPr>
          <w:rFonts w:ascii="Times New Roman" w:hAnsi="Times New Roman" w:cs="Times New Roman"/>
        </w:rPr>
        <w:t xml:space="preserve">To conclude, I believe my original ethical considerations, together with the additional points discussed within this reflection will allow me to conduct ethically robust research.  The use of a research diary will not only allow me to review actions and </w:t>
      </w:r>
      <w:bookmarkStart w:id="0" w:name="_GoBack"/>
      <w:bookmarkEnd w:id="0"/>
      <w:r w:rsidR="00391989" w:rsidRPr="00FF225A">
        <w:rPr>
          <w:rFonts w:ascii="Times New Roman" w:hAnsi="Times New Roman" w:cs="Times New Roman"/>
        </w:rPr>
        <w:t>thoughts but</w:t>
      </w:r>
      <w:r w:rsidRPr="00FF225A">
        <w:rPr>
          <w:rFonts w:ascii="Times New Roman" w:hAnsi="Times New Roman" w:cs="Times New Roman"/>
        </w:rPr>
        <w:t xml:space="preserve"> will </w:t>
      </w:r>
      <w:r w:rsidR="00391989" w:rsidRPr="00FF225A">
        <w:rPr>
          <w:rFonts w:ascii="Times New Roman" w:hAnsi="Times New Roman" w:cs="Times New Roman"/>
        </w:rPr>
        <w:t>additionally</w:t>
      </w:r>
      <w:r w:rsidRPr="00FF225A">
        <w:rPr>
          <w:rFonts w:ascii="Times New Roman" w:hAnsi="Times New Roman" w:cs="Times New Roman"/>
        </w:rPr>
        <w:t xml:space="preserve"> ensure that ethical consideration is a key focal point. </w:t>
      </w:r>
    </w:p>
    <w:p w14:paraId="6D77B4AB" w14:textId="77777777" w:rsidR="004B0ABA" w:rsidRPr="00FF225A" w:rsidRDefault="004B0ABA" w:rsidP="004B0ABA">
      <w:pPr>
        <w:rPr>
          <w:rFonts w:ascii="Times New Roman" w:hAnsi="Times New Roman" w:cs="Times New Roman"/>
        </w:rPr>
      </w:pPr>
    </w:p>
    <w:p w14:paraId="2EA2FD4C" w14:textId="77777777" w:rsidR="009E5732" w:rsidRDefault="004B0ABA" w:rsidP="004B0ABA">
      <w:pPr>
        <w:rPr>
          <w:rFonts w:ascii="Times New Roman" w:hAnsi="Times New Roman" w:cs="Times New Roman"/>
        </w:rPr>
      </w:pPr>
      <w:r w:rsidRPr="00FF225A">
        <w:rPr>
          <w:rFonts w:ascii="Times New Roman" w:hAnsi="Times New Roman" w:cs="Times New Roman"/>
        </w:rPr>
        <w:tab/>
      </w:r>
      <w:r w:rsidRPr="00FF225A">
        <w:rPr>
          <w:rFonts w:ascii="Times New Roman" w:hAnsi="Times New Roman" w:cs="Times New Roman"/>
        </w:rPr>
        <w:tab/>
      </w:r>
      <w:r w:rsidRPr="00FF225A">
        <w:rPr>
          <w:rFonts w:ascii="Times New Roman" w:hAnsi="Times New Roman" w:cs="Times New Roman"/>
        </w:rPr>
        <w:tab/>
      </w:r>
      <w:r w:rsidRPr="00FF225A">
        <w:rPr>
          <w:rFonts w:ascii="Times New Roman" w:hAnsi="Times New Roman" w:cs="Times New Roman"/>
        </w:rPr>
        <w:tab/>
      </w:r>
    </w:p>
    <w:p w14:paraId="3E12C59C" w14:textId="77777777" w:rsidR="009E5732" w:rsidRDefault="009E5732" w:rsidP="004B0ABA">
      <w:pPr>
        <w:rPr>
          <w:rFonts w:ascii="Times New Roman" w:hAnsi="Times New Roman" w:cs="Times New Roman"/>
        </w:rPr>
      </w:pPr>
    </w:p>
    <w:p w14:paraId="245AF471" w14:textId="3DDC0E06" w:rsidR="004B0ABA" w:rsidRDefault="004B0ABA" w:rsidP="009E5732">
      <w:pPr>
        <w:jc w:val="center"/>
        <w:rPr>
          <w:rFonts w:ascii="Times New Roman" w:hAnsi="Times New Roman" w:cs="Times New Roman"/>
          <w:b/>
          <w:bCs/>
          <w:u w:val="single"/>
        </w:rPr>
      </w:pPr>
      <w:r w:rsidRPr="009E5732">
        <w:rPr>
          <w:rFonts w:ascii="Times New Roman" w:hAnsi="Times New Roman" w:cs="Times New Roman"/>
          <w:b/>
          <w:bCs/>
          <w:u w:val="single"/>
        </w:rPr>
        <w:t>References</w:t>
      </w:r>
    </w:p>
    <w:p w14:paraId="5BA2C746" w14:textId="77777777" w:rsidR="009E5732" w:rsidRPr="009E5732" w:rsidRDefault="009E5732" w:rsidP="004B0ABA">
      <w:pPr>
        <w:rPr>
          <w:rFonts w:ascii="Times New Roman" w:hAnsi="Times New Roman" w:cs="Times New Roman"/>
          <w:b/>
          <w:bCs/>
          <w:u w:val="single"/>
        </w:rPr>
      </w:pPr>
    </w:p>
    <w:p w14:paraId="50605151" w14:textId="77777777" w:rsidR="004B0ABA" w:rsidRPr="00FF225A" w:rsidRDefault="004B0ABA" w:rsidP="004B0ABA">
      <w:pPr>
        <w:rPr>
          <w:rFonts w:ascii="Times New Roman" w:hAnsi="Times New Roman" w:cs="Times New Roman"/>
        </w:rPr>
      </w:pPr>
      <w:r w:rsidRPr="00FF225A">
        <w:rPr>
          <w:rFonts w:ascii="Times New Roman" w:hAnsi="Times New Roman" w:cs="Times New Roman"/>
        </w:rPr>
        <w:t xml:space="preserve">Gibbs, P, Costley. C, </w:t>
      </w:r>
      <w:proofErr w:type="spellStart"/>
      <w:r w:rsidRPr="00FF225A">
        <w:rPr>
          <w:rFonts w:ascii="Times New Roman" w:hAnsi="Times New Roman" w:cs="Times New Roman"/>
        </w:rPr>
        <w:t>Armsby</w:t>
      </w:r>
      <w:proofErr w:type="spellEnd"/>
      <w:r w:rsidRPr="00FF225A">
        <w:rPr>
          <w:rFonts w:ascii="Times New Roman" w:hAnsi="Times New Roman" w:cs="Times New Roman"/>
        </w:rPr>
        <w:t xml:space="preserve">, P and </w:t>
      </w:r>
      <w:proofErr w:type="spellStart"/>
      <w:r w:rsidRPr="00FF225A">
        <w:rPr>
          <w:rFonts w:ascii="Times New Roman" w:hAnsi="Times New Roman" w:cs="Times New Roman"/>
        </w:rPr>
        <w:t>Trakakis</w:t>
      </w:r>
      <w:proofErr w:type="spellEnd"/>
      <w:r w:rsidRPr="00FF225A">
        <w:rPr>
          <w:rFonts w:ascii="Times New Roman" w:hAnsi="Times New Roman" w:cs="Times New Roman"/>
        </w:rPr>
        <w:t xml:space="preserve">, A.  Developing the ethics of worker-researchers through phronesis. </w:t>
      </w:r>
      <w:r w:rsidRPr="00FF225A">
        <w:rPr>
          <w:rFonts w:ascii="Times New Roman" w:hAnsi="Times New Roman" w:cs="Times New Roman"/>
          <w:i/>
          <w:iCs/>
        </w:rPr>
        <w:t xml:space="preserve">Teaching in Higher Education, </w:t>
      </w:r>
      <w:r w:rsidRPr="00FF225A">
        <w:rPr>
          <w:rFonts w:ascii="Times New Roman" w:hAnsi="Times New Roman" w:cs="Times New Roman"/>
        </w:rPr>
        <w:t>12(3), pp. 365-375</w:t>
      </w:r>
    </w:p>
    <w:p w14:paraId="04516A6E" w14:textId="77777777" w:rsidR="009E5732" w:rsidRDefault="009E5732" w:rsidP="004B0ABA">
      <w:pPr>
        <w:rPr>
          <w:rFonts w:ascii="Times New Roman" w:hAnsi="Times New Roman" w:cs="Times New Roman"/>
        </w:rPr>
      </w:pPr>
    </w:p>
    <w:p w14:paraId="1A1C6818" w14:textId="0EC3B05C" w:rsidR="004B0ABA" w:rsidRPr="00FF225A" w:rsidRDefault="004B0ABA" w:rsidP="004B0ABA">
      <w:pPr>
        <w:rPr>
          <w:rFonts w:ascii="Times New Roman" w:hAnsi="Times New Roman" w:cs="Times New Roman"/>
        </w:rPr>
      </w:pPr>
      <w:r w:rsidRPr="00FF225A">
        <w:rPr>
          <w:rFonts w:ascii="Times New Roman" w:hAnsi="Times New Roman" w:cs="Times New Roman"/>
        </w:rPr>
        <w:t xml:space="preserve">Israel, M. (2015). </w:t>
      </w:r>
      <w:r w:rsidRPr="00FF225A">
        <w:rPr>
          <w:rFonts w:ascii="Times New Roman" w:hAnsi="Times New Roman" w:cs="Times New Roman"/>
          <w:i/>
          <w:iCs/>
        </w:rPr>
        <w:t xml:space="preserve">Research ethics and integrity for social scientists. </w:t>
      </w:r>
      <w:r w:rsidRPr="00FF225A">
        <w:rPr>
          <w:rFonts w:ascii="Times New Roman" w:hAnsi="Times New Roman" w:cs="Times New Roman"/>
        </w:rPr>
        <w:t>(2</w:t>
      </w:r>
      <w:r w:rsidRPr="00FF225A">
        <w:rPr>
          <w:rFonts w:ascii="Times New Roman" w:hAnsi="Times New Roman" w:cs="Times New Roman"/>
          <w:vertAlign w:val="superscript"/>
        </w:rPr>
        <w:t>nd</w:t>
      </w:r>
      <w:r w:rsidRPr="00FF225A">
        <w:rPr>
          <w:rFonts w:ascii="Times New Roman" w:hAnsi="Times New Roman" w:cs="Times New Roman"/>
        </w:rPr>
        <w:t xml:space="preserve"> ed.) London: Sage Publications Limited. </w:t>
      </w:r>
    </w:p>
    <w:p w14:paraId="5DAF3511" w14:textId="77777777" w:rsidR="009E5732" w:rsidRDefault="009E5732" w:rsidP="004B0ABA">
      <w:pPr>
        <w:rPr>
          <w:rFonts w:ascii="Times New Roman" w:hAnsi="Times New Roman" w:cs="Times New Roman"/>
        </w:rPr>
      </w:pPr>
    </w:p>
    <w:p w14:paraId="4ED22820" w14:textId="426CA97F" w:rsidR="004B0ABA" w:rsidRPr="00FF225A" w:rsidRDefault="004B0ABA" w:rsidP="004B0ABA">
      <w:pPr>
        <w:rPr>
          <w:rFonts w:ascii="Times New Roman" w:hAnsi="Times New Roman" w:cs="Times New Roman"/>
        </w:rPr>
      </w:pPr>
      <w:r w:rsidRPr="00FF225A">
        <w:rPr>
          <w:rFonts w:ascii="Times New Roman" w:hAnsi="Times New Roman" w:cs="Times New Roman"/>
        </w:rPr>
        <w:t xml:space="preserve">Thomas, G. (2013). </w:t>
      </w:r>
      <w:r w:rsidRPr="00FF225A">
        <w:rPr>
          <w:rFonts w:ascii="Times New Roman" w:hAnsi="Times New Roman" w:cs="Times New Roman"/>
          <w:i/>
          <w:iCs/>
        </w:rPr>
        <w:t xml:space="preserve">How to do your research project; a guide for student in education and applied science </w:t>
      </w:r>
      <w:r w:rsidRPr="00FF225A">
        <w:rPr>
          <w:rFonts w:ascii="Times New Roman" w:hAnsi="Times New Roman" w:cs="Times New Roman"/>
        </w:rPr>
        <w:t>(2</w:t>
      </w:r>
      <w:r w:rsidRPr="00FF225A">
        <w:rPr>
          <w:rFonts w:ascii="Times New Roman" w:hAnsi="Times New Roman" w:cs="Times New Roman"/>
          <w:vertAlign w:val="superscript"/>
        </w:rPr>
        <w:t>nd</w:t>
      </w:r>
      <w:r w:rsidRPr="00FF225A">
        <w:rPr>
          <w:rFonts w:ascii="Times New Roman" w:hAnsi="Times New Roman" w:cs="Times New Roman"/>
        </w:rPr>
        <w:t xml:space="preserve"> ed.) London: Sage Publications Limited</w:t>
      </w:r>
    </w:p>
    <w:p w14:paraId="15C21E0F" w14:textId="77777777" w:rsidR="004543CD" w:rsidRPr="00FF225A" w:rsidRDefault="00391989">
      <w:pPr>
        <w:rPr>
          <w:rFonts w:ascii="Times New Roman" w:hAnsi="Times New Roman" w:cs="Times New Roman"/>
        </w:rPr>
      </w:pPr>
    </w:p>
    <w:sectPr w:rsidR="004543CD" w:rsidRPr="00FF225A" w:rsidSect="0090009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910C8"/>
    <w:multiLevelType w:val="multilevel"/>
    <w:tmpl w:val="17C8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9F"/>
    <w:rsid w:val="00153777"/>
    <w:rsid w:val="00391989"/>
    <w:rsid w:val="004A129F"/>
    <w:rsid w:val="004B0ABA"/>
    <w:rsid w:val="00900097"/>
    <w:rsid w:val="009E5732"/>
    <w:rsid w:val="00A04398"/>
    <w:rsid w:val="00DB5557"/>
    <w:rsid w:val="00EB73C9"/>
    <w:rsid w:val="00FF2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80F217"/>
  <w15:chartTrackingRefBased/>
  <w15:docId w15:val="{60B2F61F-FB6A-4849-B712-0AC04D266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29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A129F"/>
    <w:rPr>
      <w:b/>
      <w:bCs/>
    </w:rPr>
  </w:style>
  <w:style w:type="character" w:styleId="Emphasis">
    <w:name w:val="Emphasis"/>
    <w:basedOn w:val="DefaultParagraphFont"/>
    <w:uiPriority w:val="20"/>
    <w:qFormat/>
    <w:rsid w:val="004A129F"/>
    <w:rPr>
      <w:i/>
      <w:iCs/>
    </w:rPr>
  </w:style>
  <w:style w:type="character" w:styleId="Hyperlink">
    <w:name w:val="Hyperlink"/>
    <w:basedOn w:val="DefaultParagraphFont"/>
    <w:uiPriority w:val="99"/>
    <w:semiHidden/>
    <w:unhideWhenUsed/>
    <w:rsid w:val="004A129F"/>
    <w:rPr>
      <w:color w:val="0000FF"/>
      <w:u w:val="single"/>
    </w:rPr>
  </w:style>
  <w:style w:type="character" w:customStyle="1" w:styleId="apple-converted-space">
    <w:name w:val="apple-converted-space"/>
    <w:basedOn w:val="DefaultParagraphFont"/>
    <w:rsid w:val="004A129F"/>
  </w:style>
  <w:style w:type="paragraph" w:customStyle="1" w:styleId="xmsonormal">
    <w:name w:val="x_msonormal"/>
    <w:basedOn w:val="Normal"/>
    <w:rsid w:val="004B0AB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nngroup.com%2Farticles%2Fopen-ended-questions&amp;data=02%7C01%7C%7C0f8b36ec56534691993808d77a9cade0%7C4e0f11f9046e45059cb8db2152311e21%7C0%7C0%7C637112685658942824&amp;sdata=u7%2Fq3mDdnsQQJDKDnvCWqtLwlxOURrdvBamMW4eRGuw%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3A%2F%2Fwww.legislation.gov.uk%2Fukpga%2F2010%2F15%2Fcontents&amp;data=02%7C01%7C%7C0f8b36ec56534691993808d77a9cade0%7C4e0f11f9046e45059cb8db2152311e21%7C0%7C0%7C637112685658942824&amp;sdata=08jQ8wPpLap7NjtGWNPh4LdRld%2BXA4VDm8DWRRuADaQ%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assets.publishing.service.gov.uk%2Fgovernment%2Fuploads%2Fsystem%2Fuploads%2Fattachment_data%2Ffile%2F711097%2Fguide-to-the-general-data-protection-regulation-gdpr-1-0.pdf&amp;data=02%7C01%7C%7C0f8b36ec56534691993808d77a9cade0%7C4e0f11f9046e45059cb8db2152311e21%7C0%7C1%7C637112685658932828&amp;sdata=eKD%2FXXuvjx%2B65CcaFKXc6LkZ5s7o76KVVXOJ1kE0btE%3D&amp;reserved=0" TargetMode="External"/><Relationship Id="rId11" Type="http://schemas.openxmlformats.org/officeDocument/2006/relationships/hyperlink" Target="https://eur01.safelinks.protection.outlook.com/?url=https%3A%2F%2Fwww.uwtsd.ac.uk%2Fmedia%2Fuwtsd-website%2Fcontent-assets%2Fdocuments%2Fresearch%2Fresearch-ethics-integrity-code-practice.pdf&amp;data=02%7C01%7C%7C0f8b36ec56534691993808d77a9cade0%7C4e0f11f9046e45059cb8db2152311e21%7C0%7C1%7C637112685658962820&amp;sdata=6BMSdByMd52nkTRDOCInIVu0Gw%2BtT4fQKDV3r5ZAyUU%3D&amp;reserved=0" TargetMode="External"/><Relationship Id="rId5" Type="http://schemas.openxmlformats.org/officeDocument/2006/relationships/hyperlink" Target="https://eur01.safelinks.protection.outlook.com/?url=https%3A%2F%2Fwww.britsoc.co.uk%2Fmedia%2F24310%2Fbsa_statement_of_ethical_practice.pdf&amp;data=02%7C01%7C%7C0f8b36ec56534691993808d77a9cade0%7C4e0f11f9046e45059cb8db2152311e21%7C0%7C1%7C637112685658932828&amp;sdata=D7pNXOMi4ct39HY77QIUrqU1QPpt4hCZBi33jamFSxs%3D&amp;reserved=0" TargetMode="External"/><Relationship Id="rId10" Type="http://schemas.openxmlformats.org/officeDocument/2006/relationships/hyperlink" Target="https://eur01.safelinks.protection.outlook.com/?url=https%3A%2F%2Fmoodle.uwtsd.ac.uk%2Fmod%2Furl%2Fview.php%3Fid%3D133964&amp;data=02%7C01%7C%7C0f8b36ec56534691993808d77a9cade0%7C4e0f11f9046e45059cb8db2152311e21%7C0%7C0%7C637112685658952818&amp;sdata=mzpMhwgtA%2Fy8XaD8yckCIu26BSxtLtDJdaLWmIawlXc%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open.edu%2Fopenlearn%2Fmoney-management%2Funderstanding-different-research-perspectives%2Fcontent-section-2&amp;data=02%7C01%7C%7C0f8b36ec56534691993808d77a9cade0%7C4e0f11f9046e45059cb8db2152311e21%7C0%7C0%7C637112685658952818&amp;sdata=YK6%2BR3qncYMs2GElUqCpMe%2B3Xj2GrVLOwZY%2F%2FianMx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Cole (1403063)</dc:creator>
  <cp:keywords/>
  <dc:description/>
  <cp:lastModifiedBy>Sharon Cole (1403063)</cp:lastModifiedBy>
  <cp:revision>7</cp:revision>
  <dcterms:created xsi:type="dcterms:W3CDTF">2020-01-04T01:52:00Z</dcterms:created>
  <dcterms:modified xsi:type="dcterms:W3CDTF">2020-01-07T00:01:00Z</dcterms:modified>
</cp:coreProperties>
</file>