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C65861B" w14:textId="77777777" w:rsidR="00C853B2" w:rsidRPr="008266F3" w:rsidRDefault="00000000">
      <w:pPr>
        <w:pStyle w:val="NormalWeb"/>
        <w:spacing w:before="0" w:beforeAutospacing="0" w:after="0" w:afterAutospacing="0" w:line="360" w:lineRule="auto"/>
        <w:jc w:val="center"/>
        <w:rPr>
          <w:rFonts w:ascii="Arial" w:hAnsi="Arial" w:cs="Arial"/>
          <w:b/>
          <w:lang w:val="en-GB"/>
        </w:rPr>
      </w:pPr>
      <w:r w:rsidRPr="008266F3">
        <w:rPr>
          <w:rFonts w:ascii="Arial" w:hAnsi="Arial" w:cs="Arial"/>
          <w:b/>
          <w:noProof/>
        </w:rPr>
        <w:drawing>
          <wp:anchor distT="0" distB="0" distL="114300" distR="114300" simplePos="0" relativeHeight="2" behindDoc="0" locked="0" layoutInCell="1" allowOverlap="1" wp14:anchorId="005C8444" wp14:editId="784AC9A4">
            <wp:simplePos x="0" y="0"/>
            <wp:positionH relativeFrom="column">
              <wp:align>left</wp:align>
            </wp:positionH>
            <wp:positionV relativeFrom="paragraph">
              <wp:align>top</wp:align>
            </wp:positionV>
            <wp:extent cx="1807029" cy="729343"/>
            <wp:effectExtent l="0" t="0" r="0" b="0"/>
            <wp:wrapSquare wrapText="bothSides"/>
            <wp:docPr id="1026" name="Pictur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1807029" cy="729343"/>
                    </a:xfrm>
                    <a:prstGeom prst="rect">
                      <a:avLst/>
                    </a:prstGeom>
                    <a:ln>
                      <a:noFill/>
                    </a:ln>
                  </pic:spPr>
                </pic:pic>
              </a:graphicData>
            </a:graphic>
          </wp:anchor>
        </w:drawing>
      </w:r>
    </w:p>
    <w:p w14:paraId="5DD6C21A" w14:textId="77777777" w:rsidR="00C853B2" w:rsidRPr="008266F3" w:rsidRDefault="00C853B2">
      <w:pPr>
        <w:pStyle w:val="NormalWeb"/>
        <w:spacing w:before="0" w:beforeAutospacing="0" w:after="0" w:afterAutospacing="0" w:line="360" w:lineRule="auto"/>
        <w:jc w:val="center"/>
        <w:rPr>
          <w:rFonts w:ascii="Arial" w:hAnsi="Arial" w:cs="Arial"/>
          <w:b/>
          <w:lang w:val="en-GB"/>
        </w:rPr>
      </w:pPr>
    </w:p>
    <w:p w14:paraId="12E148DF" w14:textId="77777777" w:rsidR="00C853B2" w:rsidRPr="008266F3" w:rsidRDefault="00C853B2">
      <w:pPr>
        <w:pStyle w:val="NormalWeb"/>
        <w:spacing w:before="0" w:beforeAutospacing="0" w:after="0" w:afterAutospacing="0" w:line="360" w:lineRule="auto"/>
        <w:jc w:val="center"/>
        <w:rPr>
          <w:rFonts w:ascii="Arial" w:hAnsi="Arial" w:cs="Arial"/>
          <w:b/>
          <w:lang w:val="en-GB"/>
        </w:rPr>
      </w:pPr>
    </w:p>
    <w:p w14:paraId="67B55C4A" w14:textId="77777777" w:rsidR="00C853B2" w:rsidRPr="008266F3" w:rsidRDefault="00C853B2">
      <w:pPr>
        <w:pStyle w:val="NormalWeb"/>
        <w:spacing w:before="0" w:beforeAutospacing="0" w:after="0" w:afterAutospacing="0" w:line="360" w:lineRule="auto"/>
        <w:jc w:val="center"/>
        <w:rPr>
          <w:rFonts w:ascii="Arial" w:hAnsi="Arial" w:cs="Arial"/>
          <w:b/>
          <w:lang w:val="en-GB"/>
        </w:rPr>
      </w:pPr>
    </w:p>
    <w:p w14:paraId="33A27573" w14:textId="77777777" w:rsidR="00C853B2" w:rsidRPr="008266F3" w:rsidRDefault="00C853B2">
      <w:pPr>
        <w:pStyle w:val="NormalWeb"/>
        <w:spacing w:before="0" w:beforeAutospacing="0" w:after="0" w:afterAutospacing="0" w:line="360" w:lineRule="auto"/>
        <w:jc w:val="center"/>
        <w:rPr>
          <w:rFonts w:ascii="Arial" w:hAnsi="Arial" w:cs="Arial"/>
          <w:b/>
          <w:lang w:val="en-GB"/>
        </w:rPr>
      </w:pPr>
    </w:p>
    <w:p w14:paraId="7A808C33" w14:textId="77777777" w:rsidR="00C853B2" w:rsidRPr="008266F3" w:rsidRDefault="00C853B2">
      <w:pPr>
        <w:spacing w:line="360" w:lineRule="auto"/>
        <w:jc w:val="center"/>
        <w:rPr>
          <w:rFonts w:eastAsia="Times New Roman"/>
          <w:b/>
          <w:sz w:val="32"/>
          <w:szCs w:val="24"/>
          <w:lang w:val="en-GB" w:eastAsia="en-US"/>
        </w:rPr>
      </w:pPr>
    </w:p>
    <w:p w14:paraId="308F6F0C" w14:textId="77777777" w:rsidR="00C853B2" w:rsidRPr="008266F3" w:rsidRDefault="00C853B2">
      <w:pPr>
        <w:spacing w:line="360" w:lineRule="auto"/>
        <w:jc w:val="center"/>
        <w:rPr>
          <w:rFonts w:eastAsia="Times New Roman"/>
          <w:b/>
          <w:sz w:val="32"/>
          <w:szCs w:val="24"/>
          <w:lang w:val="en-GB" w:eastAsia="en-US"/>
        </w:rPr>
      </w:pPr>
    </w:p>
    <w:p w14:paraId="09A3F634" w14:textId="77777777" w:rsidR="00C853B2" w:rsidRPr="008266F3" w:rsidRDefault="00C853B2">
      <w:pPr>
        <w:spacing w:line="360" w:lineRule="auto"/>
        <w:jc w:val="center"/>
        <w:rPr>
          <w:rFonts w:eastAsia="Times New Roman"/>
          <w:b/>
          <w:sz w:val="32"/>
          <w:szCs w:val="24"/>
          <w:lang w:val="en-GB" w:eastAsia="en-US"/>
        </w:rPr>
      </w:pPr>
    </w:p>
    <w:p w14:paraId="7228F05F" w14:textId="77777777" w:rsidR="00C853B2" w:rsidRPr="008266F3" w:rsidRDefault="00C853B2">
      <w:pPr>
        <w:spacing w:line="360" w:lineRule="auto"/>
        <w:jc w:val="center"/>
        <w:rPr>
          <w:rFonts w:eastAsia="Times New Roman"/>
          <w:b/>
          <w:sz w:val="32"/>
          <w:szCs w:val="24"/>
          <w:lang w:val="en-GB" w:eastAsia="en-US"/>
        </w:rPr>
      </w:pPr>
    </w:p>
    <w:p w14:paraId="279A514B" w14:textId="77777777" w:rsidR="00C853B2" w:rsidRPr="008266F3" w:rsidRDefault="00C853B2">
      <w:pPr>
        <w:spacing w:line="360" w:lineRule="auto"/>
        <w:jc w:val="center"/>
        <w:rPr>
          <w:rFonts w:eastAsia="Times New Roman"/>
          <w:b/>
          <w:sz w:val="32"/>
          <w:szCs w:val="24"/>
          <w:lang w:val="en-GB" w:eastAsia="en-US"/>
        </w:rPr>
      </w:pPr>
    </w:p>
    <w:p w14:paraId="662D698F" w14:textId="77777777" w:rsidR="00C853B2" w:rsidRPr="008266F3" w:rsidRDefault="00000000">
      <w:pPr>
        <w:spacing w:line="360" w:lineRule="auto"/>
        <w:jc w:val="center"/>
        <w:rPr>
          <w:rFonts w:eastAsia="Times New Roman"/>
          <w:b/>
          <w:sz w:val="32"/>
          <w:szCs w:val="24"/>
          <w:lang w:val="en-GB" w:eastAsia="en-US"/>
        </w:rPr>
      </w:pPr>
      <w:r w:rsidRPr="008266F3">
        <w:rPr>
          <w:rFonts w:eastAsia="Times New Roman"/>
          <w:b/>
          <w:sz w:val="32"/>
          <w:szCs w:val="24"/>
          <w:lang w:val="en-GB" w:eastAsia="en-US"/>
        </w:rPr>
        <w:t>PROGRAMME: MASTER OF BUSINESS ADMINISTRATION</w:t>
      </w:r>
    </w:p>
    <w:p w14:paraId="77377F71" w14:textId="77777777" w:rsidR="00C853B2" w:rsidRPr="008266F3" w:rsidRDefault="00000000">
      <w:pPr>
        <w:spacing w:line="360" w:lineRule="auto"/>
        <w:jc w:val="center"/>
        <w:rPr>
          <w:rFonts w:eastAsia="Times New Roman"/>
          <w:b/>
          <w:sz w:val="32"/>
          <w:szCs w:val="24"/>
          <w:lang w:val="en-GB" w:eastAsia="en-US"/>
        </w:rPr>
      </w:pPr>
      <w:r w:rsidRPr="008266F3">
        <w:rPr>
          <w:rFonts w:eastAsia="Times New Roman"/>
          <w:b/>
          <w:sz w:val="32"/>
          <w:szCs w:val="24"/>
          <w:lang w:val="en-GB" w:eastAsia="en-US"/>
        </w:rPr>
        <w:t>MODULE: FINANCIAL MANAGEMENT</w:t>
      </w:r>
    </w:p>
    <w:p w14:paraId="272112DB" w14:textId="77777777" w:rsidR="00C853B2" w:rsidRPr="008266F3" w:rsidRDefault="00000000">
      <w:pPr>
        <w:spacing w:line="360" w:lineRule="auto"/>
        <w:jc w:val="center"/>
        <w:rPr>
          <w:rFonts w:eastAsia="Times New Roman"/>
          <w:b/>
          <w:sz w:val="32"/>
          <w:szCs w:val="24"/>
          <w:lang w:val="en-GB" w:eastAsia="en-US"/>
        </w:rPr>
      </w:pPr>
      <w:r w:rsidRPr="008266F3">
        <w:rPr>
          <w:rFonts w:eastAsia="Times New Roman"/>
          <w:b/>
          <w:sz w:val="32"/>
          <w:szCs w:val="24"/>
          <w:lang w:val="en-GB" w:eastAsia="en-US"/>
        </w:rPr>
        <w:t>MODULE CODE: LCMB7002</w:t>
      </w:r>
    </w:p>
    <w:p w14:paraId="7175E2B7" w14:textId="19B917DE" w:rsidR="00604F89" w:rsidRPr="008266F3" w:rsidRDefault="00604F89">
      <w:pPr>
        <w:spacing w:line="360" w:lineRule="auto"/>
        <w:jc w:val="center"/>
        <w:rPr>
          <w:rFonts w:eastAsia="Times New Roman"/>
          <w:b/>
          <w:sz w:val="32"/>
          <w:szCs w:val="24"/>
          <w:lang w:val="en-GB" w:eastAsia="en-US"/>
        </w:rPr>
      </w:pPr>
      <w:r w:rsidRPr="008266F3">
        <w:rPr>
          <w:rFonts w:eastAsia="Times New Roman"/>
          <w:b/>
          <w:sz w:val="32"/>
          <w:szCs w:val="24"/>
          <w:lang w:val="en-GB" w:eastAsia="en-US"/>
        </w:rPr>
        <w:t>Name: Shreman Mankad</w:t>
      </w:r>
    </w:p>
    <w:p w14:paraId="514428E1" w14:textId="6A0F21EC" w:rsidR="00604F89" w:rsidRPr="008266F3" w:rsidRDefault="00604F89">
      <w:pPr>
        <w:spacing w:line="360" w:lineRule="auto"/>
        <w:jc w:val="center"/>
        <w:rPr>
          <w:rFonts w:eastAsia="Times New Roman"/>
          <w:b/>
          <w:sz w:val="32"/>
          <w:szCs w:val="24"/>
          <w:lang w:val="en-GB" w:eastAsia="en-US"/>
        </w:rPr>
      </w:pPr>
      <w:r w:rsidRPr="008266F3">
        <w:rPr>
          <w:rFonts w:eastAsia="Times New Roman"/>
          <w:b/>
          <w:sz w:val="32"/>
          <w:szCs w:val="24"/>
          <w:lang w:val="en-GB" w:eastAsia="en-US"/>
        </w:rPr>
        <w:t>Student ID: 2537843</w:t>
      </w:r>
    </w:p>
    <w:p w14:paraId="37D4919F" w14:textId="3B657E18" w:rsidR="00604F89" w:rsidRPr="008266F3" w:rsidRDefault="00604F89">
      <w:pPr>
        <w:spacing w:line="360" w:lineRule="auto"/>
        <w:jc w:val="center"/>
        <w:rPr>
          <w:rFonts w:eastAsia="Times New Roman"/>
          <w:b/>
          <w:sz w:val="32"/>
          <w:szCs w:val="24"/>
          <w:lang w:val="en-GB" w:eastAsia="en-US"/>
        </w:rPr>
      </w:pPr>
      <w:r w:rsidRPr="008266F3">
        <w:rPr>
          <w:rFonts w:eastAsia="Times New Roman"/>
          <w:b/>
          <w:sz w:val="32"/>
          <w:szCs w:val="24"/>
          <w:lang w:val="en-GB" w:eastAsia="en-US"/>
        </w:rPr>
        <w:t>Professor: Patrick Yeboah</w:t>
      </w:r>
    </w:p>
    <w:p w14:paraId="3ADD1853" w14:textId="77777777" w:rsidR="00C853B2" w:rsidRPr="008266F3" w:rsidRDefault="00C853B2">
      <w:pPr>
        <w:pStyle w:val="NormalWeb"/>
        <w:spacing w:before="0" w:beforeAutospacing="0" w:after="0" w:afterAutospacing="0" w:line="360" w:lineRule="auto"/>
        <w:jc w:val="center"/>
        <w:rPr>
          <w:rFonts w:ascii="Arial" w:hAnsi="Arial" w:cs="Arial"/>
          <w:b/>
          <w:lang w:val="en-GB"/>
        </w:rPr>
      </w:pPr>
    </w:p>
    <w:p w14:paraId="4EFB0DE8" w14:textId="77777777" w:rsidR="00C853B2" w:rsidRPr="008266F3" w:rsidRDefault="00C853B2">
      <w:pPr>
        <w:pStyle w:val="NormalWeb"/>
        <w:spacing w:before="0" w:beforeAutospacing="0" w:after="0" w:afterAutospacing="0" w:line="360" w:lineRule="auto"/>
        <w:jc w:val="center"/>
        <w:rPr>
          <w:rFonts w:ascii="Arial" w:hAnsi="Arial" w:cs="Arial"/>
          <w:b/>
          <w:lang w:val="en-GB"/>
        </w:rPr>
      </w:pPr>
    </w:p>
    <w:p w14:paraId="10514A63" w14:textId="77777777" w:rsidR="00C853B2" w:rsidRPr="008266F3" w:rsidRDefault="00C853B2">
      <w:pPr>
        <w:pStyle w:val="NormalWeb"/>
        <w:spacing w:before="0" w:beforeAutospacing="0" w:after="0" w:afterAutospacing="0" w:line="360" w:lineRule="auto"/>
        <w:jc w:val="center"/>
        <w:rPr>
          <w:rFonts w:ascii="Arial" w:hAnsi="Arial" w:cs="Arial"/>
          <w:b/>
          <w:lang w:val="en-GB"/>
        </w:rPr>
      </w:pPr>
    </w:p>
    <w:p w14:paraId="199F67EC" w14:textId="77777777" w:rsidR="00C853B2" w:rsidRPr="008266F3" w:rsidRDefault="00C853B2">
      <w:pPr>
        <w:pStyle w:val="NormalWeb"/>
        <w:spacing w:before="0" w:beforeAutospacing="0" w:after="0" w:afterAutospacing="0" w:line="360" w:lineRule="auto"/>
        <w:jc w:val="both"/>
        <w:rPr>
          <w:rFonts w:ascii="Arial" w:hAnsi="Arial" w:cs="Arial"/>
          <w:b/>
          <w:lang w:val="en-GB"/>
        </w:rPr>
      </w:pPr>
    </w:p>
    <w:p w14:paraId="136285CE" w14:textId="77777777" w:rsidR="00C853B2" w:rsidRPr="008266F3" w:rsidRDefault="00C853B2">
      <w:pPr>
        <w:pStyle w:val="NormalWeb"/>
        <w:spacing w:before="0" w:beforeAutospacing="0" w:after="0" w:afterAutospacing="0" w:line="360" w:lineRule="auto"/>
        <w:jc w:val="both"/>
        <w:rPr>
          <w:rFonts w:ascii="Arial" w:hAnsi="Arial" w:cs="Arial"/>
          <w:b/>
          <w:lang w:val="en-GB"/>
        </w:rPr>
      </w:pPr>
    </w:p>
    <w:p w14:paraId="45B3E4BC" w14:textId="77777777" w:rsidR="00C853B2" w:rsidRPr="008266F3" w:rsidRDefault="00C853B2">
      <w:pPr>
        <w:pStyle w:val="NormalWeb"/>
        <w:spacing w:before="0" w:beforeAutospacing="0" w:after="0" w:afterAutospacing="0" w:line="360" w:lineRule="auto"/>
        <w:jc w:val="both"/>
        <w:rPr>
          <w:rFonts w:ascii="Arial" w:hAnsi="Arial" w:cs="Arial"/>
          <w:b/>
          <w:lang w:val="en-GB"/>
        </w:rPr>
      </w:pPr>
    </w:p>
    <w:p w14:paraId="215AE348" w14:textId="77777777" w:rsidR="00C853B2" w:rsidRPr="008266F3" w:rsidRDefault="00000000">
      <w:pPr>
        <w:spacing w:line="360" w:lineRule="auto"/>
        <w:rPr>
          <w:b/>
          <w:bCs/>
          <w:sz w:val="24"/>
          <w:szCs w:val="24"/>
          <w:lang w:val="en-GB"/>
        </w:rPr>
      </w:pPr>
      <w:r w:rsidRPr="008266F3">
        <w:rPr>
          <w:bCs/>
          <w:sz w:val="24"/>
          <w:szCs w:val="24"/>
          <w:lang w:val="en-GB"/>
        </w:rPr>
        <w:br w:type="page"/>
      </w:r>
    </w:p>
    <w:p w14:paraId="36CDF29C" w14:textId="77777777" w:rsidR="00C853B2" w:rsidRPr="008266F3" w:rsidRDefault="00000000">
      <w:pPr>
        <w:pStyle w:val="TOCHeading"/>
        <w:spacing w:before="0" w:line="360" w:lineRule="auto"/>
        <w:jc w:val="center"/>
        <w:rPr>
          <w:rFonts w:ascii="Arial" w:hAnsi="Arial" w:cs="Arial"/>
          <w:b/>
          <w:bCs/>
          <w:color w:val="auto"/>
          <w:sz w:val="24"/>
          <w:szCs w:val="24"/>
          <w:lang w:val="en-GB"/>
        </w:rPr>
      </w:pPr>
      <w:r w:rsidRPr="008266F3">
        <w:rPr>
          <w:rFonts w:ascii="Arial" w:hAnsi="Arial" w:cs="Arial"/>
          <w:b/>
          <w:bCs/>
          <w:color w:val="auto"/>
          <w:sz w:val="24"/>
          <w:szCs w:val="24"/>
          <w:lang w:val="en-GB"/>
        </w:rPr>
        <w:lastRenderedPageBreak/>
        <w:t>Table of Contents</w:t>
      </w:r>
    </w:p>
    <w:p w14:paraId="15E12005" w14:textId="77777777" w:rsidR="00C853B2" w:rsidRPr="008266F3" w:rsidRDefault="00000000" w:rsidP="00F22492">
      <w:pPr>
        <w:pStyle w:val="TOC1"/>
        <w:tabs>
          <w:tab w:val="left" w:pos="440"/>
        </w:tabs>
        <w:spacing w:line="360" w:lineRule="auto"/>
        <w:jc w:val="center"/>
        <w:rPr>
          <w:rFonts w:eastAsia="SimSun"/>
          <w:noProof/>
          <w:kern w:val="2"/>
          <w:sz w:val="24"/>
          <w:szCs w:val="24"/>
          <w:lang w:val="en-IN"/>
          <w14:ligatures w14:val="standardContextual"/>
        </w:rPr>
      </w:pPr>
      <w:r w:rsidRPr="008266F3">
        <w:rPr>
          <w:sz w:val="24"/>
          <w:szCs w:val="24"/>
          <w:lang w:val="en-GB"/>
        </w:rPr>
        <w:fldChar w:fldCharType="begin"/>
      </w:r>
      <w:r w:rsidRPr="008266F3">
        <w:rPr>
          <w:sz w:val="24"/>
          <w:szCs w:val="24"/>
          <w:lang w:val="en-GB"/>
        </w:rPr>
        <w:instrText xml:space="preserve"> TOC \o "1-3" \h \z \u </w:instrText>
      </w:r>
      <w:r w:rsidRPr="008266F3">
        <w:rPr>
          <w:sz w:val="24"/>
          <w:szCs w:val="24"/>
          <w:lang w:val="en-GB"/>
        </w:rPr>
        <w:fldChar w:fldCharType="separate"/>
      </w:r>
      <w:hyperlink w:anchor="_Toc234929479" w:history="1">
        <w:r w:rsidR="00C853B2" w:rsidRPr="008266F3">
          <w:rPr>
            <w:rStyle w:val="Hyperlink"/>
            <w:noProof/>
            <w:sz w:val="24"/>
            <w:szCs w:val="24"/>
            <w:lang w:val="en-IN"/>
          </w:rPr>
          <w:t>1.</w:t>
        </w:r>
        <w:r w:rsidR="00C853B2" w:rsidRPr="008266F3">
          <w:rPr>
            <w:rFonts w:eastAsia="SimSun"/>
            <w:noProof/>
            <w:kern w:val="2"/>
            <w:sz w:val="24"/>
            <w:szCs w:val="24"/>
            <w:lang w:val="en-IN"/>
            <w14:ligatures w14:val="standardContextual"/>
          </w:rPr>
          <w:tab/>
        </w:r>
        <w:r w:rsidR="00C853B2" w:rsidRPr="008266F3">
          <w:rPr>
            <w:rStyle w:val="Hyperlink"/>
            <w:noProof/>
            <w:sz w:val="24"/>
            <w:szCs w:val="24"/>
            <w:lang w:val="en-IN"/>
          </w:rPr>
          <w:t>Financial Health Check</w:t>
        </w:r>
        <w:r w:rsidR="00C853B2" w:rsidRPr="008266F3">
          <w:rPr>
            <w:noProof/>
            <w:webHidden/>
            <w:sz w:val="24"/>
            <w:szCs w:val="24"/>
          </w:rPr>
          <w:tab/>
        </w:r>
        <w:r w:rsidR="00C853B2" w:rsidRPr="008266F3">
          <w:rPr>
            <w:noProof/>
            <w:webHidden/>
            <w:sz w:val="24"/>
            <w:szCs w:val="24"/>
          </w:rPr>
          <w:fldChar w:fldCharType="begin"/>
        </w:r>
        <w:r w:rsidR="00C853B2" w:rsidRPr="008266F3">
          <w:rPr>
            <w:noProof/>
            <w:webHidden/>
            <w:sz w:val="24"/>
            <w:szCs w:val="24"/>
          </w:rPr>
          <w:instrText xml:space="preserve"> PAGEREF _Toc234929479 \h </w:instrText>
        </w:r>
        <w:r w:rsidR="00C853B2" w:rsidRPr="008266F3">
          <w:rPr>
            <w:noProof/>
            <w:webHidden/>
            <w:sz w:val="24"/>
            <w:szCs w:val="24"/>
          </w:rPr>
        </w:r>
        <w:r w:rsidR="00C853B2" w:rsidRPr="008266F3">
          <w:rPr>
            <w:noProof/>
            <w:webHidden/>
            <w:sz w:val="24"/>
            <w:szCs w:val="24"/>
          </w:rPr>
          <w:fldChar w:fldCharType="separate"/>
        </w:r>
        <w:r w:rsidR="00C853B2" w:rsidRPr="008266F3">
          <w:rPr>
            <w:noProof/>
            <w:webHidden/>
            <w:sz w:val="24"/>
            <w:szCs w:val="24"/>
          </w:rPr>
          <w:t>3</w:t>
        </w:r>
        <w:r w:rsidR="00C853B2" w:rsidRPr="008266F3">
          <w:rPr>
            <w:noProof/>
            <w:webHidden/>
            <w:sz w:val="24"/>
            <w:szCs w:val="24"/>
          </w:rPr>
          <w:fldChar w:fldCharType="end"/>
        </w:r>
      </w:hyperlink>
    </w:p>
    <w:p w14:paraId="78960F05" w14:textId="77777777" w:rsidR="00C853B2" w:rsidRPr="008266F3" w:rsidRDefault="00C853B2" w:rsidP="00F22492">
      <w:pPr>
        <w:pStyle w:val="TOC1"/>
        <w:spacing w:line="360" w:lineRule="auto"/>
        <w:jc w:val="center"/>
        <w:rPr>
          <w:rFonts w:eastAsia="SimSun"/>
          <w:noProof/>
          <w:kern w:val="2"/>
          <w:sz w:val="24"/>
          <w:szCs w:val="24"/>
          <w:lang w:val="en-IN"/>
          <w14:ligatures w14:val="standardContextual"/>
        </w:rPr>
      </w:pPr>
      <w:hyperlink w:anchor="_Toc234929480" w:history="1">
        <w:r w:rsidRPr="008266F3">
          <w:rPr>
            <w:rStyle w:val="Hyperlink"/>
            <w:noProof/>
            <w:sz w:val="24"/>
            <w:szCs w:val="24"/>
            <w:lang w:val="en-IN"/>
          </w:rPr>
          <w:t>2. Working Capital Management Analysis</w:t>
        </w:r>
        <w:r w:rsidRPr="008266F3">
          <w:rPr>
            <w:noProof/>
            <w:webHidden/>
            <w:sz w:val="24"/>
            <w:szCs w:val="24"/>
          </w:rPr>
          <w:tab/>
        </w:r>
        <w:r w:rsidRPr="008266F3">
          <w:rPr>
            <w:noProof/>
            <w:webHidden/>
            <w:sz w:val="24"/>
            <w:szCs w:val="24"/>
          </w:rPr>
          <w:fldChar w:fldCharType="begin"/>
        </w:r>
        <w:r w:rsidRPr="008266F3">
          <w:rPr>
            <w:noProof/>
            <w:webHidden/>
            <w:sz w:val="24"/>
            <w:szCs w:val="24"/>
          </w:rPr>
          <w:instrText xml:space="preserve"> PAGEREF _Toc234929480 \h </w:instrText>
        </w:r>
        <w:r w:rsidRPr="008266F3">
          <w:rPr>
            <w:noProof/>
            <w:webHidden/>
            <w:sz w:val="24"/>
            <w:szCs w:val="24"/>
          </w:rPr>
        </w:r>
        <w:r w:rsidRPr="008266F3">
          <w:rPr>
            <w:noProof/>
            <w:webHidden/>
            <w:sz w:val="24"/>
            <w:szCs w:val="24"/>
          </w:rPr>
          <w:fldChar w:fldCharType="separate"/>
        </w:r>
        <w:r w:rsidRPr="008266F3">
          <w:rPr>
            <w:noProof/>
            <w:webHidden/>
            <w:sz w:val="24"/>
            <w:szCs w:val="24"/>
          </w:rPr>
          <w:t>9</w:t>
        </w:r>
        <w:r w:rsidRPr="008266F3">
          <w:rPr>
            <w:noProof/>
            <w:webHidden/>
            <w:sz w:val="24"/>
            <w:szCs w:val="24"/>
          </w:rPr>
          <w:fldChar w:fldCharType="end"/>
        </w:r>
      </w:hyperlink>
    </w:p>
    <w:p w14:paraId="2FCB1D4A" w14:textId="77777777" w:rsidR="00C853B2" w:rsidRPr="008266F3" w:rsidRDefault="00C853B2" w:rsidP="00F22492">
      <w:pPr>
        <w:pStyle w:val="TOC1"/>
        <w:spacing w:line="360" w:lineRule="auto"/>
        <w:jc w:val="center"/>
        <w:rPr>
          <w:rFonts w:eastAsia="SimSun"/>
          <w:noProof/>
          <w:kern w:val="2"/>
          <w:sz w:val="24"/>
          <w:szCs w:val="24"/>
          <w:lang w:val="en-IN"/>
          <w14:ligatures w14:val="standardContextual"/>
        </w:rPr>
      </w:pPr>
      <w:hyperlink w:anchor="_Toc234929481" w:history="1">
        <w:r w:rsidRPr="008266F3">
          <w:rPr>
            <w:rStyle w:val="Hyperlink"/>
            <w:noProof/>
            <w:sz w:val="24"/>
            <w:szCs w:val="24"/>
            <w:lang w:val="en-IN"/>
          </w:rPr>
          <w:t>3. Strategic Fina</w:t>
        </w:r>
        <w:r w:rsidRPr="008266F3">
          <w:rPr>
            <w:rStyle w:val="Hyperlink"/>
            <w:noProof/>
            <w:sz w:val="24"/>
            <w:szCs w:val="24"/>
            <w:lang w:val="en-IN"/>
          </w:rPr>
          <w:t>n</w:t>
        </w:r>
        <w:r w:rsidRPr="008266F3">
          <w:rPr>
            <w:rStyle w:val="Hyperlink"/>
            <w:noProof/>
            <w:sz w:val="24"/>
            <w:szCs w:val="24"/>
            <w:lang w:val="en-IN"/>
          </w:rPr>
          <w:t>cial Restructuring Plan</w:t>
        </w:r>
        <w:r w:rsidRPr="008266F3">
          <w:rPr>
            <w:noProof/>
            <w:webHidden/>
            <w:sz w:val="24"/>
            <w:szCs w:val="24"/>
          </w:rPr>
          <w:tab/>
        </w:r>
        <w:r w:rsidRPr="008266F3">
          <w:rPr>
            <w:noProof/>
            <w:webHidden/>
            <w:sz w:val="24"/>
            <w:szCs w:val="24"/>
          </w:rPr>
          <w:fldChar w:fldCharType="begin"/>
        </w:r>
        <w:r w:rsidRPr="008266F3">
          <w:rPr>
            <w:noProof/>
            <w:webHidden/>
            <w:sz w:val="24"/>
            <w:szCs w:val="24"/>
          </w:rPr>
          <w:instrText xml:space="preserve"> PAGEREF _Toc234929481 \h </w:instrText>
        </w:r>
        <w:r w:rsidRPr="008266F3">
          <w:rPr>
            <w:noProof/>
            <w:webHidden/>
            <w:sz w:val="24"/>
            <w:szCs w:val="24"/>
          </w:rPr>
        </w:r>
        <w:r w:rsidRPr="008266F3">
          <w:rPr>
            <w:noProof/>
            <w:webHidden/>
            <w:sz w:val="24"/>
            <w:szCs w:val="24"/>
          </w:rPr>
          <w:fldChar w:fldCharType="separate"/>
        </w:r>
        <w:r w:rsidRPr="008266F3">
          <w:rPr>
            <w:noProof/>
            <w:webHidden/>
            <w:sz w:val="24"/>
            <w:szCs w:val="24"/>
          </w:rPr>
          <w:t>11</w:t>
        </w:r>
        <w:r w:rsidRPr="008266F3">
          <w:rPr>
            <w:noProof/>
            <w:webHidden/>
            <w:sz w:val="24"/>
            <w:szCs w:val="24"/>
          </w:rPr>
          <w:fldChar w:fldCharType="end"/>
        </w:r>
      </w:hyperlink>
    </w:p>
    <w:p w14:paraId="1E2F7E12" w14:textId="77777777" w:rsidR="00C853B2" w:rsidRPr="008266F3" w:rsidRDefault="00C853B2" w:rsidP="00F22492">
      <w:pPr>
        <w:pStyle w:val="TOC1"/>
        <w:spacing w:line="360" w:lineRule="auto"/>
        <w:jc w:val="center"/>
        <w:rPr>
          <w:rFonts w:eastAsia="SimSun"/>
          <w:noProof/>
          <w:kern w:val="2"/>
          <w:sz w:val="24"/>
          <w:szCs w:val="24"/>
          <w:lang w:val="en-IN"/>
          <w14:ligatures w14:val="standardContextual"/>
        </w:rPr>
      </w:pPr>
      <w:hyperlink w:anchor="_Toc234929482" w:history="1">
        <w:r w:rsidRPr="008266F3">
          <w:rPr>
            <w:rStyle w:val="Hyperlink"/>
            <w:noProof/>
            <w:sz w:val="24"/>
            <w:szCs w:val="24"/>
            <w:lang w:val="en-GB"/>
          </w:rPr>
          <w:t>4. Investment Appraisal and Capital Budgeting</w:t>
        </w:r>
        <w:r w:rsidRPr="008266F3">
          <w:rPr>
            <w:noProof/>
            <w:webHidden/>
            <w:sz w:val="24"/>
            <w:szCs w:val="24"/>
          </w:rPr>
          <w:tab/>
        </w:r>
        <w:r w:rsidRPr="008266F3">
          <w:rPr>
            <w:noProof/>
            <w:webHidden/>
            <w:sz w:val="24"/>
            <w:szCs w:val="24"/>
          </w:rPr>
          <w:fldChar w:fldCharType="begin"/>
        </w:r>
        <w:r w:rsidRPr="008266F3">
          <w:rPr>
            <w:noProof/>
            <w:webHidden/>
            <w:sz w:val="24"/>
            <w:szCs w:val="24"/>
          </w:rPr>
          <w:instrText xml:space="preserve"> PAGEREF _Toc234929482 \h </w:instrText>
        </w:r>
        <w:r w:rsidRPr="008266F3">
          <w:rPr>
            <w:noProof/>
            <w:webHidden/>
            <w:sz w:val="24"/>
            <w:szCs w:val="24"/>
          </w:rPr>
        </w:r>
        <w:r w:rsidRPr="008266F3">
          <w:rPr>
            <w:noProof/>
            <w:webHidden/>
            <w:sz w:val="24"/>
            <w:szCs w:val="24"/>
          </w:rPr>
          <w:fldChar w:fldCharType="separate"/>
        </w:r>
        <w:r w:rsidRPr="008266F3">
          <w:rPr>
            <w:noProof/>
            <w:webHidden/>
            <w:sz w:val="24"/>
            <w:szCs w:val="24"/>
          </w:rPr>
          <w:t>13</w:t>
        </w:r>
        <w:r w:rsidRPr="008266F3">
          <w:rPr>
            <w:noProof/>
            <w:webHidden/>
            <w:sz w:val="24"/>
            <w:szCs w:val="24"/>
          </w:rPr>
          <w:fldChar w:fldCharType="end"/>
        </w:r>
      </w:hyperlink>
    </w:p>
    <w:p w14:paraId="1F043861" w14:textId="77777777" w:rsidR="00C853B2" w:rsidRPr="008266F3" w:rsidRDefault="00C853B2" w:rsidP="00F22492">
      <w:pPr>
        <w:pStyle w:val="TOC1"/>
        <w:spacing w:line="360" w:lineRule="auto"/>
        <w:jc w:val="center"/>
        <w:rPr>
          <w:rFonts w:eastAsia="SimSun"/>
          <w:noProof/>
          <w:kern w:val="2"/>
          <w:sz w:val="24"/>
          <w:szCs w:val="24"/>
          <w:lang w:val="en-IN"/>
          <w14:ligatures w14:val="standardContextual"/>
        </w:rPr>
      </w:pPr>
      <w:hyperlink w:anchor="_Toc234929483" w:history="1">
        <w:r w:rsidRPr="008266F3">
          <w:rPr>
            <w:rStyle w:val="Hyperlink"/>
            <w:noProof/>
            <w:sz w:val="24"/>
            <w:szCs w:val="24"/>
            <w:lang w:val="en-IN"/>
          </w:rPr>
          <w:t xml:space="preserve">5. Critical </w:t>
        </w:r>
        <w:r w:rsidRPr="008266F3">
          <w:rPr>
            <w:rStyle w:val="Hyperlink"/>
            <w:noProof/>
            <w:sz w:val="24"/>
            <w:szCs w:val="24"/>
          </w:rPr>
          <w:t>Reflection</w:t>
        </w:r>
        <w:r w:rsidRPr="008266F3">
          <w:rPr>
            <w:rStyle w:val="Hyperlink"/>
            <w:noProof/>
            <w:sz w:val="24"/>
            <w:szCs w:val="24"/>
            <w:lang w:val="en-IN"/>
          </w:rPr>
          <w:t xml:space="preserve"> </w:t>
        </w:r>
        <w:r w:rsidRPr="008266F3">
          <w:rPr>
            <w:rStyle w:val="Hyperlink"/>
            <w:noProof/>
            <w:sz w:val="24"/>
            <w:szCs w:val="24"/>
          </w:rPr>
          <w:t>on</w:t>
        </w:r>
        <w:r w:rsidRPr="008266F3">
          <w:rPr>
            <w:rStyle w:val="Hyperlink"/>
            <w:noProof/>
            <w:sz w:val="24"/>
            <w:szCs w:val="24"/>
            <w:lang w:val="en-IN"/>
          </w:rPr>
          <w:t xml:space="preserve"> AI Usage</w:t>
        </w:r>
        <w:r w:rsidRPr="008266F3">
          <w:rPr>
            <w:noProof/>
            <w:webHidden/>
            <w:sz w:val="24"/>
            <w:szCs w:val="24"/>
          </w:rPr>
          <w:tab/>
        </w:r>
        <w:r w:rsidRPr="008266F3">
          <w:rPr>
            <w:noProof/>
            <w:webHidden/>
            <w:sz w:val="24"/>
            <w:szCs w:val="24"/>
          </w:rPr>
          <w:fldChar w:fldCharType="begin"/>
        </w:r>
        <w:r w:rsidRPr="008266F3">
          <w:rPr>
            <w:noProof/>
            <w:webHidden/>
            <w:sz w:val="24"/>
            <w:szCs w:val="24"/>
          </w:rPr>
          <w:instrText xml:space="preserve"> PAGEREF _Toc234929483 \h </w:instrText>
        </w:r>
        <w:r w:rsidRPr="008266F3">
          <w:rPr>
            <w:noProof/>
            <w:webHidden/>
            <w:sz w:val="24"/>
            <w:szCs w:val="24"/>
          </w:rPr>
        </w:r>
        <w:r w:rsidRPr="008266F3">
          <w:rPr>
            <w:noProof/>
            <w:webHidden/>
            <w:sz w:val="24"/>
            <w:szCs w:val="24"/>
          </w:rPr>
          <w:fldChar w:fldCharType="separate"/>
        </w:r>
        <w:r w:rsidRPr="008266F3">
          <w:rPr>
            <w:noProof/>
            <w:webHidden/>
            <w:sz w:val="24"/>
            <w:szCs w:val="24"/>
          </w:rPr>
          <w:t>1</w:t>
        </w:r>
        <w:r w:rsidRPr="008266F3">
          <w:rPr>
            <w:noProof/>
            <w:webHidden/>
            <w:sz w:val="24"/>
            <w:szCs w:val="24"/>
          </w:rPr>
          <w:t>8</w:t>
        </w:r>
        <w:r w:rsidRPr="008266F3">
          <w:rPr>
            <w:noProof/>
            <w:webHidden/>
            <w:sz w:val="24"/>
            <w:szCs w:val="24"/>
          </w:rPr>
          <w:fldChar w:fldCharType="end"/>
        </w:r>
      </w:hyperlink>
    </w:p>
    <w:p w14:paraId="7FF3B1C8" w14:textId="77777777" w:rsidR="00C853B2" w:rsidRPr="008266F3" w:rsidRDefault="00C853B2" w:rsidP="00F22492">
      <w:pPr>
        <w:pStyle w:val="TOC1"/>
        <w:spacing w:line="360" w:lineRule="auto"/>
        <w:jc w:val="center"/>
        <w:rPr>
          <w:rFonts w:eastAsia="SimSun"/>
          <w:noProof/>
          <w:kern w:val="2"/>
          <w:sz w:val="24"/>
          <w:szCs w:val="24"/>
          <w:lang w:val="en-IN"/>
          <w14:ligatures w14:val="standardContextual"/>
        </w:rPr>
      </w:pPr>
      <w:hyperlink w:anchor="_Toc234929484" w:history="1">
        <w:r w:rsidRPr="008266F3">
          <w:rPr>
            <w:rStyle w:val="Hyperlink"/>
            <w:noProof/>
            <w:sz w:val="24"/>
            <w:szCs w:val="24"/>
            <w:shd w:val="clear" w:color="auto" w:fill="FFFFFF"/>
            <w:lang w:val="en-GB"/>
          </w:rPr>
          <w:t>References</w:t>
        </w:r>
        <w:r w:rsidRPr="008266F3">
          <w:rPr>
            <w:noProof/>
            <w:webHidden/>
            <w:sz w:val="24"/>
            <w:szCs w:val="24"/>
          </w:rPr>
          <w:tab/>
        </w:r>
        <w:r w:rsidRPr="008266F3">
          <w:rPr>
            <w:noProof/>
            <w:webHidden/>
            <w:sz w:val="24"/>
            <w:szCs w:val="24"/>
          </w:rPr>
          <w:fldChar w:fldCharType="begin"/>
        </w:r>
        <w:r w:rsidRPr="008266F3">
          <w:rPr>
            <w:noProof/>
            <w:webHidden/>
            <w:sz w:val="24"/>
            <w:szCs w:val="24"/>
          </w:rPr>
          <w:instrText xml:space="preserve"> PAGEREF _Toc234929484 \h </w:instrText>
        </w:r>
        <w:r w:rsidRPr="008266F3">
          <w:rPr>
            <w:noProof/>
            <w:webHidden/>
            <w:sz w:val="24"/>
            <w:szCs w:val="24"/>
          </w:rPr>
        </w:r>
        <w:r w:rsidRPr="008266F3">
          <w:rPr>
            <w:noProof/>
            <w:webHidden/>
            <w:sz w:val="24"/>
            <w:szCs w:val="24"/>
          </w:rPr>
          <w:fldChar w:fldCharType="separate"/>
        </w:r>
        <w:r w:rsidRPr="008266F3">
          <w:rPr>
            <w:noProof/>
            <w:webHidden/>
            <w:sz w:val="24"/>
            <w:szCs w:val="24"/>
          </w:rPr>
          <w:t>20</w:t>
        </w:r>
        <w:r w:rsidRPr="008266F3">
          <w:rPr>
            <w:noProof/>
            <w:webHidden/>
            <w:sz w:val="24"/>
            <w:szCs w:val="24"/>
          </w:rPr>
          <w:fldChar w:fldCharType="end"/>
        </w:r>
      </w:hyperlink>
    </w:p>
    <w:p w14:paraId="42F84FF9" w14:textId="77777777" w:rsidR="00C853B2" w:rsidRPr="008266F3" w:rsidRDefault="00C853B2" w:rsidP="00F22492">
      <w:pPr>
        <w:pStyle w:val="TOC2"/>
        <w:tabs>
          <w:tab w:val="right" w:leader="dot" w:pos="9350"/>
        </w:tabs>
        <w:spacing w:line="360" w:lineRule="auto"/>
        <w:jc w:val="center"/>
        <w:rPr>
          <w:rFonts w:eastAsia="SimSun"/>
          <w:noProof/>
          <w:kern w:val="2"/>
          <w:sz w:val="24"/>
          <w:szCs w:val="24"/>
          <w:lang w:val="en-IN"/>
          <w14:ligatures w14:val="standardContextual"/>
        </w:rPr>
      </w:pPr>
      <w:hyperlink w:anchor="_Toc234929485" w:history="1">
        <w:r w:rsidRPr="008266F3">
          <w:rPr>
            <w:rStyle w:val="Hyperlink"/>
            <w:noProof/>
            <w:sz w:val="24"/>
            <w:szCs w:val="24"/>
          </w:rPr>
          <w:t>Appendix 1: Ratios</w:t>
        </w:r>
        <w:r w:rsidRPr="008266F3">
          <w:rPr>
            <w:noProof/>
            <w:webHidden/>
            <w:sz w:val="24"/>
            <w:szCs w:val="24"/>
          </w:rPr>
          <w:tab/>
        </w:r>
        <w:r w:rsidRPr="008266F3">
          <w:rPr>
            <w:noProof/>
            <w:webHidden/>
            <w:sz w:val="24"/>
            <w:szCs w:val="24"/>
          </w:rPr>
          <w:fldChar w:fldCharType="begin"/>
        </w:r>
        <w:r w:rsidRPr="008266F3">
          <w:rPr>
            <w:noProof/>
            <w:webHidden/>
            <w:sz w:val="24"/>
            <w:szCs w:val="24"/>
          </w:rPr>
          <w:instrText xml:space="preserve"> PAGEREF _Toc234929485 \h </w:instrText>
        </w:r>
        <w:r w:rsidRPr="008266F3">
          <w:rPr>
            <w:noProof/>
            <w:webHidden/>
            <w:sz w:val="24"/>
            <w:szCs w:val="24"/>
          </w:rPr>
        </w:r>
        <w:r w:rsidRPr="008266F3">
          <w:rPr>
            <w:noProof/>
            <w:webHidden/>
            <w:sz w:val="24"/>
            <w:szCs w:val="24"/>
          </w:rPr>
          <w:fldChar w:fldCharType="separate"/>
        </w:r>
        <w:r w:rsidRPr="008266F3">
          <w:rPr>
            <w:noProof/>
            <w:webHidden/>
            <w:sz w:val="24"/>
            <w:szCs w:val="24"/>
          </w:rPr>
          <w:t>23</w:t>
        </w:r>
        <w:r w:rsidRPr="008266F3">
          <w:rPr>
            <w:noProof/>
            <w:webHidden/>
            <w:sz w:val="24"/>
            <w:szCs w:val="24"/>
          </w:rPr>
          <w:fldChar w:fldCharType="end"/>
        </w:r>
      </w:hyperlink>
    </w:p>
    <w:p w14:paraId="4B20E922" w14:textId="77777777" w:rsidR="00C853B2" w:rsidRPr="008266F3" w:rsidRDefault="00C853B2" w:rsidP="00F22492">
      <w:pPr>
        <w:pStyle w:val="TOC2"/>
        <w:tabs>
          <w:tab w:val="right" w:leader="dot" w:pos="9350"/>
        </w:tabs>
        <w:spacing w:line="360" w:lineRule="auto"/>
        <w:jc w:val="center"/>
        <w:rPr>
          <w:rFonts w:eastAsia="SimSun"/>
          <w:noProof/>
          <w:kern w:val="2"/>
          <w:sz w:val="24"/>
          <w:szCs w:val="24"/>
          <w:lang w:val="en-IN"/>
          <w14:ligatures w14:val="standardContextual"/>
        </w:rPr>
      </w:pPr>
      <w:hyperlink w:anchor="_Toc234929486" w:history="1">
        <w:r w:rsidRPr="008266F3">
          <w:rPr>
            <w:rStyle w:val="Hyperlink"/>
            <w:noProof/>
            <w:sz w:val="24"/>
            <w:szCs w:val="24"/>
          </w:rPr>
          <w:t>Appendix 2: Trend analysis</w:t>
        </w:r>
        <w:r w:rsidRPr="008266F3">
          <w:rPr>
            <w:noProof/>
            <w:webHidden/>
            <w:sz w:val="24"/>
            <w:szCs w:val="24"/>
          </w:rPr>
          <w:tab/>
        </w:r>
        <w:r w:rsidRPr="008266F3">
          <w:rPr>
            <w:noProof/>
            <w:webHidden/>
            <w:sz w:val="24"/>
            <w:szCs w:val="24"/>
          </w:rPr>
          <w:fldChar w:fldCharType="begin"/>
        </w:r>
        <w:r w:rsidRPr="008266F3">
          <w:rPr>
            <w:noProof/>
            <w:webHidden/>
            <w:sz w:val="24"/>
            <w:szCs w:val="24"/>
          </w:rPr>
          <w:instrText xml:space="preserve"> PAGEREF _Toc234929486 \h </w:instrText>
        </w:r>
        <w:r w:rsidRPr="008266F3">
          <w:rPr>
            <w:noProof/>
            <w:webHidden/>
            <w:sz w:val="24"/>
            <w:szCs w:val="24"/>
          </w:rPr>
        </w:r>
        <w:r w:rsidRPr="008266F3">
          <w:rPr>
            <w:noProof/>
            <w:webHidden/>
            <w:sz w:val="24"/>
            <w:szCs w:val="24"/>
          </w:rPr>
          <w:fldChar w:fldCharType="separate"/>
        </w:r>
        <w:r w:rsidRPr="008266F3">
          <w:rPr>
            <w:noProof/>
            <w:webHidden/>
            <w:sz w:val="24"/>
            <w:szCs w:val="24"/>
          </w:rPr>
          <w:t>28</w:t>
        </w:r>
        <w:r w:rsidRPr="008266F3">
          <w:rPr>
            <w:noProof/>
            <w:webHidden/>
            <w:sz w:val="24"/>
            <w:szCs w:val="24"/>
          </w:rPr>
          <w:fldChar w:fldCharType="end"/>
        </w:r>
      </w:hyperlink>
    </w:p>
    <w:p w14:paraId="489CA9D9" w14:textId="77777777" w:rsidR="00C853B2" w:rsidRPr="008266F3" w:rsidRDefault="00C853B2" w:rsidP="00F22492">
      <w:pPr>
        <w:pStyle w:val="TOC2"/>
        <w:tabs>
          <w:tab w:val="right" w:leader="dot" w:pos="9350"/>
        </w:tabs>
        <w:spacing w:line="360" w:lineRule="auto"/>
        <w:jc w:val="center"/>
        <w:rPr>
          <w:rFonts w:eastAsia="SimSun"/>
          <w:noProof/>
          <w:kern w:val="2"/>
          <w:sz w:val="24"/>
          <w:szCs w:val="24"/>
          <w:lang w:val="en-IN"/>
          <w14:ligatures w14:val="standardContextual"/>
        </w:rPr>
      </w:pPr>
      <w:hyperlink w:anchor="_Toc234929487" w:history="1">
        <w:r w:rsidRPr="008266F3">
          <w:rPr>
            <w:rStyle w:val="Hyperlink"/>
            <w:noProof/>
            <w:sz w:val="24"/>
            <w:szCs w:val="24"/>
            <w:lang w:val="en-GB"/>
          </w:rPr>
          <w:t>Appendix 3: Project summary</w:t>
        </w:r>
        <w:r w:rsidRPr="008266F3">
          <w:rPr>
            <w:noProof/>
            <w:webHidden/>
            <w:sz w:val="24"/>
            <w:szCs w:val="24"/>
          </w:rPr>
          <w:tab/>
        </w:r>
        <w:r w:rsidRPr="008266F3">
          <w:rPr>
            <w:noProof/>
            <w:webHidden/>
            <w:sz w:val="24"/>
            <w:szCs w:val="24"/>
          </w:rPr>
          <w:fldChar w:fldCharType="begin"/>
        </w:r>
        <w:r w:rsidRPr="008266F3">
          <w:rPr>
            <w:noProof/>
            <w:webHidden/>
            <w:sz w:val="24"/>
            <w:szCs w:val="24"/>
          </w:rPr>
          <w:instrText xml:space="preserve"> PAGEREF _Toc234929487 \h </w:instrText>
        </w:r>
        <w:r w:rsidRPr="008266F3">
          <w:rPr>
            <w:noProof/>
            <w:webHidden/>
            <w:sz w:val="24"/>
            <w:szCs w:val="24"/>
          </w:rPr>
        </w:r>
        <w:r w:rsidRPr="008266F3">
          <w:rPr>
            <w:noProof/>
            <w:webHidden/>
            <w:sz w:val="24"/>
            <w:szCs w:val="24"/>
          </w:rPr>
          <w:fldChar w:fldCharType="separate"/>
        </w:r>
        <w:r w:rsidRPr="008266F3">
          <w:rPr>
            <w:noProof/>
            <w:webHidden/>
            <w:sz w:val="24"/>
            <w:szCs w:val="24"/>
          </w:rPr>
          <w:t>29</w:t>
        </w:r>
        <w:r w:rsidRPr="008266F3">
          <w:rPr>
            <w:noProof/>
            <w:webHidden/>
            <w:sz w:val="24"/>
            <w:szCs w:val="24"/>
          </w:rPr>
          <w:fldChar w:fldCharType="end"/>
        </w:r>
      </w:hyperlink>
    </w:p>
    <w:p w14:paraId="3D2CC445" w14:textId="77777777" w:rsidR="00C853B2" w:rsidRPr="008266F3" w:rsidRDefault="00C853B2">
      <w:pPr>
        <w:pStyle w:val="TOC2"/>
        <w:tabs>
          <w:tab w:val="right" w:leader="dot" w:pos="9350"/>
        </w:tabs>
        <w:spacing w:line="360" w:lineRule="auto"/>
        <w:jc w:val="both"/>
        <w:rPr>
          <w:rFonts w:eastAsia="SimSun"/>
          <w:noProof/>
          <w:kern w:val="2"/>
          <w:sz w:val="24"/>
          <w:szCs w:val="24"/>
          <w:lang w:val="en-IN"/>
          <w14:ligatures w14:val="standardContextual"/>
        </w:rPr>
      </w:pPr>
    </w:p>
    <w:p w14:paraId="79726E1E" w14:textId="77777777" w:rsidR="00C853B2" w:rsidRPr="008266F3" w:rsidRDefault="00000000">
      <w:pPr>
        <w:spacing w:line="360" w:lineRule="auto"/>
        <w:jc w:val="both"/>
        <w:rPr>
          <w:sz w:val="24"/>
          <w:szCs w:val="24"/>
          <w:lang w:val="en-GB"/>
        </w:rPr>
      </w:pPr>
      <w:r w:rsidRPr="008266F3">
        <w:rPr>
          <w:b/>
          <w:bCs/>
          <w:noProof/>
          <w:sz w:val="24"/>
          <w:szCs w:val="24"/>
          <w:lang w:val="en-GB"/>
        </w:rPr>
        <w:fldChar w:fldCharType="end"/>
      </w:r>
    </w:p>
    <w:p w14:paraId="35F77A0C"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br w:type="page"/>
      </w:r>
    </w:p>
    <w:p w14:paraId="7211EFA7" w14:textId="77777777" w:rsidR="00C853B2" w:rsidRPr="008266F3" w:rsidRDefault="00000000">
      <w:pPr>
        <w:pStyle w:val="Heading1"/>
        <w:numPr>
          <w:ilvl w:val="0"/>
          <w:numId w:val="1"/>
        </w:numPr>
        <w:spacing w:before="0" w:after="0"/>
        <w:rPr>
          <w:rFonts w:ascii="Arial" w:hAnsi="Arial"/>
          <w:lang w:val="en-IN"/>
        </w:rPr>
      </w:pPr>
      <w:bookmarkStart w:id="0" w:name="_Toc234929479"/>
      <w:r w:rsidRPr="008266F3">
        <w:rPr>
          <w:rFonts w:ascii="Arial" w:hAnsi="Arial"/>
          <w:lang w:val="en-IN"/>
        </w:rPr>
        <w:lastRenderedPageBreak/>
        <w:t>Financial Health Check</w:t>
      </w:r>
      <w:bookmarkEnd w:id="0"/>
      <w:r w:rsidRPr="008266F3">
        <w:rPr>
          <w:rFonts w:ascii="Arial" w:hAnsi="Arial"/>
          <w:lang w:val="en-IN"/>
        </w:rPr>
        <w:t> </w:t>
      </w:r>
    </w:p>
    <w:p w14:paraId="3523DCF1" w14:textId="77777777" w:rsidR="00C853B2" w:rsidRPr="008266F3" w:rsidRDefault="00000000">
      <w:pPr>
        <w:spacing w:line="360" w:lineRule="auto"/>
        <w:jc w:val="both"/>
        <w:rPr>
          <w:b/>
          <w:bCs/>
          <w:sz w:val="24"/>
          <w:szCs w:val="24"/>
        </w:rPr>
      </w:pPr>
      <w:bookmarkStart w:id="1" w:name="_Toc231660773"/>
      <w:r w:rsidRPr="008266F3">
        <w:rPr>
          <w:b/>
          <w:bCs/>
          <w:sz w:val="24"/>
          <w:szCs w:val="24"/>
        </w:rPr>
        <w:t>a. Financial Statement Analysis</w:t>
      </w:r>
      <w:bookmarkEnd w:id="1"/>
    </w:p>
    <w:p w14:paraId="3BDFEC62" w14:textId="77777777" w:rsidR="00C853B2" w:rsidRPr="008266F3" w:rsidRDefault="00000000">
      <w:pPr>
        <w:spacing w:line="360" w:lineRule="auto"/>
        <w:jc w:val="both"/>
        <w:rPr>
          <w:sz w:val="24"/>
          <w:szCs w:val="24"/>
        </w:rPr>
      </w:pPr>
      <w:r w:rsidRPr="008266F3">
        <w:rPr>
          <w:sz w:val="24"/>
          <w:szCs w:val="24"/>
        </w:rPr>
        <w:t>The although the total financial outcome from 2021 to 2025 depicts the health of recovery and growth, some of the observed trends reveal the forthcoming financial issues: Total revenues increased dramatically from $13,857 million to $20,773 million in 2021-2022 (50% sales growth due to demand recovery post-Pandemic and further to $23,713 million in 2023, $25,100 million in 2024, and $26,186 million in 2025(Marriott International, 2023). This growth, though continuing, slowed down from 6% to 4% in 2024-2025, indicating Marriott could have taken over the market share, but the business growth may not be long-lived because the industry has recovered to pre-Pandemic levels.</w:t>
      </w:r>
    </w:p>
    <w:p w14:paraId="187C357C" w14:textId="77777777" w:rsidR="00C853B2" w:rsidRPr="008266F3" w:rsidRDefault="00000000">
      <w:pPr>
        <w:spacing w:line="360" w:lineRule="auto"/>
        <w:jc w:val="both"/>
        <w:rPr>
          <w:sz w:val="24"/>
          <w:szCs w:val="24"/>
        </w:rPr>
      </w:pPr>
      <w:r w:rsidRPr="008266F3">
        <w:rPr>
          <w:sz w:val="24"/>
          <w:szCs w:val="24"/>
        </w:rPr>
        <w:t>The trends of operating income showed that the profitability improved significantly. Therefore, in the operating income increased from $1,750 million in 2021 to $3,462 million in 2022 (98%) and increased to $3,864 million in 2023. Then the profitability slightly declined in 2024 to $3,767 million (-3%). This could be an evidence that the operating costs were increasing, and it may also be due to inflation impact or margin squeeze (Marriott International, 2026). The short-term decline of operating income is shown through the numbers, where the income from revenues outdid the costs for the period, coming in at $4,141 million, an improvement of 10%.</w:t>
      </w:r>
    </w:p>
    <w:p w14:paraId="701C8D44" w14:textId="77777777" w:rsidR="00C853B2" w:rsidRPr="008266F3" w:rsidRDefault="00000000">
      <w:pPr>
        <w:spacing w:line="360" w:lineRule="auto"/>
        <w:jc w:val="both"/>
        <w:rPr>
          <w:sz w:val="24"/>
          <w:szCs w:val="24"/>
        </w:rPr>
      </w:pPr>
      <w:r w:rsidRPr="008266F3">
        <w:rPr>
          <w:sz w:val="24"/>
          <w:szCs w:val="24"/>
        </w:rPr>
        <w:t>As far as financial position is concerned, total assets are increased with a rate that is acceptable for the financial growth. In 2021 it was $25,553 and in 2025 it is $27,754 million that shows good utilization of assets. On the other hand, total liabilities is increased rapidly with an enormous rate from $24,139 million to $31,311 million within the same period. An 11% increase in 2024 and 7% in 2025 demonstrates a steadily increasing trend of liabilities which can be concluded with more debt financing.</w:t>
      </w:r>
    </w:p>
    <w:p w14:paraId="126464E3" w14:textId="77777777" w:rsidR="00C853B2" w:rsidRPr="008266F3" w:rsidRDefault="00000000">
      <w:pPr>
        <w:spacing w:line="360" w:lineRule="auto"/>
        <w:jc w:val="both"/>
        <w:rPr>
          <w:sz w:val="24"/>
          <w:szCs w:val="24"/>
        </w:rPr>
      </w:pPr>
      <w:r w:rsidRPr="008266F3">
        <w:rPr>
          <w:sz w:val="24"/>
          <w:szCs w:val="24"/>
        </w:rPr>
        <w:t xml:space="preserve">Operating cash flow grew from $1,177 million in 2021 to $3,212 million in 2025 before falling to $2,749 million in 2024 (Marriott International, 2024). In terms of Marriott's overall performance and cash generation capabilities, it has good strengths, but it appears that cautious management of financial activities will be necessary in the future as leverage and growth rates increase. </w:t>
      </w:r>
      <w:r w:rsidRPr="008266F3">
        <w:rPr>
          <w:b/>
          <w:bCs/>
          <w:i/>
          <w:iCs/>
          <w:sz w:val="24"/>
          <w:szCs w:val="24"/>
        </w:rPr>
        <w:t>[Referred to Appendix 2]</w:t>
      </w:r>
      <w:r w:rsidRPr="008266F3">
        <w:rPr>
          <w:sz w:val="24"/>
          <w:szCs w:val="24"/>
        </w:rPr>
        <w:t>.</w:t>
      </w:r>
    </w:p>
    <w:p w14:paraId="7D423C21" w14:textId="77777777" w:rsidR="005519FD" w:rsidRPr="008266F3" w:rsidRDefault="005519FD">
      <w:pPr>
        <w:spacing w:line="360" w:lineRule="auto"/>
        <w:jc w:val="both"/>
        <w:rPr>
          <w:sz w:val="24"/>
          <w:szCs w:val="24"/>
        </w:rPr>
      </w:pPr>
    </w:p>
    <w:p w14:paraId="1B6B0B3A" w14:textId="77777777" w:rsidR="005519FD" w:rsidRPr="008266F3" w:rsidRDefault="005519FD">
      <w:pPr>
        <w:spacing w:line="360" w:lineRule="auto"/>
        <w:jc w:val="both"/>
        <w:rPr>
          <w:sz w:val="24"/>
          <w:szCs w:val="24"/>
        </w:rPr>
      </w:pPr>
    </w:p>
    <w:p w14:paraId="61078F04" w14:textId="77777777" w:rsidR="005519FD" w:rsidRDefault="005519FD">
      <w:pPr>
        <w:spacing w:line="360" w:lineRule="auto"/>
        <w:jc w:val="both"/>
        <w:rPr>
          <w:sz w:val="24"/>
          <w:szCs w:val="24"/>
        </w:rPr>
      </w:pPr>
    </w:p>
    <w:p w14:paraId="4F6793DF" w14:textId="77777777" w:rsidR="00F22492" w:rsidRDefault="00F22492">
      <w:pPr>
        <w:spacing w:line="360" w:lineRule="auto"/>
        <w:jc w:val="both"/>
        <w:rPr>
          <w:sz w:val="24"/>
          <w:szCs w:val="24"/>
        </w:rPr>
      </w:pPr>
    </w:p>
    <w:p w14:paraId="54E247E5" w14:textId="77777777" w:rsidR="00F22492" w:rsidRDefault="00F22492">
      <w:pPr>
        <w:spacing w:line="360" w:lineRule="auto"/>
        <w:jc w:val="both"/>
        <w:rPr>
          <w:sz w:val="24"/>
          <w:szCs w:val="24"/>
        </w:rPr>
      </w:pPr>
    </w:p>
    <w:p w14:paraId="5D33B042" w14:textId="77777777" w:rsidR="00F22492" w:rsidRDefault="00F22492">
      <w:pPr>
        <w:spacing w:line="360" w:lineRule="auto"/>
        <w:jc w:val="both"/>
        <w:rPr>
          <w:sz w:val="24"/>
          <w:szCs w:val="24"/>
        </w:rPr>
      </w:pPr>
    </w:p>
    <w:p w14:paraId="09CDC46D" w14:textId="77777777" w:rsidR="00F22492" w:rsidRPr="008266F3" w:rsidRDefault="00F22492">
      <w:pPr>
        <w:spacing w:line="360" w:lineRule="auto"/>
        <w:jc w:val="both"/>
        <w:rPr>
          <w:sz w:val="24"/>
          <w:szCs w:val="24"/>
        </w:rPr>
      </w:pPr>
    </w:p>
    <w:p w14:paraId="307F239F" w14:textId="77777777" w:rsidR="00C853B2" w:rsidRPr="008266F3" w:rsidRDefault="00000000">
      <w:pPr>
        <w:spacing w:line="360" w:lineRule="auto"/>
        <w:jc w:val="both"/>
        <w:rPr>
          <w:b/>
          <w:bCs/>
          <w:sz w:val="24"/>
          <w:szCs w:val="24"/>
        </w:rPr>
      </w:pPr>
      <w:bookmarkStart w:id="2" w:name="_Toc231660774"/>
      <w:r w:rsidRPr="008266F3">
        <w:rPr>
          <w:b/>
          <w:bCs/>
          <w:sz w:val="24"/>
          <w:szCs w:val="24"/>
        </w:rPr>
        <w:lastRenderedPageBreak/>
        <w:t>b. Ratio Analysis</w:t>
      </w:r>
      <w:bookmarkEnd w:id="2"/>
    </w:p>
    <w:p w14:paraId="1886455C" w14:textId="77777777" w:rsidR="00C853B2" w:rsidRPr="008266F3" w:rsidRDefault="00000000">
      <w:pPr>
        <w:spacing w:line="360" w:lineRule="auto"/>
        <w:jc w:val="center"/>
        <w:rPr>
          <w:sz w:val="24"/>
          <w:szCs w:val="24"/>
        </w:rPr>
      </w:pPr>
      <w:r w:rsidRPr="008266F3">
        <w:rPr>
          <w:noProof/>
          <w:sz w:val="24"/>
          <w:szCs w:val="24"/>
          <w:lang w:eastAsia="en-US"/>
        </w:rPr>
        <w:drawing>
          <wp:inline distT="0" distB="0" distL="0" distR="0" wp14:anchorId="68268779" wp14:editId="29280E97">
            <wp:extent cx="5322847" cy="2895600"/>
            <wp:effectExtent l="0" t="0" r="0" b="0"/>
            <wp:docPr id="1027"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6"/>
                    <pic:cNvPicPr/>
                  </pic:nvPicPr>
                  <pic:blipFill>
                    <a:blip r:embed="rId9" cstate="print"/>
                    <a:srcRect/>
                    <a:stretch/>
                  </pic:blipFill>
                  <pic:spPr>
                    <a:xfrm>
                      <a:off x="0" y="0"/>
                      <a:ext cx="5322847" cy="2895600"/>
                    </a:xfrm>
                    <a:prstGeom prst="rect">
                      <a:avLst/>
                    </a:prstGeom>
                  </pic:spPr>
                </pic:pic>
              </a:graphicData>
            </a:graphic>
          </wp:inline>
        </w:drawing>
      </w:r>
    </w:p>
    <w:p w14:paraId="721F8F8B" w14:textId="77777777" w:rsidR="00C853B2" w:rsidRPr="008266F3" w:rsidRDefault="00000000">
      <w:pPr>
        <w:spacing w:line="360" w:lineRule="auto"/>
        <w:jc w:val="center"/>
        <w:rPr>
          <w:b/>
          <w:bCs/>
          <w:sz w:val="24"/>
          <w:szCs w:val="24"/>
        </w:rPr>
      </w:pPr>
      <w:r w:rsidRPr="008266F3">
        <w:rPr>
          <w:b/>
          <w:bCs/>
          <w:sz w:val="24"/>
          <w:szCs w:val="24"/>
        </w:rPr>
        <w:t>Chart 1: Profitability Analysis</w:t>
      </w:r>
    </w:p>
    <w:p w14:paraId="3FD2BF62" w14:textId="77777777" w:rsidR="00C853B2" w:rsidRPr="008266F3" w:rsidRDefault="00000000">
      <w:pPr>
        <w:spacing w:line="360" w:lineRule="auto"/>
        <w:jc w:val="center"/>
        <w:rPr>
          <w:sz w:val="24"/>
          <w:szCs w:val="24"/>
        </w:rPr>
      </w:pPr>
      <w:r w:rsidRPr="008266F3">
        <w:rPr>
          <w:sz w:val="24"/>
          <w:szCs w:val="24"/>
        </w:rPr>
        <w:t>(Source: Self-created)</w:t>
      </w:r>
    </w:p>
    <w:p w14:paraId="1304DE0F" w14:textId="77777777" w:rsidR="00C853B2" w:rsidRPr="008266F3" w:rsidRDefault="00000000">
      <w:pPr>
        <w:spacing w:line="360" w:lineRule="auto"/>
        <w:jc w:val="both"/>
        <w:rPr>
          <w:sz w:val="24"/>
          <w:szCs w:val="24"/>
        </w:rPr>
      </w:pPr>
      <w:r w:rsidRPr="008266F3">
        <w:rPr>
          <w:sz w:val="24"/>
          <w:szCs w:val="24"/>
        </w:rPr>
        <w:t>Marriott International Company's profitability performance overall achieved a positive development from 2021-2025 which proves the company managed to operate well and generate greater profit even though the operating circumstances were not stable. Marriott International Company was better in asset management to generate profit through improvement in return on asset from 4% to 10% and 12% from 2021-2023 (Yahoo Finance, 2026) respectively. But it falls to 9% from 2023-2024 due to lower earnings and rose again to 10% from 2024-2025. The net profit margin grew from 8% to 11% and 13% respectively, also showed that the company has managed to control cost and operate with better operational efficiency but it also falls to 9% from 2023-2024 and rose to 10% from 2024-2025. The gross profit margin was falling from 22% in 2022-2024 and 20% in 2024-2025 which proves the company's bargains power has declined and the company is facing higher costs now. As conclusion, Marriott is profitable and achieved relatively high profits, but the profits are falling since 2023 thus indicating Marriott is need to focus on managing its costs.</w:t>
      </w:r>
    </w:p>
    <w:p w14:paraId="3CC7958E" w14:textId="77777777" w:rsidR="00C853B2" w:rsidRPr="008266F3" w:rsidRDefault="00000000">
      <w:pPr>
        <w:spacing w:line="360" w:lineRule="auto"/>
        <w:jc w:val="center"/>
        <w:rPr>
          <w:sz w:val="24"/>
          <w:szCs w:val="24"/>
        </w:rPr>
      </w:pPr>
      <w:r w:rsidRPr="008266F3">
        <w:rPr>
          <w:noProof/>
          <w:sz w:val="24"/>
          <w:szCs w:val="24"/>
          <w:lang w:eastAsia="en-US"/>
        </w:rPr>
        <w:lastRenderedPageBreak/>
        <w:drawing>
          <wp:inline distT="0" distB="0" distL="0" distR="0" wp14:anchorId="00C48456" wp14:editId="0E1583AE">
            <wp:extent cx="4566285" cy="2743200"/>
            <wp:effectExtent l="0" t="0" r="5715" b="0"/>
            <wp:docPr id="1028"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4"/>
                    <pic:cNvPicPr/>
                  </pic:nvPicPr>
                  <pic:blipFill>
                    <a:blip r:embed="rId10" cstate="print"/>
                    <a:srcRect/>
                    <a:stretch/>
                  </pic:blipFill>
                  <pic:spPr>
                    <a:xfrm>
                      <a:off x="0" y="0"/>
                      <a:ext cx="4566285" cy="2743200"/>
                    </a:xfrm>
                    <a:prstGeom prst="rect">
                      <a:avLst/>
                    </a:prstGeom>
                  </pic:spPr>
                </pic:pic>
              </a:graphicData>
            </a:graphic>
          </wp:inline>
        </w:drawing>
      </w:r>
    </w:p>
    <w:p w14:paraId="4FC13397" w14:textId="77777777" w:rsidR="00C853B2" w:rsidRPr="008266F3" w:rsidRDefault="00000000">
      <w:pPr>
        <w:spacing w:line="360" w:lineRule="auto"/>
        <w:jc w:val="center"/>
        <w:rPr>
          <w:b/>
          <w:bCs/>
          <w:sz w:val="24"/>
          <w:szCs w:val="24"/>
        </w:rPr>
      </w:pPr>
      <w:r w:rsidRPr="008266F3">
        <w:rPr>
          <w:b/>
          <w:bCs/>
          <w:sz w:val="24"/>
          <w:szCs w:val="24"/>
        </w:rPr>
        <w:t>Chart 2:Liquidity Analysis</w:t>
      </w:r>
    </w:p>
    <w:p w14:paraId="41E4FAE0" w14:textId="77777777" w:rsidR="00C853B2" w:rsidRPr="008266F3" w:rsidRDefault="00000000">
      <w:pPr>
        <w:spacing w:line="360" w:lineRule="auto"/>
        <w:jc w:val="center"/>
        <w:rPr>
          <w:sz w:val="24"/>
          <w:szCs w:val="24"/>
        </w:rPr>
      </w:pPr>
      <w:r w:rsidRPr="008266F3">
        <w:rPr>
          <w:sz w:val="24"/>
          <w:szCs w:val="24"/>
        </w:rPr>
        <w:t>(Source: Self-created)</w:t>
      </w:r>
    </w:p>
    <w:p w14:paraId="0879471C" w14:textId="77777777" w:rsidR="00C853B2" w:rsidRPr="008266F3" w:rsidRDefault="00000000">
      <w:pPr>
        <w:spacing w:line="360" w:lineRule="auto"/>
        <w:jc w:val="both"/>
        <w:rPr>
          <w:sz w:val="24"/>
          <w:szCs w:val="24"/>
        </w:rPr>
      </w:pPr>
      <w:r w:rsidRPr="008266F3">
        <w:rPr>
          <w:sz w:val="24"/>
          <w:szCs w:val="24"/>
        </w:rPr>
        <w:t>The liquidity position of Marriott is fairly poor for the period. Current ratio decrease from 0.57 in 2021, to 0.45 in 2022, decrease to 0.40 in 2024, before raising to 0.43 in 2025. Quick ratio decreased in parallel with current ratio, inventory is relatively small, thus the short-term liquidity is limited (Marriott International, 2023). Ratio which continually less than one implies the current liabilities exceeds current assets; which may give difficulty for refinancing to company. The decrease from 2021-24 reflects increased utilization of short-term debt (Marriott International, 2024). The small improvement in 2025, indicating a bit of a bounce back but a still generally weak liquidity situation for Marriott, would limit flexibility in a weak environment.</w:t>
      </w:r>
    </w:p>
    <w:p w14:paraId="2FA9A795" w14:textId="77777777" w:rsidR="00C853B2" w:rsidRPr="008266F3" w:rsidRDefault="00000000">
      <w:pPr>
        <w:spacing w:line="360" w:lineRule="auto"/>
        <w:jc w:val="center"/>
        <w:rPr>
          <w:b/>
          <w:bCs/>
          <w:sz w:val="24"/>
          <w:szCs w:val="24"/>
        </w:rPr>
      </w:pPr>
      <w:r w:rsidRPr="008266F3">
        <w:rPr>
          <w:b/>
          <w:bCs/>
          <w:noProof/>
          <w:sz w:val="24"/>
          <w:szCs w:val="24"/>
          <w:lang w:eastAsia="en-US"/>
        </w:rPr>
        <w:drawing>
          <wp:inline distT="0" distB="0" distL="0" distR="0" wp14:anchorId="6A6952AC" wp14:editId="6595791F">
            <wp:extent cx="5431790" cy="2755900"/>
            <wp:effectExtent l="0" t="0" r="0" b="6350"/>
            <wp:docPr id="1029"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11" cstate="print"/>
                    <a:srcRect/>
                    <a:stretch/>
                  </pic:blipFill>
                  <pic:spPr>
                    <a:xfrm>
                      <a:off x="0" y="0"/>
                      <a:ext cx="5431790" cy="2755900"/>
                    </a:xfrm>
                    <a:prstGeom prst="rect">
                      <a:avLst/>
                    </a:prstGeom>
                  </pic:spPr>
                </pic:pic>
              </a:graphicData>
            </a:graphic>
          </wp:inline>
        </w:drawing>
      </w:r>
    </w:p>
    <w:p w14:paraId="1A8ED1A1" w14:textId="77777777" w:rsidR="00C853B2" w:rsidRPr="008266F3" w:rsidRDefault="00000000">
      <w:pPr>
        <w:spacing w:line="360" w:lineRule="auto"/>
        <w:jc w:val="center"/>
        <w:rPr>
          <w:b/>
          <w:bCs/>
          <w:sz w:val="24"/>
          <w:szCs w:val="24"/>
        </w:rPr>
      </w:pPr>
      <w:r w:rsidRPr="008266F3">
        <w:rPr>
          <w:b/>
          <w:bCs/>
          <w:sz w:val="24"/>
          <w:szCs w:val="24"/>
        </w:rPr>
        <w:t>Chart 3: Efficiency Analysis</w:t>
      </w:r>
    </w:p>
    <w:p w14:paraId="740CC070" w14:textId="77777777" w:rsidR="00C853B2" w:rsidRPr="008266F3" w:rsidRDefault="00000000">
      <w:pPr>
        <w:spacing w:line="360" w:lineRule="auto"/>
        <w:jc w:val="center"/>
        <w:rPr>
          <w:b/>
          <w:bCs/>
          <w:sz w:val="24"/>
          <w:szCs w:val="24"/>
        </w:rPr>
      </w:pPr>
      <w:r w:rsidRPr="008266F3">
        <w:rPr>
          <w:sz w:val="24"/>
          <w:szCs w:val="24"/>
        </w:rPr>
        <w:t>(Source: Self-created)</w:t>
      </w:r>
    </w:p>
    <w:p w14:paraId="283F764F" w14:textId="77777777" w:rsidR="00C853B2" w:rsidRPr="008266F3" w:rsidRDefault="00000000">
      <w:pPr>
        <w:spacing w:line="360" w:lineRule="auto"/>
        <w:jc w:val="both"/>
        <w:rPr>
          <w:sz w:val="24"/>
          <w:szCs w:val="24"/>
        </w:rPr>
      </w:pPr>
      <w:r w:rsidRPr="008266F3">
        <w:rPr>
          <w:sz w:val="24"/>
          <w:szCs w:val="24"/>
        </w:rPr>
        <w:lastRenderedPageBreak/>
        <w:t>The efficiency ratios are a welcome development. It indicates that the company is operating more efficiently by enhancing its usage of assets and by improving its management of working capital. The turnover of total assets increased from 0.54 in 2021 to 0.84 in 2022, and then improved further in 2024 to 0.96. This indicates that less assets are required for the company to generate the same amount of sales. By shortening receivables turnover days to 41 from 52, the collection efficiency of Marriott improved to 41 from 2021 till 2024-2025. It shows an improvement in cash conversion (Marriott International, 2024). The payables turnover decreased from 14 to 2021. This is attributed to a quicker settlement to the suppliers from 2023, and is consistent with a higher payables turnover. Such trends show operating efficiency; however they can also represent payments being made too quickly. This has two negative consequences: short term financing requirements are raised and the value of trade credit from a liquidity perspective is reduced.</w:t>
      </w:r>
    </w:p>
    <w:p w14:paraId="25AA84A6" w14:textId="77777777" w:rsidR="00C853B2" w:rsidRPr="008266F3" w:rsidRDefault="00000000">
      <w:pPr>
        <w:spacing w:line="360" w:lineRule="auto"/>
        <w:jc w:val="center"/>
        <w:rPr>
          <w:sz w:val="24"/>
          <w:szCs w:val="24"/>
        </w:rPr>
      </w:pPr>
      <w:r w:rsidRPr="008266F3">
        <w:rPr>
          <w:noProof/>
          <w:sz w:val="24"/>
          <w:szCs w:val="24"/>
          <w:lang w:eastAsia="en-US"/>
        </w:rPr>
        <w:drawing>
          <wp:inline distT="0" distB="0" distL="0" distR="0" wp14:anchorId="32547A52" wp14:editId="6DE57061">
            <wp:extent cx="5499334" cy="2926080"/>
            <wp:effectExtent l="0" t="0" r="6350" b="7620"/>
            <wp:docPr id="103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12" cstate="print"/>
                    <a:srcRect/>
                    <a:stretch/>
                  </pic:blipFill>
                  <pic:spPr>
                    <a:xfrm>
                      <a:off x="0" y="0"/>
                      <a:ext cx="5499334" cy="2926080"/>
                    </a:xfrm>
                    <a:prstGeom prst="rect">
                      <a:avLst/>
                    </a:prstGeom>
                  </pic:spPr>
                </pic:pic>
              </a:graphicData>
            </a:graphic>
          </wp:inline>
        </w:drawing>
      </w:r>
    </w:p>
    <w:p w14:paraId="19AFA6E1" w14:textId="77777777" w:rsidR="00C853B2" w:rsidRPr="008266F3" w:rsidRDefault="00000000">
      <w:pPr>
        <w:spacing w:line="360" w:lineRule="auto"/>
        <w:jc w:val="center"/>
        <w:rPr>
          <w:b/>
          <w:bCs/>
          <w:sz w:val="24"/>
          <w:szCs w:val="24"/>
        </w:rPr>
      </w:pPr>
      <w:r w:rsidRPr="008266F3">
        <w:rPr>
          <w:b/>
          <w:bCs/>
          <w:sz w:val="24"/>
          <w:szCs w:val="24"/>
        </w:rPr>
        <w:t>Chart 4: Gearing Analysis</w:t>
      </w:r>
    </w:p>
    <w:p w14:paraId="02A1BFA9" w14:textId="77777777" w:rsidR="00C853B2" w:rsidRPr="008266F3" w:rsidRDefault="00000000">
      <w:pPr>
        <w:spacing w:line="360" w:lineRule="auto"/>
        <w:jc w:val="center"/>
        <w:rPr>
          <w:b/>
          <w:bCs/>
          <w:sz w:val="24"/>
          <w:szCs w:val="24"/>
        </w:rPr>
      </w:pPr>
      <w:r w:rsidRPr="008266F3">
        <w:rPr>
          <w:sz w:val="24"/>
          <w:szCs w:val="24"/>
        </w:rPr>
        <w:t>(Source: Self-created)</w:t>
      </w:r>
    </w:p>
    <w:p w14:paraId="12427989" w14:textId="77777777" w:rsidR="00C853B2" w:rsidRPr="008266F3" w:rsidRDefault="00000000">
      <w:pPr>
        <w:spacing w:line="360" w:lineRule="auto"/>
        <w:jc w:val="both"/>
        <w:rPr>
          <w:sz w:val="24"/>
          <w:szCs w:val="24"/>
        </w:rPr>
      </w:pPr>
      <w:r w:rsidRPr="008266F3">
        <w:rPr>
          <w:sz w:val="24"/>
          <w:szCs w:val="24"/>
        </w:rPr>
        <w:t>Marriott is highly leveraged in the time period. The ratio of debt to equity is higher than it was 42.69 in 2022 compared to 17.07 in 2021. Since from 2023 to 2025, the negative equity resulted in negative debt-to-equity ratios meaning Marriott is very unstable. Its operating income growth in some capacity aided Marriott's ability to pay back debt; it has gone down to 5.12 times in 2025 from 8.59 times in 2022 and continues to decrease, this means that interest expenses now account for a higher amount of its operating earnings (Marriott International, 2023).</w:t>
      </w:r>
    </w:p>
    <w:p w14:paraId="1B3D26A9" w14:textId="77777777" w:rsidR="00C853B2" w:rsidRPr="008266F3" w:rsidRDefault="00000000">
      <w:pPr>
        <w:spacing w:line="360" w:lineRule="auto"/>
        <w:jc w:val="center"/>
        <w:rPr>
          <w:b/>
          <w:bCs/>
          <w:sz w:val="24"/>
          <w:szCs w:val="24"/>
        </w:rPr>
      </w:pPr>
      <w:r w:rsidRPr="008266F3">
        <w:rPr>
          <w:b/>
          <w:bCs/>
          <w:noProof/>
          <w:sz w:val="24"/>
          <w:szCs w:val="24"/>
          <w:lang w:eastAsia="en-US"/>
        </w:rPr>
        <w:lastRenderedPageBreak/>
        <w:drawing>
          <wp:inline distT="0" distB="0" distL="0" distR="0" wp14:anchorId="16153C37" wp14:editId="47B3D0F0">
            <wp:extent cx="4572635" cy="2743200"/>
            <wp:effectExtent l="0" t="0" r="0" b="0"/>
            <wp:docPr id="1031"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cstate="print"/>
                    <a:srcRect/>
                    <a:stretch/>
                  </pic:blipFill>
                  <pic:spPr>
                    <a:xfrm>
                      <a:off x="0" y="0"/>
                      <a:ext cx="4572635" cy="2743200"/>
                    </a:xfrm>
                    <a:prstGeom prst="rect">
                      <a:avLst/>
                    </a:prstGeom>
                  </pic:spPr>
                </pic:pic>
              </a:graphicData>
            </a:graphic>
          </wp:inline>
        </w:drawing>
      </w:r>
    </w:p>
    <w:p w14:paraId="1400DA1E" w14:textId="77777777" w:rsidR="00C853B2" w:rsidRPr="008266F3" w:rsidRDefault="00000000">
      <w:pPr>
        <w:spacing w:line="360" w:lineRule="auto"/>
        <w:jc w:val="center"/>
        <w:rPr>
          <w:b/>
          <w:bCs/>
          <w:sz w:val="24"/>
          <w:szCs w:val="24"/>
        </w:rPr>
      </w:pPr>
      <w:r w:rsidRPr="008266F3">
        <w:rPr>
          <w:b/>
          <w:bCs/>
          <w:sz w:val="24"/>
          <w:szCs w:val="24"/>
        </w:rPr>
        <w:t>Chart 5:Investment Analysis</w:t>
      </w:r>
    </w:p>
    <w:p w14:paraId="7FBC77A1" w14:textId="77777777" w:rsidR="00C853B2" w:rsidRPr="008266F3" w:rsidRDefault="00000000">
      <w:pPr>
        <w:spacing w:line="360" w:lineRule="auto"/>
        <w:jc w:val="center"/>
        <w:rPr>
          <w:b/>
          <w:bCs/>
          <w:sz w:val="24"/>
          <w:szCs w:val="24"/>
        </w:rPr>
      </w:pPr>
      <w:r w:rsidRPr="008266F3">
        <w:rPr>
          <w:sz w:val="24"/>
          <w:szCs w:val="24"/>
        </w:rPr>
        <w:t>(Source: Self-created)</w:t>
      </w:r>
    </w:p>
    <w:p w14:paraId="7C46474F" w14:textId="77777777" w:rsidR="00C853B2" w:rsidRPr="008266F3" w:rsidRDefault="00000000">
      <w:pPr>
        <w:spacing w:line="360" w:lineRule="auto"/>
        <w:jc w:val="both"/>
        <w:rPr>
          <w:sz w:val="24"/>
          <w:szCs w:val="24"/>
        </w:rPr>
      </w:pPr>
      <w:r w:rsidRPr="008266F3">
        <w:rPr>
          <w:sz w:val="24"/>
          <w:szCs w:val="24"/>
        </w:rPr>
        <w:t xml:space="preserve">The way that Marriott international is able to have profit and provide value for its investors can also be viewed from its EPS growth from 3.36 to 10.23, from 2021-2023 respectively. It then declined to 8.36 for 2024 and recovered to 9.53 for 2025 (Marriott International, 2026). Therefore, in this suggests that Marriott was not as growing consistently in the later years compared to earlier years. Though, the returns at the latter </w:t>
      </w:r>
      <w:proofErr w:type="gramStart"/>
      <w:r w:rsidRPr="008266F3">
        <w:rPr>
          <w:sz w:val="24"/>
          <w:szCs w:val="24"/>
        </w:rPr>
        <w:t>was</w:t>
      </w:r>
      <w:proofErr w:type="gramEnd"/>
      <w:r w:rsidRPr="008266F3">
        <w:rPr>
          <w:sz w:val="24"/>
          <w:szCs w:val="24"/>
        </w:rPr>
        <w:t xml:space="preserve"> quite large.</w:t>
      </w:r>
    </w:p>
    <w:p w14:paraId="3BB01E57" w14:textId="77777777" w:rsidR="005519FD" w:rsidRPr="008266F3" w:rsidRDefault="005519FD">
      <w:pPr>
        <w:spacing w:line="360" w:lineRule="auto"/>
        <w:jc w:val="both"/>
        <w:rPr>
          <w:sz w:val="24"/>
          <w:szCs w:val="24"/>
        </w:rPr>
      </w:pPr>
    </w:p>
    <w:p w14:paraId="11F750CF" w14:textId="77777777" w:rsidR="005519FD" w:rsidRPr="008266F3" w:rsidRDefault="005519FD">
      <w:pPr>
        <w:spacing w:line="360" w:lineRule="auto"/>
        <w:jc w:val="both"/>
        <w:rPr>
          <w:sz w:val="24"/>
          <w:szCs w:val="24"/>
        </w:rPr>
      </w:pPr>
    </w:p>
    <w:p w14:paraId="2F2A8A3A" w14:textId="77777777" w:rsidR="00C853B2" w:rsidRPr="008266F3" w:rsidRDefault="00000000">
      <w:pPr>
        <w:spacing w:line="360" w:lineRule="auto"/>
        <w:jc w:val="center"/>
        <w:rPr>
          <w:sz w:val="24"/>
          <w:szCs w:val="24"/>
        </w:rPr>
      </w:pPr>
      <w:r w:rsidRPr="008266F3">
        <w:rPr>
          <w:noProof/>
          <w:sz w:val="24"/>
          <w:szCs w:val="24"/>
          <w:lang w:eastAsia="en-US"/>
        </w:rPr>
        <w:drawing>
          <wp:inline distT="0" distB="0" distL="0" distR="0" wp14:anchorId="5863618D" wp14:editId="77A23A4E">
            <wp:extent cx="4584700" cy="2755900"/>
            <wp:effectExtent l="0" t="0" r="6350" b="6350"/>
            <wp:docPr id="1032"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3"/>
                    <pic:cNvPicPr/>
                  </pic:nvPicPr>
                  <pic:blipFill>
                    <a:blip r:embed="rId14" cstate="print"/>
                    <a:srcRect/>
                    <a:stretch/>
                  </pic:blipFill>
                  <pic:spPr>
                    <a:xfrm>
                      <a:off x="0" y="0"/>
                      <a:ext cx="4584700" cy="2755900"/>
                    </a:xfrm>
                    <a:prstGeom prst="rect">
                      <a:avLst/>
                    </a:prstGeom>
                  </pic:spPr>
                </pic:pic>
              </a:graphicData>
            </a:graphic>
          </wp:inline>
        </w:drawing>
      </w:r>
    </w:p>
    <w:p w14:paraId="0E059589" w14:textId="77777777" w:rsidR="00C853B2" w:rsidRPr="008266F3" w:rsidRDefault="00000000">
      <w:pPr>
        <w:spacing w:line="360" w:lineRule="auto"/>
        <w:jc w:val="center"/>
        <w:rPr>
          <w:b/>
          <w:bCs/>
          <w:sz w:val="24"/>
          <w:szCs w:val="24"/>
        </w:rPr>
      </w:pPr>
      <w:r w:rsidRPr="008266F3">
        <w:rPr>
          <w:b/>
          <w:bCs/>
          <w:sz w:val="24"/>
          <w:szCs w:val="24"/>
        </w:rPr>
        <w:t>Chart 6:Cash Flow Analysis</w:t>
      </w:r>
    </w:p>
    <w:p w14:paraId="074660AB" w14:textId="77777777" w:rsidR="00C853B2" w:rsidRPr="008266F3" w:rsidRDefault="00000000">
      <w:pPr>
        <w:spacing w:line="360" w:lineRule="auto"/>
        <w:jc w:val="center"/>
        <w:rPr>
          <w:b/>
          <w:bCs/>
          <w:sz w:val="24"/>
          <w:szCs w:val="24"/>
        </w:rPr>
      </w:pPr>
      <w:r w:rsidRPr="008266F3">
        <w:rPr>
          <w:sz w:val="24"/>
          <w:szCs w:val="24"/>
        </w:rPr>
        <w:t>(Source: Self-created)</w:t>
      </w:r>
    </w:p>
    <w:p w14:paraId="31F746EE" w14:textId="77777777" w:rsidR="00C853B2" w:rsidRDefault="00000000">
      <w:pPr>
        <w:spacing w:line="360" w:lineRule="auto"/>
        <w:jc w:val="both"/>
        <w:rPr>
          <w:sz w:val="24"/>
          <w:szCs w:val="24"/>
        </w:rPr>
      </w:pPr>
      <w:r w:rsidRPr="008266F3">
        <w:rPr>
          <w:sz w:val="24"/>
          <w:szCs w:val="24"/>
        </w:rPr>
        <w:lastRenderedPageBreak/>
        <w:t xml:space="preserve">Operating cash flow ratio has increased from 0.18 to 0.41 from 2021 to 2023 and indicating that the company can generate more cash (Marriott International, 2026). From 2024, operating cash flow ratio decreased to 0.32, however, it is expected to improve to 0.38 in 2025. The operating cash flow ratio </w:t>
      </w:r>
      <w:proofErr w:type="gramStart"/>
      <w:r w:rsidRPr="008266F3">
        <w:rPr>
          <w:sz w:val="24"/>
          <w:szCs w:val="24"/>
        </w:rPr>
        <w:t>still remains</w:t>
      </w:r>
      <w:proofErr w:type="gramEnd"/>
      <w:r w:rsidRPr="008266F3">
        <w:rPr>
          <w:sz w:val="24"/>
          <w:szCs w:val="24"/>
        </w:rPr>
        <w:t xml:space="preserve"> below 1 </w:t>
      </w:r>
      <w:r w:rsidRPr="008266F3">
        <w:rPr>
          <w:b/>
          <w:bCs/>
          <w:i/>
          <w:iCs/>
          <w:sz w:val="24"/>
          <w:szCs w:val="24"/>
        </w:rPr>
        <w:t>[Referred to Appendix 1]</w:t>
      </w:r>
      <w:r w:rsidRPr="008266F3">
        <w:rPr>
          <w:sz w:val="24"/>
          <w:szCs w:val="24"/>
        </w:rPr>
        <w:t>.</w:t>
      </w:r>
    </w:p>
    <w:p w14:paraId="6E343BC2" w14:textId="77777777" w:rsidR="00F22492" w:rsidRPr="008266F3" w:rsidRDefault="00F22492">
      <w:pPr>
        <w:spacing w:line="360" w:lineRule="auto"/>
        <w:jc w:val="both"/>
        <w:rPr>
          <w:sz w:val="24"/>
          <w:szCs w:val="24"/>
        </w:rPr>
      </w:pPr>
    </w:p>
    <w:p w14:paraId="7668E4E3" w14:textId="77777777" w:rsidR="00C853B2" w:rsidRPr="008266F3" w:rsidRDefault="00000000">
      <w:pPr>
        <w:spacing w:line="360" w:lineRule="auto"/>
        <w:jc w:val="both"/>
        <w:rPr>
          <w:b/>
          <w:bCs/>
          <w:sz w:val="24"/>
          <w:szCs w:val="24"/>
          <w:lang w:val="en-IN"/>
        </w:rPr>
      </w:pPr>
      <w:r w:rsidRPr="008266F3">
        <w:rPr>
          <w:b/>
          <w:bCs/>
          <w:sz w:val="24"/>
          <w:szCs w:val="24"/>
          <w:lang w:val="en-IN"/>
        </w:rPr>
        <w:t>c. Trends, strengths, and potential threats</w:t>
      </w:r>
    </w:p>
    <w:p w14:paraId="3121BCCC" w14:textId="77777777" w:rsidR="00C853B2" w:rsidRDefault="00000000">
      <w:pPr>
        <w:spacing w:line="360" w:lineRule="auto"/>
        <w:jc w:val="both"/>
        <w:rPr>
          <w:sz w:val="24"/>
          <w:szCs w:val="24"/>
          <w:lang w:val="en-IN"/>
        </w:rPr>
      </w:pPr>
      <w:r w:rsidRPr="008266F3">
        <w:rPr>
          <w:sz w:val="24"/>
          <w:szCs w:val="24"/>
          <w:lang w:val="en-IN"/>
        </w:rPr>
        <w:t>According to the financial ratio analysis, there is a positive trend in profitability and operational efficiency in the years 2021-25. Net sales, operating income and earnings per share growth was positive which is evidence to good performance in the market and an increase in shareholder value. It also saw efficiency ratios increase which incorporated working capital ratios (receivables turnover days) and paying ratios (payables turnover days). One of the key advantages is that the operating cash flow has been on a steady rise and this enhances liquidity and the expansion of business (Barnabas and Oloyede, 2024). However, there are a number of possible threats that can be observed in the case of Marriott International. The current and quick ratios have not surpassed 1 within the period, implying that there is a possibility of liquidity crunch in the short run. Also, its debt and liabilities continued to increase thereby putting the organisation at risk economically in case the economy takes a down turn. According to Shokomi and Yahaya (2024), over-leverage can destroy financial stability in the long term, as well as investor confidence. </w:t>
      </w:r>
    </w:p>
    <w:p w14:paraId="4C5B8FFF" w14:textId="77777777" w:rsidR="00F22492" w:rsidRPr="008266F3" w:rsidRDefault="00F22492">
      <w:pPr>
        <w:spacing w:line="360" w:lineRule="auto"/>
        <w:jc w:val="both"/>
        <w:rPr>
          <w:sz w:val="24"/>
          <w:szCs w:val="24"/>
          <w:lang w:val="en-IN"/>
        </w:rPr>
      </w:pPr>
    </w:p>
    <w:p w14:paraId="765499F9" w14:textId="77777777" w:rsidR="00C853B2" w:rsidRPr="008266F3" w:rsidRDefault="00000000">
      <w:pPr>
        <w:spacing w:line="360" w:lineRule="auto"/>
        <w:jc w:val="both"/>
        <w:rPr>
          <w:b/>
          <w:bCs/>
          <w:sz w:val="24"/>
          <w:szCs w:val="24"/>
          <w:lang w:val="en-IN"/>
        </w:rPr>
      </w:pPr>
      <w:r w:rsidRPr="008266F3">
        <w:rPr>
          <w:b/>
          <w:bCs/>
          <w:sz w:val="24"/>
          <w:szCs w:val="24"/>
          <w:lang w:val="en-IN"/>
        </w:rPr>
        <w:t>d. Comparison of liquidity ratios with industry benchmark</w:t>
      </w:r>
    </w:p>
    <w:p w14:paraId="26A3EAAE" w14:textId="77777777" w:rsidR="00C853B2" w:rsidRDefault="00000000">
      <w:pPr>
        <w:spacing w:line="360" w:lineRule="auto"/>
        <w:jc w:val="both"/>
        <w:rPr>
          <w:sz w:val="24"/>
          <w:szCs w:val="24"/>
          <w:lang w:val="en-IN"/>
        </w:rPr>
      </w:pPr>
      <w:r w:rsidRPr="008266F3">
        <w:rPr>
          <w:sz w:val="24"/>
          <w:szCs w:val="24"/>
          <w:lang w:val="en-IN"/>
        </w:rPr>
        <w:t>A liquidity ratio analysis shows that the firm is not performing as well as per the standard industry ratios, which indicates that the risk is at an average level of financial instability in the short run. The ratios maintained within 2021 to 2025 were 0.40 to 0.57 and a majority of industries are taking a standard of 1.5 to 2.0 as a financial and fiscal wellness. Equally, the quick ratio remained at levels of between 0.40 and 0.57 which is a great deal lower than the desired level of 1.0. This is an indication that the organisation might have trouble meeting short-term obligations that will be due within a given time using its liquid assets (Abiola-Adams</w:t>
      </w:r>
      <w:r w:rsidRPr="008266F3">
        <w:rPr>
          <w:i/>
          <w:iCs/>
          <w:sz w:val="24"/>
          <w:szCs w:val="24"/>
          <w:lang w:val="en-IN"/>
        </w:rPr>
        <w:t xml:space="preserve"> et al.,</w:t>
      </w:r>
      <w:r w:rsidRPr="008266F3">
        <w:rPr>
          <w:sz w:val="24"/>
          <w:szCs w:val="24"/>
          <w:lang w:val="en-IN"/>
        </w:rPr>
        <w:t xml:space="preserve"> 2021). However, the ratios have not been impaired immensely as they have been over the years but have been maintained since which means that the liquidity is within check. Compared to the industry standards, the firm appears to be operational efficient, albeit a little dependent on continuous cash flows, and external investments to keep the balance of operations and working capital regim course of action in place. </w:t>
      </w:r>
    </w:p>
    <w:p w14:paraId="22B2ACB1" w14:textId="77777777" w:rsidR="00F22492" w:rsidRDefault="00F22492">
      <w:pPr>
        <w:spacing w:line="360" w:lineRule="auto"/>
        <w:jc w:val="both"/>
        <w:rPr>
          <w:sz w:val="24"/>
          <w:szCs w:val="24"/>
          <w:lang w:val="en-IN"/>
        </w:rPr>
      </w:pPr>
    </w:p>
    <w:p w14:paraId="5BDCDB64" w14:textId="77777777" w:rsidR="00F22492" w:rsidRPr="008266F3" w:rsidRDefault="00F22492">
      <w:pPr>
        <w:spacing w:line="360" w:lineRule="auto"/>
        <w:jc w:val="both"/>
        <w:rPr>
          <w:sz w:val="24"/>
          <w:szCs w:val="24"/>
          <w:lang w:val="en-IN"/>
        </w:rPr>
      </w:pPr>
    </w:p>
    <w:p w14:paraId="796EED66" w14:textId="77777777" w:rsidR="00C853B2" w:rsidRDefault="00000000">
      <w:pPr>
        <w:pStyle w:val="Heading1"/>
        <w:spacing w:before="0" w:after="0"/>
        <w:rPr>
          <w:rFonts w:ascii="Arial" w:hAnsi="Arial"/>
          <w:lang w:val="en-IN"/>
        </w:rPr>
      </w:pPr>
      <w:r w:rsidRPr="008266F3">
        <w:rPr>
          <w:rFonts w:ascii="Arial" w:hAnsi="Arial"/>
          <w:lang w:val="en-IN"/>
        </w:rPr>
        <w:lastRenderedPageBreak/>
        <w:t xml:space="preserve">2. </w:t>
      </w:r>
      <w:bookmarkStart w:id="3" w:name="_Toc234929480"/>
      <w:r w:rsidRPr="008266F3">
        <w:rPr>
          <w:rFonts w:ascii="Arial" w:hAnsi="Arial"/>
          <w:lang w:val="en-IN"/>
        </w:rPr>
        <w:t>Working Capital Management Analysis</w:t>
      </w:r>
      <w:bookmarkEnd w:id="3"/>
    </w:p>
    <w:p w14:paraId="5E7C8376" w14:textId="77777777" w:rsidR="00F22492" w:rsidRPr="00F22492" w:rsidRDefault="00F22492" w:rsidP="00F22492">
      <w:pPr>
        <w:rPr>
          <w:lang w:val="en-IN"/>
        </w:rPr>
      </w:pPr>
    </w:p>
    <w:p w14:paraId="2F965A3E" w14:textId="77777777" w:rsidR="00C853B2" w:rsidRPr="008266F3" w:rsidRDefault="00000000">
      <w:pPr>
        <w:spacing w:line="360" w:lineRule="auto"/>
        <w:jc w:val="both"/>
        <w:rPr>
          <w:b/>
          <w:bCs/>
          <w:sz w:val="24"/>
          <w:szCs w:val="24"/>
          <w:lang w:val="en-IN"/>
        </w:rPr>
      </w:pPr>
      <w:r w:rsidRPr="008266F3">
        <w:rPr>
          <w:b/>
          <w:bCs/>
          <w:sz w:val="24"/>
          <w:szCs w:val="24"/>
          <w:lang w:val="en-IN"/>
        </w:rPr>
        <w:t>a. Cash operating cycle</w:t>
      </w:r>
    </w:p>
    <w:p w14:paraId="3610BD7D" w14:textId="77777777" w:rsidR="00C853B2" w:rsidRPr="008266F3" w:rsidRDefault="00000000">
      <w:pPr>
        <w:spacing w:line="360" w:lineRule="auto"/>
        <w:jc w:val="both"/>
        <w:rPr>
          <w:sz w:val="24"/>
          <w:szCs w:val="24"/>
          <w:lang w:val="en-IN"/>
        </w:rPr>
      </w:pPr>
      <w:r w:rsidRPr="008266F3">
        <w:rPr>
          <w:sz w:val="24"/>
          <w:szCs w:val="24"/>
          <w:lang w:val="en-IN"/>
        </w:rPr>
        <w:t>The 2021- 2025 cash operating cycle indicates that Marriott International has a mediocre level of efficiency in regard to working capital management. The days outstanding collection increased to 52 days and 41days in 2021 and 2025 respectively, indicating faster collection of the customers and better credit management activities were applied. Similarly, the number of turnover days on payable fell to 24 days a year ago, which is 14 days lower than the turnover of 38 days a year before signifying that the company was paying the suppliers at a higher rate as the years went by. Marriott International can establish a better relationship with suppliers because of faster payments, but it may also result in the reduction in the short-term level of cash reserves. The total asset turnover ratio improved substantially to 9.51 as compared to 0.54 showing that they had utilised their assets better to bring about sales revenue. </w:t>
      </w:r>
      <w:r w:rsidRPr="008266F3">
        <w:rPr>
          <w:color w:val="000000" w:themeColor="text1"/>
          <w:sz w:val="24"/>
          <w:szCs w:val="24"/>
          <w:lang w:val="en-IN"/>
        </w:rPr>
        <w:t>Marriott reported negative working capital of US$5.164 billion in 2024, as seen in Appendix 4, indicating that current liabilities exceeded current assets. This is common among asset-light hospitality companies with strong operating cash flows. Rather than signalling financial distress, it reflects efficient working capital management, franchise-based operations, deferred revenue, and effective utilization of short-term financing to support business activities.</w:t>
      </w:r>
    </w:p>
    <w:p w14:paraId="3B422A65" w14:textId="77777777" w:rsidR="00C853B2" w:rsidRDefault="00000000">
      <w:pPr>
        <w:spacing w:line="360" w:lineRule="auto"/>
        <w:jc w:val="both"/>
        <w:rPr>
          <w:sz w:val="24"/>
          <w:szCs w:val="24"/>
          <w:lang w:val="en-IN"/>
        </w:rPr>
      </w:pPr>
      <w:r w:rsidRPr="008266F3">
        <w:rPr>
          <w:sz w:val="24"/>
          <w:szCs w:val="24"/>
          <w:lang w:val="en-IN"/>
        </w:rPr>
        <w:t>Liquidity ratios however, were poor, which according to Blessing and Sakouvogui (2023) implies that despite the organisation potentially being efficient in its activities, it can run into temporary liquid problems. Overall, it made the operating cycle of the company more efficient, although a closer cash liquidity management will be required to streamline cash receivables and cash payments in an efficient manner (Kumar, 2025). The company can also maximise its cash operating cycle by initiating automated billing systems, and electronic payment mechanisms to minimise delays in processing. Enhancement of collaboration with suppliers and implementation of just-in-time inventory may reduce stock holding (Folinas</w:t>
      </w:r>
      <w:r w:rsidRPr="008266F3">
        <w:rPr>
          <w:i/>
          <w:iCs/>
          <w:sz w:val="24"/>
          <w:szCs w:val="24"/>
          <w:lang w:val="en-IN"/>
        </w:rPr>
        <w:t>et al.</w:t>
      </w:r>
      <w:r w:rsidRPr="008266F3">
        <w:rPr>
          <w:sz w:val="24"/>
          <w:szCs w:val="24"/>
          <w:lang w:val="en-IN"/>
        </w:rPr>
        <w:t>, 2025). Better predicting and real time monitoring on financial status might also enable the management to ensure better cash flow stability and operational sensitivity in the changing market conditions. </w:t>
      </w:r>
    </w:p>
    <w:p w14:paraId="2C946B8F" w14:textId="77777777" w:rsidR="00F22492" w:rsidRPr="008266F3" w:rsidRDefault="00F22492">
      <w:pPr>
        <w:spacing w:line="360" w:lineRule="auto"/>
        <w:jc w:val="both"/>
        <w:rPr>
          <w:sz w:val="24"/>
          <w:szCs w:val="24"/>
          <w:lang w:val="en-IN"/>
        </w:rPr>
      </w:pPr>
    </w:p>
    <w:p w14:paraId="74613131" w14:textId="77777777" w:rsidR="00C853B2" w:rsidRPr="008266F3" w:rsidRDefault="00000000">
      <w:pPr>
        <w:spacing w:line="360" w:lineRule="auto"/>
        <w:jc w:val="both"/>
        <w:rPr>
          <w:b/>
          <w:bCs/>
          <w:sz w:val="24"/>
          <w:szCs w:val="24"/>
          <w:lang w:val="en-IN"/>
        </w:rPr>
      </w:pPr>
      <w:r w:rsidRPr="008266F3">
        <w:rPr>
          <w:b/>
          <w:bCs/>
          <w:sz w:val="24"/>
          <w:szCs w:val="24"/>
          <w:lang w:val="en-IN"/>
        </w:rPr>
        <w:t>b. Strategies to improve liquidity through working capital reforms</w:t>
      </w:r>
    </w:p>
    <w:p w14:paraId="4FA91019" w14:textId="77777777" w:rsidR="00C853B2" w:rsidRPr="008266F3" w:rsidRDefault="00000000">
      <w:pPr>
        <w:spacing w:line="360" w:lineRule="auto"/>
        <w:jc w:val="both"/>
        <w:rPr>
          <w:sz w:val="24"/>
          <w:szCs w:val="24"/>
          <w:lang w:val="en-IN"/>
        </w:rPr>
      </w:pPr>
      <w:r w:rsidRPr="008266F3">
        <w:rPr>
          <w:sz w:val="24"/>
          <w:szCs w:val="24"/>
          <w:lang w:val="en-IN"/>
        </w:rPr>
        <w:t xml:space="preserve">Introduction of effective working capital reforms, which involves the management of receivables, inventory and payables can make the organisation improve on the liquidity turnaround. To begin with, tightening credit control procedures and tightening terms of payment to their customers can help expedite the cash inflows and decrease the outstanding receivables. Second, Vaka (2024) notes that the use of online inventory management packages and demand forecasting packages would help avoid </w:t>
      </w:r>
      <w:r w:rsidRPr="008266F3">
        <w:rPr>
          <w:sz w:val="24"/>
          <w:szCs w:val="24"/>
          <w:lang w:val="en-IN"/>
        </w:rPr>
        <w:lastRenderedPageBreak/>
        <w:t>the cost of holding inventory with zero use and improve the efficiency of the turnover. Marriott International also has the opportunity to bargain long payment terms with its suppliers as this will guarantee them more short term cash without demolishing the relationship it has with suppliers. Other than this, Barnabas and Oloyede (2024) argue that optimisation of liquidity performance through optimizing the operating cash flow can be done through implementation of cost cutting programs and operating efficiency programs. The management may also consider adding cash budgeting and regular liquidity control to enable them to predict the cash shortages well in advance. The other area that Marriott International should consider should involve minimizing short term liabilities by ensuring that the company has adequate cash reserves (Puspa and Suyono, 2025). These changes can increase the stability of the working capital, increase financial flexibility, and operational sustainability in the long-run. The organisation might also increase liquidity through minimising unnecessary operational costs and efficiency in procurement processes. Early cash payment deals i.e., dynamic discounting can be included to boost the immediate cash inflows (Huang, 2022). To enhance the financial stability during unforeseen economic shocks and short-term market fluctuations, Marriott International can also create contingency liquidity reserves and enhance treasury management procedures. </w:t>
      </w:r>
    </w:p>
    <w:p w14:paraId="574EB543" w14:textId="77777777" w:rsidR="005519FD" w:rsidRPr="008266F3" w:rsidRDefault="005519FD">
      <w:pPr>
        <w:spacing w:line="360" w:lineRule="auto"/>
        <w:jc w:val="both"/>
        <w:rPr>
          <w:sz w:val="24"/>
          <w:szCs w:val="24"/>
          <w:lang w:val="en-IN"/>
        </w:rPr>
      </w:pPr>
    </w:p>
    <w:p w14:paraId="0D0297DE" w14:textId="77777777" w:rsidR="005519FD" w:rsidRPr="008266F3" w:rsidRDefault="005519FD">
      <w:pPr>
        <w:spacing w:line="360" w:lineRule="auto"/>
        <w:jc w:val="both"/>
        <w:rPr>
          <w:sz w:val="24"/>
          <w:szCs w:val="24"/>
          <w:lang w:val="en-IN"/>
        </w:rPr>
      </w:pPr>
    </w:p>
    <w:p w14:paraId="23DB6D1E" w14:textId="77777777" w:rsidR="00C853B2" w:rsidRPr="008266F3" w:rsidRDefault="00000000">
      <w:pPr>
        <w:spacing w:line="360" w:lineRule="auto"/>
        <w:jc w:val="both"/>
        <w:rPr>
          <w:b/>
          <w:bCs/>
          <w:sz w:val="24"/>
          <w:szCs w:val="24"/>
          <w:lang w:val="en-IN"/>
        </w:rPr>
      </w:pPr>
      <w:r w:rsidRPr="008266F3">
        <w:rPr>
          <w:b/>
          <w:bCs/>
          <w:sz w:val="24"/>
          <w:szCs w:val="24"/>
          <w:lang w:val="en-IN"/>
        </w:rPr>
        <w:t>c. Comparison of short-term vs long-term financing options </w:t>
      </w:r>
    </w:p>
    <w:p w14:paraId="33F5F02A" w14:textId="77777777" w:rsidR="00C853B2" w:rsidRDefault="00000000">
      <w:pPr>
        <w:spacing w:line="360" w:lineRule="auto"/>
        <w:jc w:val="both"/>
        <w:rPr>
          <w:sz w:val="24"/>
          <w:szCs w:val="24"/>
          <w:lang w:val="en-IN"/>
        </w:rPr>
      </w:pPr>
      <w:r w:rsidRPr="008266F3">
        <w:rPr>
          <w:sz w:val="24"/>
          <w:szCs w:val="24"/>
          <w:lang w:val="en-IN"/>
        </w:rPr>
        <w:t xml:space="preserve">Long-term and short-term financing are used in ways to aid in business operations and development. Meeting short term working capital requirements and day-to-day operations are mainly financed through short-term financing like bank overdrafts, trade credit and short-term loans. These are more likely to be easier to obtain and provide a faster supply of liquidity. However, they come with higher refinancing risks and fluctuation of the interest rates. Long-term financing, on the other hand, involves equity financing, debentures and long-term bank loans which are suitable in financing budgeted expansion projects, purchasing assets and strategic investments (Mustafina </w:t>
      </w:r>
      <w:r w:rsidRPr="008266F3">
        <w:rPr>
          <w:i/>
          <w:iCs/>
          <w:sz w:val="24"/>
          <w:szCs w:val="24"/>
          <w:lang w:val="en-IN"/>
        </w:rPr>
        <w:t>et al</w:t>
      </w:r>
      <w:r w:rsidRPr="008266F3">
        <w:rPr>
          <w:sz w:val="24"/>
          <w:szCs w:val="24"/>
          <w:lang w:val="en-IN"/>
        </w:rPr>
        <w:t>., 2020). Long-term financing would be more predictable in terms of financial stability and repayment, and it would have longer-term benefits. However, it would also increase the total costs and liabilities associated with overall borrowing. In the instance of the organisation in the attachment, there may be excessive liquidity pressure in the organisation due to low current ratios relying excessively on short-term liabilities. Therefore, for Marriott International, there is a need to strike the right balance between these two types of financing to be able to have efficient and financially run operations (Hasanudin, 2024). Temporal funding is flexible in regard to seasonal business needs and immediate cash requirements, whereas long-term funding can be used in regard to strategic growth and investment in infrastructure. Short-</w:t>
      </w:r>
      <w:r w:rsidRPr="008266F3">
        <w:rPr>
          <w:sz w:val="24"/>
          <w:szCs w:val="24"/>
          <w:lang w:val="en-IN"/>
        </w:rPr>
        <w:lastRenderedPageBreak/>
        <w:t>term sources are usually associated with quicker approval procedures but increased uncertainty with regard to refinancing. Long-term funding, on the other hand, offers a stable repayment and better financial planning with potentially fewer future borrowing options since long-term debt obligations incur debt. </w:t>
      </w:r>
    </w:p>
    <w:p w14:paraId="70CD7D4F" w14:textId="77777777" w:rsidR="00F22492" w:rsidRPr="008266F3" w:rsidRDefault="00F22492">
      <w:pPr>
        <w:spacing w:line="360" w:lineRule="auto"/>
        <w:jc w:val="both"/>
        <w:rPr>
          <w:sz w:val="24"/>
          <w:szCs w:val="24"/>
          <w:lang w:val="en-IN"/>
        </w:rPr>
      </w:pPr>
    </w:p>
    <w:p w14:paraId="7D0B540B" w14:textId="77777777" w:rsidR="00C853B2" w:rsidRDefault="00000000">
      <w:pPr>
        <w:pStyle w:val="Heading1"/>
        <w:spacing w:before="0" w:after="0"/>
        <w:rPr>
          <w:rFonts w:ascii="Arial" w:hAnsi="Arial"/>
          <w:lang w:val="en-IN"/>
        </w:rPr>
      </w:pPr>
      <w:r w:rsidRPr="008266F3">
        <w:rPr>
          <w:rFonts w:ascii="Arial" w:hAnsi="Arial"/>
          <w:lang w:val="en-IN"/>
        </w:rPr>
        <w:t xml:space="preserve">3. </w:t>
      </w:r>
      <w:bookmarkStart w:id="4" w:name="_Toc234929481"/>
      <w:r w:rsidRPr="008266F3">
        <w:rPr>
          <w:rFonts w:ascii="Arial" w:hAnsi="Arial"/>
          <w:lang w:val="en-IN"/>
        </w:rPr>
        <w:t>Strategic Financial Restructuring Plan</w:t>
      </w:r>
      <w:bookmarkEnd w:id="4"/>
    </w:p>
    <w:p w14:paraId="2AF88558" w14:textId="77777777" w:rsidR="00F22492" w:rsidRPr="00F22492" w:rsidRDefault="00F22492" w:rsidP="00F22492">
      <w:pPr>
        <w:rPr>
          <w:lang w:val="en-IN"/>
        </w:rPr>
      </w:pPr>
    </w:p>
    <w:p w14:paraId="36A43391" w14:textId="77777777" w:rsidR="00C853B2" w:rsidRPr="008266F3" w:rsidRDefault="00000000">
      <w:pPr>
        <w:spacing w:line="360" w:lineRule="auto"/>
        <w:jc w:val="both"/>
        <w:rPr>
          <w:b/>
          <w:bCs/>
          <w:sz w:val="24"/>
          <w:szCs w:val="24"/>
          <w:lang w:val="en-IN"/>
        </w:rPr>
      </w:pPr>
      <w:r w:rsidRPr="008266F3">
        <w:rPr>
          <w:b/>
          <w:bCs/>
          <w:sz w:val="24"/>
          <w:szCs w:val="24"/>
          <w:lang w:val="en-IN"/>
        </w:rPr>
        <w:t>a. Recommend financial restructuring options</w:t>
      </w:r>
    </w:p>
    <w:p w14:paraId="545B0808" w14:textId="77777777" w:rsidR="00C853B2" w:rsidRPr="008266F3" w:rsidRDefault="00000000">
      <w:pPr>
        <w:spacing w:line="360" w:lineRule="auto"/>
        <w:jc w:val="both"/>
        <w:rPr>
          <w:sz w:val="24"/>
          <w:szCs w:val="24"/>
          <w:lang w:val="en-IN"/>
        </w:rPr>
      </w:pPr>
      <w:r w:rsidRPr="008266F3">
        <w:rPr>
          <w:sz w:val="24"/>
          <w:szCs w:val="24"/>
          <w:lang w:val="en-IN"/>
        </w:rPr>
        <w:t>The financial assessment shows that Marriott International can be assisted into different restructuring mechanisms as a way of improving the liquidity and stability in the long term. The first, divestiture of underperforming/non-core assets, would assist in better cash hoarding and reduced maintenance costs, particularly as total assets would decrease at an unbelievably quick rate in 2025. Second, Mbaka (2026) notes that injection of equity by injections using new shares, or strategic investors can also result in having a better capital structure with a reduction in reliance on liabilities, and shareholder confidence also increases. Third, merger or strategic alliance opportunities would present operational synergies, access to a broader market, and economies of scale. Refinancing short-term debts to long-term requirements can also help the organisation ease short-term repayment and improve working capital flexibility. Also, Barnabas and Oloyede (2024) state that profitability and operating cash flow can be reinforced by operational restructuring through automation and cost optimisation. Such reorganisation would enable sustainable growth, a decrease in financial risk exposure, and resilience to economic uncertainty. Merrill (2020) suggests that Marriott International can also use leaseback funding as a method of selling fixed assets and renting them back, thus enhancing immediate liquidity without any interference in the operations. Operational costs can also be minimised by efficient workforce restructuring and using efficient supply chains. The venture could also start with the opportunity of attracting a private equity investment to fund technological upgrades, innovation and long-term opportunities of expansion in the competitive markets. </w:t>
      </w:r>
    </w:p>
    <w:p w14:paraId="43500A40" w14:textId="77777777" w:rsidR="00C853B2" w:rsidRPr="008266F3" w:rsidRDefault="00000000">
      <w:pPr>
        <w:spacing w:line="360" w:lineRule="auto"/>
        <w:jc w:val="both"/>
        <w:rPr>
          <w:b/>
          <w:bCs/>
          <w:sz w:val="24"/>
          <w:szCs w:val="24"/>
          <w:lang w:val="en-IN"/>
        </w:rPr>
      </w:pPr>
      <w:r w:rsidRPr="008266F3">
        <w:rPr>
          <w:b/>
          <w:bCs/>
          <w:sz w:val="24"/>
          <w:szCs w:val="24"/>
          <w:lang w:val="en-IN"/>
        </w:rPr>
        <w:t>b. Evaluate impact on shareholder value, debt structure, and operational flexibility</w:t>
      </w:r>
    </w:p>
    <w:p w14:paraId="70A60FF0" w14:textId="77777777" w:rsidR="00C853B2" w:rsidRDefault="00000000">
      <w:pPr>
        <w:spacing w:line="360" w:lineRule="auto"/>
        <w:jc w:val="both"/>
        <w:rPr>
          <w:sz w:val="24"/>
          <w:szCs w:val="24"/>
          <w:lang w:val="en-IN"/>
        </w:rPr>
      </w:pPr>
      <w:r w:rsidRPr="008266F3">
        <w:rPr>
          <w:sz w:val="24"/>
          <w:szCs w:val="24"/>
          <w:lang w:val="en-IN"/>
        </w:rPr>
        <w:t xml:space="preserve">Restructuring of the whereabouts can greatly impact shareholder worth, debt regulation, and convertibility. Equity injections can be beneficial in the short run, decreasing the existing ownership shares, but in the long term can be rewarded with advantages such as increased liquidity and reduced risk of bankruptcy. The divestiture plans will be able to boost profitability, as the management would be able to focus on the performing parts of the business (Feldman, 2021). This would potentially create a positive effect on the earnings per share and investor confidence. By refinancing short-term debts with long-term financing, liquidity pressure can be well brought down, and cash flow management can be </w:t>
      </w:r>
      <w:r w:rsidRPr="008266F3">
        <w:rPr>
          <w:sz w:val="24"/>
          <w:szCs w:val="24"/>
          <w:lang w:val="en-IN"/>
        </w:rPr>
        <w:lastRenderedPageBreak/>
        <w:t>well brought under control, thus enhancing the debt structure. However, the excess sourcing of long-term loans will augment interest, which will be paid in the long run. Economies of scale, operations synergies and improved market positioning can be achieved through acquisitions and mergers; however, the integration cost and cultural differences may lead to short-term cases. Ritchken and Wu (2021) state that some of the advantages of improved operational flexibility through reduced strains on debt include the capability to respond more to market changes, investment in innovation and environmental friendliness to its growth. Altogether, the balanced restructuring can be useful to enhance financial stability and strategic competitiveness. A successful reorganisation could enhance the market value with a higher level of investor confidence and a more positive profitability prognosis. Less debt will help in improving credit ratings and reducing the cost of financing (Mayr</w:t>
      </w:r>
      <w:r w:rsidRPr="008266F3">
        <w:rPr>
          <w:i/>
          <w:iCs/>
          <w:sz w:val="24"/>
          <w:szCs w:val="24"/>
          <w:lang w:val="en-IN"/>
        </w:rPr>
        <w:t xml:space="preserve"> et al.,</w:t>
      </w:r>
      <w:r w:rsidRPr="008266F3">
        <w:rPr>
          <w:sz w:val="24"/>
          <w:szCs w:val="24"/>
          <w:lang w:val="en-IN"/>
        </w:rPr>
        <w:t xml:space="preserve"> 2021). The increased flexibility in operations enables the organisation to respond fast to economic shifts, invest in research and development and enhance strategic decision making and sustain financial performance in volatile operating environments. </w:t>
      </w:r>
    </w:p>
    <w:p w14:paraId="6B1B47CA" w14:textId="77777777" w:rsidR="00F22492" w:rsidRPr="008266F3" w:rsidRDefault="00F22492">
      <w:pPr>
        <w:spacing w:line="360" w:lineRule="auto"/>
        <w:jc w:val="both"/>
        <w:rPr>
          <w:sz w:val="24"/>
          <w:szCs w:val="24"/>
          <w:lang w:val="en-IN"/>
        </w:rPr>
      </w:pPr>
    </w:p>
    <w:p w14:paraId="2DBE7076" w14:textId="77777777" w:rsidR="00C853B2" w:rsidRPr="008266F3" w:rsidRDefault="00000000">
      <w:pPr>
        <w:spacing w:line="360" w:lineRule="auto"/>
        <w:jc w:val="both"/>
        <w:rPr>
          <w:b/>
          <w:bCs/>
          <w:sz w:val="24"/>
          <w:szCs w:val="24"/>
          <w:lang w:val="en-IN"/>
        </w:rPr>
      </w:pPr>
      <w:r w:rsidRPr="008266F3">
        <w:rPr>
          <w:b/>
          <w:bCs/>
          <w:sz w:val="24"/>
          <w:szCs w:val="24"/>
          <w:lang w:val="en-IN"/>
        </w:rPr>
        <w:t>c. International and ethical considerations</w:t>
      </w:r>
    </w:p>
    <w:p w14:paraId="7DED2585" w14:textId="77777777" w:rsidR="00C853B2" w:rsidRDefault="00000000">
      <w:pPr>
        <w:spacing w:line="360" w:lineRule="auto"/>
        <w:jc w:val="both"/>
        <w:rPr>
          <w:sz w:val="24"/>
          <w:szCs w:val="24"/>
          <w:lang w:val="en-IN"/>
        </w:rPr>
      </w:pPr>
      <w:r w:rsidRPr="008266F3">
        <w:rPr>
          <w:sz w:val="24"/>
          <w:szCs w:val="24"/>
          <w:lang w:val="en-IN"/>
        </w:rPr>
        <w:t xml:space="preserve">International and ethical issues should be put into consideration when the decisions to be made about financial restructuring are made. Countries merging may be impacted by the taxation policies used in different countries, which influence the structure of the merger, the method of debt financing to be used, and the manner of profit repatriation. The financial operations of the multinational companies may be highly endangered by foreign exchange, especially when the debts or the incomes are measured using the global currencies. Inflationary pressures may also increase the cost of borrowing, decrease consumer buying power and/or reduce profit margins, and it involves higher financial planning and hedging (Bouis </w:t>
      </w:r>
      <w:r w:rsidRPr="008266F3">
        <w:rPr>
          <w:i/>
          <w:iCs/>
          <w:sz w:val="24"/>
          <w:szCs w:val="24"/>
          <w:lang w:val="en-IN"/>
        </w:rPr>
        <w:t>et al.</w:t>
      </w:r>
      <w:r w:rsidRPr="008266F3">
        <w:rPr>
          <w:sz w:val="24"/>
          <w:szCs w:val="24"/>
          <w:lang w:val="en-IN"/>
        </w:rPr>
        <w:t xml:space="preserve">, 2025). On the moral front, organisations are too experiencing increased pressure to maintain good levels of Corporate Social Responsibility (CSR), Environmental, Social and Governance (ESG) in cases of restructuring. Counterintuitive behaviour may be harmful to reputation and confidence in stakeholders when unresponsibly attempting to reduce workforce, liquidate assets, or seek high tax rates. The company is thus meant to concentrate on transparent methods of governance, fair treatment of employees, a sustainable environment and fair financial reporting. The implementation of ESG in decisions about the restructuring of companies can lead to an increase in investor confidence, brand image, and long-term sustainability performance (Lin, 2024). The organisation also needs to look into the global regulatory compliance, labour standards and cross-border governance requirements in restructuring activities. The restructuring of ethics will help Marriott International reduce the adverse social effects on the workers and local communities. Also, green </w:t>
      </w:r>
      <w:r w:rsidRPr="008266F3">
        <w:rPr>
          <w:sz w:val="24"/>
          <w:szCs w:val="24"/>
          <w:lang w:val="en-IN"/>
        </w:rPr>
        <w:lastRenderedPageBreak/>
        <w:t>financing and sustainable investment procedures can help to increase the ESG ratings, bringing responsible investors on board, and enhancing international corporate image in more sustainability-aware global markets (Liang and Renneboog, 2020). </w:t>
      </w:r>
    </w:p>
    <w:p w14:paraId="194B6F20" w14:textId="77777777" w:rsidR="00F22492" w:rsidRPr="008266F3" w:rsidRDefault="00F22492">
      <w:pPr>
        <w:spacing w:line="360" w:lineRule="auto"/>
        <w:jc w:val="both"/>
        <w:rPr>
          <w:sz w:val="24"/>
          <w:szCs w:val="24"/>
          <w:lang w:val="en-IN"/>
        </w:rPr>
      </w:pPr>
    </w:p>
    <w:p w14:paraId="0DC56A89" w14:textId="77777777" w:rsidR="00C853B2" w:rsidRPr="008266F3" w:rsidRDefault="00000000">
      <w:pPr>
        <w:pStyle w:val="Heading1"/>
        <w:spacing w:before="0" w:after="0"/>
        <w:rPr>
          <w:rFonts w:ascii="Arial" w:hAnsi="Arial"/>
          <w:lang w:val="en-GB"/>
        </w:rPr>
      </w:pPr>
      <w:bookmarkStart w:id="5" w:name="_Toc234929482"/>
      <w:r w:rsidRPr="008266F3">
        <w:rPr>
          <w:rFonts w:ascii="Arial" w:hAnsi="Arial"/>
          <w:lang w:val="en-GB"/>
        </w:rPr>
        <w:t>4. Investment Appraisal and Capital Budgeting</w:t>
      </w:r>
      <w:bookmarkEnd w:id="5"/>
    </w:p>
    <w:p w14:paraId="6994CFF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Budgeting decisions are critical in a well-known global hospitality company like Marriott International. According to Kozłowski and Korzeniewski (2024), hotel investments require substantial capital and need long payback periods. Therefore, using five investment appraisal techniques, the most suitable investment opportunity has been identified for the three projects presented in Appendix 1. </w:t>
      </w:r>
    </w:p>
    <w:p w14:paraId="0CFB8B3B"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Let the discount rate be 8%, time 5 years</w:t>
      </w:r>
    </w:p>
    <w:p w14:paraId="29190F02"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So, the annual depreciation is Depreciation=5/£50m = £10m per year</w:t>
      </w:r>
    </w:p>
    <w:p w14:paraId="41617886" w14:textId="77777777" w:rsidR="00C853B2" w:rsidRDefault="00000000">
      <w:pPr>
        <w:pStyle w:val="NormalWeb"/>
        <w:spacing w:before="0" w:beforeAutospacing="0" w:after="0" w:afterAutospacing="0" w:line="360" w:lineRule="auto"/>
        <w:jc w:val="both"/>
        <w:rPr>
          <w:rFonts w:ascii="Arial" w:hAnsi="Arial" w:cs="Arial"/>
          <w:b/>
          <w:bCs/>
          <w:i/>
          <w:iCs/>
          <w:lang w:val="en-GB"/>
        </w:rPr>
      </w:pPr>
      <w:r w:rsidRPr="008266F3">
        <w:rPr>
          <w:rFonts w:ascii="Arial" w:hAnsi="Arial" w:cs="Arial"/>
          <w:b/>
          <w:bCs/>
          <w:i/>
          <w:iCs/>
          <w:lang w:val="en-GB"/>
        </w:rPr>
        <w:t>Payback Period (PBP)  </w:t>
      </w:r>
    </w:p>
    <w:p w14:paraId="669B6AD1" w14:textId="77777777" w:rsidR="00F22492" w:rsidRPr="008266F3" w:rsidRDefault="00F22492">
      <w:pPr>
        <w:pStyle w:val="NormalWeb"/>
        <w:spacing w:before="0" w:beforeAutospacing="0" w:after="0" w:afterAutospacing="0" w:line="360" w:lineRule="auto"/>
        <w:jc w:val="both"/>
        <w:rPr>
          <w:rFonts w:ascii="Arial" w:hAnsi="Arial" w:cs="Arial"/>
          <w:lang w:val="en-GB"/>
        </w:rPr>
      </w:pPr>
    </w:p>
    <w:p w14:paraId="53597A61" w14:textId="77777777" w:rsidR="00C853B2" w:rsidRPr="008266F3" w:rsidRDefault="00000000">
      <w:pPr>
        <w:pStyle w:val="NormalWeb"/>
        <w:spacing w:before="0" w:beforeAutospacing="0" w:after="0" w:afterAutospacing="0" w:line="360" w:lineRule="auto"/>
        <w:jc w:val="both"/>
        <w:rPr>
          <w:rFonts w:ascii="Arial" w:hAnsi="Arial" w:cs="Arial"/>
          <w:b/>
          <w:lang w:val="en-GB"/>
        </w:rPr>
      </w:pPr>
      <w:r w:rsidRPr="008266F3">
        <w:rPr>
          <w:rFonts w:ascii="Arial" w:hAnsi="Arial" w:cs="Arial"/>
          <w:b/>
          <w:lang w:val="en-GB"/>
        </w:rPr>
        <w:t> Project A</w:t>
      </w:r>
    </w:p>
    <w:tbl>
      <w:tblPr>
        <w:tblW w:w="9026" w:type="dxa"/>
        <w:tblCellMar>
          <w:top w:w="15" w:type="dxa"/>
          <w:left w:w="15" w:type="dxa"/>
          <w:bottom w:w="15" w:type="dxa"/>
          <w:right w:w="15" w:type="dxa"/>
        </w:tblCellMar>
        <w:tblLook w:val="04A0" w:firstRow="1" w:lastRow="0" w:firstColumn="1" w:lastColumn="0" w:noHBand="0" w:noVBand="1"/>
      </w:tblPr>
      <w:tblGrid>
        <w:gridCol w:w="1694"/>
        <w:gridCol w:w="3822"/>
        <w:gridCol w:w="3510"/>
      </w:tblGrid>
      <w:tr w:rsidR="00C853B2" w:rsidRPr="008266F3" w14:paraId="0AE25A82"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B8C2F1"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1B5A04"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Cash flow(£)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590359"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Cumulative</w:t>
            </w:r>
          </w:p>
        </w:tc>
      </w:tr>
      <w:tr w:rsidR="00C853B2" w:rsidRPr="008266F3" w14:paraId="5A987B06"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B6D35E"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D78216"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A63DA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10</w:t>
            </w:r>
          </w:p>
        </w:tc>
      </w:tr>
      <w:tr w:rsidR="00C853B2" w:rsidRPr="008266F3" w14:paraId="1D61EBF0"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B46DF9"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EBA64C"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579E54"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22</w:t>
            </w:r>
          </w:p>
        </w:tc>
      </w:tr>
      <w:tr w:rsidR="00C853B2" w:rsidRPr="008266F3" w14:paraId="70453642"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A50D7C"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0329D5"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68BDC5"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36</w:t>
            </w:r>
          </w:p>
        </w:tc>
      </w:tr>
      <w:tr w:rsidR="00C853B2" w:rsidRPr="008266F3" w14:paraId="5A279B86"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3F8062"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2CF38F"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88AB7D"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46</w:t>
            </w:r>
          </w:p>
        </w:tc>
      </w:tr>
      <w:tr w:rsidR="00C853B2" w:rsidRPr="008266F3" w14:paraId="50EE972E"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86379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0FD335"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265DEF"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54</w:t>
            </w:r>
          </w:p>
        </w:tc>
      </w:tr>
    </w:tbl>
    <w:p w14:paraId="6C2A9534" w14:textId="77777777" w:rsidR="00C853B2" w:rsidRPr="008266F3" w:rsidRDefault="00000000">
      <w:pPr>
        <w:pStyle w:val="NormalWeb"/>
        <w:spacing w:before="0" w:beforeAutospacing="0" w:after="0" w:afterAutospacing="0" w:line="360" w:lineRule="auto"/>
        <w:jc w:val="center"/>
        <w:rPr>
          <w:rFonts w:ascii="Arial" w:hAnsi="Arial" w:cs="Arial"/>
          <w:lang w:val="en-GB"/>
        </w:rPr>
      </w:pPr>
      <w:r w:rsidRPr="008266F3">
        <w:rPr>
          <w:rFonts w:ascii="Arial" w:hAnsi="Arial" w:cs="Arial"/>
          <w:lang w:val="en-GB"/>
        </w:rPr>
        <w:t>PBP= 4+ (50-46)/8= 4.5 years</w:t>
      </w:r>
    </w:p>
    <w:p w14:paraId="38AACF65" w14:textId="77777777" w:rsidR="00C853B2" w:rsidRDefault="00C853B2">
      <w:pPr>
        <w:spacing w:line="360" w:lineRule="auto"/>
        <w:rPr>
          <w:sz w:val="24"/>
          <w:szCs w:val="24"/>
          <w:lang w:val="en-GB"/>
        </w:rPr>
      </w:pPr>
    </w:p>
    <w:p w14:paraId="682478F1" w14:textId="77777777" w:rsidR="00F22492" w:rsidRDefault="00F22492">
      <w:pPr>
        <w:spacing w:line="360" w:lineRule="auto"/>
        <w:rPr>
          <w:sz w:val="24"/>
          <w:szCs w:val="24"/>
          <w:lang w:val="en-GB"/>
        </w:rPr>
      </w:pPr>
    </w:p>
    <w:p w14:paraId="7C78C216" w14:textId="77777777" w:rsidR="00F22492" w:rsidRDefault="00F22492">
      <w:pPr>
        <w:spacing w:line="360" w:lineRule="auto"/>
        <w:rPr>
          <w:sz w:val="24"/>
          <w:szCs w:val="24"/>
          <w:lang w:val="en-GB"/>
        </w:rPr>
      </w:pPr>
    </w:p>
    <w:p w14:paraId="7D210903" w14:textId="77777777" w:rsidR="00F22492" w:rsidRDefault="00F22492">
      <w:pPr>
        <w:spacing w:line="360" w:lineRule="auto"/>
        <w:rPr>
          <w:sz w:val="24"/>
          <w:szCs w:val="24"/>
          <w:lang w:val="en-GB"/>
        </w:rPr>
      </w:pPr>
    </w:p>
    <w:p w14:paraId="45DE9B39" w14:textId="77777777" w:rsidR="00F22492" w:rsidRDefault="00F22492">
      <w:pPr>
        <w:spacing w:line="360" w:lineRule="auto"/>
        <w:rPr>
          <w:sz w:val="24"/>
          <w:szCs w:val="24"/>
          <w:lang w:val="en-GB"/>
        </w:rPr>
      </w:pPr>
    </w:p>
    <w:p w14:paraId="77211D19" w14:textId="77777777" w:rsidR="00F22492" w:rsidRDefault="00F22492">
      <w:pPr>
        <w:spacing w:line="360" w:lineRule="auto"/>
        <w:rPr>
          <w:sz w:val="24"/>
          <w:szCs w:val="24"/>
          <w:lang w:val="en-GB"/>
        </w:rPr>
      </w:pPr>
    </w:p>
    <w:p w14:paraId="0A93EE69" w14:textId="77777777" w:rsidR="00F22492" w:rsidRDefault="00F22492">
      <w:pPr>
        <w:spacing w:line="360" w:lineRule="auto"/>
        <w:rPr>
          <w:sz w:val="24"/>
          <w:szCs w:val="24"/>
          <w:lang w:val="en-GB"/>
        </w:rPr>
      </w:pPr>
    </w:p>
    <w:p w14:paraId="418D106E" w14:textId="77777777" w:rsidR="00F22492" w:rsidRDefault="00F22492">
      <w:pPr>
        <w:spacing w:line="360" w:lineRule="auto"/>
        <w:rPr>
          <w:sz w:val="24"/>
          <w:szCs w:val="24"/>
          <w:lang w:val="en-GB"/>
        </w:rPr>
      </w:pPr>
    </w:p>
    <w:p w14:paraId="5998F6F3" w14:textId="77777777" w:rsidR="00F22492" w:rsidRPr="008266F3" w:rsidRDefault="00F22492">
      <w:pPr>
        <w:spacing w:line="360" w:lineRule="auto"/>
        <w:rPr>
          <w:sz w:val="24"/>
          <w:szCs w:val="24"/>
          <w:lang w:val="en-GB"/>
        </w:rPr>
      </w:pPr>
    </w:p>
    <w:p w14:paraId="0BE337ED" w14:textId="77777777" w:rsidR="00C853B2" w:rsidRPr="008266F3" w:rsidRDefault="00000000">
      <w:pPr>
        <w:pStyle w:val="NormalWeb"/>
        <w:spacing w:before="0" w:beforeAutospacing="0" w:after="0" w:afterAutospacing="0" w:line="360" w:lineRule="auto"/>
        <w:jc w:val="both"/>
        <w:rPr>
          <w:rFonts w:ascii="Arial" w:hAnsi="Arial" w:cs="Arial"/>
          <w:b/>
          <w:lang w:val="en-GB"/>
        </w:rPr>
      </w:pPr>
      <w:r w:rsidRPr="008266F3">
        <w:rPr>
          <w:rFonts w:ascii="Arial" w:hAnsi="Arial" w:cs="Arial"/>
          <w:b/>
          <w:lang w:val="en-GB"/>
        </w:rPr>
        <w:lastRenderedPageBreak/>
        <w:t> Project B</w:t>
      </w:r>
    </w:p>
    <w:tbl>
      <w:tblPr>
        <w:tblW w:w="9026" w:type="dxa"/>
        <w:tblCellMar>
          <w:top w:w="15" w:type="dxa"/>
          <w:left w:w="15" w:type="dxa"/>
          <w:bottom w:w="15" w:type="dxa"/>
          <w:right w:w="15" w:type="dxa"/>
        </w:tblCellMar>
        <w:tblLook w:val="04A0" w:firstRow="1" w:lastRow="0" w:firstColumn="1" w:lastColumn="0" w:noHBand="0" w:noVBand="1"/>
      </w:tblPr>
      <w:tblGrid>
        <w:gridCol w:w="1694"/>
        <w:gridCol w:w="3822"/>
        <w:gridCol w:w="3510"/>
      </w:tblGrid>
      <w:tr w:rsidR="00C853B2" w:rsidRPr="008266F3" w14:paraId="184C0E0F"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E53798"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929A69"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Cash flow(£)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3A7FF8"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Cumulative</w:t>
            </w:r>
          </w:p>
        </w:tc>
      </w:tr>
      <w:tr w:rsidR="00C853B2" w:rsidRPr="008266F3" w14:paraId="3EF2F250"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C41B6F"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5D3DD3"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19B2F3"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11</w:t>
            </w:r>
          </w:p>
        </w:tc>
      </w:tr>
      <w:tr w:rsidR="00C853B2" w:rsidRPr="008266F3" w14:paraId="5865E3DA"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46BF55"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26D24D"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5EDD8B"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22</w:t>
            </w:r>
          </w:p>
        </w:tc>
      </w:tr>
      <w:tr w:rsidR="00C853B2" w:rsidRPr="008266F3" w14:paraId="3C7C19F8"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E3118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24B1D3"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C6CB90"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33</w:t>
            </w:r>
          </w:p>
        </w:tc>
      </w:tr>
      <w:tr w:rsidR="00C853B2" w:rsidRPr="008266F3" w14:paraId="376B5DF2"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FD23F2"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58E77D"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B56187"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44</w:t>
            </w:r>
          </w:p>
        </w:tc>
      </w:tr>
      <w:tr w:rsidR="00C853B2" w:rsidRPr="008266F3" w14:paraId="154B88B1"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FFE7F4"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7249B7"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82D5A8"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55</w:t>
            </w:r>
          </w:p>
        </w:tc>
      </w:tr>
    </w:tbl>
    <w:p w14:paraId="0DC7AF1E" w14:textId="77777777" w:rsidR="00C853B2" w:rsidRPr="008266F3" w:rsidRDefault="00000000">
      <w:pPr>
        <w:pStyle w:val="NormalWeb"/>
        <w:spacing w:before="0" w:beforeAutospacing="0" w:after="0" w:afterAutospacing="0" w:line="360" w:lineRule="auto"/>
        <w:jc w:val="center"/>
        <w:rPr>
          <w:rFonts w:ascii="Arial" w:hAnsi="Arial" w:cs="Arial"/>
          <w:lang w:val="en-GB"/>
        </w:rPr>
      </w:pPr>
      <w:r w:rsidRPr="008266F3">
        <w:rPr>
          <w:rFonts w:ascii="Arial" w:hAnsi="Arial" w:cs="Arial"/>
          <w:lang w:val="en-GB"/>
        </w:rPr>
        <w:t>PBP= 4+ (55-44)/11= 4.55 years</w:t>
      </w:r>
    </w:p>
    <w:p w14:paraId="03C180DB" w14:textId="77777777" w:rsidR="008266F3" w:rsidRPr="008266F3" w:rsidRDefault="008266F3">
      <w:pPr>
        <w:pStyle w:val="NormalWeb"/>
        <w:spacing w:before="0" w:beforeAutospacing="0" w:after="0" w:afterAutospacing="0" w:line="360" w:lineRule="auto"/>
        <w:jc w:val="center"/>
        <w:rPr>
          <w:rFonts w:ascii="Arial" w:hAnsi="Arial" w:cs="Arial"/>
          <w:lang w:val="en-GB"/>
        </w:rPr>
      </w:pPr>
    </w:p>
    <w:p w14:paraId="0C72288C" w14:textId="77777777" w:rsidR="008266F3" w:rsidRPr="008266F3" w:rsidRDefault="008266F3">
      <w:pPr>
        <w:pStyle w:val="NormalWeb"/>
        <w:spacing w:before="0" w:beforeAutospacing="0" w:after="0" w:afterAutospacing="0" w:line="360" w:lineRule="auto"/>
        <w:jc w:val="center"/>
        <w:rPr>
          <w:rFonts w:ascii="Arial" w:hAnsi="Arial" w:cs="Arial"/>
          <w:lang w:val="en-GB"/>
        </w:rPr>
      </w:pPr>
    </w:p>
    <w:p w14:paraId="5A9B5B31" w14:textId="77777777" w:rsidR="008266F3" w:rsidRPr="008266F3" w:rsidRDefault="008266F3">
      <w:pPr>
        <w:pStyle w:val="NormalWeb"/>
        <w:spacing w:before="0" w:beforeAutospacing="0" w:after="0" w:afterAutospacing="0" w:line="360" w:lineRule="auto"/>
        <w:jc w:val="center"/>
        <w:rPr>
          <w:rFonts w:ascii="Arial" w:hAnsi="Arial" w:cs="Arial"/>
          <w:lang w:val="en-GB"/>
        </w:rPr>
      </w:pPr>
    </w:p>
    <w:p w14:paraId="2B216E4E" w14:textId="77777777" w:rsidR="008266F3" w:rsidRDefault="008266F3">
      <w:pPr>
        <w:pStyle w:val="NormalWeb"/>
        <w:spacing w:before="0" w:beforeAutospacing="0" w:after="0" w:afterAutospacing="0" w:line="360" w:lineRule="auto"/>
        <w:jc w:val="center"/>
        <w:rPr>
          <w:rFonts w:ascii="Arial" w:hAnsi="Arial" w:cs="Arial"/>
          <w:lang w:val="en-GB"/>
        </w:rPr>
      </w:pPr>
    </w:p>
    <w:p w14:paraId="3CEE63A8" w14:textId="77777777" w:rsidR="008266F3" w:rsidRDefault="008266F3">
      <w:pPr>
        <w:pStyle w:val="NormalWeb"/>
        <w:spacing w:before="0" w:beforeAutospacing="0" w:after="0" w:afterAutospacing="0" w:line="360" w:lineRule="auto"/>
        <w:jc w:val="center"/>
        <w:rPr>
          <w:rFonts w:ascii="Arial" w:hAnsi="Arial" w:cs="Arial"/>
          <w:lang w:val="en-GB"/>
        </w:rPr>
      </w:pPr>
    </w:p>
    <w:p w14:paraId="4E451B48" w14:textId="77777777" w:rsidR="008266F3" w:rsidRDefault="008266F3">
      <w:pPr>
        <w:pStyle w:val="NormalWeb"/>
        <w:spacing w:before="0" w:beforeAutospacing="0" w:after="0" w:afterAutospacing="0" w:line="360" w:lineRule="auto"/>
        <w:jc w:val="center"/>
        <w:rPr>
          <w:rFonts w:ascii="Arial" w:hAnsi="Arial" w:cs="Arial"/>
          <w:lang w:val="en-GB"/>
        </w:rPr>
      </w:pPr>
    </w:p>
    <w:p w14:paraId="12C21719" w14:textId="77777777" w:rsidR="008266F3" w:rsidRDefault="008266F3">
      <w:pPr>
        <w:pStyle w:val="NormalWeb"/>
        <w:spacing w:before="0" w:beforeAutospacing="0" w:after="0" w:afterAutospacing="0" w:line="360" w:lineRule="auto"/>
        <w:jc w:val="center"/>
        <w:rPr>
          <w:rFonts w:ascii="Arial" w:hAnsi="Arial" w:cs="Arial"/>
          <w:lang w:val="en-GB"/>
        </w:rPr>
      </w:pPr>
    </w:p>
    <w:p w14:paraId="0F301B15" w14:textId="77777777" w:rsidR="008266F3" w:rsidRPr="008266F3" w:rsidRDefault="008266F3">
      <w:pPr>
        <w:pStyle w:val="NormalWeb"/>
        <w:spacing w:before="0" w:beforeAutospacing="0" w:after="0" w:afterAutospacing="0" w:line="360" w:lineRule="auto"/>
        <w:jc w:val="center"/>
        <w:rPr>
          <w:rFonts w:ascii="Arial" w:hAnsi="Arial" w:cs="Arial"/>
          <w:lang w:val="en-GB"/>
        </w:rPr>
      </w:pPr>
    </w:p>
    <w:p w14:paraId="321AB09C" w14:textId="77777777" w:rsidR="008266F3" w:rsidRPr="008266F3" w:rsidRDefault="008266F3">
      <w:pPr>
        <w:pStyle w:val="NormalWeb"/>
        <w:spacing w:before="0" w:beforeAutospacing="0" w:after="0" w:afterAutospacing="0" w:line="360" w:lineRule="auto"/>
        <w:jc w:val="center"/>
        <w:rPr>
          <w:rFonts w:ascii="Arial" w:hAnsi="Arial" w:cs="Arial"/>
          <w:lang w:val="en-GB"/>
        </w:rPr>
      </w:pPr>
    </w:p>
    <w:p w14:paraId="4095C9F2" w14:textId="77777777" w:rsidR="00C853B2" w:rsidRPr="008266F3" w:rsidRDefault="00000000">
      <w:pPr>
        <w:pStyle w:val="NormalWeb"/>
        <w:spacing w:before="0" w:beforeAutospacing="0" w:after="0" w:afterAutospacing="0" w:line="360" w:lineRule="auto"/>
        <w:jc w:val="both"/>
        <w:rPr>
          <w:rFonts w:ascii="Arial" w:hAnsi="Arial" w:cs="Arial"/>
          <w:b/>
          <w:lang w:val="en-GB"/>
        </w:rPr>
      </w:pPr>
      <w:r w:rsidRPr="008266F3">
        <w:rPr>
          <w:rFonts w:ascii="Arial" w:hAnsi="Arial" w:cs="Arial"/>
          <w:b/>
          <w:lang w:val="en-GB"/>
        </w:rPr>
        <w:t> Project C</w:t>
      </w:r>
    </w:p>
    <w:tbl>
      <w:tblPr>
        <w:tblW w:w="9026" w:type="dxa"/>
        <w:tblCellMar>
          <w:top w:w="15" w:type="dxa"/>
          <w:left w:w="15" w:type="dxa"/>
          <w:bottom w:w="15" w:type="dxa"/>
          <w:right w:w="15" w:type="dxa"/>
        </w:tblCellMar>
        <w:tblLook w:val="04A0" w:firstRow="1" w:lastRow="0" w:firstColumn="1" w:lastColumn="0" w:noHBand="0" w:noVBand="1"/>
      </w:tblPr>
      <w:tblGrid>
        <w:gridCol w:w="1694"/>
        <w:gridCol w:w="3822"/>
        <w:gridCol w:w="3510"/>
      </w:tblGrid>
      <w:tr w:rsidR="00C853B2" w:rsidRPr="008266F3" w14:paraId="0D576396"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711DA8"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8BA095"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Cash flow(£)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9C32D9"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Cumulative</w:t>
            </w:r>
          </w:p>
        </w:tc>
      </w:tr>
      <w:tr w:rsidR="00C853B2" w:rsidRPr="008266F3" w14:paraId="7747A777"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94202C"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A3180C"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DE3297"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5</w:t>
            </w:r>
          </w:p>
        </w:tc>
      </w:tr>
      <w:tr w:rsidR="00C853B2" w:rsidRPr="008266F3" w14:paraId="57DAEC8F"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F06D8E"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A794A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FEFA73"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15</w:t>
            </w:r>
          </w:p>
        </w:tc>
      </w:tr>
      <w:tr w:rsidR="00C853B2" w:rsidRPr="008266F3" w14:paraId="35737F0B"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B2218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BD5AB6"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4DDF12"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35</w:t>
            </w:r>
          </w:p>
        </w:tc>
      </w:tr>
      <w:tr w:rsidR="00C853B2" w:rsidRPr="008266F3" w14:paraId="5204FD73"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DDAA1B"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D390DF"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69844B"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60</w:t>
            </w:r>
          </w:p>
        </w:tc>
      </w:tr>
    </w:tbl>
    <w:p w14:paraId="247BF434" w14:textId="77777777" w:rsidR="00C853B2" w:rsidRPr="008266F3" w:rsidRDefault="00000000">
      <w:pPr>
        <w:pStyle w:val="NormalWeb"/>
        <w:spacing w:before="0" w:beforeAutospacing="0" w:after="0" w:afterAutospacing="0" w:line="360" w:lineRule="auto"/>
        <w:jc w:val="center"/>
        <w:rPr>
          <w:rFonts w:ascii="Arial" w:hAnsi="Arial" w:cs="Arial"/>
          <w:lang w:val="en-GB"/>
        </w:rPr>
      </w:pPr>
      <w:r w:rsidRPr="008266F3">
        <w:rPr>
          <w:rFonts w:ascii="Arial" w:hAnsi="Arial" w:cs="Arial"/>
          <w:lang w:val="en-GB"/>
        </w:rPr>
        <w:t>PBP= 3+ (50-35)/25= 3.6 years</w:t>
      </w:r>
    </w:p>
    <w:p w14:paraId="4254370C" w14:textId="77777777" w:rsidR="00C853B2"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Based on the PBP ranking, C recovers the fastest investment, presenting the lowest liquidity risk. </w:t>
      </w:r>
    </w:p>
    <w:p w14:paraId="1D41C503" w14:textId="77777777" w:rsidR="00F22492" w:rsidRDefault="00F22492">
      <w:pPr>
        <w:pStyle w:val="NormalWeb"/>
        <w:spacing w:before="0" w:beforeAutospacing="0" w:after="0" w:afterAutospacing="0" w:line="360" w:lineRule="auto"/>
        <w:jc w:val="both"/>
        <w:rPr>
          <w:rFonts w:ascii="Arial" w:hAnsi="Arial" w:cs="Arial"/>
          <w:lang w:val="en-GB"/>
        </w:rPr>
      </w:pPr>
    </w:p>
    <w:p w14:paraId="66C14EE7" w14:textId="77777777" w:rsidR="00F22492" w:rsidRDefault="00F22492">
      <w:pPr>
        <w:pStyle w:val="NormalWeb"/>
        <w:spacing w:before="0" w:beforeAutospacing="0" w:after="0" w:afterAutospacing="0" w:line="360" w:lineRule="auto"/>
        <w:jc w:val="both"/>
        <w:rPr>
          <w:rFonts w:ascii="Arial" w:hAnsi="Arial" w:cs="Arial"/>
          <w:lang w:val="en-GB"/>
        </w:rPr>
      </w:pPr>
    </w:p>
    <w:p w14:paraId="21622FA1" w14:textId="77777777" w:rsidR="00F22492" w:rsidRPr="008266F3" w:rsidRDefault="00F22492">
      <w:pPr>
        <w:pStyle w:val="NormalWeb"/>
        <w:spacing w:before="0" w:beforeAutospacing="0" w:after="0" w:afterAutospacing="0" w:line="360" w:lineRule="auto"/>
        <w:jc w:val="both"/>
        <w:rPr>
          <w:rFonts w:ascii="Arial" w:hAnsi="Arial" w:cs="Arial"/>
          <w:lang w:val="en-GB"/>
        </w:rPr>
      </w:pPr>
    </w:p>
    <w:p w14:paraId="33D09E21"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i/>
          <w:iCs/>
          <w:lang w:val="en-GB"/>
        </w:rPr>
        <w:lastRenderedPageBreak/>
        <w:t>Accounting Rate of Return (ARR) </w:t>
      </w:r>
    </w:p>
    <w:p w14:paraId="654F1880"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For project A: Average annual cash inflow:</w:t>
      </w:r>
    </w:p>
    <w:p w14:paraId="266BCF67"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(10+12+14+10+85)/5=10.8</w:t>
      </w:r>
    </w:p>
    <w:p w14:paraId="11006149"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And annual profit: 10.8−10=0.8m</w:t>
      </w:r>
    </w:p>
    <w:p w14:paraId="56A0F034"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 (0.8 x 100)/5 =1.6%</w:t>
      </w:r>
    </w:p>
    <w:p w14:paraId="772BEE0D"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For project B: Average annual cash inflow:</w:t>
      </w:r>
    </w:p>
    <w:p w14:paraId="6B586FE4"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(55)/5=11</w:t>
      </w:r>
    </w:p>
    <w:p w14:paraId="3AC971BE"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And annual profit: 11−10=1m</w:t>
      </w:r>
    </w:p>
    <w:p w14:paraId="5D1D5FDC"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 (100/50) = 2.0%</w:t>
      </w:r>
    </w:p>
    <w:p w14:paraId="4AF372F5"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For project C: Average annual cash inflow:</w:t>
      </w:r>
    </w:p>
    <w:p w14:paraId="788DFA64"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(55)/5=13</w:t>
      </w:r>
    </w:p>
    <w:p w14:paraId="79CBC2E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And annual profit: 13−10= 3m</w:t>
      </w:r>
    </w:p>
    <w:p w14:paraId="4B4AE079" w14:textId="129269D0" w:rsidR="0004785C" w:rsidRPr="008266F3" w:rsidRDefault="00000000" w:rsidP="0004785C">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 (3/50) X 100 = 6.0%</w:t>
      </w:r>
    </w:p>
    <w:p w14:paraId="0B68D4B4"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xml:space="preserve">From the evaluated annual profits, </w:t>
      </w:r>
      <w:proofErr w:type="gramStart"/>
      <w:r w:rsidRPr="008266F3">
        <w:rPr>
          <w:rFonts w:ascii="Arial" w:hAnsi="Arial" w:cs="Arial"/>
          <w:lang w:val="en-GB"/>
        </w:rPr>
        <w:t>it can be seen that Project</w:t>
      </w:r>
      <w:proofErr w:type="gramEnd"/>
      <w:r w:rsidRPr="008266F3">
        <w:rPr>
          <w:rFonts w:ascii="Arial" w:hAnsi="Arial" w:cs="Arial"/>
          <w:lang w:val="en-GB"/>
        </w:rPr>
        <w:t xml:space="preserve"> C generates the highest AAR. </w:t>
      </w:r>
    </w:p>
    <w:p w14:paraId="111CCE3F" w14:textId="68D91945" w:rsidR="008266F3"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Now for NPV evaluation, the time value of money using 8% discount rate, where for the 1st year, the value is 0.926 per second year, 0.857 for the 3rd year, and 0.794 for the 4th year, 0.735 and for the 5th year, the value is 0.681.</w:t>
      </w:r>
    </w:p>
    <w:p w14:paraId="6087D69D" w14:textId="77777777" w:rsidR="00C853B2" w:rsidRPr="008266F3" w:rsidRDefault="00000000">
      <w:pPr>
        <w:spacing w:line="360" w:lineRule="auto"/>
        <w:rPr>
          <w:sz w:val="24"/>
        </w:rPr>
      </w:pPr>
      <w:r w:rsidRPr="008266F3">
        <w:rPr>
          <w:b/>
          <w:i/>
          <w:sz w:val="24"/>
        </w:rPr>
        <w:t>Again, in the case of Project A,</w:t>
      </w:r>
    </w:p>
    <w:p w14:paraId="564132F4" w14:textId="77777777" w:rsidR="00C853B2" w:rsidRPr="008266F3" w:rsidRDefault="00000000">
      <w:pPr>
        <w:spacing w:line="360" w:lineRule="auto"/>
        <w:rPr>
          <w:sz w:val="24"/>
        </w:rPr>
      </w:pPr>
      <w:r w:rsidRPr="008266F3">
        <w:rPr>
          <w:sz w:val="24"/>
        </w:rPr>
        <w:t>the NPV is calculated below</w:t>
      </w:r>
    </w:p>
    <w:p w14:paraId="1E4CA664"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10(0.926) +12(0.857)+14(0.794)+10(0.735)+8(0.681)=£43.46m</w:t>
      </w:r>
    </w:p>
    <w:p w14:paraId="7D980571"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NPV=43.46−50NPV=−£6.54m </w:t>
      </w:r>
    </w:p>
    <w:p w14:paraId="4C15CC51"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xml:space="preserve">Similarly, for project </w:t>
      </w:r>
      <w:r w:rsidRPr="008266F3">
        <w:rPr>
          <w:rFonts w:ascii="Arial" w:hAnsi="Arial" w:cs="Arial"/>
          <w:b/>
          <w:i/>
          <w:lang w:val="en-GB"/>
        </w:rPr>
        <w:t>B, the value is</w:t>
      </w:r>
    </w:p>
    <w:p w14:paraId="7B4C1A76"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1(0.926+0.857+0.794+0.735+0.681) =£43.92m</w:t>
      </w:r>
    </w:p>
    <w:p w14:paraId="31A0154F"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NPV=43.92−50= −£6.08m </w:t>
      </w:r>
    </w:p>
    <w:p w14:paraId="655E3583" w14:textId="77777777" w:rsidR="00C853B2" w:rsidRPr="008266F3" w:rsidRDefault="00000000">
      <w:pPr>
        <w:pStyle w:val="NormalWeb"/>
        <w:spacing w:before="0" w:beforeAutospacing="0" w:after="0" w:afterAutospacing="0" w:line="360" w:lineRule="auto"/>
        <w:jc w:val="both"/>
        <w:rPr>
          <w:rFonts w:ascii="Arial" w:hAnsi="Arial" w:cs="Arial"/>
          <w:b/>
          <w:i/>
          <w:lang w:val="en-GB"/>
        </w:rPr>
      </w:pPr>
      <w:r w:rsidRPr="008266F3">
        <w:rPr>
          <w:rFonts w:ascii="Arial" w:hAnsi="Arial" w:cs="Arial"/>
          <w:b/>
          <w:i/>
          <w:lang w:val="en-GB"/>
        </w:rPr>
        <w:t>Now for C is </w:t>
      </w:r>
    </w:p>
    <w:p w14:paraId="6A37DD2C"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5(0.926)+10(0.857)+20(0.794)+25(0.735)+5(0.681) =£50.86m </w:t>
      </w:r>
    </w:p>
    <w:p w14:paraId="7C2CC11D"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NPV=50.86−50=£0.86m </w:t>
      </w:r>
    </w:p>
    <w:p w14:paraId="5BF97776"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i/>
          <w:iCs/>
          <w:lang w:val="en-GB"/>
        </w:rPr>
        <w:t>Profitability Index (PI) </w:t>
      </w:r>
    </w:p>
    <w:p w14:paraId="0C68C25C"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Now, in the case of finding PI, the used formula is </w:t>
      </w:r>
    </w:p>
    <w:p w14:paraId="29F50AC1"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IP = PV of Future Cash Inflows​/ Initial Investment</w:t>
      </w:r>
    </w:p>
    <w:p w14:paraId="38AA64F5"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For A: PI=43.46​/ 50 =0.87</w:t>
      </w:r>
    </w:p>
    <w:p w14:paraId="7BEFD27B"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For B: PI=43.92​/ 50 =0.88</w:t>
      </w:r>
    </w:p>
    <w:p w14:paraId="43CA36EC" w14:textId="3FA9CB4F" w:rsidR="008266F3" w:rsidRPr="008266F3" w:rsidRDefault="00000000" w:rsidP="001658C5">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For C: PI=50.86​/ 50 = 1.02</w:t>
      </w:r>
    </w:p>
    <w:p w14:paraId="597EC078" w14:textId="6FE96BCA" w:rsidR="001658C5" w:rsidRPr="008266F3" w:rsidRDefault="001658C5" w:rsidP="001658C5">
      <w:pPr>
        <w:pStyle w:val="NormalWeb"/>
        <w:spacing w:before="0" w:beforeAutospacing="0" w:after="0" w:afterAutospacing="0" w:line="360" w:lineRule="auto"/>
        <w:jc w:val="both"/>
        <w:rPr>
          <w:rFonts w:ascii="Arial" w:hAnsi="Arial" w:cs="Arial"/>
          <w:b/>
          <w:bCs/>
          <w:lang w:val="en-IN"/>
        </w:rPr>
      </w:pPr>
      <w:r w:rsidRPr="008266F3">
        <w:rPr>
          <w:rFonts w:ascii="Arial" w:hAnsi="Arial" w:cs="Arial"/>
          <w:b/>
          <w:bCs/>
          <w:lang w:val="en-IN"/>
        </w:rPr>
        <w:lastRenderedPageBreak/>
        <w:t>Working Capital and Liquidity Analysis (2021–2025)</w:t>
      </w:r>
    </w:p>
    <w:tbl>
      <w:tblPr>
        <w:tblStyle w:val="PlainTabl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075"/>
      </w:tblGrid>
      <w:tr w:rsidR="001658C5" w:rsidRPr="008266F3" w14:paraId="3705EF40" w14:textId="77777777" w:rsidTr="001658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75" w:type="dxa"/>
            <w:tcBorders>
              <w:bottom w:val="none" w:sz="0" w:space="0" w:color="auto"/>
            </w:tcBorders>
          </w:tcPr>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59"/>
              <w:gridCol w:w="1175"/>
              <w:gridCol w:w="1175"/>
              <w:gridCol w:w="1175"/>
              <w:gridCol w:w="1175"/>
              <w:gridCol w:w="1190"/>
            </w:tblGrid>
            <w:tr w:rsidR="001658C5" w:rsidRPr="008266F3" w14:paraId="095FC258" w14:textId="77777777" w:rsidTr="001658C5">
              <w:trPr>
                <w:tblHeader/>
                <w:tblCellSpacing w:w="15" w:type="dxa"/>
              </w:trPr>
              <w:tc>
                <w:tcPr>
                  <w:tcW w:w="0" w:type="auto"/>
                  <w:vAlign w:val="center"/>
                  <w:hideMark/>
                </w:tcPr>
                <w:p w14:paraId="4F2B1A25" w14:textId="77777777" w:rsidR="001658C5" w:rsidRPr="008266F3" w:rsidRDefault="001658C5" w:rsidP="007A64B2">
                  <w:pPr>
                    <w:pStyle w:val="NormalWeb"/>
                    <w:spacing w:line="360" w:lineRule="auto"/>
                    <w:jc w:val="both"/>
                    <w:rPr>
                      <w:rFonts w:ascii="Arial" w:hAnsi="Arial" w:cs="Arial"/>
                      <w:b/>
                      <w:bCs/>
                      <w:lang w:val="en-IN"/>
                    </w:rPr>
                  </w:pPr>
                  <w:r w:rsidRPr="008266F3">
                    <w:rPr>
                      <w:rFonts w:ascii="Arial" w:hAnsi="Arial" w:cs="Arial"/>
                      <w:b/>
                      <w:bCs/>
                      <w:lang w:val="en-IN"/>
                    </w:rPr>
                    <w:t>Particulars (£ million)</w:t>
                  </w:r>
                </w:p>
              </w:tc>
              <w:tc>
                <w:tcPr>
                  <w:tcW w:w="0" w:type="auto"/>
                  <w:vAlign w:val="center"/>
                  <w:hideMark/>
                </w:tcPr>
                <w:p w14:paraId="4396E059" w14:textId="77777777" w:rsidR="001658C5" w:rsidRPr="008266F3" w:rsidRDefault="001658C5" w:rsidP="007A64B2">
                  <w:pPr>
                    <w:pStyle w:val="NormalWeb"/>
                    <w:spacing w:line="360" w:lineRule="auto"/>
                    <w:jc w:val="both"/>
                    <w:rPr>
                      <w:rFonts w:ascii="Arial" w:hAnsi="Arial" w:cs="Arial"/>
                      <w:b/>
                      <w:bCs/>
                      <w:lang w:val="en-IN"/>
                    </w:rPr>
                  </w:pPr>
                  <w:r w:rsidRPr="008266F3">
                    <w:rPr>
                      <w:rFonts w:ascii="Arial" w:hAnsi="Arial" w:cs="Arial"/>
                      <w:b/>
                      <w:bCs/>
                      <w:lang w:val="en-IN"/>
                    </w:rPr>
                    <w:t>2021</w:t>
                  </w:r>
                </w:p>
              </w:tc>
              <w:tc>
                <w:tcPr>
                  <w:tcW w:w="0" w:type="auto"/>
                  <w:vAlign w:val="center"/>
                  <w:hideMark/>
                </w:tcPr>
                <w:p w14:paraId="0E29872F" w14:textId="77777777" w:rsidR="001658C5" w:rsidRPr="008266F3" w:rsidRDefault="001658C5" w:rsidP="007A64B2">
                  <w:pPr>
                    <w:pStyle w:val="NormalWeb"/>
                    <w:spacing w:line="360" w:lineRule="auto"/>
                    <w:jc w:val="both"/>
                    <w:rPr>
                      <w:rFonts w:ascii="Arial" w:hAnsi="Arial" w:cs="Arial"/>
                      <w:b/>
                      <w:bCs/>
                      <w:lang w:val="en-IN"/>
                    </w:rPr>
                  </w:pPr>
                  <w:r w:rsidRPr="008266F3">
                    <w:rPr>
                      <w:rFonts w:ascii="Arial" w:hAnsi="Arial" w:cs="Arial"/>
                      <w:b/>
                      <w:bCs/>
                      <w:lang w:val="en-IN"/>
                    </w:rPr>
                    <w:t>2022</w:t>
                  </w:r>
                </w:p>
              </w:tc>
              <w:tc>
                <w:tcPr>
                  <w:tcW w:w="0" w:type="auto"/>
                  <w:vAlign w:val="center"/>
                  <w:hideMark/>
                </w:tcPr>
                <w:p w14:paraId="6A33C92C" w14:textId="77777777" w:rsidR="001658C5" w:rsidRPr="008266F3" w:rsidRDefault="001658C5" w:rsidP="007A64B2">
                  <w:pPr>
                    <w:pStyle w:val="NormalWeb"/>
                    <w:spacing w:line="360" w:lineRule="auto"/>
                    <w:jc w:val="both"/>
                    <w:rPr>
                      <w:rFonts w:ascii="Arial" w:hAnsi="Arial" w:cs="Arial"/>
                      <w:b/>
                      <w:bCs/>
                      <w:lang w:val="en-IN"/>
                    </w:rPr>
                  </w:pPr>
                  <w:r w:rsidRPr="008266F3">
                    <w:rPr>
                      <w:rFonts w:ascii="Arial" w:hAnsi="Arial" w:cs="Arial"/>
                      <w:b/>
                      <w:bCs/>
                      <w:lang w:val="en-IN"/>
                    </w:rPr>
                    <w:t>2023</w:t>
                  </w:r>
                </w:p>
              </w:tc>
              <w:tc>
                <w:tcPr>
                  <w:tcW w:w="0" w:type="auto"/>
                  <w:vAlign w:val="center"/>
                  <w:hideMark/>
                </w:tcPr>
                <w:p w14:paraId="5FB9988A" w14:textId="77777777" w:rsidR="001658C5" w:rsidRPr="008266F3" w:rsidRDefault="001658C5" w:rsidP="007A64B2">
                  <w:pPr>
                    <w:pStyle w:val="NormalWeb"/>
                    <w:spacing w:line="360" w:lineRule="auto"/>
                    <w:jc w:val="both"/>
                    <w:rPr>
                      <w:rFonts w:ascii="Arial" w:hAnsi="Arial" w:cs="Arial"/>
                      <w:b/>
                      <w:bCs/>
                      <w:lang w:val="en-IN"/>
                    </w:rPr>
                  </w:pPr>
                  <w:r w:rsidRPr="008266F3">
                    <w:rPr>
                      <w:rFonts w:ascii="Arial" w:hAnsi="Arial" w:cs="Arial"/>
                      <w:b/>
                      <w:bCs/>
                      <w:lang w:val="en-IN"/>
                    </w:rPr>
                    <w:t>2024</w:t>
                  </w:r>
                </w:p>
              </w:tc>
              <w:tc>
                <w:tcPr>
                  <w:tcW w:w="0" w:type="auto"/>
                  <w:vAlign w:val="center"/>
                  <w:hideMark/>
                </w:tcPr>
                <w:p w14:paraId="6E1DD420" w14:textId="77777777" w:rsidR="001658C5" w:rsidRPr="008266F3" w:rsidRDefault="001658C5" w:rsidP="007A64B2">
                  <w:pPr>
                    <w:pStyle w:val="NormalWeb"/>
                    <w:spacing w:line="360" w:lineRule="auto"/>
                    <w:jc w:val="both"/>
                    <w:rPr>
                      <w:rFonts w:ascii="Arial" w:hAnsi="Arial" w:cs="Arial"/>
                      <w:b/>
                      <w:bCs/>
                      <w:lang w:val="en-IN"/>
                    </w:rPr>
                  </w:pPr>
                  <w:r w:rsidRPr="008266F3">
                    <w:rPr>
                      <w:rFonts w:ascii="Arial" w:hAnsi="Arial" w:cs="Arial"/>
                      <w:b/>
                      <w:bCs/>
                      <w:lang w:val="en-IN"/>
                    </w:rPr>
                    <w:t>2025</w:t>
                  </w:r>
                </w:p>
              </w:tc>
            </w:tr>
            <w:tr w:rsidR="001658C5" w:rsidRPr="008266F3" w14:paraId="4200AFAA" w14:textId="77777777" w:rsidTr="001658C5">
              <w:trPr>
                <w:tblCellSpacing w:w="15" w:type="dxa"/>
              </w:trPr>
              <w:tc>
                <w:tcPr>
                  <w:tcW w:w="0" w:type="auto"/>
                  <w:vAlign w:val="center"/>
                  <w:hideMark/>
                </w:tcPr>
                <w:p w14:paraId="39AF610B"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Current Assets</w:t>
                  </w:r>
                </w:p>
              </w:tc>
              <w:tc>
                <w:tcPr>
                  <w:tcW w:w="0" w:type="auto"/>
                  <w:vAlign w:val="center"/>
                  <w:hideMark/>
                </w:tcPr>
                <w:p w14:paraId="182AA9E2"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2,291.00</w:t>
                  </w:r>
                </w:p>
              </w:tc>
              <w:tc>
                <w:tcPr>
                  <w:tcW w:w="0" w:type="auto"/>
                  <w:vAlign w:val="center"/>
                  <w:hideMark/>
                </w:tcPr>
                <w:p w14:paraId="37C3F022"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2,488.50</w:t>
                  </w:r>
                </w:p>
              </w:tc>
              <w:tc>
                <w:tcPr>
                  <w:tcW w:w="0" w:type="auto"/>
                  <w:vAlign w:val="center"/>
                  <w:hideMark/>
                </w:tcPr>
                <w:p w14:paraId="72E0288F"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2,607.00</w:t>
                  </w:r>
                </w:p>
              </w:tc>
              <w:tc>
                <w:tcPr>
                  <w:tcW w:w="0" w:type="auto"/>
                  <w:vAlign w:val="center"/>
                  <w:hideMark/>
                </w:tcPr>
                <w:p w14:paraId="1C80D87B"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2,753.15</w:t>
                  </w:r>
                </w:p>
              </w:tc>
              <w:tc>
                <w:tcPr>
                  <w:tcW w:w="0" w:type="auto"/>
                  <w:vAlign w:val="center"/>
                  <w:hideMark/>
                </w:tcPr>
                <w:p w14:paraId="15FDBB21"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2,831.36</w:t>
                  </w:r>
                </w:p>
              </w:tc>
            </w:tr>
            <w:tr w:rsidR="001658C5" w:rsidRPr="008266F3" w14:paraId="2B874741" w14:textId="77777777" w:rsidTr="001658C5">
              <w:trPr>
                <w:tblCellSpacing w:w="15" w:type="dxa"/>
              </w:trPr>
              <w:tc>
                <w:tcPr>
                  <w:tcW w:w="0" w:type="auto"/>
                  <w:vAlign w:val="center"/>
                  <w:hideMark/>
                </w:tcPr>
                <w:p w14:paraId="2F5FDBF5"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Current Liabilities</w:t>
                  </w:r>
                </w:p>
              </w:tc>
              <w:tc>
                <w:tcPr>
                  <w:tcW w:w="0" w:type="auto"/>
                  <w:vAlign w:val="center"/>
                  <w:hideMark/>
                </w:tcPr>
                <w:p w14:paraId="0B861F9F"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5,609.00</w:t>
                  </w:r>
                </w:p>
              </w:tc>
              <w:tc>
                <w:tcPr>
                  <w:tcW w:w="0" w:type="auto"/>
                  <w:vAlign w:val="center"/>
                  <w:hideMark/>
                </w:tcPr>
                <w:p w14:paraId="3377D388"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6,201.50</w:t>
                  </w:r>
                </w:p>
              </w:tc>
              <w:tc>
                <w:tcPr>
                  <w:tcW w:w="0" w:type="auto"/>
                  <w:vAlign w:val="center"/>
                  <w:hideMark/>
                </w:tcPr>
                <w:p w14:paraId="16FAC7CC"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6,438.50</w:t>
                  </w:r>
                </w:p>
              </w:tc>
              <w:tc>
                <w:tcPr>
                  <w:tcW w:w="0" w:type="auto"/>
                  <w:vAlign w:val="center"/>
                  <w:hideMark/>
                </w:tcPr>
                <w:p w14:paraId="2DCFAA36"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6,832.71</w:t>
                  </w:r>
                </w:p>
              </w:tc>
              <w:tc>
                <w:tcPr>
                  <w:tcW w:w="0" w:type="auto"/>
                  <w:vAlign w:val="center"/>
                  <w:hideMark/>
                </w:tcPr>
                <w:p w14:paraId="12C1AFF0"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6,634.42</w:t>
                  </w:r>
                </w:p>
              </w:tc>
            </w:tr>
            <w:tr w:rsidR="001658C5" w:rsidRPr="008266F3" w14:paraId="4586FFE1" w14:textId="77777777" w:rsidTr="001658C5">
              <w:trPr>
                <w:tblCellSpacing w:w="15" w:type="dxa"/>
              </w:trPr>
              <w:tc>
                <w:tcPr>
                  <w:tcW w:w="0" w:type="auto"/>
                  <w:vAlign w:val="center"/>
                  <w:hideMark/>
                </w:tcPr>
                <w:p w14:paraId="7FC563DF"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b/>
                      <w:bCs/>
                      <w:lang w:val="en-IN"/>
                    </w:rPr>
                    <w:t>Net Working Capital</w:t>
                  </w:r>
                </w:p>
              </w:tc>
              <w:tc>
                <w:tcPr>
                  <w:tcW w:w="0" w:type="auto"/>
                  <w:vAlign w:val="center"/>
                  <w:hideMark/>
                </w:tcPr>
                <w:p w14:paraId="52956B5B"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b/>
                      <w:bCs/>
                      <w:lang w:val="en-IN"/>
                    </w:rPr>
                    <w:t>(3,318.00)</w:t>
                  </w:r>
                </w:p>
              </w:tc>
              <w:tc>
                <w:tcPr>
                  <w:tcW w:w="0" w:type="auto"/>
                  <w:vAlign w:val="center"/>
                  <w:hideMark/>
                </w:tcPr>
                <w:p w14:paraId="494459F3"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b/>
                      <w:bCs/>
                      <w:lang w:val="en-IN"/>
                    </w:rPr>
                    <w:t>(3,713.00)</w:t>
                  </w:r>
                </w:p>
              </w:tc>
              <w:tc>
                <w:tcPr>
                  <w:tcW w:w="0" w:type="auto"/>
                  <w:vAlign w:val="center"/>
                  <w:hideMark/>
                </w:tcPr>
                <w:p w14:paraId="5E3B9B96"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b/>
                      <w:bCs/>
                      <w:lang w:val="en-IN"/>
                    </w:rPr>
                    <w:t>(3,831.50)</w:t>
                  </w:r>
                </w:p>
              </w:tc>
              <w:tc>
                <w:tcPr>
                  <w:tcW w:w="0" w:type="auto"/>
                  <w:vAlign w:val="center"/>
                  <w:hideMark/>
                </w:tcPr>
                <w:p w14:paraId="2FCCC14E"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b/>
                      <w:bCs/>
                      <w:lang w:val="en-IN"/>
                    </w:rPr>
                    <w:t>(4,079.56)</w:t>
                  </w:r>
                </w:p>
              </w:tc>
              <w:tc>
                <w:tcPr>
                  <w:tcW w:w="0" w:type="auto"/>
                  <w:vAlign w:val="center"/>
                  <w:hideMark/>
                </w:tcPr>
                <w:p w14:paraId="5D2091D2"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b/>
                      <w:bCs/>
                      <w:lang w:val="en-IN"/>
                    </w:rPr>
                    <w:t>(3,804.06)</w:t>
                  </w:r>
                </w:p>
              </w:tc>
            </w:tr>
            <w:tr w:rsidR="001658C5" w:rsidRPr="008266F3" w14:paraId="7EDB2258" w14:textId="77777777" w:rsidTr="001658C5">
              <w:trPr>
                <w:tblCellSpacing w:w="15" w:type="dxa"/>
              </w:trPr>
              <w:tc>
                <w:tcPr>
                  <w:tcW w:w="0" w:type="auto"/>
                  <w:vAlign w:val="center"/>
                  <w:hideMark/>
                </w:tcPr>
                <w:p w14:paraId="6713255D"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Cash &amp; Cash Equivalents</w:t>
                  </w:r>
                </w:p>
              </w:tc>
              <w:tc>
                <w:tcPr>
                  <w:tcW w:w="0" w:type="auto"/>
                  <w:vAlign w:val="center"/>
                  <w:hideMark/>
                </w:tcPr>
                <w:p w14:paraId="648D5DB0"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592.50</w:t>
                  </w:r>
                </w:p>
              </w:tc>
              <w:tc>
                <w:tcPr>
                  <w:tcW w:w="0" w:type="auto"/>
                  <w:vAlign w:val="center"/>
                  <w:hideMark/>
                </w:tcPr>
                <w:p w14:paraId="1E502146"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489.80</w:t>
                  </w:r>
                </w:p>
              </w:tc>
              <w:tc>
                <w:tcPr>
                  <w:tcW w:w="0" w:type="auto"/>
                  <w:vAlign w:val="center"/>
                  <w:hideMark/>
                </w:tcPr>
                <w:p w14:paraId="03194955"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278.87</w:t>
                  </w:r>
                </w:p>
              </w:tc>
              <w:tc>
                <w:tcPr>
                  <w:tcW w:w="0" w:type="auto"/>
                  <w:vAlign w:val="center"/>
                  <w:hideMark/>
                </w:tcPr>
                <w:p w14:paraId="7C1EFF9E"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312.84</w:t>
                  </w:r>
                </w:p>
              </w:tc>
              <w:tc>
                <w:tcPr>
                  <w:tcW w:w="0" w:type="auto"/>
                  <w:vAlign w:val="center"/>
                  <w:hideMark/>
                </w:tcPr>
                <w:p w14:paraId="4C414404"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282.82</w:t>
                  </w:r>
                </w:p>
              </w:tc>
            </w:tr>
            <w:tr w:rsidR="001658C5" w:rsidRPr="008266F3" w14:paraId="317FF6A2" w14:textId="77777777" w:rsidTr="001658C5">
              <w:trPr>
                <w:tblCellSpacing w:w="15" w:type="dxa"/>
              </w:trPr>
              <w:tc>
                <w:tcPr>
                  <w:tcW w:w="0" w:type="auto"/>
                  <w:vAlign w:val="center"/>
                  <w:hideMark/>
                </w:tcPr>
                <w:p w14:paraId="37C18274"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Accounts Receivable</w:t>
                  </w:r>
                </w:p>
              </w:tc>
              <w:tc>
                <w:tcPr>
                  <w:tcW w:w="0" w:type="auto"/>
                  <w:vAlign w:val="center"/>
                  <w:hideMark/>
                </w:tcPr>
                <w:p w14:paraId="15B678FB"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1,817.00</w:t>
                  </w:r>
                </w:p>
              </w:tc>
              <w:tc>
                <w:tcPr>
                  <w:tcW w:w="0" w:type="auto"/>
                  <w:vAlign w:val="center"/>
                  <w:hideMark/>
                </w:tcPr>
                <w:p w14:paraId="144BEAAF"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2,014.50</w:t>
                  </w:r>
                </w:p>
              </w:tc>
              <w:tc>
                <w:tcPr>
                  <w:tcW w:w="0" w:type="auto"/>
                  <w:vAlign w:val="center"/>
                  <w:hideMark/>
                </w:tcPr>
                <w:p w14:paraId="3F770993"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2,117.20</w:t>
                  </w:r>
                </w:p>
              </w:tc>
              <w:tc>
                <w:tcPr>
                  <w:tcW w:w="0" w:type="auto"/>
                  <w:vAlign w:val="center"/>
                  <w:hideMark/>
                </w:tcPr>
                <w:p w14:paraId="54B7299D"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2,208.05</w:t>
                  </w:r>
                </w:p>
              </w:tc>
              <w:tc>
                <w:tcPr>
                  <w:tcW w:w="0" w:type="auto"/>
                  <w:vAlign w:val="center"/>
                  <w:hideMark/>
                </w:tcPr>
                <w:p w14:paraId="11C44461"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2,298.11</w:t>
                  </w:r>
                </w:p>
              </w:tc>
            </w:tr>
            <w:tr w:rsidR="001658C5" w:rsidRPr="008266F3" w14:paraId="390DC258" w14:textId="77777777" w:rsidTr="001658C5">
              <w:trPr>
                <w:tblCellSpacing w:w="15" w:type="dxa"/>
              </w:trPr>
              <w:tc>
                <w:tcPr>
                  <w:tcW w:w="0" w:type="auto"/>
                  <w:vAlign w:val="center"/>
                  <w:hideMark/>
                </w:tcPr>
                <w:p w14:paraId="152583F0"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Current Ratio</w:t>
                  </w:r>
                </w:p>
              </w:tc>
              <w:tc>
                <w:tcPr>
                  <w:tcW w:w="0" w:type="auto"/>
                  <w:vAlign w:val="center"/>
                  <w:hideMark/>
                </w:tcPr>
                <w:p w14:paraId="5B4354EB"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0.41</w:t>
                  </w:r>
                </w:p>
              </w:tc>
              <w:tc>
                <w:tcPr>
                  <w:tcW w:w="0" w:type="auto"/>
                  <w:vAlign w:val="center"/>
                  <w:hideMark/>
                </w:tcPr>
                <w:p w14:paraId="411DA731"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0.40</w:t>
                  </w:r>
                </w:p>
              </w:tc>
              <w:tc>
                <w:tcPr>
                  <w:tcW w:w="0" w:type="auto"/>
                  <w:vAlign w:val="center"/>
                  <w:hideMark/>
                </w:tcPr>
                <w:p w14:paraId="29A3EB41"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0.40</w:t>
                  </w:r>
                </w:p>
              </w:tc>
              <w:tc>
                <w:tcPr>
                  <w:tcW w:w="0" w:type="auto"/>
                  <w:vAlign w:val="center"/>
                  <w:hideMark/>
                </w:tcPr>
                <w:p w14:paraId="1084D809"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0.40</w:t>
                  </w:r>
                </w:p>
              </w:tc>
              <w:tc>
                <w:tcPr>
                  <w:tcW w:w="0" w:type="auto"/>
                  <w:vAlign w:val="center"/>
                  <w:hideMark/>
                </w:tcPr>
                <w:p w14:paraId="53608651"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0.43</w:t>
                  </w:r>
                </w:p>
              </w:tc>
            </w:tr>
            <w:tr w:rsidR="001658C5" w:rsidRPr="008266F3" w14:paraId="7CDA8B92" w14:textId="77777777" w:rsidTr="001658C5">
              <w:trPr>
                <w:tblCellSpacing w:w="15" w:type="dxa"/>
              </w:trPr>
              <w:tc>
                <w:tcPr>
                  <w:tcW w:w="0" w:type="auto"/>
                  <w:vAlign w:val="center"/>
                  <w:hideMark/>
                </w:tcPr>
                <w:p w14:paraId="5FE5798A"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Cash Ratio</w:t>
                  </w:r>
                </w:p>
              </w:tc>
              <w:tc>
                <w:tcPr>
                  <w:tcW w:w="0" w:type="auto"/>
                  <w:vAlign w:val="center"/>
                  <w:hideMark/>
                </w:tcPr>
                <w:p w14:paraId="01749F98"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0.11</w:t>
                  </w:r>
                </w:p>
              </w:tc>
              <w:tc>
                <w:tcPr>
                  <w:tcW w:w="0" w:type="auto"/>
                  <w:vAlign w:val="center"/>
                  <w:hideMark/>
                </w:tcPr>
                <w:p w14:paraId="721B3261"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0.08</w:t>
                  </w:r>
                </w:p>
              </w:tc>
              <w:tc>
                <w:tcPr>
                  <w:tcW w:w="0" w:type="auto"/>
                  <w:vAlign w:val="center"/>
                  <w:hideMark/>
                </w:tcPr>
                <w:p w14:paraId="18689ADE"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0.04</w:t>
                  </w:r>
                </w:p>
              </w:tc>
              <w:tc>
                <w:tcPr>
                  <w:tcW w:w="0" w:type="auto"/>
                  <w:vAlign w:val="center"/>
                  <w:hideMark/>
                </w:tcPr>
                <w:p w14:paraId="0009FD9C"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0.05</w:t>
                  </w:r>
                </w:p>
              </w:tc>
              <w:tc>
                <w:tcPr>
                  <w:tcW w:w="0" w:type="auto"/>
                  <w:vAlign w:val="center"/>
                  <w:hideMark/>
                </w:tcPr>
                <w:p w14:paraId="1A52FDAD"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0.04</w:t>
                  </w:r>
                </w:p>
              </w:tc>
            </w:tr>
          </w:tbl>
          <w:p w14:paraId="67295099" w14:textId="77777777" w:rsidR="001658C5" w:rsidRPr="008266F3" w:rsidRDefault="001658C5"/>
        </w:tc>
      </w:tr>
    </w:tbl>
    <w:p w14:paraId="68119BAD" w14:textId="77777777" w:rsidR="00C853B2" w:rsidRPr="008266F3" w:rsidRDefault="00C853B2">
      <w:pPr>
        <w:pStyle w:val="NormalWeb"/>
        <w:spacing w:before="0" w:beforeAutospacing="0" w:after="0" w:afterAutospacing="0" w:line="360" w:lineRule="auto"/>
        <w:jc w:val="both"/>
        <w:rPr>
          <w:rFonts w:ascii="Arial" w:hAnsi="Arial" w:cs="Arial"/>
          <w:lang w:val="en-GB"/>
        </w:rPr>
      </w:pPr>
    </w:p>
    <w:p w14:paraId="068E32FD" w14:textId="26656BE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color w:val="000000" w:themeColor="text1"/>
        </w:rPr>
        <w:t xml:space="preserve">Working Capital Management (WCM) is the management of short-term financial requirements of an organization. This includes maintaining the optimal balance of working capital components such as receivables, inventory and payables and using the cash efficiently for day-to-day operations. Long term funds are required to create production facilities through the purchase of fixed assets such as plant &amp; machinery, solid background, building, furniture, etc. Investments in these assets represent that piece of a firm’s capital which is blanked out on permanent or fixed earth and is called fixed capital. Funds are also needed for short-term purposes for the purchase of crude material, payment of wages and other </w:t>
      </w:r>
      <w:r w:rsidR="0004785C" w:rsidRPr="008266F3">
        <w:rPr>
          <w:rFonts w:ascii="Arial" w:hAnsi="Arial" w:cs="Arial"/>
          <w:color w:val="000000" w:themeColor="text1"/>
        </w:rPr>
        <w:t>expenses. Investment</w:t>
      </w:r>
      <w:r w:rsidRPr="008266F3">
        <w:rPr>
          <w:rFonts w:ascii="Arial" w:hAnsi="Arial" w:cs="Arial"/>
          <w:color w:val="000000" w:themeColor="text1"/>
        </w:rPr>
        <w:t xml:space="preserve"> appraisal and capital budgeting are important parts of financial management for identifying long-term investment opportunities that support various projects to maximise shareholder value. Each of the Project’s A, B, and C has an initial investment of £50 million over five years. In the first technique, PBP tracks initial investment, whereas Project C showed the shortest payback period of 3.6 years, compared to Project A at 4.5 years and 4.55 years for Project B. In the second method, ARR is 1.6% for A, 2% for B, and 6 % for Project C. </w:t>
      </w:r>
      <w:r w:rsidRPr="008266F3">
        <w:rPr>
          <w:rFonts w:ascii="Arial" w:hAnsi="Arial" w:cs="Arial"/>
          <w:color w:val="000000" w:themeColor="text1"/>
          <w:lang w:val="en-GB"/>
        </w:rPr>
        <w:t xml:space="preserve">Based on the NPV value findings, it can be stated that A and B both give negative values, whereas C shows a positive value only. </w:t>
      </w:r>
      <w:r w:rsidRPr="008266F3">
        <w:rPr>
          <w:rFonts w:ascii="Arial" w:hAnsi="Arial" w:cs="Arial"/>
          <w:color w:val="000000" w:themeColor="text1"/>
        </w:rPr>
        <w:t xml:space="preserve">Moreover, the time value of money was incorporated, that helped to calculate NPV by using an 8% discount rate. However, Ridwan </w:t>
      </w:r>
      <w:r w:rsidRPr="008266F3">
        <w:rPr>
          <w:rFonts w:ascii="Arial" w:hAnsi="Arial" w:cs="Arial"/>
          <w:i/>
          <w:iCs/>
          <w:color w:val="000000" w:themeColor="text1"/>
        </w:rPr>
        <w:t xml:space="preserve">et al. </w:t>
      </w:r>
      <w:r w:rsidRPr="008266F3">
        <w:rPr>
          <w:rFonts w:ascii="Arial" w:hAnsi="Arial" w:cs="Arial"/>
          <w:color w:val="000000" w:themeColor="text1"/>
        </w:rPr>
        <w:t xml:space="preserve">(2025) Project C generated £0.86 million, showing a positive NPV, demonstrating exceeding future cash inflows regarding the initial investment that might create expected value for shareholders. </w:t>
      </w:r>
      <w:r w:rsidRPr="008266F3">
        <w:rPr>
          <w:rFonts w:ascii="Arial" w:hAnsi="Arial" w:cs="Arial"/>
          <w:color w:val="000000" w:themeColor="text1"/>
          <w:lang w:val="en-GB"/>
        </w:rPr>
        <w:t xml:space="preserve">Hence, Project C creates shareholder value with positive NPV. This </w:t>
      </w:r>
      <w:r w:rsidRPr="008266F3">
        <w:rPr>
          <w:rFonts w:ascii="Arial" w:hAnsi="Arial" w:cs="Arial"/>
          <w:color w:val="000000" w:themeColor="text1"/>
          <w:lang w:val="en-GB"/>
        </w:rPr>
        <w:lastRenderedPageBreak/>
        <w:t>highlights that Project C should be chosen</w:t>
      </w:r>
      <w:r w:rsidRPr="008266F3">
        <w:rPr>
          <w:rFonts w:ascii="Arial" w:hAnsi="Arial" w:cs="Arial"/>
          <w:lang w:val="en-GB"/>
        </w:rPr>
        <w:t xml:space="preserve">. All these values have been calculated effectively with perfection to present an exact beneficial project for the industry and support their financial performance. </w:t>
      </w:r>
    </w:p>
    <w:p w14:paraId="1846C00C" w14:textId="77777777" w:rsidR="00C853B2" w:rsidRPr="008266F3" w:rsidRDefault="00000000">
      <w:pPr>
        <w:pStyle w:val="NormalWeb"/>
        <w:spacing w:line="360" w:lineRule="auto"/>
        <w:jc w:val="both"/>
        <w:rPr>
          <w:rFonts w:ascii="Arial" w:hAnsi="Arial" w:cs="Arial"/>
          <w:lang w:val="en-IN"/>
        </w:rPr>
      </w:pPr>
      <w:r w:rsidRPr="008266F3">
        <w:rPr>
          <w:rFonts w:ascii="Arial" w:hAnsi="Arial" w:cs="Arial"/>
          <w:lang w:val="en-IN"/>
        </w:rPr>
        <w:t xml:space="preserve">Under a </w:t>
      </w:r>
      <w:r w:rsidRPr="008266F3">
        <w:rPr>
          <w:rFonts w:ascii="Arial" w:hAnsi="Arial" w:cs="Arial"/>
          <w:b/>
          <w:bCs/>
          <w:i/>
          <w:iCs/>
          <w:lang w:val="en-IN"/>
        </w:rPr>
        <w:t xml:space="preserve">capital rationing </w:t>
      </w:r>
      <w:r w:rsidRPr="008266F3">
        <w:rPr>
          <w:rFonts w:ascii="Arial" w:hAnsi="Arial" w:cs="Arial"/>
          <w:lang w:val="en-IN"/>
        </w:rPr>
        <w:t xml:space="preserve">constraint of £100 million, the optimal investment decision is to undertake Project C only. According to Goffi </w:t>
      </w:r>
      <w:r w:rsidRPr="008266F3">
        <w:rPr>
          <w:rFonts w:ascii="Arial" w:hAnsi="Arial" w:cs="Arial"/>
          <w:i/>
          <w:iCs/>
          <w:lang w:val="en-IN"/>
        </w:rPr>
        <w:t xml:space="preserve">et al. </w:t>
      </w:r>
      <w:r w:rsidRPr="008266F3">
        <w:rPr>
          <w:rFonts w:ascii="Arial" w:hAnsi="Arial" w:cs="Arial"/>
          <w:lang w:val="en-IN"/>
        </w:rPr>
        <w:t>(2022), this would outperform the other alternatives with the fastest investment recovery and a profitability index above one. The highest accounting returns and positive NPV are responsible for this project's management. The report also shed light on the fact that project management should consider all the external risks raised. This might include market competition, continuously changing customer needs, economic uncertainty, and regulatory changes before final implementation to boost cash inflows.  </w:t>
      </w:r>
    </w:p>
    <w:p w14:paraId="6D423F4F" w14:textId="77777777" w:rsidR="00C853B2" w:rsidRPr="008266F3" w:rsidRDefault="00C853B2">
      <w:pPr>
        <w:pStyle w:val="NormalWeb"/>
        <w:spacing w:before="0" w:beforeAutospacing="0" w:after="0" w:afterAutospacing="0" w:line="360" w:lineRule="auto"/>
        <w:jc w:val="both"/>
        <w:rPr>
          <w:rFonts w:ascii="Arial" w:hAnsi="Arial" w:cs="Arial"/>
          <w:lang w:val="en-GB"/>
        </w:rPr>
      </w:pPr>
    </w:p>
    <w:p w14:paraId="2183A752"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Recommended project</w:t>
      </w:r>
    </w:p>
    <w:p w14:paraId="52B6C4BD" w14:textId="77777777" w:rsidR="00C853B2"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xml:space="preserve">Stated that for the selected hospital to invest in Marriott International projects would be the most appropriate investment recommended to the board. Appraisal highlights the project, see out performs A and B across all the techniques applied with proper calculation in the above section. This is the shortest payback period with 3.6 years and the highest accounting rate 6% with 0.86 million in TV and 8.59% IRR. According to Goffi </w:t>
      </w:r>
      <w:r w:rsidRPr="008266F3">
        <w:rPr>
          <w:rFonts w:ascii="Arial" w:hAnsi="Arial" w:cs="Arial"/>
          <w:i/>
          <w:iCs/>
          <w:lang w:val="en-GB"/>
        </w:rPr>
        <w:t xml:space="preserve">et al. </w:t>
      </w:r>
      <w:r w:rsidRPr="008266F3">
        <w:rPr>
          <w:rFonts w:ascii="Arial" w:hAnsi="Arial" w:cs="Arial"/>
          <w:lang w:val="en-GB"/>
        </w:rPr>
        <w:t>(2022), a hospitality business requires profitability along with excellent service, which can help to meet the stakeholder priority as well as their expectation in creating value. The NPV and IRR highlight the cost of capital to create value for stakeholders. Moreover, it has been seen that the IP value is the most reliable capital budgeting for this business, as it directly tracks the increase of stakeholders with project C would meet all the fundamental objectives in financial management of such an international company.</w:t>
      </w:r>
    </w:p>
    <w:p w14:paraId="5F118069" w14:textId="77777777" w:rsidR="0004785C" w:rsidRPr="008266F3" w:rsidRDefault="0004785C">
      <w:pPr>
        <w:pStyle w:val="NormalWeb"/>
        <w:spacing w:before="0" w:beforeAutospacing="0" w:after="0" w:afterAutospacing="0" w:line="360" w:lineRule="auto"/>
        <w:jc w:val="both"/>
        <w:rPr>
          <w:rFonts w:ascii="Arial" w:hAnsi="Arial" w:cs="Arial"/>
          <w:lang w:val="en-GB"/>
        </w:rPr>
      </w:pPr>
    </w:p>
    <w:p w14:paraId="48A6593B"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i/>
          <w:iCs/>
          <w:lang w:val="en-GB"/>
        </w:rPr>
        <w:t>The recommendation of Project C</w:t>
      </w:r>
      <w:r w:rsidRPr="008266F3">
        <w:rPr>
          <w:rFonts w:ascii="Arial" w:hAnsi="Arial" w:cs="Arial"/>
          <w:lang w:val="en-GB"/>
        </w:rPr>
        <w:t xml:space="preserve"> also aligns well with the company's profitability goal. Akude</w:t>
      </w:r>
      <w:r w:rsidRPr="008266F3">
        <w:rPr>
          <w:rFonts w:ascii="Arial" w:hAnsi="Arial" w:cs="Arial"/>
          <w:i/>
          <w:iCs/>
          <w:lang w:val="en-GB"/>
        </w:rPr>
        <w:t>et al.,</w:t>
      </w:r>
      <w:r w:rsidRPr="008266F3">
        <w:rPr>
          <w:rFonts w:ascii="Arial" w:hAnsi="Arial" w:cs="Arial"/>
          <w:lang w:val="en-GB"/>
        </w:rPr>
        <w:t xml:space="preserve"> (2026) stated that in the hospitality industry, for long-term sustainability, profit is a key determinant as hotel operators face significant investment and fixed costs due to staffing, infrastructure, property maintenance and marketing. Project C would generate a total cash flow of $65 million within a 5-year period compared to projects A and B, respectively, indicating a capacity to improve the operation of profit with return on investment. Further, the ARR value of project C would make a meaningful contribution in maintaining investor confidence.</w:t>
      </w:r>
    </w:p>
    <w:p w14:paraId="30BA0CB8"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xml:space="preserve">On the other hand, Qin (2024) identified that liquidity consideration also would support project C as hospitality business leads to deal with fluctuating travel demand, economic uncertainty and seasonal variation, which directly impact the cash flow. Project C also actually payback for 3.6 years, which is </w:t>
      </w:r>
      <w:r w:rsidRPr="008266F3">
        <w:rPr>
          <w:rFonts w:ascii="Arial" w:hAnsi="Arial" w:cs="Arial"/>
          <w:lang w:val="en-GB"/>
        </w:rPr>
        <w:lastRenderedPageBreak/>
        <w:t xml:space="preserve">the shortest among these three projects referred to as fast fund return. On the other hand, the non-financial risks highlight regulatory risk management with political strategy adhering to proper application and management of changes in taxation, visa restrictions, tourism safety, and geopolitical tensions (Keller </w:t>
      </w:r>
      <w:r w:rsidRPr="008266F3">
        <w:rPr>
          <w:rFonts w:ascii="Arial" w:hAnsi="Arial" w:cs="Arial"/>
          <w:i/>
          <w:iCs/>
          <w:lang w:val="en-GB"/>
        </w:rPr>
        <w:t xml:space="preserve">et al., </w:t>
      </w:r>
      <w:r w:rsidRPr="008266F3">
        <w:rPr>
          <w:rFonts w:ascii="Arial" w:hAnsi="Arial" w:cs="Arial"/>
          <w:lang w:val="en-GB"/>
        </w:rPr>
        <w:t>2026). Hence, it can be stated that if Project C involves expansion, projected cash inflows may not materialise.</w:t>
      </w:r>
    </w:p>
    <w:p w14:paraId="6C86B1F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xml:space="preserve">According to Bing </w:t>
      </w:r>
      <w:r w:rsidRPr="008266F3">
        <w:rPr>
          <w:rFonts w:ascii="Arial" w:hAnsi="Arial" w:cs="Arial"/>
          <w:i/>
          <w:iCs/>
          <w:lang w:val="en-GB"/>
        </w:rPr>
        <w:t xml:space="preserve">et al., </w:t>
      </w:r>
      <w:r w:rsidRPr="008266F3">
        <w:rPr>
          <w:rFonts w:ascii="Arial" w:hAnsi="Arial" w:cs="Arial"/>
          <w:lang w:val="en-GB"/>
        </w:rPr>
        <w:t>(2024), customer loyalty and repetitive risk are other important elements where consumer preferences are prioritised to meet digital checking systems, convenient services, personalised experience loyalty programs and their benefits with sustainable initiatives. On the contrary, Chen (2025) stated that if the hospital sector, like Marriott International, focuses on fields to meet the evolving customer expectation might result in reduced returns affecting the overall project returns despite improved financial strategy. Tourism and hospitality is a complex business environment which involves major competitors such as Hilton Worldwide and InterContinental Hotels Group (Qin, 2024). They invested heavily in technology and personalised service creation. In this context, it can also be stated that Project C's revenue growth could be anticipated due to such competitive responses. Therefore, before implementation or choosing a particular project, Marriott’s management should ensure that the selected project can strongly enhance competitive positioning, adopting a differentiation strategy within the market. </w:t>
      </w:r>
    </w:p>
    <w:p w14:paraId="0666BA70" w14:textId="77777777" w:rsidR="00C853B2" w:rsidRPr="008266F3" w:rsidRDefault="00000000">
      <w:pPr>
        <w:pStyle w:val="Heading1"/>
        <w:rPr>
          <w:rFonts w:ascii="Arial" w:hAnsi="Arial"/>
          <w:lang w:val="en-IN"/>
        </w:rPr>
      </w:pPr>
      <w:bookmarkStart w:id="6" w:name="_Toc234929483"/>
      <w:r w:rsidRPr="008266F3">
        <w:rPr>
          <w:rFonts w:ascii="Arial" w:hAnsi="Arial"/>
          <w:lang w:val="en-IN"/>
        </w:rPr>
        <w:t xml:space="preserve">5. Critical </w:t>
      </w:r>
      <w:r w:rsidRPr="008266F3">
        <w:rPr>
          <w:rFonts w:ascii="Arial" w:hAnsi="Arial"/>
        </w:rPr>
        <w:t>Reflection</w:t>
      </w:r>
      <w:r w:rsidRPr="008266F3">
        <w:rPr>
          <w:rFonts w:ascii="Arial" w:hAnsi="Arial"/>
          <w:lang w:val="en-IN"/>
        </w:rPr>
        <w:t xml:space="preserve"> </w:t>
      </w:r>
      <w:r w:rsidRPr="008266F3">
        <w:rPr>
          <w:rFonts w:ascii="Arial" w:hAnsi="Arial"/>
        </w:rPr>
        <w:t>on</w:t>
      </w:r>
      <w:r w:rsidRPr="008266F3">
        <w:rPr>
          <w:rFonts w:ascii="Arial" w:hAnsi="Arial"/>
          <w:lang w:val="en-IN"/>
        </w:rPr>
        <w:t xml:space="preserve"> AI Usage</w:t>
      </w:r>
      <w:bookmarkEnd w:id="6"/>
      <w:r w:rsidRPr="008266F3">
        <w:rPr>
          <w:rFonts w:ascii="Arial" w:hAnsi="Arial"/>
          <w:lang w:val="en-IN"/>
        </w:rPr>
        <w:t> </w:t>
      </w:r>
    </w:p>
    <w:p w14:paraId="2E0AFC7B" w14:textId="77777777" w:rsidR="00C853B2" w:rsidRPr="008266F3" w:rsidRDefault="00000000">
      <w:pPr>
        <w:pStyle w:val="NormalWeb"/>
        <w:spacing w:line="360" w:lineRule="auto"/>
        <w:jc w:val="both"/>
        <w:rPr>
          <w:rFonts w:ascii="Arial" w:hAnsi="Arial" w:cs="Arial"/>
          <w:lang w:val="en-IN"/>
        </w:rPr>
      </w:pPr>
      <w:r w:rsidRPr="008266F3">
        <w:rPr>
          <w:rFonts w:ascii="Arial" w:hAnsi="Arial" w:cs="Arial"/>
          <w:b/>
          <w:bCs/>
          <w:i/>
          <w:iCs/>
          <w:lang w:val="en-IN"/>
        </w:rPr>
        <w:t>Tool Disclosure: </w:t>
      </w:r>
    </w:p>
    <w:p w14:paraId="7684D173" w14:textId="77777777" w:rsidR="00C853B2" w:rsidRDefault="00000000">
      <w:pPr>
        <w:pStyle w:val="NormalWeb"/>
        <w:spacing w:line="360" w:lineRule="auto"/>
        <w:jc w:val="both"/>
        <w:rPr>
          <w:rFonts w:ascii="Arial" w:hAnsi="Arial" w:cs="Arial"/>
          <w:lang w:val="en-IN"/>
        </w:rPr>
      </w:pPr>
      <w:r w:rsidRPr="008266F3">
        <w:rPr>
          <w:rFonts w:ascii="Arial" w:hAnsi="Arial" w:cs="Arial"/>
          <w:lang w:val="en-IN"/>
        </w:rPr>
        <w:t>In this report, an AI tool was used to make a comprehensive structure to assist in making various resort sections, improving the academic content. A concise explanation and definition, grammar to maintain the consistency of the report sequentially. The AI tool was also helpful to guide explaining various financial ratios and find structuring for investment appraisal in any academic format. However, the numerical inputs were calculated manually, such as NPV, PBP, ARR, and profitability index, to maintain the credibility of the financial data forMarriott International. These have been collected from the published annual reports of the company. </w:t>
      </w:r>
    </w:p>
    <w:p w14:paraId="26B68F29" w14:textId="77777777" w:rsidR="008266F3" w:rsidRDefault="008266F3">
      <w:pPr>
        <w:pStyle w:val="NormalWeb"/>
        <w:spacing w:line="360" w:lineRule="auto"/>
        <w:jc w:val="both"/>
        <w:rPr>
          <w:rFonts w:ascii="Arial" w:hAnsi="Arial" w:cs="Arial"/>
          <w:lang w:val="en-IN"/>
        </w:rPr>
      </w:pPr>
    </w:p>
    <w:p w14:paraId="43A82DF1" w14:textId="77777777" w:rsidR="0004785C" w:rsidRDefault="0004785C">
      <w:pPr>
        <w:pStyle w:val="NormalWeb"/>
        <w:spacing w:line="360" w:lineRule="auto"/>
        <w:jc w:val="both"/>
        <w:rPr>
          <w:rFonts w:ascii="Arial" w:hAnsi="Arial" w:cs="Arial"/>
          <w:lang w:val="en-IN"/>
        </w:rPr>
      </w:pPr>
    </w:p>
    <w:p w14:paraId="1C7A9680" w14:textId="77777777" w:rsidR="0004785C" w:rsidRPr="008266F3" w:rsidRDefault="0004785C">
      <w:pPr>
        <w:pStyle w:val="NormalWeb"/>
        <w:spacing w:line="360" w:lineRule="auto"/>
        <w:jc w:val="both"/>
        <w:rPr>
          <w:rFonts w:ascii="Arial" w:hAnsi="Arial" w:cs="Arial"/>
          <w:lang w:val="en-IN"/>
        </w:rPr>
      </w:pPr>
    </w:p>
    <w:p w14:paraId="60640FA7" w14:textId="77777777" w:rsidR="00C853B2" w:rsidRPr="008266F3" w:rsidRDefault="00000000">
      <w:pPr>
        <w:pStyle w:val="NormalWeb"/>
        <w:spacing w:line="360" w:lineRule="auto"/>
        <w:jc w:val="both"/>
        <w:rPr>
          <w:rFonts w:ascii="Arial" w:hAnsi="Arial" w:cs="Arial"/>
          <w:lang w:val="en-IN"/>
        </w:rPr>
      </w:pPr>
      <w:r w:rsidRPr="008266F3">
        <w:rPr>
          <w:rFonts w:ascii="Arial" w:hAnsi="Arial" w:cs="Arial"/>
          <w:b/>
          <w:bCs/>
          <w:i/>
          <w:iCs/>
          <w:lang w:val="en-IN"/>
        </w:rPr>
        <w:lastRenderedPageBreak/>
        <w:t>Critical Evaluation of AI Output: </w:t>
      </w:r>
    </w:p>
    <w:p w14:paraId="79B962A4" w14:textId="77777777" w:rsidR="00C853B2" w:rsidRPr="008266F3" w:rsidRDefault="00000000">
      <w:pPr>
        <w:pStyle w:val="NormalWeb"/>
        <w:spacing w:line="360" w:lineRule="auto"/>
        <w:jc w:val="both"/>
        <w:rPr>
          <w:rFonts w:ascii="Arial" w:hAnsi="Arial" w:cs="Arial"/>
          <w:lang w:val="en-IN"/>
        </w:rPr>
      </w:pPr>
      <w:r w:rsidRPr="008266F3">
        <w:rPr>
          <w:rFonts w:ascii="Arial" w:hAnsi="Arial" w:cs="Arial"/>
          <w:lang w:val="en-IN"/>
        </w:rPr>
        <w:t>Despite AI applications improving drafting and content structure, the output requires careful validation, as it occasionally produces accurate information. It can compromise the content quality by evaluating whether any trains are financial ratio calculation. Therefore, an AI application also requires manual intervention in putting data from Marriott International’s annual report, financial data and academic literature. During the drafting, it might contain minor calculation errors, which I correct using the online published report carefully to make authentic report contents. </w:t>
      </w:r>
    </w:p>
    <w:p w14:paraId="580A19C6" w14:textId="77777777" w:rsidR="00C853B2" w:rsidRPr="008266F3" w:rsidRDefault="00000000">
      <w:pPr>
        <w:pStyle w:val="NormalWeb"/>
        <w:spacing w:line="360" w:lineRule="auto"/>
        <w:jc w:val="both"/>
        <w:rPr>
          <w:rFonts w:ascii="Arial" w:hAnsi="Arial" w:cs="Arial"/>
          <w:lang w:val="en-IN"/>
        </w:rPr>
      </w:pPr>
      <w:r w:rsidRPr="008266F3">
        <w:rPr>
          <w:rFonts w:ascii="Arial" w:hAnsi="Arial" w:cs="Arial"/>
          <w:b/>
          <w:bCs/>
          <w:i/>
          <w:iCs/>
          <w:lang w:val="en-IN"/>
        </w:rPr>
        <w:t>Contribution Analysis: </w:t>
      </w:r>
    </w:p>
    <w:p w14:paraId="74104C26" w14:textId="449ED3EA" w:rsidR="00604F89" w:rsidRPr="008266F3" w:rsidRDefault="00000000">
      <w:pPr>
        <w:pStyle w:val="NormalWeb"/>
        <w:spacing w:line="360" w:lineRule="auto"/>
        <w:jc w:val="both"/>
        <w:rPr>
          <w:rFonts w:ascii="Arial" w:hAnsi="Arial" w:cs="Arial"/>
          <w:lang w:val="en-IN"/>
        </w:rPr>
      </w:pPr>
      <w:r w:rsidRPr="008266F3">
        <w:rPr>
          <w:rFonts w:ascii="Arial" w:hAnsi="Arial" w:cs="Arial"/>
          <w:lang w:val="en-IN"/>
        </w:rPr>
        <w:t>The AI assists by suggesting report structures, brief financial concepts, and smoothing academic language. In contrast, Chen (2025) identified that the interpretation of the financial statements of Marriott International and working capital recommendations was completed through independent analysis. A manual critical comparison was developed for the identification of business risks and the recommendation of Project C Hence, the major difference is in logic, and critical thinking more deeply, which is not possible by AI only.</w:t>
      </w:r>
    </w:p>
    <w:p w14:paraId="0666B61A" w14:textId="77777777" w:rsidR="00C853B2" w:rsidRPr="008266F3" w:rsidRDefault="00000000">
      <w:pPr>
        <w:pStyle w:val="NormalWeb"/>
        <w:spacing w:line="360" w:lineRule="auto"/>
        <w:jc w:val="both"/>
        <w:rPr>
          <w:rFonts w:ascii="Arial" w:hAnsi="Arial" w:cs="Arial"/>
          <w:lang w:val="en-IN"/>
        </w:rPr>
      </w:pPr>
      <w:r w:rsidRPr="008266F3">
        <w:rPr>
          <w:rFonts w:ascii="Arial" w:hAnsi="Arial" w:cs="Arial"/>
          <w:b/>
          <w:bCs/>
          <w:i/>
          <w:iCs/>
          <w:lang w:val="en-IN"/>
        </w:rPr>
        <w:t>Ethical &amp; Professional Reflection: </w:t>
      </w:r>
    </w:p>
    <w:p w14:paraId="2D64BA5F" w14:textId="77777777" w:rsidR="00C853B2" w:rsidRPr="008266F3" w:rsidRDefault="00000000">
      <w:pPr>
        <w:pStyle w:val="NormalWeb"/>
        <w:spacing w:line="360" w:lineRule="auto"/>
        <w:jc w:val="both"/>
        <w:rPr>
          <w:rFonts w:ascii="Arial" w:hAnsi="Arial" w:cs="Arial"/>
          <w:lang w:val="en-IN"/>
        </w:rPr>
      </w:pPr>
      <w:r w:rsidRPr="008266F3">
        <w:rPr>
          <w:rFonts w:ascii="Arial" w:hAnsi="Arial" w:cs="Arial"/>
          <w:lang w:val="en-IN"/>
        </w:rPr>
        <w:t xml:space="preserve">AI application in financial management presents a rising concern about ethical and professional considerations (Owolabi </w:t>
      </w:r>
      <w:r w:rsidRPr="008266F3">
        <w:rPr>
          <w:rFonts w:ascii="Arial" w:hAnsi="Arial" w:cs="Arial"/>
          <w:i/>
          <w:iCs/>
          <w:lang w:val="en-IN"/>
        </w:rPr>
        <w:t xml:space="preserve">et al., </w:t>
      </w:r>
      <w:r w:rsidRPr="008266F3">
        <w:rPr>
          <w:rFonts w:ascii="Arial" w:hAnsi="Arial" w:cs="Arial"/>
          <w:lang w:val="en-IN"/>
        </w:rPr>
        <w:t>2025). As Chief Financial Officer (CFO) of Marriott International, protecting confidential information is highly significant. Furthermore, excessive reliance on AI might develop bias decision which should be managed by critical thinking. AI models cannot fully understand organisational context and might generate inaccurate outcomes. In this case, I should use AI with more care, adhering to ethical standards so that technology enhances, maintaining organisational integrity by enabling credible financial evidence to present a professional report.</w:t>
      </w:r>
    </w:p>
    <w:p w14:paraId="0C4E8776" w14:textId="77777777" w:rsidR="00C853B2" w:rsidRPr="008266F3" w:rsidRDefault="00000000">
      <w:pPr>
        <w:rPr>
          <w:lang w:val="en-GB"/>
        </w:rPr>
      </w:pPr>
      <w:r w:rsidRPr="008266F3">
        <w:rPr>
          <w:lang w:val="en-GB"/>
        </w:rPr>
        <w:t> </w:t>
      </w:r>
    </w:p>
    <w:p w14:paraId="3BAF6F24" w14:textId="77777777" w:rsidR="00C853B2" w:rsidRPr="008266F3" w:rsidRDefault="00000000">
      <w:pPr>
        <w:spacing w:line="360" w:lineRule="auto"/>
        <w:rPr>
          <w:sz w:val="24"/>
          <w:szCs w:val="24"/>
          <w:shd w:val="clear" w:color="auto" w:fill="FFFFFF"/>
          <w:lang w:val="en-GB"/>
        </w:rPr>
      </w:pPr>
      <w:r w:rsidRPr="008266F3">
        <w:rPr>
          <w:sz w:val="24"/>
          <w:szCs w:val="24"/>
          <w:shd w:val="clear" w:color="auto" w:fill="FFFFFF"/>
          <w:lang w:val="en-GB"/>
        </w:rPr>
        <w:br w:type="page"/>
      </w:r>
    </w:p>
    <w:p w14:paraId="54479789" w14:textId="77777777" w:rsidR="00C853B2" w:rsidRPr="008266F3" w:rsidRDefault="00000000">
      <w:pPr>
        <w:pStyle w:val="Heading1"/>
        <w:spacing w:before="0" w:after="0"/>
        <w:rPr>
          <w:rFonts w:ascii="Arial" w:hAnsi="Arial"/>
          <w:color w:val="auto"/>
          <w:szCs w:val="24"/>
          <w:lang w:val="en-GB"/>
        </w:rPr>
      </w:pPr>
      <w:bookmarkStart w:id="7" w:name="_Toc234929484"/>
      <w:r w:rsidRPr="008266F3">
        <w:rPr>
          <w:rFonts w:ascii="Arial" w:hAnsi="Arial"/>
          <w:color w:val="auto"/>
          <w:szCs w:val="24"/>
          <w:shd w:val="clear" w:color="auto" w:fill="FFFFFF"/>
          <w:lang w:val="en-GB"/>
        </w:rPr>
        <w:lastRenderedPageBreak/>
        <w:t>References</w:t>
      </w:r>
      <w:bookmarkEnd w:id="7"/>
    </w:p>
    <w:p w14:paraId="598D4C58"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Abiola-Adams, O., Azubuike, C., Sule, A.K. and Okon, R., 2021. Optimizing balance sheet performance: Advanced asset and liability management strategies for financial stability. </w:t>
      </w:r>
      <w:r w:rsidRPr="008266F3">
        <w:rPr>
          <w:rFonts w:ascii="Arial" w:hAnsi="Arial" w:cs="Arial"/>
          <w:i/>
          <w:iCs/>
          <w:lang w:val="en-IN"/>
        </w:rPr>
        <w:t>International Journal of Scientific Research Updates</w:t>
      </w:r>
      <w:r w:rsidRPr="008266F3">
        <w:rPr>
          <w:rFonts w:ascii="Arial" w:hAnsi="Arial" w:cs="Arial"/>
          <w:lang w:val="en-IN"/>
        </w:rPr>
        <w:t xml:space="preserve">, </w:t>
      </w:r>
      <w:r w:rsidRPr="008266F3">
        <w:rPr>
          <w:rFonts w:ascii="Arial" w:hAnsi="Arial" w:cs="Arial"/>
          <w:i/>
          <w:iCs/>
          <w:lang w:val="en-IN"/>
        </w:rPr>
        <w:t>2</w:t>
      </w:r>
      <w:r w:rsidRPr="008266F3">
        <w:rPr>
          <w:rFonts w:ascii="Arial" w:hAnsi="Arial" w:cs="Arial"/>
          <w:lang w:val="en-IN"/>
        </w:rPr>
        <w:t>(1), pp.55-65. </w:t>
      </w:r>
    </w:p>
    <w:p w14:paraId="1CB6A330"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Akude, D.N., Akuma, J.K., Kwaning, E.A., Asiama, K.A. and Amoah-Ahinful, I.K., 2026. Sustainable Marketing Strategies and Financial Performance in the Hotel Industry: Does Digital Transformation and Integration Matter?.</w:t>
      </w:r>
      <w:r w:rsidRPr="008266F3">
        <w:rPr>
          <w:rFonts w:ascii="Arial" w:hAnsi="Arial" w:cs="Arial"/>
          <w:i/>
          <w:iCs/>
          <w:lang w:val="en-GB"/>
        </w:rPr>
        <w:t>International Review of Management and Marketing</w:t>
      </w:r>
      <w:r w:rsidRPr="008266F3">
        <w:rPr>
          <w:rFonts w:ascii="Arial" w:hAnsi="Arial" w:cs="Arial"/>
          <w:lang w:val="en-GB"/>
        </w:rPr>
        <w:t xml:space="preserve">, </w:t>
      </w:r>
      <w:r w:rsidRPr="008266F3">
        <w:rPr>
          <w:rFonts w:ascii="Arial" w:hAnsi="Arial" w:cs="Arial"/>
          <w:i/>
          <w:iCs/>
          <w:lang w:val="en-GB"/>
        </w:rPr>
        <w:t>16</w:t>
      </w:r>
      <w:r w:rsidRPr="008266F3">
        <w:rPr>
          <w:rFonts w:ascii="Arial" w:hAnsi="Arial" w:cs="Arial"/>
          <w:lang w:val="en-GB"/>
        </w:rPr>
        <w:t>(1), p.30.</w:t>
      </w:r>
    </w:p>
    <w:p w14:paraId="259F2C66"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Barnabas, B. and Oloyede, J., 2024. Cash flow optimization: Strategies for enhancing short-term liquidity. </w:t>
      </w:r>
      <w:r w:rsidRPr="008266F3">
        <w:rPr>
          <w:rFonts w:ascii="Arial" w:hAnsi="Arial" w:cs="Arial"/>
          <w:i/>
          <w:iCs/>
          <w:lang w:val="en-IN"/>
        </w:rPr>
        <w:t>Available at SSRN 5004465</w:t>
      </w:r>
      <w:r w:rsidRPr="008266F3">
        <w:rPr>
          <w:rFonts w:ascii="Arial" w:hAnsi="Arial" w:cs="Arial"/>
          <w:lang w:val="en-IN"/>
        </w:rPr>
        <w:t>. </w:t>
      </w:r>
    </w:p>
    <w:p w14:paraId="6677153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xml:space="preserve">Bing, G., Al Mughairi, B., Karim, A.M. and Karim, A.M., 2024. Study on importance of brand loyalty for customer retention for consumer durable products: New era viewpoint. </w:t>
      </w:r>
      <w:r w:rsidRPr="008266F3">
        <w:rPr>
          <w:rFonts w:ascii="Arial" w:hAnsi="Arial" w:cs="Arial"/>
          <w:i/>
          <w:iCs/>
          <w:lang w:val="en-GB"/>
        </w:rPr>
        <w:t>International Journal of Academic Research in Business and Social Sciences</w:t>
      </w:r>
      <w:r w:rsidRPr="008266F3">
        <w:rPr>
          <w:rFonts w:ascii="Arial" w:hAnsi="Arial" w:cs="Arial"/>
          <w:lang w:val="en-GB"/>
        </w:rPr>
        <w:t xml:space="preserve">, </w:t>
      </w:r>
      <w:r w:rsidRPr="008266F3">
        <w:rPr>
          <w:rFonts w:ascii="Arial" w:hAnsi="Arial" w:cs="Arial"/>
          <w:i/>
          <w:iCs/>
          <w:lang w:val="en-GB"/>
        </w:rPr>
        <w:t>14</w:t>
      </w:r>
      <w:r w:rsidRPr="008266F3">
        <w:rPr>
          <w:rFonts w:ascii="Arial" w:hAnsi="Arial" w:cs="Arial"/>
          <w:lang w:val="en-GB"/>
        </w:rPr>
        <w:t>(1), pp.453-464.</w:t>
      </w:r>
    </w:p>
    <w:p w14:paraId="0176398D"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Blessing, H. and Sakouvogui, G., 2023. Impact of liquidity and solvency ratios on financial performance: a comprehensive analysis. </w:t>
      </w:r>
      <w:r w:rsidRPr="008266F3">
        <w:rPr>
          <w:rFonts w:ascii="Arial" w:hAnsi="Arial" w:cs="Arial"/>
          <w:i/>
          <w:iCs/>
          <w:lang w:val="en-IN"/>
        </w:rPr>
        <w:t>Indonesia Auditing Research Journal</w:t>
      </w:r>
      <w:r w:rsidRPr="008266F3">
        <w:rPr>
          <w:rFonts w:ascii="Arial" w:hAnsi="Arial" w:cs="Arial"/>
          <w:lang w:val="en-IN"/>
        </w:rPr>
        <w:t xml:space="preserve">, </w:t>
      </w:r>
      <w:r w:rsidRPr="008266F3">
        <w:rPr>
          <w:rFonts w:ascii="Arial" w:hAnsi="Arial" w:cs="Arial"/>
          <w:i/>
          <w:iCs/>
          <w:lang w:val="en-IN"/>
        </w:rPr>
        <w:t>12</w:t>
      </w:r>
      <w:r w:rsidRPr="008266F3">
        <w:rPr>
          <w:rFonts w:ascii="Arial" w:hAnsi="Arial" w:cs="Arial"/>
          <w:lang w:val="en-IN"/>
        </w:rPr>
        <w:t>(3), pp.102-115. </w:t>
      </w:r>
    </w:p>
    <w:p w14:paraId="2F8A83C8"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Bouis, R., Capelle, M.D., Dell'Ariccia, M.G., Erceg, C.J., Peria, M.S.M., Sy, M., Teoh, M.K. and Vandenbussche, M.J., 2025. </w:t>
      </w:r>
      <w:r w:rsidRPr="008266F3">
        <w:rPr>
          <w:rFonts w:ascii="Arial" w:hAnsi="Arial" w:cs="Arial"/>
          <w:i/>
          <w:iCs/>
          <w:lang w:val="en-IN"/>
        </w:rPr>
        <w:t>Navigating Trade-Offs between Price and Financial Stability in Times of High Inflation</w:t>
      </w:r>
      <w:r w:rsidRPr="008266F3">
        <w:rPr>
          <w:rFonts w:ascii="Arial" w:hAnsi="Arial" w:cs="Arial"/>
          <w:lang w:val="en-IN"/>
        </w:rPr>
        <w:t>. International Monetary Fund. </w:t>
      </w:r>
    </w:p>
    <w:p w14:paraId="6FEE53E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xml:space="preserve">Chen, Y., 2025, February. Corporate Competition and Financial Analysis-Based on Marriott’s Analysis. In </w:t>
      </w:r>
      <w:r w:rsidRPr="008266F3">
        <w:rPr>
          <w:rFonts w:ascii="Arial" w:hAnsi="Arial" w:cs="Arial"/>
          <w:i/>
          <w:iCs/>
          <w:lang w:val="en-GB"/>
        </w:rPr>
        <w:t>International Workshop on Navigating the Digital Business Frontier for Sustainable Financial Innovation (ICDEBA 2024)</w:t>
      </w:r>
      <w:r w:rsidRPr="008266F3">
        <w:rPr>
          <w:rFonts w:ascii="Arial" w:hAnsi="Arial" w:cs="Arial"/>
          <w:lang w:val="en-GB"/>
        </w:rPr>
        <w:t xml:space="preserve"> (pp. 554-565). Atlantis Press.</w:t>
      </w:r>
    </w:p>
    <w:p w14:paraId="25162F8F" w14:textId="77777777" w:rsidR="00C853B2" w:rsidRPr="008266F3" w:rsidRDefault="00000000">
      <w:pPr>
        <w:spacing w:line="360" w:lineRule="auto"/>
        <w:jc w:val="both"/>
        <w:rPr>
          <w:color w:val="000000" w:themeColor="text1"/>
          <w:sz w:val="24"/>
          <w:szCs w:val="24"/>
        </w:rPr>
      </w:pPr>
      <w:r w:rsidRPr="008266F3">
        <w:rPr>
          <w:color w:val="000000" w:themeColor="text1"/>
          <w:sz w:val="24"/>
          <w:szCs w:val="24"/>
        </w:rPr>
        <w:t>Chen, Y., 2025, February. Corporate Competition and Financial Analysis-Based on Marriott’s Analysis. In </w:t>
      </w:r>
      <w:r w:rsidRPr="008266F3">
        <w:rPr>
          <w:i/>
          <w:iCs/>
          <w:color w:val="000000" w:themeColor="text1"/>
          <w:sz w:val="24"/>
          <w:szCs w:val="24"/>
        </w:rPr>
        <w:t>International Workshop on Navigating the Digital Business Frontier for Sustainable Financial Innovation (ICDEBA 2024)</w:t>
      </w:r>
      <w:r w:rsidRPr="008266F3">
        <w:rPr>
          <w:color w:val="000000" w:themeColor="text1"/>
          <w:sz w:val="24"/>
          <w:szCs w:val="24"/>
        </w:rPr>
        <w:t xml:space="preserve"> (pp. 554-565). Atlantis Press. </w:t>
      </w:r>
    </w:p>
    <w:p w14:paraId="5F2B4043"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Feldman, E.R., 2021. Restructuring and divestitures. </w:t>
      </w:r>
      <w:r w:rsidRPr="008266F3">
        <w:rPr>
          <w:rFonts w:ascii="Arial" w:hAnsi="Arial" w:cs="Arial"/>
          <w:i/>
          <w:iCs/>
          <w:lang w:val="en-IN"/>
        </w:rPr>
        <w:t>Strategic management: State of the field and its future</w:t>
      </w:r>
      <w:r w:rsidRPr="008266F3">
        <w:rPr>
          <w:rFonts w:ascii="Arial" w:hAnsi="Arial" w:cs="Arial"/>
          <w:lang w:val="en-IN"/>
        </w:rPr>
        <w:t>, pp.153-166. </w:t>
      </w:r>
    </w:p>
    <w:p w14:paraId="194D36D7"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Folinas, D., Aidonis, D., Tsolakis, N. and Fotiadis, T., 2025. Just-in-Time and Other Inventory Strategies. </w:t>
      </w:r>
      <w:r w:rsidRPr="008266F3">
        <w:rPr>
          <w:rFonts w:ascii="Arial" w:hAnsi="Arial" w:cs="Arial"/>
          <w:i/>
          <w:iCs/>
          <w:lang w:val="en-IN"/>
        </w:rPr>
        <w:t>The Sage Handbook of Industrial Marketing</w:t>
      </w:r>
      <w:r w:rsidRPr="008266F3">
        <w:rPr>
          <w:rFonts w:ascii="Arial" w:hAnsi="Arial" w:cs="Arial"/>
          <w:lang w:val="en-IN"/>
        </w:rPr>
        <w:t>, p.228. </w:t>
      </w:r>
    </w:p>
    <w:p w14:paraId="423D8A2E"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xml:space="preserve">Goffi, G., Masiero, L. and Pencarelli, T., 2022. Corporate social responsibility and performances of firms operating in the tourism and hospitality industry. </w:t>
      </w:r>
      <w:r w:rsidRPr="008266F3">
        <w:rPr>
          <w:rFonts w:ascii="Arial" w:hAnsi="Arial" w:cs="Arial"/>
          <w:i/>
          <w:iCs/>
          <w:lang w:val="en-GB"/>
        </w:rPr>
        <w:t>The TQM Journal</w:t>
      </w:r>
      <w:r w:rsidRPr="008266F3">
        <w:rPr>
          <w:rFonts w:ascii="Arial" w:hAnsi="Arial" w:cs="Arial"/>
          <w:lang w:val="en-GB"/>
        </w:rPr>
        <w:t xml:space="preserve">, </w:t>
      </w:r>
      <w:r w:rsidRPr="008266F3">
        <w:rPr>
          <w:rFonts w:ascii="Arial" w:hAnsi="Arial" w:cs="Arial"/>
          <w:i/>
          <w:iCs/>
          <w:lang w:val="en-GB"/>
        </w:rPr>
        <w:t>34</w:t>
      </w:r>
      <w:r w:rsidRPr="008266F3">
        <w:rPr>
          <w:rFonts w:ascii="Arial" w:hAnsi="Arial" w:cs="Arial"/>
          <w:lang w:val="en-GB"/>
        </w:rPr>
        <w:t>(6), pp.1626-1647.</w:t>
      </w:r>
    </w:p>
    <w:p w14:paraId="4DEAE9C4"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Hasanudin, H., 2024. Strategy Analysis In Managing Company Finances Effectively And Efficiently. </w:t>
      </w:r>
      <w:r w:rsidRPr="008266F3">
        <w:rPr>
          <w:rFonts w:ascii="Arial" w:hAnsi="Arial" w:cs="Arial"/>
          <w:i/>
          <w:iCs/>
          <w:lang w:val="en-IN"/>
        </w:rPr>
        <w:t>Jurnal Ekonomi</w:t>
      </w:r>
      <w:r w:rsidRPr="008266F3">
        <w:rPr>
          <w:rFonts w:ascii="Arial" w:hAnsi="Arial" w:cs="Arial"/>
          <w:lang w:val="en-IN"/>
        </w:rPr>
        <w:t xml:space="preserve">, </w:t>
      </w:r>
      <w:r w:rsidRPr="008266F3">
        <w:rPr>
          <w:rFonts w:ascii="Arial" w:hAnsi="Arial" w:cs="Arial"/>
          <w:i/>
          <w:iCs/>
          <w:lang w:val="en-IN"/>
        </w:rPr>
        <w:t>13</w:t>
      </w:r>
      <w:r w:rsidRPr="008266F3">
        <w:rPr>
          <w:rFonts w:ascii="Arial" w:hAnsi="Arial" w:cs="Arial"/>
          <w:lang w:val="en-IN"/>
        </w:rPr>
        <w:t>(02), pp.1013-1023. </w:t>
      </w:r>
    </w:p>
    <w:p w14:paraId="4816E2FD"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Huang, X., 2022. Financing disruptive suppliers: Payment advance, timeline, and discount rate. </w:t>
      </w:r>
      <w:r w:rsidRPr="008266F3">
        <w:rPr>
          <w:rFonts w:ascii="Arial" w:hAnsi="Arial" w:cs="Arial"/>
          <w:i/>
          <w:iCs/>
          <w:lang w:val="en-IN"/>
        </w:rPr>
        <w:t>Production and operations management</w:t>
      </w:r>
      <w:r w:rsidRPr="008266F3">
        <w:rPr>
          <w:rFonts w:ascii="Arial" w:hAnsi="Arial" w:cs="Arial"/>
          <w:lang w:val="en-IN"/>
        </w:rPr>
        <w:t xml:space="preserve">, </w:t>
      </w:r>
      <w:r w:rsidRPr="008266F3">
        <w:rPr>
          <w:rFonts w:ascii="Arial" w:hAnsi="Arial" w:cs="Arial"/>
          <w:i/>
          <w:iCs/>
          <w:lang w:val="en-IN"/>
        </w:rPr>
        <w:t>31</w:t>
      </w:r>
      <w:r w:rsidRPr="008266F3">
        <w:rPr>
          <w:rFonts w:ascii="Arial" w:hAnsi="Arial" w:cs="Arial"/>
          <w:lang w:val="en-IN"/>
        </w:rPr>
        <w:t>(3), pp.1115-1134. </w:t>
      </w:r>
    </w:p>
    <w:p w14:paraId="310ED522"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lastRenderedPageBreak/>
        <w:t xml:space="preserve">Keller, K., Mátyás, S. and Kökény, L., 2026. When rewards turn risky: the hidden dangers and risk reduction strategies in case of incentive travels. </w:t>
      </w:r>
      <w:r w:rsidRPr="008266F3">
        <w:rPr>
          <w:rFonts w:ascii="Arial" w:hAnsi="Arial" w:cs="Arial"/>
          <w:i/>
          <w:iCs/>
          <w:lang w:val="en-GB"/>
        </w:rPr>
        <w:t>International Journal of Event and Festival Management</w:t>
      </w:r>
      <w:r w:rsidRPr="008266F3">
        <w:rPr>
          <w:rFonts w:ascii="Arial" w:hAnsi="Arial" w:cs="Arial"/>
          <w:lang w:val="en-GB"/>
        </w:rPr>
        <w:t>, pp.1-23.</w:t>
      </w:r>
    </w:p>
    <w:p w14:paraId="21134F4C"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xml:space="preserve">Kozłowski, M. and Korzeniewski, J., 2024. Studying the effectiveness of investments in hotel services using customer sentiment analysis. </w:t>
      </w:r>
      <w:r w:rsidRPr="008266F3">
        <w:rPr>
          <w:rFonts w:ascii="Arial" w:hAnsi="Arial" w:cs="Arial"/>
          <w:i/>
          <w:iCs/>
          <w:lang w:val="en-GB"/>
        </w:rPr>
        <w:t>Quality &amp; Quantity</w:t>
      </w:r>
      <w:r w:rsidRPr="008266F3">
        <w:rPr>
          <w:rFonts w:ascii="Arial" w:hAnsi="Arial" w:cs="Arial"/>
          <w:lang w:val="en-GB"/>
        </w:rPr>
        <w:t>, pp.1-29.</w:t>
      </w:r>
    </w:p>
    <w:p w14:paraId="7CD5D732"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Kumar, R., 2025. Cash flow management in modern businesses: techniques for liquidity optimization. </w:t>
      </w:r>
      <w:r w:rsidRPr="008266F3">
        <w:rPr>
          <w:rFonts w:ascii="Arial" w:hAnsi="Arial" w:cs="Arial"/>
          <w:i/>
          <w:iCs/>
          <w:lang w:val="en-IN"/>
        </w:rPr>
        <w:t>International Journal of Exploring Emerging Trends in Engineering</w:t>
      </w:r>
      <w:r w:rsidRPr="008266F3">
        <w:rPr>
          <w:rFonts w:ascii="Arial" w:hAnsi="Arial" w:cs="Arial"/>
          <w:lang w:val="en-IN"/>
        </w:rPr>
        <w:t xml:space="preserve">, </w:t>
      </w:r>
      <w:r w:rsidRPr="008266F3">
        <w:rPr>
          <w:rFonts w:ascii="Arial" w:hAnsi="Arial" w:cs="Arial"/>
          <w:i/>
          <w:iCs/>
          <w:lang w:val="en-IN"/>
        </w:rPr>
        <w:t>11</w:t>
      </w:r>
      <w:r w:rsidRPr="008266F3">
        <w:rPr>
          <w:rFonts w:ascii="Arial" w:hAnsi="Arial" w:cs="Arial"/>
          <w:lang w:val="en-IN"/>
        </w:rPr>
        <w:t>(4), pp.1-12. </w:t>
      </w:r>
    </w:p>
    <w:p w14:paraId="32AD8908"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Liang, H. and Renneboog, L., 2020. Corporate social responsibility and sustainable finance: A review of the literature. </w:t>
      </w:r>
    </w:p>
    <w:p w14:paraId="466ED917"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Lin, Y., 2024. Research on the impact of corporate ESG performance on long-term sustainable competitive advantage. </w:t>
      </w:r>
      <w:r w:rsidRPr="008266F3">
        <w:rPr>
          <w:rFonts w:ascii="Arial" w:hAnsi="Arial" w:cs="Arial"/>
          <w:i/>
          <w:iCs/>
          <w:lang w:val="en-IN"/>
        </w:rPr>
        <w:t>Journal of Modern Business and Economics</w:t>
      </w:r>
      <w:r w:rsidRPr="008266F3">
        <w:rPr>
          <w:rFonts w:ascii="Arial" w:hAnsi="Arial" w:cs="Arial"/>
          <w:lang w:val="en-IN"/>
        </w:rPr>
        <w:t xml:space="preserve">, </w:t>
      </w:r>
      <w:r w:rsidRPr="008266F3">
        <w:rPr>
          <w:rFonts w:ascii="Arial" w:hAnsi="Arial" w:cs="Arial"/>
          <w:i/>
          <w:iCs/>
          <w:lang w:val="en-IN"/>
        </w:rPr>
        <w:t>1</w:t>
      </w:r>
      <w:r w:rsidRPr="008266F3">
        <w:rPr>
          <w:rFonts w:ascii="Arial" w:hAnsi="Arial" w:cs="Arial"/>
          <w:lang w:val="en-IN"/>
        </w:rPr>
        <w:t>(2). </w:t>
      </w:r>
    </w:p>
    <w:p w14:paraId="258B1163" w14:textId="77777777" w:rsidR="00C853B2" w:rsidRPr="008266F3" w:rsidRDefault="00000000">
      <w:pPr>
        <w:spacing w:line="360" w:lineRule="auto"/>
        <w:jc w:val="both"/>
        <w:rPr>
          <w:sz w:val="24"/>
          <w:szCs w:val="24"/>
        </w:rPr>
      </w:pPr>
      <w:r w:rsidRPr="008266F3">
        <w:rPr>
          <w:sz w:val="24"/>
          <w:szCs w:val="24"/>
        </w:rPr>
        <w:t xml:space="preserve">Marriott International (2023) Annual Report 2022. Marriott International, Inc. Available at: </w:t>
      </w:r>
      <w:hyperlink r:id="rId15" w:history="1">
        <w:r w:rsidR="00C853B2" w:rsidRPr="008266F3">
          <w:rPr>
            <w:rStyle w:val="Hyperlink"/>
            <w:sz w:val="24"/>
            <w:szCs w:val="24"/>
          </w:rPr>
          <w:t>https://marriott.gcs-web.com/static-files/90ac617a-ef5f-4438-97ec-2e7cf4f8a41e</w:t>
        </w:r>
      </w:hyperlink>
    </w:p>
    <w:p w14:paraId="6326C81F" w14:textId="77777777" w:rsidR="00C853B2" w:rsidRPr="008266F3" w:rsidRDefault="00000000">
      <w:pPr>
        <w:spacing w:line="360" w:lineRule="auto"/>
        <w:jc w:val="both"/>
        <w:rPr>
          <w:sz w:val="24"/>
          <w:szCs w:val="24"/>
        </w:rPr>
      </w:pPr>
      <w:r w:rsidRPr="008266F3">
        <w:rPr>
          <w:sz w:val="24"/>
          <w:szCs w:val="24"/>
        </w:rPr>
        <w:t xml:space="preserve">Marriott International (2024) Annual Report 2023. Marriott International, Inc. Available at: </w:t>
      </w:r>
      <w:hyperlink r:id="rId16" w:history="1">
        <w:r w:rsidR="00C853B2" w:rsidRPr="008266F3">
          <w:rPr>
            <w:rStyle w:val="Hyperlink"/>
            <w:sz w:val="24"/>
            <w:szCs w:val="24"/>
          </w:rPr>
          <w:t>https://marriott.gcs-web.com/static-files/c0fb865c-15b1-4166-9846-49b548da1ce4</w:t>
        </w:r>
      </w:hyperlink>
    </w:p>
    <w:p w14:paraId="61D84033" w14:textId="77777777" w:rsidR="00C853B2" w:rsidRPr="008266F3" w:rsidRDefault="00000000">
      <w:pPr>
        <w:spacing w:line="360" w:lineRule="auto"/>
        <w:jc w:val="both"/>
      </w:pPr>
      <w:r w:rsidRPr="008266F3">
        <w:rPr>
          <w:sz w:val="24"/>
          <w:szCs w:val="24"/>
        </w:rPr>
        <w:t xml:space="preserve">Marriott International (2026) About Marriott International. Marriott International, Inc. Available at: </w:t>
      </w:r>
      <w:hyperlink r:id="rId17" w:history="1">
        <w:r w:rsidR="00C853B2" w:rsidRPr="008266F3">
          <w:rPr>
            <w:rStyle w:val="Hyperlink"/>
            <w:sz w:val="24"/>
            <w:szCs w:val="24"/>
          </w:rPr>
          <w:t>https://www.marriott.com/marriott/aboutmarriott.mi</w:t>
        </w:r>
      </w:hyperlink>
    </w:p>
    <w:p w14:paraId="4023D6CB" w14:textId="77777777" w:rsidR="00C853B2" w:rsidRPr="008266F3" w:rsidRDefault="00000000">
      <w:pPr>
        <w:spacing w:line="360" w:lineRule="auto"/>
        <w:jc w:val="both"/>
        <w:rPr>
          <w:sz w:val="24"/>
          <w:szCs w:val="24"/>
        </w:rPr>
      </w:pPr>
      <w:r w:rsidRPr="008266F3">
        <w:rPr>
          <w:sz w:val="24"/>
          <w:szCs w:val="24"/>
        </w:rPr>
        <w:t xml:space="preserve">Marriott International (2026) Annual Reports. Marriott International, Inc. Available at: </w:t>
      </w:r>
      <w:hyperlink r:id="rId18" w:history="1">
        <w:r w:rsidR="00C853B2" w:rsidRPr="008266F3">
          <w:rPr>
            <w:rStyle w:val="Hyperlink"/>
            <w:sz w:val="24"/>
            <w:szCs w:val="24"/>
          </w:rPr>
          <w:t>https://marriott.gcs-web.com/annual</w:t>
        </w:r>
      </w:hyperlink>
    </w:p>
    <w:p w14:paraId="39F403A9"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Mayr, S., Mitter, C., Duller, C. and Mooshammer, V., 2021. Reorganisation success in bankruptcy: the role of entrepreneur experience, characteristics and commitment. </w:t>
      </w:r>
      <w:r w:rsidRPr="008266F3">
        <w:rPr>
          <w:rFonts w:ascii="Arial" w:hAnsi="Arial" w:cs="Arial"/>
          <w:i/>
          <w:iCs/>
          <w:lang w:val="en-IN"/>
        </w:rPr>
        <w:t>International Journal of Entrepreneurial Venturing</w:t>
      </w:r>
      <w:r w:rsidRPr="008266F3">
        <w:rPr>
          <w:rFonts w:ascii="Arial" w:hAnsi="Arial" w:cs="Arial"/>
          <w:lang w:val="en-IN"/>
        </w:rPr>
        <w:t xml:space="preserve">, </w:t>
      </w:r>
      <w:r w:rsidRPr="008266F3">
        <w:rPr>
          <w:rFonts w:ascii="Arial" w:hAnsi="Arial" w:cs="Arial"/>
          <w:i/>
          <w:iCs/>
          <w:lang w:val="en-IN"/>
        </w:rPr>
        <w:t>13</w:t>
      </w:r>
      <w:r w:rsidRPr="008266F3">
        <w:rPr>
          <w:rFonts w:ascii="Arial" w:hAnsi="Arial" w:cs="Arial"/>
          <w:lang w:val="en-IN"/>
        </w:rPr>
        <w:t>(5), pp.528-548. </w:t>
      </w:r>
    </w:p>
    <w:p w14:paraId="613D4308"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Mbaka, C.N., 2026. FINANCIAL STRUCTURE AND FINANCIAL PERFORMANCE OF COMMERCIAL BANKS LISTED AT NAIROBI SECURITIES EXCHANGE (NSE), KENYA. </w:t>
      </w:r>
      <w:r w:rsidRPr="008266F3">
        <w:rPr>
          <w:rFonts w:ascii="Arial" w:hAnsi="Arial" w:cs="Arial"/>
          <w:i/>
          <w:iCs/>
          <w:lang w:val="en-IN"/>
        </w:rPr>
        <w:t>International Journal of Innovation, Enterprise, and Social Sciences</w:t>
      </w:r>
      <w:r w:rsidRPr="008266F3">
        <w:rPr>
          <w:rFonts w:ascii="Arial" w:hAnsi="Arial" w:cs="Arial"/>
          <w:lang w:val="en-IN"/>
        </w:rPr>
        <w:t xml:space="preserve">, </w:t>
      </w:r>
      <w:r w:rsidRPr="008266F3">
        <w:rPr>
          <w:rFonts w:ascii="Arial" w:hAnsi="Arial" w:cs="Arial"/>
          <w:i/>
          <w:iCs/>
          <w:lang w:val="en-IN"/>
        </w:rPr>
        <w:t>6</w:t>
      </w:r>
      <w:r w:rsidRPr="008266F3">
        <w:rPr>
          <w:rFonts w:ascii="Arial" w:hAnsi="Arial" w:cs="Arial"/>
          <w:lang w:val="en-IN"/>
        </w:rPr>
        <w:t>(1), pp.74-87. </w:t>
      </w:r>
    </w:p>
    <w:p w14:paraId="0641858B"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Merrill, T.W., 2020. The economics of leasing. </w:t>
      </w:r>
      <w:r w:rsidRPr="008266F3">
        <w:rPr>
          <w:rFonts w:ascii="Arial" w:hAnsi="Arial" w:cs="Arial"/>
          <w:i/>
          <w:iCs/>
          <w:lang w:val="en-IN"/>
        </w:rPr>
        <w:t>Journal of Legal Analysis</w:t>
      </w:r>
      <w:r w:rsidRPr="008266F3">
        <w:rPr>
          <w:rFonts w:ascii="Arial" w:hAnsi="Arial" w:cs="Arial"/>
          <w:lang w:val="en-IN"/>
        </w:rPr>
        <w:t xml:space="preserve">, </w:t>
      </w:r>
      <w:r w:rsidRPr="008266F3">
        <w:rPr>
          <w:rFonts w:ascii="Arial" w:hAnsi="Arial" w:cs="Arial"/>
          <w:i/>
          <w:iCs/>
          <w:lang w:val="en-IN"/>
        </w:rPr>
        <w:t>12</w:t>
      </w:r>
      <w:r w:rsidRPr="008266F3">
        <w:rPr>
          <w:rFonts w:ascii="Arial" w:hAnsi="Arial" w:cs="Arial"/>
          <w:lang w:val="en-IN"/>
        </w:rPr>
        <w:t>, pp.221-272. </w:t>
      </w:r>
    </w:p>
    <w:p w14:paraId="1AACCDBC"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Mustafina, A.A., Kaigorodova, G.N., Pyrkova, G.K., Alyakina, D.P. and Kamalova, A.A., 2020. Management of long-term financing in a company. </w:t>
      </w:r>
      <w:r w:rsidRPr="008266F3">
        <w:rPr>
          <w:rFonts w:ascii="Arial" w:hAnsi="Arial" w:cs="Arial"/>
          <w:i/>
          <w:iCs/>
          <w:lang w:val="en-IN"/>
        </w:rPr>
        <w:t>Revista Turismo Estudos e Práticas-RTEP/GEPLAT/UERN</w:t>
      </w:r>
      <w:r w:rsidRPr="008266F3">
        <w:rPr>
          <w:rFonts w:ascii="Arial" w:hAnsi="Arial" w:cs="Arial"/>
          <w:lang w:val="en-IN"/>
        </w:rPr>
        <w:t>, (5), pp.1-8. </w:t>
      </w:r>
    </w:p>
    <w:p w14:paraId="725D6D86" w14:textId="77777777" w:rsidR="00C853B2" w:rsidRPr="008266F3" w:rsidRDefault="00000000">
      <w:pPr>
        <w:spacing w:line="360" w:lineRule="auto"/>
        <w:jc w:val="both"/>
        <w:rPr>
          <w:color w:val="000000" w:themeColor="text1"/>
          <w:sz w:val="24"/>
          <w:szCs w:val="24"/>
        </w:rPr>
      </w:pPr>
      <w:r w:rsidRPr="008266F3">
        <w:rPr>
          <w:color w:val="000000" w:themeColor="text1"/>
          <w:sz w:val="24"/>
          <w:szCs w:val="24"/>
        </w:rPr>
        <w:t>Owolabi, O.S., Uche, P.C., Adeniken, N.T., Ihejirika, C., Islam, R.B., Chhetri, B.J.T. and Jung, B.,</w:t>
      </w:r>
      <w:r w:rsidRPr="008266F3">
        <w:rPr>
          <w:color w:val="FF0000"/>
          <w:sz w:val="24"/>
          <w:szCs w:val="24"/>
        </w:rPr>
        <w:t xml:space="preserve"> </w:t>
      </w:r>
      <w:r w:rsidRPr="008266F3">
        <w:rPr>
          <w:color w:val="000000" w:themeColor="text1"/>
          <w:sz w:val="24"/>
          <w:szCs w:val="24"/>
        </w:rPr>
        <w:t>2024. Ethical implication of artificial intelligence (AI) adoption in financial decision making. </w:t>
      </w:r>
      <w:r w:rsidRPr="008266F3">
        <w:rPr>
          <w:i/>
          <w:iCs/>
          <w:color w:val="000000" w:themeColor="text1"/>
          <w:sz w:val="24"/>
          <w:szCs w:val="24"/>
        </w:rPr>
        <w:t>Computer and Information Science</w:t>
      </w:r>
      <w:r w:rsidRPr="008266F3">
        <w:rPr>
          <w:color w:val="000000" w:themeColor="text1"/>
          <w:sz w:val="24"/>
          <w:szCs w:val="24"/>
        </w:rPr>
        <w:t>, </w:t>
      </w:r>
      <w:r w:rsidRPr="008266F3">
        <w:rPr>
          <w:i/>
          <w:iCs/>
          <w:color w:val="000000" w:themeColor="text1"/>
          <w:sz w:val="24"/>
          <w:szCs w:val="24"/>
        </w:rPr>
        <w:t>17</w:t>
      </w:r>
      <w:r w:rsidRPr="008266F3">
        <w:rPr>
          <w:color w:val="000000" w:themeColor="text1"/>
          <w:sz w:val="24"/>
          <w:szCs w:val="24"/>
        </w:rPr>
        <w:t xml:space="preserve">(1), pp.1-49. </w:t>
      </w:r>
    </w:p>
    <w:p w14:paraId="053FB1C8" w14:textId="77777777" w:rsidR="00C853B2" w:rsidRPr="008266F3" w:rsidRDefault="00000000">
      <w:pPr>
        <w:pStyle w:val="NormalWeb"/>
        <w:spacing w:before="0" w:beforeAutospacing="0" w:after="0" w:afterAutospacing="0" w:line="360" w:lineRule="auto"/>
        <w:jc w:val="both"/>
        <w:rPr>
          <w:rFonts w:ascii="Arial" w:hAnsi="Arial" w:cs="Arial"/>
          <w:color w:val="000000" w:themeColor="text1"/>
          <w:lang w:val="en-IN"/>
        </w:rPr>
      </w:pPr>
      <w:r w:rsidRPr="008266F3">
        <w:rPr>
          <w:rFonts w:ascii="Arial" w:hAnsi="Arial" w:cs="Arial"/>
          <w:color w:val="000000" w:themeColor="text1"/>
          <w:lang w:val="en-IN"/>
        </w:rPr>
        <w:lastRenderedPageBreak/>
        <w:t xml:space="preserve">Puspa, E.S. and Suyono, W.P., 2025. CASH MANAGEMENT STRATEGY IN INCREASING COMPANY LIQUIDITY IN TIMES OF ECONOMIC CRISIS. </w:t>
      </w:r>
      <w:r w:rsidRPr="008266F3">
        <w:rPr>
          <w:rFonts w:ascii="Arial" w:hAnsi="Arial" w:cs="Arial"/>
          <w:i/>
          <w:iCs/>
          <w:color w:val="000000" w:themeColor="text1"/>
          <w:lang w:val="en-IN"/>
        </w:rPr>
        <w:t>INTERNATIONAL JOURNAL OF ECONOMIC LITERATURE</w:t>
      </w:r>
      <w:r w:rsidRPr="008266F3">
        <w:rPr>
          <w:rFonts w:ascii="Arial" w:hAnsi="Arial" w:cs="Arial"/>
          <w:color w:val="000000" w:themeColor="text1"/>
          <w:lang w:val="en-IN"/>
        </w:rPr>
        <w:t xml:space="preserve">, </w:t>
      </w:r>
      <w:r w:rsidRPr="008266F3">
        <w:rPr>
          <w:rFonts w:ascii="Arial" w:hAnsi="Arial" w:cs="Arial"/>
          <w:i/>
          <w:iCs/>
          <w:color w:val="000000" w:themeColor="text1"/>
          <w:lang w:val="en-IN"/>
        </w:rPr>
        <w:t>3</w:t>
      </w:r>
      <w:r w:rsidRPr="008266F3">
        <w:rPr>
          <w:rFonts w:ascii="Arial" w:hAnsi="Arial" w:cs="Arial"/>
          <w:color w:val="000000" w:themeColor="text1"/>
          <w:lang w:val="en-IN"/>
        </w:rPr>
        <w:t>(5), pp.355-367. </w:t>
      </w:r>
    </w:p>
    <w:p w14:paraId="7794021F" w14:textId="77777777" w:rsidR="00C853B2" w:rsidRPr="008266F3" w:rsidRDefault="00000000">
      <w:pPr>
        <w:pStyle w:val="NormalWeb"/>
        <w:spacing w:before="0" w:beforeAutospacing="0" w:after="0" w:afterAutospacing="0" w:line="360" w:lineRule="auto"/>
        <w:jc w:val="both"/>
        <w:rPr>
          <w:rFonts w:ascii="Arial" w:hAnsi="Arial" w:cs="Arial"/>
          <w:color w:val="000000" w:themeColor="text1"/>
          <w:lang w:val="en-GB"/>
        </w:rPr>
      </w:pPr>
      <w:r w:rsidRPr="008266F3">
        <w:rPr>
          <w:rFonts w:ascii="Arial" w:hAnsi="Arial" w:cs="Arial"/>
          <w:color w:val="000000" w:themeColor="text1"/>
          <w:lang w:val="en-GB"/>
        </w:rPr>
        <w:t xml:space="preserve">Qin, R., 2024. Explore the Characteristics of Financial Management in the Tourism Industry. </w:t>
      </w:r>
      <w:r w:rsidRPr="008266F3">
        <w:rPr>
          <w:rFonts w:ascii="Arial" w:hAnsi="Arial" w:cs="Arial"/>
          <w:i/>
          <w:iCs/>
          <w:color w:val="000000" w:themeColor="text1"/>
          <w:lang w:val="en-GB"/>
        </w:rPr>
        <w:t>Journal of Modern Business and Economics</w:t>
      </w:r>
      <w:r w:rsidRPr="008266F3">
        <w:rPr>
          <w:rFonts w:ascii="Arial" w:hAnsi="Arial" w:cs="Arial"/>
          <w:color w:val="000000" w:themeColor="text1"/>
          <w:lang w:val="en-GB"/>
        </w:rPr>
        <w:t xml:space="preserve">, </w:t>
      </w:r>
      <w:r w:rsidRPr="008266F3">
        <w:rPr>
          <w:rFonts w:ascii="Arial" w:hAnsi="Arial" w:cs="Arial"/>
          <w:i/>
          <w:iCs/>
          <w:color w:val="000000" w:themeColor="text1"/>
          <w:lang w:val="en-GB"/>
        </w:rPr>
        <w:t>1</w:t>
      </w:r>
      <w:r w:rsidRPr="008266F3">
        <w:rPr>
          <w:rFonts w:ascii="Arial" w:hAnsi="Arial" w:cs="Arial"/>
          <w:color w:val="000000" w:themeColor="text1"/>
          <w:lang w:val="en-GB"/>
        </w:rPr>
        <w:t>(1).</w:t>
      </w:r>
    </w:p>
    <w:p w14:paraId="04224F82" w14:textId="77777777" w:rsidR="00C853B2" w:rsidRPr="008266F3" w:rsidRDefault="00000000">
      <w:pPr>
        <w:spacing w:line="360" w:lineRule="auto"/>
        <w:jc w:val="both"/>
        <w:rPr>
          <w:color w:val="000000" w:themeColor="text1"/>
          <w:sz w:val="24"/>
          <w:szCs w:val="24"/>
        </w:rPr>
      </w:pPr>
      <w:r w:rsidRPr="008266F3">
        <w:rPr>
          <w:color w:val="000000" w:themeColor="text1"/>
          <w:sz w:val="24"/>
          <w:szCs w:val="24"/>
        </w:rPr>
        <w:t>Ridwan, S., Syah, T.Y.R., Kustiawan, U. and Nofierni, N., 2025. Financial planning and investment feasibility analysis based on five-year projections using ROI, NPV, IRR, and financial ratios. </w:t>
      </w:r>
      <w:r w:rsidRPr="008266F3">
        <w:rPr>
          <w:i/>
          <w:iCs/>
          <w:color w:val="000000" w:themeColor="text1"/>
          <w:sz w:val="24"/>
          <w:szCs w:val="24"/>
        </w:rPr>
        <w:t>Journal La Bisecoman</w:t>
      </w:r>
      <w:r w:rsidRPr="008266F3">
        <w:rPr>
          <w:color w:val="000000" w:themeColor="text1"/>
          <w:sz w:val="24"/>
          <w:szCs w:val="24"/>
        </w:rPr>
        <w:t>, </w:t>
      </w:r>
      <w:r w:rsidRPr="008266F3">
        <w:rPr>
          <w:i/>
          <w:iCs/>
          <w:color w:val="000000" w:themeColor="text1"/>
          <w:sz w:val="24"/>
          <w:szCs w:val="24"/>
        </w:rPr>
        <w:t>6</w:t>
      </w:r>
      <w:r w:rsidRPr="008266F3">
        <w:rPr>
          <w:color w:val="000000" w:themeColor="text1"/>
          <w:sz w:val="24"/>
          <w:szCs w:val="24"/>
        </w:rPr>
        <w:t xml:space="preserve">(2), pp.489-506. </w:t>
      </w:r>
    </w:p>
    <w:p w14:paraId="3350E573"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Ritchken, P. and Wu, Q., 2021. Capacity investment, production flexibility, and capital structure. </w:t>
      </w:r>
      <w:r w:rsidRPr="008266F3">
        <w:rPr>
          <w:rFonts w:ascii="Arial" w:hAnsi="Arial" w:cs="Arial"/>
          <w:i/>
          <w:iCs/>
          <w:lang w:val="en-IN"/>
        </w:rPr>
        <w:t>Production and Operations Management</w:t>
      </w:r>
      <w:r w:rsidRPr="008266F3">
        <w:rPr>
          <w:rFonts w:ascii="Arial" w:hAnsi="Arial" w:cs="Arial"/>
          <w:lang w:val="en-IN"/>
        </w:rPr>
        <w:t xml:space="preserve">, </w:t>
      </w:r>
      <w:r w:rsidRPr="008266F3">
        <w:rPr>
          <w:rFonts w:ascii="Arial" w:hAnsi="Arial" w:cs="Arial"/>
          <w:i/>
          <w:iCs/>
          <w:lang w:val="en-IN"/>
        </w:rPr>
        <w:t>30</w:t>
      </w:r>
      <w:r w:rsidRPr="008266F3">
        <w:rPr>
          <w:rFonts w:ascii="Arial" w:hAnsi="Arial" w:cs="Arial"/>
          <w:lang w:val="en-IN"/>
        </w:rPr>
        <w:t>(12), pp.4593-4613. </w:t>
      </w:r>
    </w:p>
    <w:p w14:paraId="417F4199"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Shokomi, L. and Yahaya, O.A., 2024. Sustainability committee and firm value. </w:t>
      </w:r>
      <w:r w:rsidRPr="008266F3">
        <w:rPr>
          <w:rFonts w:ascii="Arial" w:hAnsi="Arial" w:cs="Arial"/>
          <w:i/>
          <w:iCs/>
          <w:lang w:val="en-IN"/>
        </w:rPr>
        <w:t>Shokomi, L., &amp; Yahaya, OA (2024). Sustainability committees and firm value. NDA Open Access Articles</w:t>
      </w:r>
      <w:r w:rsidRPr="008266F3">
        <w:rPr>
          <w:rFonts w:ascii="Arial" w:hAnsi="Arial" w:cs="Arial"/>
          <w:lang w:val="en-IN"/>
        </w:rPr>
        <w:t xml:space="preserve">, </w:t>
      </w:r>
      <w:r w:rsidRPr="008266F3">
        <w:rPr>
          <w:rFonts w:ascii="Arial" w:hAnsi="Arial" w:cs="Arial"/>
          <w:i/>
          <w:iCs/>
          <w:lang w:val="en-IN"/>
        </w:rPr>
        <w:t>9</w:t>
      </w:r>
      <w:r w:rsidRPr="008266F3">
        <w:rPr>
          <w:rFonts w:ascii="Arial" w:hAnsi="Arial" w:cs="Arial"/>
          <w:lang w:val="en-IN"/>
        </w:rPr>
        <w:t>(3), pp.1-38. </w:t>
      </w:r>
    </w:p>
    <w:p w14:paraId="4A0455BC"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Vaka, D.K., 2024. Integrating inventory management and distribution: A holistic supply chain strategy. </w:t>
      </w:r>
      <w:r w:rsidRPr="008266F3">
        <w:rPr>
          <w:rFonts w:ascii="Arial" w:hAnsi="Arial" w:cs="Arial"/>
          <w:i/>
          <w:iCs/>
          <w:lang w:val="en-IN"/>
        </w:rPr>
        <w:t>the International Journal of Managing Value and Supply Chains</w:t>
      </w:r>
      <w:r w:rsidRPr="008266F3">
        <w:rPr>
          <w:rFonts w:ascii="Arial" w:hAnsi="Arial" w:cs="Arial"/>
          <w:lang w:val="en-IN"/>
        </w:rPr>
        <w:t xml:space="preserve">, </w:t>
      </w:r>
      <w:r w:rsidRPr="008266F3">
        <w:rPr>
          <w:rFonts w:ascii="Arial" w:hAnsi="Arial" w:cs="Arial"/>
          <w:i/>
          <w:iCs/>
          <w:lang w:val="en-IN"/>
        </w:rPr>
        <w:t>15</w:t>
      </w:r>
      <w:r w:rsidRPr="008266F3">
        <w:rPr>
          <w:rFonts w:ascii="Arial" w:hAnsi="Arial" w:cs="Arial"/>
          <w:lang w:val="en-IN"/>
        </w:rPr>
        <w:t>(2), pp.13-23. </w:t>
      </w:r>
    </w:p>
    <w:p w14:paraId="2359EE42" w14:textId="77777777" w:rsidR="00C853B2" w:rsidRPr="008266F3" w:rsidRDefault="00000000">
      <w:pPr>
        <w:spacing w:line="360" w:lineRule="auto"/>
        <w:jc w:val="both"/>
        <w:rPr>
          <w:sz w:val="24"/>
          <w:szCs w:val="24"/>
        </w:rPr>
      </w:pPr>
      <w:r w:rsidRPr="008266F3">
        <w:rPr>
          <w:sz w:val="24"/>
          <w:szCs w:val="24"/>
        </w:rPr>
        <w:t xml:space="preserve">Yahoo Finance (2026) Marriott International, Inc. (MAR) Cash Flow Statement. Yahoo Finance. Available at: </w:t>
      </w:r>
      <w:hyperlink r:id="rId19" w:history="1">
        <w:r w:rsidR="00C853B2" w:rsidRPr="008266F3">
          <w:rPr>
            <w:rStyle w:val="Hyperlink"/>
            <w:sz w:val="24"/>
            <w:szCs w:val="24"/>
          </w:rPr>
          <w:t>https://finance.yahoo.com/quote/MAR/cash-flow</w:t>
        </w:r>
      </w:hyperlink>
    </w:p>
    <w:p w14:paraId="5FD8C1EA" w14:textId="77777777" w:rsidR="008266F3" w:rsidRDefault="008266F3">
      <w:pPr>
        <w:spacing w:line="360" w:lineRule="auto"/>
        <w:jc w:val="both"/>
        <w:rPr>
          <w:sz w:val="24"/>
          <w:szCs w:val="24"/>
        </w:rPr>
      </w:pPr>
      <w:bookmarkStart w:id="8" w:name="_Toc231660776"/>
    </w:p>
    <w:p w14:paraId="6411270C" w14:textId="77777777" w:rsidR="008266F3" w:rsidRDefault="008266F3">
      <w:pPr>
        <w:spacing w:line="360" w:lineRule="auto"/>
        <w:jc w:val="both"/>
        <w:rPr>
          <w:sz w:val="24"/>
          <w:szCs w:val="24"/>
        </w:rPr>
      </w:pPr>
    </w:p>
    <w:p w14:paraId="7C86194F" w14:textId="77777777" w:rsidR="0004785C" w:rsidRDefault="0004785C">
      <w:pPr>
        <w:spacing w:line="360" w:lineRule="auto"/>
        <w:jc w:val="both"/>
        <w:rPr>
          <w:sz w:val="24"/>
          <w:szCs w:val="24"/>
        </w:rPr>
      </w:pPr>
    </w:p>
    <w:p w14:paraId="6FC5C561" w14:textId="77777777" w:rsidR="0004785C" w:rsidRDefault="0004785C">
      <w:pPr>
        <w:spacing w:line="360" w:lineRule="auto"/>
        <w:jc w:val="both"/>
        <w:rPr>
          <w:sz w:val="24"/>
          <w:szCs w:val="24"/>
        </w:rPr>
      </w:pPr>
    </w:p>
    <w:p w14:paraId="61335CC0" w14:textId="77777777" w:rsidR="0004785C" w:rsidRDefault="0004785C">
      <w:pPr>
        <w:spacing w:line="360" w:lineRule="auto"/>
        <w:jc w:val="both"/>
        <w:rPr>
          <w:sz w:val="24"/>
          <w:szCs w:val="24"/>
        </w:rPr>
      </w:pPr>
    </w:p>
    <w:p w14:paraId="18393333" w14:textId="77777777" w:rsidR="0004785C" w:rsidRDefault="0004785C">
      <w:pPr>
        <w:spacing w:line="360" w:lineRule="auto"/>
        <w:jc w:val="both"/>
        <w:rPr>
          <w:sz w:val="24"/>
          <w:szCs w:val="24"/>
        </w:rPr>
      </w:pPr>
    </w:p>
    <w:p w14:paraId="359A7224" w14:textId="77777777" w:rsidR="0004785C" w:rsidRDefault="0004785C">
      <w:pPr>
        <w:spacing w:line="360" w:lineRule="auto"/>
        <w:jc w:val="both"/>
        <w:rPr>
          <w:sz w:val="24"/>
          <w:szCs w:val="24"/>
        </w:rPr>
      </w:pPr>
    </w:p>
    <w:p w14:paraId="57E7F01C" w14:textId="77777777" w:rsidR="0004785C" w:rsidRDefault="0004785C">
      <w:pPr>
        <w:spacing w:line="360" w:lineRule="auto"/>
        <w:jc w:val="both"/>
        <w:rPr>
          <w:sz w:val="24"/>
          <w:szCs w:val="24"/>
        </w:rPr>
      </w:pPr>
    </w:p>
    <w:p w14:paraId="60769264" w14:textId="77777777" w:rsidR="0004785C" w:rsidRDefault="0004785C">
      <w:pPr>
        <w:spacing w:line="360" w:lineRule="auto"/>
        <w:jc w:val="both"/>
        <w:rPr>
          <w:sz w:val="24"/>
          <w:szCs w:val="24"/>
        </w:rPr>
      </w:pPr>
    </w:p>
    <w:p w14:paraId="17408AE0" w14:textId="77777777" w:rsidR="0004785C" w:rsidRDefault="0004785C">
      <w:pPr>
        <w:spacing w:line="360" w:lineRule="auto"/>
        <w:jc w:val="both"/>
        <w:rPr>
          <w:sz w:val="24"/>
          <w:szCs w:val="24"/>
        </w:rPr>
      </w:pPr>
    </w:p>
    <w:p w14:paraId="67C815DB" w14:textId="77777777" w:rsidR="0004785C" w:rsidRDefault="0004785C">
      <w:pPr>
        <w:spacing w:line="360" w:lineRule="auto"/>
        <w:jc w:val="both"/>
        <w:rPr>
          <w:sz w:val="24"/>
          <w:szCs w:val="24"/>
        </w:rPr>
      </w:pPr>
    </w:p>
    <w:p w14:paraId="3958D5D1" w14:textId="77777777" w:rsidR="0004785C" w:rsidRDefault="0004785C">
      <w:pPr>
        <w:spacing w:line="360" w:lineRule="auto"/>
        <w:jc w:val="both"/>
        <w:rPr>
          <w:sz w:val="24"/>
          <w:szCs w:val="24"/>
        </w:rPr>
      </w:pPr>
    </w:p>
    <w:p w14:paraId="47231E05" w14:textId="77777777" w:rsidR="0004785C" w:rsidRDefault="0004785C">
      <w:pPr>
        <w:spacing w:line="360" w:lineRule="auto"/>
        <w:jc w:val="both"/>
        <w:rPr>
          <w:sz w:val="24"/>
          <w:szCs w:val="24"/>
        </w:rPr>
      </w:pPr>
    </w:p>
    <w:p w14:paraId="6F100DF5" w14:textId="77777777" w:rsidR="0004785C" w:rsidRDefault="0004785C">
      <w:pPr>
        <w:spacing w:line="360" w:lineRule="auto"/>
        <w:jc w:val="both"/>
        <w:rPr>
          <w:sz w:val="24"/>
          <w:szCs w:val="24"/>
        </w:rPr>
      </w:pPr>
    </w:p>
    <w:p w14:paraId="312E2E65" w14:textId="77777777" w:rsidR="0004785C" w:rsidRDefault="0004785C">
      <w:pPr>
        <w:spacing w:line="360" w:lineRule="auto"/>
        <w:jc w:val="both"/>
        <w:rPr>
          <w:sz w:val="24"/>
          <w:szCs w:val="24"/>
        </w:rPr>
      </w:pPr>
    </w:p>
    <w:p w14:paraId="7A14FE79" w14:textId="77777777" w:rsidR="0004785C" w:rsidRDefault="0004785C">
      <w:pPr>
        <w:spacing w:line="360" w:lineRule="auto"/>
        <w:jc w:val="both"/>
        <w:rPr>
          <w:sz w:val="24"/>
          <w:szCs w:val="24"/>
        </w:rPr>
      </w:pPr>
    </w:p>
    <w:p w14:paraId="054E29F9" w14:textId="77777777" w:rsidR="00C853B2" w:rsidRPr="008266F3" w:rsidRDefault="00000000">
      <w:pPr>
        <w:pStyle w:val="Heading2"/>
        <w:spacing w:before="0" w:after="0"/>
        <w:rPr>
          <w:rFonts w:ascii="Arial" w:hAnsi="Arial"/>
          <w:szCs w:val="24"/>
          <w:u w:val="single"/>
        </w:rPr>
      </w:pPr>
      <w:bookmarkStart w:id="9" w:name="_Toc234929485"/>
      <w:bookmarkEnd w:id="8"/>
      <w:r w:rsidRPr="008266F3">
        <w:rPr>
          <w:rFonts w:ascii="Arial" w:hAnsi="Arial"/>
          <w:szCs w:val="24"/>
          <w:u w:val="single"/>
        </w:rPr>
        <w:lastRenderedPageBreak/>
        <w:t>Appendix 1: Ratios</w:t>
      </w:r>
      <w:bookmarkEnd w:id="9"/>
    </w:p>
    <w:tbl>
      <w:tblPr>
        <w:tblW w:w="5000" w:type="pct"/>
        <w:tblLook w:val="04A0" w:firstRow="1" w:lastRow="0" w:firstColumn="1" w:lastColumn="0" w:noHBand="0" w:noVBand="1"/>
      </w:tblPr>
      <w:tblGrid>
        <w:gridCol w:w="2013"/>
        <w:gridCol w:w="768"/>
        <w:gridCol w:w="1168"/>
        <w:gridCol w:w="1329"/>
        <w:gridCol w:w="1374"/>
        <w:gridCol w:w="1374"/>
        <w:gridCol w:w="1382"/>
        <w:gridCol w:w="1382"/>
      </w:tblGrid>
      <w:tr w:rsidR="00C853B2" w:rsidRPr="008266F3" w14:paraId="5C490353" w14:textId="77777777">
        <w:trPr>
          <w:trHeight w:val="312"/>
        </w:trPr>
        <w:tc>
          <w:tcPr>
            <w:tcW w:w="5000" w:type="pct"/>
            <w:gridSpan w:val="8"/>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22ACDA8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Profitability Ratios</w:t>
            </w:r>
          </w:p>
        </w:tc>
      </w:tr>
      <w:tr w:rsidR="00C853B2" w:rsidRPr="008266F3" w14:paraId="770EFC25" w14:textId="77777777">
        <w:trPr>
          <w:trHeight w:val="312"/>
        </w:trPr>
        <w:tc>
          <w:tcPr>
            <w:tcW w:w="1190" w:type="pct"/>
            <w:tcBorders>
              <w:top w:val="nil"/>
              <w:left w:val="single" w:sz="4" w:space="0" w:color="auto"/>
              <w:bottom w:val="single" w:sz="4" w:space="0" w:color="auto"/>
              <w:right w:val="single" w:sz="4" w:space="0" w:color="auto"/>
            </w:tcBorders>
            <w:shd w:val="clear" w:color="000000" w:fill="FCE4D6"/>
            <w:noWrap/>
            <w:vAlign w:val="center"/>
            <w:hideMark/>
          </w:tcPr>
          <w:p w14:paraId="7811788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Particulars</w:t>
            </w:r>
          </w:p>
        </w:tc>
        <w:tc>
          <w:tcPr>
            <w:tcW w:w="297" w:type="pct"/>
            <w:tcBorders>
              <w:top w:val="nil"/>
              <w:left w:val="nil"/>
              <w:bottom w:val="single" w:sz="4" w:space="0" w:color="auto"/>
              <w:right w:val="single" w:sz="4" w:space="0" w:color="auto"/>
            </w:tcBorders>
            <w:shd w:val="clear" w:color="000000" w:fill="FCE4D6"/>
            <w:noWrap/>
            <w:vAlign w:val="center"/>
            <w:hideMark/>
          </w:tcPr>
          <w:p w14:paraId="51495956"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Details</w:t>
            </w:r>
          </w:p>
        </w:tc>
        <w:tc>
          <w:tcPr>
            <w:tcW w:w="686" w:type="pct"/>
            <w:tcBorders>
              <w:top w:val="nil"/>
              <w:left w:val="nil"/>
              <w:bottom w:val="single" w:sz="4" w:space="0" w:color="auto"/>
              <w:right w:val="single" w:sz="4" w:space="0" w:color="auto"/>
            </w:tcBorders>
            <w:shd w:val="clear" w:color="000000" w:fill="FCE4D6"/>
            <w:noWrap/>
            <w:vAlign w:val="center"/>
            <w:hideMark/>
          </w:tcPr>
          <w:p w14:paraId="05F51BF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Formula </w:t>
            </w:r>
          </w:p>
        </w:tc>
        <w:tc>
          <w:tcPr>
            <w:tcW w:w="561" w:type="pct"/>
            <w:tcBorders>
              <w:top w:val="nil"/>
              <w:left w:val="nil"/>
              <w:bottom w:val="single" w:sz="4" w:space="0" w:color="auto"/>
              <w:right w:val="single" w:sz="4" w:space="0" w:color="auto"/>
            </w:tcBorders>
            <w:shd w:val="clear" w:color="000000" w:fill="FCE4D6"/>
            <w:vAlign w:val="center"/>
            <w:hideMark/>
          </w:tcPr>
          <w:p w14:paraId="273EF03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2021</w:t>
            </w:r>
          </w:p>
        </w:tc>
        <w:tc>
          <w:tcPr>
            <w:tcW w:w="561" w:type="pct"/>
            <w:tcBorders>
              <w:top w:val="nil"/>
              <w:left w:val="nil"/>
              <w:bottom w:val="single" w:sz="4" w:space="0" w:color="auto"/>
              <w:right w:val="single" w:sz="4" w:space="0" w:color="auto"/>
            </w:tcBorders>
            <w:shd w:val="clear" w:color="000000" w:fill="FCE4D6"/>
            <w:vAlign w:val="center"/>
            <w:hideMark/>
          </w:tcPr>
          <w:p w14:paraId="3492D9EE"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2022</w:t>
            </w:r>
          </w:p>
        </w:tc>
        <w:tc>
          <w:tcPr>
            <w:tcW w:w="568" w:type="pct"/>
            <w:tcBorders>
              <w:top w:val="nil"/>
              <w:left w:val="nil"/>
              <w:bottom w:val="single" w:sz="4" w:space="0" w:color="auto"/>
              <w:right w:val="single" w:sz="4" w:space="0" w:color="auto"/>
            </w:tcBorders>
            <w:shd w:val="clear" w:color="000000" w:fill="FCE4D6"/>
            <w:vAlign w:val="center"/>
            <w:hideMark/>
          </w:tcPr>
          <w:p w14:paraId="00BF58C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2023</w:t>
            </w:r>
          </w:p>
        </w:tc>
        <w:tc>
          <w:tcPr>
            <w:tcW w:w="568" w:type="pct"/>
            <w:tcBorders>
              <w:top w:val="nil"/>
              <w:left w:val="nil"/>
              <w:bottom w:val="single" w:sz="4" w:space="0" w:color="auto"/>
              <w:right w:val="single" w:sz="4" w:space="0" w:color="auto"/>
            </w:tcBorders>
            <w:shd w:val="clear" w:color="000000" w:fill="FCE4D6"/>
            <w:vAlign w:val="center"/>
            <w:hideMark/>
          </w:tcPr>
          <w:p w14:paraId="47BD918D"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2024</w:t>
            </w:r>
          </w:p>
        </w:tc>
        <w:tc>
          <w:tcPr>
            <w:tcW w:w="568" w:type="pct"/>
            <w:tcBorders>
              <w:top w:val="nil"/>
              <w:left w:val="nil"/>
              <w:bottom w:val="single" w:sz="4" w:space="0" w:color="auto"/>
              <w:right w:val="single" w:sz="4" w:space="0" w:color="auto"/>
            </w:tcBorders>
            <w:shd w:val="clear" w:color="000000" w:fill="FCE4D6"/>
            <w:vAlign w:val="center"/>
            <w:hideMark/>
          </w:tcPr>
          <w:p w14:paraId="4E859E1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2025</w:t>
            </w:r>
          </w:p>
        </w:tc>
      </w:tr>
      <w:tr w:rsidR="00C853B2" w:rsidRPr="008266F3" w14:paraId="053C0D52" w14:textId="77777777">
        <w:trPr>
          <w:trHeight w:val="312"/>
        </w:trPr>
        <w:tc>
          <w:tcPr>
            <w:tcW w:w="1190" w:type="pct"/>
            <w:tcBorders>
              <w:top w:val="nil"/>
              <w:left w:val="single" w:sz="4" w:space="0" w:color="auto"/>
              <w:bottom w:val="single" w:sz="4" w:space="0" w:color="auto"/>
              <w:right w:val="single" w:sz="4" w:space="0" w:color="auto"/>
            </w:tcBorders>
            <w:noWrap/>
            <w:vAlign w:val="center"/>
            <w:hideMark/>
          </w:tcPr>
          <w:p w14:paraId="14EC1A32"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Net Sales</w:t>
            </w:r>
          </w:p>
        </w:tc>
        <w:tc>
          <w:tcPr>
            <w:tcW w:w="297" w:type="pct"/>
            <w:tcBorders>
              <w:top w:val="nil"/>
              <w:left w:val="nil"/>
              <w:bottom w:val="single" w:sz="4" w:space="0" w:color="auto"/>
              <w:right w:val="single" w:sz="4" w:space="0" w:color="auto"/>
            </w:tcBorders>
            <w:noWrap/>
            <w:vAlign w:val="center"/>
            <w:hideMark/>
          </w:tcPr>
          <w:p w14:paraId="40B5A24B"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A</w:t>
            </w:r>
          </w:p>
        </w:tc>
        <w:tc>
          <w:tcPr>
            <w:tcW w:w="686" w:type="pct"/>
            <w:tcBorders>
              <w:top w:val="nil"/>
              <w:left w:val="nil"/>
              <w:bottom w:val="single" w:sz="4" w:space="0" w:color="auto"/>
              <w:right w:val="single" w:sz="4" w:space="0" w:color="auto"/>
            </w:tcBorders>
            <w:noWrap/>
            <w:vAlign w:val="center"/>
            <w:hideMark/>
          </w:tcPr>
          <w:p w14:paraId="131FDE95"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nil"/>
              <w:bottom w:val="single" w:sz="4" w:space="0" w:color="auto"/>
              <w:right w:val="single" w:sz="4" w:space="0" w:color="auto"/>
            </w:tcBorders>
            <w:vAlign w:val="center"/>
            <w:hideMark/>
          </w:tcPr>
          <w:p w14:paraId="48AAAA9B"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13,857 </w:t>
            </w:r>
          </w:p>
        </w:tc>
        <w:tc>
          <w:tcPr>
            <w:tcW w:w="561" w:type="pct"/>
            <w:tcBorders>
              <w:top w:val="nil"/>
              <w:left w:val="nil"/>
              <w:bottom w:val="single" w:sz="4" w:space="0" w:color="auto"/>
              <w:right w:val="single" w:sz="4" w:space="0" w:color="auto"/>
            </w:tcBorders>
            <w:vAlign w:val="center"/>
            <w:hideMark/>
          </w:tcPr>
          <w:p w14:paraId="565FEA27"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20,773 </w:t>
            </w:r>
          </w:p>
        </w:tc>
        <w:tc>
          <w:tcPr>
            <w:tcW w:w="568" w:type="pct"/>
            <w:tcBorders>
              <w:top w:val="nil"/>
              <w:left w:val="nil"/>
              <w:bottom w:val="single" w:sz="4" w:space="0" w:color="auto"/>
              <w:right w:val="single" w:sz="4" w:space="0" w:color="auto"/>
            </w:tcBorders>
            <w:vAlign w:val="center"/>
            <w:hideMark/>
          </w:tcPr>
          <w:p w14:paraId="38A6BEF3"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23,713 </w:t>
            </w:r>
          </w:p>
        </w:tc>
        <w:tc>
          <w:tcPr>
            <w:tcW w:w="568" w:type="pct"/>
            <w:tcBorders>
              <w:top w:val="nil"/>
              <w:left w:val="nil"/>
              <w:bottom w:val="single" w:sz="4" w:space="0" w:color="auto"/>
              <w:right w:val="single" w:sz="4" w:space="0" w:color="auto"/>
            </w:tcBorders>
            <w:vAlign w:val="center"/>
            <w:hideMark/>
          </w:tcPr>
          <w:p w14:paraId="6FF82F84"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25,100 </w:t>
            </w:r>
          </w:p>
        </w:tc>
        <w:tc>
          <w:tcPr>
            <w:tcW w:w="568" w:type="pct"/>
            <w:tcBorders>
              <w:top w:val="nil"/>
              <w:left w:val="nil"/>
              <w:bottom w:val="single" w:sz="4" w:space="0" w:color="auto"/>
              <w:right w:val="single" w:sz="4" w:space="0" w:color="auto"/>
            </w:tcBorders>
            <w:vAlign w:val="center"/>
            <w:hideMark/>
          </w:tcPr>
          <w:p w14:paraId="1F43C07C"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26,186 </w:t>
            </w:r>
          </w:p>
        </w:tc>
      </w:tr>
      <w:tr w:rsidR="00C853B2" w:rsidRPr="008266F3" w14:paraId="6BCACC8E" w14:textId="77777777">
        <w:trPr>
          <w:trHeight w:val="324"/>
        </w:trPr>
        <w:tc>
          <w:tcPr>
            <w:tcW w:w="1190" w:type="pct"/>
            <w:tcBorders>
              <w:top w:val="nil"/>
              <w:left w:val="single" w:sz="4" w:space="0" w:color="auto"/>
              <w:bottom w:val="single" w:sz="4" w:space="0" w:color="auto"/>
              <w:right w:val="single" w:sz="4" w:space="0" w:color="auto"/>
            </w:tcBorders>
            <w:noWrap/>
            <w:vAlign w:val="center"/>
            <w:hideMark/>
          </w:tcPr>
          <w:p w14:paraId="6BD7C61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Operating Income</w:t>
            </w:r>
          </w:p>
        </w:tc>
        <w:tc>
          <w:tcPr>
            <w:tcW w:w="297" w:type="pct"/>
            <w:tcBorders>
              <w:top w:val="nil"/>
              <w:left w:val="nil"/>
              <w:bottom w:val="single" w:sz="4" w:space="0" w:color="auto"/>
              <w:right w:val="single" w:sz="4" w:space="0" w:color="auto"/>
            </w:tcBorders>
            <w:noWrap/>
            <w:vAlign w:val="center"/>
            <w:hideMark/>
          </w:tcPr>
          <w:p w14:paraId="4FD6A516"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B</w:t>
            </w:r>
          </w:p>
        </w:tc>
        <w:tc>
          <w:tcPr>
            <w:tcW w:w="686" w:type="pct"/>
            <w:tcBorders>
              <w:top w:val="nil"/>
              <w:left w:val="nil"/>
              <w:bottom w:val="single" w:sz="4" w:space="0" w:color="auto"/>
              <w:right w:val="single" w:sz="4" w:space="0" w:color="auto"/>
            </w:tcBorders>
            <w:noWrap/>
            <w:vAlign w:val="center"/>
            <w:hideMark/>
          </w:tcPr>
          <w:p w14:paraId="78882344"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nil"/>
              <w:bottom w:val="single" w:sz="4" w:space="0" w:color="auto"/>
              <w:right w:val="single" w:sz="4" w:space="0" w:color="auto"/>
            </w:tcBorders>
            <w:vAlign w:val="center"/>
            <w:hideMark/>
          </w:tcPr>
          <w:p w14:paraId="19BDE596"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1,750 </w:t>
            </w:r>
          </w:p>
        </w:tc>
        <w:tc>
          <w:tcPr>
            <w:tcW w:w="561" w:type="pct"/>
            <w:tcBorders>
              <w:top w:val="nil"/>
              <w:left w:val="nil"/>
              <w:bottom w:val="single" w:sz="4" w:space="0" w:color="auto"/>
              <w:right w:val="single" w:sz="4" w:space="0" w:color="auto"/>
            </w:tcBorders>
            <w:vAlign w:val="center"/>
            <w:hideMark/>
          </w:tcPr>
          <w:p w14:paraId="251D64F7"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3,462 </w:t>
            </w:r>
          </w:p>
        </w:tc>
        <w:tc>
          <w:tcPr>
            <w:tcW w:w="568" w:type="pct"/>
            <w:tcBorders>
              <w:top w:val="nil"/>
              <w:left w:val="nil"/>
              <w:bottom w:val="single" w:sz="4" w:space="0" w:color="auto"/>
              <w:right w:val="single" w:sz="4" w:space="0" w:color="auto"/>
            </w:tcBorders>
            <w:vAlign w:val="center"/>
            <w:hideMark/>
          </w:tcPr>
          <w:p w14:paraId="73B7176B"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3,864 </w:t>
            </w:r>
          </w:p>
        </w:tc>
        <w:tc>
          <w:tcPr>
            <w:tcW w:w="568" w:type="pct"/>
            <w:tcBorders>
              <w:top w:val="nil"/>
              <w:left w:val="nil"/>
              <w:bottom w:val="single" w:sz="4" w:space="0" w:color="auto"/>
              <w:right w:val="single" w:sz="4" w:space="0" w:color="auto"/>
            </w:tcBorders>
            <w:vAlign w:val="center"/>
            <w:hideMark/>
          </w:tcPr>
          <w:p w14:paraId="520A4CD8"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3,767 </w:t>
            </w:r>
          </w:p>
        </w:tc>
        <w:tc>
          <w:tcPr>
            <w:tcW w:w="568" w:type="pct"/>
            <w:tcBorders>
              <w:top w:val="nil"/>
              <w:left w:val="nil"/>
              <w:bottom w:val="single" w:sz="4" w:space="0" w:color="auto"/>
              <w:right w:val="single" w:sz="4" w:space="0" w:color="auto"/>
            </w:tcBorders>
            <w:vAlign w:val="center"/>
            <w:hideMark/>
          </w:tcPr>
          <w:p w14:paraId="7032E6BD"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4,141 </w:t>
            </w:r>
          </w:p>
        </w:tc>
      </w:tr>
      <w:tr w:rsidR="00C853B2" w:rsidRPr="008266F3" w14:paraId="0D98FA91" w14:textId="77777777">
        <w:trPr>
          <w:trHeight w:val="324"/>
        </w:trPr>
        <w:tc>
          <w:tcPr>
            <w:tcW w:w="1190" w:type="pct"/>
            <w:tcBorders>
              <w:top w:val="nil"/>
              <w:left w:val="single" w:sz="4" w:space="0" w:color="auto"/>
              <w:bottom w:val="single" w:sz="4" w:space="0" w:color="auto"/>
              <w:right w:val="single" w:sz="4" w:space="0" w:color="auto"/>
            </w:tcBorders>
            <w:noWrap/>
            <w:vAlign w:val="bottom"/>
            <w:hideMark/>
          </w:tcPr>
          <w:p w14:paraId="5E165301"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Net income </w:t>
            </w:r>
          </w:p>
        </w:tc>
        <w:tc>
          <w:tcPr>
            <w:tcW w:w="297" w:type="pct"/>
            <w:tcBorders>
              <w:top w:val="nil"/>
              <w:left w:val="nil"/>
              <w:bottom w:val="single" w:sz="4" w:space="0" w:color="auto"/>
              <w:right w:val="single" w:sz="4" w:space="0" w:color="auto"/>
            </w:tcBorders>
            <w:noWrap/>
            <w:vAlign w:val="center"/>
            <w:hideMark/>
          </w:tcPr>
          <w:p w14:paraId="197B2B1A"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C</w:t>
            </w:r>
          </w:p>
        </w:tc>
        <w:tc>
          <w:tcPr>
            <w:tcW w:w="686" w:type="pct"/>
            <w:tcBorders>
              <w:top w:val="nil"/>
              <w:left w:val="nil"/>
              <w:bottom w:val="single" w:sz="4" w:space="0" w:color="auto"/>
              <w:right w:val="single" w:sz="4" w:space="0" w:color="auto"/>
            </w:tcBorders>
            <w:noWrap/>
            <w:vAlign w:val="center"/>
            <w:hideMark/>
          </w:tcPr>
          <w:p w14:paraId="253140D7"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nil"/>
              <w:bottom w:val="single" w:sz="4" w:space="0" w:color="auto"/>
              <w:right w:val="single" w:sz="4" w:space="0" w:color="auto"/>
            </w:tcBorders>
            <w:vAlign w:val="center"/>
            <w:hideMark/>
          </w:tcPr>
          <w:p w14:paraId="6D913B04"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1,099 </w:t>
            </w:r>
          </w:p>
        </w:tc>
        <w:tc>
          <w:tcPr>
            <w:tcW w:w="561" w:type="pct"/>
            <w:tcBorders>
              <w:top w:val="nil"/>
              <w:left w:val="nil"/>
              <w:bottom w:val="single" w:sz="4" w:space="0" w:color="auto"/>
              <w:right w:val="single" w:sz="4" w:space="0" w:color="auto"/>
            </w:tcBorders>
            <w:vAlign w:val="center"/>
            <w:hideMark/>
          </w:tcPr>
          <w:p w14:paraId="7791EA28"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2,358 </w:t>
            </w:r>
          </w:p>
        </w:tc>
        <w:tc>
          <w:tcPr>
            <w:tcW w:w="568" w:type="pct"/>
            <w:tcBorders>
              <w:top w:val="nil"/>
              <w:left w:val="nil"/>
              <w:bottom w:val="single" w:sz="4" w:space="0" w:color="auto"/>
              <w:right w:val="single" w:sz="4" w:space="0" w:color="auto"/>
            </w:tcBorders>
            <w:vAlign w:val="center"/>
            <w:hideMark/>
          </w:tcPr>
          <w:p w14:paraId="33D0FB57"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3,083 </w:t>
            </w:r>
          </w:p>
        </w:tc>
        <w:tc>
          <w:tcPr>
            <w:tcW w:w="568" w:type="pct"/>
            <w:tcBorders>
              <w:top w:val="nil"/>
              <w:left w:val="nil"/>
              <w:bottom w:val="single" w:sz="4" w:space="0" w:color="auto"/>
              <w:right w:val="single" w:sz="4" w:space="0" w:color="auto"/>
            </w:tcBorders>
            <w:vAlign w:val="center"/>
            <w:hideMark/>
          </w:tcPr>
          <w:p w14:paraId="7347075A"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2,375 </w:t>
            </w:r>
          </w:p>
        </w:tc>
        <w:tc>
          <w:tcPr>
            <w:tcW w:w="568" w:type="pct"/>
            <w:tcBorders>
              <w:top w:val="nil"/>
              <w:left w:val="nil"/>
              <w:bottom w:val="single" w:sz="4" w:space="0" w:color="auto"/>
              <w:right w:val="single" w:sz="4" w:space="0" w:color="auto"/>
            </w:tcBorders>
            <w:vAlign w:val="center"/>
            <w:hideMark/>
          </w:tcPr>
          <w:p w14:paraId="06F2043B"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2,601 </w:t>
            </w:r>
          </w:p>
        </w:tc>
      </w:tr>
      <w:tr w:rsidR="00C853B2" w:rsidRPr="008266F3" w14:paraId="0D23D0F3" w14:textId="77777777">
        <w:trPr>
          <w:trHeight w:val="324"/>
        </w:trPr>
        <w:tc>
          <w:tcPr>
            <w:tcW w:w="1190" w:type="pct"/>
            <w:tcBorders>
              <w:top w:val="nil"/>
              <w:left w:val="single" w:sz="4" w:space="0" w:color="auto"/>
              <w:bottom w:val="single" w:sz="4" w:space="0" w:color="auto"/>
              <w:right w:val="single" w:sz="4" w:space="0" w:color="auto"/>
            </w:tcBorders>
            <w:vAlign w:val="center"/>
            <w:hideMark/>
          </w:tcPr>
          <w:p w14:paraId="40D149D1"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Gross profit</w:t>
            </w:r>
          </w:p>
        </w:tc>
        <w:tc>
          <w:tcPr>
            <w:tcW w:w="297" w:type="pct"/>
            <w:tcBorders>
              <w:top w:val="nil"/>
              <w:left w:val="nil"/>
              <w:bottom w:val="single" w:sz="4" w:space="0" w:color="auto"/>
              <w:right w:val="single" w:sz="4" w:space="0" w:color="auto"/>
            </w:tcBorders>
            <w:noWrap/>
            <w:vAlign w:val="center"/>
            <w:hideMark/>
          </w:tcPr>
          <w:p w14:paraId="3809B928"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D</w:t>
            </w:r>
          </w:p>
        </w:tc>
        <w:tc>
          <w:tcPr>
            <w:tcW w:w="686" w:type="pct"/>
            <w:tcBorders>
              <w:top w:val="nil"/>
              <w:left w:val="nil"/>
              <w:bottom w:val="single" w:sz="4" w:space="0" w:color="auto"/>
              <w:right w:val="single" w:sz="4" w:space="0" w:color="auto"/>
            </w:tcBorders>
            <w:noWrap/>
            <w:vAlign w:val="center"/>
            <w:hideMark/>
          </w:tcPr>
          <w:p w14:paraId="68111263"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nil"/>
              <w:bottom w:val="single" w:sz="4" w:space="0" w:color="auto"/>
              <w:right w:val="single" w:sz="4" w:space="0" w:color="auto"/>
            </w:tcBorders>
            <w:vAlign w:val="center"/>
            <w:hideMark/>
          </w:tcPr>
          <w:p w14:paraId="71FB5E84"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2,531 </w:t>
            </w:r>
          </w:p>
        </w:tc>
        <w:tc>
          <w:tcPr>
            <w:tcW w:w="561" w:type="pct"/>
            <w:tcBorders>
              <w:top w:val="nil"/>
              <w:left w:val="nil"/>
              <w:bottom w:val="single" w:sz="4" w:space="0" w:color="auto"/>
              <w:right w:val="single" w:sz="4" w:space="0" w:color="auto"/>
            </w:tcBorders>
            <w:vAlign w:val="center"/>
            <w:hideMark/>
          </w:tcPr>
          <w:p w14:paraId="5365E623"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4,558 </w:t>
            </w:r>
          </w:p>
        </w:tc>
        <w:tc>
          <w:tcPr>
            <w:tcW w:w="568" w:type="pct"/>
            <w:tcBorders>
              <w:top w:val="nil"/>
              <w:left w:val="nil"/>
              <w:bottom w:val="single" w:sz="4" w:space="0" w:color="auto"/>
              <w:right w:val="single" w:sz="4" w:space="0" w:color="auto"/>
            </w:tcBorders>
            <w:vAlign w:val="center"/>
            <w:hideMark/>
          </w:tcPr>
          <w:p w14:paraId="073AB40B"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4,980 </w:t>
            </w:r>
          </w:p>
        </w:tc>
        <w:tc>
          <w:tcPr>
            <w:tcW w:w="568" w:type="pct"/>
            <w:tcBorders>
              <w:top w:val="nil"/>
              <w:left w:val="nil"/>
              <w:bottom w:val="single" w:sz="4" w:space="0" w:color="auto"/>
              <w:right w:val="single" w:sz="4" w:space="0" w:color="auto"/>
            </w:tcBorders>
            <w:vAlign w:val="center"/>
            <w:hideMark/>
          </w:tcPr>
          <w:p w14:paraId="7219CFFA"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4,972 </w:t>
            </w:r>
          </w:p>
        </w:tc>
        <w:tc>
          <w:tcPr>
            <w:tcW w:w="568" w:type="pct"/>
            <w:tcBorders>
              <w:top w:val="nil"/>
              <w:left w:val="nil"/>
              <w:bottom w:val="single" w:sz="4" w:space="0" w:color="auto"/>
              <w:right w:val="single" w:sz="4" w:space="0" w:color="auto"/>
            </w:tcBorders>
            <w:vAlign w:val="center"/>
            <w:hideMark/>
          </w:tcPr>
          <w:p w14:paraId="634C9CAF"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5,222 </w:t>
            </w:r>
          </w:p>
        </w:tc>
      </w:tr>
      <w:tr w:rsidR="00C853B2" w:rsidRPr="008266F3" w14:paraId="6A79EC70" w14:textId="77777777">
        <w:trPr>
          <w:trHeight w:val="324"/>
        </w:trPr>
        <w:tc>
          <w:tcPr>
            <w:tcW w:w="1190" w:type="pct"/>
            <w:tcBorders>
              <w:top w:val="nil"/>
              <w:left w:val="single" w:sz="4" w:space="0" w:color="auto"/>
              <w:bottom w:val="single" w:sz="4" w:space="0" w:color="auto"/>
              <w:right w:val="single" w:sz="4" w:space="0" w:color="auto"/>
            </w:tcBorders>
            <w:vAlign w:val="center"/>
            <w:hideMark/>
          </w:tcPr>
          <w:p w14:paraId="3213B8E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Total Assets </w:t>
            </w:r>
          </w:p>
        </w:tc>
        <w:tc>
          <w:tcPr>
            <w:tcW w:w="297" w:type="pct"/>
            <w:tcBorders>
              <w:top w:val="nil"/>
              <w:left w:val="nil"/>
              <w:bottom w:val="single" w:sz="4" w:space="0" w:color="auto"/>
              <w:right w:val="single" w:sz="4" w:space="0" w:color="auto"/>
            </w:tcBorders>
            <w:noWrap/>
            <w:vAlign w:val="center"/>
            <w:hideMark/>
          </w:tcPr>
          <w:p w14:paraId="39A9E384"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F</w:t>
            </w:r>
          </w:p>
        </w:tc>
        <w:tc>
          <w:tcPr>
            <w:tcW w:w="686" w:type="pct"/>
            <w:tcBorders>
              <w:top w:val="nil"/>
              <w:left w:val="nil"/>
              <w:bottom w:val="single" w:sz="4" w:space="0" w:color="auto"/>
              <w:right w:val="single" w:sz="4" w:space="0" w:color="auto"/>
            </w:tcBorders>
            <w:noWrap/>
            <w:vAlign w:val="center"/>
            <w:hideMark/>
          </w:tcPr>
          <w:p w14:paraId="458A181E"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nil"/>
              <w:bottom w:val="single" w:sz="4" w:space="0" w:color="auto"/>
              <w:right w:val="single" w:sz="4" w:space="0" w:color="auto"/>
            </w:tcBorders>
            <w:vAlign w:val="center"/>
            <w:hideMark/>
          </w:tcPr>
          <w:p w14:paraId="5DCC1695"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25,553 </w:t>
            </w:r>
          </w:p>
        </w:tc>
        <w:tc>
          <w:tcPr>
            <w:tcW w:w="561" w:type="pct"/>
            <w:tcBorders>
              <w:top w:val="nil"/>
              <w:left w:val="nil"/>
              <w:bottom w:val="single" w:sz="8" w:space="0" w:color="000000"/>
              <w:right w:val="single" w:sz="8" w:space="0" w:color="000000"/>
            </w:tcBorders>
            <w:noWrap/>
            <w:vAlign w:val="center"/>
            <w:hideMark/>
          </w:tcPr>
          <w:p w14:paraId="798B2A3E"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24,815 </w:t>
            </w:r>
          </w:p>
        </w:tc>
        <w:tc>
          <w:tcPr>
            <w:tcW w:w="568" w:type="pct"/>
            <w:tcBorders>
              <w:top w:val="nil"/>
              <w:left w:val="nil"/>
              <w:bottom w:val="single" w:sz="8" w:space="0" w:color="000000"/>
              <w:right w:val="single" w:sz="8" w:space="0" w:color="000000"/>
            </w:tcBorders>
            <w:noWrap/>
            <w:vAlign w:val="center"/>
            <w:hideMark/>
          </w:tcPr>
          <w:p w14:paraId="6AE07DBD"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25,674 </w:t>
            </w:r>
          </w:p>
        </w:tc>
        <w:tc>
          <w:tcPr>
            <w:tcW w:w="568" w:type="pct"/>
            <w:tcBorders>
              <w:top w:val="nil"/>
              <w:left w:val="nil"/>
              <w:bottom w:val="single" w:sz="8" w:space="0" w:color="000000"/>
              <w:right w:val="single" w:sz="8" w:space="0" w:color="000000"/>
            </w:tcBorders>
            <w:noWrap/>
            <w:vAlign w:val="center"/>
            <w:hideMark/>
          </w:tcPr>
          <w:p w14:paraId="4144A72F"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26,182 </w:t>
            </w:r>
          </w:p>
        </w:tc>
        <w:tc>
          <w:tcPr>
            <w:tcW w:w="568" w:type="pct"/>
            <w:tcBorders>
              <w:top w:val="nil"/>
              <w:left w:val="nil"/>
              <w:bottom w:val="single" w:sz="8" w:space="0" w:color="000000"/>
              <w:right w:val="single" w:sz="8" w:space="0" w:color="000000"/>
            </w:tcBorders>
            <w:noWrap/>
            <w:vAlign w:val="center"/>
            <w:hideMark/>
          </w:tcPr>
          <w:p w14:paraId="01CE82BB"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2,754 </w:t>
            </w:r>
          </w:p>
        </w:tc>
      </w:tr>
      <w:tr w:rsidR="00C853B2" w:rsidRPr="008266F3" w14:paraId="76669E1F" w14:textId="77777777">
        <w:trPr>
          <w:trHeight w:val="624"/>
        </w:trPr>
        <w:tc>
          <w:tcPr>
            <w:tcW w:w="1190" w:type="pct"/>
            <w:tcBorders>
              <w:top w:val="nil"/>
              <w:left w:val="single" w:sz="4" w:space="0" w:color="auto"/>
              <w:bottom w:val="single" w:sz="4" w:space="0" w:color="auto"/>
              <w:right w:val="single" w:sz="4" w:space="0" w:color="auto"/>
            </w:tcBorders>
            <w:noWrap/>
            <w:vAlign w:val="center"/>
            <w:hideMark/>
          </w:tcPr>
          <w:p w14:paraId="627080D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Current Liabilities </w:t>
            </w:r>
          </w:p>
        </w:tc>
        <w:tc>
          <w:tcPr>
            <w:tcW w:w="297" w:type="pct"/>
            <w:tcBorders>
              <w:top w:val="nil"/>
              <w:left w:val="nil"/>
              <w:bottom w:val="single" w:sz="4" w:space="0" w:color="auto"/>
              <w:right w:val="single" w:sz="4" w:space="0" w:color="auto"/>
            </w:tcBorders>
            <w:noWrap/>
            <w:vAlign w:val="center"/>
            <w:hideMark/>
          </w:tcPr>
          <w:p w14:paraId="110BCE7D"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E</w:t>
            </w:r>
          </w:p>
        </w:tc>
        <w:tc>
          <w:tcPr>
            <w:tcW w:w="686" w:type="pct"/>
            <w:tcBorders>
              <w:top w:val="nil"/>
              <w:left w:val="nil"/>
              <w:bottom w:val="single" w:sz="4" w:space="0" w:color="auto"/>
              <w:right w:val="single" w:sz="4" w:space="0" w:color="auto"/>
            </w:tcBorders>
            <w:noWrap/>
            <w:vAlign w:val="center"/>
            <w:hideMark/>
          </w:tcPr>
          <w:p w14:paraId="0CFD5A18"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nil"/>
              <w:bottom w:val="single" w:sz="4" w:space="0" w:color="auto"/>
              <w:right w:val="single" w:sz="4" w:space="0" w:color="auto"/>
            </w:tcBorders>
            <w:vAlign w:val="center"/>
            <w:hideMark/>
          </w:tcPr>
          <w:p w14:paraId="6E760589"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6,407 </w:t>
            </w:r>
          </w:p>
        </w:tc>
        <w:tc>
          <w:tcPr>
            <w:tcW w:w="561" w:type="pct"/>
            <w:tcBorders>
              <w:top w:val="single" w:sz="4" w:space="0" w:color="auto"/>
              <w:left w:val="nil"/>
              <w:bottom w:val="single" w:sz="4" w:space="0" w:color="auto"/>
              <w:right w:val="single" w:sz="4" w:space="0" w:color="auto"/>
            </w:tcBorders>
            <w:vAlign w:val="center"/>
            <w:hideMark/>
          </w:tcPr>
          <w:p w14:paraId="40BF492A"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7,339 </w:t>
            </w:r>
          </w:p>
        </w:tc>
        <w:tc>
          <w:tcPr>
            <w:tcW w:w="568" w:type="pct"/>
            <w:tcBorders>
              <w:top w:val="single" w:sz="4" w:space="0" w:color="auto"/>
              <w:left w:val="nil"/>
              <w:bottom w:val="single" w:sz="4" w:space="0" w:color="auto"/>
              <w:right w:val="single" w:sz="4" w:space="0" w:color="auto"/>
            </w:tcBorders>
            <w:vAlign w:val="center"/>
            <w:hideMark/>
          </w:tcPr>
          <w:p w14:paraId="0566956C"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7,762 </w:t>
            </w:r>
          </w:p>
        </w:tc>
        <w:tc>
          <w:tcPr>
            <w:tcW w:w="568" w:type="pct"/>
            <w:tcBorders>
              <w:top w:val="single" w:sz="4" w:space="0" w:color="auto"/>
              <w:left w:val="nil"/>
              <w:bottom w:val="single" w:sz="4" w:space="0" w:color="auto"/>
              <w:right w:val="single" w:sz="4" w:space="0" w:color="auto"/>
            </w:tcBorders>
            <w:vAlign w:val="center"/>
            <w:hideMark/>
          </w:tcPr>
          <w:p w14:paraId="4B7EF673"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8,649 </w:t>
            </w:r>
          </w:p>
        </w:tc>
        <w:tc>
          <w:tcPr>
            <w:tcW w:w="568" w:type="pct"/>
            <w:tcBorders>
              <w:top w:val="single" w:sz="4" w:space="0" w:color="auto"/>
              <w:left w:val="nil"/>
              <w:bottom w:val="single" w:sz="4" w:space="0" w:color="auto"/>
              <w:right w:val="single" w:sz="4" w:space="0" w:color="auto"/>
            </w:tcBorders>
            <w:vAlign w:val="center"/>
            <w:hideMark/>
          </w:tcPr>
          <w:p w14:paraId="60C165AE"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8,398 </w:t>
            </w:r>
          </w:p>
        </w:tc>
      </w:tr>
      <w:tr w:rsidR="00C853B2" w:rsidRPr="008266F3" w14:paraId="144BB26D" w14:textId="77777777">
        <w:trPr>
          <w:trHeight w:val="936"/>
        </w:trPr>
        <w:tc>
          <w:tcPr>
            <w:tcW w:w="1190" w:type="pct"/>
            <w:tcBorders>
              <w:top w:val="nil"/>
              <w:left w:val="single" w:sz="4" w:space="0" w:color="auto"/>
              <w:bottom w:val="single" w:sz="4" w:space="0" w:color="auto"/>
              <w:right w:val="single" w:sz="4" w:space="0" w:color="auto"/>
            </w:tcBorders>
            <w:shd w:val="clear" w:color="000000" w:fill="D9E1F2"/>
            <w:noWrap/>
            <w:vAlign w:val="center"/>
            <w:hideMark/>
          </w:tcPr>
          <w:p w14:paraId="59CD0A44" w14:textId="77777777" w:rsidR="00C853B2" w:rsidRPr="008266F3" w:rsidRDefault="00000000">
            <w:pPr>
              <w:spacing w:line="360" w:lineRule="auto"/>
              <w:rPr>
                <w:rFonts w:eastAsia="Times New Roman"/>
                <w:b/>
                <w:bCs/>
                <w:color w:val="000000"/>
                <w:sz w:val="24"/>
                <w:szCs w:val="24"/>
                <w:lang w:val="en-IN"/>
              </w:rPr>
            </w:pPr>
            <w:r w:rsidRPr="008266F3">
              <w:rPr>
                <w:rFonts w:eastAsia="Times New Roman"/>
                <w:b/>
                <w:bCs/>
                <w:color w:val="000000"/>
                <w:sz w:val="24"/>
                <w:szCs w:val="24"/>
                <w:lang w:val="en-IN"/>
              </w:rPr>
              <w:t xml:space="preserve">Return on Assets </w:t>
            </w:r>
          </w:p>
        </w:tc>
        <w:tc>
          <w:tcPr>
            <w:tcW w:w="297" w:type="pct"/>
            <w:tcBorders>
              <w:top w:val="nil"/>
              <w:left w:val="nil"/>
              <w:bottom w:val="single" w:sz="4" w:space="0" w:color="auto"/>
              <w:right w:val="single" w:sz="4" w:space="0" w:color="auto"/>
            </w:tcBorders>
            <w:shd w:val="clear" w:color="000000" w:fill="D9E1F2"/>
            <w:noWrap/>
            <w:vAlign w:val="center"/>
            <w:hideMark/>
          </w:tcPr>
          <w:p w14:paraId="2A0FA80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C/F</w:t>
            </w:r>
          </w:p>
        </w:tc>
        <w:tc>
          <w:tcPr>
            <w:tcW w:w="686" w:type="pct"/>
            <w:tcBorders>
              <w:top w:val="nil"/>
              <w:left w:val="nil"/>
              <w:bottom w:val="single" w:sz="4" w:space="0" w:color="auto"/>
              <w:right w:val="single" w:sz="4" w:space="0" w:color="auto"/>
            </w:tcBorders>
            <w:shd w:val="clear" w:color="000000" w:fill="D9E1F2"/>
            <w:hideMark/>
          </w:tcPr>
          <w:p w14:paraId="35AEA9EE"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(Net Income / Total Assets) </w:t>
            </w:r>
          </w:p>
        </w:tc>
        <w:tc>
          <w:tcPr>
            <w:tcW w:w="561" w:type="pct"/>
            <w:tcBorders>
              <w:top w:val="nil"/>
              <w:left w:val="nil"/>
              <w:bottom w:val="single" w:sz="4" w:space="0" w:color="auto"/>
              <w:right w:val="single" w:sz="4" w:space="0" w:color="auto"/>
            </w:tcBorders>
            <w:shd w:val="clear" w:color="000000" w:fill="D9E1F2"/>
            <w:noWrap/>
            <w:vAlign w:val="center"/>
            <w:hideMark/>
          </w:tcPr>
          <w:p w14:paraId="08B9D39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0.04</w:t>
            </w:r>
          </w:p>
        </w:tc>
        <w:tc>
          <w:tcPr>
            <w:tcW w:w="561" w:type="pct"/>
            <w:tcBorders>
              <w:top w:val="nil"/>
              <w:left w:val="nil"/>
              <w:bottom w:val="single" w:sz="4" w:space="0" w:color="auto"/>
              <w:right w:val="single" w:sz="4" w:space="0" w:color="auto"/>
            </w:tcBorders>
            <w:shd w:val="clear" w:color="000000" w:fill="D9E1F2"/>
            <w:noWrap/>
            <w:vAlign w:val="center"/>
            <w:hideMark/>
          </w:tcPr>
          <w:p w14:paraId="5BF66626"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0.10</w:t>
            </w:r>
          </w:p>
        </w:tc>
        <w:tc>
          <w:tcPr>
            <w:tcW w:w="568" w:type="pct"/>
            <w:tcBorders>
              <w:top w:val="nil"/>
              <w:left w:val="nil"/>
              <w:bottom w:val="single" w:sz="4" w:space="0" w:color="auto"/>
              <w:right w:val="single" w:sz="4" w:space="0" w:color="auto"/>
            </w:tcBorders>
            <w:shd w:val="clear" w:color="000000" w:fill="D9E1F2"/>
            <w:noWrap/>
            <w:vAlign w:val="center"/>
            <w:hideMark/>
          </w:tcPr>
          <w:p w14:paraId="16B99F0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0.12</w:t>
            </w:r>
          </w:p>
        </w:tc>
        <w:tc>
          <w:tcPr>
            <w:tcW w:w="568" w:type="pct"/>
            <w:tcBorders>
              <w:top w:val="nil"/>
              <w:left w:val="nil"/>
              <w:bottom w:val="single" w:sz="4" w:space="0" w:color="auto"/>
              <w:right w:val="single" w:sz="4" w:space="0" w:color="auto"/>
            </w:tcBorders>
            <w:shd w:val="clear" w:color="000000" w:fill="D9E1F2"/>
            <w:noWrap/>
            <w:vAlign w:val="center"/>
            <w:hideMark/>
          </w:tcPr>
          <w:p w14:paraId="6A17174D"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0.09</w:t>
            </w:r>
          </w:p>
        </w:tc>
        <w:tc>
          <w:tcPr>
            <w:tcW w:w="568" w:type="pct"/>
            <w:tcBorders>
              <w:top w:val="nil"/>
              <w:left w:val="nil"/>
              <w:bottom w:val="single" w:sz="4" w:space="0" w:color="auto"/>
              <w:right w:val="single" w:sz="4" w:space="0" w:color="auto"/>
            </w:tcBorders>
            <w:shd w:val="clear" w:color="000000" w:fill="D9E1F2"/>
            <w:noWrap/>
            <w:vAlign w:val="center"/>
            <w:hideMark/>
          </w:tcPr>
          <w:p w14:paraId="12E5C88E"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0.94</w:t>
            </w:r>
          </w:p>
        </w:tc>
      </w:tr>
      <w:tr w:rsidR="00C853B2" w:rsidRPr="008266F3" w14:paraId="149130F3" w14:textId="77777777">
        <w:trPr>
          <w:trHeight w:val="936"/>
        </w:trPr>
        <w:tc>
          <w:tcPr>
            <w:tcW w:w="1190" w:type="pct"/>
            <w:tcBorders>
              <w:top w:val="nil"/>
              <w:left w:val="single" w:sz="4" w:space="0" w:color="auto"/>
              <w:bottom w:val="single" w:sz="4" w:space="0" w:color="auto"/>
              <w:right w:val="single" w:sz="4" w:space="0" w:color="auto"/>
            </w:tcBorders>
            <w:shd w:val="clear" w:color="000000" w:fill="D9E1F2"/>
            <w:noWrap/>
            <w:vAlign w:val="center"/>
            <w:hideMark/>
          </w:tcPr>
          <w:p w14:paraId="3708B3F9" w14:textId="77777777" w:rsidR="00C853B2" w:rsidRPr="008266F3" w:rsidRDefault="00000000">
            <w:pPr>
              <w:spacing w:line="360" w:lineRule="auto"/>
              <w:rPr>
                <w:rFonts w:eastAsia="Times New Roman"/>
                <w:b/>
                <w:bCs/>
                <w:color w:val="000000"/>
                <w:sz w:val="24"/>
                <w:szCs w:val="24"/>
                <w:lang w:val="en-IN"/>
              </w:rPr>
            </w:pPr>
            <w:r w:rsidRPr="008266F3">
              <w:rPr>
                <w:rFonts w:eastAsia="Times New Roman"/>
                <w:b/>
                <w:bCs/>
                <w:color w:val="000000"/>
                <w:sz w:val="24"/>
                <w:szCs w:val="24"/>
                <w:lang w:val="en-IN"/>
              </w:rPr>
              <w:t>Net Margin</w:t>
            </w:r>
          </w:p>
        </w:tc>
        <w:tc>
          <w:tcPr>
            <w:tcW w:w="297" w:type="pct"/>
            <w:tcBorders>
              <w:top w:val="nil"/>
              <w:left w:val="nil"/>
              <w:bottom w:val="single" w:sz="4" w:space="0" w:color="auto"/>
              <w:right w:val="single" w:sz="4" w:space="0" w:color="auto"/>
            </w:tcBorders>
            <w:shd w:val="clear" w:color="000000" w:fill="D9E1F2"/>
            <w:noWrap/>
            <w:vAlign w:val="center"/>
            <w:hideMark/>
          </w:tcPr>
          <w:p w14:paraId="63ED300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C/A</w:t>
            </w:r>
          </w:p>
        </w:tc>
        <w:tc>
          <w:tcPr>
            <w:tcW w:w="686" w:type="pct"/>
            <w:tcBorders>
              <w:top w:val="nil"/>
              <w:left w:val="nil"/>
              <w:bottom w:val="single" w:sz="4" w:space="0" w:color="auto"/>
              <w:right w:val="single" w:sz="4" w:space="0" w:color="auto"/>
            </w:tcBorders>
            <w:shd w:val="clear" w:color="000000" w:fill="D9E1F2"/>
            <w:vAlign w:val="center"/>
            <w:hideMark/>
          </w:tcPr>
          <w:p w14:paraId="1D58247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(Net Income / Sales)</w:t>
            </w:r>
          </w:p>
        </w:tc>
        <w:tc>
          <w:tcPr>
            <w:tcW w:w="561" w:type="pct"/>
            <w:tcBorders>
              <w:top w:val="nil"/>
              <w:left w:val="nil"/>
              <w:bottom w:val="single" w:sz="4" w:space="0" w:color="auto"/>
              <w:right w:val="single" w:sz="4" w:space="0" w:color="auto"/>
            </w:tcBorders>
            <w:shd w:val="clear" w:color="000000" w:fill="D9E1F2"/>
            <w:noWrap/>
            <w:vAlign w:val="center"/>
            <w:hideMark/>
          </w:tcPr>
          <w:p w14:paraId="597C5567"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0.08</w:t>
            </w:r>
          </w:p>
        </w:tc>
        <w:tc>
          <w:tcPr>
            <w:tcW w:w="561" w:type="pct"/>
            <w:tcBorders>
              <w:top w:val="nil"/>
              <w:left w:val="nil"/>
              <w:bottom w:val="single" w:sz="4" w:space="0" w:color="auto"/>
              <w:right w:val="single" w:sz="4" w:space="0" w:color="auto"/>
            </w:tcBorders>
            <w:shd w:val="clear" w:color="000000" w:fill="D9E1F2"/>
            <w:noWrap/>
            <w:vAlign w:val="center"/>
            <w:hideMark/>
          </w:tcPr>
          <w:p w14:paraId="11E53EA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0.11</w:t>
            </w:r>
          </w:p>
        </w:tc>
        <w:tc>
          <w:tcPr>
            <w:tcW w:w="568" w:type="pct"/>
            <w:tcBorders>
              <w:top w:val="nil"/>
              <w:left w:val="nil"/>
              <w:bottom w:val="single" w:sz="4" w:space="0" w:color="auto"/>
              <w:right w:val="single" w:sz="4" w:space="0" w:color="auto"/>
            </w:tcBorders>
            <w:shd w:val="clear" w:color="000000" w:fill="D9E1F2"/>
            <w:noWrap/>
            <w:vAlign w:val="center"/>
            <w:hideMark/>
          </w:tcPr>
          <w:p w14:paraId="22A0D47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0.13</w:t>
            </w:r>
          </w:p>
        </w:tc>
        <w:tc>
          <w:tcPr>
            <w:tcW w:w="568" w:type="pct"/>
            <w:tcBorders>
              <w:top w:val="nil"/>
              <w:left w:val="nil"/>
              <w:bottom w:val="single" w:sz="4" w:space="0" w:color="auto"/>
              <w:right w:val="single" w:sz="4" w:space="0" w:color="auto"/>
            </w:tcBorders>
            <w:shd w:val="clear" w:color="000000" w:fill="D9E1F2"/>
            <w:noWrap/>
            <w:vAlign w:val="center"/>
            <w:hideMark/>
          </w:tcPr>
          <w:p w14:paraId="0F03F6F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0.09</w:t>
            </w:r>
          </w:p>
        </w:tc>
        <w:tc>
          <w:tcPr>
            <w:tcW w:w="568" w:type="pct"/>
            <w:tcBorders>
              <w:top w:val="nil"/>
              <w:left w:val="nil"/>
              <w:bottom w:val="single" w:sz="4" w:space="0" w:color="auto"/>
              <w:right w:val="single" w:sz="4" w:space="0" w:color="auto"/>
            </w:tcBorders>
            <w:shd w:val="clear" w:color="000000" w:fill="D9E1F2"/>
            <w:noWrap/>
            <w:vAlign w:val="center"/>
            <w:hideMark/>
          </w:tcPr>
          <w:p w14:paraId="2625D60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0.10</w:t>
            </w:r>
          </w:p>
        </w:tc>
      </w:tr>
      <w:tr w:rsidR="00C853B2" w:rsidRPr="008266F3" w14:paraId="13660BC5" w14:textId="77777777">
        <w:trPr>
          <w:trHeight w:val="624"/>
        </w:trPr>
        <w:tc>
          <w:tcPr>
            <w:tcW w:w="1190" w:type="pct"/>
            <w:tcBorders>
              <w:top w:val="nil"/>
              <w:left w:val="single" w:sz="4" w:space="0" w:color="auto"/>
              <w:bottom w:val="single" w:sz="4" w:space="0" w:color="auto"/>
              <w:right w:val="single" w:sz="4" w:space="0" w:color="auto"/>
            </w:tcBorders>
            <w:shd w:val="clear" w:color="000000" w:fill="D9E1F2"/>
            <w:noWrap/>
            <w:hideMark/>
          </w:tcPr>
          <w:p w14:paraId="210FA2A9" w14:textId="77777777" w:rsidR="00C853B2" w:rsidRPr="008266F3" w:rsidRDefault="00000000">
            <w:pPr>
              <w:spacing w:line="360" w:lineRule="auto"/>
              <w:rPr>
                <w:rFonts w:eastAsia="Times New Roman"/>
                <w:b/>
                <w:bCs/>
                <w:color w:val="000000"/>
                <w:sz w:val="24"/>
                <w:szCs w:val="24"/>
                <w:lang w:val="en-IN"/>
              </w:rPr>
            </w:pPr>
            <w:r w:rsidRPr="008266F3">
              <w:rPr>
                <w:rFonts w:eastAsia="Times New Roman"/>
                <w:b/>
                <w:bCs/>
                <w:color w:val="000000"/>
                <w:sz w:val="24"/>
                <w:szCs w:val="24"/>
                <w:lang w:val="en-IN"/>
              </w:rPr>
              <w:t>Gross Profit Margin</w:t>
            </w:r>
          </w:p>
        </w:tc>
        <w:tc>
          <w:tcPr>
            <w:tcW w:w="297" w:type="pct"/>
            <w:tcBorders>
              <w:top w:val="nil"/>
              <w:left w:val="nil"/>
              <w:bottom w:val="single" w:sz="4" w:space="0" w:color="auto"/>
              <w:right w:val="single" w:sz="4" w:space="0" w:color="auto"/>
            </w:tcBorders>
            <w:shd w:val="clear" w:color="000000" w:fill="D9E1F2"/>
            <w:noWrap/>
            <w:vAlign w:val="center"/>
            <w:hideMark/>
          </w:tcPr>
          <w:p w14:paraId="6FDFF2B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D/A</w:t>
            </w:r>
          </w:p>
        </w:tc>
        <w:tc>
          <w:tcPr>
            <w:tcW w:w="686" w:type="pct"/>
            <w:tcBorders>
              <w:top w:val="nil"/>
              <w:left w:val="nil"/>
              <w:bottom w:val="single" w:sz="4" w:space="0" w:color="auto"/>
              <w:right w:val="single" w:sz="4" w:space="0" w:color="auto"/>
            </w:tcBorders>
            <w:shd w:val="clear" w:color="000000" w:fill="D9E1F2"/>
            <w:vAlign w:val="center"/>
            <w:hideMark/>
          </w:tcPr>
          <w:p w14:paraId="7D6EBDE7"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(Gross Profit / Net Sales) </w:t>
            </w:r>
          </w:p>
        </w:tc>
        <w:tc>
          <w:tcPr>
            <w:tcW w:w="561" w:type="pct"/>
            <w:tcBorders>
              <w:top w:val="nil"/>
              <w:left w:val="nil"/>
              <w:bottom w:val="single" w:sz="4" w:space="0" w:color="auto"/>
              <w:right w:val="single" w:sz="4" w:space="0" w:color="auto"/>
            </w:tcBorders>
            <w:shd w:val="clear" w:color="000000" w:fill="D9E1F2"/>
            <w:noWrap/>
            <w:vAlign w:val="center"/>
            <w:hideMark/>
          </w:tcPr>
          <w:p w14:paraId="1C7830F2"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1.45</w:t>
            </w:r>
          </w:p>
        </w:tc>
        <w:tc>
          <w:tcPr>
            <w:tcW w:w="561" w:type="pct"/>
            <w:tcBorders>
              <w:top w:val="nil"/>
              <w:left w:val="nil"/>
              <w:bottom w:val="single" w:sz="4" w:space="0" w:color="auto"/>
              <w:right w:val="single" w:sz="4" w:space="0" w:color="auto"/>
            </w:tcBorders>
            <w:shd w:val="clear" w:color="000000" w:fill="D9E1F2"/>
            <w:noWrap/>
            <w:vAlign w:val="center"/>
            <w:hideMark/>
          </w:tcPr>
          <w:p w14:paraId="49FA684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0.22</w:t>
            </w:r>
          </w:p>
        </w:tc>
        <w:tc>
          <w:tcPr>
            <w:tcW w:w="568" w:type="pct"/>
            <w:tcBorders>
              <w:top w:val="nil"/>
              <w:left w:val="nil"/>
              <w:bottom w:val="single" w:sz="4" w:space="0" w:color="auto"/>
              <w:right w:val="single" w:sz="4" w:space="0" w:color="auto"/>
            </w:tcBorders>
            <w:shd w:val="clear" w:color="000000" w:fill="D9E1F2"/>
            <w:noWrap/>
            <w:vAlign w:val="center"/>
            <w:hideMark/>
          </w:tcPr>
          <w:p w14:paraId="267FB77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0.21</w:t>
            </w:r>
          </w:p>
        </w:tc>
        <w:tc>
          <w:tcPr>
            <w:tcW w:w="568" w:type="pct"/>
            <w:tcBorders>
              <w:top w:val="nil"/>
              <w:left w:val="nil"/>
              <w:bottom w:val="single" w:sz="4" w:space="0" w:color="auto"/>
              <w:right w:val="single" w:sz="4" w:space="0" w:color="auto"/>
            </w:tcBorders>
            <w:shd w:val="clear" w:color="000000" w:fill="D9E1F2"/>
            <w:noWrap/>
            <w:vAlign w:val="center"/>
            <w:hideMark/>
          </w:tcPr>
          <w:p w14:paraId="0CAD851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0.20</w:t>
            </w:r>
          </w:p>
        </w:tc>
        <w:tc>
          <w:tcPr>
            <w:tcW w:w="568" w:type="pct"/>
            <w:tcBorders>
              <w:top w:val="nil"/>
              <w:left w:val="nil"/>
              <w:bottom w:val="single" w:sz="4" w:space="0" w:color="auto"/>
              <w:right w:val="single" w:sz="4" w:space="0" w:color="auto"/>
            </w:tcBorders>
            <w:shd w:val="clear" w:color="000000" w:fill="D9E1F2"/>
            <w:noWrap/>
            <w:vAlign w:val="center"/>
            <w:hideMark/>
          </w:tcPr>
          <w:p w14:paraId="77D722F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0.20</w:t>
            </w:r>
          </w:p>
        </w:tc>
      </w:tr>
      <w:tr w:rsidR="00C853B2" w:rsidRPr="008266F3" w14:paraId="0BC4C939" w14:textId="77777777">
        <w:trPr>
          <w:trHeight w:val="312"/>
        </w:trPr>
        <w:tc>
          <w:tcPr>
            <w:tcW w:w="1190" w:type="pct"/>
            <w:tcBorders>
              <w:top w:val="nil"/>
              <w:left w:val="nil"/>
              <w:bottom w:val="nil"/>
              <w:right w:val="nil"/>
            </w:tcBorders>
            <w:noWrap/>
            <w:vAlign w:val="bottom"/>
            <w:hideMark/>
          </w:tcPr>
          <w:p w14:paraId="6221F791" w14:textId="77777777" w:rsidR="00C853B2" w:rsidRDefault="00C853B2">
            <w:pPr>
              <w:spacing w:line="360" w:lineRule="auto"/>
              <w:jc w:val="center"/>
              <w:rPr>
                <w:rFonts w:eastAsia="Times New Roman"/>
                <w:b/>
                <w:bCs/>
                <w:color w:val="000000"/>
                <w:sz w:val="24"/>
                <w:szCs w:val="24"/>
                <w:lang w:val="en-IN"/>
              </w:rPr>
            </w:pPr>
          </w:p>
          <w:p w14:paraId="0E92CA53" w14:textId="77777777" w:rsidR="0004785C" w:rsidRDefault="0004785C">
            <w:pPr>
              <w:spacing w:line="360" w:lineRule="auto"/>
              <w:jc w:val="center"/>
              <w:rPr>
                <w:rFonts w:eastAsia="Times New Roman"/>
                <w:b/>
                <w:bCs/>
                <w:color w:val="000000"/>
                <w:sz w:val="24"/>
                <w:szCs w:val="24"/>
                <w:lang w:val="en-IN"/>
              </w:rPr>
            </w:pPr>
          </w:p>
          <w:p w14:paraId="54C63703" w14:textId="77777777" w:rsidR="0004785C" w:rsidRDefault="0004785C">
            <w:pPr>
              <w:spacing w:line="360" w:lineRule="auto"/>
              <w:jc w:val="center"/>
              <w:rPr>
                <w:rFonts w:eastAsia="Times New Roman"/>
                <w:b/>
                <w:bCs/>
                <w:color w:val="000000"/>
                <w:sz w:val="24"/>
                <w:szCs w:val="24"/>
                <w:lang w:val="en-IN"/>
              </w:rPr>
            </w:pPr>
          </w:p>
          <w:p w14:paraId="59F62B32" w14:textId="77777777" w:rsidR="0004785C" w:rsidRDefault="0004785C">
            <w:pPr>
              <w:spacing w:line="360" w:lineRule="auto"/>
              <w:jc w:val="center"/>
              <w:rPr>
                <w:rFonts w:eastAsia="Times New Roman"/>
                <w:b/>
                <w:bCs/>
                <w:color w:val="000000"/>
                <w:sz w:val="24"/>
                <w:szCs w:val="24"/>
                <w:lang w:val="en-IN"/>
              </w:rPr>
            </w:pPr>
          </w:p>
          <w:p w14:paraId="700B3F0B" w14:textId="77777777" w:rsidR="0004785C" w:rsidRPr="008266F3" w:rsidRDefault="0004785C">
            <w:pPr>
              <w:spacing w:line="360" w:lineRule="auto"/>
              <w:jc w:val="center"/>
              <w:rPr>
                <w:rFonts w:eastAsia="Times New Roman"/>
                <w:b/>
                <w:bCs/>
                <w:color w:val="000000"/>
                <w:sz w:val="24"/>
                <w:szCs w:val="24"/>
                <w:lang w:val="en-IN"/>
              </w:rPr>
            </w:pPr>
          </w:p>
          <w:p w14:paraId="4CDE3F89" w14:textId="77777777" w:rsidR="00E77D64" w:rsidRPr="008266F3" w:rsidRDefault="00E77D64">
            <w:pPr>
              <w:spacing w:line="360" w:lineRule="auto"/>
              <w:jc w:val="center"/>
              <w:rPr>
                <w:rFonts w:eastAsia="Times New Roman"/>
                <w:b/>
                <w:bCs/>
                <w:color w:val="000000"/>
                <w:sz w:val="24"/>
                <w:szCs w:val="24"/>
                <w:lang w:val="en-IN"/>
              </w:rPr>
            </w:pPr>
          </w:p>
        </w:tc>
        <w:tc>
          <w:tcPr>
            <w:tcW w:w="297" w:type="pct"/>
            <w:tcBorders>
              <w:top w:val="nil"/>
              <w:left w:val="nil"/>
              <w:bottom w:val="nil"/>
              <w:right w:val="nil"/>
            </w:tcBorders>
            <w:noWrap/>
            <w:vAlign w:val="center"/>
            <w:hideMark/>
          </w:tcPr>
          <w:p w14:paraId="053842BD" w14:textId="77777777" w:rsidR="00C853B2" w:rsidRPr="008266F3" w:rsidRDefault="00C853B2">
            <w:pPr>
              <w:spacing w:line="360" w:lineRule="auto"/>
              <w:rPr>
                <w:rFonts w:eastAsia="Times New Roman"/>
                <w:sz w:val="24"/>
                <w:szCs w:val="24"/>
                <w:lang w:val="en-IN"/>
              </w:rPr>
            </w:pPr>
          </w:p>
        </w:tc>
        <w:tc>
          <w:tcPr>
            <w:tcW w:w="686" w:type="pct"/>
            <w:tcBorders>
              <w:top w:val="nil"/>
              <w:left w:val="nil"/>
              <w:bottom w:val="nil"/>
              <w:right w:val="nil"/>
            </w:tcBorders>
            <w:vAlign w:val="center"/>
            <w:hideMark/>
          </w:tcPr>
          <w:p w14:paraId="5A650993" w14:textId="77777777" w:rsidR="00C853B2" w:rsidRPr="008266F3" w:rsidRDefault="00C853B2">
            <w:pPr>
              <w:spacing w:line="360" w:lineRule="auto"/>
              <w:jc w:val="center"/>
              <w:rPr>
                <w:rFonts w:eastAsia="Times New Roman"/>
                <w:sz w:val="24"/>
                <w:szCs w:val="24"/>
                <w:lang w:val="en-IN"/>
              </w:rPr>
            </w:pPr>
          </w:p>
        </w:tc>
        <w:tc>
          <w:tcPr>
            <w:tcW w:w="561" w:type="pct"/>
            <w:tcBorders>
              <w:top w:val="nil"/>
              <w:left w:val="nil"/>
              <w:bottom w:val="nil"/>
              <w:right w:val="nil"/>
            </w:tcBorders>
            <w:noWrap/>
            <w:vAlign w:val="center"/>
            <w:hideMark/>
          </w:tcPr>
          <w:p w14:paraId="712D4017" w14:textId="77777777" w:rsidR="00C853B2" w:rsidRPr="008266F3" w:rsidRDefault="00C853B2">
            <w:pPr>
              <w:spacing w:line="360" w:lineRule="auto"/>
              <w:jc w:val="center"/>
              <w:rPr>
                <w:rFonts w:eastAsia="Times New Roman"/>
                <w:sz w:val="24"/>
                <w:szCs w:val="24"/>
                <w:lang w:val="en-IN"/>
              </w:rPr>
            </w:pPr>
          </w:p>
        </w:tc>
        <w:tc>
          <w:tcPr>
            <w:tcW w:w="561" w:type="pct"/>
            <w:tcBorders>
              <w:top w:val="nil"/>
              <w:left w:val="nil"/>
              <w:bottom w:val="nil"/>
              <w:right w:val="nil"/>
            </w:tcBorders>
            <w:noWrap/>
            <w:vAlign w:val="center"/>
            <w:hideMark/>
          </w:tcPr>
          <w:p w14:paraId="70009D93" w14:textId="77777777" w:rsidR="00C853B2" w:rsidRPr="008266F3" w:rsidRDefault="00C853B2">
            <w:pPr>
              <w:spacing w:line="360" w:lineRule="auto"/>
              <w:jc w:val="center"/>
              <w:rPr>
                <w:rFonts w:eastAsia="Times New Roman"/>
                <w:sz w:val="24"/>
                <w:szCs w:val="24"/>
                <w:lang w:val="en-IN"/>
              </w:rPr>
            </w:pPr>
          </w:p>
        </w:tc>
        <w:tc>
          <w:tcPr>
            <w:tcW w:w="568" w:type="pct"/>
            <w:tcBorders>
              <w:top w:val="nil"/>
              <w:left w:val="nil"/>
              <w:bottom w:val="nil"/>
              <w:right w:val="nil"/>
            </w:tcBorders>
            <w:noWrap/>
            <w:vAlign w:val="center"/>
            <w:hideMark/>
          </w:tcPr>
          <w:p w14:paraId="17A80956" w14:textId="77777777" w:rsidR="00C853B2" w:rsidRPr="008266F3" w:rsidRDefault="00C853B2">
            <w:pPr>
              <w:spacing w:line="360" w:lineRule="auto"/>
              <w:jc w:val="center"/>
              <w:rPr>
                <w:rFonts w:eastAsia="Times New Roman"/>
                <w:sz w:val="24"/>
                <w:szCs w:val="24"/>
                <w:lang w:val="en-IN"/>
              </w:rPr>
            </w:pPr>
          </w:p>
          <w:p w14:paraId="62AA0DE8" w14:textId="77777777" w:rsidR="005519FD" w:rsidRPr="008266F3" w:rsidRDefault="005519FD">
            <w:pPr>
              <w:spacing w:line="360" w:lineRule="auto"/>
              <w:jc w:val="center"/>
              <w:rPr>
                <w:rFonts w:eastAsia="Times New Roman"/>
                <w:sz w:val="24"/>
                <w:szCs w:val="24"/>
                <w:lang w:val="en-IN"/>
              </w:rPr>
            </w:pPr>
          </w:p>
        </w:tc>
        <w:tc>
          <w:tcPr>
            <w:tcW w:w="568" w:type="pct"/>
            <w:tcBorders>
              <w:top w:val="nil"/>
              <w:left w:val="nil"/>
              <w:bottom w:val="nil"/>
              <w:right w:val="nil"/>
            </w:tcBorders>
            <w:noWrap/>
            <w:vAlign w:val="center"/>
            <w:hideMark/>
          </w:tcPr>
          <w:p w14:paraId="30E460B6" w14:textId="77777777" w:rsidR="00C853B2" w:rsidRPr="008266F3" w:rsidRDefault="00C853B2">
            <w:pPr>
              <w:spacing w:line="360" w:lineRule="auto"/>
              <w:jc w:val="center"/>
              <w:rPr>
                <w:rFonts w:eastAsia="Times New Roman"/>
                <w:sz w:val="24"/>
                <w:szCs w:val="24"/>
                <w:lang w:val="en-IN"/>
              </w:rPr>
            </w:pPr>
          </w:p>
        </w:tc>
        <w:tc>
          <w:tcPr>
            <w:tcW w:w="568" w:type="pct"/>
            <w:tcBorders>
              <w:top w:val="nil"/>
              <w:left w:val="nil"/>
              <w:bottom w:val="nil"/>
              <w:right w:val="nil"/>
            </w:tcBorders>
            <w:noWrap/>
            <w:vAlign w:val="center"/>
            <w:hideMark/>
          </w:tcPr>
          <w:p w14:paraId="445F0161" w14:textId="77777777" w:rsidR="00C853B2" w:rsidRPr="008266F3" w:rsidRDefault="00C853B2">
            <w:pPr>
              <w:spacing w:line="360" w:lineRule="auto"/>
              <w:jc w:val="center"/>
              <w:rPr>
                <w:rFonts w:eastAsia="Times New Roman"/>
                <w:sz w:val="24"/>
                <w:szCs w:val="24"/>
                <w:lang w:val="en-IN"/>
              </w:rPr>
            </w:pPr>
          </w:p>
        </w:tc>
      </w:tr>
      <w:tr w:rsidR="00C853B2" w:rsidRPr="008266F3" w14:paraId="19D77072" w14:textId="77777777">
        <w:trPr>
          <w:trHeight w:val="312"/>
        </w:trPr>
        <w:tc>
          <w:tcPr>
            <w:tcW w:w="1190" w:type="pct"/>
            <w:tcBorders>
              <w:top w:val="nil"/>
              <w:left w:val="nil"/>
              <w:bottom w:val="nil"/>
              <w:right w:val="nil"/>
            </w:tcBorders>
            <w:noWrap/>
            <w:vAlign w:val="center"/>
            <w:hideMark/>
          </w:tcPr>
          <w:p w14:paraId="1768412A" w14:textId="77777777" w:rsidR="00C853B2" w:rsidRPr="008266F3" w:rsidRDefault="00C853B2">
            <w:pPr>
              <w:spacing w:line="360" w:lineRule="auto"/>
              <w:jc w:val="center"/>
              <w:rPr>
                <w:rFonts w:eastAsia="Times New Roman"/>
                <w:sz w:val="24"/>
                <w:szCs w:val="24"/>
                <w:lang w:val="en-IN"/>
              </w:rPr>
            </w:pPr>
          </w:p>
        </w:tc>
        <w:tc>
          <w:tcPr>
            <w:tcW w:w="297" w:type="pct"/>
            <w:tcBorders>
              <w:top w:val="nil"/>
              <w:left w:val="nil"/>
              <w:bottom w:val="nil"/>
              <w:right w:val="nil"/>
            </w:tcBorders>
            <w:noWrap/>
            <w:vAlign w:val="center"/>
            <w:hideMark/>
          </w:tcPr>
          <w:p w14:paraId="1598973E" w14:textId="77777777" w:rsidR="00C853B2" w:rsidRPr="008266F3" w:rsidRDefault="00C853B2">
            <w:pPr>
              <w:spacing w:line="360" w:lineRule="auto"/>
              <w:jc w:val="center"/>
              <w:rPr>
                <w:rFonts w:eastAsia="Times New Roman"/>
                <w:sz w:val="24"/>
                <w:szCs w:val="24"/>
                <w:lang w:val="en-IN"/>
              </w:rPr>
            </w:pPr>
          </w:p>
        </w:tc>
        <w:tc>
          <w:tcPr>
            <w:tcW w:w="686" w:type="pct"/>
            <w:tcBorders>
              <w:top w:val="nil"/>
              <w:left w:val="nil"/>
              <w:bottom w:val="nil"/>
              <w:right w:val="nil"/>
            </w:tcBorders>
            <w:noWrap/>
            <w:vAlign w:val="center"/>
            <w:hideMark/>
          </w:tcPr>
          <w:p w14:paraId="19EED4BB" w14:textId="77777777" w:rsidR="00C853B2" w:rsidRPr="008266F3" w:rsidRDefault="00C853B2">
            <w:pPr>
              <w:spacing w:line="360" w:lineRule="auto"/>
              <w:jc w:val="center"/>
              <w:rPr>
                <w:rFonts w:eastAsia="Times New Roman"/>
                <w:sz w:val="24"/>
                <w:szCs w:val="24"/>
                <w:lang w:val="en-IN"/>
              </w:rPr>
            </w:pPr>
          </w:p>
        </w:tc>
        <w:tc>
          <w:tcPr>
            <w:tcW w:w="561" w:type="pct"/>
            <w:tcBorders>
              <w:top w:val="nil"/>
              <w:left w:val="nil"/>
              <w:bottom w:val="nil"/>
              <w:right w:val="nil"/>
            </w:tcBorders>
            <w:noWrap/>
            <w:vAlign w:val="center"/>
            <w:hideMark/>
          </w:tcPr>
          <w:p w14:paraId="7A63CE0A" w14:textId="77777777" w:rsidR="00C853B2" w:rsidRPr="008266F3" w:rsidRDefault="00C853B2">
            <w:pPr>
              <w:spacing w:line="360" w:lineRule="auto"/>
              <w:jc w:val="center"/>
              <w:rPr>
                <w:rFonts w:eastAsia="Times New Roman"/>
                <w:sz w:val="24"/>
                <w:szCs w:val="24"/>
                <w:lang w:val="en-IN"/>
              </w:rPr>
            </w:pPr>
          </w:p>
        </w:tc>
        <w:tc>
          <w:tcPr>
            <w:tcW w:w="561" w:type="pct"/>
            <w:tcBorders>
              <w:top w:val="nil"/>
              <w:left w:val="nil"/>
              <w:bottom w:val="nil"/>
              <w:right w:val="nil"/>
            </w:tcBorders>
            <w:noWrap/>
            <w:vAlign w:val="center"/>
            <w:hideMark/>
          </w:tcPr>
          <w:p w14:paraId="61E45A1B" w14:textId="77777777" w:rsidR="00C853B2" w:rsidRPr="008266F3" w:rsidRDefault="00C853B2">
            <w:pPr>
              <w:spacing w:line="360" w:lineRule="auto"/>
              <w:jc w:val="center"/>
              <w:rPr>
                <w:rFonts w:eastAsia="Times New Roman"/>
                <w:sz w:val="24"/>
                <w:szCs w:val="24"/>
                <w:lang w:val="en-IN"/>
              </w:rPr>
            </w:pPr>
          </w:p>
        </w:tc>
        <w:tc>
          <w:tcPr>
            <w:tcW w:w="568" w:type="pct"/>
            <w:tcBorders>
              <w:top w:val="nil"/>
              <w:left w:val="nil"/>
              <w:bottom w:val="nil"/>
              <w:right w:val="nil"/>
            </w:tcBorders>
            <w:noWrap/>
            <w:vAlign w:val="center"/>
            <w:hideMark/>
          </w:tcPr>
          <w:p w14:paraId="10619D0C" w14:textId="77777777" w:rsidR="00C853B2" w:rsidRPr="008266F3" w:rsidRDefault="00C853B2">
            <w:pPr>
              <w:spacing w:line="360" w:lineRule="auto"/>
              <w:jc w:val="center"/>
              <w:rPr>
                <w:rFonts w:eastAsia="Times New Roman"/>
                <w:sz w:val="24"/>
                <w:szCs w:val="24"/>
                <w:lang w:val="en-IN"/>
              </w:rPr>
            </w:pPr>
          </w:p>
        </w:tc>
        <w:tc>
          <w:tcPr>
            <w:tcW w:w="568" w:type="pct"/>
            <w:tcBorders>
              <w:top w:val="nil"/>
              <w:left w:val="nil"/>
              <w:bottom w:val="nil"/>
              <w:right w:val="nil"/>
            </w:tcBorders>
            <w:noWrap/>
            <w:vAlign w:val="center"/>
            <w:hideMark/>
          </w:tcPr>
          <w:p w14:paraId="0BD283AB" w14:textId="77777777" w:rsidR="00C853B2" w:rsidRPr="008266F3" w:rsidRDefault="00C853B2">
            <w:pPr>
              <w:spacing w:line="360" w:lineRule="auto"/>
              <w:jc w:val="center"/>
              <w:rPr>
                <w:rFonts w:eastAsia="Times New Roman"/>
                <w:sz w:val="24"/>
                <w:szCs w:val="24"/>
                <w:lang w:val="en-IN"/>
              </w:rPr>
            </w:pPr>
          </w:p>
        </w:tc>
        <w:tc>
          <w:tcPr>
            <w:tcW w:w="568" w:type="pct"/>
            <w:tcBorders>
              <w:top w:val="nil"/>
              <w:left w:val="nil"/>
              <w:bottom w:val="nil"/>
              <w:right w:val="nil"/>
            </w:tcBorders>
            <w:noWrap/>
            <w:vAlign w:val="center"/>
            <w:hideMark/>
          </w:tcPr>
          <w:p w14:paraId="2611F457" w14:textId="77777777" w:rsidR="00C853B2" w:rsidRPr="008266F3" w:rsidRDefault="00C853B2">
            <w:pPr>
              <w:spacing w:line="360" w:lineRule="auto"/>
              <w:jc w:val="center"/>
              <w:rPr>
                <w:rFonts w:eastAsia="Times New Roman"/>
                <w:sz w:val="24"/>
                <w:szCs w:val="24"/>
                <w:lang w:val="en-IN"/>
              </w:rPr>
            </w:pPr>
          </w:p>
        </w:tc>
      </w:tr>
      <w:tr w:rsidR="00C853B2" w:rsidRPr="008266F3" w14:paraId="48AA12F3" w14:textId="77777777">
        <w:trPr>
          <w:trHeight w:val="312"/>
        </w:trPr>
        <w:tc>
          <w:tcPr>
            <w:tcW w:w="5000" w:type="pct"/>
            <w:gridSpan w:val="8"/>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790179C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lastRenderedPageBreak/>
              <w:t>Liquidity Ratio</w:t>
            </w:r>
          </w:p>
        </w:tc>
      </w:tr>
      <w:tr w:rsidR="00C853B2" w:rsidRPr="008266F3" w14:paraId="6F593284" w14:textId="77777777">
        <w:trPr>
          <w:trHeight w:val="324"/>
        </w:trPr>
        <w:tc>
          <w:tcPr>
            <w:tcW w:w="1190" w:type="pct"/>
            <w:tcBorders>
              <w:top w:val="nil"/>
              <w:left w:val="single" w:sz="4" w:space="0" w:color="auto"/>
              <w:bottom w:val="single" w:sz="4" w:space="0" w:color="auto"/>
              <w:right w:val="single" w:sz="4" w:space="0" w:color="auto"/>
            </w:tcBorders>
            <w:shd w:val="clear" w:color="000000" w:fill="FCE4D6"/>
            <w:noWrap/>
            <w:vAlign w:val="center"/>
            <w:hideMark/>
          </w:tcPr>
          <w:p w14:paraId="3FA5C29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Particulars</w:t>
            </w:r>
          </w:p>
        </w:tc>
        <w:tc>
          <w:tcPr>
            <w:tcW w:w="297" w:type="pct"/>
            <w:tcBorders>
              <w:top w:val="nil"/>
              <w:left w:val="nil"/>
              <w:bottom w:val="single" w:sz="4" w:space="0" w:color="auto"/>
              <w:right w:val="single" w:sz="4" w:space="0" w:color="auto"/>
            </w:tcBorders>
            <w:shd w:val="clear" w:color="000000" w:fill="FCE4D6"/>
            <w:noWrap/>
            <w:vAlign w:val="center"/>
            <w:hideMark/>
          </w:tcPr>
          <w:p w14:paraId="55267A7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Details</w:t>
            </w:r>
          </w:p>
        </w:tc>
        <w:tc>
          <w:tcPr>
            <w:tcW w:w="686" w:type="pct"/>
            <w:tcBorders>
              <w:top w:val="nil"/>
              <w:left w:val="nil"/>
              <w:bottom w:val="single" w:sz="4" w:space="0" w:color="auto"/>
              <w:right w:val="single" w:sz="4" w:space="0" w:color="auto"/>
            </w:tcBorders>
            <w:shd w:val="clear" w:color="000000" w:fill="FCE4D6"/>
            <w:noWrap/>
            <w:vAlign w:val="center"/>
            <w:hideMark/>
          </w:tcPr>
          <w:p w14:paraId="4035D54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Formula </w:t>
            </w:r>
          </w:p>
        </w:tc>
        <w:tc>
          <w:tcPr>
            <w:tcW w:w="561" w:type="pct"/>
            <w:tcBorders>
              <w:top w:val="nil"/>
              <w:left w:val="nil"/>
              <w:bottom w:val="single" w:sz="4" w:space="0" w:color="auto"/>
              <w:right w:val="single" w:sz="4" w:space="0" w:color="auto"/>
            </w:tcBorders>
            <w:shd w:val="clear" w:color="000000" w:fill="FCE4D6"/>
            <w:vAlign w:val="center"/>
            <w:hideMark/>
          </w:tcPr>
          <w:p w14:paraId="6C4372F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2021</w:t>
            </w:r>
          </w:p>
        </w:tc>
        <w:tc>
          <w:tcPr>
            <w:tcW w:w="561" w:type="pct"/>
            <w:tcBorders>
              <w:top w:val="nil"/>
              <w:left w:val="nil"/>
              <w:bottom w:val="single" w:sz="4" w:space="0" w:color="auto"/>
              <w:right w:val="single" w:sz="4" w:space="0" w:color="auto"/>
            </w:tcBorders>
            <w:shd w:val="clear" w:color="000000" w:fill="FCE4D6"/>
            <w:vAlign w:val="center"/>
            <w:hideMark/>
          </w:tcPr>
          <w:p w14:paraId="729E185D"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2022</w:t>
            </w:r>
          </w:p>
        </w:tc>
        <w:tc>
          <w:tcPr>
            <w:tcW w:w="568" w:type="pct"/>
            <w:tcBorders>
              <w:top w:val="nil"/>
              <w:left w:val="nil"/>
              <w:bottom w:val="single" w:sz="4" w:space="0" w:color="auto"/>
              <w:right w:val="single" w:sz="4" w:space="0" w:color="auto"/>
            </w:tcBorders>
            <w:shd w:val="clear" w:color="000000" w:fill="FCE4D6"/>
            <w:vAlign w:val="center"/>
            <w:hideMark/>
          </w:tcPr>
          <w:p w14:paraId="36198F4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2023</w:t>
            </w:r>
          </w:p>
        </w:tc>
        <w:tc>
          <w:tcPr>
            <w:tcW w:w="568" w:type="pct"/>
            <w:tcBorders>
              <w:top w:val="nil"/>
              <w:left w:val="nil"/>
              <w:bottom w:val="single" w:sz="4" w:space="0" w:color="auto"/>
              <w:right w:val="single" w:sz="4" w:space="0" w:color="auto"/>
            </w:tcBorders>
            <w:shd w:val="clear" w:color="000000" w:fill="FCE4D6"/>
            <w:vAlign w:val="center"/>
            <w:hideMark/>
          </w:tcPr>
          <w:p w14:paraId="0D99D156"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2024</w:t>
            </w:r>
          </w:p>
        </w:tc>
        <w:tc>
          <w:tcPr>
            <w:tcW w:w="568" w:type="pct"/>
            <w:tcBorders>
              <w:top w:val="nil"/>
              <w:left w:val="nil"/>
              <w:bottom w:val="single" w:sz="4" w:space="0" w:color="auto"/>
              <w:right w:val="single" w:sz="4" w:space="0" w:color="auto"/>
            </w:tcBorders>
            <w:shd w:val="clear" w:color="000000" w:fill="FCE4D6"/>
            <w:vAlign w:val="center"/>
            <w:hideMark/>
          </w:tcPr>
          <w:p w14:paraId="61009B7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2025</w:t>
            </w:r>
          </w:p>
        </w:tc>
      </w:tr>
      <w:tr w:rsidR="00C853B2" w:rsidRPr="008266F3" w14:paraId="6AB63040" w14:textId="77777777">
        <w:trPr>
          <w:trHeight w:val="324"/>
        </w:trPr>
        <w:tc>
          <w:tcPr>
            <w:tcW w:w="1190" w:type="pct"/>
            <w:tcBorders>
              <w:top w:val="nil"/>
              <w:left w:val="single" w:sz="4" w:space="0" w:color="auto"/>
              <w:bottom w:val="single" w:sz="4" w:space="0" w:color="auto"/>
              <w:right w:val="single" w:sz="4" w:space="0" w:color="auto"/>
            </w:tcBorders>
            <w:noWrap/>
            <w:vAlign w:val="center"/>
            <w:hideMark/>
          </w:tcPr>
          <w:p w14:paraId="4BF3EFAF"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Current Assets </w:t>
            </w:r>
          </w:p>
        </w:tc>
        <w:tc>
          <w:tcPr>
            <w:tcW w:w="297" w:type="pct"/>
            <w:tcBorders>
              <w:top w:val="nil"/>
              <w:left w:val="nil"/>
              <w:bottom w:val="single" w:sz="4" w:space="0" w:color="auto"/>
              <w:right w:val="single" w:sz="4" w:space="0" w:color="auto"/>
            </w:tcBorders>
            <w:noWrap/>
            <w:vAlign w:val="center"/>
            <w:hideMark/>
          </w:tcPr>
          <w:p w14:paraId="683EDE78"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A</w:t>
            </w:r>
          </w:p>
        </w:tc>
        <w:tc>
          <w:tcPr>
            <w:tcW w:w="686" w:type="pct"/>
            <w:tcBorders>
              <w:top w:val="nil"/>
              <w:left w:val="nil"/>
              <w:bottom w:val="single" w:sz="4" w:space="0" w:color="auto"/>
              <w:right w:val="single" w:sz="4" w:space="0" w:color="auto"/>
            </w:tcBorders>
            <w:noWrap/>
            <w:vAlign w:val="center"/>
            <w:hideMark/>
          </w:tcPr>
          <w:p w14:paraId="4EE98FE3"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nil"/>
              <w:bottom w:val="single" w:sz="4" w:space="0" w:color="auto"/>
              <w:right w:val="single" w:sz="4" w:space="0" w:color="auto"/>
            </w:tcBorders>
            <w:vAlign w:val="center"/>
            <w:hideMark/>
          </w:tcPr>
          <w:p w14:paraId="7141DFB0"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3,626 </w:t>
            </w:r>
          </w:p>
        </w:tc>
        <w:tc>
          <w:tcPr>
            <w:tcW w:w="561" w:type="pct"/>
            <w:tcBorders>
              <w:top w:val="nil"/>
              <w:left w:val="nil"/>
              <w:bottom w:val="single" w:sz="8" w:space="0" w:color="000000"/>
              <w:right w:val="single" w:sz="8" w:space="0" w:color="000000"/>
            </w:tcBorders>
            <w:noWrap/>
            <w:vAlign w:val="center"/>
            <w:hideMark/>
          </w:tcPr>
          <w:p w14:paraId="072F562E"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3,313 </w:t>
            </w:r>
          </w:p>
        </w:tc>
        <w:tc>
          <w:tcPr>
            <w:tcW w:w="568" w:type="pct"/>
            <w:tcBorders>
              <w:top w:val="nil"/>
              <w:left w:val="nil"/>
              <w:bottom w:val="single" w:sz="8" w:space="0" w:color="000000"/>
              <w:right w:val="single" w:sz="8" w:space="0" w:color="000000"/>
            </w:tcBorders>
            <w:noWrap/>
            <w:vAlign w:val="center"/>
            <w:hideMark/>
          </w:tcPr>
          <w:p w14:paraId="3E09E420"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3,311 </w:t>
            </w:r>
          </w:p>
        </w:tc>
        <w:tc>
          <w:tcPr>
            <w:tcW w:w="568" w:type="pct"/>
            <w:tcBorders>
              <w:top w:val="nil"/>
              <w:left w:val="nil"/>
              <w:bottom w:val="single" w:sz="8" w:space="0" w:color="000000"/>
              <w:right w:val="single" w:sz="8" w:space="0" w:color="000000"/>
            </w:tcBorders>
            <w:noWrap/>
            <w:vAlign w:val="center"/>
            <w:hideMark/>
          </w:tcPr>
          <w:p w14:paraId="1C81690F"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3,485 </w:t>
            </w:r>
          </w:p>
        </w:tc>
        <w:tc>
          <w:tcPr>
            <w:tcW w:w="568" w:type="pct"/>
            <w:tcBorders>
              <w:top w:val="nil"/>
              <w:left w:val="nil"/>
              <w:bottom w:val="single" w:sz="8" w:space="0" w:color="000000"/>
              <w:right w:val="single" w:sz="8" w:space="0" w:color="000000"/>
            </w:tcBorders>
            <w:noWrap/>
            <w:vAlign w:val="center"/>
            <w:hideMark/>
          </w:tcPr>
          <w:p w14:paraId="2BA8183A"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3,584 </w:t>
            </w:r>
          </w:p>
        </w:tc>
      </w:tr>
      <w:tr w:rsidR="00C853B2" w:rsidRPr="008266F3" w14:paraId="0FD07612" w14:textId="77777777">
        <w:trPr>
          <w:trHeight w:val="312"/>
        </w:trPr>
        <w:tc>
          <w:tcPr>
            <w:tcW w:w="1190" w:type="pct"/>
            <w:tcBorders>
              <w:top w:val="nil"/>
              <w:left w:val="single" w:sz="4" w:space="0" w:color="auto"/>
              <w:bottom w:val="single" w:sz="4" w:space="0" w:color="auto"/>
              <w:right w:val="single" w:sz="4" w:space="0" w:color="auto"/>
            </w:tcBorders>
            <w:noWrap/>
            <w:vAlign w:val="center"/>
            <w:hideMark/>
          </w:tcPr>
          <w:p w14:paraId="6A65F684"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Inventories </w:t>
            </w:r>
          </w:p>
        </w:tc>
        <w:tc>
          <w:tcPr>
            <w:tcW w:w="297" w:type="pct"/>
            <w:tcBorders>
              <w:top w:val="nil"/>
              <w:left w:val="nil"/>
              <w:bottom w:val="single" w:sz="4" w:space="0" w:color="auto"/>
              <w:right w:val="single" w:sz="4" w:space="0" w:color="auto"/>
            </w:tcBorders>
            <w:noWrap/>
            <w:vAlign w:val="center"/>
            <w:hideMark/>
          </w:tcPr>
          <w:p w14:paraId="64AF1C0A"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B</w:t>
            </w:r>
          </w:p>
        </w:tc>
        <w:tc>
          <w:tcPr>
            <w:tcW w:w="686" w:type="pct"/>
            <w:tcBorders>
              <w:top w:val="nil"/>
              <w:left w:val="nil"/>
              <w:bottom w:val="single" w:sz="4" w:space="0" w:color="auto"/>
              <w:right w:val="single" w:sz="4" w:space="0" w:color="auto"/>
            </w:tcBorders>
            <w:noWrap/>
            <w:vAlign w:val="center"/>
            <w:hideMark/>
          </w:tcPr>
          <w:p w14:paraId="2CD38FAA"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nil"/>
              <w:bottom w:val="single" w:sz="4" w:space="0" w:color="auto"/>
              <w:right w:val="single" w:sz="4" w:space="0" w:color="auto"/>
            </w:tcBorders>
            <w:vAlign w:val="center"/>
            <w:hideMark/>
          </w:tcPr>
          <w:p w14:paraId="4B3B330A"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   </w:t>
            </w:r>
          </w:p>
        </w:tc>
        <w:tc>
          <w:tcPr>
            <w:tcW w:w="561" w:type="pct"/>
            <w:tcBorders>
              <w:top w:val="single" w:sz="4" w:space="0" w:color="auto"/>
              <w:left w:val="nil"/>
              <w:bottom w:val="single" w:sz="4" w:space="0" w:color="auto"/>
              <w:right w:val="single" w:sz="4" w:space="0" w:color="auto"/>
            </w:tcBorders>
            <w:vAlign w:val="center"/>
            <w:hideMark/>
          </w:tcPr>
          <w:p w14:paraId="3921EF02"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   </w:t>
            </w:r>
          </w:p>
        </w:tc>
        <w:tc>
          <w:tcPr>
            <w:tcW w:w="568" w:type="pct"/>
            <w:tcBorders>
              <w:top w:val="single" w:sz="4" w:space="0" w:color="auto"/>
              <w:left w:val="nil"/>
              <w:bottom w:val="single" w:sz="4" w:space="0" w:color="auto"/>
              <w:right w:val="single" w:sz="4" w:space="0" w:color="auto"/>
            </w:tcBorders>
            <w:vAlign w:val="center"/>
            <w:hideMark/>
          </w:tcPr>
          <w:p w14:paraId="65DAFA8A"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   </w:t>
            </w:r>
          </w:p>
        </w:tc>
        <w:tc>
          <w:tcPr>
            <w:tcW w:w="568" w:type="pct"/>
            <w:tcBorders>
              <w:top w:val="single" w:sz="4" w:space="0" w:color="auto"/>
              <w:left w:val="nil"/>
              <w:bottom w:val="single" w:sz="4" w:space="0" w:color="auto"/>
              <w:right w:val="single" w:sz="4" w:space="0" w:color="auto"/>
            </w:tcBorders>
            <w:vAlign w:val="center"/>
            <w:hideMark/>
          </w:tcPr>
          <w:p w14:paraId="1CCA5FAB"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   </w:t>
            </w:r>
          </w:p>
        </w:tc>
        <w:tc>
          <w:tcPr>
            <w:tcW w:w="568" w:type="pct"/>
            <w:tcBorders>
              <w:top w:val="single" w:sz="4" w:space="0" w:color="auto"/>
              <w:left w:val="nil"/>
              <w:bottom w:val="single" w:sz="4" w:space="0" w:color="auto"/>
              <w:right w:val="single" w:sz="4" w:space="0" w:color="auto"/>
            </w:tcBorders>
            <w:vAlign w:val="center"/>
            <w:hideMark/>
          </w:tcPr>
          <w:p w14:paraId="1AC4ED4D"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   </w:t>
            </w:r>
          </w:p>
        </w:tc>
      </w:tr>
      <w:tr w:rsidR="00C853B2" w:rsidRPr="008266F3" w14:paraId="65549AB0" w14:textId="77777777">
        <w:trPr>
          <w:trHeight w:val="324"/>
        </w:trPr>
        <w:tc>
          <w:tcPr>
            <w:tcW w:w="1190" w:type="pct"/>
            <w:tcBorders>
              <w:top w:val="nil"/>
              <w:left w:val="single" w:sz="4" w:space="0" w:color="auto"/>
              <w:bottom w:val="single" w:sz="4" w:space="0" w:color="auto"/>
              <w:right w:val="single" w:sz="4" w:space="0" w:color="auto"/>
            </w:tcBorders>
            <w:noWrap/>
            <w:vAlign w:val="center"/>
            <w:hideMark/>
          </w:tcPr>
          <w:p w14:paraId="4B4E54E0"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Current Liabilities </w:t>
            </w:r>
          </w:p>
        </w:tc>
        <w:tc>
          <w:tcPr>
            <w:tcW w:w="297" w:type="pct"/>
            <w:tcBorders>
              <w:top w:val="nil"/>
              <w:left w:val="nil"/>
              <w:bottom w:val="single" w:sz="4" w:space="0" w:color="auto"/>
              <w:right w:val="single" w:sz="4" w:space="0" w:color="auto"/>
            </w:tcBorders>
            <w:noWrap/>
            <w:vAlign w:val="center"/>
            <w:hideMark/>
          </w:tcPr>
          <w:p w14:paraId="171AE208"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C</w:t>
            </w:r>
          </w:p>
        </w:tc>
        <w:tc>
          <w:tcPr>
            <w:tcW w:w="686" w:type="pct"/>
            <w:tcBorders>
              <w:top w:val="nil"/>
              <w:left w:val="nil"/>
              <w:bottom w:val="single" w:sz="4" w:space="0" w:color="auto"/>
              <w:right w:val="single" w:sz="4" w:space="0" w:color="auto"/>
            </w:tcBorders>
            <w:noWrap/>
            <w:vAlign w:val="center"/>
            <w:hideMark/>
          </w:tcPr>
          <w:p w14:paraId="7D5DF969"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nil"/>
              <w:bottom w:val="single" w:sz="4" w:space="0" w:color="auto"/>
              <w:right w:val="single" w:sz="4" w:space="0" w:color="auto"/>
            </w:tcBorders>
            <w:noWrap/>
            <w:vAlign w:val="center"/>
            <w:hideMark/>
          </w:tcPr>
          <w:p w14:paraId="19362D4E"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 $             6,407 </w:t>
            </w:r>
          </w:p>
        </w:tc>
        <w:tc>
          <w:tcPr>
            <w:tcW w:w="561" w:type="pct"/>
            <w:tcBorders>
              <w:top w:val="nil"/>
              <w:left w:val="nil"/>
              <w:bottom w:val="single" w:sz="8" w:space="0" w:color="000000"/>
              <w:right w:val="single" w:sz="8" w:space="0" w:color="000000"/>
            </w:tcBorders>
            <w:noWrap/>
            <w:vAlign w:val="center"/>
            <w:hideMark/>
          </w:tcPr>
          <w:p w14:paraId="4E74BC10"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7,339 </w:t>
            </w:r>
          </w:p>
        </w:tc>
        <w:tc>
          <w:tcPr>
            <w:tcW w:w="568" w:type="pct"/>
            <w:tcBorders>
              <w:top w:val="nil"/>
              <w:left w:val="nil"/>
              <w:bottom w:val="single" w:sz="8" w:space="0" w:color="000000"/>
              <w:right w:val="single" w:sz="8" w:space="0" w:color="000000"/>
            </w:tcBorders>
            <w:noWrap/>
            <w:vAlign w:val="center"/>
            <w:hideMark/>
          </w:tcPr>
          <w:p w14:paraId="6F5F8A86"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7,762 </w:t>
            </w:r>
          </w:p>
        </w:tc>
        <w:tc>
          <w:tcPr>
            <w:tcW w:w="568" w:type="pct"/>
            <w:tcBorders>
              <w:top w:val="nil"/>
              <w:left w:val="nil"/>
              <w:bottom w:val="single" w:sz="8" w:space="0" w:color="000000"/>
              <w:right w:val="single" w:sz="8" w:space="0" w:color="000000"/>
            </w:tcBorders>
            <w:noWrap/>
            <w:vAlign w:val="center"/>
            <w:hideMark/>
          </w:tcPr>
          <w:p w14:paraId="3F523948"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8,649 </w:t>
            </w:r>
          </w:p>
        </w:tc>
        <w:tc>
          <w:tcPr>
            <w:tcW w:w="568" w:type="pct"/>
            <w:tcBorders>
              <w:top w:val="nil"/>
              <w:left w:val="nil"/>
              <w:bottom w:val="single" w:sz="8" w:space="0" w:color="000000"/>
              <w:right w:val="single" w:sz="8" w:space="0" w:color="000000"/>
            </w:tcBorders>
            <w:noWrap/>
            <w:vAlign w:val="center"/>
            <w:hideMark/>
          </w:tcPr>
          <w:p w14:paraId="506C49B6"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8,398 </w:t>
            </w:r>
          </w:p>
        </w:tc>
      </w:tr>
      <w:tr w:rsidR="00C853B2" w:rsidRPr="008266F3" w14:paraId="18573B61" w14:textId="77777777">
        <w:trPr>
          <w:trHeight w:val="624"/>
        </w:trPr>
        <w:tc>
          <w:tcPr>
            <w:tcW w:w="1190" w:type="pct"/>
            <w:tcBorders>
              <w:top w:val="nil"/>
              <w:left w:val="single" w:sz="4" w:space="0" w:color="auto"/>
              <w:bottom w:val="single" w:sz="4" w:space="0" w:color="auto"/>
              <w:right w:val="single" w:sz="4" w:space="0" w:color="auto"/>
            </w:tcBorders>
            <w:shd w:val="clear" w:color="000000" w:fill="BDD7EE"/>
            <w:noWrap/>
            <w:vAlign w:val="center"/>
            <w:hideMark/>
          </w:tcPr>
          <w:p w14:paraId="79BF4E6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Current Ratio</w:t>
            </w:r>
          </w:p>
        </w:tc>
        <w:tc>
          <w:tcPr>
            <w:tcW w:w="297" w:type="pct"/>
            <w:tcBorders>
              <w:top w:val="nil"/>
              <w:left w:val="nil"/>
              <w:bottom w:val="single" w:sz="4" w:space="0" w:color="auto"/>
              <w:right w:val="single" w:sz="4" w:space="0" w:color="auto"/>
            </w:tcBorders>
            <w:shd w:val="clear" w:color="000000" w:fill="BDD7EE"/>
            <w:noWrap/>
            <w:vAlign w:val="center"/>
            <w:hideMark/>
          </w:tcPr>
          <w:p w14:paraId="3B2F473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A/C</w:t>
            </w:r>
          </w:p>
        </w:tc>
        <w:tc>
          <w:tcPr>
            <w:tcW w:w="686" w:type="pct"/>
            <w:tcBorders>
              <w:top w:val="nil"/>
              <w:left w:val="nil"/>
              <w:bottom w:val="single" w:sz="4" w:space="0" w:color="auto"/>
              <w:right w:val="single" w:sz="4" w:space="0" w:color="auto"/>
            </w:tcBorders>
            <w:shd w:val="clear" w:color="000000" w:fill="BDD7EE"/>
            <w:vAlign w:val="center"/>
            <w:hideMark/>
          </w:tcPr>
          <w:p w14:paraId="1FCBF09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Current assets/ Current Liabilities</w:t>
            </w:r>
          </w:p>
        </w:tc>
        <w:tc>
          <w:tcPr>
            <w:tcW w:w="561" w:type="pct"/>
            <w:tcBorders>
              <w:top w:val="nil"/>
              <w:left w:val="nil"/>
              <w:bottom w:val="single" w:sz="4" w:space="0" w:color="auto"/>
              <w:right w:val="single" w:sz="4" w:space="0" w:color="auto"/>
            </w:tcBorders>
            <w:shd w:val="clear" w:color="000000" w:fill="BDD7EE"/>
            <w:noWrap/>
            <w:vAlign w:val="center"/>
            <w:hideMark/>
          </w:tcPr>
          <w:p w14:paraId="6DDA4C2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0.57 </w:t>
            </w:r>
          </w:p>
        </w:tc>
        <w:tc>
          <w:tcPr>
            <w:tcW w:w="561" w:type="pct"/>
            <w:tcBorders>
              <w:top w:val="single" w:sz="4" w:space="0" w:color="auto"/>
              <w:left w:val="nil"/>
              <w:bottom w:val="single" w:sz="4" w:space="0" w:color="auto"/>
              <w:right w:val="single" w:sz="4" w:space="0" w:color="auto"/>
            </w:tcBorders>
            <w:shd w:val="clear" w:color="000000" w:fill="BDD7EE"/>
            <w:noWrap/>
            <w:vAlign w:val="center"/>
            <w:hideMark/>
          </w:tcPr>
          <w:p w14:paraId="6AA8C9A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0.45 </w:t>
            </w:r>
          </w:p>
        </w:tc>
        <w:tc>
          <w:tcPr>
            <w:tcW w:w="568" w:type="pct"/>
            <w:tcBorders>
              <w:top w:val="single" w:sz="4" w:space="0" w:color="auto"/>
              <w:left w:val="nil"/>
              <w:bottom w:val="single" w:sz="4" w:space="0" w:color="auto"/>
              <w:right w:val="single" w:sz="4" w:space="0" w:color="auto"/>
            </w:tcBorders>
            <w:shd w:val="clear" w:color="000000" w:fill="BDD7EE"/>
            <w:noWrap/>
            <w:vAlign w:val="center"/>
            <w:hideMark/>
          </w:tcPr>
          <w:p w14:paraId="684C5F1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0.43 </w:t>
            </w:r>
          </w:p>
        </w:tc>
        <w:tc>
          <w:tcPr>
            <w:tcW w:w="568" w:type="pct"/>
            <w:tcBorders>
              <w:top w:val="single" w:sz="4" w:space="0" w:color="auto"/>
              <w:left w:val="nil"/>
              <w:bottom w:val="single" w:sz="4" w:space="0" w:color="auto"/>
              <w:right w:val="single" w:sz="4" w:space="0" w:color="auto"/>
            </w:tcBorders>
            <w:shd w:val="clear" w:color="000000" w:fill="BDD7EE"/>
            <w:noWrap/>
            <w:vAlign w:val="center"/>
            <w:hideMark/>
          </w:tcPr>
          <w:p w14:paraId="54E8A5E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0.40 </w:t>
            </w:r>
          </w:p>
        </w:tc>
        <w:tc>
          <w:tcPr>
            <w:tcW w:w="568" w:type="pct"/>
            <w:tcBorders>
              <w:top w:val="single" w:sz="4" w:space="0" w:color="auto"/>
              <w:left w:val="nil"/>
              <w:bottom w:val="single" w:sz="4" w:space="0" w:color="auto"/>
              <w:right w:val="single" w:sz="4" w:space="0" w:color="auto"/>
            </w:tcBorders>
            <w:shd w:val="clear" w:color="000000" w:fill="BDD7EE"/>
            <w:noWrap/>
            <w:vAlign w:val="center"/>
            <w:hideMark/>
          </w:tcPr>
          <w:p w14:paraId="7C31AA17"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0.43 </w:t>
            </w:r>
          </w:p>
        </w:tc>
      </w:tr>
      <w:tr w:rsidR="00C853B2" w:rsidRPr="008266F3" w14:paraId="1B6E95C4" w14:textId="77777777">
        <w:trPr>
          <w:trHeight w:val="936"/>
        </w:trPr>
        <w:tc>
          <w:tcPr>
            <w:tcW w:w="1190" w:type="pct"/>
            <w:tcBorders>
              <w:top w:val="nil"/>
              <w:left w:val="single" w:sz="4" w:space="0" w:color="auto"/>
              <w:bottom w:val="single" w:sz="4" w:space="0" w:color="auto"/>
              <w:right w:val="single" w:sz="4" w:space="0" w:color="auto"/>
            </w:tcBorders>
            <w:shd w:val="clear" w:color="000000" w:fill="BDD7EE"/>
            <w:noWrap/>
            <w:vAlign w:val="center"/>
            <w:hideMark/>
          </w:tcPr>
          <w:p w14:paraId="658DB7D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Quick Ratio</w:t>
            </w:r>
          </w:p>
        </w:tc>
        <w:tc>
          <w:tcPr>
            <w:tcW w:w="297" w:type="pct"/>
            <w:tcBorders>
              <w:top w:val="nil"/>
              <w:left w:val="nil"/>
              <w:bottom w:val="single" w:sz="4" w:space="0" w:color="auto"/>
              <w:right w:val="single" w:sz="4" w:space="0" w:color="auto"/>
            </w:tcBorders>
            <w:shd w:val="clear" w:color="000000" w:fill="BDD7EE"/>
            <w:noWrap/>
            <w:vAlign w:val="center"/>
            <w:hideMark/>
          </w:tcPr>
          <w:p w14:paraId="08D3083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(A-B)/C</w:t>
            </w:r>
          </w:p>
        </w:tc>
        <w:tc>
          <w:tcPr>
            <w:tcW w:w="686" w:type="pct"/>
            <w:tcBorders>
              <w:top w:val="nil"/>
              <w:left w:val="nil"/>
              <w:bottom w:val="single" w:sz="4" w:space="0" w:color="auto"/>
              <w:right w:val="single" w:sz="4" w:space="0" w:color="auto"/>
            </w:tcBorders>
            <w:shd w:val="clear" w:color="000000" w:fill="BDD7EE"/>
            <w:vAlign w:val="center"/>
            <w:hideMark/>
          </w:tcPr>
          <w:p w14:paraId="22EE7CD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(Current Assets - Inventories)/ Current Liabilities</w:t>
            </w:r>
          </w:p>
        </w:tc>
        <w:tc>
          <w:tcPr>
            <w:tcW w:w="561" w:type="pct"/>
            <w:tcBorders>
              <w:top w:val="nil"/>
              <w:left w:val="nil"/>
              <w:bottom w:val="single" w:sz="4" w:space="0" w:color="auto"/>
              <w:right w:val="single" w:sz="4" w:space="0" w:color="auto"/>
            </w:tcBorders>
            <w:shd w:val="clear" w:color="000000" w:fill="BDD7EE"/>
            <w:noWrap/>
            <w:vAlign w:val="center"/>
            <w:hideMark/>
          </w:tcPr>
          <w:p w14:paraId="32384F06"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0.57 </w:t>
            </w:r>
          </w:p>
        </w:tc>
        <w:tc>
          <w:tcPr>
            <w:tcW w:w="561" w:type="pct"/>
            <w:tcBorders>
              <w:top w:val="nil"/>
              <w:left w:val="nil"/>
              <w:bottom w:val="single" w:sz="4" w:space="0" w:color="auto"/>
              <w:right w:val="single" w:sz="4" w:space="0" w:color="auto"/>
            </w:tcBorders>
            <w:shd w:val="clear" w:color="000000" w:fill="BDD7EE"/>
            <w:noWrap/>
            <w:vAlign w:val="center"/>
            <w:hideMark/>
          </w:tcPr>
          <w:p w14:paraId="353C69E1"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0.45 </w:t>
            </w:r>
          </w:p>
        </w:tc>
        <w:tc>
          <w:tcPr>
            <w:tcW w:w="568" w:type="pct"/>
            <w:tcBorders>
              <w:top w:val="nil"/>
              <w:left w:val="nil"/>
              <w:bottom w:val="single" w:sz="4" w:space="0" w:color="auto"/>
              <w:right w:val="single" w:sz="4" w:space="0" w:color="auto"/>
            </w:tcBorders>
            <w:shd w:val="clear" w:color="000000" w:fill="BDD7EE"/>
            <w:noWrap/>
            <w:vAlign w:val="center"/>
            <w:hideMark/>
          </w:tcPr>
          <w:p w14:paraId="69B6A84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0.43 </w:t>
            </w:r>
          </w:p>
        </w:tc>
        <w:tc>
          <w:tcPr>
            <w:tcW w:w="568" w:type="pct"/>
            <w:tcBorders>
              <w:top w:val="nil"/>
              <w:left w:val="nil"/>
              <w:bottom w:val="single" w:sz="4" w:space="0" w:color="auto"/>
              <w:right w:val="single" w:sz="4" w:space="0" w:color="auto"/>
            </w:tcBorders>
            <w:shd w:val="clear" w:color="000000" w:fill="BDD7EE"/>
            <w:noWrap/>
            <w:vAlign w:val="center"/>
            <w:hideMark/>
          </w:tcPr>
          <w:p w14:paraId="1F62162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0.40 </w:t>
            </w:r>
          </w:p>
        </w:tc>
        <w:tc>
          <w:tcPr>
            <w:tcW w:w="568" w:type="pct"/>
            <w:tcBorders>
              <w:top w:val="nil"/>
              <w:left w:val="nil"/>
              <w:bottom w:val="single" w:sz="4" w:space="0" w:color="auto"/>
              <w:right w:val="single" w:sz="4" w:space="0" w:color="auto"/>
            </w:tcBorders>
            <w:shd w:val="clear" w:color="000000" w:fill="BDD7EE"/>
            <w:noWrap/>
            <w:vAlign w:val="center"/>
            <w:hideMark/>
          </w:tcPr>
          <w:p w14:paraId="10F829F7"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0.43 </w:t>
            </w:r>
          </w:p>
        </w:tc>
      </w:tr>
      <w:tr w:rsidR="00C853B2" w:rsidRPr="008266F3" w14:paraId="5A2521D3" w14:textId="77777777" w:rsidTr="00F22492">
        <w:trPr>
          <w:trHeight w:val="1692"/>
        </w:trPr>
        <w:tc>
          <w:tcPr>
            <w:tcW w:w="1190" w:type="pct"/>
            <w:tcBorders>
              <w:top w:val="nil"/>
              <w:left w:val="nil"/>
              <w:bottom w:val="nil"/>
              <w:right w:val="nil"/>
            </w:tcBorders>
            <w:noWrap/>
            <w:vAlign w:val="center"/>
            <w:hideMark/>
          </w:tcPr>
          <w:p w14:paraId="6242C834" w14:textId="77777777" w:rsidR="00E77D64" w:rsidRDefault="00E77D64" w:rsidP="008266F3">
            <w:pPr>
              <w:spacing w:line="360" w:lineRule="auto"/>
              <w:rPr>
                <w:rFonts w:eastAsia="Times New Roman"/>
                <w:b/>
                <w:bCs/>
                <w:color w:val="000000"/>
                <w:sz w:val="28"/>
                <w:szCs w:val="28"/>
                <w:lang w:val="en-IN"/>
              </w:rPr>
            </w:pPr>
          </w:p>
          <w:p w14:paraId="3358B715" w14:textId="77777777" w:rsidR="0004785C" w:rsidRDefault="0004785C" w:rsidP="008266F3">
            <w:pPr>
              <w:spacing w:line="360" w:lineRule="auto"/>
              <w:rPr>
                <w:rFonts w:eastAsia="Times New Roman"/>
                <w:b/>
                <w:bCs/>
                <w:color w:val="000000"/>
                <w:sz w:val="28"/>
                <w:szCs w:val="28"/>
                <w:lang w:val="en-IN"/>
              </w:rPr>
            </w:pPr>
          </w:p>
          <w:p w14:paraId="26E77226" w14:textId="77777777" w:rsidR="0004785C" w:rsidRDefault="0004785C" w:rsidP="008266F3">
            <w:pPr>
              <w:spacing w:line="360" w:lineRule="auto"/>
              <w:rPr>
                <w:rFonts w:eastAsia="Times New Roman"/>
                <w:b/>
                <w:bCs/>
                <w:color w:val="000000"/>
                <w:sz w:val="28"/>
                <w:szCs w:val="28"/>
                <w:lang w:val="en-IN"/>
              </w:rPr>
            </w:pPr>
          </w:p>
          <w:p w14:paraId="2883A257" w14:textId="77777777" w:rsidR="0004785C" w:rsidRDefault="0004785C" w:rsidP="008266F3">
            <w:pPr>
              <w:spacing w:line="360" w:lineRule="auto"/>
              <w:rPr>
                <w:rFonts w:eastAsia="Times New Roman"/>
                <w:b/>
                <w:bCs/>
                <w:color w:val="000000"/>
                <w:sz w:val="28"/>
                <w:szCs w:val="28"/>
                <w:lang w:val="en-IN"/>
              </w:rPr>
            </w:pPr>
          </w:p>
          <w:p w14:paraId="275F4DC3" w14:textId="77777777" w:rsidR="0004785C" w:rsidRDefault="0004785C" w:rsidP="008266F3">
            <w:pPr>
              <w:spacing w:line="360" w:lineRule="auto"/>
              <w:rPr>
                <w:rFonts w:eastAsia="Times New Roman"/>
                <w:b/>
                <w:bCs/>
                <w:color w:val="000000"/>
                <w:sz w:val="28"/>
                <w:szCs w:val="28"/>
                <w:lang w:val="en-IN"/>
              </w:rPr>
            </w:pPr>
          </w:p>
          <w:p w14:paraId="6B58A279" w14:textId="77777777" w:rsidR="0004785C" w:rsidRDefault="0004785C" w:rsidP="008266F3">
            <w:pPr>
              <w:spacing w:line="360" w:lineRule="auto"/>
              <w:rPr>
                <w:rFonts w:eastAsia="Times New Roman"/>
                <w:b/>
                <w:bCs/>
                <w:color w:val="000000"/>
                <w:sz w:val="28"/>
                <w:szCs w:val="28"/>
                <w:lang w:val="en-IN"/>
              </w:rPr>
            </w:pPr>
          </w:p>
          <w:p w14:paraId="2A82C3F0" w14:textId="77777777" w:rsidR="0004785C" w:rsidRDefault="0004785C" w:rsidP="008266F3">
            <w:pPr>
              <w:spacing w:line="360" w:lineRule="auto"/>
              <w:rPr>
                <w:rFonts w:eastAsia="Times New Roman"/>
                <w:b/>
                <w:bCs/>
                <w:color w:val="000000"/>
                <w:sz w:val="28"/>
                <w:szCs w:val="28"/>
                <w:lang w:val="en-IN"/>
              </w:rPr>
            </w:pPr>
          </w:p>
          <w:p w14:paraId="1E197844" w14:textId="77777777" w:rsidR="0004785C" w:rsidRDefault="0004785C" w:rsidP="008266F3">
            <w:pPr>
              <w:spacing w:line="360" w:lineRule="auto"/>
              <w:rPr>
                <w:rFonts w:eastAsia="Times New Roman"/>
                <w:b/>
                <w:bCs/>
                <w:color w:val="000000"/>
                <w:sz w:val="28"/>
                <w:szCs w:val="28"/>
                <w:lang w:val="en-IN"/>
              </w:rPr>
            </w:pPr>
          </w:p>
          <w:p w14:paraId="530F9D23" w14:textId="77777777" w:rsidR="0004785C" w:rsidRDefault="0004785C" w:rsidP="008266F3">
            <w:pPr>
              <w:spacing w:line="360" w:lineRule="auto"/>
              <w:rPr>
                <w:rFonts w:eastAsia="Times New Roman"/>
                <w:b/>
                <w:bCs/>
                <w:color w:val="000000"/>
                <w:sz w:val="28"/>
                <w:szCs w:val="28"/>
                <w:lang w:val="en-IN"/>
              </w:rPr>
            </w:pPr>
          </w:p>
          <w:p w14:paraId="7C743A0B" w14:textId="77777777" w:rsidR="0004785C" w:rsidRPr="00F22492" w:rsidRDefault="0004785C" w:rsidP="008266F3">
            <w:pPr>
              <w:spacing w:line="360" w:lineRule="auto"/>
              <w:rPr>
                <w:rFonts w:eastAsia="Times New Roman"/>
                <w:b/>
                <w:bCs/>
                <w:color w:val="000000"/>
                <w:sz w:val="28"/>
                <w:szCs w:val="28"/>
                <w:lang w:val="en-IN"/>
              </w:rPr>
            </w:pPr>
          </w:p>
        </w:tc>
        <w:tc>
          <w:tcPr>
            <w:tcW w:w="297" w:type="pct"/>
            <w:tcBorders>
              <w:top w:val="nil"/>
              <w:left w:val="nil"/>
              <w:bottom w:val="nil"/>
              <w:right w:val="nil"/>
            </w:tcBorders>
            <w:noWrap/>
            <w:vAlign w:val="center"/>
            <w:hideMark/>
          </w:tcPr>
          <w:p w14:paraId="11E3C0E5" w14:textId="77777777" w:rsidR="00C853B2" w:rsidRPr="008266F3" w:rsidRDefault="00C853B2">
            <w:pPr>
              <w:spacing w:line="360" w:lineRule="auto"/>
              <w:jc w:val="center"/>
              <w:rPr>
                <w:rFonts w:eastAsia="Times New Roman"/>
                <w:sz w:val="24"/>
                <w:szCs w:val="24"/>
                <w:lang w:val="en-IN"/>
              </w:rPr>
            </w:pPr>
          </w:p>
        </w:tc>
        <w:tc>
          <w:tcPr>
            <w:tcW w:w="686" w:type="pct"/>
            <w:tcBorders>
              <w:top w:val="nil"/>
              <w:left w:val="nil"/>
              <w:bottom w:val="nil"/>
              <w:right w:val="nil"/>
            </w:tcBorders>
            <w:noWrap/>
            <w:vAlign w:val="center"/>
            <w:hideMark/>
          </w:tcPr>
          <w:p w14:paraId="696BBF45" w14:textId="77777777" w:rsidR="00C853B2" w:rsidRPr="008266F3" w:rsidRDefault="00C853B2">
            <w:pPr>
              <w:spacing w:line="360" w:lineRule="auto"/>
              <w:jc w:val="center"/>
              <w:rPr>
                <w:rFonts w:eastAsia="Times New Roman"/>
                <w:sz w:val="24"/>
                <w:szCs w:val="24"/>
                <w:lang w:val="en-IN"/>
              </w:rPr>
            </w:pPr>
          </w:p>
        </w:tc>
        <w:tc>
          <w:tcPr>
            <w:tcW w:w="561" w:type="pct"/>
            <w:tcBorders>
              <w:top w:val="nil"/>
              <w:left w:val="nil"/>
              <w:bottom w:val="nil"/>
              <w:right w:val="nil"/>
            </w:tcBorders>
            <w:noWrap/>
            <w:vAlign w:val="center"/>
            <w:hideMark/>
          </w:tcPr>
          <w:p w14:paraId="6595AF1A" w14:textId="77777777" w:rsidR="00C853B2" w:rsidRPr="008266F3" w:rsidRDefault="00C853B2">
            <w:pPr>
              <w:spacing w:line="360" w:lineRule="auto"/>
              <w:jc w:val="center"/>
              <w:rPr>
                <w:rFonts w:eastAsia="Times New Roman"/>
                <w:sz w:val="24"/>
                <w:szCs w:val="24"/>
                <w:lang w:val="en-IN"/>
              </w:rPr>
            </w:pPr>
          </w:p>
        </w:tc>
        <w:tc>
          <w:tcPr>
            <w:tcW w:w="561" w:type="pct"/>
            <w:tcBorders>
              <w:top w:val="nil"/>
              <w:left w:val="nil"/>
              <w:bottom w:val="nil"/>
              <w:right w:val="nil"/>
            </w:tcBorders>
            <w:noWrap/>
            <w:vAlign w:val="center"/>
            <w:hideMark/>
          </w:tcPr>
          <w:p w14:paraId="3A6B6E02" w14:textId="77777777" w:rsidR="00C853B2" w:rsidRPr="008266F3" w:rsidRDefault="00C853B2">
            <w:pPr>
              <w:spacing w:line="360" w:lineRule="auto"/>
              <w:jc w:val="center"/>
              <w:rPr>
                <w:rFonts w:eastAsia="Times New Roman"/>
                <w:sz w:val="24"/>
                <w:szCs w:val="24"/>
                <w:lang w:val="en-IN"/>
              </w:rPr>
            </w:pPr>
          </w:p>
        </w:tc>
        <w:tc>
          <w:tcPr>
            <w:tcW w:w="568" w:type="pct"/>
            <w:tcBorders>
              <w:top w:val="nil"/>
              <w:left w:val="nil"/>
              <w:bottom w:val="nil"/>
              <w:right w:val="nil"/>
            </w:tcBorders>
            <w:noWrap/>
            <w:vAlign w:val="center"/>
            <w:hideMark/>
          </w:tcPr>
          <w:p w14:paraId="46681C57" w14:textId="77777777" w:rsidR="00C853B2" w:rsidRPr="008266F3" w:rsidRDefault="00C853B2">
            <w:pPr>
              <w:spacing w:line="360" w:lineRule="auto"/>
              <w:jc w:val="center"/>
              <w:rPr>
                <w:rFonts w:eastAsia="Times New Roman"/>
                <w:sz w:val="24"/>
                <w:szCs w:val="24"/>
                <w:lang w:val="en-IN"/>
              </w:rPr>
            </w:pPr>
          </w:p>
        </w:tc>
        <w:tc>
          <w:tcPr>
            <w:tcW w:w="568" w:type="pct"/>
            <w:tcBorders>
              <w:top w:val="nil"/>
              <w:left w:val="nil"/>
              <w:bottom w:val="nil"/>
              <w:right w:val="nil"/>
            </w:tcBorders>
            <w:noWrap/>
            <w:vAlign w:val="center"/>
            <w:hideMark/>
          </w:tcPr>
          <w:p w14:paraId="231418BD" w14:textId="77777777" w:rsidR="00C853B2" w:rsidRPr="008266F3" w:rsidRDefault="00C853B2">
            <w:pPr>
              <w:spacing w:line="360" w:lineRule="auto"/>
              <w:jc w:val="center"/>
              <w:rPr>
                <w:rFonts w:eastAsia="Times New Roman"/>
                <w:sz w:val="24"/>
                <w:szCs w:val="24"/>
                <w:lang w:val="en-IN"/>
              </w:rPr>
            </w:pPr>
          </w:p>
        </w:tc>
        <w:tc>
          <w:tcPr>
            <w:tcW w:w="568" w:type="pct"/>
            <w:tcBorders>
              <w:top w:val="nil"/>
              <w:left w:val="nil"/>
              <w:bottom w:val="nil"/>
              <w:right w:val="nil"/>
            </w:tcBorders>
            <w:noWrap/>
            <w:vAlign w:val="center"/>
            <w:hideMark/>
          </w:tcPr>
          <w:p w14:paraId="33D9D691" w14:textId="77777777" w:rsidR="00C853B2" w:rsidRPr="008266F3" w:rsidRDefault="00C853B2">
            <w:pPr>
              <w:spacing w:line="360" w:lineRule="auto"/>
              <w:jc w:val="center"/>
              <w:rPr>
                <w:rFonts w:eastAsia="Times New Roman"/>
                <w:sz w:val="24"/>
                <w:szCs w:val="24"/>
                <w:lang w:val="en-IN"/>
              </w:rPr>
            </w:pPr>
          </w:p>
          <w:p w14:paraId="4759D58B" w14:textId="77777777" w:rsidR="00604F89" w:rsidRPr="008266F3" w:rsidRDefault="00604F89">
            <w:pPr>
              <w:spacing w:line="360" w:lineRule="auto"/>
              <w:jc w:val="center"/>
              <w:rPr>
                <w:rFonts w:eastAsia="Times New Roman"/>
                <w:sz w:val="24"/>
                <w:szCs w:val="24"/>
                <w:lang w:val="en-IN"/>
              </w:rPr>
            </w:pPr>
          </w:p>
          <w:p w14:paraId="3B8E09E9" w14:textId="77777777" w:rsidR="00604F89" w:rsidRPr="008266F3" w:rsidRDefault="00604F89">
            <w:pPr>
              <w:spacing w:line="360" w:lineRule="auto"/>
              <w:jc w:val="center"/>
              <w:rPr>
                <w:rFonts w:eastAsia="Times New Roman"/>
                <w:sz w:val="24"/>
                <w:szCs w:val="24"/>
                <w:lang w:val="en-IN"/>
              </w:rPr>
            </w:pPr>
          </w:p>
          <w:p w14:paraId="691D6752" w14:textId="77777777" w:rsidR="00604F89" w:rsidRPr="008266F3" w:rsidRDefault="00604F89">
            <w:pPr>
              <w:spacing w:line="360" w:lineRule="auto"/>
              <w:jc w:val="center"/>
              <w:rPr>
                <w:rFonts w:eastAsia="Times New Roman"/>
                <w:sz w:val="24"/>
                <w:szCs w:val="24"/>
                <w:lang w:val="en-IN"/>
              </w:rPr>
            </w:pPr>
          </w:p>
          <w:p w14:paraId="4687F1EA" w14:textId="77777777" w:rsidR="00604F89" w:rsidRPr="008266F3" w:rsidRDefault="00604F89">
            <w:pPr>
              <w:spacing w:line="360" w:lineRule="auto"/>
              <w:jc w:val="center"/>
              <w:rPr>
                <w:rFonts w:eastAsia="Times New Roman"/>
                <w:sz w:val="24"/>
                <w:szCs w:val="24"/>
                <w:lang w:val="en-IN"/>
              </w:rPr>
            </w:pPr>
          </w:p>
          <w:p w14:paraId="27EBAF9F" w14:textId="77777777" w:rsidR="00604F89" w:rsidRPr="008266F3" w:rsidRDefault="00604F89">
            <w:pPr>
              <w:spacing w:line="360" w:lineRule="auto"/>
              <w:jc w:val="center"/>
              <w:rPr>
                <w:rFonts w:eastAsia="Times New Roman"/>
                <w:sz w:val="24"/>
                <w:szCs w:val="24"/>
                <w:lang w:val="en-IN"/>
              </w:rPr>
            </w:pPr>
          </w:p>
          <w:p w14:paraId="517E2FF6" w14:textId="77777777" w:rsidR="00604F89" w:rsidRPr="008266F3" w:rsidRDefault="00604F89">
            <w:pPr>
              <w:spacing w:line="360" w:lineRule="auto"/>
              <w:jc w:val="center"/>
              <w:rPr>
                <w:rFonts w:eastAsia="Times New Roman"/>
                <w:sz w:val="24"/>
                <w:szCs w:val="24"/>
                <w:lang w:val="en-IN"/>
              </w:rPr>
            </w:pPr>
          </w:p>
          <w:p w14:paraId="5505CA0C" w14:textId="77777777" w:rsidR="00604F89" w:rsidRPr="008266F3" w:rsidRDefault="00604F89">
            <w:pPr>
              <w:spacing w:line="360" w:lineRule="auto"/>
              <w:jc w:val="center"/>
              <w:rPr>
                <w:rFonts w:eastAsia="Times New Roman"/>
                <w:sz w:val="24"/>
                <w:szCs w:val="24"/>
                <w:lang w:val="en-IN"/>
              </w:rPr>
            </w:pPr>
          </w:p>
        </w:tc>
      </w:tr>
      <w:tr w:rsidR="00C853B2" w:rsidRPr="008266F3" w14:paraId="63141A86" w14:textId="77777777">
        <w:trPr>
          <w:trHeight w:val="312"/>
        </w:trPr>
        <w:tc>
          <w:tcPr>
            <w:tcW w:w="5000" w:type="pct"/>
            <w:gridSpan w:val="8"/>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5D8F71F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lastRenderedPageBreak/>
              <w:t>Gearing Ratios</w:t>
            </w:r>
          </w:p>
        </w:tc>
      </w:tr>
      <w:tr w:rsidR="00C853B2" w:rsidRPr="008266F3" w14:paraId="0B63BE4E" w14:textId="77777777">
        <w:trPr>
          <w:trHeight w:val="636"/>
        </w:trPr>
        <w:tc>
          <w:tcPr>
            <w:tcW w:w="1190" w:type="pct"/>
            <w:tcBorders>
              <w:top w:val="nil"/>
              <w:left w:val="single" w:sz="4" w:space="0" w:color="auto"/>
              <w:bottom w:val="single" w:sz="4" w:space="0" w:color="auto"/>
              <w:right w:val="single" w:sz="4" w:space="0" w:color="auto"/>
            </w:tcBorders>
            <w:shd w:val="clear" w:color="000000" w:fill="FCE4D6"/>
            <w:noWrap/>
            <w:vAlign w:val="center"/>
            <w:hideMark/>
          </w:tcPr>
          <w:p w14:paraId="154A61F2"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Particulars</w:t>
            </w:r>
          </w:p>
        </w:tc>
        <w:tc>
          <w:tcPr>
            <w:tcW w:w="297" w:type="pct"/>
            <w:tcBorders>
              <w:top w:val="nil"/>
              <w:left w:val="nil"/>
              <w:bottom w:val="single" w:sz="4" w:space="0" w:color="auto"/>
              <w:right w:val="single" w:sz="4" w:space="0" w:color="auto"/>
            </w:tcBorders>
            <w:shd w:val="clear" w:color="000000" w:fill="FCE4D6"/>
            <w:noWrap/>
            <w:vAlign w:val="center"/>
            <w:hideMark/>
          </w:tcPr>
          <w:p w14:paraId="619C3D8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Details</w:t>
            </w:r>
          </w:p>
        </w:tc>
        <w:tc>
          <w:tcPr>
            <w:tcW w:w="686" w:type="pct"/>
            <w:tcBorders>
              <w:top w:val="nil"/>
              <w:left w:val="nil"/>
              <w:bottom w:val="single" w:sz="4" w:space="0" w:color="auto"/>
              <w:right w:val="single" w:sz="4" w:space="0" w:color="auto"/>
            </w:tcBorders>
            <w:shd w:val="clear" w:color="000000" w:fill="FCE4D6"/>
            <w:noWrap/>
            <w:vAlign w:val="center"/>
            <w:hideMark/>
          </w:tcPr>
          <w:p w14:paraId="41F1623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Formula </w:t>
            </w:r>
          </w:p>
        </w:tc>
        <w:tc>
          <w:tcPr>
            <w:tcW w:w="561" w:type="pct"/>
            <w:tcBorders>
              <w:top w:val="nil"/>
              <w:left w:val="nil"/>
              <w:bottom w:val="single" w:sz="4" w:space="0" w:color="auto"/>
              <w:right w:val="single" w:sz="4" w:space="0" w:color="auto"/>
            </w:tcBorders>
            <w:shd w:val="clear" w:color="000000" w:fill="FCE4D6"/>
            <w:vAlign w:val="center"/>
            <w:hideMark/>
          </w:tcPr>
          <w:p w14:paraId="6451FA0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2021</w:t>
            </w:r>
          </w:p>
        </w:tc>
        <w:tc>
          <w:tcPr>
            <w:tcW w:w="561" w:type="pct"/>
            <w:tcBorders>
              <w:top w:val="nil"/>
              <w:left w:val="nil"/>
              <w:bottom w:val="single" w:sz="4" w:space="0" w:color="auto"/>
              <w:right w:val="single" w:sz="4" w:space="0" w:color="auto"/>
            </w:tcBorders>
            <w:shd w:val="clear" w:color="000000" w:fill="FCE4D6"/>
            <w:vAlign w:val="center"/>
            <w:hideMark/>
          </w:tcPr>
          <w:p w14:paraId="37F29A4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2022</w:t>
            </w:r>
          </w:p>
        </w:tc>
        <w:tc>
          <w:tcPr>
            <w:tcW w:w="568" w:type="pct"/>
            <w:tcBorders>
              <w:top w:val="nil"/>
              <w:left w:val="nil"/>
              <w:bottom w:val="single" w:sz="4" w:space="0" w:color="auto"/>
              <w:right w:val="single" w:sz="4" w:space="0" w:color="auto"/>
            </w:tcBorders>
            <w:shd w:val="clear" w:color="000000" w:fill="FCE4D6"/>
            <w:vAlign w:val="center"/>
            <w:hideMark/>
          </w:tcPr>
          <w:p w14:paraId="7115F35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2023</w:t>
            </w:r>
          </w:p>
        </w:tc>
        <w:tc>
          <w:tcPr>
            <w:tcW w:w="568" w:type="pct"/>
            <w:tcBorders>
              <w:top w:val="nil"/>
              <w:left w:val="nil"/>
              <w:bottom w:val="single" w:sz="4" w:space="0" w:color="auto"/>
              <w:right w:val="single" w:sz="4" w:space="0" w:color="auto"/>
            </w:tcBorders>
            <w:shd w:val="clear" w:color="000000" w:fill="FCE4D6"/>
            <w:vAlign w:val="center"/>
            <w:hideMark/>
          </w:tcPr>
          <w:p w14:paraId="7225C82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2024</w:t>
            </w:r>
          </w:p>
        </w:tc>
        <w:tc>
          <w:tcPr>
            <w:tcW w:w="568" w:type="pct"/>
            <w:tcBorders>
              <w:top w:val="nil"/>
              <w:left w:val="nil"/>
              <w:bottom w:val="single" w:sz="4" w:space="0" w:color="auto"/>
              <w:right w:val="single" w:sz="4" w:space="0" w:color="auto"/>
            </w:tcBorders>
            <w:shd w:val="clear" w:color="000000" w:fill="FCE4D6"/>
            <w:vAlign w:val="center"/>
            <w:hideMark/>
          </w:tcPr>
          <w:p w14:paraId="2E7CF8D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2025</w:t>
            </w:r>
          </w:p>
        </w:tc>
      </w:tr>
      <w:tr w:rsidR="00C853B2" w:rsidRPr="008266F3" w14:paraId="254624BA" w14:textId="77777777">
        <w:trPr>
          <w:trHeight w:val="324"/>
        </w:trPr>
        <w:tc>
          <w:tcPr>
            <w:tcW w:w="1190" w:type="pct"/>
            <w:tcBorders>
              <w:top w:val="nil"/>
              <w:left w:val="single" w:sz="4" w:space="0" w:color="auto"/>
              <w:bottom w:val="single" w:sz="4" w:space="0" w:color="auto"/>
              <w:right w:val="single" w:sz="4" w:space="0" w:color="auto"/>
            </w:tcBorders>
            <w:noWrap/>
            <w:vAlign w:val="center"/>
            <w:hideMark/>
          </w:tcPr>
          <w:p w14:paraId="0C887A86"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Total Liabilities </w:t>
            </w:r>
          </w:p>
        </w:tc>
        <w:tc>
          <w:tcPr>
            <w:tcW w:w="297" w:type="pct"/>
            <w:tcBorders>
              <w:top w:val="nil"/>
              <w:left w:val="nil"/>
              <w:bottom w:val="single" w:sz="4" w:space="0" w:color="auto"/>
              <w:right w:val="single" w:sz="4" w:space="0" w:color="auto"/>
            </w:tcBorders>
            <w:noWrap/>
            <w:vAlign w:val="center"/>
            <w:hideMark/>
          </w:tcPr>
          <w:p w14:paraId="6AD12564"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A</w:t>
            </w:r>
          </w:p>
        </w:tc>
        <w:tc>
          <w:tcPr>
            <w:tcW w:w="686" w:type="pct"/>
            <w:tcBorders>
              <w:top w:val="nil"/>
              <w:left w:val="nil"/>
              <w:bottom w:val="single" w:sz="4" w:space="0" w:color="auto"/>
              <w:right w:val="single" w:sz="4" w:space="0" w:color="auto"/>
            </w:tcBorders>
            <w:noWrap/>
            <w:vAlign w:val="center"/>
            <w:hideMark/>
          </w:tcPr>
          <w:p w14:paraId="74946ECD"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single" w:sz="8" w:space="0" w:color="000000"/>
              <w:left w:val="single" w:sz="8" w:space="0" w:color="000000"/>
              <w:bottom w:val="single" w:sz="8" w:space="0" w:color="000000"/>
              <w:right w:val="single" w:sz="8" w:space="0" w:color="000000"/>
            </w:tcBorders>
            <w:vAlign w:val="center"/>
            <w:hideMark/>
          </w:tcPr>
          <w:p w14:paraId="7D6BA9E0"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24,139 </w:t>
            </w:r>
          </w:p>
        </w:tc>
        <w:tc>
          <w:tcPr>
            <w:tcW w:w="561" w:type="pct"/>
            <w:tcBorders>
              <w:top w:val="nil"/>
              <w:left w:val="nil"/>
              <w:bottom w:val="single" w:sz="8" w:space="0" w:color="000000"/>
              <w:right w:val="single" w:sz="8" w:space="0" w:color="000000"/>
            </w:tcBorders>
            <w:noWrap/>
            <w:vAlign w:val="center"/>
            <w:hideMark/>
          </w:tcPr>
          <w:p w14:paraId="2660FCE0"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24,247 </w:t>
            </w:r>
          </w:p>
        </w:tc>
        <w:tc>
          <w:tcPr>
            <w:tcW w:w="568" w:type="pct"/>
            <w:tcBorders>
              <w:top w:val="nil"/>
              <w:left w:val="nil"/>
              <w:bottom w:val="single" w:sz="8" w:space="0" w:color="000000"/>
              <w:right w:val="single" w:sz="8" w:space="0" w:color="000000"/>
            </w:tcBorders>
            <w:noWrap/>
            <w:vAlign w:val="center"/>
            <w:hideMark/>
          </w:tcPr>
          <w:p w14:paraId="71D1D2A5"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26,356 </w:t>
            </w:r>
          </w:p>
        </w:tc>
        <w:tc>
          <w:tcPr>
            <w:tcW w:w="568" w:type="pct"/>
            <w:tcBorders>
              <w:top w:val="nil"/>
              <w:left w:val="nil"/>
              <w:bottom w:val="single" w:sz="8" w:space="0" w:color="000000"/>
              <w:right w:val="single" w:sz="8" w:space="0" w:color="000000"/>
            </w:tcBorders>
            <w:noWrap/>
            <w:vAlign w:val="center"/>
            <w:hideMark/>
          </w:tcPr>
          <w:p w14:paraId="198B09C4"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29,174 </w:t>
            </w:r>
          </w:p>
        </w:tc>
        <w:tc>
          <w:tcPr>
            <w:tcW w:w="568" w:type="pct"/>
            <w:tcBorders>
              <w:top w:val="nil"/>
              <w:left w:val="nil"/>
              <w:bottom w:val="single" w:sz="8" w:space="0" w:color="000000"/>
              <w:right w:val="single" w:sz="8" w:space="0" w:color="000000"/>
            </w:tcBorders>
            <w:noWrap/>
            <w:vAlign w:val="center"/>
            <w:hideMark/>
          </w:tcPr>
          <w:p w14:paraId="0602676B"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31,311 </w:t>
            </w:r>
          </w:p>
        </w:tc>
      </w:tr>
      <w:tr w:rsidR="00C853B2" w:rsidRPr="008266F3" w14:paraId="26426E7F" w14:textId="77777777">
        <w:trPr>
          <w:trHeight w:val="324"/>
        </w:trPr>
        <w:tc>
          <w:tcPr>
            <w:tcW w:w="1190" w:type="pct"/>
            <w:tcBorders>
              <w:top w:val="nil"/>
              <w:left w:val="single" w:sz="4" w:space="0" w:color="auto"/>
              <w:bottom w:val="single" w:sz="4" w:space="0" w:color="auto"/>
              <w:right w:val="single" w:sz="4" w:space="0" w:color="auto"/>
            </w:tcBorders>
            <w:noWrap/>
            <w:vAlign w:val="center"/>
            <w:hideMark/>
          </w:tcPr>
          <w:p w14:paraId="0EFBB789"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Total Equity </w:t>
            </w:r>
          </w:p>
        </w:tc>
        <w:tc>
          <w:tcPr>
            <w:tcW w:w="297" w:type="pct"/>
            <w:tcBorders>
              <w:top w:val="nil"/>
              <w:left w:val="nil"/>
              <w:bottom w:val="single" w:sz="4" w:space="0" w:color="auto"/>
              <w:right w:val="single" w:sz="4" w:space="0" w:color="auto"/>
            </w:tcBorders>
            <w:noWrap/>
            <w:vAlign w:val="center"/>
            <w:hideMark/>
          </w:tcPr>
          <w:p w14:paraId="69BCAC94"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B</w:t>
            </w:r>
          </w:p>
        </w:tc>
        <w:tc>
          <w:tcPr>
            <w:tcW w:w="686" w:type="pct"/>
            <w:tcBorders>
              <w:top w:val="nil"/>
              <w:left w:val="nil"/>
              <w:bottom w:val="single" w:sz="4" w:space="0" w:color="auto"/>
              <w:right w:val="single" w:sz="4" w:space="0" w:color="auto"/>
            </w:tcBorders>
            <w:noWrap/>
            <w:vAlign w:val="center"/>
            <w:hideMark/>
          </w:tcPr>
          <w:p w14:paraId="0635913F"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single" w:sz="8" w:space="0" w:color="000000"/>
              <w:bottom w:val="single" w:sz="8" w:space="0" w:color="000000"/>
              <w:right w:val="single" w:sz="8" w:space="0" w:color="000000"/>
            </w:tcBorders>
            <w:vAlign w:val="center"/>
            <w:hideMark/>
          </w:tcPr>
          <w:p w14:paraId="5011CB71"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1,414 </w:t>
            </w:r>
          </w:p>
        </w:tc>
        <w:tc>
          <w:tcPr>
            <w:tcW w:w="561" w:type="pct"/>
            <w:tcBorders>
              <w:top w:val="nil"/>
              <w:left w:val="nil"/>
              <w:bottom w:val="single" w:sz="8" w:space="0" w:color="000000"/>
              <w:right w:val="single" w:sz="8" w:space="0" w:color="000000"/>
            </w:tcBorders>
            <w:noWrap/>
            <w:vAlign w:val="center"/>
            <w:hideMark/>
          </w:tcPr>
          <w:p w14:paraId="55B698AC"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568 </w:t>
            </w:r>
          </w:p>
        </w:tc>
        <w:tc>
          <w:tcPr>
            <w:tcW w:w="568" w:type="pct"/>
            <w:tcBorders>
              <w:top w:val="nil"/>
              <w:left w:val="nil"/>
              <w:bottom w:val="single" w:sz="8" w:space="0" w:color="000000"/>
              <w:right w:val="single" w:sz="8" w:space="0" w:color="000000"/>
            </w:tcBorders>
            <w:noWrap/>
            <w:vAlign w:val="center"/>
            <w:hideMark/>
          </w:tcPr>
          <w:p w14:paraId="590BEA88"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-682 </w:t>
            </w:r>
          </w:p>
        </w:tc>
        <w:tc>
          <w:tcPr>
            <w:tcW w:w="568" w:type="pct"/>
            <w:tcBorders>
              <w:top w:val="nil"/>
              <w:left w:val="nil"/>
              <w:bottom w:val="single" w:sz="8" w:space="0" w:color="000000"/>
              <w:right w:val="single" w:sz="8" w:space="0" w:color="000000"/>
            </w:tcBorders>
            <w:noWrap/>
            <w:vAlign w:val="center"/>
            <w:hideMark/>
          </w:tcPr>
          <w:p w14:paraId="39313A66"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-2,992 </w:t>
            </w:r>
          </w:p>
        </w:tc>
        <w:tc>
          <w:tcPr>
            <w:tcW w:w="568" w:type="pct"/>
            <w:tcBorders>
              <w:top w:val="nil"/>
              <w:left w:val="nil"/>
              <w:bottom w:val="single" w:sz="8" w:space="0" w:color="000000"/>
              <w:right w:val="single" w:sz="8" w:space="0" w:color="000000"/>
            </w:tcBorders>
            <w:noWrap/>
            <w:vAlign w:val="center"/>
            <w:hideMark/>
          </w:tcPr>
          <w:p w14:paraId="309A3079"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-3,771 </w:t>
            </w:r>
          </w:p>
        </w:tc>
      </w:tr>
      <w:tr w:rsidR="00C853B2" w:rsidRPr="008266F3" w14:paraId="3E3AD867" w14:textId="77777777">
        <w:trPr>
          <w:trHeight w:val="324"/>
        </w:trPr>
        <w:tc>
          <w:tcPr>
            <w:tcW w:w="1190" w:type="pct"/>
            <w:tcBorders>
              <w:top w:val="nil"/>
              <w:left w:val="single" w:sz="4" w:space="0" w:color="auto"/>
              <w:bottom w:val="single" w:sz="4" w:space="0" w:color="auto"/>
              <w:right w:val="single" w:sz="4" w:space="0" w:color="auto"/>
            </w:tcBorders>
            <w:noWrap/>
            <w:vAlign w:val="center"/>
            <w:hideMark/>
          </w:tcPr>
          <w:p w14:paraId="5D95BE20"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Operating Income</w:t>
            </w:r>
          </w:p>
        </w:tc>
        <w:tc>
          <w:tcPr>
            <w:tcW w:w="297" w:type="pct"/>
            <w:tcBorders>
              <w:top w:val="nil"/>
              <w:left w:val="nil"/>
              <w:bottom w:val="single" w:sz="4" w:space="0" w:color="auto"/>
              <w:right w:val="single" w:sz="4" w:space="0" w:color="auto"/>
            </w:tcBorders>
            <w:noWrap/>
            <w:vAlign w:val="center"/>
            <w:hideMark/>
          </w:tcPr>
          <w:p w14:paraId="54ABB01C"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C</w:t>
            </w:r>
          </w:p>
        </w:tc>
        <w:tc>
          <w:tcPr>
            <w:tcW w:w="686" w:type="pct"/>
            <w:tcBorders>
              <w:top w:val="nil"/>
              <w:left w:val="nil"/>
              <w:bottom w:val="single" w:sz="4" w:space="0" w:color="auto"/>
              <w:right w:val="single" w:sz="4" w:space="0" w:color="auto"/>
            </w:tcBorders>
            <w:noWrap/>
            <w:vAlign w:val="center"/>
            <w:hideMark/>
          </w:tcPr>
          <w:p w14:paraId="598FFDE2"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single" w:sz="4" w:space="0" w:color="auto"/>
              <w:left w:val="nil"/>
              <w:bottom w:val="single" w:sz="4" w:space="0" w:color="auto"/>
              <w:right w:val="single" w:sz="4" w:space="0" w:color="auto"/>
            </w:tcBorders>
            <w:noWrap/>
            <w:vAlign w:val="center"/>
            <w:hideMark/>
          </w:tcPr>
          <w:p w14:paraId="040BAD88"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 $             1,750 </w:t>
            </w:r>
          </w:p>
        </w:tc>
        <w:tc>
          <w:tcPr>
            <w:tcW w:w="561" w:type="pct"/>
            <w:tcBorders>
              <w:top w:val="single" w:sz="4" w:space="0" w:color="auto"/>
              <w:left w:val="nil"/>
              <w:bottom w:val="single" w:sz="4" w:space="0" w:color="auto"/>
              <w:right w:val="single" w:sz="4" w:space="0" w:color="auto"/>
            </w:tcBorders>
            <w:noWrap/>
            <w:vAlign w:val="center"/>
            <w:hideMark/>
          </w:tcPr>
          <w:p w14:paraId="4F0CF97F"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 $             3,462 </w:t>
            </w:r>
          </w:p>
        </w:tc>
        <w:tc>
          <w:tcPr>
            <w:tcW w:w="568" w:type="pct"/>
            <w:tcBorders>
              <w:top w:val="single" w:sz="4" w:space="0" w:color="auto"/>
              <w:left w:val="nil"/>
              <w:bottom w:val="single" w:sz="4" w:space="0" w:color="auto"/>
              <w:right w:val="single" w:sz="4" w:space="0" w:color="auto"/>
            </w:tcBorders>
            <w:noWrap/>
            <w:vAlign w:val="center"/>
            <w:hideMark/>
          </w:tcPr>
          <w:p w14:paraId="3FCC54BA"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 $             3,864 </w:t>
            </w:r>
          </w:p>
        </w:tc>
        <w:tc>
          <w:tcPr>
            <w:tcW w:w="568" w:type="pct"/>
            <w:tcBorders>
              <w:top w:val="single" w:sz="4" w:space="0" w:color="auto"/>
              <w:left w:val="nil"/>
              <w:bottom w:val="single" w:sz="4" w:space="0" w:color="auto"/>
              <w:right w:val="single" w:sz="4" w:space="0" w:color="auto"/>
            </w:tcBorders>
            <w:noWrap/>
            <w:vAlign w:val="center"/>
            <w:hideMark/>
          </w:tcPr>
          <w:p w14:paraId="1CDB4A60"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 $             3,767 </w:t>
            </w:r>
          </w:p>
        </w:tc>
        <w:tc>
          <w:tcPr>
            <w:tcW w:w="568" w:type="pct"/>
            <w:tcBorders>
              <w:top w:val="single" w:sz="4" w:space="0" w:color="auto"/>
              <w:left w:val="nil"/>
              <w:bottom w:val="single" w:sz="4" w:space="0" w:color="auto"/>
              <w:right w:val="single" w:sz="4" w:space="0" w:color="auto"/>
            </w:tcBorders>
            <w:noWrap/>
            <w:vAlign w:val="center"/>
            <w:hideMark/>
          </w:tcPr>
          <w:p w14:paraId="23C10072"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 $             4,141 </w:t>
            </w:r>
          </w:p>
        </w:tc>
      </w:tr>
      <w:tr w:rsidR="00C853B2" w:rsidRPr="008266F3" w14:paraId="07A0226B" w14:textId="77777777">
        <w:trPr>
          <w:trHeight w:val="324"/>
        </w:trPr>
        <w:tc>
          <w:tcPr>
            <w:tcW w:w="1190" w:type="pct"/>
            <w:tcBorders>
              <w:top w:val="nil"/>
              <w:left w:val="single" w:sz="4" w:space="0" w:color="auto"/>
              <w:bottom w:val="single" w:sz="4" w:space="0" w:color="auto"/>
              <w:right w:val="single" w:sz="4" w:space="0" w:color="auto"/>
            </w:tcBorders>
            <w:noWrap/>
            <w:vAlign w:val="center"/>
            <w:hideMark/>
          </w:tcPr>
          <w:p w14:paraId="728CA9BA"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Interest Expenses</w:t>
            </w:r>
          </w:p>
        </w:tc>
        <w:tc>
          <w:tcPr>
            <w:tcW w:w="297" w:type="pct"/>
            <w:tcBorders>
              <w:top w:val="nil"/>
              <w:left w:val="nil"/>
              <w:bottom w:val="single" w:sz="4" w:space="0" w:color="auto"/>
              <w:right w:val="single" w:sz="4" w:space="0" w:color="auto"/>
            </w:tcBorders>
            <w:noWrap/>
            <w:vAlign w:val="center"/>
            <w:hideMark/>
          </w:tcPr>
          <w:p w14:paraId="19583B42"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D</w:t>
            </w:r>
          </w:p>
        </w:tc>
        <w:tc>
          <w:tcPr>
            <w:tcW w:w="686" w:type="pct"/>
            <w:tcBorders>
              <w:top w:val="nil"/>
              <w:left w:val="nil"/>
              <w:bottom w:val="single" w:sz="4" w:space="0" w:color="auto"/>
              <w:right w:val="single" w:sz="4" w:space="0" w:color="auto"/>
            </w:tcBorders>
            <w:noWrap/>
            <w:vAlign w:val="center"/>
            <w:hideMark/>
          </w:tcPr>
          <w:p w14:paraId="68E62206"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single" w:sz="8" w:space="0" w:color="000000"/>
              <w:left w:val="single" w:sz="8" w:space="0" w:color="000000"/>
              <w:bottom w:val="single" w:sz="8" w:space="0" w:color="000000"/>
              <w:right w:val="single" w:sz="8" w:space="0" w:color="000000"/>
            </w:tcBorders>
            <w:vAlign w:val="center"/>
            <w:hideMark/>
          </w:tcPr>
          <w:p w14:paraId="5FB43238"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420 </w:t>
            </w:r>
          </w:p>
        </w:tc>
        <w:tc>
          <w:tcPr>
            <w:tcW w:w="561" w:type="pct"/>
            <w:tcBorders>
              <w:top w:val="single" w:sz="8" w:space="0" w:color="000000"/>
              <w:left w:val="nil"/>
              <w:bottom w:val="single" w:sz="8" w:space="0" w:color="000000"/>
              <w:right w:val="single" w:sz="8" w:space="0" w:color="000000"/>
            </w:tcBorders>
            <w:vAlign w:val="center"/>
            <w:hideMark/>
          </w:tcPr>
          <w:p w14:paraId="1EF779B8"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403 </w:t>
            </w:r>
          </w:p>
        </w:tc>
        <w:tc>
          <w:tcPr>
            <w:tcW w:w="568" w:type="pct"/>
            <w:tcBorders>
              <w:top w:val="single" w:sz="8" w:space="0" w:color="000000"/>
              <w:left w:val="nil"/>
              <w:bottom w:val="single" w:sz="8" w:space="0" w:color="000000"/>
              <w:right w:val="single" w:sz="8" w:space="0" w:color="000000"/>
            </w:tcBorders>
            <w:vAlign w:val="center"/>
            <w:hideMark/>
          </w:tcPr>
          <w:p w14:paraId="1705467D"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565 </w:t>
            </w:r>
          </w:p>
        </w:tc>
        <w:tc>
          <w:tcPr>
            <w:tcW w:w="568" w:type="pct"/>
            <w:tcBorders>
              <w:top w:val="single" w:sz="8" w:space="0" w:color="000000"/>
              <w:left w:val="nil"/>
              <w:bottom w:val="single" w:sz="8" w:space="0" w:color="000000"/>
              <w:right w:val="single" w:sz="8" w:space="0" w:color="000000"/>
            </w:tcBorders>
            <w:vAlign w:val="center"/>
            <w:hideMark/>
          </w:tcPr>
          <w:p w14:paraId="406DD731"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695 </w:t>
            </w:r>
          </w:p>
        </w:tc>
        <w:tc>
          <w:tcPr>
            <w:tcW w:w="568" w:type="pct"/>
            <w:tcBorders>
              <w:top w:val="single" w:sz="8" w:space="0" w:color="000000"/>
              <w:left w:val="nil"/>
              <w:bottom w:val="single" w:sz="8" w:space="0" w:color="000000"/>
              <w:right w:val="single" w:sz="8" w:space="0" w:color="000000"/>
            </w:tcBorders>
            <w:vAlign w:val="center"/>
            <w:hideMark/>
          </w:tcPr>
          <w:p w14:paraId="50E54BF7"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809 </w:t>
            </w:r>
          </w:p>
        </w:tc>
      </w:tr>
      <w:tr w:rsidR="00C853B2" w:rsidRPr="008266F3" w14:paraId="15A21C6B" w14:textId="77777777">
        <w:trPr>
          <w:trHeight w:val="624"/>
        </w:trPr>
        <w:tc>
          <w:tcPr>
            <w:tcW w:w="1190" w:type="pct"/>
            <w:tcBorders>
              <w:top w:val="nil"/>
              <w:left w:val="single" w:sz="4" w:space="0" w:color="auto"/>
              <w:bottom w:val="single" w:sz="4" w:space="0" w:color="auto"/>
              <w:right w:val="single" w:sz="4" w:space="0" w:color="auto"/>
            </w:tcBorders>
            <w:shd w:val="clear" w:color="000000" w:fill="BDD7EE"/>
            <w:noWrap/>
            <w:vAlign w:val="center"/>
            <w:hideMark/>
          </w:tcPr>
          <w:p w14:paraId="255514A0"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Debt/Equity Ratio</w:t>
            </w:r>
          </w:p>
        </w:tc>
        <w:tc>
          <w:tcPr>
            <w:tcW w:w="297" w:type="pct"/>
            <w:tcBorders>
              <w:top w:val="nil"/>
              <w:left w:val="nil"/>
              <w:bottom w:val="single" w:sz="4" w:space="0" w:color="auto"/>
              <w:right w:val="single" w:sz="4" w:space="0" w:color="auto"/>
            </w:tcBorders>
            <w:shd w:val="clear" w:color="000000" w:fill="BDD7EE"/>
            <w:noWrap/>
            <w:vAlign w:val="center"/>
            <w:hideMark/>
          </w:tcPr>
          <w:p w14:paraId="4C0508F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A/B</w:t>
            </w:r>
          </w:p>
        </w:tc>
        <w:tc>
          <w:tcPr>
            <w:tcW w:w="686" w:type="pct"/>
            <w:tcBorders>
              <w:top w:val="nil"/>
              <w:left w:val="nil"/>
              <w:bottom w:val="single" w:sz="4" w:space="0" w:color="auto"/>
              <w:right w:val="single" w:sz="4" w:space="0" w:color="auto"/>
            </w:tcBorders>
            <w:shd w:val="clear" w:color="000000" w:fill="BDD7EE"/>
            <w:vAlign w:val="center"/>
            <w:hideMark/>
          </w:tcPr>
          <w:p w14:paraId="78364A4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(Total Liabilities / Equity)</w:t>
            </w:r>
          </w:p>
        </w:tc>
        <w:tc>
          <w:tcPr>
            <w:tcW w:w="561" w:type="pct"/>
            <w:tcBorders>
              <w:top w:val="single" w:sz="4" w:space="0" w:color="auto"/>
              <w:left w:val="nil"/>
              <w:bottom w:val="single" w:sz="4" w:space="0" w:color="auto"/>
              <w:right w:val="single" w:sz="4" w:space="0" w:color="auto"/>
            </w:tcBorders>
            <w:shd w:val="clear" w:color="000000" w:fill="BDD7EE"/>
            <w:noWrap/>
            <w:vAlign w:val="center"/>
            <w:hideMark/>
          </w:tcPr>
          <w:p w14:paraId="55CBFEA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17.07 </w:t>
            </w:r>
          </w:p>
        </w:tc>
        <w:tc>
          <w:tcPr>
            <w:tcW w:w="561" w:type="pct"/>
            <w:tcBorders>
              <w:top w:val="single" w:sz="4" w:space="0" w:color="auto"/>
              <w:left w:val="nil"/>
              <w:bottom w:val="single" w:sz="4" w:space="0" w:color="auto"/>
              <w:right w:val="single" w:sz="4" w:space="0" w:color="auto"/>
            </w:tcBorders>
            <w:shd w:val="clear" w:color="000000" w:fill="BDD7EE"/>
            <w:noWrap/>
            <w:vAlign w:val="center"/>
            <w:hideMark/>
          </w:tcPr>
          <w:p w14:paraId="0DF602F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42.69 </w:t>
            </w:r>
          </w:p>
        </w:tc>
        <w:tc>
          <w:tcPr>
            <w:tcW w:w="568" w:type="pct"/>
            <w:tcBorders>
              <w:top w:val="single" w:sz="4" w:space="0" w:color="auto"/>
              <w:left w:val="nil"/>
              <w:bottom w:val="single" w:sz="4" w:space="0" w:color="auto"/>
              <w:right w:val="single" w:sz="4" w:space="0" w:color="auto"/>
            </w:tcBorders>
            <w:shd w:val="clear" w:color="000000" w:fill="BDD7EE"/>
            <w:noWrap/>
            <w:vAlign w:val="center"/>
            <w:hideMark/>
          </w:tcPr>
          <w:p w14:paraId="31DBDE6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(38.65)</w:t>
            </w:r>
          </w:p>
        </w:tc>
        <w:tc>
          <w:tcPr>
            <w:tcW w:w="568" w:type="pct"/>
            <w:tcBorders>
              <w:top w:val="single" w:sz="4" w:space="0" w:color="auto"/>
              <w:left w:val="nil"/>
              <w:bottom w:val="single" w:sz="4" w:space="0" w:color="auto"/>
              <w:right w:val="single" w:sz="4" w:space="0" w:color="auto"/>
            </w:tcBorders>
            <w:shd w:val="clear" w:color="000000" w:fill="BDD7EE"/>
            <w:noWrap/>
            <w:vAlign w:val="center"/>
            <w:hideMark/>
          </w:tcPr>
          <w:p w14:paraId="5AF0AD46"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(9.75)</w:t>
            </w:r>
          </w:p>
        </w:tc>
        <w:tc>
          <w:tcPr>
            <w:tcW w:w="568" w:type="pct"/>
            <w:tcBorders>
              <w:top w:val="single" w:sz="4" w:space="0" w:color="auto"/>
              <w:left w:val="nil"/>
              <w:bottom w:val="single" w:sz="4" w:space="0" w:color="auto"/>
              <w:right w:val="single" w:sz="4" w:space="0" w:color="auto"/>
            </w:tcBorders>
            <w:shd w:val="clear" w:color="000000" w:fill="BDD7EE"/>
            <w:noWrap/>
            <w:vAlign w:val="center"/>
            <w:hideMark/>
          </w:tcPr>
          <w:p w14:paraId="5E3440AD"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(8.30)</w:t>
            </w:r>
          </w:p>
        </w:tc>
      </w:tr>
      <w:tr w:rsidR="00C853B2" w:rsidRPr="008266F3" w14:paraId="0EC1BA7C" w14:textId="77777777">
        <w:trPr>
          <w:trHeight w:val="624"/>
        </w:trPr>
        <w:tc>
          <w:tcPr>
            <w:tcW w:w="1190" w:type="pct"/>
            <w:tcBorders>
              <w:top w:val="nil"/>
              <w:left w:val="single" w:sz="4" w:space="0" w:color="auto"/>
              <w:bottom w:val="single" w:sz="4" w:space="0" w:color="auto"/>
              <w:right w:val="single" w:sz="4" w:space="0" w:color="auto"/>
            </w:tcBorders>
            <w:shd w:val="clear" w:color="000000" w:fill="BDD7EE"/>
            <w:noWrap/>
            <w:vAlign w:val="center"/>
            <w:hideMark/>
          </w:tcPr>
          <w:p w14:paraId="0728FA1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Interest Coverage Ratio</w:t>
            </w:r>
          </w:p>
        </w:tc>
        <w:tc>
          <w:tcPr>
            <w:tcW w:w="297" w:type="pct"/>
            <w:tcBorders>
              <w:top w:val="nil"/>
              <w:left w:val="nil"/>
              <w:bottom w:val="single" w:sz="4" w:space="0" w:color="auto"/>
              <w:right w:val="single" w:sz="4" w:space="0" w:color="auto"/>
            </w:tcBorders>
            <w:shd w:val="clear" w:color="000000" w:fill="BDD7EE"/>
            <w:noWrap/>
            <w:vAlign w:val="center"/>
            <w:hideMark/>
          </w:tcPr>
          <w:p w14:paraId="4A0FB15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C/D</w:t>
            </w:r>
          </w:p>
        </w:tc>
        <w:tc>
          <w:tcPr>
            <w:tcW w:w="686" w:type="pct"/>
            <w:tcBorders>
              <w:top w:val="nil"/>
              <w:left w:val="nil"/>
              <w:bottom w:val="single" w:sz="4" w:space="0" w:color="auto"/>
              <w:right w:val="single" w:sz="4" w:space="0" w:color="auto"/>
            </w:tcBorders>
            <w:shd w:val="clear" w:color="000000" w:fill="BDD7EE"/>
            <w:vAlign w:val="center"/>
            <w:hideMark/>
          </w:tcPr>
          <w:p w14:paraId="5713B7D7"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(Operating Income / Interest Expense)</w:t>
            </w:r>
          </w:p>
        </w:tc>
        <w:tc>
          <w:tcPr>
            <w:tcW w:w="561" w:type="pct"/>
            <w:tcBorders>
              <w:top w:val="nil"/>
              <w:left w:val="nil"/>
              <w:bottom w:val="single" w:sz="4" w:space="0" w:color="auto"/>
              <w:right w:val="single" w:sz="4" w:space="0" w:color="auto"/>
            </w:tcBorders>
            <w:shd w:val="clear" w:color="000000" w:fill="BDD7EE"/>
            <w:noWrap/>
            <w:vAlign w:val="center"/>
            <w:hideMark/>
          </w:tcPr>
          <w:p w14:paraId="2A808D6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4.17 </w:t>
            </w:r>
          </w:p>
        </w:tc>
        <w:tc>
          <w:tcPr>
            <w:tcW w:w="561" w:type="pct"/>
            <w:tcBorders>
              <w:top w:val="nil"/>
              <w:left w:val="nil"/>
              <w:bottom w:val="single" w:sz="4" w:space="0" w:color="auto"/>
              <w:right w:val="single" w:sz="4" w:space="0" w:color="auto"/>
            </w:tcBorders>
            <w:shd w:val="clear" w:color="000000" w:fill="BDD7EE"/>
            <w:noWrap/>
            <w:vAlign w:val="center"/>
            <w:hideMark/>
          </w:tcPr>
          <w:p w14:paraId="20BD30D0"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8.59 </w:t>
            </w:r>
          </w:p>
        </w:tc>
        <w:tc>
          <w:tcPr>
            <w:tcW w:w="568" w:type="pct"/>
            <w:tcBorders>
              <w:top w:val="nil"/>
              <w:left w:val="nil"/>
              <w:bottom w:val="single" w:sz="4" w:space="0" w:color="auto"/>
              <w:right w:val="single" w:sz="4" w:space="0" w:color="auto"/>
            </w:tcBorders>
            <w:shd w:val="clear" w:color="000000" w:fill="BDD7EE"/>
            <w:noWrap/>
            <w:vAlign w:val="center"/>
            <w:hideMark/>
          </w:tcPr>
          <w:p w14:paraId="15065C3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6.84 </w:t>
            </w:r>
          </w:p>
        </w:tc>
        <w:tc>
          <w:tcPr>
            <w:tcW w:w="568" w:type="pct"/>
            <w:tcBorders>
              <w:top w:val="nil"/>
              <w:left w:val="nil"/>
              <w:bottom w:val="single" w:sz="4" w:space="0" w:color="auto"/>
              <w:right w:val="single" w:sz="4" w:space="0" w:color="auto"/>
            </w:tcBorders>
            <w:shd w:val="clear" w:color="000000" w:fill="BDD7EE"/>
            <w:noWrap/>
            <w:vAlign w:val="center"/>
            <w:hideMark/>
          </w:tcPr>
          <w:p w14:paraId="300CED8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5.42 </w:t>
            </w:r>
          </w:p>
        </w:tc>
        <w:tc>
          <w:tcPr>
            <w:tcW w:w="568" w:type="pct"/>
            <w:tcBorders>
              <w:top w:val="nil"/>
              <w:left w:val="nil"/>
              <w:bottom w:val="single" w:sz="4" w:space="0" w:color="auto"/>
              <w:right w:val="single" w:sz="4" w:space="0" w:color="auto"/>
            </w:tcBorders>
            <w:shd w:val="clear" w:color="000000" w:fill="BDD7EE"/>
            <w:noWrap/>
            <w:vAlign w:val="center"/>
            <w:hideMark/>
          </w:tcPr>
          <w:p w14:paraId="7B01CA7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5.12 </w:t>
            </w:r>
          </w:p>
        </w:tc>
      </w:tr>
    </w:tbl>
    <w:p w14:paraId="391BECCE" w14:textId="77777777" w:rsidR="00C853B2" w:rsidRPr="008266F3" w:rsidRDefault="00C853B2">
      <w:pPr>
        <w:spacing w:line="360" w:lineRule="auto"/>
        <w:rPr>
          <w:b/>
          <w:bCs/>
          <w:sz w:val="24"/>
          <w:szCs w:val="24"/>
        </w:rPr>
      </w:pPr>
    </w:p>
    <w:p w14:paraId="166CBE64" w14:textId="77777777" w:rsidR="00604F89" w:rsidRPr="008266F3" w:rsidRDefault="00604F89">
      <w:pPr>
        <w:spacing w:line="360" w:lineRule="auto"/>
        <w:rPr>
          <w:b/>
          <w:bCs/>
          <w:sz w:val="24"/>
          <w:szCs w:val="24"/>
        </w:rPr>
      </w:pPr>
    </w:p>
    <w:p w14:paraId="35B8F310" w14:textId="77777777" w:rsidR="00604F89" w:rsidRPr="008266F3" w:rsidRDefault="00604F89">
      <w:pPr>
        <w:spacing w:line="360" w:lineRule="auto"/>
        <w:rPr>
          <w:b/>
          <w:bCs/>
          <w:sz w:val="24"/>
          <w:szCs w:val="24"/>
        </w:rPr>
      </w:pPr>
    </w:p>
    <w:p w14:paraId="357FF631" w14:textId="77777777" w:rsidR="00604F89" w:rsidRPr="008266F3" w:rsidRDefault="00604F89">
      <w:pPr>
        <w:spacing w:line="360" w:lineRule="auto"/>
        <w:rPr>
          <w:b/>
          <w:bCs/>
          <w:sz w:val="24"/>
          <w:szCs w:val="24"/>
        </w:rPr>
      </w:pPr>
    </w:p>
    <w:p w14:paraId="735069D6" w14:textId="77777777" w:rsidR="00604F89" w:rsidRPr="008266F3" w:rsidRDefault="00604F89">
      <w:pPr>
        <w:spacing w:line="360" w:lineRule="auto"/>
        <w:rPr>
          <w:b/>
          <w:bCs/>
          <w:sz w:val="24"/>
          <w:szCs w:val="24"/>
        </w:rPr>
      </w:pPr>
    </w:p>
    <w:p w14:paraId="676D8E4D" w14:textId="77777777" w:rsidR="00604F89" w:rsidRDefault="00604F89">
      <w:pPr>
        <w:spacing w:line="360" w:lineRule="auto"/>
        <w:rPr>
          <w:b/>
          <w:bCs/>
          <w:sz w:val="24"/>
          <w:szCs w:val="24"/>
        </w:rPr>
      </w:pPr>
    </w:p>
    <w:p w14:paraId="01BAD2E6" w14:textId="77777777" w:rsidR="0004785C" w:rsidRDefault="0004785C">
      <w:pPr>
        <w:spacing w:line="360" w:lineRule="auto"/>
        <w:rPr>
          <w:b/>
          <w:bCs/>
          <w:sz w:val="24"/>
          <w:szCs w:val="24"/>
        </w:rPr>
      </w:pPr>
    </w:p>
    <w:p w14:paraId="736AF8A5" w14:textId="77777777" w:rsidR="0004785C" w:rsidRDefault="0004785C">
      <w:pPr>
        <w:spacing w:line="360" w:lineRule="auto"/>
        <w:rPr>
          <w:b/>
          <w:bCs/>
          <w:sz w:val="24"/>
          <w:szCs w:val="24"/>
        </w:rPr>
      </w:pPr>
    </w:p>
    <w:p w14:paraId="3091B189" w14:textId="77777777" w:rsidR="0004785C" w:rsidRPr="008266F3" w:rsidRDefault="0004785C">
      <w:pPr>
        <w:spacing w:line="360" w:lineRule="auto"/>
        <w:rPr>
          <w:b/>
          <w:bCs/>
          <w:sz w:val="24"/>
          <w:szCs w:val="24"/>
        </w:rPr>
      </w:pPr>
    </w:p>
    <w:p w14:paraId="1C4F1E52" w14:textId="77777777" w:rsidR="00604F89" w:rsidRPr="008266F3" w:rsidRDefault="00604F89">
      <w:pPr>
        <w:spacing w:line="360" w:lineRule="auto"/>
        <w:rPr>
          <w:b/>
          <w:bCs/>
          <w:sz w:val="24"/>
          <w:szCs w:val="24"/>
        </w:rPr>
      </w:pPr>
    </w:p>
    <w:p w14:paraId="308CDBE4" w14:textId="77777777" w:rsidR="00604F89" w:rsidRPr="008266F3" w:rsidRDefault="00604F89">
      <w:pPr>
        <w:spacing w:line="360" w:lineRule="auto"/>
        <w:rPr>
          <w:b/>
          <w:bCs/>
          <w:sz w:val="24"/>
          <w:szCs w:val="24"/>
        </w:rPr>
      </w:pPr>
    </w:p>
    <w:tbl>
      <w:tblPr>
        <w:tblW w:w="5000" w:type="pct"/>
        <w:tblLook w:val="04A0" w:firstRow="1" w:lastRow="0" w:firstColumn="1" w:lastColumn="0" w:noHBand="0" w:noVBand="1"/>
      </w:tblPr>
      <w:tblGrid>
        <w:gridCol w:w="2164"/>
        <w:gridCol w:w="863"/>
        <w:gridCol w:w="1335"/>
        <w:gridCol w:w="1252"/>
        <w:gridCol w:w="1294"/>
        <w:gridCol w:w="1294"/>
        <w:gridCol w:w="1294"/>
        <w:gridCol w:w="1294"/>
      </w:tblGrid>
      <w:tr w:rsidR="00C853B2" w:rsidRPr="008266F3" w14:paraId="001EFB69" w14:textId="77777777">
        <w:trPr>
          <w:trHeight w:val="312"/>
        </w:trPr>
        <w:tc>
          <w:tcPr>
            <w:tcW w:w="5000" w:type="pct"/>
            <w:gridSpan w:val="8"/>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7F5878C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lastRenderedPageBreak/>
              <w:t>Efficiency Ratios</w:t>
            </w:r>
          </w:p>
        </w:tc>
      </w:tr>
      <w:tr w:rsidR="00C853B2" w:rsidRPr="008266F3" w14:paraId="54587F96" w14:textId="77777777">
        <w:trPr>
          <w:trHeight w:val="312"/>
        </w:trPr>
        <w:tc>
          <w:tcPr>
            <w:tcW w:w="1043" w:type="pct"/>
            <w:tcBorders>
              <w:top w:val="nil"/>
              <w:left w:val="single" w:sz="4" w:space="0" w:color="auto"/>
              <w:bottom w:val="single" w:sz="4" w:space="0" w:color="auto"/>
              <w:right w:val="single" w:sz="4" w:space="0" w:color="auto"/>
            </w:tcBorders>
            <w:shd w:val="clear" w:color="000000" w:fill="FCE4D6"/>
            <w:noWrap/>
            <w:vAlign w:val="center"/>
            <w:hideMark/>
          </w:tcPr>
          <w:p w14:paraId="3F9FA1C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Particulars</w:t>
            </w:r>
          </w:p>
        </w:tc>
        <w:tc>
          <w:tcPr>
            <w:tcW w:w="386" w:type="pct"/>
            <w:tcBorders>
              <w:top w:val="nil"/>
              <w:left w:val="nil"/>
              <w:bottom w:val="single" w:sz="4" w:space="0" w:color="auto"/>
              <w:right w:val="single" w:sz="4" w:space="0" w:color="auto"/>
            </w:tcBorders>
            <w:shd w:val="clear" w:color="000000" w:fill="FCE4D6"/>
            <w:noWrap/>
            <w:vAlign w:val="center"/>
            <w:hideMark/>
          </w:tcPr>
          <w:p w14:paraId="6A0DC600"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Details</w:t>
            </w:r>
          </w:p>
        </w:tc>
        <w:tc>
          <w:tcPr>
            <w:tcW w:w="650" w:type="pct"/>
            <w:tcBorders>
              <w:top w:val="nil"/>
              <w:left w:val="nil"/>
              <w:bottom w:val="single" w:sz="4" w:space="0" w:color="auto"/>
              <w:right w:val="single" w:sz="4" w:space="0" w:color="auto"/>
            </w:tcBorders>
            <w:shd w:val="clear" w:color="000000" w:fill="FCE4D6"/>
            <w:noWrap/>
            <w:vAlign w:val="center"/>
            <w:hideMark/>
          </w:tcPr>
          <w:p w14:paraId="2D71E882"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Formula </w:t>
            </w:r>
          </w:p>
        </w:tc>
        <w:tc>
          <w:tcPr>
            <w:tcW w:w="584" w:type="pct"/>
            <w:tcBorders>
              <w:top w:val="nil"/>
              <w:left w:val="nil"/>
              <w:bottom w:val="single" w:sz="4" w:space="0" w:color="auto"/>
              <w:right w:val="single" w:sz="4" w:space="0" w:color="auto"/>
            </w:tcBorders>
            <w:shd w:val="clear" w:color="000000" w:fill="FCE4D6"/>
            <w:vAlign w:val="center"/>
            <w:hideMark/>
          </w:tcPr>
          <w:p w14:paraId="05F19C6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2021</w:t>
            </w:r>
          </w:p>
        </w:tc>
        <w:tc>
          <w:tcPr>
            <w:tcW w:w="584" w:type="pct"/>
            <w:tcBorders>
              <w:top w:val="nil"/>
              <w:left w:val="nil"/>
              <w:bottom w:val="single" w:sz="4" w:space="0" w:color="auto"/>
              <w:right w:val="single" w:sz="4" w:space="0" w:color="auto"/>
            </w:tcBorders>
            <w:shd w:val="clear" w:color="000000" w:fill="FCE4D6"/>
            <w:vAlign w:val="center"/>
            <w:hideMark/>
          </w:tcPr>
          <w:p w14:paraId="2109880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2022</w:t>
            </w:r>
          </w:p>
        </w:tc>
        <w:tc>
          <w:tcPr>
            <w:tcW w:w="584" w:type="pct"/>
            <w:tcBorders>
              <w:top w:val="nil"/>
              <w:left w:val="nil"/>
              <w:bottom w:val="single" w:sz="4" w:space="0" w:color="auto"/>
              <w:right w:val="single" w:sz="4" w:space="0" w:color="auto"/>
            </w:tcBorders>
            <w:shd w:val="clear" w:color="000000" w:fill="FCE4D6"/>
            <w:vAlign w:val="center"/>
            <w:hideMark/>
          </w:tcPr>
          <w:p w14:paraId="05B3B336"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2023</w:t>
            </w:r>
          </w:p>
        </w:tc>
        <w:tc>
          <w:tcPr>
            <w:tcW w:w="584" w:type="pct"/>
            <w:tcBorders>
              <w:top w:val="nil"/>
              <w:left w:val="nil"/>
              <w:bottom w:val="single" w:sz="4" w:space="0" w:color="auto"/>
              <w:right w:val="single" w:sz="4" w:space="0" w:color="auto"/>
            </w:tcBorders>
            <w:shd w:val="clear" w:color="000000" w:fill="FCE4D6"/>
            <w:vAlign w:val="center"/>
            <w:hideMark/>
          </w:tcPr>
          <w:p w14:paraId="59EEC31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2024</w:t>
            </w:r>
          </w:p>
        </w:tc>
        <w:tc>
          <w:tcPr>
            <w:tcW w:w="584" w:type="pct"/>
            <w:tcBorders>
              <w:top w:val="nil"/>
              <w:left w:val="nil"/>
              <w:bottom w:val="single" w:sz="4" w:space="0" w:color="auto"/>
              <w:right w:val="single" w:sz="4" w:space="0" w:color="auto"/>
            </w:tcBorders>
            <w:shd w:val="clear" w:color="000000" w:fill="FCE4D6"/>
            <w:vAlign w:val="center"/>
            <w:hideMark/>
          </w:tcPr>
          <w:p w14:paraId="37BFCE42"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2025</w:t>
            </w:r>
          </w:p>
        </w:tc>
      </w:tr>
      <w:tr w:rsidR="00C853B2" w:rsidRPr="008266F3" w14:paraId="630BF15D" w14:textId="77777777">
        <w:trPr>
          <w:trHeight w:val="312"/>
        </w:trPr>
        <w:tc>
          <w:tcPr>
            <w:tcW w:w="1043" w:type="pct"/>
            <w:tcBorders>
              <w:top w:val="nil"/>
              <w:left w:val="single" w:sz="4" w:space="0" w:color="auto"/>
              <w:bottom w:val="single" w:sz="4" w:space="0" w:color="auto"/>
              <w:right w:val="single" w:sz="4" w:space="0" w:color="auto"/>
            </w:tcBorders>
            <w:noWrap/>
            <w:vAlign w:val="center"/>
            <w:hideMark/>
          </w:tcPr>
          <w:p w14:paraId="62236D84"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Net Sales</w:t>
            </w:r>
          </w:p>
        </w:tc>
        <w:tc>
          <w:tcPr>
            <w:tcW w:w="386" w:type="pct"/>
            <w:tcBorders>
              <w:top w:val="nil"/>
              <w:left w:val="nil"/>
              <w:bottom w:val="single" w:sz="4" w:space="0" w:color="auto"/>
              <w:right w:val="single" w:sz="4" w:space="0" w:color="auto"/>
            </w:tcBorders>
            <w:noWrap/>
            <w:vAlign w:val="center"/>
            <w:hideMark/>
          </w:tcPr>
          <w:p w14:paraId="042D3A7F"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A</w:t>
            </w:r>
          </w:p>
        </w:tc>
        <w:tc>
          <w:tcPr>
            <w:tcW w:w="650" w:type="pct"/>
            <w:tcBorders>
              <w:top w:val="nil"/>
              <w:left w:val="nil"/>
              <w:bottom w:val="single" w:sz="4" w:space="0" w:color="auto"/>
              <w:right w:val="single" w:sz="4" w:space="0" w:color="auto"/>
            </w:tcBorders>
            <w:noWrap/>
            <w:vAlign w:val="center"/>
            <w:hideMark/>
          </w:tcPr>
          <w:p w14:paraId="5629CFEF"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84" w:type="pct"/>
            <w:tcBorders>
              <w:top w:val="nil"/>
              <w:left w:val="nil"/>
              <w:bottom w:val="single" w:sz="4" w:space="0" w:color="auto"/>
              <w:right w:val="single" w:sz="4" w:space="0" w:color="auto"/>
            </w:tcBorders>
            <w:noWrap/>
            <w:vAlign w:val="center"/>
            <w:hideMark/>
          </w:tcPr>
          <w:p w14:paraId="1D1AEDB3"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13,857 </w:t>
            </w:r>
          </w:p>
        </w:tc>
        <w:tc>
          <w:tcPr>
            <w:tcW w:w="584" w:type="pct"/>
            <w:tcBorders>
              <w:top w:val="nil"/>
              <w:left w:val="nil"/>
              <w:bottom w:val="single" w:sz="4" w:space="0" w:color="auto"/>
              <w:right w:val="single" w:sz="4" w:space="0" w:color="auto"/>
            </w:tcBorders>
            <w:noWrap/>
            <w:vAlign w:val="center"/>
            <w:hideMark/>
          </w:tcPr>
          <w:p w14:paraId="2D1DB8C1"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20,773 </w:t>
            </w:r>
          </w:p>
        </w:tc>
        <w:tc>
          <w:tcPr>
            <w:tcW w:w="584" w:type="pct"/>
            <w:tcBorders>
              <w:top w:val="nil"/>
              <w:left w:val="nil"/>
              <w:bottom w:val="single" w:sz="4" w:space="0" w:color="auto"/>
              <w:right w:val="single" w:sz="4" w:space="0" w:color="auto"/>
            </w:tcBorders>
            <w:noWrap/>
            <w:vAlign w:val="center"/>
            <w:hideMark/>
          </w:tcPr>
          <w:p w14:paraId="68459DF3"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23,713 </w:t>
            </w:r>
          </w:p>
        </w:tc>
        <w:tc>
          <w:tcPr>
            <w:tcW w:w="584" w:type="pct"/>
            <w:tcBorders>
              <w:top w:val="nil"/>
              <w:left w:val="nil"/>
              <w:bottom w:val="single" w:sz="4" w:space="0" w:color="auto"/>
              <w:right w:val="single" w:sz="4" w:space="0" w:color="auto"/>
            </w:tcBorders>
            <w:noWrap/>
            <w:vAlign w:val="center"/>
            <w:hideMark/>
          </w:tcPr>
          <w:p w14:paraId="51C96B50"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25,100 </w:t>
            </w:r>
          </w:p>
        </w:tc>
        <w:tc>
          <w:tcPr>
            <w:tcW w:w="584" w:type="pct"/>
            <w:tcBorders>
              <w:top w:val="nil"/>
              <w:left w:val="nil"/>
              <w:bottom w:val="single" w:sz="4" w:space="0" w:color="auto"/>
              <w:right w:val="single" w:sz="4" w:space="0" w:color="auto"/>
            </w:tcBorders>
            <w:noWrap/>
            <w:vAlign w:val="center"/>
            <w:hideMark/>
          </w:tcPr>
          <w:p w14:paraId="3726B574"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26,186 </w:t>
            </w:r>
          </w:p>
        </w:tc>
      </w:tr>
      <w:tr w:rsidR="00C853B2" w:rsidRPr="008266F3" w14:paraId="746E7CC0" w14:textId="77777777">
        <w:trPr>
          <w:trHeight w:val="324"/>
        </w:trPr>
        <w:tc>
          <w:tcPr>
            <w:tcW w:w="1043" w:type="pct"/>
            <w:tcBorders>
              <w:top w:val="nil"/>
              <w:left w:val="single" w:sz="4" w:space="0" w:color="auto"/>
              <w:bottom w:val="single" w:sz="4" w:space="0" w:color="auto"/>
              <w:right w:val="single" w:sz="4" w:space="0" w:color="auto"/>
            </w:tcBorders>
            <w:noWrap/>
            <w:vAlign w:val="center"/>
            <w:hideMark/>
          </w:tcPr>
          <w:p w14:paraId="5C376EE6"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Cost of Sales </w:t>
            </w:r>
          </w:p>
        </w:tc>
        <w:tc>
          <w:tcPr>
            <w:tcW w:w="386" w:type="pct"/>
            <w:tcBorders>
              <w:top w:val="nil"/>
              <w:left w:val="nil"/>
              <w:bottom w:val="single" w:sz="4" w:space="0" w:color="auto"/>
              <w:right w:val="single" w:sz="4" w:space="0" w:color="auto"/>
            </w:tcBorders>
            <w:noWrap/>
            <w:vAlign w:val="center"/>
            <w:hideMark/>
          </w:tcPr>
          <w:p w14:paraId="55A65FE5"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B</w:t>
            </w:r>
          </w:p>
        </w:tc>
        <w:tc>
          <w:tcPr>
            <w:tcW w:w="650" w:type="pct"/>
            <w:tcBorders>
              <w:top w:val="nil"/>
              <w:left w:val="nil"/>
              <w:bottom w:val="single" w:sz="4" w:space="0" w:color="auto"/>
              <w:right w:val="single" w:sz="4" w:space="0" w:color="auto"/>
            </w:tcBorders>
            <w:noWrap/>
            <w:vAlign w:val="center"/>
            <w:hideMark/>
          </w:tcPr>
          <w:p w14:paraId="6AB9B512"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84" w:type="pct"/>
            <w:tcBorders>
              <w:top w:val="nil"/>
              <w:left w:val="nil"/>
              <w:bottom w:val="single" w:sz="4" w:space="0" w:color="auto"/>
              <w:right w:val="single" w:sz="4" w:space="0" w:color="auto"/>
            </w:tcBorders>
            <w:vAlign w:val="center"/>
            <w:hideMark/>
          </w:tcPr>
          <w:p w14:paraId="71646E6B"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11,056 </w:t>
            </w:r>
          </w:p>
        </w:tc>
        <w:tc>
          <w:tcPr>
            <w:tcW w:w="584" w:type="pct"/>
            <w:tcBorders>
              <w:top w:val="nil"/>
              <w:left w:val="nil"/>
              <w:bottom w:val="single" w:sz="8" w:space="0" w:color="000000"/>
              <w:right w:val="single" w:sz="8" w:space="0" w:color="000000"/>
            </w:tcBorders>
            <w:noWrap/>
            <w:vAlign w:val="center"/>
            <w:hideMark/>
          </w:tcPr>
          <w:p w14:paraId="34ECFAE1"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16,215 </w:t>
            </w:r>
          </w:p>
        </w:tc>
        <w:tc>
          <w:tcPr>
            <w:tcW w:w="584" w:type="pct"/>
            <w:tcBorders>
              <w:top w:val="nil"/>
              <w:left w:val="nil"/>
              <w:bottom w:val="single" w:sz="8" w:space="0" w:color="000000"/>
              <w:right w:val="single" w:sz="8" w:space="0" w:color="000000"/>
            </w:tcBorders>
            <w:noWrap/>
            <w:vAlign w:val="center"/>
            <w:hideMark/>
          </w:tcPr>
          <w:p w14:paraId="026154E5"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18,733 </w:t>
            </w:r>
          </w:p>
        </w:tc>
        <w:tc>
          <w:tcPr>
            <w:tcW w:w="584" w:type="pct"/>
            <w:tcBorders>
              <w:top w:val="nil"/>
              <w:left w:val="nil"/>
              <w:bottom w:val="single" w:sz="8" w:space="0" w:color="000000"/>
              <w:right w:val="single" w:sz="8" w:space="0" w:color="000000"/>
            </w:tcBorders>
            <w:noWrap/>
            <w:vAlign w:val="center"/>
            <w:hideMark/>
          </w:tcPr>
          <w:p w14:paraId="6B028FC8"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20,128 </w:t>
            </w:r>
          </w:p>
        </w:tc>
        <w:tc>
          <w:tcPr>
            <w:tcW w:w="584" w:type="pct"/>
            <w:tcBorders>
              <w:top w:val="nil"/>
              <w:left w:val="nil"/>
              <w:bottom w:val="single" w:sz="8" w:space="0" w:color="000000"/>
              <w:right w:val="single" w:sz="8" w:space="0" w:color="000000"/>
            </w:tcBorders>
            <w:noWrap/>
            <w:vAlign w:val="center"/>
            <w:hideMark/>
          </w:tcPr>
          <w:p w14:paraId="5C52ED82"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20,964 </w:t>
            </w:r>
          </w:p>
        </w:tc>
      </w:tr>
      <w:tr w:rsidR="00C853B2" w:rsidRPr="008266F3" w14:paraId="24C88F87" w14:textId="77777777">
        <w:trPr>
          <w:trHeight w:val="324"/>
        </w:trPr>
        <w:tc>
          <w:tcPr>
            <w:tcW w:w="1043" w:type="pct"/>
            <w:tcBorders>
              <w:top w:val="nil"/>
              <w:left w:val="single" w:sz="4" w:space="0" w:color="auto"/>
              <w:bottom w:val="single" w:sz="4" w:space="0" w:color="auto"/>
              <w:right w:val="single" w:sz="4" w:space="0" w:color="auto"/>
            </w:tcBorders>
            <w:noWrap/>
            <w:vAlign w:val="center"/>
            <w:hideMark/>
          </w:tcPr>
          <w:p w14:paraId="4DB4BA80"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Account Receivable</w:t>
            </w:r>
          </w:p>
        </w:tc>
        <w:tc>
          <w:tcPr>
            <w:tcW w:w="386" w:type="pct"/>
            <w:tcBorders>
              <w:top w:val="nil"/>
              <w:left w:val="nil"/>
              <w:bottom w:val="single" w:sz="4" w:space="0" w:color="auto"/>
              <w:right w:val="single" w:sz="4" w:space="0" w:color="auto"/>
            </w:tcBorders>
            <w:noWrap/>
            <w:vAlign w:val="center"/>
            <w:hideMark/>
          </w:tcPr>
          <w:p w14:paraId="296397CB"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D</w:t>
            </w:r>
          </w:p>
        </w:tc>
        <w:tc>
          <w:tcPr>
            <w:tcW w:w="650" w:type="pct"/>
            <w:tcBorders>
              <w:top w:val="nil"/>
              <w:left w:val="nil"/>
              <w:bottom w:val="single" w:sz="4" w:space="0" w:color="auto"/>
              <w:right w:val="single" w:sz="4" w:space="0" w:color="auto"/>
            </w:tcBorders>
            <w:noWrap/>
            <w:vAlign w:val="center"/>
            <w:hideMark/>
          </w:tcPr>
          <w:p w14:paraId="6CC311AC"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84" w:type="pct"/>
            <w:tcBorders>
              <w:top w:val="nil"/>
              <w:left w:val="nil"/>
              <w:bottom w:val="single" w:sz="4" w:space="0" w:color="auto"/>
              <w:right w:val="single" w:sz="4" w:space="0" w:color="auto"/>
            </w:tcBorders>
            <w:vAlign w:val="center"/>
            <w:hideMark/>
          </w:tcPr>
          <w:p w14:paraId="1289E5E7"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1,982 </w:t>
            </w:r>
          </w:p>
        </w:tc>
        <w:tc>
          <w:tcPr>
            <w:tcW w:w="584" w:type="pct"/>
            <w:tcBorders>
              <w:top w:val="nil"/>
              <w:left w:val="nil"/>
              <w:bottom w:val="single" w:sz="8" w:space="0" w:color="000000"/>
              <w:right w:val="single" w:sz="8" w:space="0" w:color="000000"/>
            </w:tcBorders>
            <w:noWrap/>
            <w:vAlign w:val="center"/>
            <w:hideMark/>
          </w:tcPr>
          <w:p w14:paraId="4F45907B"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2,571 </w:t>
            </w:r>
          </w:p>
        </w:tc>
        <w:tc>
          <w:tcPr>
            <w:tcW w:w="584" w:type="pct"/>
            <w:tcBorders>
              <w:top w:val="nil"/>
              <w:left w:val="nil"/>
              <w:bottom w:val="single" w:sz="8" w:space="0" w:color="000000"/>
              <w:right w:val="single" w:sz="8" w:space="0" w:color="000000"/>
            </w:tcBorders>
            <w:noWrap/>
            <w:vAlign w:val="center"/>
            <w:hideMark/>
          </w:tcPr>
          <w:p w14:paraId="3AC4960D"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2,712 </w:t>
            </w:r>
          </w:p>
        </w:tc>
        <w:tc>
          <w:tcPr>
            <w:tcW w:w="584" w:type="pct"/>
            <w:tcBorders>
              <w:top w:val="nil"/>
              <w:left w:val="nil"/>
              <w:bottom w:val="single" w:sz="8" w:space="0" w:color="000000"/>
              <w:right w:val="single" w:sz="8" w:space="0" w:color="000000"/>
            </w:tcBorders>
            <w:noWrap/>
            <w:vAlign w:val="center"/>
            <w:hideMark/>
          </w:tcPr>
          <w:p w14:paraId="22BD429F"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2,795 </w:t>
            </w:r>
          </w:p>
        </w:tc>
        <w:tc>
          <w:tcPr>
            <w:tcW w:w="584" w:type="pct"/>
            <w:tcBorders>
              <w:top w:val="nil"/>
              <w:left w:val="nil"/>
              <w:bottom w:val="single" w:sz="8" w:space="0" w:color="000000"/>
              <w:right w:val="single" w:sz="8" w:space="0" w:color="000000"/>
            </w:tcBorders>
            <w:noWrap/>
            <w:vAlign w:val="center"/>
            <w:hideMark/>
          </w:tcPr>
          <w:p w14:paraId="51B195B1"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2,909 </w:t>
            </w:r>
          </w:p>
        </w:tc>
      </w:tr>
      <w:tr w:rsidR="00C853B2" w:rsidRPr="008266F3" w14:paraId="7738D5FC" w14:textId="77777777">
        <w:trPr>
          <w:trHeight w:val="324"/>
        </w:trPr>
        <w:tc>
          <w:tcPr>
            <w:tcW w:w="1043" w:type="pct"/>
            <w:tcBorders>
              <w:top w:val="nil"/>
              <w:left w:val="single" w:sz="4" w:space="0" w:color="auto"/>
              <w:bottom w:val="single" w:sz="4" w:space="0" w:color="auto"/>
              <w:right w:val="single" w:sz="4" w:space="0" w:color="auto"/>
            </w:tcBorders>
            <w:noWrap/>
            <w:vAlign w:val="center"/>
            <w:hideMark/>
          </w:tcPr>
          <w:p w14:paraId="3D36FAEB"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Account Payable</w:t>
            </w:r>
          </w:p>
        </w:tc>
        <w:tc>
          <w:tcPr>
            <w:tcW w:w="386" w:type="pct"/>
            <w:tcBorders>
              <w:top w:val="nil"/>
              <w:left w:val="nil"/>
              <w:bottom w:val="single" w:sz="4" w:space="0" w:color="auto"/>
              <w:right w:val="single" w:sz="4" w:space="0" w:color="auto"/>
            </w:tcBorders>
            <w:noWrap/>
            <w:vAlign w:val="center"/>
            <w:hideMark/>
          </w:tcPr>
          <w:p w14:paraId="0144F127"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E</w:t>
            </w:r>
          </w:p>
        </w:tc>
        <w:tc>
          <w:tcPr>
            <w:tcW w:w="650" w:type="pct"/>
            <w:tcBorders>
              <w:top w:val="nil"/>
              <w:left w:val="nil"/>
              <w:bottom w:val="single" w:sz="4" w:space="0" w:color="auto"/>
              <w:right w:val="single" w:sz="4" w:space="0" w:color="auto"/>
            </w:tcBorders>
            <w:noWrap/>
            <w:vAlign w:val="center"/>
            <w:hideMark/>
          </w:tcPr>
          <w:p w14:paraId="4CE4083C"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84" w:type="pct"/>
            <w:tcBorders>
              <w:top w:val="nil"/>
              <w:left w:val="nil"/>
              <w:bottom w:val="single" w:sz="4" w:space="0" w:color="auto"/>
              <w:right w:val="single" w:sz="4" w:space="0" w:color="auto"/>
            </w:tcBorders>
            <w:vAlign w:val="center"/>
            <w:hideMark/>
          </w:tcPr>
          <w:p w14:paraId="631CBFEF"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726 </w:t>
            </w:r>
          </w:p>
        </w:tc>
        <w:tc>
          <w:tcPr>
            <w:tcW w:w="584" w:type="pct"/>
            <w:tcBorders>
              <w:top w:val="nil"/>
              <w:left w:val="nil"/>
              <w:bottom w:val="single" w:sz="8" w:space="0" w:color="000000"/>
              <w:right w:val="single" w:sz="8" w:space="0" w:color="000000"/>
            </w:tcBorders>
            <w:noWrap/>
            <w:vAlign w:val="center"/>
            <w:hideMark/>
          </w:tcPr>
          <w:p w14:paraId="60FC2CD5"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746 </w:t>
            </w:r>
          </w:p>
        </w:tc>
        <w:tc>
          <w:tcPr>
            <w:tcW w:w="584" w:type="pct"/>
            <w:tcBorders>
              <w:top w:val="nil"/>
              <w:left w:val="nil"/>
              <w:bottom w:val="single" w:sz="8" w:space="0" w:color="000000"/>
              <w:right w:val="single" w:sz="8" w:space="0" w:color="000000"/>
            </w:tcBorders>
            <w:noWrap/>
            <w:vAlign w:val="center"/>
            <w:hideMark/>
          </w:tcPr>
          <w:p w14:paraId="4550CEA1"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738 </w:t>
            </w:r>
          </w:p>
        </w:tc>
        <w:tc>
          <w:tcPr>
            <w:tcW w:w="584" w:type="pct"/>
            <w:tcBorders>
              <w:top w:val="nil"/>
              <w:left w:val="nil"/>
              <w:bottom w:val="single" w:sz="8" w:space="0" w:color="000000"/>
              <w:right w:val="single" w:sz="8" w:space="0" w:color="000000"/>
            </w:tcBorders>
            <w:noWrap/>
            <w:vAlign w:val="center"/>
            <w:hideMark/>
          </w:tcPr>
          <w:p w14:paraId="4813DBDE"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763 </w:t>
            </w:r>
          </w:p>
        </w:tc>
        <w:tc>
          <w:tcPr>
            <w:tcW w:w="584" w:type="pct"/>
            <w:tcBorders>
              <w:top w:val="nil"/>
              <w:left w:val="nil"/>
              <w:bottom w:val="single" w:sz="8" w:space="0" w:color="000000"/>
              <w:right w:val="single" w:sz="8" w:space="0" w:color="000000"/>
            </w:tcBorders>
            <w:noWrap/>
            <w:vAlign w:val="center"/>
            <w:hideMark/>
          </w:tcPr>
          <w:p w14:paraId="3CE6A446"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814 </w:t>
            </w:r>
          </w:p>
        </w:tc>
      </w:tr>
      <w:tr w:rsidR="00C853B2" w:rsidRPr="008266F3" w14:paraId="485C9CA2" w14:textId="77777777">
        <w:trPr>
          <w:trHeight w:val="324"/>
        </w:trPr>
        <w:tc>
          <w:tcPr>
            <w:tcW w:w="1043" w:type="pct"/>
            <w:tcBorders>
              <w:top w:val="nil"/>
              <w:left w:val="single" w:sz="4" w:space="0" w:color="auto"/>
              <w:bottom w:val="single" w:sz="4" w:space="0" w:color="auto"/>
              <w:right w:val="single" w:sz="4" w:space="0" w:color="auto"/>
            </w:tcBorders>
            <w:noWrap/>
            <w:vAlign w:val="center"/>
            <w:hideMark/>
          </w:tcPr>
          <w:p w14:paraId="5A762C77"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Total Assets</w:t>
            </w:r>
          </w:p>
        </w:tc>
        <w:tc>
          <w:tcPr>
            <w:tcW w:w="386" w:type="pct"/>
            <w:tcBorders>
              <w:top w:val="nil"/>
              <w:left w:val="nil"/>
              <w:bottom w:val="single" w:sz="4" w:space="0" w:color="auto"/>
              <w:right w:val="single" w:sz="4" w:space="0" w:color="auto"/>
            </w:tcBorders>
            <w:noWrap/>
            <w:vAlign w:val="center"/>
            <w:hideMark/>
          </w:tcPr>
          <w:p w14:paraId="0294BE1B"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F</w:t>
            </w:r>
          </w:p>
        </w:tc>
        <w:tc>
          <w:tcPr>
            <w:tcW w:w="650" w:type="pct"/>
            <w:tcBorders>
              <w:top w:val="nil"/>
              <w:left w:val="nil"/>
              <w:bottom w:val="single" w:sz="4" w:space="0" w:color="auto"/>
              <w:right w:val="single" w:sz="4" w:space="0" w:color="auto"/>
            </w:tcBorders>
            <w:noWrap/>
            <w:vAlign w:val="center"/>
            <w:hideMark/>
          </w:tcPr>
          <w:p w14:paraId="1F4DC25D"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84" w:type="pct"/>
            <w:tcBorders>
              <w:top w:val="nil"/>
              <w:left w:val="nil"/>
              <w:bottom w:val="single" w:sz="4" w:space="0" w:color="auto"/>
              <w:right w:val="single" w:sz="4" w:space="0" w:color="auto"/>
            </w:tcBorders>
            <w:noWrap/>
            <w:vAlign w:val="center"/>
            <w:hideMark/>
          </w:tcPr>
          <w:p w14:paraId="0526383E"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25,553 </w:t>
            </w:r>
          </w:p>
        </w:tc>
        <w:tc>
          <w:tcPr>
            <w:tcW w:w="584" w:type="pct"/>
            <w:tcBorders>
              <w:top w:val="single" w:sz="4" w:space="0" w:color="auto"/>
              <w:left w:val="nil"/>
              <w:bottom w:val="single" w:sz="4" w:space="0" w:color="auto"/>
              <w:right w:val="single" w:sz="4" w:space="0" w:color="auto"/>
            </w:tcBorders>
            <w:noWrap/>
            <w:vAlign w:val="center"/>
            <w:hideMark/>
          </w:tcPr>
          <w:p w14:paraId="26484D76"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24,815 </w:t>
            </w:r>
          </w:p>
        </w:tc>
        <w:tc>
          <w:tcPr>
            <w:tcW w:w="584" w:type="pct"/>
            <w:tcBorders>
              <w:top w:val="single" w:sz="4" w:space="0" w:color="auto"/>
              <w:left w:val="nil"/>
              <w:bottom w:val="single" w:sz="4" w:space="0" w:color="auto"/>
              <w:right w:val="single" w:sz="4" w:space="0" w:color="auto"/>
            </w:tcBorders>
            <w:noWrap/>
            <w:vAlign w:val="center"/>
            <w:hideMark/>
          </w:tcPr>
          <w:p w14:paraId="3ED05E6A"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25,674 </w:t>
            </w:r>
          </w:p>
        </w:tc>
        <w:tc>
          <w:tcPr>
            <w:tcW w:w="584" w:type="pct"/>
            <w:tcBorders>
              <w:top w:val="single" w:sz="4" w:space="0" w:color="auto"/>
              <w:left w:val="nil"/>
              <w:bottom w:val="single" w:sz="4" w:space="0" w:color="auto"/>
              <w:right w:val="single" w:sz="4" w:space="0" w:color="auto"/>
            </w:tcBorders>
            <w:noWrap/>
            <w:vAlign w:val="center"/>
            <w:hideMark/>
          </w:tcPr>
          <w:p w14:paraId="5AC2EB56"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26,182 </w:t>
            </w:r>
          </w:p>
        </w:tc>
        <w:tc>
          <w:tcPr>
            <w:tcW w:w="584" w:type="pct"/>
            <w:tcBorders>
              <w:top w:val="single" w:sz="4" w:space="0" w:color="auto"/>
              <w:left w:val="nil"/>
              <w:bottom w:val="single" w:sz="4" w:space="0" w:color="auto"/>
              <w:right w:val="single" w:sz="4" w:space="0" w:color="auto"/>
            </w:tcBorders>
            <w:noWrap/>
            <w:vAlign w:val="center"/>
            <w:hideMark/>
          </w:tcPr>
          <w:p w14:paraId="02CB327D"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2,754 </w:t>
            </w:r>
          </w:p>
        </w:tc>
      </w:tr>
      <w:tr w:rsidR="00C853B2" w:rsidRPr="008266F3" w14:paraId="4B8EDEE4" w14:textId="77777777">
        <w:trPr>
          <w:trHeight w:val="624"/>
        </w:trPr>
        <w:tc>
          <w:tcPr>
            <w:tcW w:w="1043" w:type="pct"/>
            <w:tcBorders>
              <w:top w:val="nil"/>
              <w:left w:val="single" w:sz="4" w:space="0" w:color="auto"/>
              <w:bottom w:val="single" w:sz="4" w:space="0" w:color="auto"/>
              <w:right w:val="single" w:sz="4" w:space="0" w:color="auto"/>
            </w:tcBorders>
            <w:shd w:val="clear" w:color="000000" w:fill="BDD7EE"/>
            <w:noWrap/>
            <w:vAlign w:val="bottom"/>
            <w:hideMark/>
          </w:tcPr>
          <w:p w14:paraId="23F1C7AD"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Total Asset Turnover</w:t>
            </w:r>
          </w:p>
        </w:tc>
        <w:tc>
          <w:tcPr>
            <w:tcW w:w="386" w:type="pct"/>
            <w:tcBorders>
              <w:top w:val="nil"/>
              <w:left w:val="nil"/>
              <w:bottom w:val="single" w:sz="4" w:space="0" w:color="auto"/>
              <w:right w:val="single" w:sz="4" w:space="0" w:color="auto"/>
            </w:tcBorders>
            <w:shd w:val="clear" w:color="000000" w:fill="BDD7EE"/>
            <w:noWrap/>
            <w:vAlign w:val="center"/>
            <w:hideMark/>
          </w:tcPr>
          <w:p w14:paraId="0D85F3A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A/F</w:t>
            </w:r>
          </w:p>
        </w:tc>
        <w:tc>
          <w:tcPr>
            <w:tcW w:w="650" w:type="pct"/>
            <w:tcBorders>
              <w:top w:val="nil"/>
              <w:left w:val="nil"/>
              <w:bottom w:val="single" w:sz="4" w:space="0" w:color="auto"/>
              <w:right w:val="single" w:sz="4" w:space="0" w:color="auto"/>
            </w:tcBorders>
            <w:shd w:val="clear" w:color="000000" w:fill="BDD7EE"/>
            <w:hideMark/>
          </w:tcPr>
          <w:p w14:paraId="66E0B27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(Sales / Total Assets)</w:t>
            </w:r>
          </w:p>
        </w:tc>
        <w:tc>
          <w:tcPr>
            <w:tcW w:w="584" w:type="pct"/>
            <w:tcBorders>
              <w:top w:val="nil"/>
              <w:left w:val="nil"/>
              <w:bottom w:val="single" w:sz="4" w:space="0" w:color="auto"/>
              <w:right w:val="single" w:sz="4" w:space="0" w:color="auto"/>
            </w:tcBorders>
            <w:shd w:val="clear" w:color="000000" w:fill="BDD7EE"/>
            <w:noWrap/>
            <w:vAlign w:val="center"/>
            <w:hideMark/>
          </w:tcPr>
          <w:p w14:paraId="552B81E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0.54 </w:t>
            </w:r>
          </w:p>
        </w:tc>
        <w:tc>
          <w:tcPr>
            <w:tcW w:w="584" w:type="pct"/>
            <w:tcBorders>
              <w:top w:val="nil"/>
              <w:left w:val="nil"/>
              <w:bottom w:val="single" w:sz="4" w:space="0" w:color="auto"/>
              <w:right w:val="single" w:sz="4" w:space="0" w:color="auto"/>
            </w:tcBorders>
            <w:shd w:val="clear" w:color="000000" w:fill="BDD7EE"/>
            <w:noWrap/>
            <w:vAlign w:val="center"/>
            <w:hideMark/>
          </w:tcPr>
          <w:p w14:paraId="012372B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0.84 </w:t>
            </w:r>
          </w:p>
        </w:tc>
        <w:tc>
          <w:tcPr>
            <w:tcW w:w="584" w:type="pct"/>
            <w:tcBorders>
              <w:top w:val="nil"/>
              <w:left w:val="nil"/>
              <w:bottom w:val="single" w:sz="4" w:space="0" w:color="auto"/>
              <w:right w:val="single" w:sz="4" w:space="0" w:color="auto"/>
            </w:tcBorders>
            <w:shd w:val="clear" w:color="000000" w:fill="BDD7EE"/>
            <w:noWrap/>
            <w:vAlign w:val="center"/>
            <w:hideMark/>
          </w:tcPr>
          <w:p w14:paraId="47F5346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0.92 </w:t>
            </w:r>
          </w:p>
        </w:tc>
        <w:tc>
          <w:tcPr>
            <w:tcW w:w="584" w:type="pct"/>
            <w:tcBorders>
              <w:top w:val="nil"/>
              <w:left w:val="nil"/>
              <w:bottom w:val="single" w:sz="4" w:space="0" w:color="auto"/>
              <w:right w:val="single" w:sz="4" w:space="0" w:color="auto"/>
            </w:tcBorders>
            <w:shd w:val="clear" w:color="000000" w:fill="BDD7EE"/>
            <w:noWrap/>
            <w:vAlign w:val="center"/>
            <w:hideMark/>
          </w:tcPr>
          <w:p w14:paraId="24E8C776"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0.96 </w:t>
            </w:r>
          </w:p>
        </w:tc>
        <w:tc>
          <w:tcPr>
            <w:tcW w:w="584" w:type="pct"/>
            <w:tcBorders>
              <w:top w:val="nil"/>
              <w:left w:val="nil"/>
              <w:bottom w:val="single" w:sz="4" w:space="0" w:color="auto"/>
              <w:right w:val="single" w:sz="4" w:space="0" w:color="auto"/>
            </w:tcBorders>
            <w:shd w:val="clear" w:color="000000" w:fill="BDD7EE"/>
            <w:noWrap/>
            <w:vAlign w:val="center"/>
            <w:hideMark/>
          </w:tcPr>
          <w:p w14:paraId="1138CFF7"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9.51 </w:t>
            </w:r>
          </w:p>
        </w:tc>
      </w:tr>
      <w:tr w:rsidR="00C853B2" w:rsidRPr="008266F3" w14:paraId="4C5A6CB7" w14:textId="77777777">
        <w:trPr>
          <w:trHeight w:val="936"/>
        </w:trPr>
        <w:tc>
          <w:tcPr>
            <w:tcW w:w="1043" w:type="pct"/>
            <w:tcBorders>
              <w:top w:val="nil"/>
              <w:left w:val="single" w:sz="4" w:space="0" w:color="auto"/>
              <w:bottom w:val="single" w:sz="4" w:space="0" w:color="auto"/>
              <w:right w:val="single" w:sz="4" w:space="0" w:color="auto"/>
            </w:tcBorders>
            <w:shd w:val="clear" w:color="000000" w:fill="BDD7EE"/>
            <w:noWrap/>
            <w:vAlign w:val="center"/>
            <w:hideMark/>
          </w:tcPr>
          <w:p w14:paraId="4309B87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Receivables Turnover Days</w:t>
            </w:r>
          </w:p>
        </w:tc>
        <w:tc>
          <w:tcPr>
            <w:tcW w:w="386" w:type="pct"/>
            <w:tcBorders>
              <w:top w:val="nil"/>
              <w:left w:val="nil"/>
              <w:bottom w:val="single" w:sz="4" w:space="0" w:color="auto"/>
              <w:right w:val="single" w:sz="4" w:space="0" w:color="auto"/>
            </w:tcBorders>
            <w:shd w:val="clear" w:color="000000" w:fill="BDD7EE"/>
            <w:noWrap/>
            <w:vAlign w:val="center"/>
            <w:hideMark/>
          </w:tcPr>
          <w:p w14:paraId="66F61BFF"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365/(A/D)</w:t>
            </w:r>
          </w:p>
        </w:tc>
        <w:tc>
          <w:tcPr>
            <w:tcW w:w="650" w:type="pct"/>
            <w:tcBorders>
              <w:top w:val="nil"/>
              <w:left w:val="nil"/>
              <w:bottom w:val="single" w:sz="4" w:space="0" w:color="auto"/>
              <w:right w:val="single" w:sz="4" w:space="0" w:color="auto"/>
            </w:tcBorders>
            <w:shd w:val="clear" w:color="000000" w:fill="BDD7EE"/>
            <w:hideMark/>
          </w:tcPr>
          <w:p w14:paraId="0A9CE80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365/ (Net Sales/Average Receivables</w:t>
            </w:r>
          </w:p>
        </w:tc>
        <w:tc>
          <w:tcPr>
            <w:tcW w:w="584" w:type="pct"/>
            <w:tcBorders>
              <w:top w:val="nil"/>
              <w:left w:val="nil"/>
              <w:bottom w:val="single" w:sz="4" w:space="0" w:color="auto"/>
              <w:right w:val="single" w:sz="4" w:space="0" w:color="auto"/>
            </w:tcBorders>
            <w:shd w:val="clear" w:color="000000" w:fill="BDD7EE"/>
            <w:noWrap/>
            <w:vAlign w:val="center"/>
            <w:hideMark/>
          </w:tcPr>
          <w:p w14:paraId="407DCE40"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52 </w:t>
            </w:r>
          </w:p>
        </w:tc>
        <w:tc>
          <w:tcPr>
            <w:tcW w:w="584" w:type="pct"/>
            <w:tcBorders>
              <w:top w:val="nil"/>
              <w:left w:val="nil"/>
              <w:bottom w:val="single" w:sz="4" w:space="0" w:color="auto"/>
              <w:right w:val="single" w:sz="4" w:space="0" w:color="auto"/>
            </w:tcBorders>
            <w:shd w:val="clear" w:color="000000" w:fill="BDD7EE"/>
            <w:noWrap/>
            <w:vAlign w:val="center"/>
            <w:hideMark/>
          </w:tcPr>
          <w:p w14:paraId="355E3D3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45 </w:t>
            </w:r>
          </w:p>
        </w:tc>
        <w:tc>
          <w:tcPr>
            <w:tcW w:w="584" w:type="pct"/>
            <w:tcBorders>
              <w:top w:val="nil"/>
              <w:left w:val="nil"/>
              <w:bottom w:val="single" w:sz="4" w:space="0" w:color="auto"/>
              <w:right w:val="single" w:sz="4" w:space="0" w:color="auto"/>
            </w:tcBorders>
            <w:shd w:val="clear" w:color="000000" w:fill="BDD7EE"/>
            <w:noWrap/>
            <w:vAlign w:val="center"/>
            <w:hideMark/>
          </w:tcPr>
          <w:p w14:paraId="7B5EA01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42 </w:t>
            </w:r>
          </w:p>
        </w:tc>
        <w:tc>
          <w:tcPr>
            <w:tcW w:w="584" w:type="pct"/>
            <w:tcBorders>
              <w:top w:val="nil"/>
              <w:left w:val="nil"/>
              <w:bottom w:val="single" w:sz="4" w:space="0" w:color="auto"/>
              <w:right w:val="single" w:sz="4" w:space="0" w:color="auto"/>
            </w:tcBorders>
            <w:shd w:val="clear" w:color="000000" w:fill="BDD7EE"/>
            <w:noWrap/>
            <w:vAlign w:val="center"/>
            <w:hideMark/>
          </w:tcPr>
          <w:p w14:paraId="7830BF5D"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41 </w:t>
            </w:r>
          </w:p>
        </w:tc>
        <w:tc>
          <w:tcPr>
            <w:tcW w:w="584" w:type="pct"/>
            <w:tcBorders>
              <w:top w:val="nil"/>
              <w:left w:val="nil"/>
              <w:bottom w:val="single" w:sz="4" w:space="0" w:color="auto"/>
              <w:right w:val="single" w:sz="4" w:space="0" w:color="auto"/>
            </w:tcBorders>
            <w:shd w:val="clear" w:color="000000" w:fill="BDD7EE"/>
            <w:noWrap/>
            <w:vAlign w:val="center"/>
            <w:hideMark/>
          </w:tcPr>
          <w:p w14:paraId="012A3C5D"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41 </w:t>
            </w:r>
          </w:p>
        </w:tc>
      </w:tr>
      <w:tr w:rsidR="00C853B2" w:rsidRPr="008266F3" w14:paraId="66A4A176" w14:textId="77777777">
        <w:trPr>
          <w:trHeight w:val="936"/>
        </w:trPr>
        <w:tc>
          <w:tcPr>
            <w:tcW w:w="1043" w:type="pct"/>
            <w:tcBorders>
              <w:top w:val="nil"/>
              <w:left w:val="single" w:sz="4" w:space="0" w:color="auto"/>
              <w:bottom w:val="single" w:sz="4" w:space="0" w:color="auto"/>
              <w:right w:val="single" w:sz="4" w:space="0" w:color="auto"/>
            </w:tcBorders>
            <w:shd w:val="clear" w:color="000000" w:fill="BDD7EE"/>
            <w:noWrap/>
            <w:vAlign w:val="center"/>
            <w:hideMark/>
          </w:tcPr>
          <w:p w14:paraId="4409736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Payables Turnover Days</w:t>
            </w:r>
          </w:p>
        </w:tc>
        <w:tc>
          <w:tcPr>
            <w:tcW w:w="386" w:type="pct"/>
            <w:tcBorders>
              <w:top w:val="nil"/>
              <w:left w:val="nil"/>
              <w:bottom w:val="single" w:sz="4" w:space="0" w:color="auto"/>
              <w:right w:val="single" w:sz="4" w:space="0" w:color="auto"/>
            </w:tcBorders>
            <w:shd w:val="clear" w:color="000000" w:fill="BDD7EE"/>
            <w:noWrap/>
            <w:vAlign w:val="center"/>
            <w:hideMark/>
          </w:tcPr>
          <w:p w14:paraId="399D5AA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365/(B/E)</w:t>
            </w:r>
          </w:p>
        </w:tc>
        <w:tc>
          <w:tcPr>
            <w:tcW w:w="650" w:type="pct"/>
            <w:tcBorders>
              <w:top w:val="nil"/>
              <w:left w:val="nil"/>
              <w:bottom w:val="single" w:sz="4" w:space="0" w:color="auto"/>
              <w:right w:val="single" w:sz="4" w:space="0" w:color="auto"/>
            </w:tcBorders>
            <w:shd w:val="clear" w:color="000000" w:fill="BDD7EE"/>
            <w:hideMark/>
          </w:tcPr>
          <w:p w14:paraId="64ABE53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365/ (COGS/Average Payable)</w:t>
            </w:r>
          </w:p>
        </w:tc>
        <w:tc>
          <w:tcPr>
            <w:tcW w:w="584" w:type="pct"/>
            <w:tcBorders>
              <w:top w:val="nil"/>
              <w:left w:val="nil"/>
              <w:bottom w:val="single" w:sz="4" w:space="0" w:color="auto"/>
              <w:right w:val="single" w:sz="4" w:space="0" w:color="auto"/>
            </w:tcBorders>
            <w:shd w:val="clear" w:color="000000" w:fill="BDD7EE"/>
            <w:noWrap/>
            <w:vAlign w:val="center"/>
            <w:hideMark/>
          </w:tcPr>
          <w:p w14:paraId="3185C820"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24 </w:t>
            </w:r>
          </w:p>
        </w:tc>
        <w:tc>
          <w:tcPr>
            <w:tcW w:w="584" w:type="pct"/>
            <w:tcBorders>
              <w:top w:val="nil"/>
              <w:left w:val="nil"/>
              <w:bottom w:val="single" w:sz="4" w:space="0" w:color="auto"/>
              <w:right w:val="single" w:sz="4" w:space="0" w:color="auto"/>
            </w:tcBorders>
            <w:shd w:val="clear" w:color="000000" w:fill="BDD7EE"/>
            <w:noWrap/>
            <w:vAlign w:val="center"/>
            <w:hideMark/>
          </w:tcPr>
          <w:p w14:paraId="745B363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17 </w:t>
            </w:r>
          </w:p>
        </w:tc>
        <w:tc>
          <w:tcPr>
            <w:tcW w:w="584" w:type="pct"/>
            <w:tcBorders>
              <w:top w:val="nil"/>
              <w:left w:val="nil"/>
              <w:bottom w:val="single" w:sz="4" w:space="0" w:color="auto"/>
              <w:right w:val="single" w:sz="4" w:space="0" w:color="auto"/>
            </w:tcBorders>
            <w:shd w:val="clear" w:color="000000" w:fill="BDD7EE"/>
            <w:noWrap/>
            <w:vAlign w:val="center"/>
            <w:hideMark/>
          </w:tcPr>
          <w:p w14:paraId="6A3C87FE"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14 </w:t>
            </w:r>
          </w:p>
        </w:tc>
        <w:tc>
          <w:tcPr>
            <w:tcW w:w="584" w:type="pct"/>
            <w:tcBorders>
              <w:top w:val="nil"/>
              <w:left w:val="nil"/>
              <w:bottom w:val="single" w:sz="4" w:space="0" w:color="auto"/>
              <w:right w:val="single" w:sz="4" w:space="0" w:color="auto"/>
            </w:tcBorders>
            <w:shd w:val="clear" w:color="000000" w:fill="BDD7EE"/>
            <w:noWrap/>
            <w:vAlign w:val="center"/>
            <w:hideMark/>
          </w:tcPr>
          <w:p w14:paraId="2F3A003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14 </w:t>
            </w:r>
          </w:p>
        </w:tc>
        <w:tc>
          <w:tcPr>
            <w:tcW w:w="584" w:type="pct"/>
            <w:tcBorders>
              <w:top w:val="nil"/>
              <w:left w:val="nil"/>
              <w:bottom w:val="single" w:sz="4" w:space="0" w:color="auto"/>
              <w:right w:val="single" w:sz="4" w:space="0" w:color="auto"/>
            </w:tcBorders>
            <w:shd w:val="clear" w:color="000000" w:fill="BDD7EE"/>
            <w:noWrap/>
            <w:vAlign w:val="center"/>
            <w:hideMark/>
          </w:tcPr>
          <w:p w14:paraId="5F269811"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14 </w:t>
            </w:r>
          </w:p>
        </w:tc>
      </w:tr>
      <w:tr w:rsidR="00C853B2" w:rsidRPr="008266F3" w14:paraId="36E9C212" w14:textId="77777777">
        <w:trPr>
          <w:trHeight w:val="624"/>
        </w:trPr>
        <w:tc>
          <w:tcPr>
            <w:tcW w:w="1043" w:type="pct"/>
            <w:tcBorders>
              <w:top w:val="nil"/>
              <w:left w:val="nil"/>
              <w:bottom w:val="nil"/>
              <w:right w:val="nil"/>
            </w:tcBorders>
            <w:noWrap/>
            <w:vAlign w:val="center"/>
            <w:hideMark/>
          </w:tcPr>
          <w:p w14:paraId="54D30B2D" w14:textId="77777777" w:rsidR="00C853B2" w:rsidRPr="008266F3" w:rsidRDefault="00C853B2">
            <w:pPr>
              <w:spacing w:line="360" w:lineRule="auto"/>
              <w:jc w:val="center"/>
              <w:rPr>
                <w:rFonts w:eastAsia="Times New Roman"/>
                <w:b/>
                <w:bCs/>
                <w:color w:val="000000"/>
                <w:sz w:val="24"/>
                <w:szCs w:val="24"/>
                <w:lang w:val="en-IN"/>
              </w:rPr>
            </w:pPr>
          </w:p>
        </w:tc>
        <w:tc>
          <w:tcPr>
            <w:tcW w:w="386" w:type="pct"/>
            <w:tcBorders>
              <w:top w:val="nil"/>
              <w:left w:val="nil"/>
              <w:bottom w:val="nil"/>
              <w:right w:val="nil"/>
            </w:tcBorders>
            <w:noWrap/>
            <w:vAlign w:val="center"/>
            <w:hideMark/>
          </w:tcPr>
          <w:p w14:paraId="2A5F97FE" w14:textId="77777777" w:rsidR="00C853B2" w:rsidRDefault="00C853B2">
            <w:pPr>
              <w:spacing w:line="360" w:lineRule="auto"/>
              <w:jc w:val="center"/>
              <w:rPr>
                <w:rFonts w:eastAsia="Times New Roman"/>
                <w:sz w:val="24"/>
                <w:szCs w:val="24"/>
                <w:lang w:val="en-IN"/>
              </w:rPr>
            </w:pPr>
          </w:p>
          <w:p w14:paraId="0BC09C1E" w14:textId="77777777" w:rsidR="0004785C" w:rsidRDefault="0004785C">
            <w:pPr>
              <w:spacing w:line="360" w:lineRule="auto"/>
              <w:jc w:val="center"/>
              <w:rPr>
                <w:rFonts w:eastAsia="Times New Roman"/>
                <w:sz w:val="24"/>
                <w:szCs w:val="24"/>
                <w:lang w:val="en-IN"/>
              </w:rPr>
            </w:pPr>
          </w:p>
          <w:p w14:paraId="4DAE8BBF" w14:textId="77777777" w:rsidR="0004785C" w:rsidRDefault="0004785C">
            <w:pPr>
              <w:spacing w:line="360" w:lineRule="auto"/>
              <w:jc w:val="center"/>
              <w:rPr>
                <w:rFonts w:eastAsia="Times New Roman"/>
                <w:sz w:val="24"/>
                <w:szCs w:val="24"/>
                <w:lang w:val="en-IN"/>
              </w:rPr>
            </w:pPr>
          </w:p>
          <w:p w14:paraId="3F6098FC" w14:textId="77777777" w:rsidR="0004785C" w:rsidRPr="008266F3" w:rsidRDefault="0004785C">
            <w:pPr>
              <w:spacing w:line="360" w:lineRule="auto"/>
              <w:jc w:val="center"/>
              <w:rPr>
                <w:rFonts w:eastAsia="Times New Roman"/>
                <w:sz w:val="24"/>
                <w:szCs w:val="24"/>
                <w:lang w:val="en-IN"/>
              </w:rPr>
            </w:pPr>
          </w:p>
        </w:tc>
        <w:tc>
          <w:tcPr>
            <w:tcW w:w="650" w:type="pct"/>
            <w:tcBorders>
              <w:top w:val="nil"/>
              <w:left w:val="nil"/>
              <w:bottom w:val="nil"/>
              <w:right w:val="nil"/>
            </w:tcBorders>
            <w:noWrap/>
            <w:vAlign w:val="center"/>
            <w:hideMark/>
          </w:tcPr>
          <w:p w14:paraId="77D9DB01"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7BB39EEF"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34E5347B"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581B1DB0"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234EBBF6"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1E8D89BC" w14:textId="77777777" w:rsidR="00C853B2" w:rsidRPr="008266F3" w:rsidRDefault="00C853B2">
            <w:pPr>
              <w:spacing w:line="360" w:lineRule="auto"/>
              <w:jc w:val="center"/>
              <w:rPr>
                <w:rFonts w:eastAsia="Times New Roman"/>
                <w:sz w:val="24"/>
                <w:szCs w:val="24"/>
                <w:lang w:val="en-IN"/>
              </w:rPr>
            </w:pPr>
          </w:p>
        </w:tc>
      </w:tr>
      <w:tr w:rsidR="00C853B2" w:rsidRPr="008266F3" w14:paraId="3BC0A73E" w14:textId="77777777">
        <w:trPr>
          <w:trHeight w:val="312"/>
        </w:trPr>
        <w:tc>
          <w:tcPr>
            <w:tcW w:w="1043" w:type="pct"/>
            <w:tcBorders>
              <w:top w:val="nil"/>
              <w:left w:val="nil"/>
              <w:bottom w:val="nil"/>
              <w:right w:val="nil"/>
            </w:tcBorders>
            <w:noWrap/>
            <w:vAlign w:val="center"/>
            <w:hideMark/>
          </w:tcPr>
          <w:p w14:paraId="40C6FF09" w14:textId="77777777" w:rsidR="00C853B2" w:rsidRPr="008266F3" w:rsidRDefault="00C853B2">
            <w:pPr>
              <w:spacing w:line="360" w:lineRule="auto"/>
              <w:jc w:val="center"/>
              <w:rPr>
                <w:rFonts w:eastAsia="Times New Roman"/>
                <w:sz w:val="24"/>
                <w:szCs w:val="24"/>
                <w:lang w:val="en-IN"/>
              </w:rPr>
            </w:pPr>
          </w:p>
        </w:tc>
        <w:tc>
          <w:tcPr>
            <w:tcW w:w="386" w:type="pct"/>
            <w:tcBorders>
              <w:top w:val="nil"/>
              <w:left w:val="nil"/>
              <w:bottom w:val="nil"/>
              <w:right w:val="nil"/>
            </w:tcBorders>
            <w:noWrap/>
            <w:vAlign w:val="center"/>
            <w:hideMark/>
          </w:tcPr>
          <w:p w14:paraId="2D32D596" w14:textId="77777777" w:rsidR="00C853B2" w:rsidRPr="008266F3" w:rsidRDefault="00C853B2">
            <w:pPr>
              <w:spacing w:line="360" w:lineRule="auto"/>
              <w:jc w:val="center"/>
              <w:rPr>
                <w:rFonts w:eastAsia="Times New Roman"/>
                <w:sz w:val="24"/>
                <w:szCs w:val="24"/>
                <w:lang w:val="en-IN"/>
              </w:rPr>
            </w:pPr>
          </w:p>
        </w:tc>
        <w:tc>
          <w:tcPr>
            <w:tcW w:w="650" w:type="pct"/>
            <w:tcBorders>
              <w:top w:val="nil"/>
              <w:left w:val="nil"/>
              <w:bottom w:val="nil"/>
              <w:right w:val="nil"/>
            </w:tcBorders>
            <w:noWrap/>
            <w:vAlign w:val="center"/>
            <w:hideMark/>
          </w:tcPr>
          <w:p w14:paraId="1238A2C1"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21C86FA0"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216F18BB"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3E147BFA"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32E4E895"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12BB6FE7" w14:textId="77777777" w:rsidR="00C853B2" w:rsidRPr="008266F3" w:rsidRDefault="00C853B2">
            <w:pPr>
              <w:spacing w:line="360" w:lineRule="auto"/>
              <w:jc w:val="center"/>
              <w:rPr>
                <w:rFonts w:eastAsia="Times New Roman"/>
                <w:sz w:val="24"/>
                <w:szCs w:val="24"/>
                <w:lang w:val="en-IN"/>
              </w:rPr>
            </w:pPr>
          </w:p>
        </w:tc>
      </w:tr>
      <w:tr w:rsidR="00C853B2" w:rsidRPr="008266F3" w14:paraId="6881EC0E" w14:textId="77777777">
        <w:trPr>
          <w:trHeight w:val="312"/>
        </w:trPr>
        <w:tc>
          <w:tcPr>
            <w:tcW w:w="1043" w:type="pct"/>
            <w:tcBorders>
              <w:top w:val="nil"/>
              <w:left w:val="nil"/>
              <w:bottom w:val="nil"/>
              <w:right w:val="nil"/>
            </w:tcBorders>
            <w:noWrap/>
            <w:vAlign w:val="center"/>
            <w:hideMark/>
          </w:tcPr>
          <w:p w14:paraId="74343A28" w14:textId="77777777" w:rsidR="00C853B2" w:rsidRPr="008266F3" w:rsidRDefault="00C853B2" w:rsidP="00604F89">
            <w:pPr>
              <w:spacing w:line="360" w:lineRule="auto"/>
              <w:rPr>
                <w:rFonts w:eastAsia="Times New Roman"/>
                <w:sz w:val="24"/>
                <w:szCs w:val="24"/>
                <w:lang w:val="en-IN"/>
              </w:rPr>
            </w:pPr>
          </w:p>
          <w:p w14:paraId="38A5B1AA" w14:textId="77777777" w:rsidR="00604F89" w:rsidRPr="008266F3" w:rsidRDefault="00604F89" w:rsidP="00604F89">
            <w:pPr>
              <w:spacing w:line="360" w:lineRule="auto"/>
              <w:rPr>
                <w:rFonts w:eastAsia="Times New Roman"/>
                <w:sz w:val="24"/>
                <w:szCs w:val="24"/>
                <w:lang w:val="en-IN"/>
              </w:rPr>
            </w:pPr>
          </w:p>
          <w:p w14:paraId="018948E7" w14:textId="77777777" w:rsidR="00E77D64" w:rsidRPr="008266F3" w:rsidRDefault="00E77D64" w:rsidP="00604F89">
            <w:pPr>
              <w:spacing w:line="360" w:lineRule="auto"/>
              <w:rPr>
                <w:rFonts w:eastAsia="Times New Roman"/>
                <w:sz w:val="24"/>
                <w:szCs w:val="24"/>
                <w:lang w:val="en-IN"/>
              </w:rPr>
            </w:pPr>
          </w:p>
          <w:p w14:paraId="68DCC372" w14:textId="77777777" w:rsidR="00E77D64" w:rsidRPr="008266F3" w:rsidRDefault="00E77D64" w:rsidP="00604F89">
            <w:pPr>
              <w:spacing w:line="360" w:lineRule="auto"/>
              <w:rPr>
                <w:rFonts w:eastAsia="Times New Roman"/>
                <w:sz w:val="24"/>
                <w:szCs w:val="24"/>
                <w:lang w:val="en-IN"/>
              </w:rPr>
            </w:pPr>
          </w:p>
        </w:tc>
        <w:tc>
          <w:tcPr>
            <w:tcW w:w="386" w:type="pct"/>
            <w:tcBorders>
              <w:top w:val="nil"/>
              <w:left w:val="nil"/>
              <w:bottom w:val="nil"/>
              <w:right w:val="nil"/>
            </w:tcBorders>
            <w:noWrap/>
            <w:vAlign w:val="center"/>
            <w:hideMark/>
          </w:tcPr>
          <w:p w14:paraId="7842E904" w14:textId="77777777" w:rsidR="00C853B2" w:rsidRPr="008266F3" w:rsidRDefault="00C853B2">
            <w:pPr>
              <w:spacing w:line="360" w:lineRule="auto"/>
              <w:jc w:val="center"/>
              <w:rPr>
                <w:rFonts w:eastAsia="Times New Roman"/>
                <w:sz w:val="24"/>
                <w:szCs w:val="24"/>
                <w:lang w:val="en-IN"/>
              </w:rPr>
            </w:pPr>
          </w:p>
        </w:tc>
        <w:tc>
          <w:tcPr>
            <w:tcW w:w="650" w:type="pct"/>
            <w:tcBorders>
              <w:top w:val="nil"/>
              <w:left w:val="nil"/>
              <w:bottom w:val="nil"/>
              <w:right w:val="nil"/>
            </w:tcBorders>
            <w:noWrap/>
            <w:vAlign w:val="center"/>
            <w:hideMark/>
          </w:tcPr>
          <w:p w14:paraId="39F24147"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1DBF202E"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484240F4"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30C2ABFB"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374C7FC5"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0CCE7C44" w14:textId="77777777" w:rsidR="00C853B2" w:rsidRPr="008266F3" w:rsidRDefault="00C853B2">
            <w:pPr>
              <w:spacing w:line="360" w:lineRule="auto"/>
              <w:jc w:val="center"/>
              <w:rPr>
                <w:rFonts w:eastAsia="Times New Roman"/>
                <w:sz w:val="24"/>
                <w:szCs w:val="24"/>
                <w:lang w:val="en-IN"/>
              </w:rPr>
            </w:pPr>
          </w:p>
        </w:tc>
      </w:tr>
      <w:tr w:rsidR="00C853B2" w:rsidRPr="008266F3" w14:paraId="395D5701" w14:textId="77777777">
        <w:trPr>
          <w:trHeight w:val="312"/>
        </w:trPr>
        <w:tc>
          <w:tcPr>
            <w:tcW w:w="5000" w:type="pct"/>
            <w:gridSpan w:val="8"/>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5B49CD7F"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lastRenderedPageBreak/>
              <w:t>Investment Ratios</w:t>
            </w:r>
          </w:p>
        </w:tc>
      </w:tr>
      <w:tr w:rsidR="00C853B2" w:rsidRPr="008266F3" w14:paraId="03C12BC2" w14:textId="77777777">
        <w:trPr>
          <w:trHeight w:val="324"/>
        </w:trPr>
        <w:tc>
          <w:tcPr>
            <w:tcW w:w="1043" w:type="pct"/>
            <w:tcBorders>
              <w:top w:val="nil"/>
              <w:left w:val="single" w:sz="4" w:space="0" w:color="auto"/>
              <w:bottom w:val="single" w:sz="4" w:space="0" w:color="auto"/>
              <w:right w:val="single" w:sz="4" w:space="0" w:color="auto"/>
            </w:tcBorders>
            <w:shd w:val="clear" w:color="000000" w:fill="FCE4D6"/>
            <w:noWrap/>
            <w:vAlign w:val="center"/>
            <w:hideMark/>
          </w:tcPr>
          <w:p w14:paraId="4CDFA15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Particulars</w:t>
            </w:r>
          </w:p>
        </w:tc>
        <w:tc>
          <w:tcPr>
            <w:tcW w:w="386" w:type="pct"/>
            <w:tcBorders>
              <w:top w:val="nil"/>
              <w:left w:val="nil"/>
              <w:bottom w:val="single" w:sz="4" w:space="0" w:color="auto"/>
              <w:right w:val="single" w:sz="4" w:space="0" w:color="auto"/>
            </w:tcBorders>
            <w:shd w:val="clear" w:color="000000" w:fill="FCE4D6"/>
            <w:noWrap/>
            <w:vAlign w:val="center"/>
            <w:hideMark/>
          </w:tcPr>
          <w:p w14:paraId="3A3DA0F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Details</w:t>
            </w:r>
          </w:p>
        </w:tc>
        <w:tc>
          <w:tcPr>
            <w:tcW w:w="650" w:type="pct"/>
            <w:tcBorders>
              <w:top w:val="nil"/>
              <w:left w:val="nil"/>
              <w:bottom w:val="single" w:sz="4" w:space="0" w:color="auto"/>
              <w:right w:val="single" w:sz="4" w:space="0" w:color="auto"/>
            </w:tcBorders>
            <w:shd w:val="clear" w:color="000000" w:fill="FCE4D6"/>
            <w:noWrap/>
            <w:vAlign w:val="center"/>
            <w:hideMark/>
          </w:tcPr>
          <w:p w14:paraId="6954B7B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Formula </w:t>
            </w:r>
          </w:p>
        </w:tc>
        <w:tc>
          <w:tcPr>
            <w:tcW w:w="584" w:type="pct"/>
            <w:tcBorders>
              <w:top w:val="nil"/>
              <w:left w:val="nil"/>
              <w:bottom w:val="single" w:sz="4" w:space="0" w:color="auto"/>
              <w:right w:val="single" w:sz="4" w:space="0" w:color="auto"/>
            </w:tcBorders>
            <w:shd w:val="clear" w:color="000000" w:fill="FCE4D6"/>
            <w:vAlign w:val="center"/>
            <w:hideMark/>
          </w:tcPr>
          <w:p w14:paraId="7219943D"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2021</w:t>
            </w:r>
          </w:p>
        </w:tc>
        <w:tc>
          <w:tcPr>
            <w:tcW w:w="584" w:type="pct"/>
            <w:tcBorders>
              <w:top w:val="nil"/>
              <w:left w:val="nil"/>
              <w:bottom w:val="single" w:sz="4" w:space="0" w:color="auto"/>
              <w:right w:val="single" w:sz="4" w:space="0" w:color="auto"/>
            </w:tcBorders>
            <w:shd w:val="clear" w:color="000000" w:fill="FCE4D6"/>
            <w:vAlign w:val="center"/>
            <w:hideMark/>
          </w:tcPr>
          <w:p w14:paraId="5A58EC6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2022</w:t>
            </w:r>
          </w:p>
        </w:tc>
        <w:tc>
          <w:tcPr>
            <w:tcW w:w="584" w:type="pct"/>
            <w:tcBorders>
              <w:top w:val="nil"/>
              <w:left w:val="nil"/>
              <w:bottom w:val="single" w:sz="4" w:space="0" w:color="auto"/>
              <w:right w:val="single" w:sz="4" w:space="0" w:color="auto"/>
            </w:tcBorders>
            <w:shd w:val="clear" w:color="000000" w:fill="FCE4D6"/>
            <w:vAlign w:val="center"/>
            <w:hideMark/>
          </w:tcPr>
          <w:p w14:paraId="2072428D"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2023</w:t>
            </w:r>
          </w:p>
        </w:tc>
        <w:tc>
          <w:tcPr>
            <w:tcW w:w="584" w:type="pct"/>
            <w:tcBorders>
              <w:top w:val="nil"/>
              <w:left w:val="nil"/>
              <w:bottom w:val="single" w:sz="4" w:space="0" w:color="auto"/>
              <w:right w:val="single" w:sz="4" w:space="0" w:color="auto"/>
            </w:tcBorders>
            <w:shd w:val="clear" w:color="000000" w:fill="FCE4D6"/>
            <w:vAlign w:val="center"/>
            <w:hideMark/>
          </w:tcPr>
          <w:p w14:paraId="5A6FDCD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2024</w:t>
            </w:r>
          </w:p>
        </w:tc>
        <w:tc>
          <w:tcPr>
            <w:tcW w:w="584" w:type="pct"/>
            <w:tcBorders>
              <w:top w:val="nil"/>
              <w:left w:val="nil"/>
              <w:bottom w:val="single" w:sz="4" w:space="0" w:color="auto"/>
              <w:right w:val="single" w:sz="4" w:space="0" w:color="auto"/>
            </w:tcBorders>
            <w:shd w:val="clear" w:color="000000" w:fill="FCE4D6"/>
            <w:vAlign w:val="center"/>
            <w:hideMark/>
          </w:tcPr>
          <w:p w14:paraId="1078C24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2025</w:t>
            </w:r>
          </w:p>
        </w:tc>
      </w:tr>
      <w:tr w:rsidR="00C853B2" w:rsidRPr="008266F3" w14:paraId="7B1A152F" w14:textId="77777777">
        <w:trPr>
          <w:trHeight w:val="324"/>
        </w:trPr>
        <w:tc>
          <w:tcPr>
            <w:tcW w:w="1043" w:type="pct"/>
            <w:tcBorders>
              <w:top w:val="nil"/>
              <w:left w:val="single" w:sz="4" w:space="0" w:color="auto"/>
              <w:bottom w:val="single" w:sz="4" w:space="0" w:color="auto"/>
              <w:right w:val="single" w:sz="4" w:space="0" w:color="auto"/>
            </w:tcBorders>
            <w:shd w:val="clear" w:color="000000" w:fill="BDD7EE"/>
            <w:noWrap/>
            <w:vAlign w:val="center"/>
            <w:hideMark/>
          </w:tcPr>
          <w:p w14:paraId="24B8536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Earning Per Share</w:t>
            </w:r>
          </w:p>
        </w:tc>
        <w:tc>
          <w:tcPr>
            <w:tcW w:w="386" w:type="pct"/>
            <w:tcBorders>
              <w:top w:val="nil"/>
              <w:left w:val="nil"/>
              <w:bottom w:val="single" w:sz="4" w:space="0" w:color="auto"/>
              <w:right w:val="single" w:sz="4" w:space="0" w:color="auto"/>
            </w:tcBorders>
            <w:shd w:val="clear" w:color="000000" w:fill="BDD7EE"/>
            <w:noWrap/>
            <w:vAlign w:val="center"/>
            <w:hideMark/>
          </w:tcPr>
          <w:p w14:paraId="4E651493"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A</w:t>
            </w:r>
          </w:p>
        </w:tc>
        <w:tc>
          <w:tcPr>
            <w:tcW w:w="650" w:type="pct"/>
            <w:tcBorders>
              <w:top w:val="nil"/>
              <w:left w:val="nil"/>
              <w:bottom w:val="single" w:sz="4" w:space="0" w:color="auto"/>
              <w:right w:val="single" w:sz="4" w:space="0" w:color="auto"/>
            </w:tcBorders>
            <w:shd w:val="clear" w:color="000000" w:fill="BDD7EE"/>
            <w:noWrap/>
            <w:vAlign w:val="center"/>
            <w:hideMark/>
          </w:tcPr>
          <w:p w14:paraId="16D32A0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Provided</w:t>
            </w:r>
          </w:p>
        </w:tc>
        <w:tc>
          <w:tcPr>
            <w:tcW w:w="584" w:type="pct"/>
            <w:tcBorders>
              <w:top w:val="single" w:sz="8" w:space="0" w:color="000000"/>
              <w:left w:val="single" w:sz="8" w:space="0" w:color="000000"/>
              <w:bottom w:val="single" w:sz="8" w:space="0" w:color="000000"/>
              <w:right w:val="single" w:sz="8" w:space="0" w:color="000000"/>
            </w:tcBorders>
            <w:shd w:val="clear" w:color="000000" w:fill="BDD7EE"/>
            <w:vAlign w:val="center"/>
            <w:hideMark/>
          </w:tcPr>
          <w:p w14:paraId="3E0084E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3.36</w:t>
            </w:r>
          </w:p>
        </w:tc>
        <w:tc>
          <w:tcPr>
            <w:tcW w:w="584" w:type="pct"/>
            <w:tcBorders>
              <w:top w:val="single" w:sz="8" w:space="0" w:color="000000"/>
              <w:left w:val="nil"/>
              <w:bottom w:val="single" w:sz="8" w:space="0" w:color="000000"/>
              <w:right w:val="single" w:sz="8" w:space="0" w:color="000000"/>
            </w:tcBorders>
            <w:shd w:val="clear" w:color="000000" w:fill="BDD7EE"/>
            <w:vAlign w:val="center"/>
            <w:hideMark/>
          </w:tcPr>
          <w:p w14:paraId="34F8098F"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7.27</w:t>
            </w:r>
          </w:p>
        </w:tc>
        <w:tc>
          <w:tcPr>
            <w:tcW w:w="584" w:type="pct"/>
            <w:tcBorders>
              <w:top w:val="single" w:sz="8" w:space="0" w:color="000000"/>
              <w:left w:val="nil"/>
              <w:bottom w:val="single" w:sz="8" w:space="0" w:color="000000"/>
              <w:right w:val="single" w:sz="8" w:space="0" w:color="000000"/>
            </w:tcBorders>
            <w:shd w:val="clear" w:color="000000" w:fill="BDD7EE"/>
            <w:vAlign w:val="center"/>
            <w:hideMark/>
          </w:tcPr>
          <w:p w14:paraId="2A9372C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10.23</w:t>
            </w:r>
          </w:p>
        </w:tc>
        <w:tc>
          <w:tcPr>
            <w:tcW w:w="584" w:type="pct"/>
            <w:tcBorders>
              <w:top w:val="single" w:sz="8" w:space="0" w:color="000000"/>
              <w:left w:val="nil"/>
              <w:bottom w:val="single" w:sz="8" w:space="0" w:color="000000"/>
              <w:right w:val="single" w:sz="8" w:space="0" w:color="000000"/>
            </w:tcBorders>
            <w:shd w:val="clear" w:color="000000" w:fill="BDD7EE"/>
            <w:vAlign w:val="center"/>
            <w:hideMark/>
          </w:tcPr>
          <w:p w14:paraId="75A77FEE"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8.36</w:t>
            </w:r>
          </w:p>
        </w:tc>
        <w:tc>
          <w:tcPr>
            <w:tcW w:w="584" w:type="pct"/>
            <w:tcBorders>
              <w:top w:val="single" w:sz="8" w:space="0" w:color="000000"/>
              <w:left w:val="nil"/>
              <w:bottom w:val="single" w:sz="8" w:space="0" w:color="000000"/>
              <w:right w:val="single" w:sz="8" w:space="0" w:color="000000"/>
            </w:tcBorders>
            <w:shd w:val="clear" w:color="000000" w:fill="BDD7EE"/>
            <w:vAlign w:val="center"/>
            <w:hideMark/>
          </w:tcPr>
          <w:p w14:paraId="35E3B16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9.53</w:t>
            </w:r>
          </w:p>
        </w:tc>
      </w:tr>
      <w:tr w:rsidR="00C853B2" w:rsidRPr="008266F3" w14:paraId="223DC79E" w14:textId="77777777">
        <w:trPr>
          <w:trHeight w:val="312"/>
        </w:trPr>
        <w:tc>
          <w:tcPr>
            <w:tcW w:w="1043" w:type="pct"/>
            <w:tcBorders>
              <w:top w:val="nil"/>
              <w:left w:val="nil"/>
              <w:bottom w:val="nil"/>
              <w:right w:val="nil"/>
            </w:tcBorders>
            <w:noWrap/>
            <w:vAlign w:val="center"/>
            <w:hideMark/>
          </w:tcPr>
          <w:p w14:paraId="32AB9892" w14:textId="77777777" w:rsidR="00C853B2" w:rsidRPr="008266F3" w:rsidRDefault="00C853B2">
            <w:pPr>
              <w:spacing w:line="360" w:lineRule="auto"/>
              <w:jc w:val="center"/>
              <w:rPr>
                <w:rFonts w:eastAsia="Times New Roman"/>
                <w:b/>
                <w:bCs/>
                <w:color w:val="000000"/>
                <w:sz w:val="24"/>
                <w:szCs w:val="24"/>
                <w:lang w:val="en-IN"/>
              </w:rPr>
            </w:pPr>
          </w:p>
        </w:tc>
        <w:tc>
          <w:tcPr>
            <w:tcW w:w="386" w:type="pct"/>
            <w:tcBorders>
              <w:top w:val="nil"/>
              <w:left w:val="nil"/>
              <w:bottom w:val="nil"/>
              <w:right w:val="nil"/>
            </w:tcBorders>
            <w:noWrap/>
            <w:vAlign w:val="center"/>
            <w:hideMark/>
          </w:tcPr>
          <w:p w14:paraId="7C08F379" w14:textId="77777777" w:rsidR="00C853B2" w:rsidRPr="008266F3" w:rsidRDefault="00C853B2">
            <w:pPr>
              <w:spacing w:line="360" w:lineRule="auto"/>
              <w:jc w:val="center"/>
              <w:rPr>
                <w:rFonts w:eastAsia="Times New Roman"/>
                <w:sz w:val="24"/>
                <w:szCs w:val="24"/>
                <w:lang w:val="en-IN"/>
              </w:rPr>
            </w:pPr>
          </w:p>
        </w:tc>
        <w:tc>
          <w:tcPr>
            <w:tcW w:w="650" w:type="pct"/>
            <w:tcBorders>
              <w:top w:val="nil"/>
              <w:left w:val="nil"/>
              <w:bottom w:val="nil"/>
              <w:right w:val="nil"/>
            </w:tcBorders>
            <w:noWrap/>
            <w:vAlign w:val="center"/>
            <w:hideMark/>
          </w:tcPr>
          <w:p w14:paraId="7E71725F"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613DABA8"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15EF43B2"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1704BA37"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2B688C73"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64E0E1A8" w14:textId="77777777" w:rsidR="00C853B2" w:rsidRPr="008266F3" w:rsidRDefault="00C853B2">
            <w:pPr>
              <w:spacing w:line="360" w:lineRule="auto"/>
              <w:jc w:val="center"/>
              <w:rPr>
                <w:rFonts w:eastAsia="Times New Roman"/>
                <w:sz w:val="24"/>
                <w:szCs w:val="24"/>
                <w:lang w:val="en-IN"/>
              </w:rPr>
            </w:pPr>
          </w:p>
        </w:tc>
      </w:tr>
      <w:tr w:rsidR="00C853B2" w:rsidRPr="008266F3" w14:paraId="0C565056" w14:textId="77777777">
        <w:trPr>
          <w:trHeight w:val="324"/>
        </w:trPr>
        <w:tc>
          <w:tcPr>
            <w:tcW w:w="1043" w:type="pct"/>
            <w:tcBorders>
              <w:top w:val="nil"/>
              <w:left w:val="nil"/>
              <w:bottom w:val="nil"/>
              <w:right w:val="nil"/>
            </w:tcBorders>
            <w:noWrap/>
            <w:vAlign w:val="center"/>
            <w:hideMark/>
          </w:tcPr>
          <w:p w14:paraId="371FCD38" w14:textId="77777777" w:rsidR="00C853B2" w:rsidRPr="008266F3" w:rsidRDefault="00C853B2">
            <w:pPr>
              <w:spacing w:line="360" w:lineRule="auto"/>
              <w:jc w:val="center"/>
              <w:rPr>
                <w:rFonts w:eastAsia="Times New Roman"/>
                <w:sz w:val="24"/>
                <w:szCs w:val="24"/>
                <w:lang w:val="en-IN"/>
              </w:rPr>
            </w:pPr>
          </w:p>
        </w:tc>
        <w:tc>
          <w:tcPr>
            <w:tcW w:w="386" w:type="pct"/>
            <w:tcBorders>
              <w:top w:val="nil"/>
              <w:left w:val="nil"/>
              <w:bottom w:val="nil"/>
              <w:right w:val="nil"/>
            </w:tcBorders>
            <w:noWrap/>
            <w:vAlign w:val="center"/>
            <w:hideMark/>
          </w:tcPr>
          <w:p w14:paraId="5A10A87F" w14:textId="77777777" w:rsidR="00C853B2" w:rsidRPr="008266F3" w:rsidRDefault="00C853B2">
            <w:pPr>
              <w:spacing w:line="360" w:lineRule="auto"/>
              <w:jc w:val="center"/>
              <w:rPr>
                <w:rFonts w:eastAsia="Times New Roman"/>
                <w:sz w:val="24"/>
                <w:szCs w:val="24"/>
                <w:lang w:val="en-IN"/>
              </w:rPr>
            </w:pPr>
          </w:p>
        </w:tc>
        <w:tc>
          <w:tcPr>
            <w:tcW w:w="650" w:type="pct"/>
            <w:tcBorders>
              <w:top w:val="nil"/>
              <w:left w:val="nil"/>
              <w:bottom w:val="nil"/>
              <w:right w:val="nil"/>
            </w:tcBorders>
            <w:noWrap/>
            <w:vAlign w:val="center"/>
            <w:hideMark/>
          </w:tcPr>
          <w:p w14:paraId="4C1CF118"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0D5A0136"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50ED1FC6"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33E8E0BF"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0802D5DC"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6FD2FD8F" w14:textId="77777777" w:rsidR="00C853B2" w:rsidRPr="008266F3" w:rsidRDefault="00C853B2">
            <w:pPr>
              <w:spacing w:line="360" w:lineRule="auto"/>
              <w:jc w:val="center"/>
              <w:rPr>
                <w:rFonts w:eastAsia="Times New Roman"/>
                <w:sz w:val="24"/>
                <w:szCs w:val="24"/>
                <w:lang w:val="en-IN"/>
              </w:rPr>
            </w:pPr>
          </w:p>
        </w:tc>
      </w:tr>
      <w:tr w:rsidR="00C853B2" w:rsidRPr="008266F3" w14:paraId="5A082171" w14:textId="77777777">
        <w:trPr>
          <w:trHeight w:val="624"/>
        </w:trPr>
        <w:tc>
          <w:tcPr>
            <w:tcW w:w="5000" w:type="pct"/>
            <w:gridSpan w:val="8"/>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6654B09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Cash Flow Ratios</w:t>
            </w:r>
          </w:p>
        </w:tc>
      </w:tr>
      <w:tr w:rsidR="00C853B2" w:rsidRPr="008266F3" w14:paraId="6B56391D" w14:textId="77777777">
        <w:trPr>
          <w:trHeight w:val="936"/>
        </w:trPr>
        <w:tc>
          <w:tcPr>
            <w:tcW w:w="1043" w:type="pct"/>
            <w:tcBorders>
              <w:top w:val="nil"/>
              <w:left w:val="single" w:sz="4" w:space="0" w:color="auto"/>
              <w:bottom w:val="single" w:sz="4" w:space="0" w:color="auto"/>
              <w:right w:val="single" w:sz="4" w:space="0" w:color="auto"/>
            </w:tcBorders>
            <w:shd w:val="clear" w:color="000000" w:fill="FCE4D6"/>
            <w:noWrap/>
            <w:vAlign w:val="center"/>
            <w:hideMark/>
          </w:tcPr>
          <w:p w14:paraId="04F7E4E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Particulars</w:t>
            </w:r>
          </w:p>
        </w:tc>
        <w:tc>
          <w:tcPr>
            <w:tcW w:w="386" w:type="pct"/>
            <w:tcBorders>
              <w:top w:val="nil"/>
              <w:left w:val="nil"/>
              <w:bottom w:val="single" w:sz="4" w:space="0" w:color="auto"/>
              <w:right w:val="single" w:sz="4" w:space="0" w:color="auto"/>
            </w:tcBorders>
            <w:shd w:val="clear" w:color="000000" w:fill="FCE4D6"/>
            <w:noWrap/>
            <w:vAlign w:val="center"/>
            <w:hideMark/>
          </w:tcPr>
          <w:p w14:paraId="351597F6"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Details</w:t>
            </w:r>
          </w:p>
        </w:tc>
        <w:tc>
          <w:tcPr>
            <w:tcW w:w="650" w:type="pct"/>
            <w:tcBorders>
              <w:top w:val="nil"/>
              <w:left w:val="nil"/>
              <w:bottom w:val="single" w:sz="4" w:space="0" w:color="auto"/>
              <w:right w:val="single" w:sz="4" w:space="0" w:color="auto"/>
            </w:tcBorders>
            <w:shd w:val="clear" w:color="000000" w:fill="FCE4D6"/>
            <w:noWrap/>
            <w:vAlign w:val="center"/>
            <w:hideMark/>
          </w:tcPr>
          <w:p w14:paraId="18737FA0"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Formula </w:t>
            </w:r>
          </w:p>
        </w:tc>
        <w:tc>
          <w:tcPr>
            <w:tcW w:w="584" w:type="pct"/>
            <w:tcBorders>
              <w:top w:val="nil"/>
              <w:left w:val="nil"/>
              <w:bottom w:val="single" w:sz="4" w:space="0" w:color="auto"/>
              <w:right w:val="single" w:sz="4" w:space="0" w:color="auto"/>
            </w:tcBorders>
            <w:shd w:val="clear" w:color="000000" w:fill="FCE4D6"/>
            <w:vAlign w:val="center"/>
            <w:hideMark/>
          </w:tcPr>
          <w:p w14:paraId="21F3ED00"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2021</w:t>
            </w:r>
          </w:p>
        </w:tc>
        <w:tc>
          <w:tcPr>
            <w:tcW w:w="584" w:type="pct"/>
            <w:tcBorders>
              <w:top w:val="nil"/>
              <w:left w:val="nil"/>
              <w:bottom w:val="single" w:sz="4" w:space="0" w:color="auto"/>
              <w:right w:val="single" w:sz="4" w:space="0" w:color="auto"/>
            </w:tcBorders>
            <w:shd w:val="clear" w:color="000000" w:fill="FCE4D6"/>
            <w:vAlign w:val="center"/>
            <w:hideMark/>
          </w:tcPr>
          <w:p w14:paraId="25D7E49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2022</w:t>
            </w:r>
          </w:p>
        </w:tc>
        <w:tc>
          <w:tcPr>
            <w:tcW w:w="584" w:type="pct"/>
            <w:tcBorders>
              <w:top w:val="nil"/>
              <w:left w:val="nil"/>
              <w:bottom w:val="single" w:sz="4" w:space="0" w:color="auto"/>
              <w:right w:val="single" w:sz="4" w:space="0" w:color="auto"/>
            </w:tcBorders>
            <w:shd w:val="clear" w:color="000000" w:fill="FCE4D6"/>
            <w:vAlign w:val="center"/>
            <w:hideMark/>
          </w:tcPr>
          <w:p w14:paraId="6669CC5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2023</w:t>
            </w:r>
          </w:p>
        </w:tc>
        <w:tc>
          <w:tcPr>
            <w:tcW w:w="584" w:type="pct"/>
            <w:tcBorders>
              <w:top w:val="nil"/>
              <w:left w:val="nil"/>
              <w:bottom w:val="single" w:sz="4" w:space="0" w:color="auto"/>
              <w:right w:val="single" w:sz="4" w:space="0" w:color="auto"/>
            </w:tcBorders>
            <w:shd w:val="clear" w:color="000000" w:fill="FCE4D6"/>
            <w:vAlign w:val="center"/>
            <w:hideMark/>
          </w:tcPr>
          <w:p w14:paraId="03D15B76"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2024</w:t>
            </w:r>
          </w:p>
        </w:tc>
        <w:tc>
          <w:tcPr>
            <w:tcW w:w="584" w:type="pct"/>
            <w:tcBorders>
              <w:top w:val="nil"/>
              <w:left w:val="nil"/>
              <w:bottom w:val="single" w:sz="4" w:space="0" w:color="auto"/>
              <w:right w:val="single" w:sz="4" w:space="0" w:color="auto"/>
            </w:tcBorders>
            <w:shd w:val="clear" w:color="000000" w:fill="FCE4D6"/>
            <w:vAlign w:val="center"/>
            <w:hideMark/>
          </w:tcPr>
          <w:p w14:paraId="11AE6B47"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2025</w:t>
            </w:r>
          </w:p>
        </w:tc>
      </w:tr>
      <w:tr w:rsidR="00C853B2" w:rsidRPr="008266F3" w14:paraId="7FC7266E" w14:textId="77777777">
        <w:trPr>
          <w:trHeight w:val="324"/>
        </w:trPr>
        <w:tc>
          <w:tcPr>
            <w:tcW w:w="1043" w:type="pct"/>
            <w:tcBorders>
              <w:top w:val="nil"/>
              <w:left w:val="single" w:sz="4" w:space="0" w:color="auto"/>
              <w:bottom w:val="single" w:sz="4" w:space="0" w:color="auto"/>
              <w:right w:val="single" w:sz="4" w:space="0" w:color="auto"/>
            </w:tcBorders>
            <w:noWrap/>
            <w:vAlign w:val="center"/>
            <w:hideMark/>
          </w:tcPr>
          <w:p w14:paraId="65DA01D2"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Operating Cash Flow</w:t>
            </w:r>
          </w:p>
        </w:tc>
        <w:tc>
          <w:tcPr>
            <w:tcW w:w="386" w:type="pct"/>
            <w:tcBorders>
              <w:top w:val="nil"/>
              <w:left w:val="nil"/>
              <w:bottom w:val="single" w:sz="4" w:space="0" w:color="auto"/>
              <w:right w:val="single" w:sz="4" w:space="0" w:color="auto"/>
            </w:tcBorders>
            <w:noWrap/>
            <w:vAlign w:val="center"/>
            <w:hideMark/>
          </w:tcPr>
          <w:p w14:paraId="7784D1E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A</w:t>
            </w:r>
          </w:p>
        </w:tc>
        <w:tc>
          <w:tcPr>
            <w:tcW w:w="650" w:type="pct"/>
            <w:tcBorders>
              <w:top w:val="nil"/>
              <w:left w:val="nil"/>
              <w:bottom w:val="single" w:sz="4" w:space="0" w:color="auto"/>
              <w:right w:val="single" w:sz="4" w:space="0" w:color="auto"/>
            </w:tcBorders>
            <w:noWrap/>
            <w:vAlign w:val="center"/>
            <w:hideMark/>
          </w:tcPr>
          <w:p w14:paraId="3D751AA7"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84" w:type="pct"/>
            <w:tcBorders>
              <w:top w:val="nil"/>
              <w:left w:val="single" w:sz="8" w:space="0" w:color="000000"/>
              <w:bottom w:val="single" w:sz="8" w:space="0" w:color="000000"/>
              <w:right w:val="single" w:sz="8" w:space="0" w:color="000000"/>
            </w:tcBorders>
            <w:vAlign w:val="center"/>
            <w:hideMark/>
          </w:tcPr>
          <w:p w14:paraId="508C580D"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1,177 </w:t>
            </w:r>
          </w:p>
        </w:tc>
        <w:tc>
          <w:tcPr>
            <w:tcW w:w="584" w:type="pct"/>
            <w:tcBorders>
              <w:top w:val="nil"/>
              <w:left w:val="nil"/>
              <w:bottom w:val="single" w:sz="8" w:space="0" w:color="000000"/>
              <w:right w:val="single" w:sz="8" w:space="0" w:color="000000"/>
            </w:tcBorders>
            <w:noWrap/>
            <w:vAlign w:val="center"/>
            <w:hideMark/>
          </w:tcPr>
          <w:p w14:paraId="331ACD54"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2,363 </w:t>
            </w:r>
          </w:p>
        </w:tc>
        <w:tc>
          <w:tcPr>
            <w:tcW w:w="584" w:type="pct"/>
            <w:tcBorders>
              <w:top w:val="nil"/>
              <w:left w:val="nil"/>
              <w:bottom w:val="single" w:sz="8" w:space="0" w:color="000000"/>
              <w:right w:val="single" w:sz="8" w:space="0" w:color="000000"/>
            </w:tcBorders>
            <w:noWrap/>
            <w:vAlign w:val="center"/>
            <w:hideMark/>
          </w:tcPr>
          <w:p w14:paraId="2643EADB"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3,170 </w:t>
            </w:r>
          </w:p>
        </w:tc>
        <w:tc>
          <w:tcPr>
            <w:tcW w:w="584" w:type="pct"/>
            <w:tcBorders>
              <w:top w:val="nil"/>
              <w:left w:val="nil"/>
              <w:bottom w:val="single" w:sz="8" w:space="0" w:color="000000"/>
              <w:right w:val="single" w:sz="8" w:space="0" w:color="000000"/>
            </w:tcBorders>
            <w:noWrap/>
            <w:vAlign w:val="center"/>
            <w:hideMark/>
          </w:tcPr>
          <w:p w14:paraId="16959726"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2,749 </w:t>
            </w:r>
          </w:p>
        </w:tc>
        <w:tc>
          <w:tcPr>
            <w:tcW w:w="584" w:type="pct"/>
            <w:tcBorders>
              <w:top w:val="nil"/>
              <w:left w:val="nil"/>
              <w:bottom w:val="single" w:sz="8" w:space="0" w:color="000000"/>
              <w:right w:val="single" w:sz="8" w:space="0" w:color="000000"/>
            </w:tcBorders>
            <w:noWrap/>
            <w:vAlign w:val="center"/>
            <w:hideMark/>
          </w:tcPr>
          <w:p w14:paraId="03D43A24"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3,212 </w:t>
            </w:r>
          </w:p>
        </w:tc>
      </w:tr>
      <w:tr w:rsidR="00C853B2" w:rsidRPr="008266F3" w14:paraId="5100525C" w14:textId="77777777">
        <w:trPr>
          <w:trHeight w:val="312"/>
        </w:trPr>
        <w:tc>
          <w:tcPr>
            <w:tcW w:w="1043" w:type="pct"/>
            <w:tcBorders>
              <w:top w:val="nil"/>
              <w:left w:val="single" w:sz="4" w:space="0" w:color="auto"/>
              <w:bottom w:val="single" w:sz="4" w:space="0" w:color="auto"/>
              <w:right w:val="single" w:sz="4" w:space="0" w:color="auto"/>
            </w:tcBorders>
            <w:noWrap/>
            <w:vAlign w:val="center"/>
            <w:hideMark/>
          </w:tcPr>
          <w:p w14:paraId="161A4260"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Current Liabilities</w:t>
            </w:r>
          </w:p>
        </w:tc>
        <w:tc>
          <w:tcPr>
            <w:tcW w:w="386" w:type="pct"/>
            <w:tcBorders>
              <w:top w:val="nil"/>
              <w:left w:val="nil"/>
              <w:bottom w:val="single" w:sz="4" w:space="0" w:color="auto"/>
              <w:right w:val="single" w:sz="4" w:space="0" w:color="auto"/>
            </w:tcBorders>
            <w:noWrap/>
            <w:vAlign w:val="center"/>
            <w:hideMark/>
          </w:tcPr>
          <w:p w14:paraId="08710C7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B</w:t>
            </w:r>
          </w:p>
        </w:tc>
        <w:tc>
          <w:tcPr>
            <w:tcW w:w="650" w:type="pct"/>
            <w:tcBorders>
              <w:top w:val="nil"/>
              <w:left w:val="nil"/>
              <w:bottom w:val="single" w:sz="4" w:space="0" w:color="auto"/>
              <w:right w:val="single" w:sz="4" w:space="0" w:color="auto"/>
            </w:tcBorders>
            <w:noWrap/>
            <w:vAlign w:val="center"/>
            <w:hideMark/>
          </w:tcPr>
          <w:p w14:paraId="73F7A517"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84" w:type="pct"/>
            <w:tcBorders>
              <w:top w:val="nil"/>
              <w:left w:val="nil"/>
              <w:bottom w:val="nil"/>
              <w:right w:val="nil"/>
            </w:tcBorders>
            <w:noWrap/>
            <w:vAlign w:val="center"/>
            <w:hideMark/>
          </w:tcPr>
          <w:p w14:paraId="7E855338"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6,407 </w:t>
            </w:r>
          </w:p>
        </w:tc>
        <w:tc>
          <w:tcPr>
            <w:tcW w:w="584" w:type="pct"/>
            <w:tcBorders>
              <w:top w:val="nil"/>
              <w:left w:val="nil"/>
              <w:bottom w:val="nil"/>
              <w:right w:val="nil"/>
            </w:tcBorders>
            <w:noWrap/>
            <w:vAlign w:val="center"/>
            <w:hideMark/>
          </w:tcPr>
          <w:p w14:paraId="5BD692E3"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7,339 </w:t>
            </w:r>
          </w:p>
        </w:tc>
        <w:tc>
          <w:tcPr>
            <w:tcW w:w="584" w:type="pct"/>
            <w:tcBorders>
              <w:top w:val="nil"/>
              <w:left w:val="nil"/>
              <w:bottom w:val="nil"/>
              <w:right w:val="nil"/>
            </w:tcBorders>
            <w:noWrap/>
            <w:vAlign w:val="center"/>
            <w:hideMark/>
          </w:tcPr>
          <w:p w14:paraId="51CDFEEE"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7,762 </w:t>
            </w:r>
          </w:p>
        </w:tc>
        <w:tc>
          <w:tcPr>
            <w:tcW w:w="584" w:type="pct"/>
            <w:tcBorders>
              <w:top w:val="nil"/>
              <w:left w:val="nil"/>
              <w:bottom w:val="nil"/>
              <w:right w:val="nil"/>
            </w:tcBorders>
            <w:noWrap/>
            <w:vAlign w:val="center"/>
            <w:hideMark/>
          </w:tcPr>
          <w:p w14:paraId="66B9E2F3"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8,649 </w:t>
            </w:r>
          </w:p>
        </w:tc>
        <w:tc>
          <w:tcPr>
            <w:tcW w:w="584" w:type="pct"/>
            <w:tcBorders>
              <w:top w:val="nil"/>
              <w:left w:val="nil"/>
              <w:bottom w:val="nil"/>
              <w:right w:val="nil"/>
            </w:tcBorders>
            <w:noWrap/>
            <w:vAlign w:val="center"/>
            <w:hideMark/>
          </w:tcPr>
          <w:p w14:paraId="0444731A"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8,398 </w:t>
            </w:r>
          </w:p>
        </w:tc>
      </w:tr>
      <w:tr w:rsidR="00C853B2" w:rsidRPr="008266F3" w14:paraId="76FFEACA" w14:textId="77777777">
        <w:trPr>
          <w:trHeight w:val="636"/>
        </w:trPr>
        <w:tc>
          <w:tcPr>
            <w:tcW w:w="1043" w:type="pct"/>
            <w:tcBorders>
              <w:top w:val="nil"/>
              <w:left w:val="single" w:sz="4" w:space="0" w:color="auto"/>
              <w:bottom w:val="single" w:sz="4" w:space="0" w:color="auto"/>
              <w:right w:val="single" w:sz="4" w:space="0" w:color="auto"/>
            </w:tcBorders>
            <w:shd w:val="clear" w:color="000000" w:fill="BDD7EE"/>
            <w:noWrap/>
            <w:vAlign w:val="bottom"/>
            <w:hideMark/>
          </w:tcPr>
          <w:p w14:paraId="146469D1"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Operating Cash Flow Ratio</w:t>
            </w:r>
          </w:p>
        </w:tc>
        <w:tc>
          <w:tcPr>
            <w:tcW w:w="386" w:type="pct"/>
            <w:tcBorders>
              <w:top w:val="nil"/>
              <w:left w:val="nil"/>
              <w:bottom w:val="single" w:sz="4" w:space="0" w:color="auto"/>
              <w:right w:val="single" w:sz="4" w:space="0" w:color="auto"/>
            </w:tcBorders>
            <w:shd w:val="clear" w:color="000000" w:fill="BDD7EE"/>
            <w:noWrap/>
            <w:vAlign w:val="center"/>
            <w:hideMark/>
          </w:tcPr>
          <w:p w14:paraId="6B3C3AF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A/B</w:t>
            </w:r>
          </w:p>
        </w:tc>
        <w:tc>
          <w:tcPr>
            <w:tcW w:w="650" w:type="pct"/>
            <w:tcBorders>
              <w:top w:val="nil"/>
              <w:left w:val="nil"/>
              <w:bottom w:val="single" w:sz="4" w:space="0" w:color="auto"/>
              <w:right w:val="single" w:sz="4" w:space="0" w:color="auto"/>
            </w:tcBorders>
            <w:shd w:val="clear" w:color="000000" w:fill="BDD7EE"/>
            <w:vAlign w:val="center"/>
            <w:hideMark/>
          </w:tcPr>
          <w:p w14:paraId="00AEC68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(OCF / Current Liabilities)</w:t>
            </w:r>
          </w:p>
        </w:tc>
        <w:tc>
          <w:tcPr>
            <w:tcW w:w="584" w:type="pct"/>
            <w:tcBorders>
              <w:top w:val="single" w:sz="4" w:space="0" w:color="auto"/>
              <w:left w:val="nil"/>
              <w:bottom w:val="single" w:sz="4" w:space="0" w:color="auto"/>
              <w:right w:val="single" w:sz="4" w:space="0" w:color="auto"/>
            </w:tcBorders>
            <w:shd w:val="clear" w:color="000000" w:fill="BDD7EE"/>
            <w:noWrap/>
            <w:vAlign w:val="center"/>
            <w:hideMark/>
          </w:tcPr>
          <w:p w14:paraId="4C024CA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0.18 </w:t>
            </w:r>
          </w:p>
        </w:tc>
        <w:tc>
          <w:tcPr>
            <w:tcW w:w="584" w:type="pct"/>
            <w:tcBorders>
              <w:top w:val="single" w:sz="4" w:space="0" w:color="auto"/>
              <w:left w:val="nil"/>
              <w:bottom w:val="single" w:sz="4" w:space="0" w:color="auto"/>
              <w:right w:val="single" w:sz="4" w:space="0" w:color="auto"/>
            </w:tcBorders>
            <w:shd w:val="clear" w:color="000000" w:fill="BDD7EE"/>
            <w:noWrap/>
            <w:vAlign w:val="center"/>
            <w:hideMark/>
          </w:tcPr>
          <w:p w14:paraId="0F43A44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0.32 </w:t>
            </w:r>
          </w:p>
        </w:tc>
        <w:tc>
          <w:tcPr>
            <w:tcW w:w="584" w:type="pct"/>
            <w:tcBorders>
              <w:top w:val="single" w:sz="4" w:space="0" w:color="auto"/>
              <w:left w:val="nil"/>
              <w:bottom w:val="single" w:sz="4" w:space="0" w:color="auto"/>
              <w:right w:val="single" w:sz="4" w:space="0" w:color="auto"/>
            </w:tcBorders>
            <w:shd w:val="clear" w:color="000000" w:fill="BDD7EE"/>
            <w:noWrap/>
            <w:vAlign w:val="center"/>
            <w:hideMark/>
          </w:tcPr>
          <w:p w14:paraId="3102BFB1"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0.41 </w:t>
            </w:r>
          </w:p>
        </w:tc>
        <w:tc>
          <w:tcPr>
            <w:tcW w:w="584" w:type="pct"/>
            <w:tcBorders>
              <w:top w:val="single" w:sz="4" w:space="0" w:color="auto"/>
              <w:left w:val="nil"/>
              <w:bottom w:val="single" w:sz="4" w:space="0" w:color="auto"/>
              <w:right w:val="single" w:sz="4" w:space="0" w:color="auto"/>
            </w:tcBorders>
            <w:shd w:val="clear" w:color="000000" w:fill="BDD7EE"/>
            <w:noWrap/>
            <w:vAlign w:val="center"/>
            <w:hideMark/>
          </w:tcPr>
          <w:p w14:paraId="5180B91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0.32 </w:t>
            </w:r>
          </w:p>
        </w:tc>
        <w:tc>
          <w:tcPr>
            <w:tcW w:w="584" w:type="pct"/>
            <w:tcBorders>
              <w:top w:val="single" w:sz="4" w:space="0" w:color="auto"/>
              <w:left w:val="nil"/>
              <w:bottom w:val="single" w:sz="4" w:space="0" w:color="auto"/>
              <w:right w:val="single" w:sz="4" w:space="0" w:color="auto"/>
            </w:tcBorders>
            <w:shd w:val="clear" w:color="000000" w:fill="BDD7EE"/>
            <w:noWrap/>
            <w:vAlign w:val="center"/>
            <w:hideMark/>
          </w:tcPr>
          <w:p w14:paraId="5249DF1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0.38 </w:t>
            </w:r>
          </w:p>
        </w:tc>
      </w:tr>
    </w:tbl>
    <w:p w14:paraId="52DF3022" w14:textId="77777777" w:rsidR="00C853B2" w:rsidRPr="008266F3" w:rsidRDefault="00C853B2">
      <w:pPr>
        <w:spacing w:line="360" w:lineRule="auto"/>
        <w:rPr>
          <w:b/>
          <w:bCs/>
          <w:sz w:val="24"/>
          <w:szCs w:val="24"/>
        </w:rPr>
      </w:pPr>
    </w:p>
    <w:p w14:paraId="57465FA4" w14:textId="77777777" w:rsidR="00C853B2" w:rsidRPr="008266F3" w:rsidRDefault="00000000">
      <w:pPr>
        <w:spacing w:line="360" w:lineRule="auto"/>
        <w:rPr>
          <w:b/>
          <w:bCs/>
          <w:sz w:val="24"/>
          <w:szCs w:val="24"/>
        </w:rPr>
      </w:pPr>
      <w:r w:rsidRPr="008266F3">
        <w:rPr>
          <w:b/>
          <w:bCs/>
          <w:sz w:val="24"/>
          <w:szCs w:val="24"/>
        </w:rPr>
        <w:br w:type="page"/>
      </w:r>
    </w:p>
    <w:p w14:paraId="41D007DF" w14:textId="77777777" w:rsidR="00C853B2" w:rsidRPr="008266F3" w:rsidRDefault="00000000">
      <w:pPr>
        <w:pStyle w:val="Heading2"/>
        <w:spacing w:before="0" w:after="0"/>
        <w:rPr>
          <w:rFonts w:ascii="Arial" w:hAnsi="Arial"/>
          <w:szCs w:val="24"/>
        </w:rPr>
      </w:pPr>
      <w:bookmarkStart w:id="10" w:name="_Toc234929486"/>
      <w:r w:rsidRPr="008266F3">
        <w:rPr>
          <w:rFonts w:ascii="Arial" w:hAnsi="Arial"/>
          <w:szCs w:val="24"/>
        </w:rPr>
        <w:lastRenderedPageBreak/>
        <w:t>Appendix 2: Trend analysis</w:t>
      </w:r>
      <w:bookmarkEnd w:id="10"/>
    </w:p>
    <w:tbl>
      <w:tblPr>
        <w:tblW w:w="5000" w:type="pct"/>
        <w:tblLook w:val="04A0" w:firstRow="1" w:lastRow="0" w:firstColumn="1" w:lastColumn="0" w:noHBand="0" w:noVBand="1"/>
      </w:tblPr>
      <w:tblGrid>
        <w:gridCol w:w="1694"/>
        <w:gridCol w:w="1160"/>
        <w:gridCol w:w="1160"/>
        <w:gridCol w:w="1160"/>
        <w:gridCol w:w="1160"/>
        <w:gridCol w:w="1160"/>
        <w:gridCol w:w="824"/>
        <w:gridCol w:w="824"/>
        <w:gridCol w:w="824"/>
        <w:gridCol w:w="824"/>
      </w:tblGrid>
      <w:tr w:rsidR="00C853B2" w:rsidRPr="008266F3" w14:paraId="49A6801F" w14:textId="77777777">
        <w:trPr>
          <w:trHeight w:val="1104"/>
        </w:trPr>
        <w:tc>
          <w:tcPr>
            <w:tcW w:w="612" w:type="pct"/>
            <w:tcBorders>
              <w:top w:val="single" w:sz="4" w:space="0" w:color="auto"/>
              <w:left w:val="single" w:sz="4" w:space="0" w:color="auto"/>
              <w:bottom w:val="single" w:sz="4" w:space="0" w:color="auto"/>
              <w:right w:val="single" w:sz="4" w:space="0" w:color="auto"/>
            </w:tcBorders>
            <w:shd w:val="clear" w:color="000000" w:fill="C6E0B4"/>
            <w:vAlign w:val="center"/>
            <w:hideMark/>
          </w:tcPr>
          <w:p w14:paraId="64CAC210"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Particular </w:t>
            </w:r>
          </w:p>
        </w:tc>
        <w:tc>
          <w:tcPr>
            <w:tcW w:w="422" w:type="pct"/>
            <w:tcBorders>
              <w:top w:val="single" w:sz="4" w:space="0" w:color="auto"/>
              <w:left w:val="nil"/>
              <w:bottom w:val="single" w:sz="4" w:space="0" w:color="auto"/>
              <w:right w:val="single" w:sz="4" w:space="0" w:color="auto"/>
            </w:tcBorders>
            <w:shd w:val="clear" w:color="000000" w:fill="C6E0B4"/>
            <w:vAlign w:val="center"/>
            <w:hideMark/>
          </w:tcPr>
          <w:p w14:paraId="5183C7A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2021</w:t>
            </w:r>
          </w:p>
        </w:tc>
        <w:tc>
          <w:tcPr>
            <w:tcW w:w="422" w:type="pct"/>
            <w:tcBorders>
              <w:top w:val="single" w:sz="4" w:space="0" w:color="auto"/>
              <w:left w:val="nil"/>
              <w:bottom w:val="single" w:sz="4" w:space="0" w:color="auto"/>
              <w:right w:val="single" w:sz="4" w:space="0" w:color="auto"/>
            </w:tcBorders>
            <w:shd w:val="clear" w:color="000000" w:fill="C6E0B4"/>
            <w:vAlign w:val="center"/>
            <w:hideMark/>
          </w:tcPr>
          <w:p w14:paraId="478F952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2022</w:t>
            </w:r>
          </w:p>
        </w:tc>
        <w:tc>
          <w:tcPr>
            <w:tcW w:w="422" w:type="pct"/>
            <w:tcBorders>
              <w:top w:val="single" w:sz="4" w:space="0" w:color="auto"/>
              <w:left w:val="nil"/>
              <w:bottom w:val="single" w:sz="4" w:space="0" w:color="auto"/>
              <w:right w:val="single" w:sz="4" w:space="0" w:color="auto"/>
            </w:tcBorders>
            <w:shd w:val="clear" w:color="000000" w:fill="C6E0B4"/>
            <w:vAlign w:val="center"/>
            <w:hideMark/>
          </w:tcPr>
          <w:p w14:paraId="6A59F58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2023</w:t>
            </w:r>
          </w:p>
        </w:tc>
        <w:tc>
          <w:tcPr>
            <w:tcW w:w="422" w:type="pct"/>
            <w:tcBorders>
              <w:top w:val="single" w:sz="4" w:space="0" w:color="auto"/>
              <w:left w:val="nil"/>
              <w:bottom w:val="single" w:sz="4" w:space="0" w:color="auto"/>
              <w:right w:val="single" w:sz="4" w:space="0" w:color="auto"/>
            </w:tcBorders>
            <w:shd w:val="clear" w:color="000000" w:fill="C6E0B4"/>
            <w:vAlign w:val="center"/>
            <w:hideMark/>
          </w:tcPr>
          <w:p w14:paraId="182DE9C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2024</w:t>
            </w:r>
          </w:p>
        </w:tc>
        <w:tc>
          <w:tcPr>
            <w:tcW w:w="422" w:type="pct"/>
            <w:tcBorders>
              <w:top w:val="single" w:sz="4" w:space="0" w:color="auto"/>
              <w:left w:val="nil"/>
              <w:bottom w:val="single" w:sz="4" w:space="0" w:color="auto"/>
              <w:right w:val="single" w:sz="4" w:space="0" w:color="auto"/>
            </w:tcBorders>
            <w:shd w:val="clear" w:color="000000" w:fill="C6E0B4"/>
            <w:vAlign w:val="center"/>
            <w:hideMark/>
          </w:tcPr>
          <w:p w14:paraId="346E630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2025</w:t>
            </w:r>
          </w:p>
        </w:tc>
        <w:tc>
          <w:tcPr>
            <w:tcW w:w="561" w:type="pct"/>
            <w:tcBorders>
              <w:top w:val="single" w:sz="4" w:space="0" w:color="auto"/>
              <w:left w:val="nil"/>
              <w:bottom w:val="single" w:sz="4" w:space="0" w:color="auto"/>
              <w:right w:val="single" w:sz="4" w:space="0" w:color="auto"/>
            </w:tcBorders>
            <w:shd w:val="clear" w:color="000000" w:fill="C6E0B4"/>
            <w:vAlign w:val="center"/>
            <w:hideMark/>
          </w:tcPr>
          <w:p w14:paraId="09DA581E"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Trend Analysis (2021-2022)</w:t>
            </w:r>
          </w:p>
        </w:tc>
        <w:tc>
          <w:tcPr>
            <w:tcW w:w="448" w:type="pct"/>
            <w:tcBorders>
              <w:top w:val="single" w:sz="4" w:space="0" w:color="auto"/>
              <w:left w:val="nil"/>
              <w:bottom w:val="single" w:sz="4" w:space="0" w:color="auto"/>
              <w:right w:val="single" w:sz="4" w:space="0" w:color="auto"/>
            </w:tcBorders>
            <w:shd w:val="clear" w:color="000000" w:fill="C6E0B4"/>
            <w:vAlign w:val="center"/>
            <w:hideMark/>
          </w:tcPr>
          <w:p w14:paraId="18733671"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Trend Analysis  (2022- 2023)</w:t>
            </w:r>
          </w:p>
        </w:tc>
        <w:tc>
          <w:tcPr>
            <w:tcW w:w="668" w:type="pct"/>
            <w:tcBorders>
              <w:top w:val="single" w:sz="4" w:space="0" w:color="auto"/>
              <w:left w:val="nil"/>
              <w:bottom w:val="single" w:sz="4" w:space="0" w:color="auto"/>
              <w:right w:val="single" w:sz="4" w:space="0" w:color="auto"/>
            </w:tcBorders>
            <w:shd w:val="clear" w:color="000000" w:fill="C6E0B4"/>
            <w:vAlign w:val="center"/>
            <w:hideMark/>
          </w:tcPr>
          <w:p w14:paraId="16FC41B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Trend Analysis  (2023- 2024)</w:t>
            </w:r>
          </w:p>
        </w:tc>
        <w:tc>
          <w:tcPr>
            <w:tcW w:w="599" w:type="pct"/>
            <w:tcBorders>
              <w:top w:val="single" w:sz="4" w:space="0" w:color="auto"/>
              <w:left w:val="nil"/>
              <w:bottom w:val="single" w:sz="4" w:space="0" w:color="auto"/>
              <w:right w:val="single" w:sz="4" w:space="0" w:color="auto"/>
            </w:tcBorders>
            <w:shd w:val="clear" w:color="000000" w:fill="C6E0B4"/>
            <w:vAlign w:val="center"/>
            <w:hideMark/>
          </w:tcPr>
          <w:p w14:paraId="66724AA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Trend Analysis  (2024- 2025)</w:t>
            </w:r>
          </w:p>
        </w:tc>
      </w:tr>
      <w:tr w:rsidR="00C853B2" w:rsidRPr="008266F3" w14:paraId="3C6B870A" w14:textId="77777777">
        <w:trPr>
          <w:trHeight w:val="288"/>
        </w:trPr>
        <w:tc>
          <w:tcPr>
            <w:tcW w:w="612" w:type="pct"/>
            <w:tcBorders>
              <w:top w:val="nil"/>
              <w:left w:val="single" w:sz="4" w:space="0" w:color="auto"/>
              <w:bottom w:val="single" w:sz="4" w:space="0" w:color="auto"/>
              <w:right w:val="single" w:sz="4" w:space="0" w:color="auto"/>
            </w:tcBorders>
            <w:shd w:val="clear" w:color="000000" w:fill="FFFFFF"/>
            <w:noWrap/>
            <w:vAlign w:val="bottom"/>
            <w:hideMark/>
          </w:tcPr>
          <w:p w14:paraId="138DF97C" w14:textId="77777777" w:rsidR="00C853B2" w:rsidRPr="008266F3" w:rsidRDefault="00000000">
            <w:pPr>
              <w:spacing w:line="360" w:lineRule="auto"/>
              <w:rPr>
                <w:rFonts w:eastAsia="Times New Roman"/>
                <w:b/>
                <w:bCs/>
                <w:color w:val="000000"/>
                <w:sz w:val="24"/>
                <w:szCs w:val="24"/>
                <w:lang w:val="en-IN"/>
              </w:rPr>
            </w:pPr>
            <w:r w:rsidRPr="008266F3">
              <w:rPr>
                <w:rFonts w:eastAsia="Times New Roman"/>
                <w:b/>
                <w:bCs/>
                <w:color w:val="000000"/>
                <w:sz w:val="24"/>
                <w:szCs w:val="24"/>
                <w:lang w:val="en-IN"/>
              </w:rPr>
              <w:t>Net Sales</w:t>
            </w:r>
          </w:p>
        </w:tc>
        <w:tc>
          <w:tcPr>
            <w:tcW w:w="422" w:type="pct"/>
            <w:tcBorders>
              <w:top w:val="nil"/>
              <w:left w:val="nil"/>
              <w:bottom w:val="single" w:sz="4" w:space="0" w:color="auto"/>
              <w:right w:val="single" w:sz="4" w:space="0" w:color="auto"/>
            </w:tcBorders>
            <w:shd w:val="clear" w:color="000000" w:fill="FFFFFF"/>
            <w:noWrap/>
            <w:vAlign w:val="bottom"/>
            <w:hideMark/>
          </w:tcPr>
          <w:p w14:paraId="48A8C3D1"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13,857 </w:t>
            </w:r>
          </w:p>
        </w:tc>
        <w:tc>
          <w:tcPr>
            <w:tcW w:w="422" w:type="pct"/>
            <w:tcBorders>
              <w:top w:val="nil"/>
              <w:left w:val="nil"/>
              <w:bottom w:val="single" w:sz="4" w:space="0" w:color="auto"/>
              <w:right w:val="single" w:sz="4" w:space="0" w:color="auto"/>
            </w:tcBorders>
            <w:shd w:val="clear" w:color="000000" w:fill="FFFFFF"/>
            <w:noWrap/>
            <w:vAlign w:val="bottom"/>
            <w:hideMark/>
          </w:tcPr>
          <w:p w14:paraId="0D6D047E"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20,773 </w:t>
            </w:r>
          </w:p>
        </w:tc>
        <w:tc>
          <w:tcPr>
            <w:tcW w:w="422" w:type="pct"/>
            <w:tcBorders>
              <w:top w:val="nil"/>
              <w:left w:val="nil"/>
              <w:bottom w:val="single" w:sz="4" w:space="0" w:color="auto"/>
              <w:right w:val="single" w:sz="4" w:space="0" w:color="auto"/>
            </w:tcBorders>
            <w:shd w:val="clear" w:color="000000" w:fill="FFFFFF"/>
            <w:noWrap/>
            <w:vAlign w:val="bottom"/>
            <w:hideMark/>
          </w:tcPr>
          <w:p w14:paraId="2A5207E7"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23,713 </w:t>
            </w:r>
          </w:p>
        </w:tc>
        <w:tc>
          <w:tcPr>
            <w:tcW w:w="422" w:type="pct"/>
            <w:tcBorders>
              <w:top w:val="nil"/>
              <w:left w:val="nil"/>
              <w:bottom w:val="single" w:sz="4" w:space="0" w:color="auto"/>
              <w:right w:val="single" w:sz="4" w:space="0" w:color="auto"/>
            </w:tcBorders>
            <w:shd w:val="clear" w:color="000000" w:fill="FFFFFF"/>
            <w:noWrap/>
            <w:vAlign w:val="bottom"/>
            <w:hideMark/>
          </w:tcPr>
          <w:p w14:paraId="2805F040"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25,100 </w:t>
            </w:r>
          </w:p>
        </w:tc>
        <w:tc>
          <w:tcPr>
            <w:tcW w:w="422" w:type="pct"/>
            <w:tcBorders>
              <w:top w:val="nil"/>
              <w:left w:val="nil"/>
              <w:bottom w:val="single" w:sz="4" w:space="0" w:color="auto"/>
              <w:right w:val="single" w:sz="4" w:space="0" w:color="auto"/>
            </w:tcBorders>
            <w:shd w:val="clear" w:color="000000" w:fill="FFFFFF"/>
            <w:noWrap/>
            <w:vAlign w:val="bottom"/>
            <w:hideMark/>
          </w:tcPr>
          <w:p w14:paraId="06DE9E19"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26,186 </w:t>
            </w:r>
          </w:p>
        </w:tc>
        <w:tc>
          <w:tcPr>
            <w:tcW w:w="561" w:type="pct"/>
            <w:tcBorders>
              <w:top w:val="nil"/>
              <w:left w:val="nil"/>
              <w:bottom w:val="single" w:sz="4" w:space="0" w:color="auto"/>
              <w:right w:val="single" w:sz="4" w:space="0" w:color="auto"/>
            </w:tcBorders>
            <w:shd w:val="clear" w:color="000000" w:fill="F8CBAD"/>
            <w:noWrap/>
            <w:vAlign w:val="bottom"/>
            <w:hideMark/>
          </w:tcPr>
          <w:p w14:paraId="2563C634"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50%</w:t>
            </w:r>
          </w:p>
        </w:tc>
        <w:tc>
          <w:tcPr>
            <w:tcW w:w="448" w:type="pct"/>
            <w:tcBorders>
              <w:top w:val="nil"/>
              <w:left w:val="nil"/>
              <w:bottom w:val="single" w:sz="4" w:space="0" w:color="auto"/>
              <w:right w:val="single" w:sz="4" w:space="0" w:color="auto"/>
            </w:tcBorders>
            <w:shd w:val="clear" w:color="000000" w:fill="F8CBAD"/>
            <w:noWrap/>
            <w:vAlign w:val="bottom"/>
            <w:hideMark/>
          </w:tcPr>
          <w:p w14:paraId="7FB7774D"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14%</w:t>
            </w:r>
          </w:p>
        </w:tc>
        <w:tc>
          <w:tcPr>
            <w:tcW w:w="668" w:type="pct"/>
            <w:tcBorders>
              <w:top w:val="nil"/>
              <w:left w:val="nil"/>
              <w:bottom w:val="single" w:sz="4" w:space="0" w:color="auto"/>
              <w:right w:val="single" w:sz="4" w:space="0" w:color="auto"/>
            </w:tcBorders>
            <w:shd w:val="clear" w:color="000000" w:fill="F8CBAD"/>
            <w:noWrap/>
            <w:vAlign w:val="bottom"/>
            <w:hideMark/>
          </w:tcPr>
          <w:p w14:paraId="3C68D0F0"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6%</w:t>
            </w:r>
          </w:p>
        </w:tc>
        <w:tc>
          <w:tcPr>
            <w:tcW w:w="599" w:type="pct"/>
            <w:tcBorders>
              <w:top w:val="nil"/>
              <w:left w:val="nil"/>
              <w:bottom w:val="single" w:sz="4" w:space="0" w:color="auto"/>
              <w:right w:val="single" w:sz="4" w:space="0" w:color="auto"/>
            </w:tcBorders>
            <w:shd w:val="clear" w:color="000000" w:fill="F8CBAD"/>
            <w:noWrap/>
            <w:vAlign w:val="bottom"/>
            <w:hideMark/>
          </w:tcPr>
          <w:p w14:paraId="1C246CB8"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4%</w:t>
            </w:r>
          </w:p>
        </w:tc>
      </w:tr>
      <w:tr w:rsidR="00C853B2" w:rsidRPr="008266F3" w14:paraId="701D7C77" w14:textId="77777777">
        <w:trPr>
          <w:trHeight w:val="288"/>
        </w:trPr>
        <w:tc>
          <w:tcPr>
            <w:tcW w:w="612" w:type="pct"/>
            <w:tcBorders>
              <w:top w:val="nil"/>
              <w:left w:val="single" w:sz="4" w:space="0" w:color="auto"/>
              <w:bottom w:val="single" w:sz="4" w:space="0" w:color="auto"/>
              <w:right w:val="single" w:sz="4" w:space="0" w:color="auto"/>
            </w:tcBorders>
            <w:shd w:val="clear" w:color="000000" w:fill="FFFFFF"/>
            <w:noWrap/>
            <w:vAlign w:val="bottom"/>
            <w:hideMark/>
          </w:tcPr>
          <w:p w14:paraId="04286D51" w14:textId="77777777" w:rsidR="00C853B2" w:rsidRPr="008266F3" w:rsidRDefault="00000000">
            <w:pPr>
              <w:spacing w:line="360" w:lineRule="auto"/>
              <w:rPr>
                <w:rFonts w:eastAsia="Times New Roman"/>
                <w:b/>
                <w:bCs/>
                <w:color w:val="000000"/>
                <w:sz w:val="24"/>
                <w:szCs w:val="24"/>
                <w:lang w:val="en-IN"/>
              </w:rPr>
            </w:pPr>
            <w:r w:rsidRPr="008266F3">
              <w:rPr>
                <w:rFonts w:eastAsia="Times New Roman"/>
                <w:b/>
                <w:bCs/>
                <w:color w:val="000000"/>
                <w:sz w:val="24"/>
                <w:szCs w:val="24"/>
                <w:lang w:val="en-IN"/>
              </w:rPr>
              <w:t>Operating Income</w:t>
            </w:r>
          </w:p>
        </w:tc>
        <w:tc>
          <w:tcPr>
            <w:tcW w:w="422" w:type="pct"/>
            <w:tcBorders>
              <w:top w:val="nil"/>
              <w:left w:val="nil"/>
              <w:bottom w:val="single" w:sz="4" w:space="0" w:color="auto"/>
              <w:right w:val="single" w:sz="4" w:space="0" w:color="auto"/>
            </w:tcBorders>
            <w:shd w:val="clear" w:color="000000" w:fill="FFFFFF"/>
            <w:noWrap/>
            <w:vAlign w:val="bottom"/>
            <w:hideMark/>
          </w:tcPr>
          <w:p w14:paraId="1DF6785F"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1,750 </w:t>
            </w:r>
          </w:p>
        </w:tc>
        <w:tc>
          <w:tcPr>
            <w:tcW w:w="422" w:type="pct"/>
            <w:tcBorders>
              <w:top w:val="nil"/>
              <w:left w:val="nil"/>
              <w:bottom w:val="single" w:sz="4" w:space="0" w:color="auto"/>
              <w:right w:val="single" w:sz="4" w:space="0" w:color="auto"/>
            </w:tcBorders>
            <w:shd w:val="clear" w:color="000000" w:fill="FFFFFF"/>
            <w:noWrap/>
            <w:vAlign w:val="bottom"/>
            <w:hideMark/>
          </w:tcPr>
          <w:p w14:paraId="137493FB"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3,462 </w:t>
            </w:r>
          </w:p>
        </w:tc>
        <w:tc>
          <w:tcPr>
            <w:tcW w:w="422" w:type="pct"/>
            <w:tcBorders>
              <w:top w:val="nil"/>
              <w:left w:val="nil"/>
              <w:bottom w:val="single" w:sz="4" w:space="0" w:color="auto"/>
              <w:right w:val="single" w:sz="4" w:space="0" w:color="auto"/>
            </w:tcBorders>
            <w:shd w:val="clear" w:color="000000" w:fill="FFFFFF"/>
            <w:noWrap/>
            <w:vAlign w:val="bottom"/>
            <w:hideMark/>
          </w:tcPr>
          <w:p w14:paraId="7A5DB1E3"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3,864 </w:t>
            </w:r>
          </w:p>
        </w:tc>
        <w:tc>
          <w:tcPr>
            <w:tcW w:w="422" w:type="pct"/>
            <w:tcBorders>
              <w:top w:val="nil"/>
              <w:left w:val="nil"/>
              <w:bottom w:val="single" w:sz="4" w:space="0" w:color="auto"/>
              <w:right w:val="single" w:sz="4" w:space="0" w:color="auto"/>
            </w:tcBorders>
            <w:shd w:val="clear" w:color="000000" w:fill="FFFFFF"/>
            <w:noWrap/>
            <w:vAlign w:val="bottom"/>
            <w:hideMark/>
          </w:tcPr>
          <w:p w14:paraId="777E4A05"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3,767 </w:t>
            </w:r>
          </w:p>
        </w:tc>
        <w:tc>
          <w:tcPr>
            <w:tcW w:w="422" w:type="pct"/>
            <w:tcBorders>
              <w:top w:val="nil"/>
              <w:left w:val="nil"/>
              <w:bottom w:val="single" w:sz="4" w:space="0" w:color="auto"/>
              <w:right w:val="single" w:sz="4" w:space="0" w:color="auto"/>
            </w:tcBorders>
            <w:shd w:val="clear" w:color="000000" w:fill="FFFFFF"/>
            <w:noWrap/>
            <w:vAlign w:val="bottom"/>
            <w:hideMark/>
          </w:tcPr>
          <w:p w14:paraId="42EAAC0F"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4,141 </w:t>
            </w:r>
          </w:p>
        </w:tc>
        <w:tc>
          <w:tcPr>
            <w:tcW w:w="561" w:type="pct"/>
            <w:tcBorders>
              <w:top w:val="nil"/>
              <w:left w:val="nil"/>
              <w:bottom w:val="single" w:sz="4" w:space="0" w:color="auto"/>
              <w:right w:val="single" w:sz="4" w:space="0" w:color="auto"/>
            </w:tcBorders>
            <w:shd w:val="clear" w:color="000000" w:fill="F8CBAD"/>
            <w:noWrap/>
            <w:vAlign w:val="bottom"/>
            <w:hideMark/>
          </w:tcPr>
          <w:p w14:paraId="3FD79A3C"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98%</w:t>
            </w:r>
          </w:p>
        </w:tc>
        <w:tc>
          <w:tcPr>
            <w:tcW w:w="448" w:type="pct"/>
            <w:tcBorders>
              <w:top w:val="nil"/>
              <w:left w:val="nil"/>
              <w:bottom w:val="single" w:sz="4" w:space="0" w:color="auto"/>
              <w:right w:val="single" w:sz="4" w:space="0" w:color="auto"/>
            </w:tcBorders>
            <w:shd w:val="clear" w:color="000000" w:fill="F8CBAD"/>
            <w:noWrap/>
            <w:vAlign w:val="bottom"/>
            <w:hideMark/>
          </w:tcPr>
          <w:p w14:paraId="4D44C105"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12%</w:t>
            </w:r>
          </w:p>
        </w:tc>
        <w:tc>
          <w:tcPr>
            <w:tcW w:w="668" w:type="pct"/>
            <w:tcBorders>
              <w:top w:val="nil"/>
              <w:left w:val="nil"/>
              <w:bottom w:val="single" w:sz="4" w:space="0" w:color="auto"/>
              <w:right w:val="single" w:sz="4" w:space="0" w:color="auto"/>
            </w:tcBorders>
            <w:shd w:val="clear" w:color="000000" w:fill="F8CBAD"/>
            <w:noWrap/>
            <w:vAlign w:val="bottom"/>
            <w:hideMark/>
          </w:tcPr>
          <w:p w14:paraId="61ADB2C2"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-3%</w:t>
            </w:r>
          </w:p>
        </w:tc>
        <w:tc>
          <w:tcPr>
            <w:tcW w:w="599" w:type="pct"/>
            <w:tcBorders>
              <w:top w:val="nil"/>
              <w:left w:val="nil"/>
              <w:bottom w:val="single" w:sz="4" w:space="0" w:color="auto"/>
              <w:right w:val="single" w:sz="4" w:space="0" w:color="auto"/>
            </w:tcBorders>
            <w:shd w:val="clear" w:color="000000" w:fill="F8CBAD"/>
            <w:noWrap/>
            <w:vAlign w:val="bottom"/>
            <w:hideMark/>
          </w:tcPr>
          <w:p w14:paraId="5FAFA36D"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10%</w:t>
            </w:r>
          </w:p>
        </w:tc>
      </w:tr>
      <w:tr w:rsidR="00C853B2" w:rsidRPr="008266F3" w14:paraId="075794F9" w14:textId="77777777">
        <w:trPr>
          <w:trHeight w:val="288"/>
        </w:trPr>
        <w:tc>
          <w:tcPr>
            <w:tcW w:w="612" w:type="pct"/>
            <w:tcBorders>
              <w:top w:val="nil"/>
              <w:left w:val="single" w:sz="4" w:space="0" w:color="auto"/>
              <w:bottom w:val="single" w:sz="4" w:space="0" w:color="auto"/>
              <w:right w:val="single" w:sz="4" w:space="0" w:color="auto"/>
            </w:tcBorders>
            <w:shd w:val="clear" w:color="000000" w:fill="FFFFFF"/>
            <w:noWrap/>
            <w:vAlign w:val="bottom"/>
            <w:hideMark/>
          </w:tcPr>
          <w:p w14:paraId="363CC257" w14:textId="77777777" w:rsidR="00C853B2" w:rsidRPr="008266F3" w:rsidRDefault="00000000">
            <w:pPr>
              <w:spacing w:line="360" w:lineRule="auto"/>
              <w:rPr>
                <w:rFonts w:eastAsia="Times New Roman"/>
                <w:b/>
                <w:bCs/>
                <w:color w:val="000000"/>
                <w:sz w:val="24"/>
                <w:szCs w:val="24"/>
                <w:lang w:val="en-IN"/>
              </w:rPr>
            </w:pPr>
            <w:r w:rsidRPr="008266F3">
              <w:rPr>
                <w:rFonts w:eastAsia="Times New Roman"/>
                <w:b/>
                <w:bCs/>
                <w:color w:val="000000"/>
                <w:sz w:val="24"/>
                <w:szCs w:val="24"/>
                <w:lang w:val="en-IN"/>
              </w:rPr>
              <w:t xml:space="preserve">Total Liabilities </w:t>
            </w:r>
          </w:p>
        </w:tc>
        <w:tc>
          <w:tcPr>
            <w:tcW w:w="422" w:type="pct"/>
            <w:tcBorders>
              <w:top w:val="nil"/>
              <w:left w:val="nil"/>
              <w:bottom w:val="single" w:sz="4" w:space="0" w:color="auto"/>
              <w:right w:val="single" w:sz="4" w:space="0" w:color="auto"/>
            </w:tcBorders>
            <w:shd w:val="clear" w:color="000000" w:fill="FFFFFF"/>
            <w:noWrap/>
            <w:vAlign w:val="bottom"/>
            <w:hideMark/>
          </w:tcPr>
          <w:p w14:paraId="53F846AA"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24,139 </w:t>
            </w:r>
          </w:p>
        </w:tc>
        <w:tc>
          <w:tcPr>
            <w:tcW w:w="422" w:type="pct"/>
            <w:tcBorders>
              <w:top w:val="nil"/>
              <w:left w:val="nil"/>
              <w:bottom w:val="single" w:sz="4" w:space="0" w:color="auto"/>
              <w:right w:val="single" w:sz="4" w:space="0" w:color="auto"/>
            </w:tcBorders>
            <w:shd w:val="clear" w:color="000000" w:fill="FFFFFF"/>
            <w:noWrap/>
            <w:vAlign w:val="bottom"/>
            <w:hideMark/>
          </w:tcPr>
          <w:p w14:paraId="76BBD766"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24,247 </w:t>
            </w:r>
          </w:p>
        </w:tc>
        <w:tc>
          <w:tcPr>
            <w:tcW w:w="422" w:type="pct"/>
            <w:tcBorders>
              <w:top w:val="nil"/>
              <w:left w:val="nil"/>
              <w:bottom w:val="single" w:sz="4" w:space="0" w:color="auto"/>
              <w:right w:val="single" w:sz="4" w:space="0" w:color="auto"/>
            </w:tcBorders>
            <w:shd w:val="clear" w:color="000000" w:fill="FFFFFF"/>
            <w:noWrap/>
            <w:vAlign w:val="bottom"/>
            <w:hideMark/>
          </w:tcPr>
          <w:p w14:paraId="1F43569F"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26,356 </w:t>
            </w:r>
          </w:p>
        </w:tc>
        <w:tc>
          <w:tcPr>
            <w:tcW w:w="422" w:type="pct"/>
            <w:tcBorders>
              <w:top w:val="nil"/>
              <w:left w:val="nil"/>
              <w:bottom w:val="single" w:sz="4" w:space="0" w:color="auto"/>
              <w:right w:val="single" w:sz="4" w:space="0" w:color="auto"/>
            </w:tcBorders>
            <w:shd w:val="clear" w:color="000000" w:fill="FFFFFF"/>
            <w:noWrap/>
            <w:vAlign w:val="bottom"/>
            <w:hideMark/>
          </w:tcPr>
          <w:p w14:paraId="755EE142"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29,174 </w:t>
            </w:r>
          </w:p>
        </w:tc>
        <w:tc>
          <w:tcPr>
            <w:tcW w:w="422" w:type="pct"/>
            <w:tcBorders>
              <w:top w:val="nil"/>
              <w:left w:val="nil"/>
              <w:bottom w:val="single" w:sz="4" w:space="0" w:color="auto"/>
              <w:right w:val="single" w:sz="4" w:space="0" w:color="auto"/>
            </w:tcBorders>
            <w:shd w:val="clear" w:color="000000" w:fill="FFFFFF"/>
            <w:noWrap/>
            <w:vAlign w:val="bottom"/>
            <w:hideMark/>
          </w:tcPr>
          <w:p w14:paraId="53F49677"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31,311 </w:t>
            </w:r>
          </w:p>
        </w:tc>
        <w:tc>
          <w:tcPr>
            <w:tcW w:w="561" w:type="pct"/>
            <w:tcBorders>
              <w:top w:val="nil"/>
              <w:left w:val="nil"/>
              <w:bottom w:val="single" w:sz="4" w:space="0" w:color="auto"/>
              <w:right w:val="single" w:sz="4" w:space="0" w:color="auto"/>
            </w:tcBorders>
            <w:shd w:val="clear" w:color="000000" w:fill="F8CBAD"/>
            <w:noWrap/>
            <w:vAlign w:val="bottom"/>
            <w:hideMark/>
          </w:tcPr>
          <w:p w14:paraId="693D25E0"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0%</w:t>
            </w:r>
          </w:p>
        </w:tc>
        <w:tc>
          <w:tcPr>
            <w:tcW w:w="448" w:type="pct"/>
            <w:tcBorders>
              <w:top w:val="nil"/>
              <w:left w:val="nil"/>
              <w:bottom w:val="single" w:sz="4" w:space="0" w:color="auto"/>
              <w:right w:val="single" w:sz="4" w:space="0" w:color="auto"/>
            </w:tcBorders>
            <w:shd w:val="clear" w:color="000000" w:fill="F8CBAD"/>
            <w:noWrap/>
            <w:vAlign w:val="bottom"/>
            <w:hideMark/>
          </w:tcPr>
          <w:p w14:paraId="69E2E9A0"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9%</w:t>
            </w:r>
          </w:p>
        </w:tc>
        <w:tc>
          <w:tcPr>
            <w:tcW w:w="668" w:type="pct"/>
            <w:tcBorders>
              <w:top w:val="nil"/>
              <w:left w:val="nil"/>
              <w:bottom w:val="single" w:sz="4" w:space="0" w:color="auto"/>
              <w:right w:val="single" w:sz="4" w:space="0" w:color="auto"/>
            </w:tcBorders>
            <w:shd w:val="clear" w:color="000000" w:fill="F8CBAD"/>
            <w:noWrap/>
            <w:vAlign w:val="bottom"/>
            <w:hideMark/>
          </w:tcPr>
          <w:p w14:paraId="41298481"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11%</w:t>
            </w:r>
          </w:p>
        </w:tc>
        <w:tc>
          <w:tcPr>
            <w:tcW w:w="599" w:type="pct"/>
            <w:tcBorders>
              <w:top w:val="nil"/>
              <w:left w:val="nil"/>
              <w:bottom w:val="single" w:sz="4" w:space="0" w:color="auto"/>
              <w:right w:val="single" w:sz="4" w:space="0" w:color="auto"/>
            </w:tcBorders>
            <w:shd w:val="clear" w:color="000000" w:fill="F8CBAD"/>
            <w:noWrap/>
            <w:vAlign w:val="bottom"/>
            <w:hideMark/>
          </w:tcPr>
          <w:p w14:paraId="70CD197C"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7%</w:t>
            </w:r>
          </w:p>
        </w:tc>
      </w:tr>
      <w:tr w:rsidR="00C853B2" w:rsidRPr="008266F3" w14:paraId="60719468" w14:textId="77777777">
        <w:trPr>
          <w:trHeight w:val="288"/>
        </w:trPr>
        <w:tc>
          <w:tcPr>
            <w:tcW w:w="612" w:type="pct"/>
            <w:tcBorders>
              <w:top w:val="nil"/>
              <w:left w:val="single" w:sz="4" w:space="0" w:color="auto"/>
              <w:bottom w:val="single" w:sz="4" w:space="0" w:color="auto"/>
              <w:right w:val="single" w:sz="4" w:space="0" w:color="auto"/>
            </w:tcBorders>
            <w:shd w:val="clear" w:color="000000" w:fill="FFFFFF"/>
            <w:noWrap/>
            <w:vAlign w:val="bottom"/>
            <w:hideMark/>
          </w:tcPr>
          <w:p w14:paraId="45FACFBA" w14:textId="77777777" w:rsidR="00C853B2" w:rsidRPr="008266F3" w:rsidRDefault="00000000">
            <w:pPr>
              <w:spacing w:line="360" w:lineRule="auto"/>
              <w:rPr>
                <w:rFonts w:eastAsia="Times New Roman"/>
                <w:b/>
                <w:bCs/>
                <w:color w:val="000000"/>
                <w:sz w:val="24"/>
                <w:szCs w:val="24"/>
                <w:lang w:val="en-IN"/>
              </w:rPr>
            </w:pPr>
            <w:r w:rsidRPr="008266F3">
              <w:rPr>
                <w:rFonts w:eastAsia="Times New Roman"/>
                <w:b/>
                <w:bCs/>
                <w:color w:val="000000"/>
                <w:sz w:val="24"/>
                <w:szCs w:val="24"/>
                <w:lang w:val="en-IN"/>
              </w:rPr>
              <w:t xml:space="preserve">Total Assets </w:t>
            </w:r>
          </w:p>
        </w:tc>
        <w:tc>
          <w:tcPr>
            <w:tcW w:w="422" w:type="pct"/>
            <w:tcBorders>
              <w:top w:val="nil"/>
              <w:left w:val="nil"/>
              <w:bottom w:val="single" w:sz="4" w:space="0" w:color="auto"/>
              <w:right w:val="single" w:sz="4" w:space="0" w:color="auto"/>
            </w:tcBorders>
            <w:shd w:val="clear" w:color="000000" w:fill="FFFFFF"/>
            <w:noWrap/>
            <w:vAlign w:val="bottom"/>
            <w:hideMark/>
          </w:tcPr>
          <w:p w14:paraId="41FFE00C"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25,553 </w:t>
            </w:r>
          </w:p>
        </w:tc>
        <w:tc>
          <w:tcPr>
            <w:tcW w:w="422" w:type="pct"/>
            <w:tcBorders>
              <w:top w:val="nil"/>
              <w:left w:val="nil"/>
              <w:bottom w:val="single" w:sz="4" w:space="0" w:color="auto"/>
              <w:right w:val="single" w:sz="4" w:space="0" w:color="auto"/>
            </w:tcBorders>
            <w:shd w:val="clear" w:color="000000" w:fill="FFFFFF"/>
            <w:noWrap/>
            <w:vAlign w:val="bottom"/>
            <w:hideMark/>
          </w:tcPr>
          <w:p w14:paraId="1042FF29"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24,815 </w:t>
            </w:r>
          </w:p>
        </w:tc>
        <w:tc>
          <w:tcPr>
            <w:tcW w:w="422" w:type="pct"/>
            <w:tcBorders>
              <w:top w:val="nil"/>
              <w:left w:val="nil"/>
              <w:bottom w:val="single" w:sz="4" w:space="0" w:color="auto"/>
              <w:right w:val="single" w:sz="4" w:space="0" w:color="auto"/>
            </w:tcBorders>
            <w:shd w:val="clear" w:color="000000" w:fill="FFFFFF"/>
            <w:noWrap/>
            <w:vAlign w:val="bottom"/>
            <w:hideMark/>
          </w:tcPr>
          <w:p w14:paraId="7543705A"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25,674 </w:t>
            </w:r>
          </w:p>
        </w:tc>
        <w:tc>
          <w:tcPr>
            <w:tcW w:w="422" w:type="pct"/>
            <w:tcBorders>
              <w:top w:val="nil"/>
              <w:left w:val="nil"/>
              <w:bottom w:val="single" w:sz="4" w:space="0" w:color="auto"/>
              <w:right w:val="single" w:sz="4" w:space="0" w:color="auto"/>
            </w:tcBorders>
            <w:shd w:val="clear" w:color="000000" w:fill="FFFFFF"/>
            <w:noWrap/>
            <w:vAlign w:val="bottom"/>
            <w:hideMark/>
          </w:tcPr>
          <w:p w14:paraId="373A3032"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26,182 </w:t>
            </w:r>
          </w:p>
        </w:tc>
        <w:tc>
          <w:tcPr>
            <w:tcW w:w="422" w:type="pct"/>
            <w:tcBorders>
              <w:top w:val="nil"/>
              <w:left w:val="nil"/>
              <w:bottom w:val="single" w:sz="4" w:space="0" w:color="auto"/>
              <w:right w:val="single" w:sz="4" w:space="0" w:color="auto"/>
            </w:tcBorders>
            <w:shd w:val="clear" w:color="000000" w:fill="FFFFFF"/>
            <w:noWrap/>
            <w:vAlign w:val="bottom"/>
            <w:hideMark/>
          </w:tcPr>
          <w:p w14:paraId="4E57BF9C"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2,754 </w:t>
            </w:r>
          </w:p>
        </w:tc>
        <w:tc>
          <w:tcPr>
            <w:tcW w:w="561" w:type="pct"/>
            <w:tcBorders>
              <w:top w:val="nil"/>
              <w:left w:val="nil"/>
              <w:bottom w:val="single" w:sz="4" w:space="0" w:color="auto"/>
              <w:right w:val="single" w:sz="4" w:space="0" w:color="auto"/>
            </w:tcBorders>
            <w:shd w:val="clear" w:color="000000" w:fill="F8CBAD"/>
            <w:noWrap/>
            <w:vAlign w:val="bottom"/>
            <w:hideMark/>
          </w:tcPr>
          <w:p w14:paraId="175EAE86"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-3%</w:t>
            </w:r>
          </w:p>
        </w:tc>
        <w:tc>
          <w:tcPr>
            <w:tcW w:w="448" w:type="pct"/>
            <w:tcBorders>
              <w:top w:val="nil"/>
              <w:left w:val="nil"/>
              <w:bottom w:val="single" w:sz="4" w:space="0" w:color="auto"/>
              <w:right w:val="single" w:sz="4" w:space="0" w:color="auto"/>
            </w:tcBorders>
            <w:shd w:val="clear" w:color="000000" w:fill="F8CBAD"/>
            <w:noWrap/>
            <w:vAlign w:val="bottom"/>
            <w:hideMark/>
          </w:tcPr>
          <w:p w14:paraId="2659FEE8"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3%</w:t>
            </w:r>
          </w:p>
        </w:tc>
        <w:tc>
          <w:tcPr>
            <w:tcW w:w="668" w:type="pct"/>
            <w:tcBorders>
              <w:top w:val="nil"/>
              <w:left w:val="nil"/>
              <w:bottom w:val="single" w:sz="4" w:space="0" w:color="auto"/>
              <w:right w:val="single" w:sz="4" w:space="0" w:color="auto"/>
            </w:tcBorders>
            <w:shd w:val="clear" w:color="000000" w:fill="F8CBAD"/>
            <w:noWrap/>
            <w:vAlign w:val="bottom"/>
            <w:hideMark/>
          </w:tcPr>
          <w:p w14:paraId="6594D4E8"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2%</w:t>
            </w:r>
          </w:p>
        </w:tc>
        <w:tc>
          <w:tcPr>
            <w:tcW w:w="599" w:type="pct"/>
            <w:tcBorders>
              <w:top w:val="nil"/>
              <w:left w:val="nil"/>
              <w:bottom w:val="single" w:sz="4" w:space="0" w:color="auto"/>
              <w:right w:val="single" w:sz="4" w:space="0" w:color="auto"/>
            </w:tcBorders>
            <w:shd w:val="clear" w:color="000000" w:fill="F8CBAD"/>
            <w:noWrap/>
            <w:vAlign w:val="bottom"/>
            <w:hideMark/>
          </w:tcPr>
          <w:p w14:paraId="19B8C530"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-89%</w:t>
            </w:r>
          </w:p>
        </w:tc>
      </w:tr>
      <w:tr w:rsidR="00C853B2" w:rsidRPr="008266F3" w14:paraId="6CFA5588" w14:textId="77777777">
        <w:trPr>
          <w:trHeight w:val="288"/>
        </w:trPr>
        <w:tc>
          <w:tcPr>
            <w:tcW w:w="612" w:type="pct"/>
            <w:tcBorders>
              <w:top w:val="nil"/>
              <w:left w:val="single" w:sz="4" w:space="0" w:color="auto"/>
              <w:bottom w:val="single" w:sz="4" w:space="0" w:color="auto"/>
              <w:right w:val="single" w:sz="4" w:space="0" w:color="auto"/>
            </w:tcBorders>
            <w:shd w:val="clear" w:color="000000" w:fill="FFFFFF"/>
            <w:noWrap/>
            <w:vAlign w:val="bottom"/>
            <w:hideMark/>
          </w:tcPr>
          <w:p w14:paraId="00574F0C" w14:textId="77777777" w:rsidR="00C853B2" w:rsidRPr="008266F3" w:rsidRDefault="00000000">
            <w:pPr>
              <w:spacing w:line="360" w:lineRule="auto"/>
              <w:rPr>
                <w:rFonts w:eastAsia="Times New Roman"/>
                <w:b/>
                <w:bCs/>
                <w:color w:val="000000"/>
                <w:sz w:val="24"/>
                <w:szCs w:val="24"/>
                <w:lang w:val="en-IN"/>
              </w:rPr>
            </w:pPr>
            <w:r w:rsidRPr="008266F3">
              <w:rPr>
                <w:rFonts w:eastAsia="Times New Roman"/>
                <w:b/>
                <w:bCs/>
                <w:color w:val="000000"/>
                <w:sz w:val="24"/>
                <w:szCs w:val="24"/>
                <w:lang w:val="en-IN"/>
              </w:rPr>
              <w:t>Operating Cash Flow</w:t>
            </w:r>
          </w:p>
        </w:tc>
        <w:tc>
          <w:tcPr>
            <w:tcW w:w="422" w:type="pct"/>
            <w:tcBorders>
              <w:top w:val="nil"/>
              <w:left w:val="nil"/>
              <w:bottom w:val="single" w:sz="4" w:space="0" w:color="auto"/>
              <w:right w:val="single" w:sz="4" w:space="0" w:color="auto"/>
            </w:tcBorders>
            <w:shd w:val="clear" w:color="000000" w:fill="FFFFFF"/>
            <w:noWrap/>
            <w:vAlign w:val="bottom"/>
            <w:hideMark/>
          </w:tcPr>
          <w:p w14:paraId="30803D1A"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1,177 </w:t>
            </w:r>
          </w:p>
        </w:tc>
        <w:tc>
          <w:tcPr>
            <w:tcW w:w="422" w:type="pct"/>
            <w:tcBorders>
              <w:top w:val="nil"/>
              <w:left w:val="nil"/>
              <w:bottom w:val="single" w:sz="4" w:space="0" w:color="auto"/>
              <w:right w:val="single" w:sz="4" w:space="0" w:color="auto"/>
            </w:tcBorders>
            <w:shd w:val="clear" w:color="000000" w:fill="FFFFFF"/>
            <w:noWrap/>
            <w:vAlign w:val="bottom"/>
            <w:hideMark/>
          </w:tcPr>
          <w:p w14:paraId="42B4DBB3"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2,363 </w:t>
            </w:r>
          </w:p>
        </w:tc>
        <w:tc>
          <w:tcPr>
            <w:tcW w:w="422" w:type="pct"/>
            <w:tcBorders>
              <w:top w:val="nil"/>
              <w:left w:val="nil"/>
              <w:bottom w:val="single" w:sz="4" w:space="0" w:color="auto"/>
              <w:right w:val="single" w:sz="4" w:space="0" w:color="auto"/>
            </w:tcBorders>
            <w:shd w:val="clear" w:color="000000" w:fill="FFFFFF"/>
            <w:noWrap/>
            <w:vAlign w:val="bottom"/>
            <w:hideMark/>
          </w:tcPr>
          <w:p w14:paraId="2F5D2E4E"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3,170 </w:t>
            </w:r>
          </w:p>
        </w:tc>
        <w:tc>
          <w:tcPr>
            <w:tcW w:w="422" w:type="pct"/>
            <w:tcBorders>
              <w:top w:val="nil"/>
              <w:left w:val="nil"/>
              <w:bottom w:val="single" w:sz="4" w:space="0" w:color="auto"/>
              <w:right w:val="single" w:sz="4" w:space="0" w:color="auto"/>
            </w:tcBorders>
            <w:shd w:val="clear" w:color="000000" w:fill="FFFFFF"/>
            <w:noWrap/>
            <w:vAlign w:val="bottom"/>
            <w:hideMark/>
          </w:tcPr>
          <w:p w14:paraId="24C63CBB"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2,749 </w:t>
            </w:r>
          </w:p>
        </w:tc>
        <w:tc>
          <w:tcPr>
            <w:tcW w:w="422" w:type="pct"/>
            <w:tcBorders>
              <w:top w:val="nil"/>
              <w:left w:val="nil"/>
              <w:bottom w:val="single" w:sz="4" w:space="0" w:color="auto"/>
              <w:right w:val="single" w:sz="4" w:space="0" w:color="auto"/>
            </w:tcBorders>
            <w:shd w:val="clear" w:color="000000" w:fill="FFFFFF"/>
            <w:noWrap/>
            <w:vAlign w:val="bottom"/>
            <w:hideMark/>
          </w:tcPr>
          <w:p w14:paraId="641495F7"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3,212 </w:t>
            </w:r>
          </w:p>
        </w:tc>
        <w:tc>
          <w:tcPr>
            <w:tcW w:w="561" w:type="pct"/>
            <w:tcBorders>
              <w:top w:val="nil"/>
              <w:left w:val="nil"/>
              <w:bottom w:val="single" w:sz="4" w:space="0" w:color="auto"/>
              <w:right w:val="single" w:sz="4" w:space="0" w:color="auto"/>
            </w:tcBorders>
            <w:shd w:val="clear" w:color="000000" w:fill="F8CBAD"/>
            <w:noWrap/>
            <w:vAlign w:val="bottom"/>
            <w:hideMark/>
          </w:tcPr>
          <w:p w14:paraId="04CA223D"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101%</w:t>
            </w:r>
          </w:p>
        </w:tc>
        <w:tc>
          <w:tcPr>
            <w:tcW w:w="448" w:type="pct"/>
            <w:tcBorders>
              <w:top w:val="nil"/>
              <w:left w:val="nil"/>
              <w:bottom w:val="single" w:sz="4" w:space="0" w:color="auto"/>
              <w:right w:val="single" w:sz="4" w:space="0" w:color="auto"/>
            </w:tcBorders>
            <w:shd w:val="clear" w:color="000000" w:fill="F8CBAD"/>
            <w:noWrap/>
            <w:vAlign w:val="bottom"/>
            <w:hideMark/>
          </w:tcPr>
          <w:p w14:paraId="59903B27"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34%</w:t>
            </w:r>
          </w:p>
        </w:tc>
        <w:tc>
          <w:tcPr>
            <w:tcW w:w="668" w:type="pct"/>
            <w:tcBorders>
              <w:top w:val="nil"/>
              <w:left w:val="nil"/>
              <w:bottom w:val="single" w:sz="4" w:space="0" w:color="auto"/>
              <w:right w:val="single" w:sz="4" w:space="0" w:color="auto"/>
            </w:tcBorders>
            <w:shd w:val="clear" w:color="000000" w:fill="F8CBAD"/>
            <w:noWrap/>
            <w:vAlign w:val="bottom"/>
            <w:hideMark/>
          </w:tcPr>
          <w:p w14:paraId="0D3A1B77"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-13%</w:t>
            </w:r>
          </w:p>
        </w:tc>
        <w:tc>
          <w:tcPr>
            <w:tcW w:w="599" w:type="pct"/>
            <w:tcBorders>
              <w:top w:val="nil"/>
              <w:left w:val="nil"/>
              <w:bottom w:val="single" w:sz="4" w:space="0" w:color="auto"/>
              <w:right w:val="single" w:sz="4" w:space="0" w:color="auto"/>
            </w:tcBorders>
            <w:shd w:val="clear" w:color="000000" w:fill="F8CBAD"/>
            <w:noWrap/>
            <w:vAlign w:val="bottom"/>
            <w:hideMark/>
          </w:tcPr>
          <w:p w14:paraId="093C64F9"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17%</w:t>
            </w:r>
          </w:p>
        </w:tc>
      </w:tr>
    </w:tbl>
    <w:p w14:paraId="5AB041A2" w14:textId="77777777" w:rsidR="00C853B2" w:rsidRPr="008266F3" w:rsidRDefault="00000000">
      <w:pPr>
        <w:spacing w:line="360" w:lineRule="auto"/>
        <w:rPr>
          <w:sz w:val="24"/>
          <w:szCs w:val="24"/>
        </w:rPr>
      </w:pPr>
      <w:r w:rsidRPr="008266F3">
        <w:rPr>
          <w:sz w:val="24"/>
          <w:szCs w:val="24"/>
        </w:rPr>
        <w:br w:type="page"/>
      </w:r>
    </w:p>
    <w:p w14:paraId="36D2CE07" w14:textId="77777777" w:rsidR="00C853B2" w:rsidRPr="008266F3" w:rsidRDefault="00000000">
      <w:pPr>
        <w:pStyle w:val="Heading2"/>
        <w:spacing w:before="0" w:after="0"/>
        <w:rPr>
          <w:rFonts w:ascii="Arial" w:hAnsi="Arial"/>
          <w:color w:val="auto"/>
          <w:szCs w:val="24"/>
          <w:lang w:val="en-GB"/>
        </w:rPr>
      </w:pPr>
      <w:bookmarkStart w:id="11" w:name="_Toc234929487"/>
      <w:r w:rsidRPr="008266F3">
        <w:rPr>
          <w:rFonts w:ascii="Arial" w:hAnsi="Arial"/>
          <w:color w:val="auto"/>
          <w:szCs w:val="24"/>
          <w:lang w:val="en-GB"/>
        </w:rPr>
        <w:lastRenderedPageBreak/>
        <w:t>Appendix 3: Project summary</w:t>
      </w:r>
      <w:bookmarkEnd w:id="11"/>
    </w:p>
    <w:p w14:paraId="5036A4C7" w14:textId="77777777" w:rsidR="00C853B2" w:rsidRPr="008266F3" w:rsidRDefault="00000000">
      <w:pPr>
        <w:autoSpaceDE w:val="0"/>
        <w:autoSpaceDN w:val="0"/>
        <w:adjustRightInd w:val="0"/>
        <w:spacing w:line="360" w:lineRule="auto"/>
        <w:jc w:val="both"/>
        <w:rPr>
          <w:sz w:val="24"/>
          <w:szCs w:val="24"/>
          <w:lang w:val="en-GB"/>
        </w:rPr>
      </w:pPr>
      <w:r w:rsidRPr="008266F3">
        <w:rPr>
          <w:noProof/>
          <w:sz w:val="24"/>
          <w:szCs w:val="24"/>
          <w:lang w:eastAsia="en-US"/>
        </w:rPr>
        <w:drawing>
          <wp:inline distT="0" distB="0" distL="0" distR="0" wp14:anchorId="25A3CB9B" wp14:editId="17C6CA29">
            <wp:extent cx="5943600" cy="1735530"/>
            <wp:effectExtent l="19050" t="0" r="0" b="0"/>
            <wp:docPr id="103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1"/>
                    <pic:cNvPicPr/>
                  </pic:nvPicPr>
                  <pic:blipFill>
                    <a:blip r:embed="rId20" cstate="print"/>
                    <a:srcRect/>
                    <a:stretch/>
                  </pic:blipFill>
                  <pic:spPr>
                    <a:xfrm>
                      <a:off x="0" y="0"/>
                      <a:ext cx="5943600" cy="1735530"/>
                    </a:xfrm>
                    <a:prstGeom prst="rect">
                      <a:avLst/>
                    </a:prstGeom>
                    <a:ln>
                      <a:noFill/>
                    </a:ln>
                  </pic:spPr>
                </pic:pic>
              </a:graphicData>
            </a:graphic>
          </wp:inline>
        </w:drawing>
      </w:r>
    </w:p>
    <w:p w14:paraId="5B5C5602" w14:textId="77777777" w:rsidR="00C853B2" w:rsidRPr="008266F3" w:rsidRDefault="00C853B2">
      <w:pPr>
        <w:pStyle w:val="Heading2"/>
        <w:rPr>
          <w:rFonts w:ascii="Arial" w:hAnsi="Arial"/>
          <w:szCs w:val="24"/>
          <w:lang w:val="en-GB"/>
        </w:rPr>
      </w:pPr>
    </w:p>
    <w:sectPr w:rsidR="00C853B2" w:rsidRPr="008266F3" w:rsidSect="00F22492">
      <w:footerReference w:type="default" r:id="rId21"/>
      <w:footerReference w:type="first" r:id="rId22"/>
      <w:pgSz w:w="12240" w:h="15840"/>
      <w:pgMar w:top="720" w:right="720" w:bottom="720" w:left="72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6E71710" w14:textId="77777777" w:rsidR="00873FFF" w:rsidRDefault="00873FFF">
      <w:pPr>
        <w:spacing w:line="240" w:lineRule="auto"/>
      </w:pPr>
      <w:r>
        <w:separator/>
      </w:r>
    </w:p>
  </w:endnote>
  <w:endnote w:type="continuationSeparator" w:id="0">
    <w:p w14:paraId="56166C27" w14:textId="77777777" w:rsidR="00873FFF" w:rsidRDefault="00873F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Lucida Sans Unicode">
    <w:panose1 w:val="020B0602030504020204"/>
    <w:charset w:val="00"/>
    <w:family w:val="swiss"/>
    <w:pitch w:val="variable"/>
    <w:sig w:usb0="80000AFF" w:usb1="0000396B" w:usb2="00000000" w:usb3="00000000" w:csb0="000000B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01B3EB1" w14:textId="77777777" w:rsidR="00C853B2" w:rsidRDefault="00000000">
    <w:pPr>
      <w:pStyle w:val="Footer"/>
      <w:jc w:val="right"/>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Pr>
        <w:rFonts w:ascii="Times New Roman" w:hAnsi="Times New Roman" w:cs="Times New Roman"/>
        <w:noProof/>
        <w:sz w:val="20"/>
        <w:szCs w:val="20"/>
      </w:rPr>
      <w:t>21</w:t>
    </w:r>
    <w:r>
      <w:rPr>
        <w:rFonts w:ascii="Times New Roman" w:hAnsi="Times New Roman" w:cs="Times New Roman"/>
        <w:noProof/>
        <w:sz w:val="20"/>
        <w:szCs w:val="20"/>
      </w:rPr>
      <w:fldChar w:fldCharType="end"/>
    </w:r>
  </w:p>
  <w:p w14:paraId="3040ABD9" w14:textId="77777777" w:rsidR="00C853B2" w:rsidRDefault="00C853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9901296" w14:textId="77777777" w:rsidR="00C853B2" w:rsidRDefault="00000000">
    <w:pPr>
      <w:pStyle w:val="Footer"/>
      <w:jc w:val="right"/>
      <w:rPr>
        <w:rFonts w:ascii="Times New Roman" w:hAnsi="Times New Roman" w:cs="Times New Roman"/>
        <w:sz w:val="20"/>
      </w:rPr>
    </w:pPr>
    <w:r>
      <w:rPr>
        <w:rFonts w:ascii="Times New Roman" w:hAnsi="Times New Roman" w:cs="Times New Roman"/>
        <w:sz w:val="20"/>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FE8FDBE" w14:textId="77777777" w:rsidR="00873FFF" w:rsidRDefault="00873FFF">
      <w:pPr>
        <w:spacing w:line="240" w:lineRule="auto"/>
      </w:pPr>
      <w:r>
        <w:separator/>
      </w:r>
    </w:p>
  </w:footnote>
  <w:footnote w:type="continuationSeparator" w:id="0">
    <w:p w14:paraId="214D855A" w14:textId="77777777" w:rsidR="00873FFF" w:rsidRDefault="00873FF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multilevel"/>
    <w:tmpl w:val="F5A2EC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0000002"/>
    <w:multiLevelType w:val="multilevel"/>
    <w:tmpl w:val="84BC7F1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3"/>
    <w:multiLevelType w:val="multilevel"/>
    <w:tmpl w:val="9C9A5DD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00000004"/>
    <w:multiLevelType w:val="multilevel"/>
    <w:tmpl w:val="A676982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0000005"/>
    <w:multiLevelType w:val="multilevel"/>
    <w:tmpl w:val="2BD055B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00000006"/>
    <w:multiLevelType w:val="multilevel"/>
    <w:tmpl w:val="48624E5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00000007"/>
    <w:multiLevelType w:val="hybridMultilevel"/>
    <w:tmpl w:val="0C4C3694"/>
    <w:lvl w:ilvl="0" w:tplc="E460CFA8">
      <w:start w:val="1"/>
      <w:numFmt w:val="bullet"/>
      <w:lvlText w:val=""/>
      <w:lvlJc w:val="left"/>
      <w:pPr>
        <w:ind w:left="720" w:hanging="360"/>
      </w:pPr>
      <w:rPr>
        <w:rFonts w:ascii="Symbol" w:hAnsi="Symbol" w:hint="default"/>
      </w:rPr>
    </w:lvl>
    <w:lvl w:ilvl="1" w:tplc="18AA8E92" w:tentative="1">
      <w:start w:val="1"/>
      <w:numFmt w:val="bullet"/>
      <w:lvlText w:val="o"/>
      <w:lvlJc w:val="left"/>
      <w:pPr>
        <w:ind w:left="1440" w:hanging="360"/>
      </w:pPr>
      <w:rPr>
        <w:rFonts w:ascii="Courier New" w:hAnsi="Courier New" w:cs="Courier New" w:hint="default"/>
      </w:rPr>
    </w:lvl>
    <w:lvl w:ilvl="2" w:tplc="EB721FD8" w:tentative="1">
      <w:start w:val="1"/>
      <w:numFmt w:val="bullet"/>
      <w:lvlText w:val=""/>
      <w:lvlJc w:val="left"/>
      <w:pPr>
        <w:ind w:left="2160" w:hanging="360"/>
      </w:pPr>
      <w:rPr>
        <w:rFonts w:ascii="Wingdings" w:hAnsi="Wingdings" w:hint="default"/>
      </w:rPr>
    </w:lvl>
    <w:lvl w:ilvl="3" w:tplc="1D72F49A" w:tentative="1">
      <w:start w:val="1"/>
      <w:numFmt w:val="bullet"/>
      <w:lvlText w:val=""/>
      <w:lvlJc w:val="left"/>
      <w:pPr>
        <w:ind w:left="2880" w:hanging="360"/>
      </w:pPr>
      <w:rPr>
        <w:rFonts w:ascii="Symbol" w:hAnsi="Symbol" w:hint="default"/>
      </w:rPr>
    </w:lvl>
    <w:lvl w:ilvl="4" w:tplc="41945C9E" w:tentative="1">
      <w:start w:val="1"/>
      <w:numFmt w:val="bullet"/>
      <w:lvlText w:val="o"/>
      <w:lvlJc w:val="left"/>
      <w:pPr>
        <w:ind w:left="3600" w:hanging="360"/>
      </w:pPr>
      <w:rPr>
        <w:rFonts w:ascii="Courier New" w:hAnsi="Courier New" w:cs="Courier New" w:hint="default"/>
      </w:rPr>
    </w:lvl>
    <w:lvl w:ilvl="5" w:tplc="7294F30C" w:tentative="1">
      <w:start w:val="1"/>
      <w:numFmt w:val="bullet"/>
      <w:lvlText w:val=""/>
      <w:lvlJc w:val="left"/>
      <w:pPr>
        <w:ind w:left="4320" w:hanging="360"/>
      </w:pPr>
      <w:rPr>
        <w:rFonts w:ascii="Wingdings" w:hAnsi="Wingdings" w:hint="default"/>
      </w:rPr>
    </w:lvl>
    <w:lvl w:ilvl="6" w:tplc="B7585E0E" w:tentative="1">
      <w:start w:val="1"/>
      <w:numFmt w:val="bullet"/>
      <w:lvlText w:val=""/>
      <w:lvlJc w:val="left"/>
      <w:pPr>
        <w:ind w:left="5040" w:hanging="360"/>
      </w:pPr>
      <w:rPr>
        <w:rFonts w:ascii="Symbol" w:hAnsi="Symbol" w:hint="default"/>
      </w:rPr>
    </w:lvl>
    <w:lvl w:ilvl="7" w:tplc="B2C47930" w:tentative="1">
      <w:start w:val="1"/>
      <w:numFmt w:val="bullet"/>
      <w:lvlText w:val="o"/>
      <w:lvlJc w:val="left"/>
      <w:pPr>
        <w:ind w:left="5760" w:hanging="360"/>
      </w:pPr>
      <w:rPr>
        <w:rFonts w:ascii="Courier New" w:hAnsi="Courier New" w:cs="Courier New" w:hint="default"/>
      </w:rPr>
    </w:lvl>
    <w:lvl w:ilvl="8" w:tplc="8DAEEA7E" w:tentative="1">
      <w:start w:val="1"/>
      <w:numFmt w:val="bullet"/>
      <w:lvlText w:val=""/>
      <w:lvlJc w:val="left"/>
      <w:pPr>
        <w:ind w:left="6480" w:hanging="360"/>
      </w:pPr>
      <w:rPr>
        <w:rFonts w:ascii="Wingdings" w:hAnsi="Wingdings" w:hint="default"/>
      </w:rPr>
    </w:lvl>
  </w:abstractNum>
  <w:abstractNum w:abstractNumId="7" w15:restartNumberingAfterBreak="0">
    <w:nsid w:val="00000008"/>
    <w:multiLevelType w:val="multilevel"/>
    <w:tmpl w:val="B0D096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00000009"/>
    <w:multiLevelType w:val="hybridMultilevel"/>
    <w:tmpl w:val="EA764738"/>
    <w:lvl w:ilvl="0" w:tplc="0D9A36EC">
      <w:start w:val="1"/>
      <w:numFmt w:val="decimal"/>
      <w:lvlText w:val="%1."/>
      <w:lvlJc w:val="left"/>
      <w:pPr>
        <w:ind w:left="720" w:hanging="360"/>
      </w:pPr>
    </w:lvl>
    <w:lvl w:ilvl="1" w:tplc="8464580C" w:tentative="1">
      <w:start w:val="1"/>
      <w:numFmt w:val="lowerLetter"/>
      <w:lvlText w:val="%2."/>
      <w:lvlJc w:val="left"/>
      <w:pPr>
        <w:ind w:left="1440" w:hanging="360"/>
      </w:pPr>
    </w:lvl>
    <w:lvl w:ilvl="2" w:tplc="496AB3E4" w:tentative="1">
      <w:start w:val="1"/>
      <w:numFmt w:val="lowerRoman"/>
      <w:lvlText w:val="%3."/>
      <w:lvlJc w:val="right"/>
      <w:pPr>
        <w:ind w:left="2160" w:hanging="180"/>
      </w:pPr>
    </w:lvl>
    <w:lvl w:ilvl="3" w:tplc="BA9ED2A2" w:tentative="1">
      <w:start w:val="1"/>
      <w:numFmt w:val="decimal"/>
      <w:lvlText w:val="%4."/>
      <w:lvlJc w:val="left"/>
      <w:pPr>
        <w:ind w:left="2880" w:hanging="360"/>
      </w:pPr>
    </w:lvl>
    <w:lvl w:ilvl="4" w:tplc="23A60224" w:tentative="1">
      <w:start w:val="1"/>
      <w:numFmt w:val="lowerLetter"/>
      <w:lvlText w:val="%5."/>
      <w:lvlJc w:val="left"/>
      <w:pPr>
        <w:ind w:left="3600" w:hanging="360"/>
      </w:pPr>
    </w:lvl>
    <w:lvl w:ilvl="5" w:tplc="97B215D8" w:tentative="1">
      <w:start w:val="1"/>
      <w:numFmt w:val="lowerRoman"/>
      <w:lvlText w:val="%6."/>
      <w:lvlJc w:val="right"/>
      <w:pPr>
        <w:ind w:left="4320" w:hanging="180"/>
      </w:pPr>
    </w:lvl>
    <w:lvl w:ilvl="6" w:tplc="66148BE0" w:tentative="1">
      <w:start w:val="1"/>
      <w:numFmt w:val="decimal"/>
      <w:lvlText w:val="%7."/>
      <w:lvlJc w:val="left"/>
      <w:pPr>
        <w:ind w:left="5040" w:hanging="360"/>
      </w:pPr>
    </w:lvl>
    <w:lvl w:ilvl="7" w:tplc="953E01C8" w:tentative="1">
      <w:start w:val="1"/>
      <w:numFmt w:val="lowerLetter"/>
      <w:lvlText w:val="%8."/>
      <w:lvlJc w:val="left"/>
      <w:pPr>
        <w:ind w:left="5760" w:hanging="360"/>
      </w:pPr>
    </w:lvl>
    <w:lvl w:ilvl="8" w:tplc="AF6C6298" w:tentative="1">
      <w:start w:val="1"/>
      <w:numFmt w:val="lowerRoman"/>
      <w:lvlText w:val="%9."/>
      <w:lvlJc w:val="right"/>
      <w:pPr>
        <w:ind w:left="6480" w:hanging="180"/>
      </w:pPr>
    </w:lvl>
  </w:abstractNum>
  <w:abstractNum w:abstractNumId="9" w15:restartNumberingAfterBreak="0">
    <w:nsid w:val="0000000A"/>
    <w:multiLevelType w:val="multilevel"/>
    <w:tmpl w:val="69C076F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0000000B"/>
    <w:multiLevelType w:val="multilevel"/>
    <w:tmpl w:val="FA12323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1" w15:restartNumberingAfterBreak="0">
    <w:nsid w:val="0000000C"/>
    <w:multiLevelType w:val="multilevel"/>
    <w:tmpl w:val="36445E2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2" w15:restartNumberingAfterBreak="0">
    <w:nsid w:val="0000000D"/>
    <w:multiLevelType w:val="multilevel"/>
    <w:tmpl w:val="9542AF0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3" w15:restartNumberingAfterBreak="0">
    <w:nsid w:val="0000000E"/>
    <w:multiLevelType w:val="multilevel"/>
    <w:tmpl w:val="171868F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4" w15:restartNumberingAfterBreak="0">
    <w:nsid w:val="0000000F"/>
    <w:multiLevelType w:val="multilevel"/>
    <w:tmpl w:val="34BA1F8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5" w15:restartNumberingAfterBreak="0">
    <w:nsid w:val="00000010"/>
    <w:multiLevelType w:val="multilevel"/>
    <w:tmpl w:val="C464EA1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6" w15:restartNumberingAfterBreak="0">
    <w:nsid w:val="00000011"/>
    <w:multiLevelType w:val="multilevel"/>
    <w:tmpl w:val="09A07E6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7" w15:restartNumberingAfterBreak="0">
    <w:nsid w:val="00000012"/>
    <w:multiLevelType w:val="multilevel"/>
    <w:tmpl w:val="E806CD8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8" w15:restartNumberingAfterBreak="0">
    <w:nsid w:val="00000013"/>
    <w:multiLevelType w:val="multilevel"/>
    <w:tmpl w:val="1CAC72D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9" w15:restartNumberingAfterBreak="0">
    <w:nsid w:val="00000014"/>
    <w:multiLevelType w:val="multilevel"/>
    <w:tmpl w:val="5CF0CDD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0" w15:restartNumberingAfterBreak="0">
    <w:nsid w:val="00000015"/>
    <w:multiLevelType w:val="multilevel"/>
    <w:tmpl w:val="5D1EC8B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1" w15:restartNumberingAfterBreak="0">
    <w:nsid w:val="00000016"/>
    <w:multiLevelType w:val="multilevel"/>
    <w:tmpl w:val="2484222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2" w15:restartNumberingAfterBreak="0">
    <w:nsid w:val="00000017"/>
    <w:multiLevelType w:val="multilevel"/>
    <w:tmpl w:val="5C62728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3" w15:restartNumberingAfterBreak="0">
    <w:nsid w:val="00000018"/>
    <w:multiLevelType w:val="multilevel"/>
    <w:tmpl w:val="D4541FA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4" w15:restartNumberingAfterBreak="0">
    <w:nsid w:val="00000019"/>
    <w:multiLevelType w:val="multilevel"/>
    <w:tmpl w:val="BF54B4C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5" w15:restartNumberingAfterBreak="0">
    <w:nsid w:val="0000001A"/>
    <w:multiLevelType w:val="hybridMultilevel"/>
    <w:tmpl w:val="A95486B2"/>
    <w:lvl w:ilvl="0" w:tplc="646605C0">
      <w:start w:val="1"/>
      <w:numFmt w:val="bullet"/>
      <w:lvlText w:val=""/>
      <w:lvlJc w:val="left"/>
      <w:pPr>
        <w:ind w:left="720" w:hanging="360"/>
      </w:pPr>
      <w:rPr>
        <w:rFonts w:ascii="Symbol" w:hAnsi="Symbol" w:hint="default"/>
      </w:rPr>
    </w:lvl>
    <w:lvl w:ilvl="1" w:tplc="E3E69B76" w:tentative="1">
      <w:start w:val="1"/>
      <w:numFmt w:val="bullet"/>
      <w:lvlText w:val="o"/>
      <w:lvlJc w:val="left"/>
      <w:pPr>
        <w:ind w:left="1440" w:hanging="360"/>
      </w:pPr>
      <w:rPr>
        <w:rFonts w:ascii="Courier New" w:hAnsi="Courier New" w:cs="Courier New" w:hint="default"/>
      </w:rPr>
    </w:lvl>
    <w:lvl w:ilvl="2" w:tplc="77683E7E" w:tentative="1">
      <w:start w:val="1"/>
      <w:numFmt w:val="bullet"/>
      <w:lvlText w:val=""/>
      <w:lvlJc w:val="left"/>
      <w:pPr>
        <w:ind w:left="2160" w:hanging="360"/>
      </w:pPr>
      <w:rPr>
        <w:rFonts w:ascii="Wingdings" w:hAnsi="Wingdings" w:hint="default"/>
      </w:rPr>
    </w:lvl>
    <w:lvl w:ilvl="3" w:tplc="C99E64B6" w:tentative="1">
      <w:start w:val="1"/>
      <w:numFmt w:val="bullet"/>
      <w:lvlText w:val=""/>
      <w:lvlJc w:val="left"/>
      <w:pPr>
        <w:ind w:left="2880" w:hanging="360"/>
      </w:pPr>
      <w:rPr>
        <w:rFonts w:ascii="Symbol" w:hAnsi="Symbol" w:hint="default"/>
      </w:rPr>
    </w:lvl>
    <w:lvl w:ilvl="4" w:tplc="0786E0D6" w:tentative="1">
      <w:start w:val="1"/>
      <w:numFmt w:val="bullet"/>
      <w:lvlText w:val="o"/>
      <w:lvlJc w:val="left"/>
      <w:pPr>
        <w:ind w:left="3600" w:hanging="360"/>
      </w:pPr>
      <w:rPr>
        <w:rFonts w:ascii="Courier New" w:hAnsi="Courier New" w:cs="Courier New" w:hint="default"/>
      </w:rPr>
    </w:lvl>
    <w:lvl w:ilvl="5" w:tplc="1E3C5698" w:tentative="1">
      <w:start w:val="1"/>
      <w:numFmt w:val="bullet"/>
      <w:lvlText w:val=""/>
      <w:lvlJc w:val="left"/>
      <w:pPr>
        <w:ind w:left="4320" w:hanging="360"/>
      </w:pPr>
      <w:rPr>
        <w:rFonts w:ascii="Wingdings" w:hAnsi="Wingdings" w:hint="default"/>
      </w:rPr>
    </w:lvl>
    <w:lvl w:ilvl="6" w:tplc="75FCB6E8" w:tentative="1">
      <w:start w:val="1"/>
      <w:numFmt w:val="bullet"/>
      <w:lvlText w:val=""/>
      <w:lvlJc w:val="left"/>
      <w:pPr>
        <w:ind w:left="5040" w:hanging="360"/>
      </w:pPr>
      <w:rPr>
        <w:rFonts w:ascii="Symbol" w:hAnsi="Symbol" w:hint="default"/>
      </w:rPr>
    </w:lvl>
    <w:lvl w:ilvl="7" w:tplc="6F5696E8" w:tentative="1">
      <w:start w:val="1"/>
      <w:numFmt w:val="bullet"/>
      <w:lvlText w:val="o"/>
      <w:lvlJc w:val="left"/>
      <w:pPr>
        <w:ind w:left="5760" w:hanging="360"/>
      </w:pPr>
      <w:rPr>
        <w:rFonts w:ascii="Courier New" w:hAnsi="Courier New" w:cs="Courier New" w:hint="default"/>
      </w:rPr>
    </w:lvl>
    <w:lvl w:ilvl="8" w:tplc="E7CE56EC" w:tentative="1">
      <w:start w:val="1"/>
      <w:numFmt w:val="bullet"/>
      <w:lvlText w:val=""/>
      <w:lvlJc w:val="left"/>
      <w:pPr>
        <w:ind w:left="6480" w:hanging="360"/>
      </w:pPr>
      <w:rPr>
        <w:rFonts w:ascii="Wingdings" w:hAnsi="Wingdings" w:hint="default"/>
      </w:rPr>
    </w:lvl>
  </w:abstractNum>
  <w:abstractNum w:abstractNumId="26" w15:restartNumberingAfterBreak="0">
    <w:nsid w:val="0000001B"/>
    <w:multiLevelType w:val="multilevel"/>
    <w:tmpl w:val="F30CB8A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7" w15:restartNumberingAfterBreak="0">
    <w:nsid w:val="0000001C"/>
    <w:multiLevelType w:val="multilevel"/>
    <w:tmpl w:val="3A84379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8" w15:restartNumberingAfterBreak="0">
    <w:nsid w:val="0000001D"/>
    <w:multiLevelType w:val="multilevel"/>
    <w:tmpl w:val="C0FE6E9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9" w15:restartNumberingAfterBreak="0">
    <w:nsid w:val="0000001E"/>
    <w:multiLevelType w:val="multilevel"/>
    <w:tmpl w:val="D29C245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0" w15:restartNumberingAfterBreak="0">
    <w:nsid w:val="0000001F"/>
    <w:multiLevelType w:val="multilevel"/>
    <w:tmpl w:val="05F26F7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1" w15:restartNumberingAfterBreak="0">
    <w:nsid w:val="00000020"/>
    <w:multiLevelType w:val="multilevel"/>
    <w:tmpl w:val="A31877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00000021"/>
    <w:multiLevelType w:val="hybridMultilevel"/>
    <w:tmpl w:val="2B501FAE"/>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3" w15:restartNumberingAfterBreak="0">
    <w:nsid w:val="00000022"/>
    <w:multiLevelType w:val="multilevel"/>
    <w:tmpl w:val="A0CC32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00000023"/>
    <w:multiLevelType w:val="multilevel"/>
    <w:tmpl w:val="0F4C174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5" w15:restartNumberingAfterBreak="0">
    <w:nsid w:val="00000024"/>
    <w:multiLevelType w:val="multilevel"/>
    <w:tmpl w:val="B728F8C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6" w15:restartNumberingAfterBreak="0">
    <w:nsid w:val="00000025"/>
    <w:multiLevelType w:val="multilevel"/>
    <w:tmpl w:val="5150E56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7" w15:restartNumberingAfterBreak="0">
    <w:nsid w:val="77A42D36"/>
    <w:multiLevelType w:val="hybridMultilevel"/>
    <w:tmpl w:val="CD6E75D0"/>
    <w:lvl w:ilvl="0" w:tplc="8FB22F32">
      <w:start w:val="1"/>
      <w:numFmt w:val="decimal"/>
      <w:lvlText w:val="%1."/>
      <w:lvlJc w:val="left"/>
      <w:pPr>
        <w:ind w:left="360" w:hanging="360"/>
      </w:pPr>
      <w:rPr>
        <w:rFonts w:hint="default"/>
      </w:rPr>
    </w:lvl>
    <w:lvl w:ilvl="1" w:tplc="F0F219C6" w:tentative="1">
      <w:start w:val="1"/>
      <w:numFmt w:val="bullet"/>
      <w:lvlText w:val="o"/>
      <w:lvlJc w:val="left"/>
      <w:pPr>
        <w:ind w:left="1080" w:hanging="360"/>
      </w:pPr>
      <w:rPr>
        <w:rFonts w:ascii="Courier New" w:hAnsi="Courier New" w:cs="Courier New" w:hint="default"/>
      </w:rPr>
    </w:lvl>
    <w:lvl w:ilvl="2" w:tplc="338AAF6E" w:tentative="1">
      <w:start w:val="1"/>
      <w:numFmt w:val="bullet"/>
      <w:lvlText w:val=""/>
      <w:lvlJc w:val="left"/>
      <w:pPr>
        <w:ind w:left="1800" w:hanging="360"/>
      </w:pPr>
      <w:rPr>
        <w:rFonts w:ascii="Wingdings" w:hAnsi="Wingdings" w:hint="default"/>
      </w:rPr>
    </w:lvl>
    <w:lvl w:ilvl="3" w:tplc="7E3672C6" w:tentative="1">
      <w:start w:val="1"/>
      <w:numFmt w:val="bullet"/>
      <w:lvlText w:val=""/>
      <w:lvlJc w:val="left"/>
      <w:pPr>
        <w:ind w:left="2520" w:hanging="360"/>
      </w:pPr>
      <w:rPr>
        <w:rFonts w:ascii="Symbol" w:hAnsi="Symbol" w:hint="default"/>
      </w:rPr>
    </w:lvl>
    <w:lvl w:ilvl="4" w:tplc="9E04A570" w:tentative="1">
      <w:start w:val="1"/>
      <w:numFmt w:val="bullet"/>
      <w:lvlText w:val="o"/>
      <w:lvlJc w:val="left"/>
      <w:pPr>
        <w:ind w:left="3240" w:hanging="360"/>
      </w:pPr>
      <w:rPr>
        <w:rFonts w:ascii="Courier New" w:hAnsi="Courier New" w:cs="Courier New" w:hint="default"/>
      </w:rPr>
    </w:lvl>
    <w:lvl w:ilvl="5" w:tplc="62F2474A" w:tentative="1">
      <w:start w:val="1"/>
      <w:numFmt w:val="bullet"/>
      <w:lvlText w:val=""/>
      <w:lvlJc w:val="left"/>
      <w:pPr>
        <w:ind w:left="3960" w:hanging="360"/>
      </w:pPr>
      <w:rPr>
        <w:rFonts w:ascii="Wingdings" w:hAnsi="Wingdings" w:hint="default"/>
      </w:rPr>
    </w:lvl>
    <w:lvl w:ilvl="6" w:tplc="67A6A6E0" w:tentative="1">
      <w:start w:val="1"/>
      <w:numFmt w:val="bullet"/>
      <w:lvlText w:val=""/>
      <w:lvlJc w:val="left"/>
      <w:pPr>
        <w:ind w:left="4680" w:hanging="360"/>
      </w:pPr>
      <w:rPr>
        <w:rFonts w:ascii="Symbol" w:hAnsi="Symbol" w:hint="default"/>
      </w:rPr>
    </w:lvl>
    <w:lvl w:ilvl="7" w:tplc="78E08FAC" w:tentative="1">
      <w:start w:val="1"/>
      <w:numFmt w:val="bullet"/>
      <w:lvlText w:val="o"/>
      <w:lvlJc w:val="left"/>
      <w:pPr>
        <w:ind w:left="5400" w:hanging="360"/>
      </w:pPr>
      <w:rPr>
        <w:rFonts w:ascii="Courier New" w:hAnsi="Courier New" w:cs="Courier New" w:hint="default"/>
      </w:rPr>
    </w:lvl>
    <w:lvl w:ilvl="8" w:tplc="37B6D34A" w:tentative="1">
      <w:start w:val="1"/>
      <w:numFmt w:val="bullet"/>
      <w:lvlText w:val=""/>
      <w:lvlJc w:val="left"/>
      <w:pPr>
        <w:ind w:left="6120" w:hanging="360"/>
      </w:pPr>
      <w:rPr>
        <w:rFonts w:ascii="Wingdings" w:hAnsi="Wingdings" w:hint="default"/>
      </w:rPr>
    </w:lvl>
  </w:abstractNum>
  <w:num w:numId="1" w16cid:durableId="1888761687">
    <w:abstractNumId w:val="32"/>
  </w:num>
  <w:num w:numId="2" w16cid:durableId="1097334868">
    <w:abstractNumId w:val="0"/>
  </w:num>
  <w:num w:numId="3" w16cid:durableId="717584886">
    <w:abstractNumId w:val="31"/>
  </w:num>
  <w:num w:numId="4" w16cid:durableId="12615173">
    <w:abstractNumId w:val="33"/>
  </w:num>
  <w:num w:numId="5" w16cid:durableId="111897684">
    <w:abstractNumId w:val="7"/>
  </w:num>
  <w:num w:numId="6" w16cid:durableId="1446459674">
    <w:abstractNumId w:val="16"/>
  </w:num>
  <w:num w:numId="7" w16cid:durableId="567113176">
    <w:abstractNumId w:val="6"/>
  </w:num>
  <w:num w:numId="8" w16cid:durableId="899096781">
    <w:abstractNumId w:val="37"/>
  </w:num>
  <w:num w:numId="9" w16cid:durableId="1674382272">
    <w:abstractNumId w:val="22"/>
  </w:num>
  <w:num w:numId="10" w16cid:durableId="1942182387">
    <w:abstractNumId w:val="9"/>
  </w:num>
  <w:num w:numId="11" w16cid:durableId="2022973688">
    <w:abstractNumId w:val="26"/>
  </w:num>
  <w:num w:numId="12" w16cid:durableId="311374624">
    <w:abstractNumId w:val="18"/>
  </w:num>
  <w:num w:numId="13" w16cid:durableId="1191841377">
    <w:abstractNumId w:val="34"/>
  </w:num>
  <w:num w:numId="14" w16cid:durableId="720592510">
    <w:abstractNumId w:val="14"/>
  </w:num>
  <w:num w:numId="15" w16cid:durableId="777913166">
    <w:abstractNumId w:val="3"/>
  </w:num>
  <w:num w:numId="16" w16cid:durableId="1632519586">
    <w:abstractNumId w:val="23"/>
  </w:num>
  <w:num w:numId="17" w16cid:durableId="259992945">
    <w:abstractNumId w:val="2"/>
  </w:num>
  <w:num w:numId="18" w16cid:durableId="1126117318">
    <w:abstractNumId w:val="36"/>
  </w:num>
  <w:num w:numId="19" w16cid:durableId="647440876">
    <w:abstractNumId w:val="13"/>
  </w:num>
  <w:num w:numId="20" w16cid:durableId="1761023783">
    <w:abstractNumId w:val="29"/>
  </w:num>
  <w:num w:numId="21" w16cid:durableId="1513445885">
    <w:abstractNumId w:val="15"/>
  </w:num>
  <w:num w:numId="22" w16cid:durableId="938413844">
    <w:abstractNumId w:val="4"/>
  </w:num>
  <w:num w:numId="23" w16cid:durableId="1030109742">
    <w:abstractNumId w:val="21"/>
  </w:num>
  <w:num w:numId="24" w16cid:durableId="508641253">
    <w:abstractNumId w:val="19"/>
  </w:num>
  <w:num w:numId="25" w16cid:durableId="1577009522">
    <w:abstractNumId w:val="8"/>
  </w:num>
  <w:num w:numId="26" w16cid:durableId="171140597">
    <w:abstractNumId w:val="1"/>
  </w:num>
  <w:num w:numId="27" w16cid:durableId="353926451">
    <w:abstractNumId w:val="5"/>
  </w:num>
  <w:num w:numId="28" w16cid:durableId="609315129">
    <w:abstractNumId w:val="20"/>
  </w:num>
  <w:num w:numId="29" w16cid:durableId="924218399">
    <w:abstractNumId w:val="12"/>
  </w:num>
  <w:num w:numId="30" w16cid:durableId="2057313967">
    <w:abstractNumId w:val="10"/>
  </w:num>
  <w:num w:numId="31" w16cid:durableId="440225151">
    <w:abstractNumId w:val="11"/>
  </w:num>
  <w:num w:numId="32" w16cid:durableId="1796295288">
    <w:abstractNumId w:val="17"/>
  </w:num>
  <w:num w:numId="33" w16cid:durableId="1290282078">
    <w:abstractNumId w:val="27"/>
  </w:num>
  <w:num w:numId="34" w16cid:durableId="1485856978">
    <w:abstractNumId w:val="35"/>
  </w:num>
  <w:num w:numId="35" w16cid:durableId="1512374489">
    <w:abstractNumId w:val="24"/>
  </w:num>
  <w:num w:numId="36" w16cid:durableId="495847830">
    <w:abstractNumId w:val="30"/>
  </w:num>
  <w:num w:numId="37" w16cid:durableId="988753134">
    <w:abstractNumId w:val="28"/>
  </w:num>
  <w:num w:numId="38" w16cid:durableId="292104865">
    <w:abstractNumId w:val="2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3B2"/>
    <w:rsid w:val="0004785C"/>
    <w:rsid w:val="001658C5"/>
    <w:rsid w:val="005519FD"/>
    <w:rsid w:val="00604F89"/>
    <w:rsid w:val="00670490"/>
    <w:rsid w:val="008266F3"/>
    <w:rsid w:val="00873FFF"/>
    <w:rsid w:val="00A301C8"/>
    <w:rsid w:val="00C853B2"/>
    <w:rsid w:val="00E77D64"/>
    <w:rsid w:val="00F22492"/>
    <w:rsid w:val="00F6706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96C5071"/>
  <w15:docId w15:val="{5AF93871-B192-A84A-BFEB-440AE815E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hAnsi="Times New Roman"/>
      <w:b/>
      <w:color w:val="000000"/>
      <w:sz w:val="24"/>
      <w:szCs w:val="40"/>
    </w:rPr>
  </w:style>
  <w:style w:type="paragraph" w:styleId="Heading2">
    <w:name w:val="heading 2"/>
    <w:basedOn w:val="Normal"/>
    <w:next w:val="Normal"/>
    <w:uiPriority w:val="9"/>
    <w:unhideWhenUsed/>
    <w:qFormat/>
    <w:pPr>
      <w:keepNext/>
      <w:keepLines/>
      <w:spacing w:before="360" w:after="120" w:line="360" w:lineRule="auto"/>
      <w:jc w:val="both"/>
      <w:outlineLvl w:val="1"/>
    </w:pPr>
    <w:rPr>
      <w:rFonts w:ascii="Times New Roman" w:hAnsi="Times New Roman"/>
      <w:b/>
      <w:color w:val="000000"/>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qFormat/>
    <w:pPr>
      <w:spacing w:before="240" w:after="0" w:line="259" w:lineRule="auto"/>
      <w:jc w:val="left"/>
      <w:outlineLvl w:val="9"/>
    </w:pPr>
    <w:rPr>
      <w:rFonts w:eastAsia="SimSun" w:cs="SimSun"/>
      <w:b w:val="0"/>
      <w:color w:val="365F91"/>
      <w:sz w:val="32"/>
      <w:szCs w:val="32"/>
      <w:lang w:eastAsia="en-US"/>
    </w:rPr>
  </w:style>
  <w:style w:type="paragraph" w:styleId="TOC1">
    <w:name w:val="toc 1"/>
    <w:basedOn w:val="Normal"/>
    <w:next w:val="Normal"/>
    <w:uiPriority w:val="39"/>
    <w:pPr>
      <w:tabs>
        <w:tab w:val="right" w:leader="dot" w:pos="9350"/>
      </w:tabs>
      <w:spacing w:after="100" w:line="480" w:lineRule="auto"/>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000FF"/>
      <w:u w:val="single"/>
    </w:rPr>
  </w:style>
  <w:style w:type="paragraph" w:styleId="BodyText">
    <w:name w:val="Body Text"/>
    <w:basedOn w:val="Normal"/>
    <w:link w:val="BodyTextChar"/>
    <w:uiPriority w:val="1"/>
    <w:qFormat/>
    <w:pPr>
      <w:widowControl w:val="0"/>
      <w:autoSpaceDE w:val="0"/>
      <w:autoSpaceDN w:val="0"/>
      <w:spacing w:line="240" w:lineRule="auto"/>
    </w:pPr>
    <w:rPr>
      <w:rFonts w:ascii="Lucida Sans Unicode" w:eastAsia="Lucida Sans Unicode" w:hAnsi="Lucida Sans Unicode" w:cs="Lucida Sans Unicode"/>
      <w:sz w:val="20"/>
      <w:szCs w:val="20"/>
      <w:lang w:eastAsia="en-US"/>
    </w:rPr>
  </w:style>
  <w:style w:type="character" w:customStyle="1" w:styleId="BodyTextChar">
    <w:name w:val="Body Text Char"/>
    <w:basedOn w:val="DefaultParagraphFont"/>
    <w:link w:val="BodyText"/>
    <w:uiPriority w:val="1"/>
    <w:rPr>
      <w:rFonts w:ascii="Lucida Sans Unicode" w:eastAsia="Lucida Sans Unicode" w:hAnsi="Lucida Sans Unicode" w:cs="Lucida Sans Unicode"/>
      <w:sz w:val="20"/>
      <w:szCs w:val="20"/>
      <w:lang w:val="en-US" w:eastAsia="en-US"/>
    </w:r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BalloonText">
    <w:name w:val="Balloon Text"/>
    <w:basedOn w:val="Normal"/>
    <w:link w:val="BalloonTextChar"/>
    <w:uiPriority w:val="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lang w:eastAsia="en-US"/>
    </w:rPr>
  </w:style>
  <w:style w:type="paragraph" w:styleId="ListParagraph">
    <w:name w:val="List Paragraph"/>
    <w:basedOn w:val="Normal"/>
    <w:uiPriority w:val="34"/>
    <w:qFormat/>
    <w:pPr>
      <w:ind w:left="720"/>
      <w:contextualSpacing/>
    </w:pPr>
  </w:style>
  <w:style w:type="paragraph" w:customStyle="1" w:styleId="Default">
    <w:name w:val="Default"/>
    <w:pPr>
      <w:autoSpaceDE w:val="0"/>
      <w:autoSpaceDN w:val="0"/>
      <w:adjustRightInd w:val="0"/>
      <w:spacing w:line="240" w:lineRule="auto"/>
    </w:pPr>
    <w:rPr>
      <w:rFonts w:ascii="Cambria" w:hAnsi="Cambria" w:cs="Cambria"/>
      <w:color w:val="000000"/>
      <w:sz w:val="24"/>
      <w:szCs w:val="24"/>
    </w:rPr>
  </w:style>
  <w:style w:type="paragraph" w:styleId="TOC3">
    <w:name w:val="toc 3"/>
    <w:basedOn w:val="Normal"/>
    <w:next w:val="Normal"/>
    <w:uiPriority w:val="39"/>
    <w:pPr>
      <w:spacing w:after="100"/>
      <w:ind w:left="440"/>
    </w:pPr>
  </w:style>
  <w:style w:type="paragraph" w:customStyle="1" w:styleId="Normal1">
    <w:name w:val="Normal1"/>
    <w:rPr>
      <w:lang w:eastAsia="en-US"/>
    </w:rPr>
  </w:style>
  <w:style w:type="paragraph" w:customStyle="1" w:styleId="TableParagraph">
    <w:name w:val="Table Paragraph"/>
    <w:basedOn w:val="Normal"/>
    <w:uiPriority w:val="1"/>
    <w:pPr>
      <w:widowControl w:val="0"/>
      <w:autoSpaceDE w:val="0"/>
      <w:autoSpaceDN w:val="0"/>
      <w:spacing w:line="240" w:lineRule="auto"/>
      <w:ind w:left="110"/>
    </w:pPr>
    <w:rPr>
      <w:rFonts w:ascii="Calibri" w:eastAsia="Calibri" w:hAnsi="Calibri" w:cs="Calibri"/>
      <w:lang w:eastAsia="en-US"/>
    </w:rPr>
  </w:style>
  <w:style w:type="character" w:customStyle="1" w:styleId="anchor-text">
    <w:name w:val="anchor-text"/>
    <w:basedOn w:val="DefaultParagraphFont"/>
  </w:style>
  <w:style w:type="table" w:styleId="TableGrid">
    <w:name w:val="Table Grid"/>
    <w:basedOn w:val="TableNormal"/>
    <w:uiPriority w:val="39"/>
    <w:pPr>
      <w:spacing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GridTable1Light">
    <w:name w:val="Grid Table 1 Light"/>
    <w:basedOn w:val="TableNormal"/>
    <w:uiPriority w:val="46"/>
    <w:rsid w:val="001658C5"/>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1658C5"/>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1658C5"/>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1658C5"/>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1658C5"/>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marriott.gcs-web.com/annua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arriott.com/marriott/aboutmarriott.mi" TargetMode="External"/><Relationship Id="rId2" Type="http://schemas.openxmlformats.org/officeDocument/2006/relationships/numbering" Target="numbering.xml"/><Relationship Id="rId16" Type="http://schemas.openxmlformats.org/officeDocument/2006/relationships/hyperlink" Target="https://marriott.gcs-web.com/static-files/c0fb865c-15b1-4166-9846-49b548da1ce4" TargetMode="Externa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arriott.gcs-web.com/static-files/90ac617a-ef5f-4438-97ec-2e7cf4f8a41e"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finance.yahoo.com/quote/MAR/cash-flo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42A51F-995E-4657-9728-0D1403BA2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29</Pages>
  <Words>6957</Words>
  <Characters>39870</Characters>
  <Application>Microsoft Office Word</Application>
  <DocSecurity>0</DocSecurity>
  <Lines>1533</Lines>
  <Paragraphs>767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46060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Shreman Mankad</dc:creator>
  <cp:keywords/>
  <dc:description/>
  <cp:lastModifiedBy>Shreman Bhushanbhai Mankad (2537843)</cp:lastModifiedBy>
  <cp:revision>8</cp:revision>
  <dcterms:created xsi:type="dcterms:W3CDTF">2026-07-20T14:28:00Z</dcterms:created>
  <dcterms:modified xsi:type="dcterms:W3CDTF">2026-07-22T12:01:00Z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f88dc27010450913b386c7a75e31081ebb44c075070df077a3644798d22e81a4</vt:lpwstr>
  </property>
  <property fmtid="{D5CDD505-2E9C-101B-9397-08002B2CF9AE}" pid="3" name="ICV">
    <vt:lpwstr>6ba5cac44ecd46a390facefc24441ef1_23</vt:lpwstr>
  </property>
</Properties>
</file>