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047F48" w14:textId="1D63997A" w:rsidR="0097586C" w:rsidRDefault="0097586C"/>
    <w:p w14:paraId="4328AA6F" w14:textId="77777777" w:rsidR="0097586C" w:rsidRDefault="0097586C"/>
    <w:p w14:paraId="6D3310D2" w14:textId="77777777" w:rsidR="0097586C" w:rsidRPr="0097586C" w:rsidRDefault="0097586C" w:rsidP="0097586C"/>
    <w:p w14:paraId="73B41EE1" w14:textId="77777777" w:rsidR="0097586C" w:rsidRPr="0097586C" w:rsidRDefault="0097586C" w:rsidP="0097586C"/>
    <w:p w14:paraId="1EAE5AAF" w14:textId="77777777" w:rsidR="0097586C" w:rsidRPr="0097586C" w:rsidRDefault="0097586C" w:rsidP="0097586C"/>
    <w:p w14:paraId="34E2A575" w14:textId="77777777" w:rsidR="0097586C" w:rsidRPr="0097586C" w:rsidRDefault="0097586C" w:rsidP="0097586C"/>
    <w:p w14:paraId="68DF31E5" w14:textId="05E14FD5" w:rsidR="0097586C" w:rsidRPr="0097586C" w:rsidRDefault="0097586C" w:rsidP="0097586C">
      <w:pPr>
        <w:jc w:val="center"/>
        <w:rPr>
          <w:sz w:val="40"/>
          <w:szCs w:val="40"/>
        </w:rPr>
      </w:pPr>
      <w:r w:rsidRPr="0097586C">
        <w:rPr>
          <w:sz w:val="40"/>
          <w:szCs w:val="40"/>
        </w:rPr>
        <w:t>The Study of Hagar as a Concubine</w:t>
      </w:r>
    </w:p>
    <w:p w14:paraId="378C37CF" w14:textId="7480DD49" w:rsidR="0097586C" w:rsidRDefault="0097586C"/>
    <w:p w14:paraId="0EB63288" w14:textId="7EBD4C5E" w:rsidR="0097586C" w:rsidRDefault="0097586C"/>
    <w:p w14:paraId="3F279E7F" w14:textId="6DF83AC9" w:rsidR="0097586C" w:rsidRDefault="0097586C"/>
    <w:p w14:paraId="66F42A40" w14:textId="4005D58E" w:rsidR="0097586C" w:rsidRDefault="0097586C"/>
    <w:p w14:paraId="3ADE8F8A" w14:textId="07356AA4" w:rsidR="0097586C" w:rsidRDefault="0097586C"/>
    <w:p w14:paraId="2748D053" w14:textId="2F6CC337" w:rsidR="0097586C" w:rsidRDefault="0097586C"/>
    <w:p w14:paraId="7A89DE42" w14:textId="16207C8B" w:rsidR="0097586C" w:rsidRDefault="0097586C"/>
    <w:p w14:paraId="7756AFFE" w14:textId="53AA98C3" w:rsidR="0097586C" w:rsidRDefault="0097586C"/>
    <w:p w14:paraId="52B3437C" w14:textId="4230D34C" w:rsidR="0097586C" w:rsidRPr="0097586C" w:rsidRDefault="0097586C" w:rsidP="0097586C">
      <w:pPr>
        <w:jc w:val="center"/>
        <w:rPr>
          <w:sz w:val="28"/>
          <w:szCs w:val="28"/>
        </w:rPr>
      </w:pPr>
    </w:p>
    <w:p w14:paraId="6626EFFC" w14:textId="152ADF55" w:rsidR="0097586C" w:rsidRPr="0097586C" w:rsidRDefault="0097586C" w:rsidP="0097586C">
      <w:pPr>
        <w:jc w:val="center"/>
        <w:rPr>
          <w:sz w:val="28"/>
          <w:szCs w:val="28"/>
        </w:rPr>
      </w:pPr>
      <w:r w:rsidRPr="0097586C">
        <w:rPr>
          <w:sz w:val="28"/>
          <w:szCs w:val="28"/>
        </w:rPr>
        <w:t>By Brinelle James</w:t>
      </w:r>
    </w:p>
    <w:p w14:paraId="28C66C63" w14:textId="26C68700" w:rsidR="0097586C" w:rsidRPr="0097586C" w:rsidRDefault="0097586C" w:rsidP="0097586C">
      <w:pPr>
        <w:jc w:val="center"/>
        <w:rPr>
          <w:sz w:val="28"/>
          <w:szCs w:val="28"/>
        </w:rPr>
      </w:pPr>
      <w:r w:rsidRPr="0097586C">
        <w:rPr>
          <w:sz w:val="28"/>
          <w:szCs w:val="28"/>
        </w:rPr>
        <w:t xml:space="preserve">Student </w:t>
      </w:r>
      <w:proofErr w:type="gramStart"/>
      <w:r w:rsidRPr="0097586C">
        <w:rPr>
          <w:sz w:val="28"/>
          <w:szCs w:val="28"/>
        </w:rPr>
        <w:t>Number :</w:t>
      </w:r>
      <w:proofErr w:type="gramEnd"/>
      <w:r w:rsidRPr="0097586C">
        <w:rPr>
          <w:sz w:val="28"/>
          <w:szCs w:val="28"/>
        </w:rPr>
        <w:t xml:space="preserve"> 1602107</w:t>
      </w:r>
    </w:p>
    <w:p w14:paraId="2935CD2A" w14:textId="4ECA3DDB" w:rsidR="0097586C" w:rsidRPr="0097586C" w:rsidRDefault="0097586C" w:rsidP="0097586C">
      <w:pPr>
        <w:jc w:val="center"/>
        <w:rPr>
          <w:sz w:val="28"/>
          <w:szCs w:val="28"/>
        </w:rPr>
      </w:pPr>
      <w:r w:rsidRPr="0097586C">
        <w:rPr>
          <w:sz w:val="28"/>
          <w:szCs w:val="28"/>
        </w:rPr>
        <w:t>Module: CLCL7006</w:t>
      </w:r>
    </w:p>
    <w:p w14:paraId="482F8554" w14:textId="621AC925" w:rsidR="0097586C" w:rsidRDefault="0097586C"/>
    <w:p w14:paraId="38A38448" w14:textId="741690F3" w:rsidR="0097586C" w:rsidRDefault="0097586C"/>
    <w:p w14:paraId="20C3AF78" w14:textId="0E2F455F" w:rsidR="0097586C" w:rsidRDefault="0097586C"/>
    <w:p w14:paraId="4684F885" w14:textId="763EEA31" w:rsidR="0097586C" w:rsidRDefault="0097586C"/>
    <w:p w14:paraId="66AB5EDF" w14:textId="576381A1" w:rsidR="0097586C" w:rsidRDefault="0097586C"/>
    <w:p w14:paraId="1F70D78E" w14:textId="470A22CD" w:rsidR="0097586C" w:rsidRDefault="0097586C"/>
    <w:p w14:paraId="6AE5DF7F" w14:textId="0FBC00DA" w:rsidR="0097586C" w:rsidRDefault="0097586C"/>
    <w:p w14:paraId="3A796C75" w14:textId="5F42A65C" w:rsidR="0097586C" w:rsidRDefault="0097586C"/>
    <w:p w14:paraId="1AF4F9CE" w14:textId="43201A45" w:rsidR="0097586C" w:rsidRDefault="0097586C"/>
    <w:p w14:paraId="419C9904" w14:textId="2FA70107" w:rsidR="0097586C" w:rsidRDefault="0097586C"/>
    <w:p w14:paraId="1242E3CE" w14:textId="0A5084E7" w:rsidR="009B2E97" w:rsidRDefault="009B2E97"/>
    <w:p w14:paraId="17E1B25E" w14:textId="3DDEB8CF" w:rsidR="009B2E97" w:rsidRDefault="009B2E97">
      <w:r>
        <w:lastRenderedPageBreak/>
        <w:t>Relationships in the Hebrew Bible start with man and wife, that</w:t>
      </w:r>
      <w:r w:rsidR="00AD1E30">
        <w:t xml:space="preserve"> presumably</w:t>
      </w:r>
      <w:r>
        <w:t xml:space="preserve"> remains as the case until </w:t>
      </w:r>
      <w:r w:rsidR="001F37BB" w:rsidRPr="00AD1E30">
        <w:t>Genesis</w:t>
      </w:r>
      <w:r>
        <w:t xml:space="preserve"> 16 in which we are given a </w:t>
      </w:r>
      <w:r w:rsidR="001F37BB">
        <w:t>glimpse</w:t>
      </w:r>
      <w:r>
        <w:t xml:space="preserve"> into a Hebrew household in connection with the stories of the Patriarchs. The 16</w:t>
      </w:r>
      <w:r w:rsidRPr="009B2E97">
        <w:rPr>
          <w:vertAlign w:val="superscript"/>
        </w:rPr>
        <w:t>th</w:t>
      </w:r>
      <w:r>
        <w:t xml:space="preserve"> chapter brings out a theme present in the </w:t>
      </w:r>
      <w:r w:rsidR="001F37BB">
        <w:t>Hebrew Bible</w:t>
      </w:r>
      <w:r>
        <w:t xml:space="preserve"> and</w:t>
      </w:r>
      <w:r w:rsidR="001F37BB">
        <w:t xml:space="preserve"> as also influenced the infancy narrative of Jesus in the</w:t>
      </w:r>
      <w:r>
        <w:t xml:space="preserve"> </w:t>
      </w:r>
      <w:r w:rsidR="001F37BB">
        <w:t>N</w:t>
      </w:r>
      <w:r>
        <w:t xml:space="preserve">ew testament, that of </w:t>
      </w:r>
      <w:r w:rsidR="001F37BB">
        <w:t>the</w:t>
      </w:r>
      <w:r>
        <w:t xml:space="preserve"> unhapp</w:t>
      </w:r>
      <w:r w:rsidR="001F37BB">
        <w:t>iness of a barren</w:t>
      </w:r>
      <w:r>
        <w:t xml:space="preserve"> couple. In the old testament</w:t>
      </w:r>
      <w:r w:rsidR="00BC338E">
        <w:t>,</w:t>
      </w:r>
      <w:r>
        <w:t xml:space="preserve"> we see the same predicament of Sarah</w:t>
      </w:r>
      <w:r w:rsidR="0000355A">
        <w:t xml:space="preserve">’s barrenness mirrored in Hannah and the unnamed mother of Samson, in the new testament we see it with Zechariah and Elizabeth. While </w:t>
      </w:r>
      <w:r w:rsidR="00FA5417">
        <w:t>all</w:t>
      </w:r>
      <w:r w:rsidR="0000355A">
        <w:t xml:space="preserve"> these couples were eventually rewarded for their wait with son</w:t>
      </w:r>
      <w:r w:rsidR="00FA5417">
        <w:t>s</w:t>
      </w:r>
      <w:r w:rsidR="0000355A">
        <w:t xml:space="preserve"> who </w:t>
      </w:r>
      <w:r w:rsidR="00FA5417">
        <w:t xml:space="preserve">are recorded to be greatly gifted, </w:t>
      </w:r>
      <w:r w:rsidR="0030474D">
        <w:t>Abraham and Sarah</w:t>
      </w:r>
      <w:r w:rsidR="00FA5417">
        <w:t xml:space="preserve"> took a few steps before the ‘promised son’ came along.</w:t>
      </w:r>
    </w:p>
    <w:p w14:paraId="2D23ED17" w14:textId="6BE3DB74" w:rsidR="00795F93" w:rsidRDefault="00795F93">
      <w:r>
        <w:t>Hagar</w:t>
      </w:r>
      <w:r w:rsidR="0031315C">
        <w:t>: A Concubine.</w:t>
      </w:r>
    </w:p>
    <w:p w14:paraId="2CD659D7" w14:textId="59E21FCE" w:rsidR="007F34C6" w:rsidRDefault="00FA5417">
      <w:r>
        <w:t>In Genesis 16, apart from the couple</w:t>
      </w:r>
      <w:r w:rsidR="00BC338E">
        <w:t>,</w:t>
      </w:r>
      <w:r>
        <w:t xml:space="preserve"> a new woman comes into the limelight. </w:t>
      </w:r>
      <w:r w:rsidR="007C5906">
        <w:t>Sarah, who is barren,</w:t>
      </w:r>
      <w:r>
        <w:t xml:space="preserve"> is portrayed as impatient gives </w:t>
      </w:r>
      <w:r w:rsidR="00B76F6A">
        <w:t>Abraham</w:t>
      </w:r>
      <w:r>
        <w:t xml:space="preserve"> her maidservant – </w:t>
      </w:r>
      <w:proofErr w:type="spellStart"/>
      <w:r>
        <w:t>sippah</w:t>
      </w:r>
      <w:proofErr w:type="spellEnd"/>
      <w:r>
        <w:t>- Hagar. Hagar is a</w:t>
      </w:r>
      <w:r w:rsidR="00BC338E">
        <w:t>n</w:t>
      </w:r>
      <w:r>
        <w:t xml:space="preserve"> Egyptian woman, </w:t>
      </w:r>
      <w:r w:rsidR="00735CCD">
        <w:t xml:space="preserve">who seems to have lived with the couple for a considerable period. </w:t>
      </w:r>
      <w:r w:rsidR="000F11B7">
        <w:t>For the purpose of this study</w:t>
      </w:r>
      <w:r w:rsidR="00BC338E">
        <w:t>,</w:t>
      </w:r>
      <w:r w:rsidR="000F11B7">
        <w:t xml:space="preserve"> it is crucial to study our interpretation of the Hebrew household and the position that Hagar plays in it. </w:t>
      </w:r>
      <w:r w:rsidR="00811E27">
        <w:t xml:space="preserve">The practice of having </w:t>
      </w:r>
      <w:r w:rsidR="006D3B11">
        <w:t>harems of concubines</w:t>
      </w:r>
      <w:r w:rsidR="00811E27">
        <w:t xml:space="preserve"> seems to be usual in the</w:t>
      </w:r>
      <w:r w:rsidR="006D3B11">
        <w:t xml:space="preserve"> Ancient Near East and the</w:t>
      </w:r>
      <w:r w:rsidR="00811E27">
        <w:t xml:space="preserve"> Hebrew household</w:t>
      </w:r>
      <w:r w:rsidR="00A7584C">
        <w:t xml:space="preserve"> during this period</w:t>
      </w:r>
      <w:r w:rsidR="006D3B11">
        <w:t xml:space="preserve"> as stated in Babylonian Law. Another common practice was the gifting of a slave girl for procreation usually when we come across barren wives in the region. </w:t>
      </w:r>
      <w:r w:rsidR="00685645">
        <w:t>A</w:t>
      </w:r>
      <w:r w:rsidR="006D3B11">
        <w:t>ccording to Babylonian law, it was restricted for a man to have concubines if his wife was fruitful, yet this is not witnessed in stories of the Hebrew Bible, and therefore imply that it is possible that the Hebrew man had tweaked the law to suit himself.</w:t>
      </w:r>
      <w:r w:rsidR="000F11B7">
        <w:t xml:space="preserve"> According to an </w:t>
      </w:r>
      <w:r w:rsidR="00A0405D">
        <w:t>in-depth</w:t>
      </w:r>
      <w:r w:rsidR="000F11B7">
        <w:t xml:space="preserve"> study of concubinage by Epstein in 193</w:t>
      </w:r>
      <w:r w:rsidR="00BC338E">
        <w:t>4,</w:t>
      </w:r>
      <w:r w:rsidR="000F11B7">
        <w:t xml:space="preserve"> the difference between a concubine and a slave wife was only in its legality while the social status of the women in this position remains the same</w:t>
      </w:r>
      <w:r w:rsidR="00376238">
        <w:rPr>
          <w:rStyle w:val="FootnoteReference"/>
        </w:rPr>
        <w:footnoteReference w:id="1"/>
      </w:r>
      <w:r w:rsidR="000F11B7">
        <w:t>.</w:t>
      </w:r>
      <w:r w:rsidR="00A0405D">
        <w:t xml:space="preserve"> As Epstein makes no mention of Hagar it is clear he does not view her as a concubine. In recent years academia has </w:t>
      </w:r>
      <w:r w:rsidR="0031315C">
        <w:t>begun</w:t>
      </w:r>
      <w:r w:rsidR="00A0405D">
        <w:t xml:space="preserve"> to</w:t>
      </w:r>
      <w:r w:rsidR="0031315C">
        <w:t xml:space="preserve"> regard</w:t>
      </w:r>
      <w:r w:rsidR="00A0405D">
        <w:t xml:space="preserve"> Hagar as a </w:t>
      </w:r>
      <w:r w:rsidR="00410898">
        <w:t>concubine, yet</w:t>
      </w:r>
      <w:r w:rsidR="00A0405D">
        <w:t xml:space="preserve"> this conclusion </w:t>
      </w:r>
      <w:r w:rsidR="00D3453C">
        <w:t>was</w:t>
      </w:r>
      <w:r w:rsidR="00A0405D">
        <w:t xml:space="preserve"> reached by trying to understand Hagar </w:t>
      </w:r>
      <w:r w:rsidR="00D3453C">
        <w:t>with respect</w:t>
      </w:r>
      <w:r w:rsidR="00A0405D">
        <w:t xml:space="preserve"> to other characters in the Hebrew Bible. Jackson manages to do this by connecting Bilhah and </w:t>
      </w:r>
      <w:proofErr w:type="spellStart"/>
      <w:r w:rsidR="00A0405D">
        <w:t>Zilpah</w:t>
      </w:r>
      <w:proofErr w:type="spellEnd"/>
      <w:r w:rsidR="00A0405D">
        <w:t xml:space="preserve">, who were the concubines of Jacob, with Hagar and stating that since all three were gifted to their husbands in a similar manner and Bilhah has been identified as a concubine in Genesis 35:22 Hagar too </w:t>
      </w:r>
      <w:r w:rsidR="008858FA">
        <w:t>can be considered as one</w:t>
      </w:r>
      <w:r w:rsidR="008858FA">
        <w:rPr>
          <w:rStyle w:val="FootnoteReference"/>
        </w:rPr>
        <w:footnoteReference w:id="2"/>
      </w:r>
      <w:r w:rsidR="008858FA">
        <w:t xml:space="preserve">. </w:t>
      </w:r>
      <w:r w:rsidR="0031315C">
        <w:t>While o</w:t>
      </w:r>
      <w:r w:rsidR="00C12DE5">
        <w:t>thers try to explain Hagar by the legitimacy or illegitimacy of Ishmael, believing that if Ishmael is legitimate then Hagar should be identified as a wife instead of a concubine</w:t>
      </w:r>
      <w:r w:rsidR="00C12DE5">
        <w:rPr>
          <w:rStyle w:val="FootnoteReference"/>
        </w:rPr>
        <w:footnoteReference w:id="3"/>
      </w:r>
      <w:r w:rsidR="00C12DE5">
        <w:t>. According to me</w:t>
      </w:r>
      <w:r w:rsidR="00C83F86">
        <w:t xml:space="preserve"> though</w:t>
      </w:r>
      <w:r w:rsidR="00FD2A3E">
        <w:t>, the identification of Hagar would be best done through text</w:t>
      </w:r>
      <w:r w:rsidR="001C1669">
        <w:t xml:space="preserve">. </w:t>
      </w:r>
      <w:r w:rsidR="001A4685">
        <w:t xml:space="preserve">Epstein states that a concubine could have various possible origins </w:t>
      </w:r>
      <w:proofErr w:type="spellStart"/>
      <w:r w:rsidR="001A4685">
        <w:t>i.e</w:t>
      </w:r>
      <w:proofErr w:type="spellEnd"/>
      <w:r w:rsidR="001A4685">
        <w:t xml:space="preserve"> she could be from an average home with respectable parent, come from a concubinage union</w:t>
      </w:r>
      <w:r w:rsidR="00B50B1F">
        <w:t xml:space="preserve"> or be a captive woman</w:t>
      </w:r>
      <w:r w:rsidR="00785CA9">
        <w:t xml:space="preserve"> which</w:t>
      </w:r>
      <w:r w:rsidR="00145F80">
        <w:t>,</w:t>
      </w:r>
      <w:r w:rsidR="00785CA9">
        <w:t xml:space="preserve"> given Hagar’s Egyptian origin it is possible she was</w:t>
      </w:r>
      <w:r w:rsidR="0038129A">
        <w:rPr>
          <w:rStyle w:val="FootnoteReference"/>
        </w:rPr>
        <w:footnoteReference w:id="4"/>
      </w:r>
      <w:r w:rsidR="00785CA9">
        <w:t xml:space="preserve">. </w:t>
      </w:r>
      <w:r w:rsidR="00B72521">
        <w:t>Next,</w:t>
      </w:r>
      <w:r w:rsidR="00785CA9">
        <w:t xml:space="preserve"> he </w:t>
      </w:r>
      <w:r w:rsidR="0053194C">
        <w:t xml:space="preserve">states that a concubine </w:t>
      </w:r>
      <w:r w:rsidR="00B72521">
        <w:t>is a free woman which a slave or captive woman is not, yet he does state that a captive woman can be moved into the status of a concubine if the master is affectionate towards her</w:t>
      </w:r>
      <w:r w:rsidR="0038129A">
        <w:rPr>
          <w:rStyle w:val="FootnoteReference"/>
        </w:rPr>
        <w:footnoteReference w:id="5"/>
      </w:r>
      <w:r w:rsidR="00B72521">
        <w:t xml:space="preserve">, the affection between Hagar and Abraham is something I shall address later in this paper. Also, </w:t>
      </w:r>
      <w:r w:rsidR="0038129A">
        <w:t>to conclude that Abraham and Hagar did have a more legal understanding between them than that of a slave-wife or captive-wife I would like to emphasize not only on the word ‘</w:t>
      </w:r>
      <w:proofErr w:type="spellStart"/>
      <w:r w:rsidR="0038129A">
        <w:t>issah</w:t>
      </w:r>
      <w:proofErr w:type="spellEnd"/>
      <w:r w:rsidR="0038129A">
        <w:t>’ used to address Hagar in Genesis 16:3</w:t>
      </w:r>
      <w:r w:rsidR="0031315C">
        <w:t>,</w:t>
      </w:r>
      <w:r w:rsidR="0038129A">
        <w:t xml:space="preserve"> but in Genesis 21:10 we see Sarah again use a term that could imply that there was in fact a legal relationship between the two. The term ‘</w:t>
      </w:r>
      <w:proofErr w:type="spellStart"/>
      <w:r w:rsidR="0038129A">
        <w:t>piel</w:t>
      </w:r>
      <w:proofErr w:type="spellEnd"/>
      <w:r w:rsidR="0038129A">
        <w:t xml:space="preserve">’ though commonly translated </w:t>
      </w:r>
      <w:r w:rsidR="0038129A">
        <w:lastRenderedPageBreak/>
        <w:t>as</w:t>
      </w:r>
      <w:r w:rsidR="00D3453C">
        <w:t xml:space="preserve"> ‘cast</w:t>
      </w:r>
      <w:r w:rsidR="00BC338E">
        <w:t xml:space="preserve"> </w:t>
      </w:r>
      <w:r w:rsidR="00D3453C">
        <w:t>away’ or ‘throw away’ could better be translated as divorce</w:t>
      </w:r>
      <w:r w:rsidR="0031315C">
        <w:rPr>
          <w:rStyle w:val="FootnoteReference"/>
        </w:rPr>
        <w:footnoteReference w:id="6"/>
      </w:r>
      <w:r w:rsidR="0031315C">
        <w:t xml:space="preserve">. It is thus evident from our text alone that Hagar was more than a slave wife, her status was that of a concubine and deserves to be studied as one. </w:t>
      </w:r>
      <w:r w:rsidR="005E187E">
        <w:t xml:space="preserve"> </w:t>
      </w:r>
      <w:bookmarkStart w:id="0" w:name="_GoBack"/>
      <w:bookmarkEnd w:id="0"/>
    </w:p>
    <w:p w14:paraId="559A0972" w14:textId="11693F0C" w:rsidR="00795F93" w:rsidRDefault="00795F93"/>
    <w:p w14:paraId="0DA460AA" w14:textId="685E8381" w:rsidR="00795F93" w:rsidRPr="0097586C" w:rsidRDefault="00795F93">
      <w:pPr>
        <w:rPr>
          <w:sz w:val="28"/>
          <w:szCs w:val="28"/>
        </w:rPr>
      </w:pPr>
      <w:r w:rsidRPr="0097586C">
        <w:rPr>
          <w:sz w:val="28"/>
          <w:szCs w:val="28"/>
        </w:rPr>
        <w:t>Haga</w:t>
      </w:r>
      <w:r w:rsidR="00662411" w:rsidRPr="0097586C">
        <w:rPr>
          <w:sz w:val="28"/>
          <w:szCs w:val="28"/>
        </w:rPr>
        <w:t>r’s</w:t>
      </w:r>
      <w:r w:rsidRPr="0097586C">
        <w:rPr>
          <w:sz w:val="28"/>
          <w:szCs w:val="28"/>
        </w:rPr>
        <w:t xml:space="preserve"> </w:t>
      </w:r>
      <w:r w:rsidR="0031315C" w:rsidRPr="0097586C">
        <w:rPr>
          <w:sz w:val="28"/>
          <w:szCs w:val="28"/>
        </w:rPr>
        <w:t>Social Role in the Text</w:t>
      </w:r>
    </w:p>
    <w:p w14:paraId="4CC988FE" w14:textId="2AFA7A02" w:rsidR="00BE0CB3" w:rsidRDefault="003F770C">
      <w:r>
        <w:t xml:space="preserve">Hagar is brought into the text for one purpose alone, to be a surrogate for Sarah and provide an heir for her barren mistress. </w:t>
      </w:r>
      <w:r w:rsidR="00662411">
        <w:t xml:space="preserve">In Genesis 16:4 Hagar </w:t>
      </w:r>
      <w:r>
        <w:t>does just that and as</w:t>
      </w:r>
      <w:r w:rsidR="00662411">
        <w:t xml:space="preserve"> Sarah was not going to bear children of her own Hagar’s son and her future children </w:t>
      </w:r>
      <w:r w:rsidR="002B553F">
        <w:t>would have then</w:t>
      </w:r>
      <w:r w:rsidR="00982C5F">
        <w:t>, if adopted, would inherit from Abraham.</w:t>
      </w:r>
      <w:r w:rsidR="00BE0CB3" w:rsidRPr="00BE0CB3">
        <w:t xml:space="preserve"> </w:t>
      </w:r>
      <w:r w:rsidR="00BE0CB3">
        <w:t xml:space="preserve">Sarah never expected an heir of her own and so intended for Hagar to stay </w:t>
      </w:r>
      <w:r w:rsidR="00B76F6A">
        <w:t>Abraham</w:t>
      </w:r>
      <w:r w:rsidR="00BE0CB3">
        <w:t xml:space="preserve">’s property for a longer period than what occurred, as Sarah planned for a family through Hagar (16:2). Here Hagar grabs our attention by changing her attitude towards her mistress as she believes that conceiving </w:t>
      </w:r>
      <w:r w:rsidR="00B76F6A">
        <w:t>Abraham</w:t>
      </w:r>
      <w:r w:rsidR="00BE0CB3">
        <w:t xml:space="preserve">’s child would somehow put her in a higher advantage over </w:t>
      </w:r>
      <w:r w:rsidR="00B76F6A">
        <w:t>Sarah</w:t>
      </w:r>
      <w:r w:rsidR="00BE0CB3">
        <w:t xml:space="preserve">. The fact that a provision for such an instance is made in the </w:t>
      </w:r>
      <w:proofErr w:type="spellStart"/>
      <w:r w:rsidR="00BE0CB3">
        <w:t>Hammurabic</w:t>
      </w:r>
      <w:proofErr w:type="spellEnd"/>
      <w:r w:rsidR="00BE0CB3">
        <w:t xml:space="preserve"> Code tells us that such a behaviour was common in the slaves of the near eastern household</w:t>
      </w:r>
      <w:r w:rsidR="00BE0CB3">
        <w:rPr>
          <w:rStyle w:val="FootnoteReference"/>
        </w:rPr>
        <w:footnoteReference w:id="7"/>
      </w:r>
      <w:r w:rsidR="00BE0CB3">
        <w:t xml:space="preserve"> and although </w:t>
      </w:r>
      <w:r w:rsidR="00B76F6A">
        <w:t>Sarah</w:t>
      </w:r>
      <w:r w:rsidR="00BE0CB3">
        <w:t xml:space="preserve"> is portrayed as a jealous wife which may seem to justify her violence towards Hagar, according to the </w:t>
      </w:r>
      <w:proofErr w:type="spellStart"/>
      <w:r w:rsidR="00BE0CB3">
        <w:t>Hammurabic</w:t>
      </w:r>
      <w:proofErr w:type="spellEnd"/>
      <w:r w:rsidR="00BE0CB3">
        <w:t xml:space="preserve"> Code it is law that </w:t>
      </w:r>
      <w:r w:rsidR="00B76F6A">
        <w:t>Sarah</w:t>
      </w:r>
      <w:r w:rsidR="00BE0CB3">
        <w:t xml:space="preserve"> followed as she mistreated Hagar for her behaviour. And so though in the first read Hagar may seem bold by running away from her master’s household, an analytic approach may claim Hagar to be a disrespectful coward which according to me would further justify her being sent away later in the story as she was not worthy to be </w:t>
      </w:r>
      <w:r w:rsidR="00B76F6A">
        <w:t>Abraham</w:t>
      </w:r>
      <w:r w:rsidR="00BE0CB3">
        <w:t>’s house.</w:t>
      </w:r>
    </w:p>
    <w:p w14:paraId="7AB1BEC8" w14:textId="46A40D0D" w:rsidR="00CD3001" w:rsidRDefault="00954C8D">
      <w:r>
        <w:t xml:space="preserve">Ancient Near Eastern </w:t>
      </w:r>
      <w:r w:rsidR="003C7E27">
        <w:t xml:space="preserve">law throws light into the matters of inheritance regarding the children of concubines and their inheritance, our text does not necessarily abide by them making inheritance for a concubine’s child in Ancient Jewish culture a non-conclusive topic. </w:t>
      </w:r>
      <w:r w:rsidR="00084988">
        <w:t xml:space="preserve">The Laws of </w:t>
      </w:r>
      <w:proofErr w:type="spellStart"/>
      <w:r w:rsidR="00084988">
        <w:t>Lipit</w:t>
      </w:r>
      <w:proofErr w:type="spellEnd"/>
      <w:r w:rsidR="00084988">
        <w:t xml:space="preserve"> Ishtar written in 1930 BC</w:t>
      </w:r>
      <w:r w:rsidR="002235A6">
        <w:t>E</w:t>
      </w:r>
      <w:r w:rsidR="00084988">
        <w:t xml:space="preserve"> </w:t>
      </w:r>
      <w:r w:rsidR="002235A6">
        <w:t xml:space="preserve">remain the oldest set of laws that give us information on the laws governed the Near East. Regarding inheritance it states that the children of a concubine could only inherit from </w:t>
      </w:r>
      <w:r w:rsidR="00322A27">
        <w:t>`</w:t>
      </w:r>
      <w:r w:rsidR="002235A6">
        <w:t>the father if his first wife had given him no heirs</w:t>
      </w:r>
      <w:r w:rsidR="002235A6">
        <w:rPr>
          <w:rStyle w:val="FootnoteReference"/>
        </w:rPr>
        <w:footnoteReference w:id="8"/>
      </w:r>
      <w:r w:rsidR="002235A6">
        <w:t>. Even so to claim inheritance, the offspring of the concubine would legally have to be considered as belonging to the first wife</w:t>
      </w:r>
      <w:r w:rsidR="00EF0E5C">
        <w:t xml:space="preserve">, while </w:t>
      </w:r>
      <w:proofErr w:type="spellStart"/>
      <w:r w:rsidR="00EF0E5C">
        <w:t>Justel</w:t>
      </w:r>
      <w:proofErr w:type="spellEnd"/>
      <w:r w:rsidR="00EF0E5C">
        <w:t xml:space="preserve"> references this to LL 25</w:t>
      </w:r>
      <w:r w:rsidR="00EF0E5C">
        <w:rPr>
          <w:rStyle w:val="FootnoteReference"/>
        </w:rPr>
        <w:footnoteReference w:id="9"/>
      </w:r>
      <w:r w:rsidR="00EF0E5C">
        <w:t xml:space="preserve"> we</w:t>
      </w:r>
      <w:r w:rsidR="008C515C">
        <w:t xml:space="preserve"> also</w:t>
      </w:r>
      <w:r w:rsidR="00EF0E5C">
        <w:t xml:space="preserve"> notice an ancient </w:t>
      </w:r>
      <w:proofErr w:type="spellStart"/>
      <w:r w:rsidR="00EF0E5C">
        <w:t>Nuzi</w:t>
      </w:r>
      <w:proofErr w:type="spellEnd"/>
      <w:r w:rsidR="00EF0E5C">
        <w:t xml:space="preserve"> law that states that a chief wife does in fact have authority over son of a concubine</w:t>
      </w:r>
      <w:r w:rsidR="00EF0E5C">
        <w:rPr>
          <w:rStyle w:val="FootnoteReference"/>
        </w:rPr>
        <w:footnoteReference w:id="10"/>
      </w:r>
      <w:r w:rsidR="002235A6">
        <w:t xml:space="preserve">. The </w:t>
      </w:r>
      <w:proofErr w:type="spellStart"/>
      <w:r w:rsidR="002235A6">
        <w:t>Hammurabic</w:t>
      </w:r>
      <w:proofErr w:type="spellEnd"/>
      <w:r w:rsidR="002235A6">
        <w:t xml:space="preserve"> Code of the Babylonians written sometime in 18 BCE </w:t>
      </w:r>
      <w:r w:rsidR="006B006D">
        <w:t xml:space="preserve">calls for a more vocal acknowledgement </w:t>
      </w:r>
      <w:r w:rsidR="003919D8">
        <w:t>for a man to appoint his heir if a child is born through a union with a concubine. It states that a child of a concubine or slave may inherit from the father if he is addressed as his father’s son</w:t>
      </w:r>
      <w:r w:rsidR="003919D8">
        <w:rPr>
          <w:rStyle w:val="FootnoteReference"/>
        </w:rPr>
        <w:footnoteReference w:id="11"/>
      </w:r>
      <w:r w:rsidR="003919D8">
        <w:t>. Another document from this region remains, the Middle Assyrian Laws (MAL) of the 11</w:t>
      </w:r>
      <w:r w:rsidR="003919D8" w:rsidRPr="003919D8">
        <w:rPr>
          <w:vertAlign w:val="superscript"/>
        </w:rPr>
        <w:t>th</w:t>
      </w:r>
      <w:r w:rsidR="003919D8">
        <w:t xml:space="preserve"> century BCE </w:t>
      </w:r>
      <w:r w:rsidR="00E7171F">
        <w:t>i</w:t>
      </w:r>
      <w:r w:rsidR="003919D8">
        <w:t xml:space="preserve">n </w:t>
      </w:r>
      <w:r w:rsidR="00E7171F">
        <w:t xml:space="preserve">which </w:t>
      </w:r>
      <w:r w:rsidR="003919D8">
        <w:t>the legislation states that the children of a veiled concubine may inherit if the chief wife has no children</w:t>
      </w:r>
      <w:r w:rsidR="003919D8">
        <w:rPr>
          <w:rStyle w:val="FootnoteReference"/>
        </w:rPr>
        <w:footnoteReference w:id="12"/>
      </w:r>
      <w:r w:rsidR="003919D8">
        <w:t xml:space="preserve">. </w:t>
      </w:r>
    </w:p>
    <w:p w14:paraId="643777F7" w14:textId="6350BDC4" w:rsidR="003919D8" w:rsidRDefault="003919D8">
      <w:r>
        <w:t>As stated earlier our Genesis narrative does not clearly succumb to either of these la</w:t>
      </w:r>
      <w:r w:rsidR="00083D5E">
        <w:t xml:space="preserve">ws and I will try to dismiss each respectively before I put </w:t>
      </w:r>
      <w:r w:rsidR="003F770C">
        <w:t>forward</w:t>
      </w:r>
      <w:r w:rsidR="00083D5E">
        <w:t xml:space="preserve"> my own </w:t>
      </w:r>
      <w:r w:rsidR="003F770C">
        <w:t>notion</w:t>
      </w:r>
      <w:r w:rsidR="00083D5E">
        <w:t xml:space="preserve"> regarding inheritance in the Hebrew household. </w:t>
      </w:r>
      <w:r w:rsidR="00BA6F5E">
        <w:t>In Genesis 21</w:t>
      </w:r>
      <w:r w:rsidR="00D20F45">
        <w:t xml:space="preserve">:10 </w:t>
      </w:r>
      <w:r w:rsidR="009F035E">
        <w:t>through Sarah’s statement it is evident that even after the birth of Isaac, Ishmael remained a contender for Abraham’s inheritance. With regard</w:t>
      </w:r>
      <w:r w:rsidR="00331901">
        <w:t>s</w:t>
      </w:r>
      <w:r w:rsidR="009F035E">
        <w:t xml:space="preserve"> to</w:t>
      </w:r>
      <w:r w:rsidR="00331901">
        <w:t xml:space="preserve"> the </w:t>
      </w:r>
      <w:r w:rsidR="009F035E">
        <w:t xml:space="preserve">legal acceptance of the chief wife or the authority </w:t>
      </w:r>
      <w:r w:rsidR="005B4853">
        <w:t xml:space="preserve">that she should have over Ishmael, there are various </w:t>
      </w:r>
      <w:r w:rsidR="005B4853">
        <w:lastRenderedPageBreak/>
        <w:t xml:space="preserve">verses in the narrative that </w:t>
      </w:r>
      <w:r w:rsidR="00AB51AE">
        <w:t>could prove</w:t>
      </w:r>
      <w:r w:rsidR="005B4853">
        <w:t xml:space="preserve"> otherwise. In 16:11 we see the Angel of the Lord direct Hagar and not Sarah to name the son, this is different from how Rachel in a latter passage does in fact name the son of her concubine and imposing her authority over the boy</w:t>
      </w:r>
      <w:r w:rsidR="005B4853">
        <w:rPr>
          <w:rStyle w:val="FootnoteReference"/>
        </w:rPr>
        <w:footnoteReference w:id="13"/>
      </w:r>
      <w:r w:rsidR="00AB51AE">
        <w:rPr>
          <w:rStyle w:val="FootnoteReference"/>
        </w:rPr>
        <w:footnoteReference w:id="14"/>
      </w:r>
      <w:r w:rsidR="005B4853">
        <w:t>.</w:t>
      </w:r>
      <w:r w:rsidR="00AB51AE">
        <w:t xml:space="preserve"> Moreover, in Genesis 21:10 Sarah addresses the boy as Hagar’s and not hers. </w:t>
      </w:r>
      <w:r w:rsidR="006332B5">
        <w:t xml:space="preserve">With respect to the MAL, we find no evidence to </w:t>
      </w:r>
      <w:r w:rsidR="00F64DEF">
        <w:t>confirm whether Hagar was veiled or un-veiled</w:t>
      </w:r>
      <w:r w:rsidR="0049455C">
        <w:t xml:space="preserve"> nor do we find this with </w:t>
      </w:r>
      <w:proofErr w:type="spellStart"/>
      <w:r w:rsidR="0049455C">
        <w:t>Zilpah</w:t>
      </w:r>
      <w:proofErr w:type="spellEnd"/>
      <w:r w:rsidR="0049455C">
        <w:t xml:space="preserve"> and Bilhah</w:t>
      </w:r>
      <w:r w:rsidR="00331901">
        <w:t xml:space="preserve"> to make a definite comment.</w:t>
      </w:r>
      <w:r w:rsidR="004D5BD7">
        <w:t xml:space="preserve"> </w:t>
      </w:r>
      <w:r w:rsidR="00331901">
        <w:t xml:space="preserve">As for the law in the </w:t>
      </w:r>
      <w:proofErr w:type="spellStart"/>
      <w:r w:rsidR="00331901">
        <w:t>Hammurabic</w:t>
      </w:r>
      <w:proofErr w:type="spellEnd"/>
      <w:r w:rsidR="00331901">
        <w:t xml:space="preserve"> Code, </w:t>
      </w:r>
      <w:proofErr w:type="spellStart"/>
      <w:r w:rsidR="00331901">
        <w:t>Yoo</w:t>
      </w:r>
      <w:proofErr w:type="spellEnd"/>
      <w:r w:rsidR="00331901">
        <w:t xml:space="preserve"> does argue that while Genesis 21:11 is an indirect statement that acknowledges Ishmael as Abraham’s son, Ishmael would not be a partaker of Abraham’s inheritance as there is no vocal acknowledgement of a father-son relationship</w:t>
      </w:r>
      <w:r w:rsidR="00331901">
        <w:rPr>
          <w:rStyle w:val="FootnoteReference"/>
        </w:rPr>
        <w:footnoteReference w:id="15"/>
      </w:r>
      <w:r w:rsidR="00331901">
        <w:t>. Yet, one can not dismiss the obvious affection for Ishmael as he was Abraham’s first-born and it is then a possibility that he may have addressed Ishmael as his son though it is arguable whether our text can corroborate this theory.</w:t>
      </w:r>
    </w:p>
    <w:p w14:paraId="4CF5BC01" w14:textId="15C0A2F3" w:rsidR="00BE2E6C" w:rsidRDefault="00C20E61">
      <w:r>
        <w:t xml:space="preserve">How then is inheritance decided in the Hebrew household? And did Ishmael really have a claim to Abraham’s property even after the birth of Isaac?  </w:t>
      </w:r>
      <w:proofErr w:type="spellStart"/>
      <w:r>
        <w:t>Frymer</w:t>
      </w:r>
      <w:proofErr w:type="spellEnd"/>
      <w:r>
        <w:t xml:space="preserve">-Kensky notes a </w:t>
      </w:r>
      <w:proofErr w:type="spellStart"/>
      <w:r>
        <w:t>Nuzi</w:t>
      </w:r>
      <w:proofErr w:type="spellEnd"/>
      <w:r>
        <w:t xml:space="preserve"> adoption tablet that stated that</w:t>
      </w:r>
      <w:r w:rsidR="007A2A08">
        <w:t xml:space="preserve"> in a scenario such as Ishmael and Isaac</w:t>
      </w:r>
      <w:r>
        <w:t xml:space="preserve"> the portion </w:t>
      </w:r>
      <w:r w:rsidR="007A2A08">
        <w:t>towards</w:t>
      </w:r>
      <w:r>
        <w:t xml:space="preserve"> the oldest son</w:t>
      </w:r>
      <w:r w:rsidR="007A2A08">
        <w:t>, which is greater than the rest, would go to the son of the first wife irrespective of the chronology of their birth</w:t>
      </w:r>
      <w:r w:rsidR="00AA7BB1">
        <w:rPr>
          <w:rStyle w:val="FootnoteReference"/>
        </w:rPr>
        <w:footnoteReference w:id="16"/>
      </w:r>
      <w:r w:rsidR="007A2A08">
        <w:t xml:space="preserve">. Similarly, HC 170 states that the share towards the son of the first wife would be greater than that of a concubine’s or slave’s child. Why then had Sarah reacted in such a manner? As previously stated, Sarah is portrayed as an impatient woman. If we then </w:t>
      </w:r>
      <w:r w:rsidR="006E41FC">
        <w:t>st</w:t>
      </w:r>
      <w:r w:rsidR="007A2A08">
        <w:t>ressed on the word ‘lifetime’</w:t>
      </w:r>
      <w:r w:rsidR="006E41FC">
        <w:t xml:space="preserve"> in HC 170</w:t>
      </w:r>
      <w:r w:rsidR="007A2A08">
        <w:t xml:space="preserve"> we could presume that Sarah was insecure of the relationship and fondness between Abraham and Ishmael. Therefore, while Abraham had not yet acknowledged Ishmael as his son, there may have been a high </w:t>
      </w:r>
      <w:r w:rsidR="00B6011E">
        <w:t xml:space="preserve">probability of a shared inheritance had Ishmael to remain with them. As we see later in Genesis with Isaac and Esau, Isaac preferred Esau to Jacob for his physical strength and wild character. We see the same strength and character foretold for Ishmael by the angel of the Lord to Hagar in Genesis 16:10. </w:t>
      </w:r>
      <w:r w:rsidR="00331901">
        <w:t>Thus,</w:t>
      </w:r>
      <w:r w:rsidR="00B2690D">
        <w:t xml:space="preserve"> it </w:t>
      </w:r>
      <w:r w:rsidR="00331901">
        <w:t>is possible that</w:t>
      </w:r>
      <w:r w:rsidR="003F60FF">
        <w:t xml:space="preserve"> it was</w:t>
      </w:r>
      <w:r w:rsidR="00B2690D">
        <w:t xml:space="preserve"> the chief wife and not the husband that decided </w:t>
      </w:r>
      <w:r w:rsidR="003F60FF">
        <w:t>who would inherit from the father</w:t>
      </w:r>
      <w:r w:rsidR="00B2690D">
        <w:t xml:space="preserve">. It has been witnessed numerous times in history when women and mothers of power hid in the shadows manipulating circumstances and people to push agendas and their heirs into power. Therefore, though the </w:t>
      </w:r>
      <w:r w:rsidR="00FE55CF">
        <w:t>Hebrew household may have been patriarchal on the outside</w:t>
      </w:r>
      <w:r w:rsidR="00BD635C">
        <w:t xml:space="preserve">, </w:t>
      </w:r>
      <w:r w:rsidR="00FE55CF">
        <w:t>the matriarchs</w:t>
      </w:r>
      <w:r w:rsidR="003C6E3A">
        <w:t xml:space="preserve"> or rather the women</w:t>
      </w:r>
      <w:r w:rsidR="00FE55CF">
        <w:t xml:space="preserve"> governed most events that changed the course of </w:t>
      </w:r>
      <w:r w:rsidR="008F1BBC">
        <w:t xml:space="preserve">early </w:t>
      </w:r>
      <w:r w:rsidR="00FE55CF">
        <w:t xml:space="preserve">Jewish history. </w:t>
      </w:r>
    </w:p>
    <w:p w14:paraId="7CD9391C" w14:textId="77777777" w:rsidR="00BE0CB3" w:rsidRDefault="00BE0CB3" w:rsidP="00A720DF"/>
    <w:p w14:paraId="5CCFE905" w14:textId="77777777" w:rsidR="00A720DF" w:rsidRDefault="00A720DF" w:rsidP="00A720DF"/>
    <w:p w14:paraId="409491EE" w14:textId="6A7AE865" w:rsidR="00BE2E6C" w:rsidRPr="0097586C" w:rsidRDefault="00F950AD">
      <w:pPr>
        <w:rPr>
          <w:sz w:val="28"/>
          <w:szCs w:val="28"/>
        </w:rPr>
      </w:pPr>
      <w:r w:rsidRPr="0097586C">
        <w:rPr>
          <w:sz w:val="28"/>
          <w:szCs w:val="28"/>
        </w:rPr>
        <w:t xml:space="preserve">Feminist perspective on Hagar and her </w:t>
      </w:r>
      <w:r w:rsidR="0097586C">
        <w:rPr>
          <w:sz w:val="28"/>
          <w:szCs w:val="28"/>
        </w:rPr>
        <w:t>R</w:t>
      </w:r>
      <w:r w:rsidRPr="0097586C">
        <w:rPr>
          <w:sz w:val="28"/>
          <w:szCs w:val="28"/>
        </w:rPr>
        <w:t>ole</w:t>
      </w:r>
    </w:p>
    <w:p w14:paraId="2C5DC485" w14:textId="691E0543" w:rsidR="008F1BBC" w:rsidRDefault="008F1BBC">
      <w:r>
        <w:t xml:space="preserve">As we have discussed the social need for introducing Hagar in Genesis which is to counteract Sarah’s barrenness and provide what would have been a legal heir to Abraham, we will now discuss the other reasons for bringing in a </w:t>
      </w:r>
      <w:r w:rsidRPr="00B46946">
        <w:t>woman who does not help with our knowledge o</w:t>
      </w:r>
      <w:r>
        <w:t xml:space="preserve">f ‘Jewish’ history </w:t>
      </w:r>
      <w:r w:rsidR="00D52695">
        <w:t xml:space="preserve">and yet </w:t>
      </w:r>
      <w:r w:rsidR="000507FA">
        <w:t xml:space="preserve">remains important for various reasons. </w:t>
      </w:r>
      <w:r w:rsidR="00E95A27">
        <w:t xml:space="preserve">In the feminist </w:t>
      </w:r>
      <w:r w:rsidR="00E25425">
        <w:t>world Hagar no longer remains a concubine or slave here she is considered as a matriarch</w:t>
      </w:r>
      <w:r w:rsidR="006438D0">
        <w:t xml:space="preserve"> or in some cases a patriarch.</w:t>
      </w:r>
      <w:r w:rsidR="00F162EF">
        <w:t xml:space="preserve"> Hagar is considered strong, unique, a lady of firsts and yet she is also seen as the rejected, abused and poor woman wronged by all and left alone to die.</w:t>
      </w:r>
    </w:p>
    <w:p w14:paraId="3FBCCFEE" w14:textId="518EED7C" w:rsidR="00134EDD" w:rsidRDefault="00181210">
      <w:r>
        <w:lastRenderedPageBreak/>
        <w:t>Even before we have mention of her name, we learn that she is from Egypt and this information adds to the meaning of her name. While the meaning is uncertain scholars interpret it as wanderer or alien and in Hagar’s story this fits perfectly</w:t>
      </w:r>
      <w:r w:rsidR="00534463">
        <w:rPr>
          <w:rStyle w:val="FootnoteReference"/>
        </w:rPr>
        <w:footnoteReference w:id="17"/>
      </w:r>
      <w:r>
        <w:t xml:space="preserve">. She enters </w:t>
      </w:r>
      <w:r w:rsidR="00AA7BB1">
        <w:t>the</w:t>
      </w:r>
      <w:r>
        <w:t xml:space="preserve"> texts as an outsider and leaves it the same way. It is then important to understand why this woman plays a named part in scripture at all. </w:t>
      </w:r>
    </w:p>
    <w:p w14:paraId="24636721" w14:textId="7C0FFA2F" w:rsidR="00534463" w:rsidRDefault="00534463">
      <w:r>
        <w:t xml:space="preserve">Meyers states that Hagar was a foreshadow of the Israelites conditions in Egypt. Just as she was an alien in Abraham’s house Israel was alienated in Egypt. And just as Hagar was degraded by her mistress so was Israel degraded by the Egyptians. And just as how Israel first lived comfortably </w:t>
      </w:r>
      <w:r w:rsidR="00933406">
        <w:t>until</w:t>
      </w:r>
      <w:r>
        <w:t xml:space="preserve"> they were rejected by their masters, Hagar was comfortably kept after Ishmael’s birth but was rejected and sent away later</w:t>
      </w:r>
      <w:r w:rsidR="00933406">
        <w:rPr>
          <w:rStyle w:val="FootnoteReference"/>
        </w:rPr>
        <w:footnoteReference w:id="18"/>
      </w:r>
      <w:r>
        <w:t xml:space="preserve">. While it is true parallels can be drawn, it seems cruel to think that </w:t>
      </w:r>
      <w:r w:rsidR="00933406">
        <w:t>YWHW was being ironical over a woman’s life in connection to an event that takes place 4 generations into the future. Lets then for the purpose of this essay try and give YWHW the benefit of the doubt regarding Hagar.</w:t>
      </w:r>
    </w:p>
    <w:p w14:paraId="574F846F" w14:textId="2532DDB6" w:rsidR="00933406" w:rsidRDefault="00933406">
      <w:r>
        <w:t xml:space="preserve">In the New Testament we see ‘God’ become a figure not only the Jews but the Gentiles as well. Our first Gentile believer appears in Mark 5, the lonely man in the island who was naked and cut up. This man was then relieved of his demons and then sent away to preach the Gospel. While I do not wish to draw parallels with this man and Hagar, </w:t>
      </w:r>
      <w:r w:rsidR="00184060">
        <w:t>I wish to bring notice to the fact that in New Testament terms Hagar would be the first ‘gentile’ to have heard from God. What does this signify? Could it be possible that the YWHW of the Jews was in fact trying to reach outsiders from as early as the book of Genesis? What’s even greater was that YWHW was reaching out to a woman.</w:t>
      </w:r>
    </w:p>
    <w:p w14:paraId="68CC974D" w14:textId="72BF7881" w:rsidR="00184060" w:rsidRDefault="00184060">
      <w:r>
        <w:t>Thompson mentions God being Hagar’s enemy</w:t>
      </w:r>
      <w:r w:rsidR="00F46A2F">
        <w:rPr>
          <w:rStyle w:val="FootnoteReference"/>
        </w:rPr>
        <w:footnoteReference w:id="19"/>
      </w:r>
      <w:r>
        <w:t>, and though it is possible to understand that point of view</w:t>
      </w:r>
      <w:r w:rsidR="00296AB9">
        <w:t>, I would claim that Hagar was not lonely</w:t>
      </w:r>
      <w:r w:rsidR="00322A27">
        <w:t>,</w:t>
      </w:r>
      <w:r w:rsidR="00296AB9">
        <w:t xml:space="preserve"> in fact in her story God was her husband. Like Abraham took a passive stance over the interac</w:t>
      </w:r>
      <w:r w:rsidR="00322A27">
        <w:t>t</w:t>
      </w:r>
      <w:r w:rsidR="00296AB9">
        <w:t xml:space="preserve">ion between Sarah and Hagar so does God. In fact, he enters conversation with Hagar every time she is alone and in need of guidance. While scholars sum Genesis 16 for Hagar as bondage to freedom to bondage, they fail to consider social laws of the time. </w:t>
      </w:r>
      <w:r w:rsidR="007D0DBC">
        <w:t>As stated above, Sarah’s treatment towards Hagar after conception though harsh and inhumane in our eyes could be written down as the law of the time (HC 146). Yet Hagar chose to run away from this situation that may I say she brought upon herself, though it is possible as an outsider she may not have known the customs that the Hebrew household followed. It is important to note that as an alien concubine Hagar did not become a free woman by running away, she was technically still a slave of Sarah. And by giving YWHW the benefit of the doubt, I’d suggest that he</w:t>
      </w:r>
      <w:r w:rsidR="00F46A2F">
        <w:t>’d rather see Hagar as a free woman than a slave. Therefore, he sends her back so that eventually in the right time her status would change and she along with her son could fulfil their destiny. Thus, even before he blesses her and the boy in her womb, he advises her to submit to her mistress (Gen 16:9), an advice I presume that would have made her life easier.</w:t>
      </w:r>
    </w:p>
    <w:p w14:paraId="34A0D459" w14:textId="5FFF09F4" w:rsidR="00F46A2F" w:rsidRDefault="00F46A2F">
      <w:r>
        <w:t>Clark in his womanist dialogue draws convincing parallels between Abraham and Hagar</w:t>
      </w:r>
      <w:r w:rsidR="002F0D28">
        <w:rPr>
          <w:rStyle w:val="FootnoteReference"/>
        </w:rPr>
        <w:footnoteReference w:id="20"/>
      </w:r>
      <w:r>
        <w:t>.</w:t>
      </w:r>
      <w:r w:rsidR="002F0D28">
        <w:t xml:space="preserve"> Which is supported by </w:t>
      </w:r>
      <w:proofErr w:type="spellStart"/>
      <w:r w:rsidR="002F0D28">
        <w:t>Piggot’s</w:t>
      </w:r>
      <w:proofErr w:type="spellEnd"/>
      <w:r w:rsidR="002F0D28">
        <w:t xml:space="preserve"> opinion of addressing Hagar as a patriarch in her own rights</w:t>
      </w:r>
      <w:r w:rsidR="002F0D28">
        <w:rPr>
          <w:rStyle w:val="FootnoteReference"/>
        </w:rPr>
        <w:footnoteReference w:id="21"/>
      </w:r>
      <w:r w:rsidR="002F0D28">
        <w:t>.</w:t>
      </w:r>
      <w:r>
        <w:t xml:space="preserve"> </w:t>
      </w:r>
      <w:r w:rsidR="002F0D28">
        <w:t xml:space="preserve"> She too like Abraham received a promise of a nation. Like Abraham she too moves to a foreign land.</w:t>
      </w:r>
      <w:r w:rsidR="000952ED">
        <w:t xml:space="preserve"> But unlike Abraham Hagar names the God who speaks to her. While Clark notes this as an act of defiance it bothers me to think that why a woman naming God independently, the God who was the first to </w:t>
      </w:r>
      <w:r w:rsidR="000952ED">
        <w:lastRenderedPageBreak/>
        <w:t>initiate conversation with her, the God who advised her, the God who promised her and blessed her offspring</w:t>
      </w:r>
      <w:r w:rsidR="000952ED">
        <w:rPr>
          <w:rStyle w:val="FootnoteReference"/>
        </w:rPr>
        <w:footnoteReference w:id="22"/>
      </w:r>
      <w:r w:rsidR="000952ED">
        <w:t xml:space="preserve">, would be considered as being defiant. It is not impossible to think that Hagar formed a connection with her speaker who showed compassion towards her. </w:t>
      </w:r>
      <w:r w:rsidR="00506AF5">
        <w:t>To</w:t>
      </w:r>
      <w:r w:rsidR="000952ED">
        <w:t xml:space="preserve"> suppose otherwise would mean that YWHW was a God of men alone, and this would be a faulty assumption as we see not many but women with strong chara</w:t>
      </w:r>
      <w:r w:rsidR="00506AF5">
        <w:t>c</w:t>
      </w:r>
      <w:r w:rsidR="000952ED">
        <w:t xml:space="preserve">ters and roles appear throughout the </w:t>
      </w:r>
      <w:r w:rsidR="00506AF5">
        <w:t>Bible and in good accord with God.</w:t>
      </w:r>
    </w:p>
    <w:p w14:paraId="2F157A7A" w14:textId="77777777" w:rsidR="00944D5D" w:rsidRDefault="005136ED">
      <w:r>
        <w:t xml:space="preserve">In </w:t>
      </w:r>
      <w:r w:rsidR="00506AF5">
        <w:t xml:space="preserve">Chapter 21 </w:t>
      </w:r>
      <w:r>
        <w:t xml:space="preserve">Hagar once again moves into a cycle of bondage to rejection to freedom. </w:t>
      </w:r>
      <w:r w:rsidR="00F60D67">
        <w:t xml:space="preserve">While in Chapter 16 it is Sarah’s treatment of Hagar that forces her to flee, in this chapter Sarah views Ishmael’s treatment of Isaac as evil and makes the decision of involving Abraham and getting rid of Hagar. The LL 25 states that a concubine or slave woman must be freed once the chief wife produces an heir of her own. Again, Abraham seems to be ignorant of this law as he does not take the step himself but instead is reluctant to follow his wife’s wish until God steps in and commands Abraham to do as Sarah wishes. Once again, God seems to be Hagar’s enemy, but is he? The legal casting away of Hagar in chapter 21 wins Hagar and Ishmael their freedom from their life of captivity. Having stated </w:t>
      </w:r>
      <w:r w:rsidR="00944D5D">
        <w:t>‘</w:t>
      </w:r>
      <w:r w:rsidR="00F60D67">
        <w:t>their life in captivity</w:t>
      </w:r>
      <w:r w:rsidR="00944D5D">
        <w:t>’</w:t>
      </w:r>
      <w:r w:rsidR="00F60D67">
        <w:t xml:space="preserve"> it is possible that Hagar was not treated as other slaves or concubines after the birth of Ishmael. As seen in the case of Bilhah and </w:t>
      </w:r>
      <w:proofErr w:type="spellStart"/>
      <w:r w:rsidR="00F60D67">
        <w:t>Zilpah</w:t>
      </w:r>
      <w:proofErr w:type="spellEnd"/>
      <w:r w:rsidR="00F60D67">
        <w:t xml:space="preserve"> </w:t>
      </w:r>
      <w:r w:rsidR="00FF6172">
        <w:t>who had their own tents (Gen 31:33) and were considered of a higher status than the rest of Jacob’s slaves (Gen 33:2) so was Hagar.</w:t>
      </w:r>
      <w:r w:rsidR="00944D5D">
        <w:t xml:space="preserve"> Even so, d</w:t>
      </w:r>
      <w:r w:rsidR="00FF6172">
        <w:t>isregarding his own wishes Abraham sends away his first-born and Hagar with the bare minimum for their journey.</w:t>
      </w:r>
    </w:p>
    <w:p w14:paraId="2DCD035D" w14:textId="368E7B5C" w:rsidR="00506AF5" w:rsidRDefault="00944D5D">
      <w:r>
        <w:t xml:space="preserve">The life of Hagar from this journey is looked at with pity. Hagar symbolises the hardships of single motherhood. Yet, she still </w:t>
      </w:r>
      <w:r w:rsidR="00322A27">
        <w:t>h</w:t>
      </w:r>
      <w:r>
        <w:t>as YWHW looking out for her. As she wanders in the wilderness her supplies come to an end and she is forced to lay down her son and expect death for both. She leaves Ishmael by a bush</w:t>
      </w:r>
      <w:r>
        <w:rPr>
          <w:rStyle w:val="FootnoteReference"/>
        </w:rPr>
        <w:footnoteReference w:id="23"/>
      </w:r>
      <w:r w:rsidR="00841A8F">
        <w:t xml:space="preserve"> and places herself at the distance of a bowshot away from the boy and crie</w:t>
      </w:r>
      <w:r w:rsidR="00BC338E">
        <w:t>d</w:t>
      </w:r>
      <w:r w:rsidR="00841A8F">
        <w:t xml:space="preserve"> unto the Lord. Here it is Ishmael’s cry and not Hagar’s that the Lord hears, does Hagar fall back in importance as a male character presents itself? Considering that it is Hagar that God then calls and answers I’m unsure. In verse 17 God now address Hagar as a free woman, she is no longer ‘servant of Sarah’ as she was in Chapter 16. God reaffirms the prophecy over the boy and provides for </w:t>
      </w:r>
      <w:r w:rsidR="002438AC">
        <w:t>H</w:t>
      </w:r>
      <w:r w:rsidR="00841A8F">
        <w:t xml:space="preserve">agar and Ishmael by </w:t>
      </w:r>
      <w:r w:rsidR="002438AC">
        <w:t xml:space="preserve">making a well appear. From then on life is supposedly a good life for Ishmael as he grows up fulfilling his blessing. The final mention of Hagar is now made as she fulfils the last task of a parent for a child and gets Ishmael married to a </w:t>
      </w:r>
      <w:r w:rsidR="00322A27">
        <w:t>`</w:t>
      </w:r>
      <w:r w:rsidR="002438AC">
        <w:t xml:space="preserve">woman of Egyptian descent. </w:t>
      </w:r>
    </w:p>
    <w:p w14:paraId="2D0A3C18" w14:textId="4078C854" w:rsidR="0097586C" w:rsidRDefault="002438AC">
      <w:r>
        <w:t xml:space="preserve">We do not hear of Hagar again, yet there is a mention of the </w:t>
      </w:r>
      <w:proofErr w:type="spellStart"/>
      <w:r>
        <w:t>Hagrites</w:t>
      </w:r>
      <w:proofErr w:type="spellEnd"/>
      <w:r>
        <w:t xml:space="preserve"> and the I</w:t>
      </w:r>
      <w:r w:rsidR="00F759B7">
        <w:t xml:space="preserve">shmaelites in the book of Psalms (Ps 83:6). </w:t>
      </w:r>
      <w:proofErr w:type="spellStart"/>
      <w:r w:rsidR="00F759B7">
        <w:t>Teubal</w:t>
      </w:r>
      <w:proofErr w:type="spellEnd"/>
      <w:r w:rsidR="00F759B7">
        <w:t xml:space="preserve"> takes the two tribes to mean that the story of Hagar and Ishmael are not related but that Ishmael was the son of an unnamed woman whom </w:t>
      </w:r>
      <w:proofErr w:type="spellStart"/>
      <w:r w:rsidR="00F759B7">
        <w:t>Teubal</w:t>
      </w:r>
      <w:proofErr w:type="spellEnd"/>
      <w:r w:rsidR="00F759B7">
        <w:t xml:space="preserve"> calls the Desert Matriarch. </w:t>
      </w:r>
      <w:proofErr w:type="spellStart"/>
      <w:r w:rsidR="00F759B7">
        <w:t>Teubal</w:t>
      </w:r>
      <w:proofErr w:type="spellEnd"/>
      <w:r w:rsidR="00F759B7">
        <w:t xml:space="preserve"> places the Desert Matriarch in the same status of Sarah to explain the blessings upon Ishmael who like that of Sarah’s descendants grew into 12 tribes. </w:t>
      </w:r>
      <w:proofErr w:type="spellStart"/>
      <w:r w:rsidR="00F759B7">
        <w:t>Teubal</w:t>
      </w:r>
      <w:proofErr w:type="spellEnd"/>
      <w:r w:rsidR="00F759B7">
        <w:t xml:space="preserve"> claims that by </w:t>
      </w:r>
      <w:r w:rsidR="00490D2B">
        <w:t>fusing the Desert Matriarch and Hagar, the writer of Genesis manages to make Abraham the progenitor of all three tribes</w:t>
      </w:r>
      <w:r w:rsidR="00490D2B">
        <w:rPr>
          <w:rStyle w:val="FootnoteReference"/>
        </w:rPr>
        <w:footnoteReference w:id="24"/>
      </w:r>
      <w:r w:rsidR="00490D2B">
        <w:t>. On the other hand</w:t>
      </w:r>
      <w:r w:rsidR="0030474D">
        <w:t>,</w:t>
      </w:r>
      <w:r w:rsidR="00490D2B">
        <w:t xml:space="preserve"> I do not believe in the existence of the Desert Matriarch. </w:t>
      </w:r>
      <w:r w:rsidR="0030474D">
        <w:t xml:space="preserve">It is possible that Hagar had other children after Ishmael (she is portrayed as a young woman when she was given to Abraham) who were later known as the </w:t>
      </w:r>
      <w:proofErr w:type="spellStart"/>
      <w:r w:rsidR="0030474D">
        <w:t>Hagrites</w:t>
      </w:r>
      <w:proofErr w:type="spellEnd"/>
      <w:r w:rsidR="0030474D">
        <w:t xml:space="preserve">. By creating the character of the </w:t>
      </w:r>
      <w:r w:rsidR="0030474D">
        <w:lastRenderedPageBreak/>
        <w:t xml:space="preserve">Desert Matriarch, </w:t>
      </w:r>
      <w:proofErr w:type="spellStart"/>
      <w:r w:rsidR="0030474D">
        <w:t>Tuebal</w:t>
      </w:r>
      <w:proofErr w:type="spellEnd"/>
      <w:r w:rsidR="0030474D">
        <w:t xml:space="preserve"> strips away the possibility that Hagar- a concubine, a slave, could have had a </w:t>
      </w:r>
      <w:proofErr w:type="spellStart"/>
      <w:r w:rsidR="0030474D">
        <w:t>theophanic</w:t>
      </w:r>
      <w:proofErr w:type="spellEnd"/>
      <w:r w:rsidR="0030474D">
        <w:t xml:space="preserve"> experience and be the ancestor to two powerful tribes.</w:t>
      </w:r>
    </w:p>
    <w:p w14:paraId="74AA1189" w14:textId="77777777" w:rsidR="0097586C" w:rsidRDefault="0097586C">
      <w:r>
        <w:br w:type="page"/>
      </w:r>
    </w:p>
    <w:p w14:paraId="40C509DA" w14:textId="77777777" w:rsidR="0097586C" w:rsidRDefault="0097586C" w:rsidP="0097586C">
      <w:pPr>
        <w:rPr>
          <w:rFonts w:cstheme="minorHAnsi"/>
          <w:sz w:val="24"/>
          <w:szCs w:val="24"/>
        </w:rPr>
      </w:pPr>
      <w:r w:rsidRPr="00884E93">
        <w:rPr>
          <w:rFonts w:cstheme="minorHAnsi"/>
          <w:sz w:val="24"/>
          <w:szCs w:val="24"/>
        </w:rPr>
        <w:lastRenderedPageBreak/>
        <w:t xml:space="preserve">Bibliography </w:t>
      </w:r>
    </w:p>
    <w:p w14:paraId="6217BD25" w14:textId="77777777" w:rsidR="0097586C" w:rsidRPr="00884E93" w:rsidRDefault="0097586C" w:rsidP="0097586C">
      <w:pPr>
        <w:rPr>
          <w:rFonts w:cstheme="minorHAnsi"/>
          <w:sz w:val="24"/>
          <w:szCs w:val="24"/>
        </w:rPr>
      </w:pPr>
    </w:p>
    <w:p w14:paraId="43C0232F" w14:textId="77777777" w:rsidR="0097586C" w:rsidRPr="00884E93" w:rsidRDefault="0097586C" w:rsidP="0097586C">
      <w:pPr>
        <w:rPr>
          <w:rFonts w:cstheme="minorHAnsi"/>
          <w:sz w:val="24"/>
          <w:szCs w:val="24"/>
        </w:rPr>
      </w:pPr>
      <w:r w:rsidRPr="00884E93">
        <w:rPr>
          <w:rFonts w:cstheme="minorHAnsi"/>
          <w:sz w:val="24"/>
          <w:szCs w:val="24"/>
        </w:rPr>
        <w:t xml:space="preserve">Angel, H. ‘Sarah’s treatment of Hagar (Genesis 16): Morals, Messages and Mesopotamia’, </w:t>
      </w:r>
      <w:r w:rsidRPr="00884E93">
        <w:rPr>
          <w:rFonts w:cstheme="minorHAnsi"/>
          <w:i/>
          <w:sz w:val="24"/>
          <w:szCs w:val="24"/>
        </w:rPr>
        <w:t xml:space="preserve">Jewish Biblical </w:t>
      </w:r>
      <w:proofErr w:type="spellStart"/>
      <w:r w:rsidRPr="00884E93">
        <w:rPr>
          <w:rFonts w:cstheme="minorHAnsi"/>
          <w:i/>
          <w:sz w:val="24"/>
          <w:szCs w:val="24"/>
        </w:rPr>
        <w:t>Quaterly</w:t>
      </w:r>
      <w:proofErr w:type="spellEnd"/>
      <w:r w:rsidRPr="00884E93">
        <w:rPr>
          <w:rFonts w:cstheme="minorHAnsi"/>
          <w:i/>
          <w:sz w:val="24"/>
          <w:szCs w:val="24"/>
        </w:rPr>
        <w:t xml:space="preserve"> 41 (</w:t>
      </w:r>
      <w:r w:rsidRPr="00884E93">
        <w:rPr>
          <w:rFonts w:cstheme="minorHAnsi"/>
          <w:sz w:val="24"/>
          <w:szCs w:val="24"/>
        </w:rPr>
        <w:t>4) ,2013, 211-218.</w:t>
      </w:r>
    </w:p>
    <w:p w14:paraId="3D12ADBF" w14:textId="77777777" w:rsidR="0097586C" w:rsidRPr="00884E93" w:rsidRDefault="0097586C" w:rsidP="0097586C">
      <w:pPr>
        <w:rPr>
          <w:rFonts w:cstheme="minorHAnsi"/>
          <w:sz w:val="24"/>
          <w:szCs w:val="24"/>
        </w:rPr>
      </w:pPr>
      <w:proofErr w:type="spellStart"/>
      <w:r w:rsidRPr="00884E93">
        <w:rPr>
          <w:rFonts w:cstheme="minorHAnsi"/>
          <w:sz w:val="24"/>
          <w:szCs w:val="24"/>
        </w:rPr>
        <w:t>Bohmbach.K</w:t>
      </w:r>
      <w:proofErr w:type="spellEnd"/>
      <w:r w:rsidRPr="00884E93">
        <w:rPr>
          <w:rFonts w:cstheme="minorHAnsi"/>
          <w:sz w:val="24"/>
          <w:szCs w:val="24"/>
        </w:rPr>
        <w:t xml:space="preserve">. ‘Names and Naming in the Biblical World’, in </w:t>
      </w:r>
      <w:proofErr w:type="spellStart"/>
      <w:r w:rsidRPr="00884E93">
        <w:rPr>
          <w:rFonts w:cstheme="minorHAnsi"/>
          <w:sz w:val="24"/>
          <w:szCs w:val="24"/>
        </w:rPr>
        <w:t>C.L.Meyers</w:t>
      </w:r>
      <w:proofErr w:type="spellEnd"/>
      <w:r w:rsidRPr="00884E93">
        <w:rPr>
          <w:rFonts w:cstheme="minorHAnsi"/>
          <w:sz w:val="24"/>
          <w:szCs w:val="24"/>
        </w:rPr>
        <w:t xml:space="preserve"> (ed), </w:t>
      </w:r>
      <w:r w:rsidRPr="00884E93">
        <w:rPr>
          <w:rFonts w:cstheme="minorHAnsi"/>
          <w:i/>
          <w:iCs/>
          <w:sz w:val="24"/>
          <w:szCs w:val="24"/>
          <w:bdr w:val="none" w:sz="0" w:space="0" w:color="auto" w:frame="1"/>
        </w:rPr>
        <w:t>Women in Scripture: a Dictionary of Named and Unnamed Women in the Hebrew Bible, the Apocryphal/Deuterocanonical Books, and the New Testament</w:t>
      </w:r>
      <w:r w:rsidRPr="00884E93">
        <w:rPr>
          <w:rFonts w:cstheme="minorHAnsi"/>
          <w:i/>
          <w:sz w:val="24"/>
          <w:szCs w:val="24"/>
        </w:rPr>
        <w:t>,</w:t>
      </w:r>
      <w:r w:rsidRPr="00884E93">
        <w:rPr>
          <w:rFonts w:cstheme="minorHAnsi"/>
          <w:sz w:val="24"/>
          <w:szCs w:val="24"/>
        </w:rPr>
        <w:t xml:space="preserve"> Grand Rapids, MI: William B. Eerdmans Publishing Company, 2000</w:t>
      </w:r>
    </w:p>
    <w:p w14:paraId="10A052E7" w14:textId="77777777" w:rsidR="0097586C" w:rsidRPr="0097586C" w:rsidRDefault="0097586C" w:rsidP="0097586C">
      <w:pPr>
        <w:rPr>
          <w:rFonts w:cstheme="minorHAnsi"/>
          <w:sz w:val="24"/>
          <w:szCs w:val="24"/>
        </w:rPr>
      </w:pPr>
      <w:r w:rsidRPr="00884E93">
        <w:rPr>
          <w:rFonts w:cstheme="minorHAnsi"/>
          <w:sz w:val="24"/>
          <w:szCs w:val="24"/>
        </w:rPr>
        <w:t xml:space="preserve">Clark, A. ‘Hagar the Egyptian: A Womanist Dialogue’, </w:t>
      </w:r>
      <w:r w:rsidRPr="00884E93">
        <w:rPr>
          <w:rFonts w:cstheme="minorHAnsi"/>
          <w:i/>
          <w:iCs/>
          <w:sz w:val="24"/>
          <w:szCs w:val="24"/>
          <w:bdr w:val="none" w:sz="0" w:space="0" w:color="auto" w:frame="1"/>
        </w:rPr>
        <w:t>Western Journal of Black Studies</w:t>
      </w:r>
      <w:r w:rsidRPr="00884E93">
        <w:rPr>
          <w:rFonts w:cstheme="minorHAnsi"/>
          <w:sz w:val="24"/>
          <w:szCs w:val="24"/>
        </w:rPr>
        <w:t xml:space="preserve"> 36(1), </w:t>
      </w:r>
      <w:r w:rsidRPr="0097586C">
        <w:rPr>
          <w:rFonts w:cstheme="minorHAnsi"/>
          <w:sz w:val="24"/>
          <w:szCs w:val="24"/>
        </w:rPr>
        <w:t xml:space="preserve">2012, 48–56. </w:t>
      </w:r>
    </w:p>
    <w:p w14:paraId="71992B93" w14:textId="77777777" w:rsidR="0097586C" w:rsidRPr="0097586C" w:rsidRDefault="0097586C" w:rsidP="0097586C">
      <w:pPr>
        <w:rPr>
          <w:rFonts w:cstheme="minorHAnsi"/>
          <w:sz w:val="24"/>
          <w:szCs w:val="24"/>
        </w:rPr>
      </w:pPr>
      <w:r w:rsidRPr="0097586C">
        <w:rPr>
          <w:rFonts w:cstheme="minorHAnsi"/>
          <w:sz w:val="24"/>
          <w:szCs w:val="24"/>
        </w:rPr>
        <w:t xml:space="preserve">Epstein, Louis M. ‘The Institution of Concubinage among the Jews’, </w:t>
      </w:r>
      <w:r w:rsidRPr="0097586C">
        <w:rPr>
          <w:rFonts w:cstheme="minorHAnsi"/>
          <w:i/>
          <w:iCs/>
          <w:sz w:val="24"/>
          <w:szCs w:val="24"/>
        </w:rPr>
        <w:t>Proceedings of the American Academy for Jewish Research</w:t>
      </w:r>
      <w:r w:rsidRPr="0097586C">
        <w:rPr>
          <w:rFonts w:cstheme="minorHAnsi"/>
          <w:sz w:val="24"/>
          <w:szCs w:val="24"/>
        </w:rPr>
        <w:t xml:space="preserve"> 6, 1934: 153-188.</w:t>
      </w:r>
    </w:p>
    <w:p w14:paraId="1C29A76E" w14:textId="77777777" w:rsidR="0097586C" w:rsidRPr="0097586C" w:rsidRDefault="0097586C" w:rsidP="0097586C">
      <w:pPr>
        <w:rPr>
          <w:rFonts w:cstheme="minorHAnsi"/>
          <w:sz w:val="24"/>
          <w:szCs w:val="24"/>
        </w:rPr>
      </w:pPr>
      <w:proofErr w:type="spellStart"/>
      <w:r w:rsidRPr="0097586C">
        <w:rPr>
          <w:rFonts w:cstheme="minorHAnsi"/>
          <w:sz w:val="24"/>
          <w:szCs w:val="24"/>
        </w:rPr>
        <w:t>Frymer</w:t>
      </w:r>
      <w:proofErr w:type="spellEnd"/>
      <w:r w:rsidRPr="0097586C">
        <w:rPr>
          <w:rFonts w:cstheme="minorHAnsi"/>
          <w:sz w:val="24"/>
          <w:szCs w:val="24"/>
        </w:rPr>
        <w:t xml:space="preserve">-Kensky, T. ‘Patriarchal Family Relationships and Near Eastern Law’, </w:t>
      </w:r>
      <w:r w:rsidRPr="0097586C">
        <w:rPr>
          <w:rFonts w:cstheme="minorHAnsi"/>
          <w:i/>
          <w:iCs/>
          <w:sz w:val="24"/>
          <w:szCs w:val="24"/>
        </w:rPr>
        <w:t>The Biblical</w:t>
      </w:r>
      <w:r w:rsidRPr="0097586C">
        <w:rPr>
          <w:rFonts w:cstheme="minorHAnsi"/>
          <w:iCs/>
          <w:sz w:val="24"/>
          <w:szCs w:val="24"/>
        </w:rPr>
        <w:t xml:space="preserve"> </w:t>
      </w:r>
      <w:r w:rsidRPr="0097586C">
        <w:rPr>
          <w:rFonts w:cstheme="minorHAnsi"/>
          <w:i/>
          <w:iCs/>
          <w:sz w:val="24"/>
          <w:szCs w:val="24"/>
        </w:rPr>
        <w:t>Archaeologist</w:t>
      </w:r>
      <w:r w:rsidRPr="0097586C">
        <w:rPr>
          <w:rFonts w:cstheme="minorHAnsi"/>
          <w:sz w:val="24"/>
          <w:szCs w:val="24"/>
        </w:rPr>
        <w:t xml:space="preserve"> </w:t>
      </w:r>
      <w:r w:rsidRPr="0097586C">
        <w:rPr>
          <w:rFonts w:cstheme="minorHAnsi"/>
          <w:iCs/>
          <w:sz w:val="24"/>
          <w:szCs w:val="24"/>
        </w:rPr>
        <w:t>44</w:t>
      </w:r>
      <w:r w:rsidRPr="0097586C">
        <w:rPr>
          <w:rFonts w:cstheme="minorHAnsi"/>
          <w:sz w:val="24"/>
          <w:szCs w:val="24"/>
        </w:rPr>
        <w:t>(4), 1981, 209-214.</w:t>
      </w:r>
    </w:p>
    <w:p w14:paraId="0508F8B6" w14:textId="77777777" w:rsidR="0097586C" w:rsidRPr="0097586C" w:rsidRDefault="0097586C" w:rsidP="0097586C">
      <w:pPr>
        <w:spacing w:after="0" w:line="240" w:lineRule="auto"/>
        <w:rPr>
          <w:rFonts w:eastAsia="Times New Roman" w:cstheme="minorHAnsi"/>
          <w:sz w:val="24"/>
          <w:szCs w:val="24"/>
          <w:lang w:eastAsia="en-GB"/>
        </w:rPr>
      </w:pPr>
      <w:r w:rsidRPr="0097586C">
        <w:rPr>
          <w:rFonts w:eastAsia="Times New Roman" w:cstheme="minorHAnsi"/>
          <w:sz w:val="24"/>
          <w:szCs w:val="24"/>
          <w:lang w:eastAsia="en-GB"/>
        </w:rPr>
        <w:t xml:space="preserve">Gregg, Robert C. ‘Sarah and Hagar: Jewish Portrayals.’, In </w:t>
      </w:r>
      <w:r w:rsidRPr="0097586C">
        <w:rPr>
          <w:rFonts w:eastAsia="Times New Roman" w:cstheme="minorHAnsi"/>
          <w:i/>
          <w:iCs/>
          <w:sz w:val="24"/>
          <w:szCs w:val="24"/>
          <w:bdr w:val="none" w:sz="0" w:space="0" w:color="auto" w:frame="1"/>
          <w:lang w:eastAsia="en-GB"/>
        </w:rPr>
        <w:t xml:space="preserve">Shared Stories, Rival </w:t>
      </w:r>
      <w:proofErr w:type="spellStart"/>
      <w:r w:rsidRPr="0097586C">
        <w:rPr>
          <w:rFonts w:eastAsia="Times New Roman" w:cstheme="minorHAnsi"/>
          <w:i/>
          <w:iCs/>
          <w:sz w:val="24"/>
          <w:szCs w:val="24"/>
          <w:bdr w:val="none" w:sz="0" w:space="0" w:color="auto" w:frame="1"/>
          <w:lang w:eastAsia="en-GB"/>
        </w:rPr>
        <w:t>Tellings</w:t>
      </w:r>
      <w:proofErr w:type="spellEnd"/>
      <w:r w:rsidRPr="0097586C">
        <w:rPr>
          <w:rFonts w:eastAsia="Times New Roman" w:cstheme="minorHAnsi"/>
          <w:sz w:val="24"/>
          <w:szCs w:val="24"/>
          <w:lang w:eastAsia="en-GB"/>
        </w:rPr>
        <w:t xml:space="preserve">, Shared Stories, Rival </w:t>
      </w:r>
      <w:proofErr w:type="spellStart"/>
      <w:r w:rsidRPr="0097586C">
        <w:rPr>
          <w:rFonts w:eastAsia="Times New Roman" w:cstheme="minorHAnsi"/>
          <w:sz w:val="24"/>
          <w:szCs w:val="24"/>
          <w:lang w:eastAsia="en-GB"/>
        </w:rPr>
        <w:t>Tellings</w:t>
      </w:r>
      <w:proofErr w:type="spellEnd"/>
      <w:r w:rsidRPr="0097586C">
        <w:rPr>
          <w:rFonts w:eastAsia="Times New Roman" w:cstheme="minorHAnsi"/>
          <w:sz w:val="24"/>
          <w:szCs w:val="24"/>
          <w:lang w:eastAsia="en-GB"/>
        </w:rPr>
        <w:t>, Chapter 7. Oxford University Press, 2015.</w:t>
      </w:r>
    </w:p>
    <w:p w14:paraId="443A181D" w14:textId="77777777" w:rsidR="0097586C" w:rsidRPr="0097586C" w:rsidRDefault="0097586C" w:rsidP="0097586C">
      <w:pPr>
        <w:rPr>
          <w:rFonts w:cstheme="minorHAnsi"/>
          <w:sz w:val="24"/>
          <w:szCs w:val="24"/>
        </w:rPr>
      </w:pPr>
      <w:r w:rsidRPr="0097586C">
        <w:rPr>
          <w:rFonts w:cstheme="minorHAnsi"/>
          <w:sz w:val="24"/>
          <w:szCs w:val="24"/>
        </w:rPr>
        <w:t xml:space="preserve">Gunkel, H. ‘The Two Accounts of Hagar (Genesis xvi. and xxi., 8–21.)’, </w:t>
      </w:r>
      <w:r w:rsidRPr="0097586C">
        <w:rPr>
          <w:rFonts w:cstheme="minorHAnsi"/>
          <w:i/>
          <w:iCs/>
          <w:sz w:val="24"/>
          <w:szCs w:val="24"/>
        </w:rPr>
        <w:t>The Monist,</w:t>
      </w:r>
      <w:r w:rsidRPr="0097586C">
        <w:rPr>
          <w:rFonts w:cstheme="minorHAnsi"/>
          <w:sz w:val="24"/>
          <w:szCs w:val="24"/>
        </w:rPr>
        <w:t xml:space="preserve"> </w:t>
      </w:r>
      <w:r w:rsidRPr="0097586C">
        <w:rPr>
          <w:rFonts w:cstheme="minorHAnsi"/>
          <w:i/>
          <w:iCs/>
          <w:sz w:val="24"/>
          <w:szCs w:val="24"/>
        </w:rPr>
        <w:t>10</w:t>
      </w:r>
      <w:r w:rsidRPr="0097586C">
        <w:rPr>
          <w:rFonts w:cstheme="minorHAnsi"/>
          <w:sz w:val="24"/>
          <w:szCs w:val="24"/>
        </w:rPr>
        <w:t>(3), 1900, 321-342.</w:t>
      </w:r>
    </w:p>
    <w:p w14:paraId="03BBDAA5" w14:textId="77777777" w:rsidR="0097586C" w:rsidRPr="0097586C" w:rsidRDefault="0097586C" w:rsidP="0097586C">
      <w:pPr>
        <w:rPr>
          <w:rFonts w:cstheme="minorHAnsi"/>
          <w:sz w:val="24"/>
          <w:szCs w:val="24"/>
        </w:rPr>
      </w:pPr>
      <w:r w:rsidRPr="0097586C">
        <w:rPr>
          <w:rFonts w:cstheme="minorHAnsi"/>
          <w:sz w:val="24"/>
          <w:szCs w:val="24"/>
        </w:rPr>
        <w:t xml:space="preserve">Jackson, B. S. ‘The institutions’ of marriage and divorce in the Hebrew Bible’, </w:t>
      </w:r>
      <w:r w:rsidRPr="0097586C">
        <w:rPr>
          <w:rFonts w:cstheme="minorHAnsi"/>
          <w:i/>
          <w:iCs/>
          <w:sz w:val="24"/>
          <w:szCs w:val="24"/>
          <w:bdr w:val="none" w:sz="0" w:space="0" w:color="auto" w:frame="1"/>
        </w:rPr>
        <w:t>Journal of Semitic Studies</w:t>
      </w:r>
      <w:r w:rsidRPr="0097586C">
        <w:rPr>
          <w:rFonts w:cstheme="minorHAnsi"/>
          <w:sz w:val="24"/>
          <w:szCs w:val="24"/>
        </w:rPr>
        <w:t>, 56(2), 2011, 221–251.</w:t>
      </w:r>
    </w:p>
    <w:p w14:paraId="58BF91B4" w14:textId="77777777" w:rsidR="0097586C" w:rsidRPr="0097586C" w:rsidRDefault="0097586C" w:rsidP="0097586C">
      <w:pPr>
        <w:rPr>
          <w:rFonts w:cstheme="minorHAnsi"/>
          <w:sz w:val="24"/>
          <w:szCs w:val="24"/>
        </w:rPr>
      </w:pPr>
      <w:proofErr w:type="spellStart"/>
      <w:r w:rsidRPr="0097586C">
        <w:rPr>
          <w:rFonts w:cstheme="minorHAnsi"/>
          <w:sz w:val="24"/>
          <w:szCs w:val="24"/>
        </w:rPr>
        <w:t>Justel.J</w:t>
      </w:r>
      <w:r w:rsidRPr="0097586C">
        <w:rPr>
          <w:rFonts w:cstheme="minorHAnsi"/>
          <w:color w:val="000000" w:themeColor="text1"/>
          <w:sz w:val="24"/>
          <w:szCs w:val="24"/>
        </w:rPr>
        <w:t>.J</w:t>
      </w:r>
      <w:proofErr w:type="spellEnd"/>
      <w:r w:rsidRPr="0097586C">
        <w:rPr>
          <w:rFonts w:cstheme="minorHAnsi"/>
          <w:color w:val="000000" w:themeColor="text1"/>
          <w:sz w:val="24"/>
          <w:szCs w:val="24"/>
        </w:rPr>
        <w:t>. ‘</w:t>
      </w:r>
      <w:hyperlink r:id="rId7" w:history="1">
        <w:r w:rsidRPr="0097586C">
          <w:rPr>
            <w:rStyle w:val="Hyperlink"/>
            <w:rFonts w:cstheme="minorHAnsi"/>
            <w:color w:val="000000" w:themeColor="text1"/>
            <w:sz w:val="24"/>
            <w:szCs w:val="24"/>
            <w:u w:val="none"/>
          </w:rPr>
          <w:t xml:space="preserve">The Rights of a Concubine’s Descendants in the Ancient Near East.’, </w:t>
        </w:r>
        <w:r w:rsidRPr="0097586C">
          <w:rPr>
            <w:rStyle w:val="Hyperlink"/>
            <w:rFonts w:cstheme="minorHAnsi"/>
            <w:i/>
            <w:color w:val="000000" w:themeColor="text1"/>
            <w:sz w:val="24"/>
            <w:szCs w:val="24"/>
            <w:u w:val="none"/>
          </w:rPr>
          <w:t xml:space="preserve">Revue Internationale des Droits de </w:t>
        </w:r>
        <w:proofErr w:type="spellStart"/>
        <w:r w:rsidRPr="0097586C">
          <w:rPr>
            <w:rStyle w:val="Hyperlink"/>
            <w:rFonts w:cstheme="minorHAnsi"/>
            <w:i/>
            <w:color w:val="000000" w:themeColor="text1"/>
            <w:sz w:val="24"/>
            <w:szCs w:val="24"/>
            <w:u w:val="none"/>
          </w:rPr>
          <w:t>l'Antiquité</w:t>
        </w:r>
        <w:proofErr w:type="spellEnd"/>
        <w:r w:rsidRPr="0097586C">
          <w:rPr>
            <w:rStyle w:val="Hyperlink"/>
            <w:rFonts w:cstheme="minorHAnsi"/>
            <w:color w:val="000000" w:themeColor="text1"/>
            <w:sz w:val="24"/>
            <w:szCs w:val="24"/>
            <w:u w:val="none"/>
          </w:rPr>
          <w:t xml:space="preserve"> 60, 2013, 13-36.</w:t>
        </w:r>
      </w:hyperlink>
    </w:p>
    <w:p w14:paraId="48459536" w14:textId="77777777" w:rsidR="0097586C" w:rsidRPr="0097586C" w:rsidRDefault="0097586C" w:rsidP="0097586C">
      <w:pPr>
        <w:rPr>
          <w:rFonts w:cstheme="minorHAnsi"/>
          <w:sz w:val="24"/>
          <w:szCs w:val="24"/>
        </w:rPr>
      </w:pPr>
      <w:r w:rsidRPr="0097586C">
        <w:rPr>
          <w:rFonts w:cstheme="minorHAnsi"/>
          <w:sz w:val="24"/>
          <w:szCs w:val="24"/>
        </w:rPr>
        <w:t xml:space="preserve">Lee, K. ‘Two Translations of HSS V67 and their significance for Genesis 16,21, and 30.’ </w:t>
      </w:r>
      <w:r w:rsidRPr="0097586C">
        <w:rPr>
          <w:rFonts w:cstheme="minorHAnsi"/>
          <w:i/>
          <w:sz w:val="24"/>
          <w:szCs w:val="24"/>
        </w:rPr>
        <w:t xml:space="preserve">Journal of Biblical Literature </w:t>
      </w:r>
      <w:r w:rsidRPr="0097586C">
        <w:rPr>
          <w:rFonts w:cstheme="minorHAnsi"/>
          <w:sz w:val="24"/>
          <w:szCs w:val="24"/>
        </w:rPr>
        <w:t>134 (1), 2015, 59-63</w:t>
      </w:r>
    </w:p>
    <w:p w14:paraId="307A04E5" w14:textId="77777777" w:rsidR="0097586C" w:rsidRPr="00884E93" w:rsidRDefault="0097586C" w:rsidP="0097586C">
      <w:pPr>
        <w:rPr>
          <w:rFonts w:cstheme="minorHAnsi"/>
          <w:sz w:val="24"/>
          <w:szCs w:val="24"/>
        </w:rPr>
      </w:pPr>
      <w:r w:rsidRPr="0097586C">
        <w:rPr>
          <w:rFonts w:cstheme="minorHAnsi"/>
          <w:sz w:val="24"/>
          <w:szCs w:val="24"/>
        </w:rPr>
        <w:t xml:space="preserve">Meyers, C.L., 2000. </w:t>
      </w:r>
      <w:r w:rsidRPr="0097586C">
        <w:rPr>
          <w:rFonts w:cstheme="minorHAnsi"/>
          <w:iCs/>
          <w:sz w:val="24"/>
          <w:szCs w:val="24"/>
          <w:bdr w:val="none" w:sz="0" w:space="0" w:color="auto" w:frame="1"/>
        </w:rPr>
        <w:t>Women in Scripture</w:t>
      </w:r>
      <w:r w:rsidRPr="00884E93">
        <w:rPr>
          <w:rFonts w:cstheme="minorHAnsi"/>
          <w:iCs/>
          <w:sz w:val="24"/>
          <w:szCs w:val="24"/>
          <w:bdr w:val="none" w:sz="0" w:space="0" w:color="auto" w:frame="1"/>
        </w:rPr>
        <w:t>: a dictionary of named and unnamed women in the Hebrew Bible, the Apocryphal/Deuterocanonical books, and the New Testament</w:t>
      </w:r>
      <w:r w:rsidRPr="00884E93">
        <w:rPr>
          <w:rFonts w:cstheme="minorHAnsi"/>
          <w:sz w:val="24"/>
          <w:szCs w:val="24"/>
        </w:rPr>
        <w:t>, Grand Rapids, MI: William B. Eerdmans Publishing Company</w:t>
      </w:r>
    </w:p>
    <w:p w14:paraId="541A9B95" w14:textId="77777777" w:rsidR="0097586C" w:rsidRPr="00884E93" w:rsidRDefault="0097586C" w:rsidP="0097586C">
      <w:pPr>
        <w:spacing w:after="0" w:line="240" w:lineRule="auto"/>
        <w:rPr>
          <w:rFonts w:eastAsia="Times New Roman" w:cstheme="minorHAnsi"/>
          <w:sz w:val="24"/>
          <w:szCs w:val="24"/>
          <w:lang w:eastAsia="en-GB"/>
        </w:rPr>
      </w:pPr>
      <w:r w:rsidRPr="00884E93">
        <w:rPr>
          <w:rFonts w:eastAsia="Times New Roman" w:cstheme="minorHAnsi"/>
          <w:sz w:val="24"/>
          <w:szCs w:val="24"/>
          <w:lang w:eastAsia="en-GB"/>
        </w:rPr>
        <w:t xml:space="preserve">Okoye, James C. ‘Sarah and Hagar: Genesis 16 and 21.’, </w:t>
      </w:r>
      <w:r w:rsidRPr="00884E93">
        <w:rPr>
          <w:rFonts w:eastAsia="Times New Roman" w:cstheme="minorHAnsi"/>
          <w:i/>
          <w:iCs/>
          <w:sz w:val="24"/>
          <w:szCs w:val="24"/>
          <w:bdr w:val="none" w:sz="0" w:space="0" w:color="auto" w:frame="1"/>
          <w:lang w:eastAsia="en-GB"/>
        </w:rPr>
        <w:t>Journal for the Study of the Old Testament</w:t>
      </w:r>
      <w:r w:rsidRPr="00884E93">
        <w:rPr>
          <w:rFonts w:eastAsia="Times New Roman" w:cstheme="minorHAnsi"/>
          <w:sz w:val="24"/>
          <w:szCs w:val="24"/>
          <w:lang w:eastAsia="en-GB"/>
        </w:rPr>
        <w:t xml:space="preserve"> 32 (2), 2007, 163-75.</w:t>
      </w:r>
    </w:p>
    <w:p w14:paraId="1BCF8D88" w14:textId="77777777" w:rsidR="0097586C" w:rsidRPr="00884E93" w:rsidRDefault="0097586C" w:rsidP="0097586C">
      <w:pPr>
        <w:rPr>
          <w:rFonts w:cstheme="minorHAnsi"/>
          <w:sz w:val="24"/>
          <w:szCs w:val="24"/>
        </w:rPr>
      </w:pPr>
      <w:r w:rsidRPr="00884E93">
        <w:rPr>
          <w:rFonts w:cstheme="minorHAnsi"/>
          <w:sz w:val="24"/>
          <w:szCs w:val="24"/>
        </w:rPr>
        <w:t xml:space="preserve">Pigott, S.M. ‘Hagar: The M/Other patriarch.’, </w:t>
      </w:r>
      <w:r w:rsidRPr="00884E93">
        <w:rPr>
          <w:rFonts w:cstheme="minorHAnsi"/>
          <w:i/>
          <w:iCs/>
          <w:sz w:val="24"/>
          <w:szCs w:val="24"/>
          <w:bdr w:val="none" w:sz="0" w:space="0" w:color="auto" w:frame="1"/>
        </w:rPr>
        <w:t>Review &amp; Expositor</w:t>
      </w:r>
      <w:r w:rsidRPr="00884E93">
        <w:rPr>
          <w:rFonts w:cstheme="minorHAnsi"/>
          <w:sz w:val="24"/>
          <w:szCs w:val="24"/>
        </w:rPr>
        <w:t xml:space="preserve"> 115(4), 2018, 513–528.</w:t>
      </w:r>
    </w:p>
    <w:p w14:paraId="04754B30" w14:textId="77777777" w:rsidR="0097586C" w:rsidRPr="00884E93" w:rsidRDefault="0097586C" w:rsidP="0097586C">
      <w:pPr>
        <w:pStyle w:val="FootnoteText"/>
        <w:rPr>
          <w:rFonts w:cstheme="minorHAnsi"/>
          <w:sz w:val="24"/>
          <w:szCs w:val="24"/>
        </w:rPr>
      </w:pPr>
      <w:r w:rsidRPr="00884E93">
        <w:rPr>
          <w:rFonts w:cstheme="minorHAnsi"/>
          <w:sz w:val="24"/>
          <w:szCs w:val="24"/>
        </w:rPr>
        <w:t xml:space="preserve">R. Westbrook, ‘The Female Slave’, in V.H. Matthews, B.M. Levinson and T. </w:t>
      </w:r>
      <w:proofErr w:type="spellStart"/>
      <w:r w:rsidRPr="00884E93">
        <w:rPr>
          <w:rFonts w:cstheme="minorHAnsi"/>
          <w:sz w:val="24"/>
          <w:szCs w:val="24"/>
        </w:rPr>
        <w:t>Frymer</w:t>
      </w:r>
      <w:proofErr w:type="spellEnd"/>
      <w:r w:rsidRPr="00884E93">
        <w:rPr>
          <w:rFonts w:cstheme="minorHAnsi"/>
          <w:sz w:val="24"/>
          <w:szCs w:val="24"/>
        </w:rPr>
        <w:t>-Kensky (eds</w:t>
      </w:r>
      <w:r w:rsidRPr="00884E93">
        <w:rPr>
          <w:rFonts w:cstheme="minorHAnsi"/>
          <w:i/>
          <w:sz w:val="24"/>
          <w:szCs w:val="24"/>
        </w:rPr>
        <w:t>), Gender and Law in the Hebrew Bible and the Ancient Near East</w:t>
      </w:r>
      <w:r w:rsidRPr="00884E93">
        <w:rPr>
          <w:rFonts w:cstheme="minorHAnsi"/>
          <w:sz w:val="24"/>
          <w:szCs w:val="24"/>
        </w:rPr>
        <w:t>, Sheffield, 1998, 214-238.</w:t>
      </w:r>
    </w:p>
    <w:p w14:paraId="22D22D6E" w14:textId="77777777" w:rsidR="0097586C" w:rsidRPr="00884E93" w:rsidRDefault="0097586C" w:rsidP="0097586C">
      <w:pPr>
        <w:rPr>
          <w:rFonts w:cstheme="minorHAnsi"/>
          <w:sz w:val="24"/>
          <w:szCs w:val="24"/>
        </w:rPr>
      </w:pPr>
      <w:r w:rsidRPr="00884E93">
        <w:rPr>
          <w:rFonts w:cstheme="minorHAnsi"/>
          <w:sz w:val="24"/>
          <w:szCs w:val="24"/>
        </w:rPr>
        <w:t xml:space="preserve">Reis, P.T. ‘Hagar Requited’, </w:t>
      </w:r>
      <w:r w:rsidRPr="00884E93">
        <w:rPr>
          <w:rFonts w:cstheme="minorHAnsi"/>
          <w:i/>
          <w:iCs/>
          <w:sz w:val="24"/>
          <w:szCs w:val="24"/>
          <w:bdr w:val="none" w:sz="0" w:space="0" w:color="auto" w:frame="1"/>
        </w:rPr>
        <w:t>Journal for the Study of the Old Testament</w:t>
      </w:r>
      <w:r w:rsidRPr="00884E93">
        <w:rPr>
          <w:rFonts w:cstheme="minorHAnsi"/>
          <w:sz w:val="24"/>
          <w:szCs w:val="24"/>
        </w:rPr>
        <w:t>, 25(87), 2000, 75–109.</w:t>
      </w:r>
    </w:p>
    <w:p w14:paraId="7425A941" w14:textId="77777777" w:rsidR="0097586C" w:rsidRPr="00884E93" w:rsidRDefault="0097586C" w:rsidP="0097586C">
      <w:pPr>
        <w:rPr>
          <w:rFonts w:cstheme="minorHAnsi"/>
          <w:sz w:val="24"/>
          <w:szCs w:val="24"/>
        </w:rPr>
      </w:pPr>
      <w:proofErr w:type="spellStart"/>
      <w:r w:rsidRPr="00884E93">
        <w:rPr>
          <w:rFonts w:cstheme="minorHAnsi"/>
          <w:sz w:val="24"/>
          <w:szCs w:val="24"/>
        </w:rPr>
        <w:t>Teubal.S</w:t>
      </w:r>
      <w:proofErr w:type="spellEnd"/>
      <w:r w:rsidRPr="00884E93">
        <w:rPr>
          <w:rFonts w:cstheme="minorHAnsi"/>
          <w:sz w:val="24"/>
          <w:szCs w:val="24"/>
        </w:rPr>
        <w:t>. ‘Sarah and Hagar: Matriarchs and Visionaries’, in Brenner-</w:t>
      </w:r>
      <w:proofErr w:type="spellStart"/>
      <w:r w:rsidRPr="00884E93">
        <w:rPr>
          <w:rFonts w:cstheme="minorHAnsi"/>
          <w:sz w:val="24"/>
          <w:szCs w:val="24"/>
        </w:rPr>
        <w:t>Idan</w:t>
      </w:r>
      <w:proofErr w:type="spellEnd"/>
      <w:r w:rsidRPr="00884E93">
        <w:rPr>
          <w:rFonts w:cstheme="minorHAnsi"/>
          <w:sz w:val="24"/>
          <w:szCs w:val="24"/>
        </w:rPr>
        <w:t xml:space="preserve"> (ed), </w:t>
      </w:r>
      <w:r w:rsidRPr="00884E93">
        <w:rPr>
          <w:rFonts w:cstheme="minorHAnsi"/>
          <w:i/>
          <w:iCs/>
          <w:sz w:val="24"/>
          <w:szCs w:val="24"/>
          <w:bdr w:val="none" w:sz="0" w:space="0" w:color="auto" w:frame="1"/>
        </w:rPr>
        <w:t>A Feminist Companion to Genesis</w:t>
      </w:r>
      <w:r w:rsidRPr="00884E93">
        <w:rPr>
          <w:rFonts w:cstheme="minorHAnsi"/>
          <w:sz w:val="24"/>
          <w:szCs w:val="24"/>
        </w:rPr>
        <w:t>, Sheffield, England: Sheffield Academic Press, 1993</w:t>
      </w:r>
    </w:p>
    <w:p w14:paraId="63DB09B6" w14:textId="77777777" w:rsidR="0097586C" w:rsidRPr="00884E93" w:rsidRDefault="0097586C" w:rsidP="0097586C">
      <w:pPr>
        <w:rPr>
          <w:rFonts w:cstheme="minorHAnsi"/>
          <w:sz w:val="24"/>
          <w:szCs w:val="24"/>
        </w:rPr>
      </w:pPr>
      <w:r w:rsidRPr="00884E93">
        <w:rPr>
          <w:rFonts w:cstheme="minorHAnsi"/>
          <w:sz w:val="24"/>
          <w:szCs w:val="24"/>
        </w:rPr>
        <w:lastRenderedPageBreak/>
        <w:t xml:space="preserve">Thompson, J. ‘Hagar, Victim or Villain? Three Sixteenth-Century Views.’, </w:t>
      </w:r>
      <w:r w:rsidRPr="00884E93">
        <w:rPr>
          <w:rFonts w:cstheme="minorHAnsi"/>
          <w:i/>
          <w:iCs/>
          <w:sz w:val="24"/>
          <w:szCs w:val="24"/>
        </w:rPr>
        <w:t>The Catholic Biblical Quarterly</w:t>
      </w:r>
      <w:r w:rsidRPr="00884E93">
        <w:rPr>
          <w:rFonts w:cstheme="minorHAnsi"/>
          <w:sz w:val="24"/>
          <w:szCs w:val="24"/>
        </w:rPr>
        <w:t xml:space="preserve"> </w:t>
      </w:r>
      <w:r w:rsidRPr="00884E93">
        <w:rPr>
          <w:rFonts w:cstheme="minorHAnsi"/>
          <w:iCs/>
          <w:sz w:val="24"/>
          <w:szCs w:val="24"/>
        </w:rPr>
        <w:t>59</w:t>
      </w:r>
      <w:r w:rsidRPr="00884E93">
        <w:rPr>
          <w:rFonts w:cstheme="minorHAnsi"/>
          <w:sz w:val="24"/>
          <w:szCs w:val="24"/>
        </w:rPr>
        <w:t>(2), 1997, 213-233.</w:t>
      </w:r>
    </w:p>
    <w:p w14:paraId="651088EB" w14:textId="77777777" w:rsidR="0097586C" w:rsidRPr="00884E93" w:rsidRDefault="0097586C" w:rsidP="0097586C">
      <w:pPr>
        <w:rPr>
          <w:rFonts w:cstheme="minorHAnsi"/>
          <w:sz w:val="24"/>
          <w:szCs w:val="24"/>
        </w:rPr>
      </w:pPr>
      <w:r w:rsidRPr="00884E93">
        <w:rPr>
          <w:rFonts w:cstheme="minorHAnsi"/>
          <w:sz w:val="24"/>
          <w:szCs w:val="24"/>
        </w:rPr>
        <w:t xml:space="preserve">Trible, Phyllis. </w:t>
      </w:r>
      <w:r w:rsidRPr="00884E93">
        <w:rPr>
          <w:rFonts w:cstheme="minorHAnsi"/>
          <w:i/>
          <w:iCs/>
          <w:sz w:val="24"/>
          <w:szCs w:val="24"/>
          <w:bdr w:val="none" w:sz="0" w:space="0" w:color="auto" w:frame="1"/>
        </w:rPr>
        <w:t>Texts of Terror: Literary-feminist Readings of Biblical Narratives</w:t>
      </w:r>
      <w:r w:rsidRPr="00884E93">
        <w:rPr>
          <w:rFonts w:cstheme="minorHAnsi"/>
          <w:sz w:val="24"/>
          <w:szCs w:val="24"/>
        </w:rPr>
        <w:t>. New Ed.]. ed. SCM Classics. London: SCM, 2002.</w:t>
      </w:r>
    </w:p>
    <w:p w14:paraId="46619E99" w14:textId="77777777" w:rsidR="0097586C" w:rsidRPr="00884E93" w:rsidRDefault="0097586C" w:rsidP="0097586C">
      <w:pPr>
        <w:rPr>
          <w:rFonts w:cstheme="minorHAnsi"/>
          <w:sz w:val="24"/>
          <w:szCs w:val="24"/>
        </w:rPr>
      </w:pPr>
      <w:r w:rsidRPr="00884E93">
        <w:rPr>
          <w:rFonts w:cstheme="minorHAnsi"/>
          <w:sz w:val="24"/>
          <w:szCs w:val="24"/>
        </w:rPr>
        <w:t xml:space="preserve">Van </w:t>
      </w:r>
      <w:proofErr w:type="spellStart"/>
      <w:r w:rsidRPr="00884E93">
        <w:rPr>
          <w:rFonts w:cstheme="minorHAnsi"/>
          <w:sz w:val="24"/>
          <w:szCs w:val="24"/>
        </w:rPr>
        <w:t>Seters</w:t>
      </w:r>
      <w:proofErr w:type="spellEnd"/>
      <w:r w:rsidRPr="00884E93">
        <w:rPr>
          <w:rFonts w:cstheme="minorHAnsi"/>
          <w:sz w:val="24"/>
          <w:szCs w:val="24"/>
        </w:rPr>
        <w:t xml:space="preserve">, J. ‘The Problem of Childlessness in near Eastern Law and the Patriarchs of Israel’, </w:t>
      </w:r>
      <w:r w:rsidRPr="00884E93">
        <w:rPr>
          <w:rFonts w:cstheme="minorHAnsi"/>
          <w:i/>
          <w:iCs/>
          <w:sz w:val="24"/>
          <w:szCs w:val="24"/>
        </w:rPr>
        <w:t>Journal of Biblical Literature</w:t>
      </w:r>
      <w:r w:rsidRPr="00884E93">
        <w:rPr>
          <w:rFonts w:cstheme="minorHAnsi"/>
          <w:sz w:val="24"/>
          <w:szCs w:val="24"/>
        </w:rPr>
        <w:t xml:space="preserve"> </w:t>
      </w:r>
      <w:r w:rsidRPr="00884E93">
        <w:rPr>
          <w:rFonts w:cstheme="minorHAnsi"/>
          <w:i/>
          <w:iCs/>
          <w:sz w:val="24"/>
          <w:szCs w:val="24"/>
        </w:rPr>
        <w:t>87</w:t>
      </w:r>
      <w:r w:rsidRPr="00884E93">
        <w:rPr>
          <w:rFonts w:cstheme="minorHAnsi"/>
          <w:sz w:val="24"/>
          <w:szCs w:val="24"/>
        </w:rPr>
        <w:t>(4),1968, 401-408.</w:t>
      </w:r>
    </w:p>
    <w:p w14:paraId="2A0E3DC2" w14:textId="77777777" w:rsidR="0097586C" w:rsidRPr="00884E93" w:rsidRDefault="0097586C" w:rsidP="0097586C">
      <w:pPr>
        <w:rPr>
          <w:rFonts w:cstheme="minorHAnsi"/>
          <w:sz w:val="24"/>
          <w:szCs w:val="24"/>
        </w:rPr>
      </w:pPr>
      <w:proofErr w:type="spellStart"/>
      <w:r w:rsidRPr="00884E93">
        <w:rPr>
          <w:rFonts w:cstheme="minorHAnsi"/>
          <w:sz w:val="24"/>
          <w:szCs w:val="24"/>
        </w:rPr>
        <w:t>Yoo</w:t>
      </w:r>
      <w:proofErr w:type="spellEnd"/>
      <w:r w:rsidRPr="00884E93">
        <w:rPr>
          <w:rFonts w:cstheme="minorHAnsi"/>
          <w:sz w:val="24"/>
          <w:szCs w:val="24"/>
        </w:rPr>
        <w:t xml:space="preserve">, P. ‘Hagar the Egyptian: Wife, Handmaid, and Concubine.’, </w:t>
      </w:r>
      <w:r w:rsidRPr="00884E93">
        <w:rPr>
          <w:rFonts w:cstheme="minorHAnsi"/>
          <w:i/>
          <w:iCs/>
          <w:sz w:val="24"/>
          <w:szCs w:val="24"/>
          <w:bdr w:val="none" w:sz="0" w:space="0" w:color="auto" w:frame="1"/>
        </w:rPr>
        <w:t>The Catholic Biblical Quarterly</w:t>
      </w:r>
      <w:r w:rsidRPr="00884E93">
        <w:rPr>
          <w:rFonts w:cstheme="minorHAnsi"/>
          <w:sz w:val="24"/>
          <w:szCs w:val="24"/>
        </w:rPr>
        <w:t xml:space="preserve"> 78(2), 2016, 215–235.</w:t>
      </w:r>
    </w:p>
    <w:p w14:paraId="18FD176F" w14:textId="77777777" w:rsidR="00506AF5" w:rsidRDefault="00506AF5"/>
    <w:sectPr w:rsidR="00506A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21CD07" w14:textId="77777777" w:rsidR="0066575B" w:rsidRDefault="0066575B" w:rsidP="00AF2DD6">
      <w:pPr>
        <w:spacing w:after="0" w:line="240" w:lineRule="auto"/>
      </w:pPr>
      <w:r>
        <w:separator/>
      </w:r>
    </w:p>
  </w:endnote>
  <w:endnote w:type="continuationSeparator" w:id="0">
    <w:p w14:paraId="633C5EB7" w14:textId="77777777" w:rsidR="0066575B" w:rsidRDefault="0066575B" w:rsidP="00AF2D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884F3F" w14:textId="77777777" w:rsidR="0066575B" w:rsidRDefault="0066575B" w:rsidP="00AF2DD6">
      <w:pPr>
        <w:spacing w:after="0" w:line="240" w:lineRule="auto"/>
      </w:pPr>
      <w:r>
        <w:separator/>
      </w:r>
    </w:p>
  </w:footnote>
  <w:footnote w:type="continuationSeparator" w:id="0">
    <w:p w14:paraId="7E2AE318" w14:textId="77777777" w:rsidR="0066575B" w:rsidRDefault="0066575B" w:rsidP="00AF2DD6">
      <w:pPr>
        <w:spacing w:after="0" w:line="240" w:lineRule="auto"/>
      </w:pPr>
      <w:r>
        <w:continuationSeparator/>
      </w:r>
    </w:p>
  </w:footnote>
  <w:footnote w:id="1">
    <w:p w14:paraId="57BE1C51" w14:textId="121A8C3A" w:rsidR="00B76F6A" w:rsidRDefault="00B76F6A">
      <w:pPr>
        <w:pStyle w:val="FootnoteText"/>
      </w:pPr>
      <w:r>
        <w:rPr>
          <w:rStyle w:val="FootnoteReference"/>
        </w:rPr>
        <w:footnoteRef/>
      </w:r>
      <w:r>
        <w:t xml:space="preserve"> Epstein 1934: 168 </w:t>
      </w:r>
    </w:p>
  </w:footnote>
  <w:footnote w:id="2">
    <w:p w14:paraId="6785FD64" w14:textId="450B9593" w:rsidR="00B76F6A" w:rsidRDefault="00B76F6A">
      <w:pPr>
        <w:pStyle w:val="FootnoteText"/>
      </w:pPr>
      <w:r>
        <w:rPr>
          <w:rStyle w:val="FootnoteReference"/>
        </w:rPr>
        <w:footnoteRef/>
      </w:r>
      <w:r>
        <w:t xml:space="preserve"> Jackson 2011: 226</w:t>
      </w:r>
    </w:p>
  </w:footnote>
  <w:footnote w:id="3">
    <w:p w14:paraId="6DBAE23A" w14:textId="19E71F1A" w:rsidR="00B76F6A" w:rsidRDefault="00B76F6A">
      <w:pPr>
        <w:pStyle w:val="FootnoteText"/>
      </w:pPr>
      <w:r>
        <w:rPr>
          <w:rStyle w:val="FootnoteReference"/>
        </w:rPr>
        <w:footnoteRef/>
      </w:r>
      <w:r>
        <w:t xml:space="preserve"> </w:t>
      </w:r>
      <w:r w:rsidRPr="0061385C">
        <w:t xml:space="preserve">R. Westbrook, ‘The Female Slave’, in V.H. Matthews, B.M. Levinson and T. </w:t>
      </w:r>
      <w:proofErr w:type="spellStart"/>
      <w:r w:rsidRPr="0061385C">
        <w:t>Frymer</w:t>
      </w:r>
      <w:proofErr w:type="spellEnd"/>
      <w:r w:rsidRPr="0061385C">
        <w:t xml:space="preserve">-Kensky (eds), Gender and Law in the Hebrew Bible and the Ancient Near East (JSOT </w:t>
      </w:r>
      <w:proofErr w:type="spellStart"/>
      <w:r w:rsidRPr="0061385C">
        <w:t>Suppl</w:t>
      </w:r>
      <w:proofErr w:type="spellEnd"/>
      <w:r w:rsidRPr="0061385C">
        <w:t xml:space="preserve"> Ser 262, Sheffield 1998), 214-38 at 222, 228, 232f</w:t>
      </w:r>
    </w:p>
  </w:footnote>
  <w:footnote w:id="4">
    <w:p w14:paraId="5041DFC1" w14:textId="0D8F5CAE" w:rsidR="00B76F6A" w:rsidRDefault="00B76F6A">
      <w:pPr>
        <w:pStyle w:val="FootnoteText"/>
      </w:pPr>
      <w:r>
        <w:rPr>
          <w:rStyle w:val="FootnoteReference"/>
        </w:rPr>
        <w:footnoteRef/>
      </w:r>
      <w:r>
        <w:t xml:space="preserve"> Epstein 1934: 159, Abraham was gifted male and female slaves in Egypt it is possible that Hagar was one.</w:t>
      </w:r>
    </w:p>
  </w:footnote>
  <w:footnote w:id="5">
    <w:p w14:paraId="215FFD83" w14:textId="1E9575FB" w:rsidR="00B76F6A" w:rsidRDefault="00322A27">
      <w:pPr>
        <w:pStyle w:val="FootnoteText"/>
      </w:pPr>
      <w:r>
        <w:t>`</w:t>
      </w:r>
      <w:r w:rsidR="00B76F6A">
        <w:rPr>
          <w:rStyle w:val="FootnoteReference"/>
        </w:rPr>
        <w:footnoteRef/>
      </w:r>
      <w:r w:rsidR="00B76F6A">
        <w:t xml:space="preserve"> Epstein 1934: 160</w:t>
      </w:r>
    </w:p>
  </w:footnote>
  <w:footnote w:id="6">
    <w:p w14:paraId="39C1F611" w14:textId="1540434B" w:rsidR="00B76F6A" w:rsidRDefault="00B76F6A">
      <w:pPr>
        <w:pStyle w:val="FootnoteText"/>
      </w:pPr>
      <w:r>
        <w:rPr>
          <w:rStyle w:val="FootnoteReference"/>
        </w:rPr>
        <w:footnoteRef/>
      </w:r>
      <w:r>
        <w:t xml:space="preserve"> </w:t>
      </w:r>
      <w:proofErr w:type="spellStart"/>
      <w:r>
        <w:t>Yoo</w:t>
      </w:r>
      <w:proofErr w:type="spellEnd"/>
      <w:r>
        <w:t xml:space="preserve"> 2016: 226</w:t>
      </w:r>
    </w:p>
  </w:footnote>
  <w:footnote w:id="7">
    <w:p w14:paraId="7B0636AE" w14:textId="77777777" w:rsidR="00B76F6A" w:rsidRDefault="00B76F6A" w:rsidP="00BE0CB3">
      <w:pPr>
        <w:pStyle w:val="FootnoteText"/>
      </w:pPr>
      <w:r>
        <w:rPr>
          <w:rStyle w:val="FootnoteReference"/>
        </w:rPr>
        <w:footnoteRef/>
      </w:r>
      <w:r>
        <w:t xml:space="preserve"> HC 146</w:t>
      </w:r>
    </w:p>
  </w:footnote>
  <w:footnote w:id="8">
    <w:p w14:paraId="275CAB64" w14:textId="05430457" w:rsidR="00B76F6A" w:rsidRDefault="00B76F6A">
      <w:pPr>
        <w:pStyle w:val="FootnoteText"/>
      </w:pPr>
      <w:r>
        <w:rPr>
          <w:rStyle w:val="FootnoteReference"/>
        </w:rPr>
        <w:footnoteRef/>
      </w:r>
      <w:r>
        <w:t xml:space="preserve"> LL 27</w:t>
      </w:r>
    </w:p>
  </w:footnote>
  <w:footnote w:id="9">
    <w:p w14:paraId="432C0673" w14:textId="23E99487" w:rsidR="00B76F6A" w:rsidRDefault="00B76F6A">
      <w:pPr>
        <w:pStyle w:val="FootnoteText"/>
      </w:pPr>
      <w:r>
        <w:rPr>
          <w:rStyle w:val="FootnoteReference"/>
        </w:rPr>
        <w:footnoteRef/>
      </w:r>
      <w:r>
        <w:t xml:space="preserve"> </w:t>
      </w:r>
      <w:proofErr w:type="spellStart"/>
      <w:r>
        <w:t>Justel</w:t>
      </w:r>
      <w:proofErr w:type="spellEnd"/>
      <w:r>
        <w:t xml:space="preserve"> 2013: 16</w:t>
      </w:r>
    </w:p>
  </w:footnote>
  <w:footnote w:id="10">
    <w:p w14:paraId="477863C5" w14:textId="676148BF" w:rsidR="00B76F6A" w:rsidRDefault="00B76F6A">
      <w:pPr>
        <w:pStyle w:val="FootnoteText"/>
      </w:pPr>
      <w:r>
        <w:rPr>
          <w:rStyle w:val="FootnoteReference"/>
        </w:rPr>
        <w:footnoteRef/>
      </w:r>
      <w:r>
        <w:t xml:space="preserve"> HSS V 67 </w:t>
      </w:r>
    </w:p>
  </w:footnote>
  <w:footnote w:id="11">
    <w:p w14:paraId="4FAB1891" w14:textId="5A7B9D70" w:rsidR="00B76F6A" w:rsidRDefault="00B76F6A">
      <w:pPr>
        <w:pStyle w:val="FootnoteText"/>
      </w:pPr>
      <w:r>
        <w:rPr>
          <w:rStyle w:val="FootnoteReference"/>
        </w:rPr>
        <w:footnoteRef/>
      </w:r>
      <w:r>
        <w:t xml:space="preserve"> HC 170</w:t>
      </w:r>
    </w:p>
  </w:footnote>
  <w:footnote w:id="12">
    <w:p w14:paraId="0EA35A82" w14:textId="12A60952" w:rsidR="00B76F6A" w:rsidRDefault="00B76F6A">
      <w:pPr>
        <w:pStyle w:val="FootnoteText"/>
      </w:pPr>
      <w:r>
        <w:rPr>
          <w:rStyle w:val="FootnoteReference"/>
        </w:rPr>
        <w:footnoteRef/>
      </w:r>
      <w:r>
        <w:t xml:space="preserve"> Reference?</w:t>
      </w:r>
    </w:p>
  </w:footnote>
  <w:footnote w:id="13">
    <w:p w14:paraId="5503D037" w14:textId="66F75A22" w:rsidR="00B76F6A" w:rsidRDefault="00B76F6A">
      <w:pPr>
        <w:pStyle w:val="FootnoteText"/>
      </w:pPr>
      <w:r>
        <w:rPr>
          <w:rStyle w:val="FootnoteReference"/>
        </w:rPr>
        <w:footnoteRef/>
      </w:r>
      <w:r>
        <w:t xml:space="preserve"> Genesis 30:6</w:t>
      </w:r>
    </w:p>
  </w:footnote>
  <w:footnote w:id="14">
    <w:p w14:paraId="6BBF8324" w14:textId="66DBD1E2" w:rsidR="00B76F6A" w:rsidRDefault="00322A27">
      <w:pPr>
        <w:pStyle w:val="FootnoteText"/>
      </w:pPr>
      <w:r>
        <w:t>`</w:t>
      </w:r>
      <w:r w:rsidR="00B76F6A">
        <w:rPr>
          <w:rStyle w:val="FootnoteReference"/>
        </w:rPr>
        <w:footnoteRef/>
      </w:r>
      <w:r w:rsidR="00B76F6A">
        <w:t xml:space="preserve"> While Gen 16:15 mentions Abraham naming the boy, I believe this verse just gives in to the need for portraying Abraham as in charge of his house, as until then he remains submissive to his wife and his situation.</w:t>
      </w:r>
    </w:p>
  </w:footnote>
  <w:footnote w:id="15">
    <w:p w14:paraId="774DE5F7" w14:textId="03F9A9A1" w:rsidR="00B76F6A" w:rsidRDefault="00B76F6A" w:rsidP="00331901">
      <w:pPr>
        <w:pStyle w:val="FootnoteText"/>
      </w:pPr>
      <w:r>
        <w:rPr>
          <w:rStyle w:val="FootnoteReference"/>
        </w:rPr>
        <w:footnoteRef/>
      </w:r>
      <w:r>
        <w:t xml:space="preserve"> </w:t>
      </w:r>
      <w:proofErr w:type="spellStart"/>
      <w:r>
        <w:t>Yoo</w:t>
      </w:r>
      <w:proofErr w:type="spellEnd"/>
      <w:r>
        <w:t xml:space="preserve"> 2016: 230</w:t>
      </w:r>
    </w:p>
  </w:footnote>
  <w:footnote w:id="16">
    <w:p w14:paraId="1A380E76" w14:textId="18344B24" w:rsidR="00B76F6A" w:rsidRDefault="00B76F6A">
      <w:pPr>
        <w:pStyle w:val="FootnoteText"/>
      </w:pPr>
      <w:r>
        <w:rPr>
          <w:rStyle w:val="FootnoteReference"/>
        </w:rPr>
        <w:footnoteRef/>
      </w:r>
      <w:r>
        <w:t xml:space="preserve"> </w:t>
      </w:r>
      <w:proofErr w:type="spellStart"/>
      <w:r>
        <w:t>Frymer</w:t>
      </w:r>
      <w:proofErr w:type="spellEnd"/>
      <w:r>
        <w:t>-Kensky 1981: 212</w:t>
      </w:r>
    </w:p>
  </w:footnote>
  <w:footnote w:id="17">
    <w:p w14:paraId="1D86D62C" w14:textId="7C827C4D" w:rsidR="00B76F6A" w:rsidRDefault="00B76F6A">
      <w:pPr>
        <w:pStyle w:val="FootnoteText"/>
      </w:pPr>
      <w:r>
        <w:rPr>
          <w:rStyle w:val="FootnoteReference"/>
        </w:rPr>
        <w:footnoteRef/>
      </w:r>
      <w:r>
        <w:t xml:space="preserve"> </w:t>
      </w:r>
      <w:proofErr w:type="spellStart"/>
      <w:r>
        <w:t>Bohmbach</w:t>
      </w:r>
      <w:proofErr w:type="spellEnd"/>
      <w:r>
        <w:t xml:space="preserve"> 2000: 33. She claims that biblical names provide insight into the character, social location, future and the way in which the individual was perceived by others.</w:t>
      </w:r>
    </w:p>
  </w:footnote>
  <w:footnote w:id="18">
    <w:p w14:paraId="59F17A04" w14:textId="58744C82" w:rsidR="00B76F6A" w:rsidRDefault="00B76F6A">
      <w:pPr>
        <w:pStyle w:val="FootnoteText"/>
      </w:pPr>
      <w:r>
        <w:rPr>
          <w:rStyle w:val="FootnoteReference"/>
        </w:rPr>
        <w:footnoteRef/>
      </w:r>
      <w:r>
        <w:t xml:space="preserve"> Meyers 2000: 86-87</w:t>
      </w:r>
      <w:r w:rsidR="00322A27">
        <w:t>```</w:t>
      </w:r>
    </w:p>
  </w:footnote>
  <w:footnote w:id="19">
    <w:p w14:paraId="0BD4658E" w14:textId="5FF7BA67" w:rsidR="00B76F6A" w:rsidRDefault="00B76F6A">
      <w:pPr>
        <w:pStyle w:val="FootnoteText"/>
      </w:pPr>
      <w:r>
        <w:rPr>
          <w:rStyle w:val="FootnoteReference"/>
        </w:rPr>
        <w:footnoteRef/>
      </w:r>
      <w:r>
        <w:t xml:space="preserve"> Thompson 1997: 215</w:t>
      </w:r>
    </w:p>
  </w:footnote>
  <w:footnote w:id="20">
    <w:p w14:paraId="7564945C" w14:textId="51440F44" w:rsidR="00B76F6A" w:rsidRDefault="00B76F6A">
      <w:pPr>
        <w:pStyle w:val="FootnoteText"/>
      </w:pPr>
      <w:r>
        <w:rPr>
          <w:rStyle w:val="FootnoteReference"/>
        </w:rPr>
        <w:footnoteRef/>
      </w:r>
      <w:r>
        <w:t xml:space="preserve"> Clark 2012: 48</w:t>
      </w:r>
    </w:p>
  </w:footnote>
  <w:footnote w:id="21">
    <w:p w14:paraId="4CB1F2B4" w14:textId="7561BD92" w:rsidR="00B76F6A" w:rsidRDefault="00B76F6A">
      <w:pPr>
        <w:pStyle w:val="FootnoteText"/>
      </w:pPr>
      <w:r>
        <w:rPr>
          <w:rStyle w:val="FootnoteReference"/>
        </w:rPr>
        <w:footnoteRef/>
      </w:r>
      <w:r>
        <w:t xml:space="preserve"> Pigott 2018: 514</w:t>
      </w:r>
    </w:p>
  </w:footnote>
  <w:footnote w:id="22">
    <w:p w14:paraId="42F27617" w14:textId="703B5A10" w:rsidR="00B76F6A" w:rsidRDefault="00B76F6A">
      <w:pPr>
        <w:pStyle w:val="FootnoteText"/>
      </w:pPr>
      <w:r>
        <w:rPr>
          <w:rStyle w:val="FootnoteReference"/>
        </w:rPr>
        <w:footnoteRef/>
      </w:r>
      <w:r>
        <w:t xml:space="preserve"> According to custom it would be a father who blesses the son, yet in Ishmael’s case God blessed him even before he was born, this adds to a statement made earlier that in Hagar’s story God played the role of the husband for her.</w:t>
      </w:r>
    </w:p>
  </w:footnote>
  <w:footnote w:id="23">
    <w:p w14:paraId="5560DE68" w14:textId="622C0ED8" w:rsidR="00B76F6A" w:rsidRDefault="00B76F6A">
      <w:pPr>
        <w:pStyle w:val="FootnoteText"/>
      </w:pPr>
      <w:r>
        <w:rPr>
          <w:rStyle w:val="FootnoteReference"/>
        </w:rPr>
        <w:footnoteRef/>
      </w:r>
      <w:r>
        <w:t xml:space="preserve"> The text is unclear as to the age of Ishmael. While earlier chapters reveal his age to be around 13 years chapter 21 insists that the reader view Ishmael as an infant. </w:t>
      </w:r>
    </w:p>
  </w:footnote>
  <w:footnote w:id="24">
    <w:p w14:paraId="15F9ADF3" w14:textId="3BE68672" w:rsidR="00B76F6A" w:rsidRDefault="00B76F6A">
      <w:pPr>
        <w:pStyle w:val="FootnoteText"/>
      </w:pPr>
      <w:r>
        <w:rPr>
          <w:rStyle w:val="FootnoteReference"/>
        </w:rPr>
        <w:footnoteRef/>
      </w:r>
      <w:r>
        <w:t xml:space="preserve"> </w:t>
      </w:r>
      <w:proofErr w:type="spellStart"/>
      <w:r>
        <w:t>Teubal</w:t>
      </w:r>
      <w:proofErr w:type="spellEnd"/>
      <w:r>
        <w:t xml:space="preserve"> 1993: 243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DF500E"/>
    <w:multiLevelType w:val="hybridMultilevel"/>
    <w:tmpl w:val="83FE1260"/>
    <w:lvl w:ilvl="0" w:tplc="4C92FE62">
      <w:start w:val="78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E97"/>
    <w:rsid w:val="0000355A"/>
    <w:rsid w:val="000269E3"/>
    <w:rsid w:val="00027C98"/>
    <w:rsid w:val="000507FA"/>
    <w:rsid w:val="00083D5E"/>
    <w:rsid w:val="00084988"/>
    <w:rsid w:val="000952ED"/>
    <w:rsid w:val="000B692E"/>
    <w:rsid w:val="000C4474"/>
    <w:rsid w:val="000F11B7"/>
    <w:rsid w:val="001346F4"/>
    <w:rsid w:val="00134EDD"/>
    <w:rsid w:val="00145F80"/>
    <w:rsid w:val="00165636"/>
    <w:rsid w:val="00180DBE"/>
    <w:rsid w:val="00181210"/>
    <w:rsid w:val="00184060"/>
    <w:rsid w:val="001A4685"/>
    <w:rsid w:val="001C1669"/>
    <w:rsid w:val="001C32F9"/>
    <w:rsid w:val="001D74D6"/>
    <w:rsid w:val="001E3C41"/>
    <w:rsid w:val="001F37BB"/>
    <w:rsid w:val="00210002"/>
    <w:rsid w:val="002235A6"/>
    <w:rsid w:val="00230286"/>
    <w:rsid w:val="002438AC"/>
    <w:rsid w:val="00296AB9"/>
    <w:rsid w:val="002B3432"/>
    <w:rsid w:val="002B553F"/>
    <w:rsid w:val="002F0D28"/>
    <w:rsid w:val="0030474D"/>
    <w:rsid w:val="00310E01"/>
    <w:rsid w:val="0031315C"/>
    <w:rsid w:val="00322A27"/>
    <w:rsid w:val="003247CB"/>
    <w:rsid w:val="00331901"/>
    <w:rsid w:val="00356503"/>
    <w:rsid w:val="00376238"/>
    <w:rsid w:val="0038129A"/>
    <w:rsid w:val="003919D8"/>
    <w:rsid w:val="003C6E3A"/>
    <w:rsid w:val="003C7E27"/>
    <w:rsid w:val="003F408E"/>
    <w:rsid w:val="003F60FF"/>
    <w:rsid w:val="003F770C"/>
    <w:rsid w:val="004042B5"/>
    <w:rsid w:val="00410898"/>
    <w:rsid w:val="00490D2B"/>
    <w:rsid w:val="0049455C"/>
    <w:rsid w:val="004C0328"/>
    <w:rsid w:val="004D5BD7"/>
    <w:rsid w:val="004F1E48"/>
    <w:rsid w:val="004F7EA8"/>
    <w:rsid w:val="00500408"/>
    <w:rsid w:val="0050296C"/>
    <w:rsid w:val="00506AF5"/>
    <w:rsid w:val="005136ED"/>
    <w:rsid w:val="00525615"/>
    <w:rsid w:val="00531691"/>
    <w:rsid w:val="0053194C"/>
    <w:rsid w:val="00534463"/>
    <w:rsid w:val="00552BE3"/>
    <w:rsid w:val="005642BB"/>
    <w:rsid w:val="005647AC"/>
    <w:rsid w:val="00587F02"/>
    <w:rsid w:val="005B4853"/>
    <w:rsid w:val="005C4A1E"/>
    <w:rsid w:val="005E187E"/>
    <w:rsid w:val="005F13B3"/>
    <w:rsid w:val="0061385C"/>
    <w:rsid w:val="00631056"/>
    <w:rsid w:val="006332B5"/>
    <w:rsid w:val="006438D0"/>
    <w:rsid w:val="00662411"/>
    <w:rsid w:val="0066575B"/>
    <w:rsid w:val="00685645"/>
    <w:rsid w:val="006B006D"/>
    <w:rsid w:val="006C1FAC"/>
    <w:rsid w:val="006D3B11"/>
    <w:rsid w:val="006E41FC"/>
    <w:rsid w:val="007054D7"/>
    <w:rsid w:val="00711AD1"/>
    <w:rsid w:val="00727B69"/>
    <w:rsid w:val="00732E40"/>
    <w:rsid w:val="00735CCD"/>
    <w:rsid w:val="00745BAD"/>
    <w:rsid w:val="007476DA"/>
    <w:rsid w:val="007605FA"/>
    <w:rsid w:val="00785CA9"/>
    <w:rsid w:val="00785E75"/>
    <w:rsid w:val="00795F93"/>
    <w:rsid w:val="007A2A08"/>
    <w:rsid w:val="007B0E71"/>
    <w:rsid w:val="007C5906"/>
    <w:rsid w:val="007D0DBC"/>
    <w:rsid w:val="007D7010"/>
    <w:rsid w:val="007F34C6"/>
    <w:rsid w:val="00805F39"/>
    <w:rsid w:val="00811E27"/>
    <w:rsid w:val="0083665F"/>
    <w:rsid w:val="00841A8F"/>
    <w:rsid w:val="008434D4"/>
    <w:rsid w:val="00854284"/>
    <w:rsid w:val="008858FA"/>
    <w:rsid w:val="008C515C"/>
    <w:rsid w:val="008E7CA3"/>
    <w:rsid w:val="008F1BBC"/>
    <w:rsid w:val="00933406"/>
    <w:rsid w:val="00944D5D"/>
    <w:rsid w:val="00954C8D"/>
    <w:rsid w:val="0095562F"/>
    <w:rsid w:val="0097586C"/>
    <w:rsid w:val="00982C5F"/>
    <w:rsid w:val="00994D0D"/>
    <w:rsid w:val="009B2E97"/>
    <w:rsid w:val="009F035E"/>
    <w:rsid w:val="009F45FB"/>
    <w:rsid w:val="00A02071"/>
    <w:rsid w:val="00A0405D"/>
    <w:rsid w:val="00A11FC9"/>
    <w:rsid w:val="00A720DF"/>
    <w:rsid w:val="00A7584C"/>
    <w:rsid w:val="00A86E7B"/>
    <w:rsid w:val="00AA0D7D"/>
    <w:rsid w:val="00AA67CF"/>
    <w:rsid w:val="00AA7BB1"/>
    <w:rsid w:val="00AB51AE"/>
    <w:rsid w:val="00AD1E30"/>
    <w:rsid w:val="00AE5650"/>
    <w:rsid w:val="00AF2DD6"/>
    <w:rsid w:val="00AF34F9"/>
    <w:rsid w:val="00B2690D"/>
    <w:rsid w:val="00B372DA"/>
    <w:rsid w:val="00B46946"/>
    <w:rsid w:val="00B50B1F"/>
    <w:rsid w:val="00B6011E"/>
    <w:rsid w:val="00B72521"/>
    <w:rsid w:val="00B76F6A"/>
    <w:rsid w:val="00B848CE"/>
    <w:rsid w:val="00BA6F5E"/>
    <w:rsid w:val="00BC338E"/>
    <w:rsid w:val="00BD635C"/>
    <w:rsid w:val="00BE0CB3"/>
    <w:rsid w:val="00BE2E6C"/>
    <w:rsid w:val="00C12DE5"/>
    <w:rsid w:val="00C20E61"/>
    <w:rsid w:val="00C50E2D"/>
    <w:rsid w:val="00C57BBC"/>
    <w:rsid w:val="00C8295E"/>
    <w:rsid w:val="00C83F86"/>
    <w:rsid w:val="00C85A4B"/>
    <w:rsid w:val="00C94FDE"/>
    <w:rsid w:val="00CD3001"/>
    <w:rsid w:val="00D0321D"/>
    <w:rsid w:val="00D20F45"/>
    <w:rsid w:val="00D3453C"/>
    <w:rsid w:val="00D52695"/>
    <w:rsid w:val="00D53EFC"/>
    <w:rsid w:val="00D60F4B"/>
    <w:rsid w:val="00D7784D"/>
    <w:rsid w:val="00D90BD4"/>
    <w:rsid w:val="00DB6E2D"/>
    <w:rsid w:val="00E2456C"/>
    <w:rsid w:val="00E25425"/>
    <w:rsid w:val="00E7171F"/>
    <w:rsid w:val="00E81E21"/>
    <w:rsid w:val="00E95A27"/>
    <w:rsid w:val="00EF0E5C"/>
    <w:rsid w:val="00EF4AB0"/>
    <w:rsid w:val="00F162EF"/>
    <w:rsid w:val="00F31CE7"/>
    <w:rsid w:val="00F32DAD"/>
    <w:rsid w:val="00F438BB"/>
    <w:rsid w:val="00F46A2F"/>
    <w:rsid w:val="00F5415A"/>
    <w:rsid w:val="00F60D67"/>
    <w:rsid w:val="00F64DEF"/>
    <w:rsid w:val="00F759B7"/>
    <w:rsid w:val="00F915D6"/>
    <w:rsid w:val="00F950AD"/>
    <w:rsid w:val="00FA5417"/>
    <w:rsid w:val="00FD269E"/>
    <w:rsid w:val="00FD2A3E"/>
    <w:rsid w:val="00FE24F8"/>
    <w:rsid w:val="00FE55CF"/>
    <w:rsid w:val="00FF016B"/>
    <w:rsid w:val="00FF6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5FE23"/>
  <w15:chartTrackingRefBased/>
  <w15:docId w15:val="{959E09F0-805B-4561-B367-D50DD3F48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F2DD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F2DD6"/>
    <w:rPr>
      <w:sz w:val="20"/>
      <w:szCs w:val="20"/>
    </w:rPr>
  </w:style>
  <w:style w:type="character" w:styleId="FootnoteReference">
    <w:name w:val="footnote reference"/>
    <w:basedOn w:val="DefaultParagraphFont"/>
    <w:uiPriority w:val="99"/>
    <w:semiHidden/>
    <w:unhideWhenUsed/>
    <w:rsid w:val="00AF2DD6"/>
    <w:rPr>
      <w:vertAlign w:val="superscript"/>
    </w:rPr>
  </w:style>
  <w:style w:type="paragraph" w:styleId="ListParagraph">
    <w:name w:val="List Paragraph"/>
    <w:basedOn w:val="Normal"/>
    <w:uiPriority w:val="34"/>
    <w:qFormat/>
    <w:rsid w:val="00805F39"/>
    <w:pPr>
      <w:ind w:left="720"/>
      <w:contextualSpacing/>
    </w:pPr>
  </w:style>
  <w:style w:type="character" w:styleId="Hyperlink">
    <w:name w:val="Hyperlink"/>
    <w:basedOn w:val="DefaultParagraphFont"/>
    <w:uiPriority w:val="99"/>
    <w:unhideWhenUsed/>
    <w:rsid w:val="0097586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academia.edu/8284374/_The_Rights_of_a_Concubine_s_Descendants_in_the_Ancient_Near_East._Revue_Internationale_des_Droits_de_lAntiquit%C3%A9_60_2013_13-36._ISSN_0556-793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65059</TotalTime>
  <Pages>9</Pages>
  <Words>3172</Words>
  <Characters>18082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Brinelle Cladson</dc:creator>
  <cp:keywords/>
  <dc:description/>
  <cp:lastModifiedBy>Brinelle Cladson</cp:lastModifiedBy>
  <cp:revision>9</cp:revision>
  <dcterms:created xsi:type="dcterms:W3CDTF">2018-11-11T17:58:00Z</dcterms:created>
  <dcterms:modified xsi:type="dcterms:W3CDTF">2019-10-27T11:39:00Z</dcterms:modified>
</cp:coreProperties>
</file>