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id w:val="930390944"/>
        <w:docPartObj>
          <w:docPartGallery w:val="AutoText"/>
        </w:docPartObj>
      </w:sdtPr>
      <w:sdtContent>
        <w:p>
          <w: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align>center</wp:align>
                    </wp:positionV>
                    <wp:extent cx="1712595"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9"/>
                                  <w:tblW w:w="5000" w:type="pct"/>
                                  <w:jc w:val="center"/>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Layout w:type="autofit"/>
                                  <w:tblCellMar>
                                    <w:top w:w="1296" w:type="dxa"/>
                                    <w:left w:w="360" w:type="dxa"/>
                                    <w:bottom w:w="1296" w:type="dxa"/>
                                    <w:right w:w="360" w:type="dxa"/>
                                  </w:tblCellMar>
                                </w:tblPr>
                                <w:tblGrid>
                                  <w:gridCol w:w="6960"/>
                                  <w:gridCol w:w="4951"/>
                                </w:tblGrid>
                                <w:tr>
                                  <w:tblPrEx>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CellMar>
                                      <w:top w:w="1296" w:type="dxa"/>
                                      <w:left w:w="360" w:type="dxa"/>
                                      <w:bottom w:w="1296" w:type="dxa"/>
                                      <w:right w:w="360" w:type="dxa"/>
                                    </w:tblCellMar>
                                  </w:tblPrEx>
                                  <w:trPr>
                                    <w:jc w:val="center"/>
                                  </w:trPr>
                                  <w:tc>
                                    <w:tcPr>
                                      <w:tcW w:w="2568" w:type="pct"/>
                                      <w:vAlign w:val="center"/>
                                    </w:tcPr>
                                    <w:p>
                                      <w:pPr>
                                        <w:jc w:val="right"/>
                                      </w:pPr>
                                      <w:r>
                                        <w:drawing>
                                          <wp:inline distT="0" distB="0" distL="0" distR="0">
                                            <wp:extent cx="3064510" cy="3830955"/>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A picture of a winding road and trees" title="Roa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p>
                                      <w:pPr>
                                        <w:pStyle w:val="12"/>
                                        <w:spacing w:line="312" w:lineRule="auto"/>
                                        <w:jc w:val="right"/>
                                        <w:rPr>
                                          <w:caps/>
                                          <w:color w:val="191919" w:themeColor="text1" w:themeTint="E6"/>
                                          <w:sz w:val="72"/>
                                          <w:szCs w:val="72"/>
                                          <w14:textFill>
                                            <w14:solidFill>
                                              <w14:schemeClr w14:val="tx1">
                                                <w14:lumMod w14:val="90000"/>
                                                <w14:lumOff w14:val="10000"/>
                                              </w14:schemeClr>
                                            </w14:solidFill>
                                          </w14:textFill>
                                        </w:rPr>
                                      </w:pPr>
                                      <w:r>
                                        <w:rPr>
                                          <w:rFonts w:hint="default" w:ascii="Arial" w:hAnsi="Arial" w:cs="Arial"/>
                                          <w:caps/>
                                          <w:color w:val="191919" w:themeColor="text1" w:themeTint="E6"/>
                                          <w:sz w:val="72"/>
                                          <w:szCs w:val="72"/>
                                          <w14:textFill>
                                            <w14:solidFill>
                                              <w14:schemeClr w14:val="tx1">
                                                <w14:lumMod w14:val="90000"/>
                                                <w14:lumOff w14:val="10000"/>
                                              </w14:schemeClr>
                                            </w14:solidFill>
                                          </w14:textFill>
                                        </w:rPr>
                                        <w:t>Intercultural Communication and Culture</w:t>
                                      </w:r>
                                      <w:sdt>
                                        <w:sdtPr>
                                          <w:rPr>
                                            <w:rFonts w:hint="default" w:ascii="Arial" w:hAnsi="Arial" w:cs="Arial"/>
                                            <w:caps/>
                                            <w:color w:val="191919" w:themeColor="text1" w:themeTint="E6"/>
                                            <w:sz w:val="72"/>
                                            <w:szCs w:val="72"/>
                                            <w14:textFill>
                                              <w14:solidFill>
                                                <w14:schemeClr w14:val="tx1">
                                                  <w14:lumMod w14:val="90000"/>
                                                  <w14:lumOff w14:val="10000"/>
                                                </w14:schemeClr>
                                              </w14:solidFill>
                                            </w14:textFill>
                                          </w:rPr>
                                          <w:alias w:val="Title"/>
                                          <w:id w:val="-438379639"/>
                                          <w:dataBinding w:prefixMappings="xmlns:ns0='http://purl.org/dc/elements/1.1/' xmlns:ns1='http://schemas.openxmlformats.org/package/2006/metadata/core-properties' " w:xpath="/ns1:coreProperties[1]/ns0:title[1]" w:storeItemID="{6C3C8BC8-F283-45AE-878A-BAB7291924A1}"/>
                                          <w:text/>
                                        </w:sdtPr>
                                        <w:sdtEndPr>
                                          <w:rPr>
                                            <w:caps/>
                                            <w:color w:val="191919" w:themeColor="text1" w:themeTint="E6"/>
                                            <w:sz w:val="72"/>
                                            <w:szCs w:val="72"/>
                                            <w14:textFill>
                                              <w14:solidFill>
                                                <w14:schemeClr w14:val="tx1">
                                                  <w14:lumMod w14:val="90000"/>
                                                  <w14:lumOff w14:val="10000"/>
                                                </w14:schemeClr>
                                              </w14:solidFill>
                                            </w14:textFill>
                                          </w:rPr>
                                        </w:sdtEndPr>
                                        <w:sdtContent/>
                                      </w:sdt>
                                    </w:p>
                                    <w:sdt>
                                      <w:sdtPr>
                                        <w:rPr>
                                          <w:color w:val="000000" w:themeColor="text1"/>
                                          <w:sz w:val="24"/>
                                          <w:szCs w:val="24"/>
                                          <w14:textFill>
                                            <w14:solidFill>
                                              <w14:schemeClr w14:val="tx1"/>
                                            </w14:solidFill>
                                          </w14:textFill>
                                        </w:rPr>
                                        <w:alias w:val="Subtitle"/>
                                        <w:id w:val="1354072561"/>
                                        <w:dataBinding w:prefixMappings="xmlns:ns0='http://purl.org/dc/elements/1.1/' xmlns:ns1='http://schemas.openxmlformats.org/package/2006/metadata/core-properties' " w:xpath="/ns1:coreProperties[1]/ns0:subject[1]" w:storeItemID="{6C3C8BC8-F283-45AE-878A-BAB7291924A1}"/>
                                        <w:text/>
                                      </w:sdtPr>
                                      <w:sdtEndPr>
                                        <w:rPr>
                                          <w:color w:val="000000" w:themeColor="text1"/>
                                          <w:sz w:val="24"/>
                                          <w:szCs w:val="24"/>
                                          <w14:textFill>
                                            <w14:solidFill>
                                              <w14:schemeClr w14:val="tx1"/>
                                            </w14:solidFill>
                                          </w14:textFill>
                                        </w:rPr>
                                      </w:sdtEndPr>
                                      <w:sdtContent>
                                        <w:p>
                                          <w:pPr>
                                            <w:jc w:val="right"/>
                                            <w:rPr>
                                              <w:sz w:val="24"/>
                                              <w:szCs w:val="24"/>
                                            </w:rPr>
                                          </w:pPr>
                                        </w:p>
                                      </w:sdtContent>
                                    </w:sdt>
                                  </w:tc>
                                  <w:tc>
                                    <w:tcPr>
                                      <w:tcW w:w="2432" w:type="pct"/>
                                      <w:vAlign w:val="center"/>
                                    </w:tcPr>
                                    <w:p>
                                      <w:pPr>
                                        <w:pStyle w:val="12"/>
                                        <w:rPr>
                                          <w:rFonts w:hint="default" w:ascii="Arial" w:hAnsi="Arial" w:cs="Arial"/>
                                          <w:color w:val="44546A" w:themeColor="text2"/>
                                          <w:sz w:val="24"/>
                                          <w:szCs w:val="24"/>
                                          <w14:textFill>
                                            <w14:solidFill>
                                              <w14:schemeClr w14:val="tx2"/>
                                            </w14:solidFill>
                                          </w14:textFill>
                                        </w:rPr>
                                      </w:pPr>
                                      <w:sdt>
                                        <w:sdtPr>
                                          <w:rPr>
                                            <w:rFonts w:hint="default" w:ascii="Arial" w:hAnsi="Arial" w:cs="Arial"/>
                                            <w:color w:val="44546A" w:themeColor="text2"/>
                                            <w:sz w:val="24"/>
                                            <w:szCs w:val="24"/>
                                            <w14:textFill>
                                              <w14:solidFill>
                                                <w14:schemeClr w14:val="tx2"/>
                                              </w14:solidFill>
                                            </w14:textFill>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rPr>
                                            <w:rFonts w:hint="default" w:ascii="Arial" w:hAnsi="Arial" w:cs="Arial"/>
                                            <w:color w:val="44546A" w:themeColor="text2"/>
                                            <w:sz w:val="24"/>
                                            <w:szCs w:val="24"/>
                                            <w14:textFill>
                                              <w14:solidFill>
                                                <w14:schemeClr w14:val="tx2"/>
                                              </w14:solidFill>
                                            </w14:textFill>
                                          </w:rPr>
                                        </w:sdtEndPr>
                                        <w:sdtContent/>
                                      </w:sdt>
                                      <w:r>
                                        <w:rPr>
                                          <w:rFonts w:hint="default" w:ascii="Arial" w:hAnsi="Arial" w:cs="Arial"/>
                                          <w:color w:val="44546A" w:themeColor="text2"/>
                                          <w:sz w:val="24"/>
                                          <w:szCs w:val="24"/>
                                          <w14:textFill>
                                            <w14:solidFill>
                                              <w14:schemeClr w14:val="tx2"/>
                                            </w14:solidFill>
                                          </w14:textFill>
                                        </w:rPr>
                                        <w:t>Module Code: BMBM6021</w:t>
                                      </w:r>
                                    </w:p>
                                    <w:p>
                                      <w:pPr>
                                        <w:pStyle w:val="12"/>
                                        <w:rPr>
                                          <w:rFonts w:hint="default" w:ascii="Arial" w:hAnsi="Arial" w:cs="Arial"/>
                                          <w:color w:val="44546A" w:themeColor="text2"/>
                                          <w:sz w:val="24"/>
                                          <w:szCs w:val="24"/>
                                          <w14:textFill>
                                            <w14:solidFill>
                                              <w14:schemeClr w14:val="tx2"/>
                                            </w14:solidFill>
                                          </w14:textFill>
                                        </w:rPr>
                                      </w:pPr>
                                      <w:r>
                                        <w:rPr>
                                          <w:rFonts w:hint="default" w:ascii="Arial" w:hAnsi="Arial" w:cs="Arial"/>
                                          <w:color w:val="44546A" w:themeColor="text2"/>
                                          <w:sz w:val="24"/>
                                          <w:szCs w:val="24"/>
                                          <w14:textFill>
                                            <w14:solidFill>
                                              <w14:schemeClr w14:val="tx2"/>
                                            </w14:solidFill>
                                          </w14:textFill>
                                        </w:rPr>
                                        <w:t>Module Title: International Business Communication</w:t>
                                      </w:r>
                                    </w:p>
                                    <w:p>
                                      <w:pPr>
                                        <w:pStyle w:val="12"/>
                                        <w:rPr>
                                          <w:rFonts w:hint="default" w:ascii="Arial" w:hAnsi="Arial" w:cs="Arial"/>
                                          <w:color w:val="44546A" w:themeColor="text2"/>
                                          <w:sz w:val="24"/>
                                          <w:szCs w:val="24"/>
                                          <w14:textFill>
                                            <w14:solidFill>
                                              <w14:schemeClr w14:val="tx2"/>
                                            </w14:solidFill>
                                          </w14:textFill>
                                        </w:rPr>
                                      </w:pPr>
                                      <w:r>
                                        <w:rPr>
                                          <w:rFonts w:hint="default" w:ascii="Arial" w:hAnsi="Arial" w:cs="Arial"/>
                                          <w:color w:val="44546A" w:themeColor="text2"/>
                                          <w:sz w:val="24"/>
                                          <w:szCs w:val="24"/>
                                          <w14:textFill>
                                            <w14:solidFill>
                                              <w14:schemeClr w14:val="tx2"/>
                                            </w14:solidFill>
                                          </w14:textFill>
                                        </w:rPr>
                                        <w:t>Tutor: Gwyneth Jones</w:t>
                                      </w:r>
                                    </w:p>
                                    <w:p>
                                      <w:pPr>
                                        <w:pStyle w:val="12"/>
                                        <w:rPr>
                                          <w:rFonts w:hint="default" w:ascii="Arial" w:hAnsi="Arial" w:cs="Arial"/>
                                          <w:color w:val="44546A" w:themeColor="text2"/>
                                          <w:sz w:val="24"/>
                                          <w:szCs w:val="24"/>
                                          <w14:textFill>
                                            <w14:solidFill>
                                              <w14:schemeClr w14:val="tx2"/>
                                            </w14:solidFill>
                                          </w14:textFill>
                                        </w:rPr>
                                      </w:pPr>
                                      <w:r>
                                        <w:rPr>
                                          <w:rFonts w:hint="default" w:ascii="Arial" w:hAnsi="Arial" w:cs="Arial"/>
                                          <w:color w:val="44546A" w:themeColor="text2"/>
                                          <w:sz w:val="24"/>
                                          <w:szCs w:val="24"/>
                                          <w14:textFill>
                                            <w14:solidFill>
                                              <w14:schemeClr w14:val="tx2"/>
                                            </w14:solidFill>
                                          </w14:textFill>
                                        </w:rPr>
                                        <w:t>Semester 1 2023</w:t>
                                      </w:r>
                                    </w:p>
                                    <w:p>
                                      <w:pPr>
                                        <w:pStyle w:val="12"/>
                                        <w:rPr>
                                          <w:rFonts w:hint="default" w:ascii="Arial" w:hAnsi="Arial" w:cs="Arial"/>
                                          <w:color w:val="44546A" w:themeColor="text2"/>
                                          <w:sz w:val="24"/>
                                          <w:szCs w:val="24"/>
                                          <w14:textFill>
                                            <w14:solidFill>
                                              <w14:schemeClr w14:val="tx2"/>
                                            </w14:solidFill>
                                          </w14:textFill>
                                        </w:rPr>
                                      </w:pPr>
                                      <w:r>
                                        <w:rPr>
                                          <w:rFonts w:hint="default" w:ascii="Arial" w:hAnsi="Arial" w:cs="Arial"/>
                                          <w:color w:val="44546A" w:themeColor="text2"/>
                                          <w:sz w:val="24"/>
                                          <w:szCs w:val="24"/>
                                          <w14:textFill>
                                            <w14:solidFill>
                                              <w14:schemeClr w14:val="tx2"/>
                                            </w14:solidFill>
                                          </w14:textFill>
                                        </w:rPr>
                                        <w:t>Name: Weizi Yan</w:t>
                                      </w:r>
                                    </w:p>
                                    <w:p>
                                      <w:pPr>
                                        <w:pStyle w:val="12"/>
                                        <w:rPr>
                                          <w:rFonts w:hint="default" w:ascii="Arial" w:hAnsi="Arial" w:cs="Arial"/>
                                          <w:color w:val="44546A" w:themeColor="text2"/>
                                          <w:sz w:val="24"/>
                                          <w:szCs w:val="24"/>
                                          <w14:textFill>
                                            <w14:solidFill>
                                              <w14:schemeClr w14:val="tx2"/>
                                            </w14:solidFill>
                                          </w14:textFill>
                                        </w:rPr>
                                      </w:pPr>
                                      <w:r>
                                        <w:rPr>
                                          <w:rFonts w:hint="default" w:ascii="Arial" w:hAnsi="Arial" w:cs="Arial"/>
                                          <w:color w:val="44546A" w:themeColor="text2"/>
                                          <w:sz w:val="24"/>
                                          <w:szCs w:val="24"/>
                                          <w14:textFill>
                                            <w14:solidFill>
                                              <w14:schemeClr w14:val="tx2"/>
                                            </w14:solidFill>
                                          </w14:textFill>
                                        </w:rPr>
                                        <w:t>Student number:2307034</w:t>
                                      </w:r>
                                    </w:p>
                                    <w:p>
                                      <w:pPr>
                                        <w:pStyle w:val="12"/>
                                      </w:pPr>
                                      <w:r>
                                        <w:rPr>
                                          <w:rFonts w:hint="default" w:ascii="Arial" w:hAnsi="Arial" w:cs="Arial"/>
                                          <w:color w:val="44546A" w:themeColor="text2"/>
                                          <w:sz w:val="24"/>
                                          <w:szCs w:val="24"/>
                                          <w14:textFill>
                                            <w14:solidFill>
                                              <w14:schemeClr w14:val="tx2"/>
                                            </w14:solidFill>
                                          </w14:textFill>
                                        </w:rPr>
                                        <w:t>Number:2563</w:t>
                                      </w:r>
                                    </w:p>
                                  </w:tc>
                                </w:tr>
                              </w:tbl>
                              <w:p/>
                            </w:txbxContent>
                          </wps:txbx>
                          <wps:bodyPr rot="0" spcFirstLastPara="0" vertOverflow="overflow" horzOverflow="overflow" vert="horz" wrap="square" lIns="0" tIns="0" rIns="0" bIns="0" numCol="1" spcCol="0" rtlCol="0" fromWordArt="0" anchor="ctr" anchorCtr="0" forceAA="0" compatLnSpc="1">
                            <a:noAutofit/>
                          </wps:bodyPr>
                        </wps:wsp>
                      </a:graphicData>
                    </a:graphic>
                    <wp14:sizeRelH relativeFrom="page">
                      <wp14:pctWidth>94100</wp14:pctWidth>
                    </wp14:sizeRelH>
                    <wp14:sizeRelV relativeFrom="page">
                      <wp14:pctHeight>77300</wp14:pctHeight>
                    </wp14:sizeRelV>
                  </wp:anchor>
                </w:drawing>
              </mc:Choice>
              <mc:Fallback>
                <w:pict>
                  <v:shape id="Text Box 138" o:spid="_x0000_s1026" o:spt="202" type="#_x0000_t202" style="position:absolute;left:0pt;height:302.4pt;width:134.85pt;mso-position-horizontal:center;mso-position-horizontal-relative:page;mso-position-vertical:center;mso-position-vertical-relative:page;z-index:251660288;v-text-anchor:middle;mso-width-relative:page;mso-height-relative:page;mso-width-percent:941;mso-height-percent:773;" fillcolor="#FFFFFF [3201]" filled="t" stroked="f" coordsize="21600,21600" o:gfxdata="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GH7S2fVAAAABQEAAA8AAAAAAAAAAQAgAAAAIgAAAGRy&#10;cy9kb3ducmV2LnhtbFBLAQIUABQAAAAIAIdO4kB9meOGQQIAAJMEAAAOAAAAAAAAAAEAIAAAACQB&#10;AABkcnMvZTJvRG9jLnhtbFBLBQYAAAAABgAGAFkBAADXBQAAAAA=&#10;">
                    <v:fill on="t" focussize="0,0"/>
                    <v:stroke on="f" weight="0.5pt"/>
                    <v:imagedata o:title=""/>
                    <o:lock v:ext="edit" aspectratio="f"/>
                    <v:textbox inset="0mm,0mm,0mm,0mm">
                      <w:txbxContent>
                        <w:tbl>
                          <w:tblPr>
                            <w:tblStyle w:val="9"/>
                            <w:tblW w:w="5000" w:type="pct"/>
                            <w:jc w:val="center"/>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Layout w:type="autofit"/>
                            <w:tblCellMar>
                              <w:top w:w="1296" w:type="dxa"/>
                              <w:left w:w="360" w:type="dxa"/>
                              <w:bottom w:w="1296" w:type="dxa"/>
                              <w:right w:w="360" w:type="dxa"/>
                            </w:tblCellMar>
                          </w:tblPr>
                          <w:tblGrid>
                            <w:gridCol w:w="6960"/>
                            <w:gridCol w:w="4951"/>
                          </w:tblGrid>
                          <w:tr>
                            <w:tblPrEx>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CellMar>
                                <w:top w:w="1296" w:type="dxa"/>
                                <w:left w:w="360" w:type="dxa"/>
                                <w:bottom w:w="1296" w:type="dxa"/>
                                <w:right w:w="360" w:type="dxa"/>
                              </w:tblCellMar>
                            </w:tblPrEx>
                            <w:trPr>
                              <w:jc w:val="center"/>
                            </w:trPr>
                            <w:tc>
                              <w:tcPr>
                                <w:tcW w:w="2568" w:type="pct"/>
                                <w:vAlign w:val="center"/>
                              </w:tcPr>
                              <w:p>
                                <w:pPr>
                                  <w:jc w:val="right"/>
                                </w:pPr>
                                <w:r>
                                  <w:drawing>
                                    <wp:inline distT="0" distB="0" distL="0" distR="0">
                                      <wp:extent cx="3064510" cy="3830955"/>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A picture of a winding road and trees" title="Roa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p>
                                <w:pPr>
                                  <w:pStyle w:val="12"/>
                                  <w:spacing w:line="312" w:lineRule="auto"/>
                                  <w:jc w:val="right"/>
                                  <w:rPr>
                                    <w:caps/>
                                    <w:color w:val="191919" w:themeColor="text1" w:themeTint="E6"/>
                                    <w:sz w:val="72"/>
                                    <w:szCs w:val="72"/>
                                    <w14:textFill>
                                      <w14:solidFill>
                                        <w14:schemeClr w14:val="tx1">
                                          <w14:lumMod w14:val="90000"/>
                                          <w14:lumOff w14:val="10000"/>
                                        </w14:schemeClr>
                                      </w14:solidFill>
                                    </w14:textFill>
                                  </w:rPr>
                                </w:pPr>
                                <w:r>
                                  <w:rPr>
                                    <w:rFonts w:hint="default" w:ascii="Arial" w:hAnsi="Arial" w:cs="Arial"/>
                                    <w:caps/>
                                    <w:color w:val="191919" w:themeColor="text1" w:themeTint="E6"/>
                                    <w:sz w:val="72"/>
                                    <w:szCs w:val="72"/>
                                    <w14:textFill>
                                      <w14:solidFill>
                                        <w14:schemeClr w14:val="tx1">
                                          <w14:lumMod w14:val="90000"/>
                                          <w14:lumOff w14:val="10000"/>
                                        </w14:schemeClr>
                                      </w14:solidFill>
                                    </w14:textFill>
                                  </w:rPr>
                                  <w:t>Intercultural Communication and Culture</w:t>
                                </w:r>
                                <w:sdt>
                                  <w:sdtPr>
                                    <w:rPr>
                                      <w:rFonts w:hint="default" w:ascii="Arial" w:hAnsi="Arial" w:cs="Arial"/>
                                      <w:caps/>
                                      <w:color w:val="191919" w:themeColor="text1" w:themeTint="E6"/>
                                      <w:sz w:val="72"/>
                                      <w:szCs w:val="72"/>
                                      <w14:textFill>
                                        <w14:solidFill>
                                          <w14:schemeClr w14:val="tx1">
                                            <w14:lumMod w14:val="90000"/>
                                            <w14:lumOff w14:val="10000"/>
                                          </w14:schemeClr>
                                        </w14:solidFill>
                                      </w14:textFill>
                                    </w:rPr>
                                    <w:alias w:val="Title"/>
                                    <w:id w:val="-438379639"/>
                                    <w:dataBinding w:prefixMappings="xmlns:ns0='http://purl.org/dc/elements/1.1/' xmlns:ns1='http://schemas.openxmlformats.org/package/2006/metadata/core-properties' " w:xpath="/ns1:coreProperties[1]/ns0:title[1]" w:storeItemID="{6C3C8BC8-F283-45AE-878A-BAB7291924A1}"/>
                                    <w:text/>
                                  </w:sdtPr>
                                  <w:sdtEndPr>
                                    <w:rPr>
                                      <w:caps/>
                                      <w:color w:val="191919" w:themeColor="text1" w:themeTint="E6"/>
                                      <w:sz w:val="72"/>
                                      <w:szCs w:val="72"/>
                                      <w14:textFill>
                                        <w14:solidFill>
                                          <w14:schemeClr w14:val="tx1">
                                            <w14:lumMod w14:val="90000"/>
                                            <w14:lumOff w14:val="10000"/>
                                          </w14:schemeClr>
                                        </w14:solidFill>
                                      </w14:textFill>
                                    </w:rPr>
                                  </w:sdtEndPr>
                                  <w:sdtContent/>
                                </w:sdt>
                              </w:p>
                              <w:sdt>
                                <w:sdtPr>
                                  <w:rPr>
                                    <w:color w:val="000000" w:themeColor="text1"/>
                                    <w:sz w:val="24"/>
                                    <w:szCs w:val="24"/>
                                    <w14:textFill>
                                      <w14:solidFill>
                                        <w14:schemeClr w14:val="tx1"/>
                                      </w14:solidFill>
                                    </w14:textFill>
                                  </w:rPr>
                                  <w:alias w:val="Subtitle"/>
                                  <w:id w:val="1354072561"/>
                                  <w:dataBinding w:prefixMappings="xmlns:ns0='http://purl.org/dc/elements/1.1/' xmlns:ns1='http://schemas.openxmlformats.org/package/2006/metadata/core-properties' " w:xpath="/ns1:coreProperties[1]/ns0:subject[1]" w:storeItemID="{6C3C8BC8-F283-45AE-878A-BAB7291924A1}"/>
                                  <w:text/>
                                </w:sdtPr>
                                <w:sdtEndPr>
                                  <w:rPr>
                                    <w:color w:val="000000" w:themeColor="text1"/>
                                    <w:sz w:val="24"/>
                                    <w:szCs w:val="24"/>
                                    <w14:textFill>
                                      <w14:solidFill>
                                        <w14:schemeClr w14:val="tx1"/>
                                      </w14:solidFill>
                                    </w14:textFill>
                                  </w:rPr>
                                </w:sdtEndPr>
                                <w:sdtContent>
                                  <w:p>
                                    <w:pPr>
                                      <w:jc w:val="right"/>
                                      <w:rPr>
                                        <w:sz w:val="24"/>
                                        <w:szCs w:val="24"/>
                                      </w:rPr>
                                    </w:pPr>
                                  </w:p>
                                </w:sdtContent>
                              </w:sdt>
                            </w:tc>
                            <w:tc>
                              <w:tcPr>
                                <w:tcW w:w="2432" w:type="pct"/>
                                <w:vAlign w:val="center"/>
                              </w:tcPr>
                              <w:p>
                                <w:pPr>
                                  <w:pStyle w:val="12"/>
                                  <w:rPr>
                                    <w:rFonts w:hint="default" w:ascii="Arial" w:hAnsi="Arial" w:cs="Arial"/>
                                    <w:color w:val="44546A" w:themeColor="text2"/>
                                    <w:sz w:val="24"/>
                                    <w:szCs w:val="24"/>
                                    <w14:textFill>
                                      <w14:solidFill>
                                        <w14:schemeClr w14:val="tx2"/>
                                      </w14:solidFill>
                                    </w14:textFill>
                                  </w:rPr>
                                </w:pPr>
                                <w:sdt>
                                  <w:sdtPr>
                                    <w:rPr>
                                      <w:rFonts w:hint="default" w:ascii="Arial" w:hAnsi="Arial" w:cs="Arial"/>
                                      <w:color w:val="44546A" w:themeColor="text2"/>
                                      <w:sz w:val="24"/>
                                      <w:szCs w:val="24"/>
                                      <w14:textFill>
                                        <w14:solidFill>
                                          <w14:schemeClr w14:val="tx2"/>
                                        </w14:solidFill>
                                      </w14:textFill>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rPr>
                                      <w:rFonts w:hint="default" w:ascii="Arial" w:hAnsi="Arial" w:cs="Arial"/>
                                      <w:color w:val="44546A" w:themeColor="text2"/>
                                      <w:sz w:val="24"/>
                                      <w:szCs w:val="24"/>
                                      <w14:textFill>
                                        <w14:solidFill>
                                          <w14:schemeClr w14:val="tx2"/>
                                        </w14:solidFill>
                                      </w14:textFill>
                                    </w:rPr>
                                  </w:sdtEndPr>
                                  <w:sdtContent/>
                                </w:sdt>
                                <w:r>
                                  <w:rPr>
                                    <w:rFonts w:hint="default" w:ascii="Arial" w:hAnsi="Arial" w:cs="Arial"/>
                                    <w:color w:val="44546A" w:themeColor="text2"/>
                                    <w:sz w:val="24"/>
                                    <w:szCs w:val="24"/>
                                    <w14:textFill>
                                      <w14:solidFill>
                                        <w14:schemeClr w14:val="tx2"/>
                                      </w14:solidFill>
                                    </w14:textFill>
                                  </w:rPr>
                                  <w:t>Module Code: BMBM6021</w:t>
                                </w:r>
                              </w:p>
                              <w:p>
                                <w:pPr>
                                  <w:pStyle w:val="12"/>
                                  <w:rPr>
                                    <w:rFonts w:hint="default" w:ascii="Arial" w:hAnsi="Arial" w:cs="Arial"/>
                                    <w:color w:val="44546A" w:themeColor="text2"/>
                                    <w:sz w:val="24"/>
                                    <w:szCs w:val="24"/>
                                    <w14:textFill>
                                      <w14:solidFill>
                                        <w14:schemeClr w14:val="tx2"/>
                                      </w14:solidFill>
                                    </w14:textFill>
                                  </w:rPr>
                                </w:pPr>
                                <w:r>
                                  <w:rPr>
                                    <w:rFonts w:hint="default" w:ascii="Arial" w:hAnsi="Arial" w:cs="Arial"/>
                                    <w:color w:val="44546A" w:themeColor="text2"/>
                                    <w:sz w:val="24"/>
                                    <w:szCs w:val="24"/>
                                    <w14:textFill>
                                      <w14:solidFill>
                                        <w14:schemeClr w14:val="tx2"/>
                                      </w14:solidFill>
                                    </w14:textFill>
                                  </w:rPr>
                                  <w:t>Module Title: International Business Communication</w:t>
                                </w:r>
                              </w:p>
                              <w:p>
                                <w:pPr>
                                  <w:pStyle w:val="12"/>
                                  <w:rPr>
                                    <w:rFonts w:hint="default" w:ascii="Arial" w:hAnsi="Arial" w:cs="Arial"/>
                                    <w:color w:val="44546A" w:themeColor="text2"/>
                                    <w:sz w:val="24"/>
                                    <w:szCs w:val="24"/>
                                    <w14:textFill>
                                      <w14:solidFill>
                                        <w14:schemeClr w14:val="tx2"/>
                                      </w14:solidFill>
                                    </w14:textFill>
                                  </w:rPr>
                                </w:pPr>
                                <w:r>
                                  <w:rPr>
                                    <w:rFonts w:hint="default" w:ascii="Arial" w:hAnsi="Arial" w:cs="Arial"/>
                                    <w:color w:val="44546A" w:themeColor="text2"/>
                                    <w:sz w:val="24"/>
                                    <w:szCs w:val="24"/>
                                    <w14:textFill>
                                      <w14:solidFill>
                                        <w14:schemeClr w14:val="tx2"/>
                                      </w14:solidFill>
                                    </w14:textFill>
                                  </w:rPr>
                                  <w:t>Tutor: Gwyneth Jones</w:t>
                                </w:r>
                              </w:p>
                              <w:p>
                                <w:pPr>
                                  <w:pStyle w:val="12"/>
                                  <w:rPr>
                                    <w:rFonts w:hint="default" w:ascii="Arial" w:hAnsi="Arial" w:cs="Arial"/>
                                    <w:color w:val="44546A" w:themeColor="text2"/>
                                    <w:sz w:val="24"/>
                                    <w:szCs w:val="24"/>
                                    <w14:textFill>
                                      <w14:solidFill>
                                        <w14:schemeClr w14:val="tx2"/>
                                      </w14:solidFill>
                                    </w14:textFill>
                                  </w:rPr>
                                </w:pPr>
                                <w:r>
                                  <w:rPr>
                                    <w:rFonts w:hint="default" w:ascii="Arial" w:hAnsi="Arial" w:cs="Arial"/>
                                    <w:color w:val="44546A" w:themeColor="text2"/>
                                    <w:sz w:val="24"/>
                                    <w:szCs w:val="24"/>
                                    <w14:textFill>
                                      <w14:solidFill>
                                        <w14:schemeClr w14:val="tx2"/>
                                      </w14:solidFill>
                                    </w14:textFill>
                                  </w:rPr>
                                  <w:t>Semester 1 2023</w:t>
                                </w:r>
                              </w:p>
                              <w:p>
                                <w:pPr>
                                  <w:pStyle w:val="12"/>
                                  <w:rPr>
                                    <w:rFonts w:hint="default" w:ascii="Arial" w:hAnsi="Arial" w:cs="Arial"/>
                                    <w:color w:val="44546A" w:themeColor="text2"/>
                                    <w:sz w:val="24"/>
                                    <w:szCs w:val="24"/>
                                    <w14:textFill>
                                      <w14:solidFill>
                                        <w14:schemeClr w14:val="tx2"/>
                                      </w14:solidFill>
                                    </w14:textFill>
                                  </w:rPr>
                                </w:pPr>
                                <w:r>
                                  <w:rPr>
                                    <w:rFonts w:hint="default" w:ascii="Arial" w:hAnsi="Arial" w:cs="Arial"/>
                                    <w:color w:val="44546A" w:themeColor="text2"/>
                                    <w:sz w:val="24"/>
                                    <w:szCs w:val="24"/>
                                    <w14:textFill>
                                      <w14:solidFill>
                                        <w14:schemeClr w14:val="tx2"/>
                                      </w14:solidFill>
                                    </w14:textFill>
                                  </w:rPr>
                                  <w:t>Name: Weizi Yan</w:t>
                                </w:r>
                              </w:p>
                              <w:p>
                                <w:pPr>
                                  <w:pStyle w:val="12"/>
                                  <w:rPr>
                                    <w:rFonts w:hint="default" w:ascii="Arial" w:hAnsi="Arial" w:cs="Arial"/>
                                    <w:color w:val="44546A" w:themeColor="text2"/>
                                    <w:sz w:val="24"/>
                                    <w:szCs w:val="24"/>
                                    <w14:textFill>
                                      <w14:solidFill>
                                        <w14:schemeClr w14:val="tx2"/>
                                      </w14:solidFill>
                                    </w14:textFill>
                                  </w:rPr>
                                </w:pPr>
                                <w:r>
                                  <w:rPr>
                                    <w:rFonts w:hint="default" w:ascii="Arial" w:hAnsi="Arial" w:cs="Arial"/>
                                    <w:color w:val="44546A" w:themeColor="text2"/>
                                    <w:sz w:val="24"/>
                                    <w:szCs w:val="24"/>
                                    <w14:textFill>
                                      <w14:solidFill>
                                        <w14:schemeClr w14:val="tx2"/>
                                      </w14:solidFill>
                                    </w14:textFill>
                                  </w:rPr>
                                  <w:t>Student number:2307034</w:t>
                                </w:r>
                              </w:p>
                              <w:p>
                                <w:pPr>
                                  <w:pStyle w:val="12"/>
                                </w:pPr>
                                <w:r>
                                  <w:rPr>
                                    <w:rFonts w:hint="default" w:ascii="Arial" w:hAnsi="Arial" w:cs="Arial"/>
                                    <w:color w:val="44546A" w:themeColor="text2"/>
                                    <w:sz w:val="24"/>
                                    <w:szCs w:val="24"/>
                                    <w14:textFill>
                                      <w14:solidFill>
                                        <w14:schemeClr w14:val="tx2"/>
                                      </w14:solidFill>
                                    </w14:textFill>
                                  </w:rPr>
                                  <w:t>Number:2563</w:t>
                                </w:r>
                              </w:p>
                            </w:tc>
                          </w:tr>
                        </w:tbl>
                        <w:p/>
                      </w:txbxContent>
                    </v:textbox>
                  </v:shape>
                </w:pict>
              </mc:Fallback>
            </mc:AlternateContent>
          </w:r>
          <w:r>
            <w:br w:type="page"/>
          </w:r>
        </w:p>
      </w:sdtContent>
    </w:sdt>
    <w:p>
      <w:pPr>
        <w:pBdr>
          <w:bottom w:val="single" w:color="auto" w:sz="4" w:space="1"/>
        </w:pBdr>
        <w:outlineLvl w:val="0"/>
        <w:rPr>
          <w:rFonts w:hint="default" w:ascii="Arial" w:hAnsi="Arial" w:cs="Arial"/>
          <w:b/>
          <w:bCs/>
          <w:sz w:val="24"/>
          <w:szCs w:val="24"/>
        </w:rPr>
      </w:pPr>
      <w:bookmarkStart w:id="0" w:name="_Toc15544"/>
      <w:r>
        <w:rPr>
          <w:rFonts w:hint="default" w:ascii="Arial" w:hAnsi="Arial" w:cs="Arial"/>
          <w:b/>
          <w:bCs/>
          <w:sz w:val="24"/>
          <w:szCs w:val="24"/>
        </w:rPr>
        <w:t>Executive Summary</w:t>
      </w:r>
      <w:bookmarkEnd w:id="0"/>
    </w:p>
    <w:p>
      <w:pPr>
        <w:rPr>
          <w:rFonts w:hint="default" w:ascii="Arial" w:hAnsi="Arial" w:cs="Arial"/>
          <w:sz w:val="24"/>
          <w:szCs w:val="24"/>
        </w:rPr>
      </w:pPr>
      <w:r>
        <w:rPr>
          <w:rFonts w:hint="default" w:ascii="Arial" w:hAnsi="Arial" w:cs="Arial"/>
          <w:sz w:val="24"/>
          <w:szCs w:val="24"/>
        </w:rPr>
        <w:t>This paper provides an in-depth look at the critical role of international business communication and cultural dimensions theory, with a special focus on strategies for entering the Chinese market. Understanding the complexities of cross-cultural communication is critical to the success of global business, especially when targeting the unique dynamics of the Chinese market. By examining the core principles of cultural dimensions theory and presenting specific communication strategies, this paper aims to provide actionable insights to help organizations navigate the complexities of international communication and successfully engage with Chinese audiences. Armed with these insights will enable companies to bridge the cultural divide, foster trust, and build meaningful connections with Chinese stakeholders, ultimately paving the way for sustainable growth and success in this dynamic market.</w:t>
      </w: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pBdr>
          <w:bottom w:val="single" w:color="auto" w:sz="4" w:space="1"/>
        </w:pBdr>
        <w:rPr>
          <w:rFonts w:hint="default" w:ascii="Arial" w:hAnsi="Arial" w:cs="Arial"/>
          <w:b/>
          <w:bCs/>
          <w:sz w:val="24"/>
          <w:szCs w:val="24"/>
        </w:rPr>
      </w:pPr>
    </w:p>
    <w:p>
      <w:pPr>
        <w:pBdr>
          <w:bottom w:val="single" w:color="auto" w:sz="4" w:space="1"/>
        </w:pBdr>
        <w:rPr>
          <w:rFonts w:hint="default" w:ascii="Arial" w:hAnsi="Arial" w:cs="Arial"/>
          <w:b/>
          <w:bCs/>
          <w:sz w:val="24"/>
          <w:szCs w:val="24"/>
        </w:rPr>
      </w:pPr>
      <w:r>
        <w:rPr>
          <w:rFonts w:hint="default" w:ascii="Arial" w:hAnsi="Arial" w:cs="Arial"/>
          <w:b/>
          <w:bCs/>
          <w:sz w:val="24"/>
          <w:szCs w:val="24"/>
        </w:rPr>
        <w:t>Content Page</w:t>
      </w:r>
    </w:p>
    <w:sdt>
      <w:sdtPr>
        <w:rPr>
          <w:rFonts w:ascii="宋体" w:hAnsi="宋体" w:eastAsia="宋体" w:cstheme="minorBidi"/>
          <w:sz w:val="21"/>
          <w:szCs w:val="22"/>
          <w:lang w:val="en-GB" w:eastAsia="zh-CN" w:bidi="ar-SA"/>
        </w:rPr>
        <w:id w:val="147457122"/>
        <w15:color w:val="DBDBDB"/>
        <w:docPartObj>
          <w:docPartGallery w:val="Table of Contents"/>
          <w:docPartUnique/>
        </w:docPartObj>
      </w:sdtPr>
      <w:sdtEndPr>
        <w:rPr>
          <w:rFonts w:hint="default" w:ascii="Arial" w:hAnsi="Arial" w:cs="Arial" w:eastAsiaTheme="minorEastAsia"/>
          <w:b/>
          <w:sz w:val="22"/>
          <w:szCs w:val="24"/>
          <w:lang w:val="en-GB" w:eastAsia="zh-CN" w:bidi="ar-SA"/>
        </w:rPr>
      </w:sdtEndPr>
      <w:sdtContent>
        <w:p>
          <w:pPr>
            <w:spacing w:before="0" w:beforeLines="0" w:after="0" w:afterLines="0" w:line="240" w:lineRule="auto"/>
            <w:ind w:left="0" w:leftChars="0" w:right="0" w:rightChars="0" w:firstLine="0" w:firstLineChars="0"/>
            <w:jc w:val="center"/>
          </w:pPr>
        </w:p>
        <w:p>
          <w:pPr>
            <w:pStyle w:val="6"/>
            <w:tabs>
              <w:tab w:val="right" w:leader="dot" w:pos="9026"/>
            </w:tabs>
          </w:pPr>
          <w:r>
            <w:rPr>
              <w:rFonts w:hint="default" w:ascii="Arial" w:hAnsi="Arial" w:cs="Arial"/>
              <w:sz w:val="24"/>
              <w:szCs w:val="24"/>
            </w:rPr>
            <w:fldChar w:fldCharType="begin"/>
          </w:r>
          <w:r>
            <w:rPr>
              <w:rFonts w:hint="default" w:ascii="Arial" w:hAnsi="Arial" w:cs="Arial"/>
              <w:sz w:val="24"/>
              <w:szCs w:val="24"/>
            </w:rPr>
            <w:instrText xml:space="preserve">TOC \o "1-2" \h \u </w:instrText>
          </w:r>
          <w:r>
            <w:rPr>
              <w:rFonts w:hint="default" w:ascii="Arial" w:hAnsi="Arial" w:cs="Arial"/>
              <w:sz w:val="24"/>
              <w:szCs w:val="24"/>
            </w:rPr>
            <w:fldChar w:fldCharType="separate"/>
          </w:r>
          <w:r>
            <w:rPr>
              <w:rFonts w:hint="default" w:ascii="Arial" w:hAnsi="Arial" w:cs="Arial"/>
              <w:szCs w:val="24"/>
            </w:rPr>
            <w:fldChar w:fldCharType="begin"/>
          </w:r>
          <w:r>
            <w:rPr>
              <w:rFonts w:hint="default" w:ascii="Arial" w:hAnsi="Arial" w:cs="Arial"/>
              <w:szCs w:val="24"/>
            </w:rPr>
            <w:instrText xml:space="preserve"> HYPERLINK \l _Toc15544 </w:instrText>
          </w:r>
          <w:r>
            <w:rPr>
              <w:rFonts w:hint="default" w:ascii="Arial" w:hAnsi="Arial" w:cs="Arial"/>
              <w:szCs w:val="24"/>
            </w:rPr>
            <w:fldChar w:fldCharType="separate"/>
          </w:r>
          <w:r>
            <w:rPr>
              <w:rFonts w:hint="default" w:ascii="Arial" w:hAnsi="Arial" w:cs="Arial"/>
              <w:bCs/>
              <w:szCs w:val="24"/>
            </w:rPr>
            <w:t>Executive Summary</w:t>
          </w:r>
          <w:r>
            <w:tab/>
          </w:r>
          <w:r>
            <w:fldChar w:fldCharType="begin"/>
          </w:r>
          <w:r>
            <w:instrText xml:space="preserve"> PAGEREF _Toc15544 \h </w:instrText>
          </w:r>
          <w:r>
            <w:fldChar w:fldCharType="separate"/>
          </w:r>
          <w:r>
            <w:t>1</w:t>
          </w:r>
          <w:r>
            <w:fldChar w:fldCharType="end"/>
          </w:r>
          <w:r>
            <w:rPr>
              <w:rFonts w:hint="default" w:ascii="Arial" w:hAnsi="Arial" w:cs="Arial"/>
              <w:szCs w:val="24"/>
            </w:rPr>
            <w:fldChar w:fldCharType="end"/>
          </w:r>
        </w:p>
        <w:p>
          <w:pPr>
            <w:pStyle w:val="6"/>
            <w:tabs>
              <w:tab w:val="right" w:leader="dot" w:pos="9026"/>
            </w:tabs>
          </w:pPr>
          <w:r>
            <w:rPr>
              <w:rFonts w:hint="default" w:ascii="Arial" w:hAnsi="Arial" w:cs="Arial"/>
              <w:szCs w:val="24"/>
            </w:rPr>
            <w:fldChar w:fldCharType="begin"/>
          </w:r>
          <w:r>
            <w:rPr>
              <w:rFonts w:hint="default" w:ascii="Arial" w:hAnsi="Arial" w:cs="Arial"/>
              <w:szCs w:val="24"/>
            </w:rPr>
            <w:instrText xml:space="preserve"> HYPERLINK \l _Toc23743 </w:instrText>
          </w:r>
          <w:r>
            <w:rPr>
              <w:rFonts w:hint="default" w:ascii="Arial" w:hAnsi="Arial" w:cs="Arial"/>
              <w:szCs w:val="24"/>
            </w:rPr>
            <w:fldChar w:fldCharType="separate"/>
          </w:r>
          <w:r>
            <w:rPr>
              <w:rFonts w:hint="eastAsia" w:ascii="Arial" w:hAnsi="Arial" w:cs="Arial"/>
              <w:lang w:val="en-US" w:eastAsia="zh-CN"/>
            </w:rPr>
            <w:t>1.0</w:t>
          </w:r>
          <w:r>
            <w:rPr>
              <w:rFonts w:hint="default" w:ascii="Arial" w:hAnsi="Arial" w:cs="Arial"/>
            </w:rPr>
            <w:t>– Introduction</w:t>
          </w:r>
          <w:r>
            <w:tab/>
          </w:r>
          <w:r>
            <w:fldChar w:fldCharType="begin"/>
          </w:r>
          <w:r>
            <w:instrText xml:space="preserve"> PAGEREF _Toc23743 \h </w:instrText>
          </w:r>
          <w:r>
            <w:fldChar w:fldCharType="separate"/>
          </w:r>
          <w:r>
            <w:t>3</w:t>
          </w:r>
          <w:r>
            <w:fldChar w:fldCharType="end"/>
          </w:r>
          <w:r>
            <w:rPr>
              <w:rFonts w:hint="default" w:ascii="Arial" w:hAnsi="Arial" w:cs="Arial"/>
              <w:szCs w:val="24"/>
            </w:rPr>
            <w:fldChar w:fldCharType="end"/>
          </w:r>
        </w:p>
        <w:p>
          <w:pPr>
            <w:pStyle w:val="6"/>
            <w:tabs>
              <w:tab w:val="right" w:leader="dot" w:pos="9026"/>
            </w:tabs>
          </w:pPr>
          <w:r>
            <w:rPr>
              <w:rFonts w:hint="default" w:ascii="Arial" w:hAnsi="Arial" w:cs="Arial"/>
              <w:szCs w:val="24"/>
            </w:rPr>
            <w:fldChar w:fldCharType="begin"/>
          </w:r>
          <w:r>
            <w:rPr>
              <w:rFonts w:hint="default" w:ascii="Arial" w:hAnsi="Arial" w:cs="Arial"/>
              <w:szCs w:val="24"/>
            </w:rPr>
            <w:instrText xml:space="preserve"> HYPERLINK \l _Toc21919 </w:instrText>
          </w:r>
          <w:r>
            <w:rPr>
              <w:rFonts w:hint="default" w:ascii="Arial" w:hAnsi="Arial" w:cs="Arial"/>
              <w:szCs w:val="24"/>
            </w:rPr>
            <w:fldChar w:fldCharType="separate"/>
          </w:r>
          <w:r>
            <w:rPr>
              <w:rFonts w:hint="default" w:ascii="Arial" w:hAnsi="Arial" w:cs="Arial"/>
            </w:rPr>
            <w:t>2.0 – Main Findings</w:t>
          </w:r>
          <w:r>
            <w:tab/>
          </w:r>
          <w:r>
            <w:fldChar w:fldCharType="begin"/>
          </w:r>
          <w:r>
            <w:instrText xml:space="preserve"> PAGEREF _Toc21919 \h </w:instrText>
          </w:r>
          <w:r>
            <w:fldChar w:fldCharType="separate"/>
          </w:r>
          <w:r>
            <w:t>4</w:t>
          </w:r>
          <w:r>
            <w:fldChar w:fldCharType="end"/>
          </w:r>
          <w:r>
            <w:rPr>
              <w:rFonts w:hint="default" w:ascii="Arial" w:hAnsi="Arial" w:cs="Arial"/>
              <w:szCs w:val="24"/>
            </w:rPr>
            <w:fldChar w:fldCharType="end"/>
          </w:r>
        </w:p>
        <w:p>
          <w:pPr>
            <w:pStyle w:val="7"/>
            <w:tabs>
              <w:tab w:val="right" w:leader="dot" w:pos="9026"/>
            </w:tabs>
          </w:pPr>
          <w:r>
            <w:rPr>
              <w:rFonts w:hint="default" w:ascii="Arial" w:hAnsi="Arial" w:cs="Arial"/>
              <w:szCs w:val="24"/>
            </w:rPr>
            <w:fldChar w:fldCharType="begin"/>
          </w:r>
          <w:r>
            <w:rPr>
              <w:rFonts w:hint="default" w:ascii="Arial" w:hAnsi="Arial" w:cs="Arial"/>
              <w:szCs w:val="24"/>
            </w:rPr>
            <w:instrText xml:space="preserve"> HYPERLINK \l _Toc29715 </w:instrText>
          </w:r>
          <w:r>
            <w:rPr>
              <w:rFonts w:hint="default" w:ascii="Arial" w:hAnsi="Arial" w:cs="Arial"/>
              <w:szCs w:val="24"/>
            </w:rPr>
            <w:fldChar w:fldCharType="separate"/>
          </w:r>
          <w:r>
            <w:rPr>
              <w:rFonts w:hint="default"/>
            </w:rPr>
            <w:t>2.1 – International Business Communication</w:t>
          </w:r>
          <w:r>
            <w:tab/>
          </w:r>
          <w:r>
            <w:fldChar w:fldCharType="begin"/>
          </w:r>
          <w:r>
            <w:instrText xml:space="preserve"> PAGEREF _Toc29715 \h </w:instrText>
          </w:r>
          <w:r>
            <w:fldChar w:fldCharType="separate"/>
          </w:r>
          <w:r>
            <w:t>4</w:t>
          </w:r>
          <w:r>
            <w:fldChar w:fldCharType="end"/>
          </w:r>
          <w:r>
            <w:rPr>
              <w:rFonts w:hint="default" w:ascii="Arial" w:hAnsi="Arial" w:cs="Arial"/>
              <w:szCs w:val="24"/>
            </w:rPr>
            <w:fldChar w:fldCharType="end"/>
          </w:r>
        </w:p>
        <w:p>
          <w:pPr>
            <w:pStyle w:val="7"/>
            <w:tabs>
              <w:tab w:val="right" w:leader="dot" w:pos="9026"/>
            </w:tabs>
          </w:pPr>
          <w:r>
            <w:rPr>
              <w:rFonts w:hint="default" w:ascii="Arial" w:hAnsi="Arial" w:cs="Arial"/>
              <w:szCs w:val="24"/>
            </w:rPr>
            <w:fldChar w:fldCharType="begin"/>
          </w:r>
          <w:r>
            <w:rPr>
              <w:rFonts w:hint="default" w:ascii="Arial" w:hAnsi="Arial" w:cs="Arial"/>
              <w:szCs w:val="24"/>
            </w:rPr>
            <w:instrText xml:space="preserve"> HYPERLINK \l _Toc429 </w:instrText>
          </w:r>
          <w:r>
            <w:rPr>
              <w:rFonts w:hint="default" w:ascii="Arial" w:hAnsi="Arial" w:cs="Arial"/>
              <w:szCs w:val="24"/>
            </w:rPr>
            <w:fldChar w:fldCharType="separate"/>
          </w:r>
          <w:r>
            <w:rPr>
              <w:rFonts w:hint="default"/>
            </w:rPr>
            <w:t>2.2 – Skills Requirements</w:t>
          </w:r>
          <w:r>
            <w:tab/>
          </w:r>
          <w:r>
            <w:fldChar w:fldCharType="begin"/>
          </w:r>
          <w:r>
            <w:instrText xml:space="preserve"> PAGEREF _Toc429 \h </w:instrText>
          </w:r>
          <w:r>
            <w:fldChar w:fldCharType="separate"/>
          </w:r>
          <w:r>
            <w:t>6</w:t>
          </w:r>
          <w:r>
            <w:fldChar w:fldCharType="end"/>
          </w:r>
          <w:r>
            <w:rPr>
              <w:rFonts w:hint="default" w:ascii="Arial" w:hAnsi="Arial" w:cs="Arial"/>
              <w:szCs w:val="24"/>
            </w:rPr>
            <w:fldChar w:fldCharType="end"/>
          </w:r>
        </w:p>
        <w:p>
          <w:pPr>
            <w:pStyle w:val="7"/>
            <w:tabs>
              <w:tab w:val="right" w:leader="dot" w:pos="9026"/>
            </w:tabs>
          </w:pPr>
          <w:r>
            <w:rPr>
              <w:rFonts w:hint="default" w:ascii="Arial" w:hAnsi="Arial" w:cs="Arial"/>
              <w:szCs w:val="24"/>
            </w:rPr>
            <w:fldChar w:fldCharType="begin"/>
          </w:r>
          <w:r>
            <w:rPr>
              <w:rFonts w:hint="default" w:ascii="Arial" w:hAnsi="Arial" w:cs="Arial"/>
              <w:szCs w:val="24"/>
            </w:rPr>
            <w:instrText xml:space="preserve"> HYPERLINK \l _Toc20846 </w:instrText>
          </w:r>
          <w:r>
            <w:rPr>
              <w:rFonts w:hint="default" w:ascii="Arial" w:hAnsi="Arial" w:cs="Arial"/>
              <w:szCs w:val="24"/>
            </w:rPr>
            <w:fldChar w:fldCharType="separate"/>
          </w:r>
          <w:r>
            <w:rPr>
              <w:rFonts w:hint="default"/>
            </w:rPr>
            <w:t>2.3 – Methods of Communication</w:t>
          </w:r>
          <w:r>
            <w:tab/>
          </w:r>
          <w:r>
            <w:fldChar w:fldCharType="begin"/>
          </w:r>
          <w:r>
            <w:instrText xml:space="preserve"> PAGEREF _Toc20846 \h </w:instrText>
          </w:r>
          <w:r>
            <w:fldChar w:fldCharType="separate"/>
          </w:r>
          <w:r>
            <w:t>6</w:t>
          </w:r>
          <w:r>
            <w:fldChar w:fldCharType="end"/>
          </w:r>
          <w:r>
            <w:rPr>
              <w:rFonts w:hint="default" w:ascii="Arial" w:hAnsi="Arial" w:cs="Arial"/>
              <w:szCs w:val="24"/>
            </w:rPr>
            <w:fldChar w:fldCharType="end"/>
          </w:r>
        </w:p>
        <w:p>
          <w:pPr>
            <w:pStyle w:val="7"/>
            <w:tabs>
              <w:tab w:val="right" w:leader="dot" w:pos="9026"/>
            </w:tabs>
          </w:pPr>
          <w:r>
            <w:rPr>
              <w:rFonts w:hint="default" w:ascii="Arial" w:hAnsi="Arial" w:cs="Arial"/>
              <w:szCs w:val="24"/>
            </w:rPr>
            <w:fldChar w:fldCharType="begin"/>
          </w:r>
          <w:r>
            <w:rPr>
              <w:rFonts w:hint="default" w:ascii="Arial" w:hAnsi="Arial" w:cs="Arial"/>
              <w:szCs w:val="24"/>
            </w:rPr>
            <w:instrText xml:space="preserve"> HYPERLINK \l _Toc7730 </w:instrText>
          </w:r>
          <w:r>
            <w:rPr>
              <w:rFonts w:hint="default" w:ascii="Arial" w:hAnsi="Arial" w:cs="Arial"/>
              <w:szCs w:val="24"/>
            </w:rPr>
            <w:fldChar w:fldCharType="separate"/>
          </w:r>
          <w:r>
            <w:rPr>
              <w:rFonts w:hint="default"/>
            </w:rPr>
            <w:t>2.4 – Effective Communication</w:t>
          </w:r>
          <w:r>
            <w:tab/>
          </w:r>
          <w:r>
            <w:fldChar w:fldCharType="begin"/>
          </w:r>
          <w:r>
            <w:instrText xml:space="preserve"> PAGEREF _Toc7730 \h </w:instrText>
          </w:r>
          <w:r>
            <w:fldChar w:fldCharType="separate"/>
          </w:r>
          <w:r>
            <w:t>7</w:t>
          </w:r>
          <w:r>
            <w:fldChar w:fldCharType="end"/>
          </w:r>
          <w:r>
            <w:rPr>
              <w:rFonts w:hint="default" w:ascii="Arial" w:hAnsi="Arial" w:cs="Arial"/>
              <w:szCs w:val="24"/>
            </w:rPr>
            <w:fldChar w:fldCharType="end"/>
          </w:r>
        </w:p>
        <w:p>
          <w:pPr>
            <w:pStyle w:val="7"/>
            <w:tabs>
              <w:tab w:val="right" w:leader="dot" w:pos="9026"/>
            </w:tabs>
          </w:pPr>
          <w:r>
            <w:rPr>
              <w:rFonts w:hint="default" w:ascii="Arial" w:hAnsi="Arial" w:cs="Arial"/>
              <w:szCs w:val="24"/>
            </w:rPr>
            <w:fldChar w:fldCharType="begin"/>
          </w:r>
          <w:r>
            <w:rPr>
              <w:rFonts w:hint="default" w:ascii="Arial" w:hAnsi="Arial" w:cs="Arial"/>
              <w:szCs w:val="24"/>
            </w:rPr>
            <w:instrText xml:space="preserve"> HYPERLINK \l _Toc21185 </w:instrText>
          </w:r>
          <w:r>
            <w:rPr>
              <w:rFonts w:hint="default" w:ascii="Arial" w:hAnsi="Arial" w:cs="Arial"/>
              <w:szCs w:val="24"/>
            </w:rPr>
            <w:fldChar w:fldCharType="separate"/>
          </w:r>
          <w:r>
            <w:rPr>
              <w:rFonts w:hint="default"/>
            </w:rPr>
            <w:t>2.5 – International Culture</w:t>
          </w:r>
          <w:r>
            <w:tab/>
          </w:r>
          <w:r>
            <w:fldChar w:fldCharType="begin"/>
          </w:r>
          <w:r>
            <w:instrText xml:space="preserve"> PAGEREF _Toc21185 \h </w:instrText>
          </w:r>
          <w:r>
            <w:fldChar w:fldCharType="separate"/>
          </w:r>
          <w:r>
            <w:t>7</w:t>
          </w:r>
          <w:r>
            <w:fldChar w:fldCharType="end"/>
          </w:r>
          <w:r>
            <w:rPr>
              <w:rFonts w:hint="default" w:ascii="Arial" w:hAnsi="Arial" w:cs="Arial"/>
              <w:szCs w:val="24"/>
            </w:rPr>
            <w:fldChar w:fldCharType="end"/>
          </w:r>
        </w:p>
        <w:p>
          <w:pPr>
            <w:pStyle w:val="7"/>
            <w:tabs>
              <w:tab w:val="right" w:leader="dot" w:pos="9026"/>
            </w:tabs>
          </w:pPr>
          <w:r>
            <w:rPr>
              <w:rFonts w:hint="default" w:ascii="Arial" w:hAnsi="Arial" w:cs="Arial"/>
              <w:szCs w:val="24"/>
            </w:rPr>
            <w:fldChar w:fldCharType="begin"/>
          </w:r>
          <w:r>
            <w:rPr>
              <w:rFonts w:hint="default" w:ascii="Arial" w:hAnsi="Arial" w:cs="Arial"/>
              <w:szCs w:val="24"/>
            </w:rPr>
            <w:instrText xml:space="preserve"> HYPERLINK \l _Toc14259 </w:instrText>
          </w:r>
          <w:r>
            <w:rPr>
              <w:rFonts w:hint="default" w:ascii="Arial" w:hAnsi="Arial" w:cs="Arial"/>
              <w:szCs w:val="24"/>
            </w:rPr>
            <w:fldChar w:fldCharType="separate"/>
          </w:r>
          <w:r>
            <w:rPr>
              <w:rFonts w:hint="default"/>
            </w:rPr>
            <w:t>2.6 – Importance of Building Relationships</w:t>
          </w:r>
          <w:r>
            <w:tab/>
          </w:r>
          <w:r>
            <w:fldChar w:fldCharType="begin"/>
          </w:r>
          <w:r>
            <w:instrText xml:space="preserve"> PAGEREF _Toc14259 \h </w:instrText>
          </w:r>
          <w:r>
            <w:fldChar w:fldCharType="separate"/>
          </w:r>
          <w:r>
            <w:t>9</w:t>
          </w:r>
          <w:r>
            <w:fldChar w:fldCharType="end"/>
          </w:r>
          <w:r>
            <w:rPr>
              <w:rFonts w:hint="default" w:ascii="Arial" w:hAnsi="Arial" w:cs="Arial"/>
              <w:szCs w:val="24"/>
            </w:rPr>
            <w:fldChar w:fldCharType="end"/>
          </w:r>
        </w:p>
        <w:p>
          <w:pPr>
            <w:pStyle w:val="7"/>
            <w:tabs>
              <w:tab w:val="right" w:leader="dot" w:pos="9026"/>
            </w:tabs>
          </w:pPr>
          <w:r>
            <w:rPr>
              <w:rFonts w:hint="default" w:ascii="Arial" w:hAnsi="Arial" w:cs="Arial"/>
              <w:szCs w:val="24"/>
            </w:rPr>
            <w:fldChar w:fldCharType="begin"/>
          </w:r>
          <w:r>
            <w:rPr>
              <w:rFonts w:hint="default" w:ascii="Arial" w:hAnsi="Arial" w:cs="Arial"/>
              <w:szCs w:val="24"/>
            </w:rPr>
            <w:instrText xml:space="preserve"> HYPERLINK \l _Toc18289 </w:instrText>
          </w:r>
          <w:r>
            <w:rPr>
              <w:rFonts w:hint="default" w:ascii="Arial" w:hAnsi="Arial" w:cs="Arial"/>
              <w:szCs w:val="24"/>
            </w:rPr>
            <w:fldChar w:fldCharType="separate"/>
          </w:r>
          <w:r>
            <w:rPr>
              <w:rFonts w:hint="default"/>
            </w:rPr>
            <w:t>2.7 – How to Build Trust</w:t>
          </w:r>
          <w:r>
            <w:tab/>
          </w:r>
          <w:r>
            <w:fldChar w:fldCharType="begin"/>
          </w:r>
          <w:r>
            <w:instrText xml:space="preserve"> PAGEREF _Toc18289 \h </w:instrText>
          </w:r>
          <w:r>
            <w:fldChar w:fldCharType="separate"/>
          </w:r>
          <w:r>
            <w:t>9</w:t>
          </w:r>
          <w:r>
            <w:fldChar w:fldCharType="end"/>
          </w:r>
          <w:r>
            <w:rPr>
              <w:rFonts w:hint="default" w:ascii="Arial" w:hAnsi="Arial" w:cs="Arial"/>
              <w:szCs w:val="24"/>
            </w:rPr>
            <w:fldChar w:fldCharType="end"/>
          </w:r>
        </w:p>
        <w:p>
          <w:pPr>
            <w:pStyle w:val="7"/>
            <w:tabs>
              <w:tab w:val="right" w:leader="dot" w:pos="9026"/>
            </w:tabs>
          </w:pPr>
          <w:r>
            <w:rPr>
              <w:rFonts w:hint="default" w:ascii="Arial" w:hAnsi="Arial" w:cs="Arial"/>
              <w:szCs w:val="24"/>
            </w:rPr>
            <w:fldChar w:fldCharType="begin"/>
          </w:r>
          <w:r>
            <w:rPr>
              <w:rFonts w:hint="default" w:ascii="Arial" w:hAnsi="Arial" w:cs="Arial"/>
              <w:szCs w:val="24"/>
            </w:rPr>
            <w:instrText xml:space="preserve"> HYPERLINK \l _Toc18733 </w:instrText>
          </w:r>
          <w:r>
            <w:rPr>
              <w:rFonts w:hint="default" w:ascii="Arial" w:hAnsi="Arial" w:cs="Arial"/>
              <w:szCs w:val="24"/>
            </w:rPr>
            <w:fldChar w:fldCharType="separate"/>
          </w:r>
          <w:r>
            <w:rPr>
              <w:rFonts w:hint="default"/>
            </w:rPr>
            <w:t>2.8 – Failed Relationships</w:t>
          </w:r>
          <w:r>
            <w:tab/>
          </w:r>
          <w:r>
            <w:fldChar w:fldCharType="begin"/>
          </w:r>
          <w:r>
            <w:instrText xml:space="preserve"> PAGEREF _Toc18733 \h </w:instrText>
          </w:r>
          <w:r>
            <w:fldChar w:fldCharType="separate"/>
          </w:r>
          <w:r>
            <w:t>10</w:t>
          </w:r>
          <w:r>
            <w:fldChar w:fldCharType="end"/>
          </w:r>
          <w:r>
            <w:rPr>
              <w:rFonts w:hint="default" w:ascii="Arial" w:hAnsi="Arial" w:cs="Arial"/>
              <w:szCs w:val="24"/>
            </w:rPr>
            <w:fldChar w:fldCharType="end"/>
          </w:r>
        </w:p>
        <w:p>
          <w:pPr>
            <w:pStyle w:val="7"/>
            <w:tabs>
              <w:tab w:val="right" w:leader="dot" w:pos="9026"/>
            </w:tabs>
          </w:pPr>
          <w:r>
            <w:rPr>
              <w:rFonts w:hint="default" w:ascii="Arial" w:hAnsi="Arial" w:cs="Arial"/>
              <w:szCs w:val="24"/>
            </w:rPr>
            <w:fldChar w:fldCharType="begin"/>
          </w:r>
          <w:r>
            <w:rPr>
              <w:rFonts w:hint="default" w:ascii="Arial" w:hAnsi="Arial" w:cs="Arial"/>
              <w:szCs w:val="24"/>
            </w:rPr>
            <w:instrText xml:space="preserve"> HYPERLINK \l _Toc11015 </w:instrText>
          </w:r>
          <w:r>
            <w:rPr>
              <w:rFonts w:hint="default" w:ascii="Arial" w:hAnsi="Arial" w:cs="Arial"/>
              <w:szCs w:val="24"/>
            </w:rPr>
            <w:fldChar w:fldCharType="separate"/>
          </w:r>
          <w:r>
            <w:rPr>
              <w:rFonts w:hint="default"/>
            </w:rPr>
            <w:t>3.0 – Conclusions</w:t>
          </w:r>
          <w:r>
            <w:tab/>
          </w:r>
          <w:r>
            <w:fldChar w:fldCharType="begin"/>
          </w:r>
          <w:r>
            <w:instrText xml:space="preserve"> PAGEREF _Toc11015 \h </w:instrText>
          </w:r>
          <w:r>
            <w:fldChar w:fldCharType="separate"/>
          </w:r>
          <w:r>
            <w:t>10</w:t>
          </w:r>
          <w:r>
            <w:fldChar w:fldCharType="end"/>
          </w:r>
          <w:r>
            <w:rPr>
              <w:rFonts w:hint="default" w:ascii="Arial" w:hAnsi="Arial" w:cs="Arial"/>
              <w:szCs w:val="24"/>
            </w:rPr>
            <w:fldChar w:fldCharType="end"/>
          </w:r>
        </w:p>
        <w:p>
          <w:pPr>
            <w:pStyle w:val="6"/>
            <w:tabs>
              <w:tab w:val="right" w:leader="dot" w:pos="9026"/>
            </w:tabs>
          </w:pPr>
          <w:r>
            <w:rPr>
              <w:rFonts w:hint="default" w:ascii="Arial" w:hAnsi="Arial" w:cs="Arial"/>
              <w:szCs w:val="24"/>
            </w:rPr>
            <w:fldChar w:fldCharType="begin"/>
          </w:r>
          <w:r>
            <w:rPr>
              <w:rFonts w:hint="default" w:ascii="Arial" w:hAnsi="Arial" w:cs="Arial"/>
              <w:szCs w:val="24"/>
            </w:rPr>
            <w:instrText xml:space="preserve"> HYPERLINK \l _Toc8826 </w:instrText>
          </w:r>
          <w:r>
            <w:rPr>
              <w:rFonts w:hint="default" w:ascii="Arial" w:hAnsi="Arial" w:cs="Arial"/>
              <w:szCs w:val="24"/>
            </w:rPr>
            <w:fldChar w:fldCharType="separate"/>
          </w:r>
          <w:r>
            <w:rPr>
              <w:rFonts w:hint="default" w:ascii="Arial" w:hAnsi="Arial" w:cs="Arial"/>
              <w:bCs/>
            </w:rPr>
            <w:t>References</w:t>
          </w:r>
          <w:r>
            <w:tab/>
          </w:r>
          <w:r>
            <w:fldChar w:fldCharType="begin"/>
          </w:r>
          <w:r>
            <w:instrText xml:space="preserve"> PAGEREF _Toc8826 \h </w:instrText>
          </w:r>
          <w:r>
            <w:fldChar w:fldCharType="separate"/>
          </w:r>
          <w:r>
            <w:t>11</w:t>
          </w:r>
          <w:r>
            <w:fldChar w:fldCharType="end"/>
          </w:r>
          <w:r>
            <w:rPr>
              <w:rFonts w:hint="default" w:ascii="Arial" w:hAnsi="Arial" w:cs="Arial"/>
              <w:szCs w:val="24"/>
            </w:rPr>
            <w:fldChar w:fldCharType="end"/>
          </w:r>
        </w:p>
        <w:p>
          <w:pPr>
            <w:rPr>
              <w:rFonts w:hint="default" w:ascii="Arial" w:hAnsi="Arial" w:cs="Arial"/>
              <w:sz w:val="24"/>
              <w:szCs w:val="24"/>
            </w:rPr>
          </w:pPr>
          <w:r>
            <w:rPr>
              <w:rFonts w:hint="default" w:ascii="Arial" w:hAnsi="Arial" w:cs="Arial"/>
              <w:szCs w:val="24"/>
            </w:rPr>
            <w:fldChar w:fldCharType="end"/>
          </w:r>
        </w:p>
      </w:sdtContent>
    </w:sdt>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pStyle w:val="2"/>
        <w:numPr>
          <w:numId w:val="0"/>
        </w:numPr>
        <w:bidi w:val="0"/>
        <w:ind w:leftChars="0"/>
        <w:rPr>
          <w:rFonts w:hint="default" w:ascii="Arial" w:hAnsi="Arial" w:cs="Arial"/>
          <w:color w:val="auto"/>
        </w:rPr>
      </w:pPr>
      <w:bookmarkStart w:id="13" w:name="_GoBack"/>
      <w:bookmarkEnd w:id="13"/>
      <w:bookmarkStart w:id="1" w:name="_Toc23743"/>
      <w:r>
        <w:rPr>
          <w:rFonts w:hint="eastAsia" w:ascii="Arial" w:hAnsi="Arial" w:cs="Arial"/>
          <w:color w:val="auto"/>
          <w:lang w:val="en-US" w:eastAsia="zh-CN"/>
        </w:rPr>
        <w:t>1.0</w:t>
      </w:r>
      <w:r>
        <w:rPr>
          <w:rFonts w:hint="default" w:ascii="Arial" w:hAnsi="Arial" w:cs="Arial"/>
          <w:color w:val="auto"/>
        </w:rPr>
        <w:t>– Introduction</w:t>
      </w:r>
      <w:bookmarkEnd w:id="1"/>
    </w:p>
    <w:p>
      <w:pPr>
        <w:rPr>
          <w:rFonts w:hint="default" w:ascii="Arial" w:hAnsi="Arial" w:cs="Arial"/>
          <w:sz w:val="24"/>
          <w:szCs w:val="24"/>
        </w:rPr>
      </w:pPr>
      <w:r>
        <w:rPr>
          <w:rFonts w:hint="default" w:ascii="Arial" w:hAnsi="Arial" w:cs="Arial"/>
          <w:sz w:val="24"/>
          <w:szCs w:val="24"/>
        </w:rPr>
        <w:t>The purpose of this report is to provide guidance and advice on cross-cultural business communication to a business organization that will be assisting a clothing retailer to expand into the Chinese market. It also introduces apparel retailers to cross-cultural communication theory, the importance of analyzing international business communication and the various functions required to build professional partnerships while expanding their business with different cultural understandings, highlights the impact of building communication failures in business relationships and provides illustrations to help apparel retailers build professional relationships with global partners.</w:t>
      </w: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pStyle w:val="2"/>
        <w:bidi w:val="0"/>
        <w:rPr>
          <w:rFonts w:hint="default" w:ascii="Arial" w:hAnsi="Arial" w:cs="Arial"/>
          <w:color w:val="auto"/>
        </w:rPr>
      </w:pPr>
      <w:bookmarkStart w:id="2" w:name="_Toc21919"/>
      <w:r>
        <w:rPr>
          <w:rFonts w:hint="default" w:ascii="Arial" w:hAnsi="Arial" w:cs="Arial"/>
          <w:color w:val="auto"/>
        </w:rPr>
        <w:t>2.0 – Main Findings</w:t>
      </w:r>
      <w:bookmarkEnd w:id="2"/>
    </w:p>
    <w:p>
      <w:pPr>
        <w:pStyle w:val="3"/>
        <w:bidi w:val="0"/>
        <w:rPr>
          <w:rFonts w:hint="default"/>
        </w:rPr>
      </w:pPr>
      <w:bookmarkStart w:id="3" w:name="_Toc29715"/>
      <w:r>
        <w:rPr>
          <w:rFonts w:hint="default"/>
        </w:rPr>
        <w:t>2.1 – International Business Communication</w:t>
      </w:r>
      <w:bookmarkEnd w:id="3"/>
    </w:p>
    <w:p>
      <w:pPr>
        <w:rPr>
          <w:rFonts w:hint="default" w:ascii="Arial" w:hAnsi="Arial" w:cs="Arial"/>
          <w:sz w:val="24"/>
          <w:szCs w:val="24"/>
        </w:rPr>
      </w:pPr>
      <w:r>
        <w:rPr>
          <w:rFonts w:hint="default" w:ascii="Arial" w:hAnsi="Arial" w:cs="Arial"/>
          <w:sz w:val="24"/>
          <w:szCs w:val="24"/>
        </w:rPr>
        <w:t>International business communication is the exchange of information between multiple cultures. Building relationships and trust. If done effectively, business communication will help a company secure new customers, resolve conflicts, and build a successful company (Marketing Management, 2022). However, cultural norms and expectations vary greatly from country to country. For example, language barriers, various business practices, and the use of technology can complicate international communication. However, through planning and expert education, as well as a basic understanding of the principles of multicultural communication, it is possible to overcome these challenges and conduct successful international business transactions.</w:t>
      </w:r>
    </w:p>
    <w:p>
      <w:pPr>
        <w:ind w:firstLine="720"/>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Hofstede's cultural dimensions theory (CDT) is a framework for understanding cultural differences and intercultural business activities. The framework is used to differentiate the impact on other countries cultures, cultural dimensions, and etiquette, facilitating communication from the business to diplomatic realms (Wale, 2023).</w:t>
      </w:r>
    </w:p>
    <w:p>
      <w:pPr>
        <w:ind w:firstLine="720"/>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According to Hofstede's cultural dimensions theory, cultures can be compared through six dimensions which are power distance, uncertainty avoidance, individualism versus collectivism, male versus female gender roles, long-term versus short-term orientations, and individual expression versus group protection (Agodzo, 2015).</w:t>
      </w:r>
    </w:p>
    <w:p>
      <w:pPr>
        <w:ind w:firstLine="720"/>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Hofstede's cultural dimensions theory creates three levels of difference by examining the values of people in the workplace: small/large power distance, strong/weak uncertainty avoidance, masculinity/femininity, and individualism/collectivism (Nickerson, 2023). In expanding the firm to the Chinese market, we will focus on the dimensions of individualism and collectivism, power distance, and uncertainty avoidance.</w:t>
      </w:r>
    </w:p>
    <w:p>
      <w:pPr>
        <w:ind w:firstLine="720"/>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To measure individualism and collectivism, this index measures "the extent to which people are socially integrated". Individualist social ties are loose and generally connect only individuals and their immediate families. They emphasize "I" and "we". In contrast, collectivism describes a society in which strong ties bind the extended family to others (Hofstede, Geert, 1991). Huawei, for example, believes that everyone is different and thinks in their way, so collectivism should allow for individualism. However, individualism must be in the collective interest of the collective (London Business School, n.d.). However, the Western dream consists of focusing on the individual's creativity, energy, and enterprising pursuits. The focus of the Chinese dream is not on celebrating individual ambitions and goals, but on realizing collective endeavour and pride. In the exchange, the proposal company emphasizes group cooperation and group goals to integrate into Chinese culture.</w:t>
      </w:r>
    </w:p>
    <w:p>
      <w:pPr>
        <w:ind w:firstLine="720"/>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For power distance, the power distance index is the extent to which members of organizations or institutions with less power, such as families, accept and expect an unequal distribution of power. While all societies are unequal to some degree, Hofstede says that some societies are relatively more equal than others. In highly power-distant societies, everyone accepts a place in the sequence without reason (Hofstede, Geert.). Alibaba, for example, has a leadership philosophy of "customers first, employees second, and shareholders third". The concept emphasizes value creation for customers, empowerment of employees, and long-term enhancement of shareholder value. In addition, creativity and risk-taking are valued, and experimentation and creative pursuits are rewarded. Alibaba is known for consistently realizing its core values and vision through regular communication with staff and customers (Leader, 2023). Chinese societies are typically power-distant, i.e., societies with a high level of respect and acceptance of authority. This means that leadership and authority should be demonstrated through communication and maintaining intimacy with staff.</w:t>
      </w:r>
    </w:p>
    <w:p>
      <w:pPr>
        <w:ind w:firstLine="720"/>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The Uncertainty Avoidance Index is defined as "social tolerance of ambiguity", i.e., acceptance or avoidance of accidents, uncertainty, and disengagement from the present. Societies that score high on this index choose strict norms, rules, and laws for action and tend to rely on absolute truths, or only one truth that determines everything and knows what is what. Societies that score low on the index are more receptive to other insights and ideas(Psychology 2023). For example, in Hofstede's Cultural Dimension of Uncertainty Avoidance, the Chinese nation scored a "30" on Uncertainty Avoidance (Alberici, 2016). China's low score on uncertainty avoidance implies a willingness to take the corresponding risks and uncertainties. In other words, companies should show flexibility and innovation in communication to adapt to change.</w:t>
      </w:r>
    </w:p>
    <w:p>
      <w:pPr>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Understanding and applying Hofstede's theory of cultural dimensions in international business communication is the key to successful expansion into the Chinese market. Emphasis on collectivism, moderate use of power distance, and flexibility in dealing with uncertainty will help build good business relationships. By analyzing the case studies of successful companies, valuable lessons can be learned to provide more specific guidance and advice to apparel retailers.</w:t>
      </w:r>
    </w:p>
    <w:p>
      <w:pPr>
        <w:ind w:firstLine="720"/>
        <w:rPr>
          <w:rFonts w:hint="default" w:ascii="Arial" w:hAnsi="Arial" w:cs="Arial"/>
          <w:sz w:val="24"/>
          <w:szCs w:val="24"/>
        </w:rPr>
      </w:pPr>
    </w:p>
    <w:p>
      <w:pPr>
        <w:pStyle w:val="3"/>
        <w:bidi w:val="0"/>
        <w:outlineLvl w:val="0"/>
        <w:rPr>
          <w:rFonts w:hint="default"/>
        </w:rPr>
      </w:pPr>
      <w:bookmarkStart w:id="4" w:name="_Toc429"/>
      <w:r>
        <w:rPr>
          <w:rFonts w:hint="default"/>
        </w:rPr>
        <w:t>2.2 – Skills Requirements</w:t>
      </w:r>
      <w:bookmarkEnd w:id="4"/>
    </w:p>
    <w:p>
      <w:pPr>
        <w:rPr>
          <w:rFonts w:hint="default" w:ascii="Arial" w:hAnsi="Arial" w:cs="Arial"/>
          <w:sz w:val="24"/>
          <w:szCs w:val="24"/>
        </w:rPr>
      </w:pPr>
      <w:r>
        <w:rPr>
          <w:rFonts w:hint="default" w:ascii="Arial" w:hAnsi="Arial" w:cs="Arial"/>
          <w:sz w:val="24"/>
          <w:szCs w:val="24"/>
        </w:rPr>
        <w:t>For skill requirements, in a business meeting or negotiation, the focus will be on non-verbal signals such as posture, expression, and eyes. This helps to richly convey information and build trust. Consider cultural differences with international colleagues. When communicating with people with different cultural backgrounds, it is important to understand the cultural norms and values that influence their actions. For example, as Chinese patriotism grows, brands need to be extra careful when dealing with politically sensitive content such as uncontested territorial boundary issues (DeGennaro, 2022). Use simple and clear language. When writing letters or conversing with people from other countries, make sure to use clear and concise language. This will help in proper understanding of the message. Avoid colloquialisms and idioms. Colloquial or idiomatic expressions are generally difficult to understand for people from other countries. Therefore, it is best to avoid them when communicating with international colleagues. Give us time to understand the requirements of international colleagues/customers. When conversing with people from other countries, it is important to take the time to understand their requirements. This allows for effective and efficient communication. Use appropriate communication channels In 2011, PepsiCo signed a Memorandum of Understanding with China's Ministry of Agriculture "to promote sustainable agriculture programs and accelerate rural development in China". To keep its commitment, PepsiCo opened eight sustainable demonstration farms to educate Chinese farmers on how to achieve sustainable cultivation (Briefing, 2018). Facilitating the company's growth in the Chinese market and opening the way for other well-known brands to follow suit</w:t>
      </w:r>
    </w:p>
    <w:p>
      <w:pPr>
        <w:rPr>
          <w:rFonts w:hint="default" w:ascii="Arial" w:hAnsi="Arial" w:cs="Arial"/>
          <w:sz w:val="24"/>
          <w:szCs w:val="24"/>
        </w:rPr>
      </w:pPr>
    </w:p>
    <w:p>
      <w:pPr>
        <w:pStyle w:val="3"/>
        <w:bidi w:val="0"/>
        <w:outlineLvl w:val="0"/>
        <w:rPr>
          <w:rFonts w:hint="default"/>
        </w:rPr>
      </w:pPr>
      <w:bookmarkStart w:id="5" w:name="_Toc20846"/>
      <w:r>
        <w:rPr>
          <w:rFonts w:hint="default"/>
        </w:rPr>
        <w:t>2.3 – Methods of Communication</w:t>
      </w:r>
      <w:bookmarkEnd w:id="5"/>
    </w:p>
    <w:p>
      <w:pPr>
        <w:rPr>
          <w:rFonts w:hint="default" w:ascii="Arial" w:hAnsi="Arial" w:cs="Arial"/>
          <w:sz w:val="24"/>
          <w:szCs w:val="24"/>
        </w:rPr>
      </w:pPr>
      <w:r>
        <w:rPr>
          <w:rFonts w:hint="default" w:ascii="Arial" w:hAnsi="Arial" w:cs="Arial"/>
          <w:sz w:val="24"/>
          <w:szCs w:val="24"/>
        </w:rPr>
        <w:t>Edward T. Hall's high and low context theory divides cultural communication into high and low contexts. High-language cultures typically exhibit less direct verbal and non-verbal communication, use small gestures, and interpret more meaning in less direct messages. In contrast, in low language environments, direct verbal communication is necessary to properly understand the message being conveyed, relying heavily on explicit verbal techniques (Wikipedia contributors, 2023). Understanding the differences between high and low contexts is critical to successful international business communication when expanding a business into the Chinese market.</w:t>
      </w:r>
    </w:p>
    <w:p>
      <w:pPr>
        <w:ind w:firstLine="720"/>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The Chinese tend to rely on subtle hints or non-verbal messages for indirect communication. This means that they don't always say what they mean directly, but rather expect others to infer what they mean from the following sentence. This type of communication can be very difficult to understand for people who are not familiar with Chinese culture (Sharer &amp; Sharer, 2023). China is a high-context culture, so in international business communication clothing retailers can use the following methods: non-verbal communication used to convey accurate messages, and non-verbal elements such as gestures, facial expressions, glances, and emphasis. Pay attention to non-verbal feedback in business meetings to better understand the attitudes and intentions of participants. Pay attention to the context, both documented and verbal, and provide appropriate background information to confirm that the message is being understood correctly. Consider using events, storylines, and symbolic language to make the message more vivid and easier to understand. Be adept at using ambiguity, avoid relying only on direct expression, and pay attention to ambiguity and indirect allusions. Understanding and reading self-explanatory messages is important for building trust and relationships in the Chinese market. An interesting example of this is the success of Starbucks in the Chinese market. Incorporating coffee culture into traditional Chinese culture, creating a comfortable environment, using locally flavored products, and focusing on customers' non-verbal needs have successfully attracted Chinese consumers (Zakkour, 2017).</w:t>
      </w:r>
    </w:p>
    <w:p>
      <w:pPr>
        <w:rPr>
          <w:rFonts w:hint="default" w:ascii="Arial" w:hAnsi="Arial" w:cs="Arial"/>
          <w:sz w:val="24"/>
          <w:szCs w:val="24"/>
        </w:rPr>
      </w:pPr>
    </w:p>
    <w:p>
      <w:pPr>
        <w:pStyle w:val="3"/>
        <w:bidi w:val="0"/>
        <w:outlineLvl w:val="0"/>
        <w:rPr>
          <w:rFonts w:hint="default"/>
        </w:rPr>
      </w:pPr>
      <w:bookmarkStart w:id="6" w:name="_Toc7730"/>
      <w:r>
        <w:rPr>
          <w:rFonts w:hint="default"/>
        </w:rPr>
        <w:t>2.4 – Effective Communication</w:t>
      </w:r>
      <w:bookmarkEnd w:id="6"/>
    </w:p>
    <w:p>
      <w:pPr>
        <w:rPr>
          <w:rFonts w:hint="default" w:ascii="Arial" w:hAnsi="Arial" w:cs="Arial"/>
          <w:sz w:val="24"/>
          <w:szCs w:val="24"/>
        </w:rPr>
      </w:pPr>
      <w:r>
        <w:rPr>
          <w:rFonts w:hint="default" w:ascii="Arial" w:hAnsi="Arial" w:cs="Arial"/>
          <w:sz w:val="24"/>
          <w:szCs w:val="24"/>
        </w:rPr>
        <w:t>Effective communication in the Chinese market by international business strongholds brings many advantages for company expansion, such as improved customer service and relationships. Clear international communication is important to minimize misunderstandings and conflicts. If everyone is on the same page, there will be less frustration and fewer communication conflicts between companies.</w:t>
      </w:r>
    </w:p>
    <w:p>
      <w:pPr>
        <w:rPr>
          <w:rFonts w:hint="default" w:ascii="Arial" w:hAnsi="Arial" w:cs="Arial"/>
          <w:sz w:val="24"/>
          <w:szCs w:val="24"/>
        </w:rPr>
      </w:pPr>
    </w:p>
    <w:p>
      <w:pPr>
        <w:pStyle w:val="3"/>
        <w:bidi w:val="0"/>
        <w:outlineLvl w:val="0"/>
        <w:rPr>
          <w:rFonts w:hint="default"/>
        </w:rPr>
      </w:pPr>
      <w:bookmarkStart w:id="7" w:name="_Toc21185"/>
      <w:r>
        <w:rPr>
          <w:rFonts w:hint="default"/>
        </w:rPr>
        <w:t>2.5 – International Culture</w:t>
      </w:r>
      <w:bookmarkEnd w:id="7"/>
    </w:p>
    <w:p>
      <w:pPr>
        <w:rPr>
          <w:rFonts w:hint="default" w:ascii="Arial" w:hAnsi="Arial" w:cs="Arial"/>
          <w:sz w:val="24"/>
          <w:szCs w:val="24"/>
        </w:rPr>
      </w:pPr>
      <w:r>
        <w:rPr>
          <w:rFonts w:hint="default" w:ascii="Arial" w:hAnsi="Arial" w:cs="Arial"/>
          <w:sz w:val="24"/>
          <w:szCs w:val="24"/>
        </w:rPr>
        <w:t>The Trompenaars Model of National Cultural Differences is a multicultural communication framework developed by Fons Trompenaars and Charles Hampden-Turner Business and Operations Management. They have different cultures that are randomized and not only they are quite specific, but even predictable in terms of the differences (MindTools | Home, n.d.). This is because each culture has its way of thinking, values and beliefs, and preferences based on a variety of factors. Such patterns of national cultural differences are universalism vs. particularism, individualism vs. communitarianism, neutrality vs. affection, specificity vs. diffusion, achievement vs. belonging, sequential period motivation, and internal vs. external orientation (G, 2022).</w:t>
      </w:r>
    </w:p>
    <w:p>
      <w:pPr>
        <w:ind w:firstLine="720"/>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For universalism vs. particularism, universalism is the belief that ideas and practices can be applied anywhere without modification, and particularism is the belief that context and environment determine the application of ideas and practices (G, 2022b).</w:t>
      </w:r>
    </w:p>
    <w:p>
      <w:pPr>
        <w:ind w:firstLine="720"/>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For individualism vs. communitarianism, individualism is when people see themselves as individuals and collectivism is when people see themselves as part of a collective (Beanstalk, n.d.). In the Chinese market, collectivism is more important. Teamwork and common interests are emphasized.</w:t>
      </w:r>
    </w:p>
    <w:p>
      <w:pPr>
        <w:ind w:firstLine="720"/>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For neutrality vs. effect, individualism is when people see themselves as individuals and collectivism is when people see themselves as part of a collective (MBA).</w:t>
      </w:r>
    </w:p>
    <w:p>
      <w:pPr>
        <w:ind w:firstLine="720"/>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For specificity vs. diffusion, specific cultures have large public spaces that individuals can easily share with others, while small private spaces are shared and guarded only with close friends or coworkers.</w:t>
      </w:r>
    </w:p>
    <w:p>
      <w:pPr>
        <w:ind w:firstLine="720"/>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For Achievement vs. Belonging, in achievement cultures, people receive status based on their ability to perform their functions. In belonging cultures, status depends on who is who. Chinese culture tends to be belonging-oriented, emphasizing a sense of belonging to a team and a common goal.</w:t>
      </w:r>
    </w:p>
    <w:p>
      <w:pPr>
        <w:ind w:firstLine="720"/>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For sequential versus synchronized time, sequential time cultures are cultures in which people prefer events to occur in chronological order. Punctuality is very popular and their lives are based on specific and clear deadlines; time is very important in this culture.</w:t>
      </w:r>
    </w:p>
    <w:p>
      <w:pPr>
        <w:ind w:firstLine="720"/>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For internal versus external orientation, we are in control of our environment or are we controlled by it? In an internally oriented culture, people believe in controlling outcomes and have a dominant attitude toward their environment.</w:t>
      </w:r>
    </w:p>
    <w:p>
      <w:pPr>
        <w:rPr>
          <w:rFonts w:hint="default" w:ascii="Arial" w:hAnsi="Arial" w:cs="Arial"/>
          <w:sz w:val="24"/>
          <w:szCs w:val="24"/>
        </w:rPr>
      </w:pPr>
    </w:p>
    <w:p>
      <w:pPr>
        <w:pStyle w:val="3"/>
        <w:bidi w:val="0"/>
        <w:rPr>
          <w:rFonts w:hint="default"/>
        </w:rPr>
      </w:pPr>
      <w:bookmarkStart w:id="8" w:name="_Toc14259"/>
      <w:r>
        <w:rPr>
          <w:rFonts w:hint="default"/>
        </w:rPr>
        <w:t>2.6 – Importance of Building Relationships</w:t>
      </w:r>
      <w:bookmarkEnd w:id="8"/>
    </w:p>
    <w:p>
      <w:pPr>
        <w:rPr>
          <w:rFonts w:hint="default" w:ascii="Arial" w:hAnsi="Arial" w:cs="Arial"/>
          <w:sz w:val="24"/>
          <w:szCs w:val="24"/>
        </w:rPr>
      </w:pPr>
      <w:r>
        <w:rPr>
          <w:rFonts w:hint="default" w:ascii="Arial" w:hAnsi="Arial" w:cs="Arial"/>
          <w:sz w:val="24"/>
          <w:szCs w:val="24"/>
        </w:rPr>
        <w:t>International business communication is an important part of information exchange and cooperation in international trade and business activities. Effective international business exchanges help to promote business cooperation, increase business opportunities, improve work efficiency, and establish good business relations. Good international business communication can promote communication and cooperation among other countries. Through communication, enterprises in different countries can understand each other's market conditions and needs for laws and regulations, so that they can carry out business activities more effectively. For example, ZRAR's success in the Chinese market is partly due to focusing on a strong supply chain and partnerships.ZRAR has 22 factories that allow it to produce quickly in response to market demand while ensuring efficiency and reducing unnecessary inventory (zhu, 2022). In addition, international business communication is an important means of solving problems and dealing with disputes. When problems arise in business activities, disputes can be effectively resolved through timely communication and negotiation, easing tensions and avoiding loss of benefits. International business communication is very important to the development and success of enterprises. Each country has different cultures, habits, values, etc., so these factors should be properly considered and communicated to avoid misunderstandings and conflicts.</w:t>
      </w:r>
    </w:p>
    <w:p>
      <w:pPr>
        <w:rPr>
          <w:rFonts w:hint="default" w:ascii="Arial" w:hAnsi="Arial" w:cs="Arial"/>
          <w:sz w:val="24"/>
          <w:szCs w:val="24"/>
        </w:rPr>
      </w:pPr>
    </w:p>
    <w:p>
      <w:pPr>
        <w:pStyle w:val="3"/>
        <w:bidi w:val="0"/>
        <w:outlineLvl w:val="0"/>
        <w:rPr>
          <w:rFonts w:hint="default"/>
        </w:rPr>
      </w:pPr>
      <w:bookmarkStart w:id="9" w:name="_Toc18289"/>
      <w:r>
        <w:rPr>
          <w:rFonts w:hint="default"/>
        </w:rPr>
        <w:t>2.7 – How to Build Trust</w:t>
      </w:r>
      <w:bookmarkEnd w:id="9"/>
    </w:p>
    <w:p>
      <w:pPr>
        <w:rPr>
          <w:rFonts w:hint="default" w:ascii="Arial" w:hAnsi="Arial" w:cs="Arial"/>
          <w:sz w:val="24"/>
          <w:szCs w:val="24"/>
        </w:rPr>
      </w:pPr>
      <w:r>
        <w:rPr>
          <w:rFonts w:hint="default" w:ascii="Arial" w:hAnsi="Arial" w:cs="Arial"/>
          <w:sz w:val="24"/>
          <w:szCs w:val="24"/>
        </w:rPr>
        <w:t>Trust is the social glue that holds business relationships together. Business partners who trust each other spend less time and energy protecting themselves from exploitation, and both sides negotiate better economic outcomes. For example, German automaker BMW and e-commerce giant Alibaba are teaming up to form a unique strategic alliance that will benefit China's high-end mobility industry, according to China Daily. The two companies are establishing an "innovation base" in Shanghai to help nurture tech startups to commercialize technological innovations. BMW is demonstrating its commitment to the Chinese market by establishing strategic alliances with local partners. This strategic cooperation helps to build trust between partners and achieve success in the market (Makichuk, 2020). Trust is the social glue that holds business relationships together. Managers from Western cultures stated that they usually find potential new business partners trustworthy, while managers from East Asian cultures explained that they carefully evaluate the capabilities of potential partners (Brett, 2021). This difference is related to two cultural factors. By working closely with local partners and participating in local cultural and social activities, companies can earn the trust of the Chinese market. The case of successful companies such as BMW shows that building trust is a gradual process that takes time and long-term commitment.</w:t>
      </w:r>
    </w:p>
    <w:p>
      <w:pPr>
        <w:rPr>
          <w:rFonts w:hint="default" w:ascii="Arial" w:hAnsi="Arial" w:cs="Arial"/>
          <w:sz w:val="24"/>
          <w:szCs w:val="24"/>
        </w:rPr>
      </w:pPr>
    </w:p>
    <w:p>
      <w:pPr>
        <w:pStyle w:val="3"/>
        <w:bidi w:val="0"/>
        <w:outlineLvl w:val="0"/>
        <w:rPr>
          <w:rFonts w:hint="default"/>
        </w:rPr>
      </w:pPr>
      <w:bookmarkStart w:id="10" w:name="_Toc18733"/>
      <w:r>
        <w:rPr>
          <w:rFonts w:hint="default"/>
        </w:rPr>
        <w:t>2.8 – Failed Relationships</w:t>
      </w:r>
      <w:bookmarkEnd w:id="10"/>
      <w:r>
        <w:rPr>
          <w:rFonts w:hint="default"/>
        </w:rPr>
        <w:t xml:space="preserve"> </w:t>
      </w:r>
    </w:p>
    <w:p>
      <w:pPr>
        <w:rPr>
          <w:rFonts w:hint="default" w:ascii="Arial" w:hAnsi="Arial" w:cs="Arial"/>
          <w:sz w:val="24"/>
          <w:szCs w:val="24"/>
        </w:rPr>
      </w:pPr>
      <w:r>
        <w:rPr>
          <w:rFonts w:hint="default" w:ascii="Arial" w:hAnsi="Arial" w:cs="Arial"/>
          <w:sz w:val="24"/>
          <w:szCs w:val="24"/>
        </w:rPr>
        <w:t>When expanding your business into the Chinese market, it is important to avoid contact failures. The two requisites for effective crisis management are planning and teamwork. However, even the best-laid plans can fail. Business communication barriers can occur when organizations move away from exemplary examples of internal communication. The result may be a glitch in the workplace, but sometimes the impact is more serious: workflow is disrupted, brand reputation is negatively impacted, and the value proposition declines. Companies large and small are vulnerable to controversial communication crises. Cultural differences, language barriers, non-verbal communication, and multicultural communication training are among the many reasons for international business communication failures that companies should avoid. As an example of cultural differences, in 2019, the Italian luxury brand Burberry launched a new brand called "TB" in the Chinese market. However, the brand's advertisements were deemed offensive by Chinese consumers because it used a logo similar to the one used during the Chinese Cultural Revolution (Case Studies in Intercultural Communication, n.d.).</w:t>
      </w:r>
    </w:p>
    <w:p>
      <w:pPr>
        <w:ind w:firstLine="720"/>
        <w:rPr>
          <w:rFonts w:hint="default" w:ascii="Arial" w:hAnsi="Arial" w:cs="Arial"/>
          <w:sz w:val="24"/>
          <w:szCs w:val="24"/>
        </w:rPr>
      </w:pPr>
    </w:p>
    <w:p>
      <w:pPr>
        <w:ind w:firstLine="720"/>
        <w:rPr>
          <w:rFonts w:hint="default" w:ascii="Arial" w:hAnsi="Arial" w:cs="Arial"/>
          <w:sz w:val="24"/>
          <w:szCs w:val="24"/>
        </w:rPr>
      </w:pPr>
    </w:p>
    <w:p>
      <w:pPr>
        <w:ind w:firstLine="720"/>
        <w:rPr>
          <w:rFonts w:hint="default" w:ascii="Arial" w:hAnsi="Arial" w:cs="Arial"/>
          <w:sz w:val="24"/>
          <w:szCs w:val="24"/>
        </w:rPr>
      </w:pPr>
    </w:p>
    <w:p>
      <w:pPr>
        <w:pStyle w:val="3"/>
        <w:bidi w:val="0"/>
        <w:outlineLvl w:val="0"/>
        <w:rPr>
          <w:rFonts w:hint="default"/>
        </w:rPr>
      </w:pPr>
      <w:bookmarkStart w:id="11" w:name="_Toc11015"/>
      <w:r>
        <w:rPr>
          <w:rFonts w:hint="default"/>
        </w:rPr>
        <w:t>3.0 – Conclusions</w:t>
      </w:r>
      <w:bookmarkEnd w:id="11"/>
    </w:p>
    <w:p>
      <w:pPr>
        <w:rPr>
          <w:rFonts w:hint="default" w:ascii="Arial" w:hAnsi="Arial" w:cs="Arial"/>
          <w:sz w:val="24"/>
          <w:szCs w:val="24"/>
        </w:rPr>
      </w:pPr>
      <w:r>
        <w:rPr>
          <w:rFonts w:hint="default" w:ascii="Arial" w:hAnsi="Arial" w:cs="Arial"/>
          <w:sz w:val="24"/>
          <w:szCs w:val="24"/>
        </w:rPr>
        <w:t>In conclusion, the complexity of international business communication and the impact of cultural dimensions cannot be overemphasized, especially when considering entering a market with a unique cultural environment such as China. By embracing the principles of cultural dimensions theory and implementing effective communication strategies, companies can bridge cultural gaps, build trust, and cultivate meaningful relationships with Chinese stakeholders. As companies continue to expand globally, the ability to navigate multicultural environments and communicate effectively across borders will become a determining factor in corporate success. Therefore, for companies to thrive in the dynamic and competitive Chinese marketplace, they must recognize the impact of cultural dimensions and adapt their communication methods accordingly.</w:t>
      </w: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pStyle w:val="2"/>
        <w:bidi w:val="0"/>
        <w:rPr>
          <w:rFonts w:hint="default" w:ascii="Arial" w:hAnsi="Arial" w:cs="Arial"/>
          <w:b/>
          <w:bCs/>
          <w:color w:val="auto"/>
        </w:rPr>
      </w:pPr>
      <w:bookmarkStart w:id="12" w:name="_Toc8826"/>
      <w:r>
        <w:rPr>
          <w:rFonts w:hint="default" w:ascii="Arial" w:hAnsi="Arial" w:cs="Arial"/>
          <w:b/>
          <w:bCs/>
          <w:color w:val="auto"/>
        </w:rPr>
        <w:t>References</w:t>
      </w:r>
      <w:bookmarkEnd w:id="12"/>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r>
        <w:rPr>
          <w:rFonts w:hint="default" w:ascii="Arial" w:hAnsi="Arial" w:cs="Arial"/>
          <w:sz w:val="24"/>
          <w:szCs w:val="24"/>
        </w:rPr>
        <w:t xml:space="preserve">Agodzo, D. (2015). Six Approaches to understanding National Cultures: Hofstede’s Cultural Dimensions. </w:t>
      </w:r>
      <w:r>
        <w:rPr>
          <w:rFonts w:hint="default" w:ascii="Arial" w:hAnsi="Arial" w:cs="Arial"/>
          <w:i/>
          <w:iCs/>
          <w:sz w:val="24"/>
          <w:szCs w:val="24"/>
        </w:rPr>
        <w:t>ResearchGate</w:t>
      </w:r>
      <w:r>
        <w:rPr>
          <w:rFonts w:hint="default" w:ascii="Arial" w:hAnsi="Arial" w:cs="Arial"/>
          <w:sz w:val="24"/>
          <w:szCs w:val="24"/>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"https://doi.org/10.13140/RG.2.1.5041.8009" </w:instrText>
      </w:r>
      <w:r>
        <w:rPr>
          <w:rFonts w:hint="default" w:ascii="Arial" w:hAnsi="Arial" w:cs="Arial"/>
          <w:sz w:val="24"/>
          <w:szCs w:val="24"/>
        </w:rPr>
        <w:fldChar w:fldCharType="separate"/>
      </w:r>
      <w:r>
        <w:rPr>
          <w:rStyle w:val="11"/>
          <w:rFonts w:hint="default" w:ascii="Arial" w:hAnsi="Arial" w:cs="Arial"/>
          <w:sz w:val="24"/>
          <w:szCs w:val="24"/>
        </w:rPr>
        <w:t>https://doi.org/10.13140/RG.2.1.5041.8009</w:t>
      </w:r>
      <w:r>
        <w:rPr>
          <w:rFonts w:hint="default" w:ascii="Arial" w:hAnsi="Arial" w:cs="Arial"/>
          <w:sz w:val="24"/>
          <w:szCs w:val="24"/>
        </w:rPr>
        <w:fldChar w:fldCharType="end"/>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r>
        <w:rPr>
          <w:rFonts w:hint="default" w:ascii="Arial" w:hAnsi="Arial" w:cs="Arial"/>
          <w:sz w:val="24"/>
          <w:szCs w:val="24"/>
        </w:rPr>
        <w:t xml:space="preserve">Alberici, C. (2016, October 29). </w:t>
      </w:r>
      <w:r>
        <w:rPr>
          <w:rFonts w:hint="default" w:ascii="Arial" w:hAnsi="Arial" w:cs="Arial"/>
          <w:i/>
          <w:iCs/>
          <w:sz w:val="24"/>
          <w:szCs w:val="24"/>
        </w:rPr>
        <w:t>China in respect to Hofstede’s Cultural dimensions model, lesson 10</w:t>
      </w:r>
      <w:r>
        <w:rPr>
          <w:rFonts w:hint="default" w:ascii="Arial" w:hAnsi="Arial" w:cs="Arial"/>
          <w:sz w:val="24"/>
          <w:szCs w:val="24"/>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"https://sites.psu.edu/global/2016/10/29/china-in-respect-to-hofstedes-cultural-dimensions-model-lesson-10/" </w:instrText>
      </w:r>
      <w:r>
        <w:rPr>
          <w:rFonts w:hint="default" w:ascii="Arial" w:hAnsi="Arial" w:cs="Arial"/>
          <w:sz w:val="24"/>
          <w:szCs w:val="24"/>
        </w:rPr>
        <w:fldChar w:fldCharType="separate"/>
      </w:r>
      <w:r>
        <w:rPr>
          <w:rStyle w:val="11"/>
          <w:rFonts w:hint="default" w:ascii="Arial" w:hAnsi="Arial" w:cs="Arial"/>
          <w:sz w:val="24"/>
          <w:szCs w:val="24"/>
        </w:rPr>
        <w:t>https://sites.psu.edu/global/2016/10/29/china-in-respect-to-hofstedes-cultural-dimensions-model-lesson-10/</w:t>
      </w:r>
      <w:r>
        <w:rPr>
          <w:rFonts w:hint="default" w:ascii="Arial" w:hAnsi="Arial" w:cs="Arial"/>
          <w:sz w:val="24"/>
          <w:szCs w:val="24"/>
        </w:rPr>
        <w:fldChar w:fldCharType="end"/>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r>
        <w:rPr>
          <w:rFonts w:hint="default" w:ascii="Arial" w:hAnsi="Arial" w:cs="Arial"/>
          <w:sz w:val="24"/>
          <w:szCs w:val="24"/>
        </w:rPr>
        <w:t xml:space="preserve">Brett, J. M. (2021, September 17). </w:t>
      </w:r>
      <w:r>
        <w:rPr>
          <w:rFonts w:hint="default" w:ascii="Arial" w:hAnsi="Arial" w:cs="Arial"/>
          <w:i/>
          <w:iCs/>
          <w:sz w:val="24"/>
          <w:szCs w:val="24"/>
        </w:rPr>
        <w:t>Research: How to Build Trust with Business Partners from Other Cultures</w:t>
      </w:r>
      <w:r>
        <w:rPr>
          <w:rFonts w:hint="default" w:ascii="Arial" w:hAnsi="Arial" w:cs="Arial"/>
          <w:sz w:val="24"/>
          <w:szCs w:val="24"/>
        </w:rPr>
        <w:t xml:space="preserve">. Harvard Business Review. </w:t>
      </w:r>
      <w:r>
        <w:rPr>
          <w:rFonts w:hint="default" w:ascii="Arial" w:hAnsi="Arial" w:cs="Arial"/>
          <w:sz w:val="24"/>
          <w:szCs w:val="24"/>
        </w:rPr>
        <w:fldChar w:fldCharType="begin"/>
      </w:r>
      <w:r>
        <w:rPr>
          <w:rFonts w:hint="default" w:ascii="Arial" w:hAnsi="Arial" w:cs="Arial"/>
          <w:sz w:val="24"/>
          <w:szCs w:val="24"/>
        </w:rPr>
        <w:instrText xml:space="preserve"> HYPERLINK "https://hbr.org/2020/01/research-how-to-build-trust-with-business-partners-from-other-cultures" </w:instrText>
      </w:r>
      <w:r>
        <w:rPr>
          <w:rFonts w:hint="default" w:ascii="Arial" w:hAnsi="Arial" w:cs="Arial"/>
          <w:sz w:val="24"/>
          <w:szCs w:val="24"/>
        </w:rPr>
        <w:fldChar w:fldCharType="separate"/>
      </w:r>
      <w:r>
        <w:rPr>
          <w:rStyle w:val="11"/>
          <w:rFonts w:hint="default" w:ascii="Arial" w:hAnsi="Arial" w:cs="Arial"/>
          <w:sz w:val="24"/>
          <w:szCs w:val="24"/>
        </w:rPr>
        <w:t>https://hbr.org/2020/01/research-how-to-build-trust-with-business-partners-from-other-cultures</w:t>
      </w:r>
      <w:r>
        <w:rPr>
          <w:rFonts w:hint="default" w:ascii="Arial" w:hAnsi="Arial" w:cs="Arial"/>
          <w:sz w:val="24"/>
          <w:szCs w:val="24"/>
        </w:rPr>
        <w:fldChar w:fldCharType="end"/>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r>
        <w:rPr>
          <w:rFonts w:hint="default" w:ascii="Arial" w:hAnsi="Arial" w:cs="Arial"/>
          <w:sz w:val="24"/>
          <w:szCs w:val="24"/>
        </w:rPr>
        <w:t xml:space="preserve">Briefing, C. (2018, October 2). </w:t>
      </w:r>
      <w:r>
        <w:rPr>
          <w:rFonts w:hint="default" w:ascii="Arial" w:hAnsi="Arial" w:cs="Arial"/>
          <w:i/>
          <w:iCs/>
          <w:sz w:val="24"/>
          <w:szCs w:val="24"/>
        </w:rPr>
        <w:t>Coca-Cola in China strategy: Key lessons for building a beverage brand</w:t>
      </w:r>
      <w:r>
        <w:rPr>
          <w:rFonts w:hint="default" w:ascii="Arial" w:hAnsi="Arial" w:cs="Arial"/>
          <w:sz w:val="24"/>
          <w:szCs w:val="24"/>
        </w:rPr>
        <w:t xml:space="preserve">. China Briefing News. </w:t>
      </w:r>
      <w:r>
        <w:rPr>
          <w:rFonts w:hint="default" w:ascii="Arial" w:hAnsi="Arial" w:cs="Arial"/>
          <w:sz w:val="24"/>
          <w:szCs w:val="24"/>
        </w:rPr>
        <w:fldChar w:fldCharType="begin"/>
      </w:r>
      <w:r>
        <w:rPr>
          <w:rFonts w:hint="default" w:ascii="Arial" w:hAnsi="Arial" w:cs="Arial"/>
          <w:sz w:val="24"/>
          <w:szCs w:val="24"/>
        </w:rPr>
        <w:instrText xml:space="preserve"> HYPERLINK "https://www.china-briefing.com/news/understanding-brand-building-in-china-lessons-from-the-rise-of-coca-cola/" </w:instrText>
      </w:r>
      <w:r>
        <w:rPr>
          <w:rFonts w:hint="default" w:ascii="Arial" w:hAnsi="Arial" w:cs="Arial"/>
          <w:sz w:val="24"/>
          <w:szCs w:val="24"/>
        </w:rPr>
        <w:fldChar w:fldCharType="separate"/>
      </w:r>
      <w:r>
        <w:rPr>
          <w:rStyle w:val="11"/>
          <w:rFonts w:hint="default" w:ascii="Arial" w:hAnsi="Arial" w:cs="Arial"/>
          <w:sz w:val="24"/>
          <w:szCs w:val="24"/>
        </w:rPr>
        <w:t>https://www.china-briefing.com/news/understanding-brand-building-in-china-lessons-from-the-rise-of-coca-cola/</w:t>
      </w:r>
      <w:r>
        <w:rPr>
          <w:rFonts w:hint="default" w:ascii="Arial" w:hAnsi="Arial" w:cs="Arial"/>
          <w:sz w:val="24"/>
          <w:szCs w:val="24"/>
        </w:rPr>
        <w:fldChar w:fldCharType="end"/>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r>
        <w:rPr>
          <w:rFonts w:hint="default" w:ascii="Arial" w:hAnsi="Arial" w:cs="Arial"/>
          <w:i/>
          <w:iCs/>
          <w:sz w:val="24"/>
          <w:szCs w:val="24"/>
        </w:rPr>
        <w:t>Case studies in Intercultural communication</w:t>
      </w:r>
      <w:r>
        <w:rPr>
          <w:rFonts w:hint="default" w:ascii="Arial" w:hAnsi="Arial" w:cs="Arial"/>
          <w:sz w:val="24"/>
          <w:szCs w:val="24"/>
        </w:rPr>
        <w:t xml:space="preserve">. (n.d.). USI Master of Advanced Studies MIC. </w:t>
      </w:r>
      <w:r>
        <w:rPr>
          <w:rFonts w:hint="default" w:ascii="Arial" w:hAnsi="Arial" w:cs="Arial"/>
          <w:sz w:val="24"/>
          <w:szCs w:val="24"/>
        </w:rPr>
        <w:fldChar w:fldCharType="begin"/>
      </w:r>
      <w:r>
        <w:rPr>
          <w:rFonts w:hint="default" w:ascii="Arial" w:hAnsi="Arial" w:cs="Arial"/>
          <w:sz w:val="24"/>
          <w:szCs w:val="24"/>
        </w:rPr>
        <w:instrText xml:space="preserve"> HYPERLINK "https://www.mic.usi.ch/case-studies-intercultural-communication" </w:instrText>
      </w:r>
      <w:r>
        <w:rPr>
          <w:rFonts w:hint="default" w:ascii="Arial" w:hAnsi="Arial" w:cs="Arial"/>
          <w:sz w:val="24"/>
          <w:szCs w:val="24"/>
        </w:rPr>
        <w:fldChar w:fldCharType="separate"/>
      </w:r>
      <w:r>
        <w:rPr>
          <w:rStyle w:val="11"/>
          <w:rFonts w:hint="default" w:ascii="Arial" w:hAnsi="Arial" w:cs="Arial"/>
          <w:sz w:val="24"/>
          <w:szCs w:val="24"/>
        </w:rPr>
        <w:t>https://www.mic.usi.ch/case-studies-intercultural-communication</w:t>
      </w:r>
      <w:r>
        <w:rPr>
          <w:rFonts w:hint="default" w:ascii="Arial" w:hAnsi="Arial" w:cs="Arial"/>
          <w:sz w:val="24"/>
          <w:szCs w:val="24"/>
        </w:rPr>
        <w:fldChar w:fldCharType="end"/>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r>
        <w:rPr>
          <w:rFonts w:hint="default" w:ascii="Arial" w:hAnsi="Arial" w:cs="Arial"/>
          <w:sz w:val="24"/>
          <w:szCs w:val="24"/>
        </w:rPr>
        <w:t xml:space="preserve">DeGennaro, A. (2022, September 26). </w:t>
      </w:r>
      <w:r>
        <w:rPr>
          <w:rFonts w:hint="default" w:ascii="Arial" w:hAnsi="Arial" w:cs="Arial"/>
          <w:i/>
          <w:iCs/>
          <w:sz w:val="24"/>
          <w:szCs w:val="24"/>
        </w:rPr>
        <w:t>The key to marketing in China: cultural sensitivity</w:t>
      </w:r>
      <w:r>
        <w:rPr>
          <w:rFonts w:hint="default" w:ascii="Arial" w:hAnsi="Arial" w:cs="Arial"/>
          <w:sz w:val="24"/>
          <w:szCs w:val="24"/>
        </w:rPr>
        <w:t xml:space="preserve">. Digital Agency Network. </w:t>
      </w:r>
      <w:r>
        <w:rPr>
          <w:rFonts w:hint="default" w:ascii="Arial" w:hAnsi="Arial" w:cs="Arial"/>
          <w:sz w:val="24"/>
          <w:szCs w:val="24"/>
        </w:rPr>
        <w:fldChar w:fldCharType="begin"/>
      </w:r>
      <w:r>
        <w:rPr>
          <w:rFonts w:hint="default" w:ascii="Arial" w:hAnsi="Arial" w:cs="Arial"/>
          <w:sz w:val="24"/>
          <w:szCs w:val="24"/>
        </w:rPr>
        <w:instrText xml:space="preserve"> HYPERLINK "https://digitalagencynetwork.com/the-key-to-marketing-in-china-cultural-sensitivity/" </w:instrText>
      </w:r>
      <w:r>
        <w:rPr>
          <w:rFonts w:hint="default" w:ascii="Arial" w:hAnsi="Arial" w:cs="Arial"/>
          <w:sz w:val="24"/>
          <w:szCs w:val="24"/>
        </w:rPr>
        <w:fldChar w:fldCharType="separate"/>
      </w:r>
      <w:r>
        <w:rPr>
          <w:rStyle w:val="11"/>
          <w:rFonts w:hint="default" w:ascii="Arial" w:hAnsi="Arial" w:cs="Arial"/>
          <w:sz w:val="24"/>
          <w:szCs w:val="24"/>
        </w:rPr>
        <w:t>https://digitalagencynetwork.com/the-key-to-marketing-in-china-cultural-sensitivity/</w:t>
      </w:r>
      <w:r>
        <w:rPr>
          <w:rFonts w:hint="default" w:ascii="Arial" w:hAnsi="Arial" w:cs="Arial"/>
          <w:sz w:val="24"/>
          <w:szCs w:val="24"/>
        </w:rPr>
        <w:fldChar w:fldCharType="end"/>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r>
        <w:rPr>
          <w:rFonts w:hint="default" w:ascii="Arial" w:hAnsi="Arial" w:cs="Arial"/>
          <w:sz w:val="24"/>
          <w:szCs w:val="24"/>
        </w:rPr>
        <w:t xml:space="preserve">G, D. (2022a, November 23). </w:t>
      </w:r>
      <w:r>
        <w:rPr>
          <w:rFonts w:hint="default" w:ascii="Arial" w:hAnsi="Arial" w:cs="Arial"/>
          <w:i/>
          <w:iCs/>
          <w:sz w:val="24"/>
          <w:szCs w:val="24"/>
        </w:rPr>
        <w:t>Trompenaars Cultural Dimensions - The 7 Dimensions of Culture</w:t>
      </w:r>
      <w:r>
        <w:rPr>
          <w:rFonts w:hint="default" w:ascii="Arial" w:hAnsi="Arial" w:cs="Arial"/>
          <w:sz w:val="24"/>
          <w:szCs w:val="24"/>
        </w:rPr>
        <w:t xml:space="preserve">. Expert. </w:t>
      </w:r>
      <w:r>
        <w:rPr>
          <w:rFonts w:hint="default" w:ascii="Arial" w:hAnsi="Arial" w:cs="Arial"/>
          <w:sz w:val="24"/>
          <w:szCs w:val="24"/>
        </w:rPr>
        <w:fldChar w:fldCharType="begin"/>
      </w:r>
      <w:r>
        <w:rPr>
          <w:rFonts w:hint="default" w:ascii="Arial" w:hAnsi="Arial" w:cs="Arial"/>
          <w:sz w:val="24"/>
          <w:szCs w:val="24"/>
        </w:rPr>
        <w:instrText xml:space="preserve"> HYPERLINK "https://expertprogrammanagement.com/2017/10/trompenaars-cultural-dimensions/" </w:instrText>
      </w:r>
      <w:r>
        <w:rPr>
          <w:rFonts w:hint="default" w:ascii="Arial" w:hAnsi="Arial" w:cs="Arial"/>
          <w:sz w:val="24"/>
          <w:szCs w:val="24"/>
        </w:rPr>
        <w:fldChar w:fldCharType="separate"/>
      </w:r>
      <w:r>
        <w:rPr>
          <w:rStyle w:val="11"/>
          <w:rFonts w:hint="default" w:ascii="Arial" w:hAnsi="Arial" w:cs="Arial"/>
          <w:sz w:val="24"/>
          <w:szCs w:val="24"/>
        </w:rPr>
        <w:t>https://expertprogrammanagement.com/2017/10/trompenaars-cultural-dimensions/</w:t>
      </w:r>
      <w:r>
        <w:rPr>
          <w:rFonts w:hint="default" w:ascii="Arial" w:hAnsi="Arial" w:cs="Arial"/>
          <w:sz w:val="24"/>
          <w:szCs w:val="24"/>
        </w:rPr>
        <w:fldChar w:fldCharType="end"/>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r>
        <w:rPr>
          <w:rFonts w:hint="default" w:ascii="Arial" w:hAnsi="Arial" w:cs="Arial"/>
          <w:sz w:val="24"/>
          <w:szCs w:val="24"/>
        </w:rPr>
        <w:t xml:space="preserve">G, D. (2022b, November 23). </w:t>
      </w:r>
      <w:r>
        <w:rPr>
          <w:rFonts w:hint="default" w:ascii="Arial" w:hAnsi="Arial" w:cs="Arial"/>
          <w:i/>
          <w:iCs/>
          <w:sz w:val="24"/>
          <w:szCs w:val="24"/>
        </w:rPr>
        <w:t>Trompenaars Cultural Dimensions - The 7 Dimensions of Culture</w:t>
      </w:r>
      <w:r>
        <w:rPr>
          <w:rFonts w:hint="default" w:ascii="Arial" w:hAnsi="Arial" w:cs="Arial"/>
          <w:sz w:val="24"/>
          <w:szCs w:val="24"/>
        </w:rPr>
        <w:t xml:space="preserve">. Expert. </w:t>
      </w:r>
      <w:r>
        <w:rPr>
          <w:rFonts w:hint="default" w:ascii="Arial" w:hAnsi="Arial" w:cs="Arial"/>
          <w:sz w:val="24"/>
          <w:szCs w:val="24"/>
        </w:rPr>
        <w:fldChar w:fldCharType="begin"/>
      </w:r>
      <w:r>
        <w:rPr>
          <w:rFonts w:hint="default" w:ascii="Arial" w:hAnsi="Arial" w:cs="Arial"/>
          <w:sz w:val="24"/>
          <w:szCs w:val="24"/>
        </w:rPr>
        <w:instrText xml:space="preserve"> HYPERLINK "https://expertprogrammanagement.com/2017/10/trompenaars-cultural-dimensions/" </w:instrText>
      </w:r>
      <w:r>
        <w:rPr>
          <w:rFonts w:hint="default" w:ascii="Arial" w:hAnsi="Arial" w:cs="Arial"/>
          <w:sz w:val="24"/>
          <w:szCs w:val="24"/>
        </w:rPr>
        <w:fldChar w:fldCharType="separate"/>
      </w:r>
      <w:r>
        <w:rPr>
          <w:rStyle w:val="11"/>
          <w:rFonts w:hint="default" w:ascii="Arial" w:hAnsi="Arial" w:cs="Arial"/>
          <w:sz w:val="24"/>
          <w:szCs w:val="24"/>
        </w:rPr>
        <w:t>https://expertprogrammanagement.com/2017/10/trompenaars-cultural-dimensions/</w:t>
      </w:r>
      <w:r>
        <w:rPr>
          <w:rFonts w:hint="default" w:ascii="Arial" w:hAnsi="Arial" w:cs="Arial"/>
          <w:sz w:val="24"/>
          <w:szCs w:val="24"/>
        </w:rPr>
        <w:fldChar w:fldCharType="end"/>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r>
        <w:rPr>
          <w:rFonts w:hint="default" w:ascii="Arial" w:hAnsi="Arial" w:cs="Arial"/>
          <w:sz w:val="24"/>
          <w:szCs w:val="24"/>
        </w:rPr>
        <w:t xml:space="preserve"> Hofstede, Geert. "Dimensionalizing Cultures: The Hofstede Model in Context". ScholarWorks@GVSU. Online Readings in Psychology and Culture. Retrieved 6 September 2015.</w:t>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r>
        <w:rPr>
          <w:rFonts w:hint="default" w:ascii="Arial" w:hAnsi="Arial" w:cs="Arial"/>
          <w:sz w:val="24"/>
          <w:szCs w:val="24"/>
        </w:rPr>
        <w:t xml:space="preserve"> Hofstede, Geert (1991). Cultures and organizations : software of the mind. London: McGraw-Hill. ISBN 9780077074746.</w:t>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r>
        <w:rPr>
          <w:rFonts w:hint="default" w:ascii="Arial" w:hAnsi="Arial" w:cs="Arial"/>
          <w:sz w:val="24"/>
          <w:szCs w:val="24"/>
        </w:rPr>
        <w:t xml:space="preserve">Leader, U. (2023, October 8). </w:t>
      </w:r>
      <w:r>
        <w:rPr>
          <w:rFonts w:hint="default" w:ascii="Arial" w:hAnsi="Arial" w:cs="Arial"/>
          <w:i/>
          <w:iCs/>
          <w:sz w:val="24"/>
          <w:szCs w:val="24"/>
        </w:rPr>
        <w:t>Leadership Lessons from Alibaba: Innovation, Culture, and Success</w:t>
      </w:r>
      <w:r>
        <w:rPr>
          <w:rFonts w:hint="default" w:ascii="Arial" w:hAnsi="Arial" w:cs="Arial"/>
          <w:sz w:val="24"/>
          <w:szCs w:val="24"/>
        </w:rPr>
        <w:t xml:space="preserve">. Untitled Leader. </w:t>
      </w:r>
      <w:r>
        <w:rPr>
          <w:rFonts w:hint="default" w:ascii="Arial" w:hAnsi="Arial" w:cs="Arial"/>
          <w:sz w:val="24"/>
          <w:szCs w:val="24"/>
        </w:rPr>
        <w:fldChar w:fldCharType="begin"/>
      </w:r>
      <w:r>
        <w:rPr>
          <w:rFonts w:hint="default" w:ascii="Arial" w:hAnsi="Arial" w:cs="Arial"/>
          <w:sz w:val="24"/>
          <w:szCs w:val="24"/>
        </w:rPr>
        <w:instrText xml:space="preserve"> HYPERLINK "https://www.untitledleader.com/lessons-in-leadership/leadership-lessons-from-alibaba-innovation-culture-and-success/" </w:instrText>
      </w:r>
      <w:r>
        <w:rPr>
          <w:rFonts w:hint="default" w:ascii="Arial" w:hAnsi="Arial" w:cs="Arial"/>
          <w:sz w:val="24"/>
          <w:szCs w:val="24"/>
        </w:rPr>
        <w:fldChar w:fldCharType="separate"/>
      </w:r>
      <w:r>
        <w:rPr>
          <w:rStyle w:val="11"/>
          <w:rFonts w:hint="default" w:ascii="Arial" w:hAnsi="Arial" w:cs="Arial"/>
          <w:sz w:val="24"/>
          <w:szCs w:val="24"/>
        </w:rPr>
        <w:t>https://www.untitledleader.com/lessons-in-leadership/leadership-lessons-from-alibaba-innovation-culture-and-success/</w:t>
      </w:r>
      <w:r>
        <w:rPr>
          <w:rFonts w:hint="default" w:ascii="Arial" w:hAnsi="Arial" w:cs="Arial"/>
          <w:sz w:val="24"/>
          <w:szCs w:val="24"/>
        </w:rPr>
        <w:fldChar w:fldCharType="end"/>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r>
        <w:rPr>
          <w:rFonts w:hint="default" w:ascii="Arial" w:hAnsi="Arial" w:cs="Arial"/>
          <w:sz w:val="24"/>
          <w:szCs w:val="24"/>
        </w:rPr>
        <w:t xml:space="preserve">London Business School. (n.d.). Lessons from Huawei: when Chinese companies go global. </w:t>
      </w:r>
      <w:r>
        <w:rPr>
          <w:rFonts w:hint="default" w:ascii="Arial" w:hAnsi="Arial" w:cs="Arial"/>
          <w:i/>
          <w:iCs/>
          <w:sz w:val="24"/>
          <w:szCs w:val="24"/>
        </w:rPr>
        <w:t>London Business School</w:t>
      </w:r>
      <w:r>
        <w:rPr>
          <w:rFonts w:hint="default" w:ascii="Arial" w:hAnsi="Arial" w:cs="Arial"/>
          <w:sz w:val="24"/>
          <w:szCs w:val="24"/>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"https://www.london.edu/think/lessons-from-huawei-when-chinese-companies-go-global" </w:instrText>
      </w:r>
      <w:r>
        <w:rPr>
          <w:rFonts w:hint="default" w:ascii="Arial" w:hAnsi="Arial" w:cs="Arial"/>
          <w:sz w:val="24"/>
          <w:szCs w:val="24"/>
        </w:rPr>
        <w:fldChar w:fldCharType="separate"/>
      </w:r>
      <w:r>
        <w:rPr>
          <w:rStyle w:val="11"/>
          <w:rFonts w:hint="default" w:ascii="Arial" w:hAnsi="Arial" w:cs="Arial"/>
          <w:sz w:val="24"/>
          <w:szCs w:val="24"/>
        </w:rPr>
        <w:t>https://www.london.edu/think/lessons-from-huawei-when-chinese-companies-go-global</w:t>
      </w:r>
      <w:r>
        <w:rPr>
          <w:rFonts w:hint="default" w:ascii="Arial" w:hAnsi="Arial" w:cs="Arial"/>
          <w:sz w:val="24"/>
          <w:szCs w:val="24"/>
        </w:rPr>
        <w:fldChar w:fldCharType="end"/>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r>
        <w:rPr>
          <w:rFonts w:hint="default" w:ascii="Arial" w:hAnsi="Arial" w:cs="Arial"/>
          <w:sz w:val="24"/>
          <w:szCs w:val="24"/>
        </w:rPr>
        <w:t xml:space="preserve">Makichuk, D. (2020, July 6). BMW, Alibaba alliance to foster startups in China. </w:t>
      </w:r>
      <w:r>
        <w:rPr>
          <w:rFonts w:hint="default" w:ascii="Arial" w:hAnsi="Arial" w:cs="Arial"/>
          <w:i/>
          <w:iCs/>
          <w:sz w:val="24"/>
          <w:szCs w:val="24"/>
        </w:rPr>
        <w:t>Asia Times</w:t>
      </w:r>
      <w:r>
        <w:rPr>
          <w:rFonts w:hint="default" w:ascii="Arial" w:hAnsi="Arial" w:cs="Arial"/>
          <w:sz w:val="24"/>
          <w:szCs w:val="24"/>
        </w:rPr>
        <w:t>. https://asiatimes.com/2020/07/bmw-alibaba-alliance-to-foster-startups-in-china/#:~:text=German%20automaker%20BMW%20and%20e-</w:t>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r>
        <w:rPr>
          <w:rFonts w:hint="default" w:ascii="Arial" w:hAnsi="Arial" w:cs="Arial"/>
          <w:sz w:val="24"/>
          <w:szCs w:val="24"/>
        </w:rPr>
        <w:t>commerce%20giant%20Alibaba%20are,startups%2C%20in%20a%20bid%20to%20commercialize%20technological%20innovations.</w:t>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r>
        <w:rPr>
          <w:rFonts w:hint="default" w:ascii="Arial" w:hAnsi="Arial" w:cs="Arial"/>
          <w:sz w:val="24"/>
          <w:szCs w:val="24"/>
        </w:rPr>
        <w:t xml:space="preserve">Marketing Admin. (2022, March 22). The Complete Guide To International Business Communication | SIMON &amp; SIMON. </w:t>
      </w:r>
      <w:r>
        <w:rPr>
          <w:rFonts w:hint="default" w:ascii="Arial" w:hAnsi="Arial" w:cs="Arial"/>
          <w:i/>
          <w:iCs/>
          <w:sz w:val="24"/>
          <w:szCs w:val="24"/>
        </w:rPr>
        <w:t>SIMON &amp; SIMON</w:t>
      </w:r>
      <w:r>
        <w:rPr>
          <w:rFonts w:hint="default" w:ascii="Arial" w:hAnsi="Arial" w:cs="Arial"/>
          <w:sz w:val="24"/>
          <w:szCs w:val="24"/>
        </w:rPr>
        <w:t>. https://www.simonandsimon.co.uk/blog/the-complete-guide-to-international-business-communication#:~:text=What%20is%20International%20Business%20Communication%3F%20International%20business%20communication,expectations%20can%20vary%20greatly%20from%20country%20to%20country.</w:t>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r>
        <w:rPr>
          <w:rFonts w:hint="default" w:ascii="Arial" w:hAnsi="Arial" w:cs="Arial"/>
          <w:i/>
          <w:iCs/>
          <w:sz w:val="24"/>
          <w:szCs w:val="24"/>
        </w:rPr>
        <w:t>MindTools | Home</w:t>
      </w:r>
      <w:r>
        <w:rPr>
          <w:rFonts w:hint="default" w:ascii="Arial" w:hAnsi="Arial" w:cs="Arial"/>
          <w:sz w:val="24"/>
          <w:szCs w:val="24"/>
        </w:rPr>
        <w:t xml:space="preserve">. (n.d.). </w:t>
      </w:r>
      <w:r>
        <w:rPr>
          <w:rFonts w:hint="default" w:ascii="Arial" w:hAnsi="Arial" w:cs="Arial"/>
          <w:sz w:val="24"/>
          <w:szCs w:val="24"/>
        </w:rPr>
        <w:fldChar w:fldCharType="begin"/>
      </w:r>
      <w:r>
        <w:rPr>
          <w:rFonts w:hint="default" w:ascii="Arial" w:hAnsi="Arial" w:cs="Arial"/>
          <w:sz w:val="24"/>
          <w:szCs w:val="24"/>
        </w:rPr>
        <w:instrText xml:space="preserve"> HYPERLINK "https://www.mindtools.com/a5ce21r/the-seven-dimensions-of-culture" </w:instrText>
      </w:r>
      <w:r>
        <w:rPr>
          <w:rFonts w:hint="default" w:ascii="Arial" w:hAnsi="Arial" w:cs="Arial"/>
          <w:sz w:val="24"/>
          <w:szCs w:val="24"/>
        </w:rPr>
        <w:fldChar w:fldCharType="separate"/>
      </w:r>
      <w:r>
        <w:rPr>
          <w:rStyle w:val="11"/>
          <w:rFonts w:hint="default" w:ascii="Arial" w:hAnsi="Arial" w:cs="Arial"/>
          <w:sz w:val="24"/>
          <w:szCs w:val="24"/>
        </w:rPr>
        <w:t>https://www.mindtools.com/a5ce21r/the-seven-dimensions-of-culture</w:t>
      </w:r>
      <w:r>
        <w:rPr>
          <w:rFonts w:hint="default" w:ascii="Arial" w:hAnsi="Arial" w:cs="Arial"/>
          <w:sz w:val="24"/>
          <w:szCs w:val="24"/>
        </w:rPr>
        <w:fldChar w:fldCharType="end"/>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r>
        <w:rPr>
          <w:rFonts w:hint="default" w:ascii="Arial" w:hAnsi="Arial" w:cs="Arial"/>
          <w:sz w:val="24"/>
          <w:szCs w:val="24"/>
        </w:rPr>
        <w:t xml:space="preserve">Nickerson, C. (2023, October 24). </w:t>
      </w:r>
      <w:r>
        <w:rPr>
          <w:rFonts w:hint="default" w:ascii="Arial" w:hAnsi="Arial" w:cs="Arial"/>
          <w:i/>
          <w:iCs/>
          <w:sz w:val="24"/>
          <w:szCs w:val="24"/>
        </w:rPr>
        <w:t>Hofstede’s Cultural Dimensions Theory &amp; Examples</w:t>
      </w:r>
      <w:r>
        <w:rPr>
          <w:rFonts w:hint="default" w:ascii="Arial" w:hAnsi="Arial" w:cs="Arial"/>
          <w:sz w:val="24"/>
          <w:szCs w:val="24"/>
        </w:rPr>
        <w:t xml:space="preserve">. Simply Psychology. </w:t>
      </w:r>
      <w:r>
        <w:rPr>
          <w:rFonts w:hint="default" w:ascii="Arial" w:hAnsi="Arial" w:cs="Arial"/>
          <w:sz w:val="24"/>
          <w:szCs w:val="24"/>
        </w:rPr>
        <w:fldChar w:fldCharType="begin"/>
      </w:r>
      <w:r>
        <w:rPr>
          <w:rFonts w:hint="default" w:ascii="Arial" w:hAnsi="Arial" w:cs="Arial"/>
          <w:sz w:val="24"/>
          <w:szCs w:val="24"/>
        </w:rPr>
        <w:instrText xml:space="preserve"> HYPERLINK "https://www.simplypsychology.org/hofstedes-cultural-dimensions-theory.html" </w:instrText>
      </w:r>
      <w:r>
        <w:rPr>
          <w:rFonts w:hint="default" w:ascii="Arial" w:hAnsi="Arial" w:cs="Arial"/>
          <w:sz w:val="24"/>
          <w:szCs w:val="24"/>
        </w:rPr>
        <w:fldChar w:fldCharType="separate"/>
      </w:r>
      <w:r>
        <w:rPr>
          <w:rStyle w:val="11"/>
          <w:rFonts w:hint="default" w:ascii="Arial" w:hAnsi="Arial" w:cs="Arial"/>
          <w:sz w:val="24"/>
          <w:szCs w:val="24"/>
        </w:rPr>
        <w:t>https://www.simplypsychology.org/hofstedes-cultural-dimensions-theory.html</w:t>
      </w:r>
      <w:r>
        <w:rPr>
          <w:rFonts w:hint="default" w:ascii="Arial" w:hAnsi="Arial" w:cs="Arial"/>
          <w:sz w:val="24"/>
          <w:szCs w:val="24"/>
        </w:rPr>
        <w:fldChar w:fldCharType="end"/>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r>
        <w:rPr>
          <w:rFonts w:hint="default" w:ascii="Arial" w:hAnsi="Arial" w:cs="Arial"/>
          <w:sz w:val="24"/>
          <w:szCs w:val="24"/>
        </w:rPr>
        <w:t xml:space="preserve">Psychology, P. (2023, January 10). </w:t>
      </w:r>
      <w:r>
        <w:rPr>
          <w:rFonts w:hint="default" w:ascii="Arial" w:hAnsi="Arial" w:cs="Arial"/>
          <w:i/>
          <w:iCs/>
          <w:sz w:val="24"/>
          <w:szCs w:val="24"/>
        </w:rPr>
        <w:t>Hofstede’s Cultural Dimensions Theory</w:t>
      </w:r>
      <w:r>
        <w:rPr>
          <w:rFonts w:hint="default" w:ascii="Arial" w:hAnsi="Arial" w:cs="Arial"/>
          <w:sz w:val="24"/>
          <w:szCs w:val="24"/>
        </w:rPr>
        <w:t xml:space="preserve">. Practical Psychology. </w:t>
      </w:r>
      <w:r>
        <w:rPr>
          <w:rFonts w:hint="default" w:ascii="Arial" w:hAnsi="Arial" w:cs="Arial"/>
          <w:sz w:val="24"/>
          <w:szCs w:val="24"/>
        </w:rPr>
        <w:fldChar w:fldCharType="begin"/>
      </w:r>
      <w:r>
        <w:rPr>
          <w:rFonts w:hint="default" w:ascii="Arial" w:hAnsi="Arial" w:cs="Arial"/>
          <w:sz w:val="24"/>
          <w:szCs w:val="24"/>
        </w:rPr>
        <w:instrText xml:space="preserve"> HYPERLINK "https://practicalpie.com/hofstedes-cultural-dimensions-theory/" </w:instrText>
      </w:r>
      <w:r>
        <w:rPr>
          <w:rFonts w:hint="default" w:ascii="Arial" w:hAnsi="Arial" w:cs="Arial"/>
          <w:sz w:val="24"/>
          <w:szCs w:val="24"/>
        </w:rPr>
        <w:fldChar w:fldCharType="separate"/>
      </w:r>
      <w:r>
        <w:rPr>
          <w:rStyle w:val="11"/>
          <w:rFonts w:hint="default" w:ascii="Arial" w:hAnsi="Arial" w:cs="Arial"/>
          <w:sz w:val="24"/>
          <w:szCs w:val="24"/>
        </w:rPr>
        <w:t>https://practicalpie.com/hofstedes-cultural-dimensions-theory/</w:t>
      </w:r>
      <w:r>
        <w:rPr>
          <w:rFonts w:hint="default" w:ascii="Arial" w:hAnsi="Arial" w:cs="Arial"/>
          <w:sz w:val="24"/>
          <w:szCs w:val="24"/>
        </w:rPr>
        <w:fldChar w:fldCharType="end"/>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r>
        <w:rPr>
          <w:rFonts w:hint="default" w:ascii="Arial" w:hAnsi="Arial" w:cs="Arial"/>
          <w:sz w:val="24"/>
          <w:szCs w:val="24"/>
        </w:rPr>
        <w:t xml:space="preserve">Sharer, H., &amp; Sharer, H. (2023, January 21). Is China a high context culture? Exploring the impact on business and interpersonal relationships - the enlightened mindset. </w:t>
      </w:r>
      <w:r>
        <w:rPr>
          <w:rFonts w:hint="default" w:ascii="Arial" w:hAnsi="Arial" w:cs="Arial"/>
          <w:i/>
          <w:iCs/>
          <w:sz w:val="24"/>
          <w:szCs w:val="24"/>
        </w:rPr>
        <w:t>The Enlightened Mindset - Exploring the World of Knowledge and Understanding</w:t>
      </w:r>
      <w:r>
        <w:rPr>
          <w:rFonts w:hint="default" w:ascii="Arial" w:hAnsi="Arial" w:cs="Arial"/>
          <w:sz w:val="24"/>
          <w:szCs w:val="24"/>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"https://www.tffn.net/is-china-a-high-context-culture/" </w:instrText>
      </w:r>
      <w:r>
        <w:rPr>
          <w:rFonts w:hint="default" w:ascii="Arial" w:hAnsi="Arial" w:cs="Arial"/>
          <w:sz w:val="24"/>
          <w:szCs w:val="24"/>
        </w:rPr>
        <w:fldChar w:fldCharType="separate"/>
      </w:r>
      <w:r>
        <w:rPr>
          <w:rStyle w:val="11"/>
          <w:rFonts w:hint="default" w:ascii="Arial" w:hAnsi="Arial" w:cs="Arial"/>
          <w:sz w:val="24"/>
          <w:szCs w:val="24"/>
        </w:rPr>
        <w:t>https://www.tffn.net/is-china-a-high-context-culture/</w:t>
      </w:r>
      <w:r>
        <w:rPr>
          <w:rFonts w:hint="default" w:ascii="Arial" w:hAnsi="Arial" w:cs="Arial"/>
          <w:sz w:val="24"/>
          <w:szCs w:val="24"/>
        </w:rPr>
        <w:fldChar w:fldCharType="end"/>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r>
        <w:rPr>
          <w:rFonts w:hint="default" w:ascii="Arial" w:hAnsi="Arial" w:cs="Arial"/>
          <w:sz w:val="24"/>
          <w:szCs w:val="24"/>
        </w:rPr>
        <w:t xml:space="preserve">Wale, H. (2023, October 19). </w:t>
      </w:r>
      <w:r>
        <w:rPr>
          <w:rFonts w:hint="default" w:ascii="Arial" w:hAnsi="Arial" w:cs="Arial"/>
          <w:i/>
          <w:iCs/>
          <w:sz w:val="24"/>
          <w:szCs w:val="24"/>
        </w:rPr>
        <w:t>Hofstede’s Cultural Dimensions Theory</w:t>
      </w:r>
      <w:r>
        <w:rPr>
          <w:rFonts w:hint="default" w:ascii="Arial" w:hAnsi="Arial" w:cs="Arial"/>
          <w:sz w:val="24"/>
          <w:szCs w:val="24"/>
        </w:rPr>
        <w:t xml:space="preserve">. Corporate Finance Institute. </w:t>
      </w:r>
      <w:r>
        <w:rPr>
          <w:rFonts w:hint="default" w:ascii="Arial" w:hAnsi="Arial" w:cs="Arial"/>
          <w:sz w:val="24"/>
          <w:szCs w:val="24"/>
        </w:rPr>
        <w:fldChar w:fldCharType="begin"/>
      </w:r>
      <w:r>
        <w:rPr>
          <w:rFonts w:hint="default" w:ascii="Arial" w:hAnsi="Arial" w:cs="Arial"/>
          <w:sz w:val="24"/>
          <w:szCs w:val="24"/>
        </w:rPr>
        <w:instrText xml:space="preserve"> HYPERLINK "https://corporatefinanceinstitute.com/resources/management/hofstedes-cultural-dimensions-theory/" </w:instrText>
      </w:r>
      <w:r>
        <w:rPr>
          <w:rFonts w:hint="default" w:ascii="Arial" w:hAnsi="Arial" w:cs="Arial"/>
          <w:sz w:val="24"/>
          <w:szCs w:val="24"/>
        </w:rPr>
        <w:fldChar w:fldCharType="separate"/>
      </w:r>
      <w:r>
        <w:rPr>
          <w:rStyle w:val="11"/>
          <w:rFonts w:hint="default" w:ascii="Arial" w:hAnsi="Arial" w:cs="Arial"/>
          <w:sz w:val="24"/>
          <w:szCs w:val="24"/>
        </w:rPr>
        <w:t>https://corporatefinanceinstitute.com/resources/management/hofstedes-cultural-dimensions-theory/</w:t>
      </w:r>
      <w:r>
        <w:rPr>
          <w:rFonts w:hint="default" w:ascii="Arial" w:hAnsi="Arial" w:cs="Arial"/>
          <w:sz w:val="24"/>
          <w:szCs w:val="24"/>
        </w:rPr>
        <w:fldChar w:fldCharType="end"/>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r>
        <w:rPr>
          <w:rFonts w:hint="default" w:ascii="Arial" w:hAnsi="Arial" w:cs="Arial"/>
          <w:sz w:val="24"/>
          <w:szCs w:val="24"/>
        </w:rPr>
        <w:t xml:space="preserve">Wikipedia contributors. (2023, July 4). </w:t>
      </w:r>
      <w:r>
        <w:rPr>
          <w:rFonts w:hint="default" w:ascii="Arial" w:hAnsi="Arial" w:cs="Arial"/>
          <w:i/>
          <w:iCs/>
          <w:sz w:val="24"/>
          <w:szCs w:val="24"/>
        </w:rPr>
        <w:t>High-context and low-context cultures</w:t>
      </w:r>
      <w:r>
        <w:rPr>
          <w:rFonts w:hint="default" w:ascii="Arial" w:hAnsi="Arial" w:cs="Arial"/>
          <w:sz w:val="24"/>
          <w:szCs w:val="24"/>
        </w:rPr>
        <w:t xml:space="preserve">. Wikipedia. </w:t>
      </w:r>
      <w:r>
        <w:rPr>
          <w:rFonts w:hint="default" w:ascii="Arial" w:hAnsi="Arial" w:cs="Arial"/>
          <w:sz w:val="24"/>
          <w:szCs w:val="24"/>
        </w:rPr>
        <w:fldChar w:fldCharType="begin"/>
      </w:r>
      <w:r>
        <w:rPr>
          <w:rFonts w:hint="default" w:ascii="Arial" w:hAnsi="Arial" w:cs="Arial"/>
          <w:sz w:val="24"/>
          <w:szCs w:val="24"/>
        </w:rPr>
        <w:instrText xml:space="preserve"> HYPERLINK "https://en.wikipedia.org/wiki/High-context_and_low-context_cultures" </w:instrText>
      </w:r>
      <w:r>
        <w:rPr>
          <w:rFonts w:hint="default" w:ascii="Arial" w:hAnsi="Arial" w:cs="Arial"/>
          <w:sz w:val="24"/>
          <w:szCs w:val="24"/>
        </w:rPr>
        <w:fldChar w:fldCharType="separate"/>
      </w:r>
      <w:r>
        <w:rPr>
          <w:rStyle w:val="11"/>
          <w:rFonts w:hint="default" w:ascii="Arial" w:hAnsi="Arial" w:cs="Arial"/>
          <w:sz w:val="24"/>
          <w:szCs w:val="24"/>
        </w:rPr>
        <w:t>https://en.wikipedia.org/wiki/High-context_and_low-context_cultures</w:t>
      </w:r>
      <w:r>
        <w:rPr>
          <w:rFonts w:hint="default" w:ascii="Arial" w:hAnsi="Arial" w:cs="Arial"/>
          <w:sz w:val="24"/>
          <w:szCs w:val="24"/>
        </w:rPr>
        <w:fldChar w:fldCharType="end"/>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r>
        <w:rPr>
          <w:rFonts w:hint="default" w:ascii="Arial" w:hAnsi="Arial" w:cs="Arial"/>
          <w:sz w:val="24"/>
          <w:szCs w:val="24"/>
        </w:rPr>
        <w:t xml:space="preserve">Zabetian, F. (2021, June 10). Connecting Abroad: The cultural Etiquette of International business. </w:t>
      </w:r>
      <w:r>
        <w:rPr>
          <w:rFonts w:hint="default" w:ascii="Arial" w:hAnsi="Arial" w:cs="Arial"/>
          <w:i/>
          <w:iCs/>
          <w:sz w:val="24"/>
          <w:szCs w:val="24"/>
        </w:rPr>
        <w:t>Forbes</w:t>
      </w:r>
      <w:r>
        <w:rPr>
          <w:rFonts w:hint="default" w:ascii="Arial" w:hAnsi="Arial" w:cs="Arial"/>
          <w:sz w:val="24"/>
          <w:szCs w:val="24"/>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"https://www.forbes.com/sites/forbestechcouncil/2021/06/10/connecting-abroad-the-cultural-etiquette-of-international-business/" </w:instrText>
      </w:r>
      <w:r>
        <w:rPr>
          <w:rFonts w:hint="default" w:ascii="Arial" w:hAnsi="Arial" w:cs="Arial"/>
          <w:sz w:val="24"/>
          <w:szCs w:val="24"/>
        </w:rPr>
        <w:fldChar w:fldCharType="separate"/>
      </w:r>
      <w:r>
        <w:rPr>
          <w:rStyle w:val="11"/>
          <w:rFonts w:hint="default" w:ascii="Arial" w:hAnsi="Arial" w:cs="Arial"/>
          <w:sz w:val="24"/>
          <w:szCs w:val="24"/>
        </w:rPr>
        <w:t>https://www.forbes.com/sites/forbestechcouncil/2021/06/10/connecting-abroad-the-cultural-etiquette-of-international-business/</w:t>
      </w:r>
      <w:r>
        <w:rPr>
          <w:rFonts w:hint="default" w:ascii="Arial" w:hAnsi="Arial" w:cs="Arial"/>
          <w:sz w:val="24"/>
          <w:szCs w:val="24"/>
        </w:rPr>
        <w:fldChar w:fldCharType="end"/>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r>
        <w:rPr>
          <w:rFonts w:hint="default" w:ascii="Arial" w:hAnsi="Arial" w:cs="Arial"/>
          <w:sz w:val="24"/>
          <w:szCs w:val="24"/>
        </w:rPr>
        <w:t xml:space="preserve">Zakkour, M. (2017, August 24). Why Starbucks succeeded in China: A lesson for all retailers. </w:t>
      </w:r>
      <w:r>
        <w:rPr>
          <w:rFonts w:hint="default" w:ascii="Arial" w:hAnsi="Arial" w:cs="Arial"/>
          <w:i/>
          <w:iCs/>
          <w:sz w:val="24"/>
          <w:szCs w:val="24"/>
        </w:rPr>
        <w:t>Forbes</w:t>
      </w:r>
      <w:r>
        <w:rPr>
          <w:rFonts w:hint="default" w:ascii="Arial" w:hAnsi="Arial" w:cs="Arial"/>
          <w:sz w:val="24"/>
          <w:szCs w:val="24"/>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"https://www.forbes.com/sites/michaelzakkour/2017/08/24/why-starbucks-succeeded-in-china-a-lesson-for-all-retailers/" </w:instrText>
      </w:r>
      <w:r>
        <w:rPr>
          <w:rFonts w:hint="default" w:ascii="Arial" w:hAnsi="Arial" w:cs="Arial"/>
          <w:sz w:val="24"/>
          <w:szCs w:val="24"/>
        </w:rPr>
        <w:fldChar w:fldCharType="separate"/>
      </w:r>
      <w:r>
        <w:rPr>
          <w:rStyle w:val="11"/>
          <w:rFonts w:hint="default" w:ascii="Arial" w:hAnsi="Arial" w:cs="Arial"/>
          <w:sz w:val="24"/>
          <w:szCs w:val="24"/>
        </w:rPr>
        <w:t>https://www.forbes.com/sites/michaelzakkour/2017/08/24/why-starbucks-succeeded-in-china-a-lesson-for-all-retailers/</w:t>
      </w:r>
      <w:r>
        <w:rPr>
          <w:rFonts w:hint="default" w:ascii="Arial" w:hAnsi="Arial" w:cs="Arial"/>
          <w:sz w:val="24"/>
          <w:szCs w:val="24"/>
        </w:rPr>
        <w:fldChar w:fldCharType="end"/>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r>
        <w:rPr>
          <w:rFonts w:hint="default" w:ascii="Arial" w:hAnsi="Arial" w:cs="Arial"/>
          <w:sz w:val="24"/>
          <w:szCs w:val="24"/>
        </w:rPr>
        <w:t xml:space="preserve">Zhu, T. (2022). International Business Strategy of fast fashion Brands (On the example of Zara). </w:t>
      </w:r>
      <w:r>
        <w:rPr>
          <w:rFonts w:hint="default" w:ascii="Arial" w:hAnsi="Arial" w:cs="Arial"/>
          <w:i/>
          <w:iCs/>
          <w:sz w:val="24"/>
          <w:szCs w:val="24"/>
        </w:rPr>
        <w:t>Journal of Education Humanities and Social Sciences</w:t>
      </w:r>
      <w:r>
        <w:rPr>
          <w:rFonts w:hint="default" w:ascii="Arial" w:hAnsi="Arial" w:cs="Arial"/>
          <w:sz w:val="24"/>
          <w:szCs w:val="24"/>
        </w:rPr>
        <w:t xml:space="preserve">, </w:t>
      </w:r>
      <w:r>
        <w:rPr>
          <w:rFonts w:hint="default" w:ascii="Arial" w:hAnsi="Arial" w:cs="Arial"/>
          <w:i/>
          <w:iCs/>
          <w:sz w:val="24"/>
          <w:szCs w:val="24"/>
        </w:rPr>
        <w:t>4</w:t>
      </w:r>
      <w:r>
        <w:rPr>
          <w:rFonts w:hint="default" w:ascii="Arial" w:hAnsi="Arial" w:cs="Arial"/>
          <w:sz w:val="24"/>
          <w:szCs w:val="24"/>
        </w:rPr>
        <w:t xml:space="preserve">, 221–227. </w:t>
      </w:r>
      <w:r>
        <w:rPr>
          <w:rFonts w:hint="default" w:ascii="Arial" w:hAnsi="Arial" w:cs="Arial"/>
          <w:sz w:val="24"/>
          <w:szCs w:val="24"/>
        </w:rPr>
        <w:fldChar w:fldCharType="begin"/>
      </w:r>
      <w:r>
        <w:rPr>
          <w:rFonts w:hint="default" w:ascii="Arial" w:hAnsi="Arial" w:cs="Arial"/>
          <w:sz w:val="24"/>
          <w:szCs w:val="24"/>
        </w:rPr>
        <w:instrText xml:space="preserve"> HYPERLINK "https://doi.org/10.54097/ehss.v4i.2770" </w:instrText>
      </w:r>
      <w:r>
        <w:rPr>
          <w:rFonts w:hint="default" w:ascii="Arial" w:hAnsi="Arial" w:cs="Arial"/>
          <w:sz w:val="24"/>
          <w:szCs w:val="24"/>
        </w:rPr>
        <w:fldChar w:fldCharType="separate"/>
      </w:r>
      <w:r>
        <w:rPr>
          <w:rStyle w:val="11"/>
          <w:rFonts w:hint="default" w:ascii="Arial" w:hAnsi="Arial" w:cs="Arial"/>
          <w:sz w:val="24"/>
          <w:szCs w:val="24"/>
        </w:rPr>
        <w:t>https://doi.org/10.54097/ehss.v4i.2770</w:t>
      </w:r>
      <w:r>
        <w:rPr>
          <w:rFonts w:hint="default" w:ascii="Arial" w:hAnsi="Arial" w:cs="Arial"/>
          <w:sz w:val="24"/>
          <w:szCs w:val="24"/>
        </w:rPr>
        <w:fldChar w:fldCharType="end"/>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r>
        <w:rPr>
          <w:rFonts w:hint="default" w:ascii="Arial" w:hAnsi="Arial" w:cs="Arial"/>
          <w:i/>
          <w:iCs/>
          <w:sz w:val="24"/>
          <w:szCs w:val="24"/>
        </w:rPr>
        <w:t>川普涅尔的文化架构理论 - MBA智库百科</w:t>
      </w:r>
      <w:r>
        <w:rPr>
          <w:rFonts w:hint="default" w:ascii="Arial" w:hAnsi="Arial" w:cs="Arial"/>
          <w:sz w:val="24"/>
          <w:szCs w:val="24"/>
        </w:rPr>
        <w:t xml:space="preserve">. (n.d.). </w:t>
      </w:r>
      <w:r>
        <w:rPr>
          <w:rFonts w:hint="default" w:ascii="Arial" w:hAnsi="Arial" w:cs="Arial"/>
          <w:sz w:val="24"/>
          <w:szCs w:val="24"/>
        </w:rPr>
        <w:fldChar w:fldCharType="begin"/>
      </w:r>
      <w:r>
        <w:rPr>
          <w:rFonts w:hint="default" w:ascii="Arial" w:hAnsi="Arial" w:cs="Arial"/>
          <w:sz w:val="24"/>
          <w:szCs w:val="24"/>
        </w:rPr>
        <w:instrText xml:space="preserve"> HYPERLINK "https://wiki.mbalib.com/wiki/Fons_Trompenaars%E6%96%87%E5%8C%96%E6%9E%B6%E6%9E%84%E7%90%86%E8%AE%BA" </w:instrText>
      </w:r>
      <w:r>
        <w:rPr>
          <w:rFonts w:hint="default" w:ascii="Arial" w:hAnsi="Arial" w:cs="Arial"/>
          <w:sz w:val="24"/>
          <w:szCs w:val="24"/>
        </w:rPr>
        <w:fldChar w:fldCharType="separate"/>
      </w:r>
      <w:r>
        <w:rPr>
          <w:rStyle w:val="11"/>
          <w:rFonts w:hint="default" w:ascii="Arial" w:hAnsi="Arial" w:cs="Arial"/>
          <w:sz w:val="24"/>
          <w:szCs w:val="24"/>
        </w:rPr>
        <w:t>https://wiki.mbalib.com/wiki/Fons_Trompenaars%E6%96%87%E5%8C%96%E6%9E%B6%E6%9E%84%E7%90%86%E8%AE%BA</w:t>
      </w:r>
      <w:r>
        <w:rPr>
          <w:rFonts w:hint="default" w:ascii="Arial" w:hAnsi="Arial" w:cs="Arial"/>
          <w:sz w:val="24"/>
          <w:szCs w:val="24"/>
        </w:rPr>
        <w:fldChar w:fldCharType="end"/>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r>
        <w:rPr>
          <w:rFonts w:hint="default" w:ascii="Arial" w:hAnsi="Arial" w:cs="Arial"/>
          <w:sz w:val="24"/>
          <w:szCs w:val="24"/>
        </w:rPr>
        <w:t xml:space="preserve">豆丁网. (n.d.). </w:t>
      </w:r>
      <w:r>
        <w:rPr>
          <w:rFonts w:hint="default" w:ascii="Arial" w:hAnsi="Arial" w:cs="Arial"/>
          <w:i/>
          <w:iCs/>
          <w:sz w:val="24"/>
          <w:szCs w:val="24"/>
        </w:rPr>
        <w:t>Trompennarrs理论</w:t>
      </w:r>
      <w:r>
        <w:rPr>
          <w:rFonts w:hint="default" w:ascii="Arial" w:hAnsi="Arial" w:cs="Arial"/>
          <w:sz w:val="24"/>
          <w:szCs w:val="24"/>
        </w:rPr>
        <w:t xml:space="preserve">. 豆丁网. </w:t>
      </w:r>
      <w:r>
        <w:rPr>
          <w:rFonts w:hint="default" w:ascii="Arial" w:hAnsi="Arial" w:cs="Arial"/>
          <w:sz w:val="24"/>
          <w:szCs w:val="24"/>
        </w:rPr>
        <w:fldChar w:fldCharType="begin"/>
      </w:r>
      <w:r>
        <w:rPr>
          <w:rFonts w:hint="default" w:ascii="Arial" w:hAnsi="Arial" w:cs="Arial"/>
          <w:sz w:val="24"/>
          <w:szCs w:val="24"/>
        </w:rPr>
        <w:instrText xml:space="preserve"> HYPERLINK "https://www.docin.com/p-247502544.html" </w:instrText>
      </w:r>
      <w:r>
        <w:rPr>
          <w:rFonts w:hint="default" w:ascii="Arial" w:hAnsi="Arial" w:cs="Arial"/>
          <w:sz w:val="24"/>
          <w:szCs w:val="24"/>
        </w:rPr>
        <w:fldChar w:fldCharType="separate"/>
      </w:r>
      <w:r>
        <w:rPr>
          <w:rStyle w:val="11"/>
          <w:rFonts w:hint="default" w:ascii="Arial" w:hAnsi="Arial" w:cs="Arial"/>
          <w:sz w:val="24"/>
          <w:szCs w:val="24"/>
        </w:rPr>
        <w:t>https://www.docin.com/p-247502544.html</w:t>
      </w:r>
      <w:r>
        <w:rPr>
          <w:rFonts w:hint="default" w:ascii="Arial" w:hAnsi="Arial" w:cs="Arial"/>
          <w:sz w:val="24"/>
          <w:szCs w:val="24"/>
        </w:rPr>
        <w:fldChar w:fldCharType="end"/>
      </w:r>
    </w:p>
    <w:p>
      <w:pPr>
        <w:pStyle w:val="8"/>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p>
    <w:p>
      <w:pPr>
        <w:pStyle w:val="8"/>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p>
    <w:p>
      <w:pPr>
        <w:pStyle w:val="8"/>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p>
    <w:p/>
    <w:p>
      <w:pPr>
        <w:ind w:firstLine="720"/>
      </w:pPr>
    </w:p>
    <w:p>
      <w:pPr>
        <w:ind w:firstLine="720"/>
      </w:pPr>
    </w:p>
    <w:p>
      <w:pPr>
        <w:ind w:firstLine="720"/>
      </w:pPr>
    </w:p>
    <w:p>
      <w:pPr>
        <w:ind w:firstLine="720"/>
      </w:pPr>
    </w:p>
    <w:p/>
    <w:p/>
    <w:p/>
    <w:p/>
    <w:p/>
    <w:p/>
    <w:sectPr>
      <w:footerReference r:id="rId6" w:type="first"/>
      <w:footerReference r:id="rId5" w:type="default"/>
      <w:pgSz w:w="11906" w:h="16838"/>
      <w:pgMar w:top="1440" w:right="1440" w:bottom="1440" w:left="1440" w:header="708" w:footer="708"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Q2YjFkNjdmMjRkMmRiMTAzZjNmOTA0ZTVlMjJiNTAifQ=="/>
  </w:docVars>
  <w:rsids>
    <w:rsidRoot w:val="00571F12"/>
    <w:rsid w:val="00102068"/>
    <w:rsid w:val="001652C1"/>
    <w:rsid w:val="00390E8A"/>
    <w:rsid w:val="00571F12"/>
    <w:rsid w:val="007C4355"/>
    <w:rsid w:val="00905F82"/>
    <w:rsid w:val="00A85BB5"/>
    <w:rsid w:val="00D86589"/>
    <w:rsid w:val="00F81595"/>
    <w:rsid w:val="5EC70B5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GB" w:eastAsia="zh-CN" w:bidi="ar-SA"/>
    </w:rPr>
  </w:style>
  <w:style w:type="paragraph" w:styleId="2">
    <w:name w:val="heading 1"/>
    <w:basedOn w:val="1"/>
    <w:next w:val="1"/>
    <w:link w:val="15"/>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unhideWhenUsed/>
    <w:qFormat/>
    <w:uiPriority w:val="9"/>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0">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4">
    <w:name w:val="footer"/>
    <w:basedOn w:val="1"/>
    <w:semiHidden/>
    <w:unhideWhenUsed/>
    <w:uiPriority w:val="99"/>
    <w:pPr>
      <w:tabs>
        <w:tab w:val="center" w:pos="4153"/>
        <w:tab w:val="right" w:pos="8306"/>
      </w:tabs>
      <w:snapToGrid w:val="0"/>
      <w:jc w:val="left"/>
    </w:pPr>
    <w:rPr>
      <w:sz w:val="18"/>
    </w:rPr>
  </w:style>
  <w:style w:type="paragraph" w:styleId="5">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semiHidden/>
    <w:unhideWhenUsed/>
    <w:uiPriority w:val="39"/>
  </w:style>
  <w:style w:type="paragraph" w:styleId="7">
    <w:name w:val="toc 2"/>
    <w:basedOn w:val="1"/>
    <w:next w:val="1"/>
    <w:semiHidden/>
    <w:unhideWhenUsed/>
    <w:uiPriority w:val="39"/>
    <w:pPr>
      <w:ind w:left="420" w:leftChars="200"/>
    </w:pPr>
  </w:style>
  <w:style w:type="paragraph" w:styleId="8">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character" w:styleId="11">
    <w:name w:val="Hyperlink"/>
    <w:basedOn w:val="10"/>
    <w:semiHidden/>
    <w:unhideWhenUsed/>
    <w:uiPriority w:val="99"/>
    <w:rPr>
      <w:color w:val="0000FF"/>
      <w:u w:val="single"/>
    </w:rPr>
  </w:style>
  <w:style w:type="paragraph" w:styleId="12">
    <w:name w:val="No Spacing"/>
    <w:link w:val="13"/>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
    <w:name w:val="No Spacing Char"/>
    <w:basedOn w:val="10"/>
    <w:link w:val="12"/>
    <w:uiPriority w:val="1"/>
    <w:rPr>
      <w:lang w:val="en-US" w:eastAsia="en-US"/>
    </w:rPr>
  </w:style>
  <w:style w:type="paragraph" w:styleId="14">
    <w:name w:val="List Paragraph"/>
    <w:basedOn w:val="1"/>
    <w:qFormat/>
    <w:uiPriority w:val="34"/>
    <w:pPr>
      <w:ind w:left="720"/>
      <w:contextualSpacing/>
    </w:pPr>
  </w:style>
  <w:style w:type="character" w:customStyle="1" w:styleId="15">
    <w:name w:val="Heading 1 Char"/>
    <w:basedOn w:val="10"/>
    <w:link w:val="2"/>
    <w:uiPriority w:val="9"/>
    <w:rPr>
      <w:rFonts w:asciiTheme="majorHAnsi" w:hAnsiTheme="majorHAnsi" w:eastAsiaTheme="majorEastAsia" w:cstheme="majorBidi"/>
      <w:color w:val="2F5597" w:themeColor="accent1" w:themeShade="BF"/>
      <w:sz w:val="32"/>
      <w:szCs w:val="32"/>
    </w:rPr>
  </w:style>
  <w:style w:type="paragraph" w:customStyle="1" w:styleId="16">
    <w:name w:val="TOC Heading"/>
    <w:basedOn w:val="2"/>
    <w:next w:val="1"/>
    <w:unhideWhenUsed/>
    <w:qFormat/>
    <w:uiPriority w:val="39"/>
    <w:pPr>
      <w:outlineLvl w:val="9"/>
    </w:pPr>
    <w:rPr>
      <w:lang w:val="en-US" w:eastAsia="en-US"/>
    </w:rPr>
  </w:style>
  <w:style w:type="paragraph" w:customStyle="1" w:styleId="17">
    <w:name w:val="WPSOffice手动目录 1"/>
    <w:uiPriority w:val="0"/>
    <w:pPr>
      <w:ind w:leftChars="0"/>
    </w:pPr>
    <w:rPr>
      <w:sz w:val="20"/>
      <w:szCs w:val="20"/>
    </w:rPr>
  </w:style>
  <w:style w:type="paragraph" w:customStyle="1" w:styleId="18">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99F4080-421D-4C91-868C-0DF8A87F284B}">
  <ds:schemaRefs/>
</ds:datastoreItem>
</file>

<file path=docProps/app.xml><?xml version="1.0" encoding="utf-8"?>
<Properties xmlns="http://schemas.openxmlformats.org/officeDocument/2006/extended-properties" xmlns:vt="http://schemas.openxmlformats.org/officeDocument/2006/docPropsVTypes">
  <Template>Normal</Template>
  <Pages>9</Pages>
  <Words>206</Words>
  <Characters>1175</Characters>
  <Lines>9</Lines>
  <Paragraphs>2</Paragraphs>
  <TotalTime>6</TotalTime>
  <ScaleCrop>false</ScaleCrop>
  <LinksUpToDate>false</LinksUpToDate>
  <CharactersWithSpaces>1379</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2023-10-23T22:25:00Z</dcterms:created>
  <dc:creator>Gwyneth Jones</dc:creator>
  <cp:lastModifiedBy>WPS_1340919765</cp:lastModifiedBy>
  <dcterms:modified xsi:type="dcterms:W3CDTF">2023-12-01T18:15:08Z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7256DF94EC4A4735BA6D81D14E470D82_12</vt:lpwstr>
  </property>
</Properties>
</file>