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39341" w14:textId="77777777" w:rsidR="00894868" w:rsidRDefault="00894868" w:rsidP="00894868">
      <w:pPr>
        <w:rPr>
          <w:b/>
          <w:sz w:val="28"/>
          <w:szCs w:val="28"/>
        </w:rPr>
      </w:pPr>
      <w:r>
        <w:rPr>
          <w:noProof/>
        </w:rPr>
        <w:drawing>
          <wp:inline distT="0" distB="0" distL="0" distR="0" wp14:anchorId="56BC4213" wp14:editId="0F3FC35F">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DF4E86C" w14:textId="77777777" w:rsidR="00894868" w:rsidRDefault="00894868" w:rsidP="00894868">
      <w:pPr>
        <w:rPr>
          <w:b/>
          <w:sz w:val="28"/>
          <w:szCs w:val="28"/>
        </w:rPr>
      </w:pPr>
    </w:p>
    <w:p w14:paraId="17855FD6" w14:textId="77777777" w:rsidR="00894868" w:rsidRPr="00894868" w:rsidRDefault="00894868" w:rsidP="00894868">
      <w:pPr>
        <w:rPr>
          <w:rFonts w:ascii="Times New Roman" w:hAnsi="Times New Roman"/>
          <w:b/>
          <w:bCs/>
          <w:sz w:val="40"/>
          <w:szCs w:val="40"/>
        </w:rPr>
      </w:pPr>
      <w:r w:rsidRPr="00894868">
        <w:rPr>
          <w:rFonts w:ascii="Times New Roman" w:hAnsi="Times New Roman" w:cs="Times New Roman"/>
          <w:b/>
          <w:sz w:val="40"/>
          <w:szCs w:val="40"/>
        </w:rPr>
        <w:t xml:space="preserve">GRADUATE CERTIFICATE in </w:t>
      </w:r>
      <w:r w:rsidRPr="00894868">
        <w:rPr>
          <w:rFonts w:ascii="Times New Roman" w:hAnsi="Times New Roman"/>
          <w:b/>
          <w:bCs/>
          <w:sz w:val="40"/>
          <w:szCs w:val="40"/>
        </w:rPr>
        <w:t>Consolidation of Social Work Practice</w:t>
      </w:r>
    </w:p>
    <w:p w14:paraId="72BA5E18"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LEVEL 6 - 60 Credits</w:t>
      </w:r>
    </w:p>
    <w:p w14:paraId="72B8B840"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BMPF6044</w:t>
      </w:r>
    </w:p>
    <w:p w14:paraId="33816111" w14:textId="77777777" w:rsidR="00894868" w:rsidRPr="00894868" w:rsidRDefault="00894868" w:rsidP="00894868">
      <w:pPr>
        <w:ind w:right="-957"/>
        <w:rPr>
          <w:rFonts w:ascii="Times New Roman" w:hAnsi="Times New Roman" w:cs="Times New Roman"/>
          <w:b/>
          <w:sz w:val="40"/>
          <w:szCs w:val="20"/>
        </w:rPr>
      </w:pPr>
    </w:p>
    <w:p w14:paraId="05759FB9" w14:textId="77777777" w:rsidR="00894868" w:rsidRPr="00894868" w:rsidRDefault="00894868" w:rsidP="00894868">
      <w:pPr>
        <w:ind w:right="-957"/>
        <w:rPr>
          <w:rFonts w:ascii="Times New Roman" w:hAnsi="Times New Roman" w:cs="Times New Roman"/>
          <w:b/>
          <w:sz w:val="14"/>
          <w:szCs w:val="2"/>
        </w:rPr>
      </w:pPr>
    </w:p>
    <w:p w14:paraId="0C7D27D2"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LEARNER PORTFOLIO</w:t>
      </w:r>
    </w:p>
    <w:p w14:paraId="386D4BD3" w14:textId="77777777" w:rsidR="00894868" w:rsidRPr="00894868" w:rsidRDefault="00894868" w:rsidP="00894868">
      <w:pPr>
        <w:ind w:right="-957"/>
        <w:rPr>
          <w:rFonts w:ascii="Times New Roman" w:hAnsi="Times New Roman" w:cs="Times New Roman"/>
          <w:b/>
          <w:bCs/>
          <w:sz w:val="40"/>
          <w:szCs w:val="40"/>
        </w:rPr>
      </w:pPr>
      <w:r w:rsidRPr="00894868">
        <w:rPr>
          <w:rFonts w:ascii="Times New Roman" w:hAnsi="Times New Roman" w:cs="Times New Roman"/>
          <w:b/>
          <w:bCs/>
          <w:sz w:val="40"/>
          <w:szCs w:val="40"/>
        </w:rPr>
        <w:t>(PORTH AGORED and UNIVERSITY OF WALES TRINITY SAINT DAVID)</w:t>
      </w:r>
    </w:p>
    <w:p w14:paraId="5402C1C1" w14:textId="77777777" w:rsidR="00894868" w:rsidRPr="00894868" w:rsidRDefault="00894868" w:rsidP="00894868">
      <w:pPr>
        <w:ind w:right="-957"/>
        <w:rPr>
          <w:rFonts w:ascii="Times New Roman" w:hAnsi="Times New Roman" w:cs="Times New Roman"/>
          <w:b/>
          <w:sz w:val="10"/>
          <w:szCs w:val="2"/>
        </w:rPr>
      </w:pPr>
    </w:p>
    <w:p w14:paraId="08CFFCBB" w14:textId="77777777" w:rsidR="00894868" w:rsidRPr="00894868" w:rsidRDefault="00894868" w:rsidP="00894868">
      <w:pPr>
        <w:ind w:right="-957"/>
        <w:rPr>
          <w:rFonts w:ascii="Times New Roman" w:hAnsi="Times New Roman" w:cs="Times New Roman"/>
          <w:b/>
          <w:sz w:val="40"/>
          <w:szCs w:val="20"/>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894868" w:rsidRPr="00894868" w14:paraId="04735895" w14:textId="77777777" w:rsidTr="00EC13E6">
        <w:tc>
          <w:tcPr>
            <w:tcW w:w="9209" w:type="dxa"/>
          </w:tcPr>
          <w:p w14:paraId="2E1F4FD3" w14:textId="77777777" w:rsidR="00894868" w:rsidRPr="00894868" w:rsidRDefault="00894868" w:rsidP="00EC13E6">
            <w:pPr>
              <w:ind w:right="-957"/>
              <w:rPr>
                <w:rFonts w:ascii="Times New Roman" w:hAnsi="Times New Roman" w:cs="Times New Roman"/>
                <w:b/>
                <w:sz w:val="40"/>
                <w:szCs w:val="20"/>
              </w:rPr>
            </w:pPr>
            <w:r w:rsidRPr="00894868">
              <w:rPr>
                <w:rFonts w:ascii="Times New Roman" w:hAnsi="Times New Roman" w:cs="Times New Roman"/>
                <w:b/>
                <w:sz w:val="40"/>
                <w:szCs w:val="20"/>
              </w:rPr>
              <w:t xml:space="preserve">Learner’s name: Phil Pybus </w:t>
            </w:r>
          </w:p>
          <w:p w14:paraId="02462CD8" w14:textId="77777777" w:rsidR="00894868" w:rsidRPr="00894868" w:rsidRDefault="00894868" w:rsidP="00EC13E6">
            <w:pPr>
              <w:ind w:right="-957"/>
              <w:rPr>
                <w:rFonts w:ascii="Times New Roman" w:hAnsi="Times New Roman" w:cs="Times New Roman"/>
                <w:b/>
                <w:sz w:val="40"/>
                <w:szCs w:val="20"/>
              </w:rPr>
            </w:pPr>
          </w:p>
          <w:p w14:paraId="5933101E" w14:textId="77777777" w:rsidR="00894868" w:rsidRPr="00894868" w:rsidRDefault="00894868" w:rsidP="00EC13E6">
            <w:pPr>
              <w:ind w:right="-957"/>
              <w:rPr>
                <w:rFonts w:ascii="Times New Roman" w:hAnsi="Times New Roman" w:cs="Times New Roman"/>
                <w:b/>
                <w:sz w:val="40"/>
                <w:szCs w:val="20"/>
              </w:rPr>
            </w:pPr>
            <w:r w:rsidRPr="00894868">
              <w:rPr>
                <w:rFonts w:ascii="Times New Roman" w:hAnsi="Times New Roman" w:cs="Times New Roman"/>
                <w:b/>
                <w:sz w:val="40"/>
                <w:szCs w:val="20"/>
              </w:rPr>
              <w:t xml:space="preserve">Email </w:t>
            </w:r>
            <w:proofErr w:type="gramStart"/>
            <w:r w:rsidRPr="00894868">
              <w:rPr>
                <w:rFonts w:ascii="Times New Roman" w:hAnsi="Times New Roman" w:cs="Times New Roman"/>
                <w:b/>
                <w:sz w:val="40"/>
                <w:szCs w:val="20"/>
              </w:rPr>
              <w:t>address:Phil.pybus@wrexham.gov.uk</w:t>
            </w:r>
            <w:proofErr w:type="gramEnd"/>
          </w:p>
          <w:p w14:paraId="16FE2AD7" w14:textId="77777777" w:rsidR="00894868" w:rsidRPr="00894868" w:rsidRDefault="00894868" w:rsidP="00EC13E6">
            <w:pPr>
              <w:ind w:right="-957"/>
              <w:rPr>
                <w:rFonts w:ascii="Times New Roman" w:hAnsi="Times New Roman" w:cs="Times New Roman"/>
                <w:b/>
                <w:sz w:val="40"/>
                <w:szCs w:val="20"/>
              </w:rPr>
            </w:pPr>
          </w:p>
          <w:p w14:paraId="2FBE3FB7" w14:textId="77777777" w:rsidR="00894868" w:rsidRPr="00894868" w:rsidRDefault="00894868" w:rsidP="00EC13E6">
            <w:pPr>
              <w:ind w:right="-957"/>
              <w:rPr>
                <w:rFonts w:ascii="Times New Roman" w:hAnsi="Times New Roman" w:cs="Times New Roman"/>
                <w:b/>
                <w:sz w:val="40"/>
                <w:szCs w:val="20"/>
              </w:rPr>
            </w:pPr>
            <w:r w:rsidRPr="00894868">
              <w:rPr>
                <w:rFonts w:ascii="Times New Roman" w:hAnsi="Times New Roman" w:cs="Times New Roman"/>
                <w:b/>
                <w:sz w:val="40"/>
                <w:szCs w:val="20"/>
              </w:rPr>
              <w:t>Learner’s University Registration Number:</w:t>
            </w:r>
          </w:p>
          <w:p w14:paraId="309F1F81" w14:textId="77777777" w:rsidR="00894868" w:rsidRPr="00894868" w:rsidRDefault="00894868" w:rsidP="00EC13E6">
            <w:pPr>
              <w:ind w:right="-957"/>
              <w:rPr>
                <w:rFonts w:ascii="Times New Roman" w:hAnsi="Times New Roman" w:cs="Times New Roman"/>
                <w:b/>
                <w:sz w:val="40"/>
                <w:szCs w:val="20"/>
              </w:rPr>
            </w:pPr>
            <w:r w:rsidRPr="00894868">
              <w:rPr>
                <w:rFonts w:ascii="Times New Roman" w:hAnsi="Times New Roman" w:cs="Times New Roman"/>
                <w:b/>
                <w:sz w:val="40"/>
                <w:szCs w:val="20"/>
              </w:rPr>
              <w:t>2422519</w:t>
            </w:r>
          </w:p>
          <w:p w14:paraId="63887167" w14:textId="77777777" w:rsidR="00894868" w:rsidRPr="00894868" w:rsidRDefault="00894868" w:rsidP="00EC13E6">
            <w:pPr>
              <w:ind w:right="-957"/>
              <w:rPr>
                <w:rFonts w:ascii="Times New Roman" w:hAnsi="Times New Roman" w:cs="Times New Roman"/>
                <w:b/>
                <w:sz w:val="40"/>
                <w:szCs w:val="20"/>
              </w:rPr>
            </w:pPr>
            <w:r w:rsidRPr="00894868">
              <w:rPr>
                <w:rFonts w:ascii="Times New Roman" w:hAnsi="Times New Roman" w:cs="Times New Roman"/>
                <w:b/>
                <w:sz w:val="40"/>
                <w:szCs w:val="20"/>
              </w:rPr>
              <w:t>Cohort: 21 onwards</w:t>
            </w:r>
          </w:p>
        </w:tc>
      </w:tr>
    </w:tbl>
    <w:p w14:paraId="10EC5D19" w14:textId="5696F29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 xml:space="preserve"> </w:t>
      </w:r>
    </w:p>
    <w:p w14:paraId="36F61F87" w14:textId="3B277B0B" w:rsidR="007D4B20" w:rsidRDefault="00D706EB" w:rsidP="00AD77D3">
      <w:pPr>
        <w:pStyle w:val="Heading1"/>
        <w:spacing w:line="360" w:lineRule="auto"/>
        <w:jc w:val="center"/>
        <w:rPr>
          <w:rFonts w:ascii="Arial" w:hAnsi="Arial" w:cs="Arial"/>
          <w:b/>
          <w:sz w:val="28"/>
          <w:szCs w:val="28"/>
        </w:rPr>
      </w:pPr>
      <w:r w:rsidRPr="00D706EB">
        <w:rPr>
          <w:rFonts w:ascii="Arial" w:hAnsi="Arial" w:cs="Arial"/>
          <w:b/>
          <w:sz w:val="28"/>
          <w:szCs w:val="28"/>
        </w:rPr>
        <w:lastRenderedPageBreak/>
        <w:t>DEVELOPMENTAL REVIEW – Task 1- part a)</w:t>
      </w:r>
    </w:p>
    <w:p w14:paraId="0B4D440D" w14:textId="77777777" w:rsidR="00D706EB" w:rsidRPr="003436B9" w:rsidRDefault="00D706EB" w:rsidP="003436B9">
      <w:pPr>
        <w:pStyle w:val="NormalWeb"/>
        <w:spacing w:line="360" w:lineRule="auto"/>
        <w:jc w:val="both"/>
        <w:rPr>
          <w:rFonts w:ascii="Arial" w:hAnsi="Arial" w:cs="Arial"/>
          <w:sz w:val="22"/>
          <w:szCs w:val="22"/>
        </w:rPr>
      </w:pPr>
    </w:p>
    <w:p w14:paraId="27510381" w14:textId="1C2CF65C" w:rsidR="0088767C" w:rsidRPr="003436B9" w:rsidRDefault="0088767C" w:rsidP="003436B9">
      <w:pPr>
        <w:pStyle w:val="NormalWeb"/>
        <w:spacing w:line="360" w:lineRule="auto"/>
        <w:jc w:val="both"/>
        <w:rPr>
          <w:rFonts w:ascii="Arial" w:hAnsi="Arial" w:cs="Arial"/>
          <w:sz w:val="22"/>
          <w:szCs w:val="22"/>
        </w:rPr>
      </w:pPr>
      <w:r w:rsidRPr="003436B9">
        <w:rPr>
          <w:rFonts w:ascii="Arial" w:hAnsi="Arial" w:cs="Arial"/>
          <w:sz w:val="22"/>
          <w:szCs w:val="22"/>
        </w:rPr>
        <w:t>Within</w:t>
      </w:r>
      <w:r w:rsidR="0066570F" w:rsidRPr="003436B9">
        <w:rPr>
          <w:rFonts w:ascii="Arial" w:hAnsi="Arial" w:cs="Arial"/>
          <w:sz w:val="22"/>
          <w:szCs w:val="22"/>
        </w:rPr>
        <w:t xml:space="preserve"> my first year practicing Social Work, I have gained both a deeper understanding </w:t>
      </w:r>
      <w:r w:rsidR="00091BF4" w:rsidRPr="003436B9">
        <w:rPr>
          <w:rFonts w:ascii="Arial" w:hAnsi="Arial" w:cs="Arial"/>
          <w:sz w:val="22"/>
          <w:szCs w:val="22"/>
        </w:rPr>
        <w:t>and practical</w:t>
      </w:r>
      <w:r w:rsidR="0066570F" w:rsidRPr="003436B9">
        <w:rPr>
          <w:rFonts w:ascii="Arial" w:hAnsi="Arial" w:cs="Arial"/>
          <w:sz w:val="22"/>
          <w:szCs w:val="22"/>
        </w:rPr>
        <w:t xml:space="preserve"> experience in a range of areas within the profession. This reflective task allows opportunity to critically reflect upon some of these areas and utilise reflective practice to identify </w:t>
      </w:r>
      <w:r w:rsidR="00780BF3" w:rsidRPr="003436B9">
        <w:rPr>
          <w:rFonts w:ascii="Arial" w:hAnsi="Arial" w:cs="Arial"/>
          <w:sz w:val="22"/>
          <w:szCs w:val="22"/>
        </w:rPr>
        <w:t>personalised</w:t>
      </w:r>
      <w:r w:rsidR="0066570F" w:rsidRPr="003436B9">
        <w:rPr>
          <w:rFonts w:ascii="Arial" w:hAnsi="Arial" w:cs="Arial"/>
          <w:sz w:val="22"/>
          <w:szCs w:val="22"/>
        </w:rPr>
        <w:t xml:space="preserve"> development targets. </w:t>
      </w:r>
      <w:r w:rsidR="00091BF4" w:rsidRPr="003436B9">
        <w:rPr>
          <w:rFonts w:ascii="Arial" w:hAnsi="Arial" w:cs="Arial"/>
          <w:sz w:val="22"/>
          <w:szCs w:val="22"/>
        </w:rPr>
        <w:t xml:space="preserve">This requirement for practice is a cornerstone of the social service and well-being (Wales) act </w:t>
      </w:r>
      <w:r w:rsidR="0066570F" w:rsidRPr="003436B9">
        <w:rPr>
          <w:rFonts w:ascii="Arial" w:hAnsi="Arial" w:cs="Arial"/>
          <w:sz w:val="22"/>
          <w:szCs w:val="22"/>
        </w:rPr>
        <w:t xml:space="preserve"> </w:t>
      </w:r>
      <w:sdt>
        <w:sdtPr>
          <w:rPr>
            <w:rFonts w:ascii="Arial" w:hAnsi="Arial" w:cs="Arial"/>
            <w:sz w:val="22"/>
            <w:szCs w:val="22"/>
          </w:rPr>
          <w:id w:val="42422214"/>
          <w:citation/>
        </w:sdtPr>
        <w:sdtContent>
          <w:r w:rsidR="0066570F" w:rsidRPr="003436B9">
            <w:rPr>
              <w:rFonts w:ascii="Arial" w:hAnsi="Arial" w:cs="Arial"/>
              <w:sz w:val="22"/>
              <w:szCs w:val="22"/>
            </w:rPr>
            <w:fldChar w:fldCharType="begin"/>
          </w:r>
          <w:r w:rsidR="0066570F" w:rsidRPr="003436B9">
            <w:rPr>
              <w:rFonts w:ascii="Arial" w:hAnsi="Arial" w:cs="Arial"/>
              <w:sz w:val="22"/>
              <w:szCs w:val="22"/>
            </w:rPr>
            <w:instrText xml:space="preserve">CITATION Wel14 \l 2057 </w:instrText>
          </w:r>
          <w:r w:rsidR="0066570F" w:rsidRPr="003436B9">
            <w:rPr>
              <w:rFonts w:ascii="Arial" w:hAnsi="Arial" w:cs="Arial"/>
              <w:sz w:val="22"/>
              <w:szCs w:val="22"/>
            </w:rPr>
            <w:fldChar w:fldCharType="separate"/>
          </w:r>
          <w:r w:rsidR="0066570F" w:rsidRPr="003436B9">
            <w:rPr>
              <w:rFonts w:ascii="Arial" w:hAnsi="Arial" w:cs="Arial"/>
              <w:sz w:val="22"/>
              <w:szCs w:val="22"/>
            </w:rPr>
            <w:t>(Welsh Goverment , 2014)</w:t>
          </w:r>
          <w:r w:rsidR="0066570F" w:rsidRPr="003436B9">
            <w:rPr>
              <w:rFonts w:ascii="Arial" w:hAnsi="Arial" w:cs="Arial"/>
              <w:sz w:val="22"/>
              <w:szCs w:val="22"/>
            </w:rPr>
            <w:fldChar w:fldCharType="end"/>
          </w:r>
        </w:sdtContent>
      </w:sdt>
      <w:r w:rsidR="00091BF4" w:rsidRPr="003436B9">
        <w:rPr>
          <w:rFonts w:ascii="Arial" w:hAnsi="Arial" w:cs="Arial"/>
          <w:sz w:val="22"/>
          <w:szCs w:val="22"/>
        </w:rPr>
        <w:t xml:space="preserve"> bolstering professional accountability by ensuring practitioners tailor interventions to meet the individual’s needs</w:t>
      </w:r>
      <w:r w:rsidR="00780BF3" w:rsidRPr="003436B9">
        <w:rPr>
          <w:rFonts w:ascii="Arial" w:hAnsi="Arial" w:cs="Arial"/>
          <w:sz w:val="22"/>
          <w:szCs w:val="22"/>
        </w:rPr>
        <w:t xml:space="preserve">. </w:t>
      </w:r>
      <w:r w:rsidR="00E53169" w:rsidRPr="003436B9">
        <w:rPr>
          <w:rFonts w:ascii="Arial" w:hAnsi="Arial" w:cs="Arial"/>
          <w:sz w:val="22"/>
          <w:szCs w:val="22"/>
        </w:rPr>
        <w:t>S</w:t>
      </w:r>
      <w:r w:rsidR="00780BF3" w:rsidRPr="003436B9">
        <w:rPr>
          <w:rFonts w:ascii="Arial" w:hAnsi="Arial" w:cs="Arial"/>
          <w:sz w:val="22"/>
          <w:szCs w:val="22"/>
        </w:rPr>
        <w:t>crutinis</w:t>
      </w:r>
      <w:r w:rsidR="00E53169" w:rsidRPr="003436B9">
        <w:rPr>
          <w:rFonts w:ascii="Arial" w:hAnsi="Arial" w:cs="Arial"/>
          <w:sz w:val="22"/>
          <w:szCs w:val="22"/>
        </w:rPr>
        <w:t>ing</w:t>
      </w:r>
      <w:r w:rsidR="00780BF3" w:rsidRPr="003436B9">
        <w:rPr>
          <w:rFonts w:ascii="Arial" w:hAnsi="Arial" w:cs="Arial"/>
          <w:sz w:val="22"/>
          <w:szCs w:val="22"/>
        </w:rPr>
        <w:t xml:space="preserve"> my own actions and the impact</w:t>
      </w:r>
      <w:r w:rsidR="00091BF4" w:rsidRPr="003436B9">
        <w:rPr>
          <w:rFonts w:ascii="Arial" w:hAnsi="Arial" w:cs="Arial"/>
          <w:sz w:val="22"/>
          <w:szCs w:val="22"/>
        </w:rPr>
        <w:t xml:space="preserve"> </w:t>
      </w:r>
      <w:r w:rsidR="00780BF3" w:rsidRPr="003436B9">
        <w:rPr>
          <w:rFonts w:ascii="Arial" w:hAnsi="Arial" w:cs="Arial"/>
          <w:sz w:val="22"/>
          <w:szCs w:val="22"/>
        </w:rPr>
        <w:t>these have had for those I support, offer</w:t>
      </w:r>
      <w:r w:rsidR="00E53169" w:rsidRPr="003436B9">
        <w:rPr>
          <w:rFonts w:ascii="Arial" w:hAnsi="Arial" w:cs="Arial"/>
          <w:sz w:val="22"/>
          <w:szCs w:val="22"/>
        </w:rPr>
        <w:t>s opportunity for development of future practice and professional development.</w:t>
      </w:r>
    </w:p>
    <w:p w14:paraId="72841212" w14:textId="77777777" w:rsidR="0086736C" w:rsidRDefault="0086736C" w:rsidP="00AD77D3">
      <w:pPr>
        <w:spacing w:line="360" w:lineRule="auto"/>
      </w:pPr>
    </w:p>
    <w:p w14:paraId="1F1BDED7" w14:textId="0B408EF6" w:rsidR="00575321" w:rsidRDefault="00001968" w:rsidP="00AD77D3">
      <w:pPr>
        <w:spacing w:line="360" w:lineRule="auto"/>
        <w:jc w:val="center"/>
      </w:pPr>
      <w:r w:rsidRPr="00001968">
        <w:rPr>
          <w:i/>
          <w:iCs/>
        </w:rPr>
        <w:t>"Learning is the process whereby knowledge is created through the transformation of experience"</w:t>
      </w:r>
      <w:r w:rsidRPr="00001968">
        <w:t> </w:t>
      </w:r>
      <w:sdt>
        <w:sdtPr>
          <w:id w:val="164212042"/>
          <w:citation/>
        </w:sdtPr>
        <w:sdtContent>
          <w:r>
            <w:fldChar w:fldCharType="begin"/>
          </w:r>
          <w:r>
            <w:instrText xml:space="preserve"> CITATION DAK84 \l 2057 </w:instrText>
          </w:r>
          <w:r>
            <w:fldChar w:fldCharType="separate"/>
          </w:r>
          <w:r>
            <w:rPr>
              <w:noProof/>
            </w:rPr>
            <w:t>(D.A Kolb, 1984)</w:t>
          </w:r>
          <w:r>
            <w:fldChar w:fldCharType="end"/>
          </w:r>
        </w:sdtContent>
      </w:sdt>
    </w:p>
    <w:p w14:paraId="24BF86CC" w14:textId="77777777" w:rsidR="005B692D" w:rsidRPr="003436B9" w:rsidRDefault="005B692D" w:rsidP="003436B9">
      <w:pPr>
        <w:pStyle w:val="Heading1"/>
        <w:rPr>
          <w:rFonts w:ascii="Segoe UI" w:hAnsi="Segoe UI" w:cs="Segoe UI"/>
          <w:sz w:val="18"/>
          <w:szCs w:val="18"/>
        </w:rPr>
      </w:pPr>
      <w:r w:rsidRPr="003436B9">
        <w:rPr>
          <w:sz w:val="32"/>
          <w:szCs w:val="32"/>
        </w:rPr>
        <w:t>Question 1</w:t>
      </w:r>
      <w:r w:rsidRPr="003436B9">
        <w:rPr>
          <w:rFonts w:ascii="Segoe UI" w:hAnsi="Segoe UI" w:cs="Segoe UI"/>
          <w:sz w:val="18"/>
          <w:szCs w:val="18"/>
        </w:rPr>
        <w:t xml:space="preserve"> </w:t>
      </w:r>
    </w:p>
    <w:p w14:paraId="460A3224" w14:textId="786062E9" w:rsidR="005B692D" w:rsidRPr="003436B9" w:rsidRDefault="005B692D" w:rsidP="003436B9">
      <w:pPr>
        <w:pStyle w:val="NormalWeb"/>
        <w:spacing w:line="360" w:lineRule="auto"/>
        <w:jc w:val="both"/>
        <w:rPr>
          <w:rFonts w:ascii="Arial" w:hAnsi="Arial" w:cs="Arial"/>
          <w:sz w:val="22"/>
          <w:szCs w:val="22"/>
        </w:rPr>
      </w:pPr>
      <w:r w:rsidRPr="003436B9">
        <w:rPr>
          <w:rFonts w:ascii="Arial" w:hAnsi="Arial" w:cs="Arial"/>
          <w:sz w:val="22"/>
          <w:szCs w:val="22"/>
        </w:rPr>
        <w:t>Based in Family Centres and practising within the parenting team as a substance misuse social worker, I have used a range of assessment tools and models throughout my first year in practice. Engaging with role</w:t>
      </w:r>
      <w:r w:rsidRPr="003436B9">
        <w:rPr>
          <w:rFonts w:ascii="Arial" w:hAnsi="Arial" w:cs="Arial"/>
          <w:sz w:val="22"/>
          <w:szCs w:val="22"/>
        </w:rPr>
        <w:noBreakHyphen/>
        <w:t>specific training has strengthened my confidence, but it has also highlighted clear areas for further development. Working with families experiencing substance misuse has reinforced the importance of assessing their circumstances within the context of wider family chronology and community history (Bacon, 2019). This experiential learning has shown me that traditional, treatment</w:t>
      </w:r>
      <w:r w:rsidRPr="003436B9">
        <w:rPr>
          <w:rFonts w:ascii="Arial" w:hAnsi="Arial" w:cs="Arial"/>
          <w:sz w:val="22"/>
          <w:szCs w:val="22"/>
        </w:rPr>
        <w:noBreakHyphen/>
        <w:t>focused approaches—such as those aligned with the Questioning Model (Smale, 1993)—are limited without a deeper understanding of lived experience.</w:t>
      </w:r>
    </w:p>
    <w:p w14:paraId="103258BC" w14:textId="77777777" w:rsidR="005B692D" w:rsidRPr="003436B9" w:rsidRDefault="005B692D" w:rsidP="003436B9">
      <w:pPr>
        <w:pStyle w:val="NormalWeb"/>
        <w:spacing w:line="360" w:lineRule="auto"/>
        <w:jc w:val="both"/>
        <w:rPr>
          <w:rFonts w:ascii="Arial" w:hAnsi="Arial" w:cs="Arial"/>
          <w:sz w:val="22"/>
          <w:szCs w:val="22"/>
        </w:rPr>
      </w:pPr>
      <w:r w:rsidRPr="003436B9">
        <w:rPr>
          <w:rFonts w:ascii="Arial" w:hAnsi="Arial" w:cs="Arial"/>
          <w:sz w:val="22"/>
          <w:szCs w:val="22"/>
        </w:rPr>
        <w:t>Adopting qualitative, person</w:t>
      </w:r>
      <w:r w:rsidRPr="003436B9">
        <w:rPr>
          <w:rFonts w:ascii="Arial" w:hAnsi="Arial" w:cs="Arial"/>
          <w:sz w:val="22"/>
          <w:szCs w:val="22"/>
        </w:rPr>
        <w:noBreakHyphen/>
        <w:t>led assessment approaches has enabled individuals to articulate their goals and begin working towards self</w:t>
      </w:r>
      <w:r w:rsidRPr="003436B9">
        <w:rPr>
          <w:rFonts w:ascii="Arial" w:hAnsi="Arial" w:cs="Arial"/>
          <w:sz w:val="22"/>
          <w:szCs w:val="22"/>
        </w:rPr>
        <w:noBreakHyphen/>
        <w:t>directed change. Observing the value of this has shaped my own goal</w:t>
      </w:r>
      <w:r w:rsidRPr="003436B9">
        <w:rPr>
          <w:rFonts w:ascii="Arial" w:hAnsi="Arial" w:cs="Arial"/>
          <w:sz w:val="22"/>
          <w:szCs w:val="22"/>
        </w:rPr>
        <w:noBreakHyphen/>
        <w:t>setting, motivating me to strengthen my skills in methods that promote readiness, motivation, and sustained behavioural change.</w:t>
      </w:r>
    </w:p>
    <w:p w14:paraId="1AD85D28" w14:textId="5DAC1E5B" w:rsidR="005B692D" w:rsidRPr="003436B9" w:rsidRDefault="005B692D" w:rsidP="003436B9">
      <w:pPr>
        <w:pStyle w:val="NormalWeb"/>
        <w:spacing w:line="360" w:lineRule="auto"/>
        <w:jc w:val="both"/>
        <w:rPr>
          <w:rFonts w:ascii="Arial" w:hAnsi="Arial" w:cs="Arial"/>
          <w:sz w:val="22"/>
          <w:szCs w:val="22"/>
        </w:rPr>
      </w:pPr>
      <w:r w:rsidRPr="003436B9">
        <w:rPr>
          <w:rFonts w:ascii="Arial" w:hAnsi="Arial" w:cs="Arial"/>
          <w:sz w:val="22"/>
          <w:szCs w:val="22"/>
        </w:rPr>
        <w:t xml:space="preserve">Facilitating a range of parenting programmes has further broadened my intervention skills, yet it has also highlighted the need to develop greater confidence in contextual analysis and in recognising factors that influence a parent’s capacity to change. Therefore, my key goal for </w:t>
      </w:r>
      <w:r w:rsidRPr="003436B9">
        <w:rPr>
          <w:rFonts w:ascii="Arial" w:hAnsi="Arial" w:cs="Arial"/>
          <w:sz w:val="22"/>
          <w:szCs w:val="22"/>
        </w:rPr>
        <w:lastRenderedPageBreak/>
        <w:t>the coming year is to undertake advanced training in in</w:t>
      </w:r>
      <w:r w:rsidRPr="003436B9">
        <w:rPr>
          <w:rFonts w:ascii="Arial" w:hAnsi="Arial" w:cs="Arial"/>
          <w:sz w:val="22"/>
          <w:szCs w:val="22"/>
        </w:rPr>
        <w:noBreakHyphen/>
        <w:t>depth assessment and contextual analysis to ensure my interventions are timely, responsive, and effective.</w:t>
      </w:r>
    </w:p>
    <w:p w14:paraId="64B83C76" w14:textId="784DACF7" w:rsidR="00575321" w:rsidRPr="003436B9" w:rsidRDefault="005B692D" w:rsidP="003436B9">
      <w:pPr>
        <w:pStyle w:val="Heading1"/>
        <w:rPr>
          <w:sz w:val="32"/>
          <w:szCs w:val="32"/>
        </w:rPr>
      </w:pPr>
      <w:r w:rsidRPr="003436B9">
        <w:rPr>
          <w:sz w:val="32"/>
          <w:szCs w:val="32"/>
        </w:rPr>
        <w:t xml:space="preserve">Question 2 </w:t>
      </w:r>
    </w:p>
    <w:p w14:paraId="7DE54B9D" w14:textId="77777777" w:rsidR="003436B9" w:rsidRPr="003436B9" w:rsidRDefault="003436B9" w:rsidP="003436B9">
      <w:pPr>
        <w:spacing w:line="360" w:lineRule="auto"/>
        <w:jc w:val="both"/>
        <w:rPr>
          <w:rFonts w:ascii="Arial" w:hAnsi="Arial" w:cs="Arial"/>
          <w:sz w:val="22"/>
          <w:szCs w:val="22"/>
        </w:rPr>
      </w:pPr>
      <w:r w:rsidRPr="003436B9">
        <w:rPr>
          <w:rFonts w:ascii="Arial" w:hAnsi="Arial" w:cs="Arial"/>
          <w:sz w:val="22"/>
          <w:szCs w:val="22"/>
        </w:rPr>
        <w:t>As outlined in the Code of Professional Practice (COPP) (Wales, 2017), social care professionals must place a person</w:t>
      </w:r>
      <w:r w:rsidRPr="003436B9">
        <w:rPr>
          <w:rFonts w:ascii="Arial" w:hAnsi="Arial" w:cs="Arial"/>
          <w:sz w:val="22"/>
          <w:szCs w:val="22"/>
        </w:rPr>
        <w:noBreakHyphen/>
        <w:t>centred approach at the core of their practice. Within my role, therapeutic and collaborative models have demonstrated how encouraging family members to take ownership of their support significantly enhances motivation and engagement in change. Throughout the goal</w:t>
      </w:r>
      <w:r w:rsidRPr="003436B9">
        <w:rPr>
          <w:rFonts w:ascii="Arial" w:hAnsi="Arial" w:cs="Arial"/>
          <w:sz w:val="22"/>
          <w:szCs w:val="22"/>
        </w:rPr>
        <w:noBreakHyphen/>
        <w:t>setting process, I have supported families to identify the changes they believe would improve their circumstances, adopting a ‘walking alongside’ approach that strengthens relationship</w:t>
      </w:r>
      <w:r w:rsidRPr="003436B9">
        <w:rPr>
          <w:rFonts w:ascii="Arial" w:hAnsi="Arial" w:cs="Arial"/>
          <w:sz w:val="22"/>
          <w:szCs w:val="22"/>
        </w:rPr>
        <w:noBreakHyphen/>
        <w:t>based practice (Ness, 2014).</w:t>
      </w:r>
    </w:p>
    <w:p w14:paraId="6092CF9A" w14:textId="77777777" w:rsidR="003436B9" w:rsidRPr="003436B9" w:rsidRDefault="003436B9" w:rsidP="003436B9">
      <w:pPr>
        <w:spacing w:line="360" w:lineRule="auto"/>
        <w:jc w:val="both"/>
        <w:rPr>
          <w:rFonts w:ascii="Arial" w:hAnsi="Arial" w:cs="Arial"/>
          <w:sz w:val="22"/>
          <w:szCs w:val="22"/>
        </w:rPr>
      </w:pPr>
      <w:r w:rsidRPr="003436B9">
        <w:rPr>
          <w:rFonts w:ascii="Arial" w:hAnsi="Arial" w:cs="Arial"/>
          <w:sz w:val="22"/>
          <w:szCs w:val="22"/>
        </w:rPr>
        <w:t>Kolb’s experiential learning cycle has been central to shaping this aspect of my development. The concrete experience of working directly with families, combined with reflective observation of what promotes readiness and motivation, has helped me conceptualise the value of co</w:t>
      </w:r>
      <w:r w:rsidRPr="003436B9">
        <w:rPr>
          <w:rFonts w:ascii="Arial" w:hAnsi="Arial" w:cs="Arial"/>
          <w:sz w:val="22"/>
          <w:szCs w:val="22"/>
        </w:rPr>
        <w:noBreakHyphen/>
        <w:t>produced goals. Moving into active experimentation, I am developing more structured ways to support families in monitoring their progress, ensuring my practice remains iterative and responsive. This cyclical reflection has also highlighted areas where I need further growth.</w:t>
      </w:r>
    </w:p>
    <w:p w14:paraId="7B3333AA" w14:textId="77777777" w:rsidR="003436B9" w:rsidRPr="003436B9" w:rsidRDefault="003436B9" w:rsidP="003436B9">
      <w:pPr>
        <w:spacing w:line="360" w:lineRule="auto"/>
        <w:jc w:val="both"/>
        <w:rPr>
          <w:rFonts w:ascii="Arial" w:hAnsi="Arial" w:cs="Arial"/>
          <w:sz w:val="22"/>
          <w:szCs w:val="22"/>
        </w:rPr>
      </w:pPr>
      <w:r w:rsidRPr="003436B9">
        <w:rPr>
          <w:rFonts w:ascii="Arial" w:hAnsi="Arial" w:cs="Arial"/>
          <w:sz w:val="22"/>
          <w:szCs w:val="22"/>
        </w:rPr>
        <w:t>Alongside this, I have become increasingly aware of the complexity of balancing empowerment with safeguarding responsibilities. My role frequently involves collaboration across inter</w:t>
      </w:r>
      <w:r w:rsidRPr="003436B9">
        <w:rPr>
          <w:rFonts w:ascii="Arial" w:hAnsi="Arial" w:cs="Arial"/>
          <w:sz w:val="22"/>
          <w:szCs w:val="22"/>
        </w:rPr>
        <w:noBreakHyphen/>
        <w:t>departmental and inter</w:t>
      </w:r>
      <w:r w:rsidRPr="003436B9">
        <w:rPr>
          <w:rFonts w:ascii="Arial" w:hAnsi="Arial" w:cs="Arial"/>
          <w:sz w:val="22"/>
          <w:szCs w:val="22"/>
        </w:rPr>
        <w:noBreakHyphen/>
        <w:t>disciplinary teams while advocating for parents involved in the Child Protection system. Acting as a bridge between adult services and children’s safeguarding teams has reinforced the importance of cohesive, collaborative frameworks.</w:t>
      </w:r>
    </w:p>
    <w:p w14:paraId="7FF68AAE" w14:textId="151AB44D" w:rsidR="00575321" w:rsidRPr="00593B6C" w:rsidRDefault="003436B9" w:rsidP="003436B9">
      <w:pPr>
        <w:spacing w:line="360" w:lineRule="auto"/>
        <w:jc w:val="both"/>
        <w:rPr>
          <w:rFonts w:ascii="Arial" w:hAnsi="Arial" w:cs="Arial"/>
          <w:sz w:val="22"/>
          <w:szCs w:val="22"/>
        </w:rPr>
      </w:pPr>
      <w:r w:rsidRPr="003436B9">
        <w:rPr>
          <w:rFonts w:ascii="Arial" w:hAnsi="Arial" w:cs="Arial"/>
          <w:sz w:val="22"/>
          <w:szCs w:val="22"/>
        </w:rPr>
        <w:t>As a result, a key professional development goal I have identified is to undertake training in the Signs of Safety model. Its emphasis on collaborative safety planning aligns with my evolving practice and will strengthen my ability to support families with complex needs effectively.</w:t>
      </w:r>
    </w:p>
    <w:p w14:paraId="4CAA7275" w14:textId="53A005ED" w:rsidR="00D77EA7" w:rsidRPr="003436B9" w:rsidRDefault="00D77EA7" w:rsidP="003436B9">
      <w:pPr>
        <w:pStyle w:val="Heading1"/>
        <w:rPr>
          <w:sz w:val="32"/>
          <w:szCs w:val="32"/>
        </w:rPr>
      </w:pPr>
      <w:r w:rsidRPr="003436B9">
        <w:rPr>
          <w:sz w:val="32"/>
          <w:szCs w:val="32"/>
        </w:rPr>
        <w:t>Question 3</w:t>
      </w:r>
    </w:p>
    <w:p w14:paraId="7857D119" w14:textId="77777777" w:rsidR="005766BB" w:rsidRPr="005766BB" w:rsidRDefault="005766BB" w:rsidP="003436B9">
      <w:pPr>
        <w:spacing w:line="360" w:lineRule="auto"/>
        <w:jc w:val="both"/>
        <w:rPr>
          <w:rFonts w:ascii="Arial" w:hAnsi="Arial" w:cs="Arial"/>
          <w:sz w:val="22"/>
          <w:szCs w:val="22"/>
        </w:rPr>
      </w:pPr>
      <w:r w:rsidRPr="005766BB">
        <w:rPr>
          <w:rFonts w:ascii="Arial" w:hAnsi="Arial" w:cs="Arial"/>
          <w:sz w:val="22"/>
          <w:szCs w:val="22"/>
        </w:rPr>
        <w:t>Within my current setting of Family Centres, well</w:t>
      </w:r>
      <w:r w:rsidRPr="005766BB">
        <w:rPr>
          <w:rFonts w:ascii="Arial" w:hAnsi="Arial" w:cs="Arial"/>
          <w:sz w:val="22"/>
          <w:szCs w:val="22"/>
        </w:rPr>
        <w:noBreakHyphen/>
        <w:t>established mechanisms for inter</w:t>
      </w:r>
      <w:r w:rsidRPr="005766BB">
        <w:rPr>
          <w:rFonts w:ascii="Arial" w:hAnsi="Arial" w:cs="Arial"/>
          <w:sz w:val="22"/>
          <w:szCs w:val="22"/>
        </w:rPr>
        <w:noBreakHyphen/>
        <w:t>team collaboration and partnership working create a dynamic learning environment. Frequent, informal case discussions draw on a wide range of professional perspectives, experiential knowledge, and diverse training backgrounds. This multi</w:t>
      </w:r>
      <w:r w:rsidRPr="005766BB">
        <w:rPr>
          <w:rFonts w:ascii="Arial" w:hAnsi="Arial" w:cs="Arial"/>
          <w:sz w:val="22"/>
          <w:szCs w:val="22"/>
        </w:rPr>
        <w:noBreakHyphen/>
        <w:t>intervention ethos—designed to support whole families in achieving well</w:t>
      </w:r>
      <w:r w:rsidRPr="005766BB">
        <w:rPr>
          <w:rFonts w:ascii="Arial" w:hAnsi="Arial" w:cs="Arial"/>
          <w:sz w:val="22"/>
          <w:szCs w:val="22"/>
        </w:rPr>
        <w:noBreakHyphen/>
        <w:t>defined outcomes—encourages practitioners to consider their work through the lens of individual intersectionality (Thompson, 2016).</w:t>
      </w:r>
    </w:p>
    <w:p w14:paraId="5BFDA7CA" w14:textId="77777777" w:rsidR="005766BB" w:rsidRPr="005766BB" w:rsidRDefault="005766BB" w:rsidP="003436B9">
      <w:pPr>
        <w:spacing w:line="360" w:lineRule="auto"/>
        <w:jc w:val="both"/>
        <w:rPr>
          <w:rFonts w:ascii="Arial" w:hAnsi="Arial" w:cs="Arial"/>
          <w:sz w:val="22"/>
          <w:szCs w:val="22"/>
        </w:rPr>
      </w:pPr>
      <w:r w:rsidRPr="005766BB">
        <w:rPr>
          <w:rFonts w:ascii="Arial" w:hAnsi="Arial" w:cs="Arial"/>
          <w:sz w:val="22"/>
          <w:szCs w:val="22"/>
        </w:rPr>
        <w:lastRenderedPageBreak/>
        <w:t>Reflecting on this environment through Kolb’s experiential learning cycle has helped me understand how collaboration has shaped my practice. The concrete experiences of working alongside colleagues with varied expertise, followed by reflective observation during case discussions, have enabled me to conceptualise the value of shared professional insight in strengthening decision</w:t>
      </w:r>
      <w:r w:rsidRPr="005766BB">
        <w:rPr>
          <w:rFonts w:ascii="Arial" w:hAnsi="Arial" w:cs="Arial"/>
          <w:sz w:val="22"/>
          <w:szCs w:val="22"/>
        </w:rPr>
        <w:noBreakHyphen/>
        <w:t>making. Moving into active experimentation, I am increasingly aware of the need for structured spaces that deepen reflective practice and enhance team cohesion.</w:t>
      </w:r>
    </w:p>
    <w:p w14:paraId="5363A407" w14:textId="5FE886FF" w:rsidR="005766BB" w:rsidRPr="003436B9" w:rsidRDefault="00AD03C8" w:rsidP="003436B9">
      <w:pPr>
        <w:spacing w:line="360" w:lineRule="auto"/>
        <w:jc w:val="both"/>
        <w:rPr>
          <w:rFonts w:ascii="Arial" w:hAnsi="Arial" w:cs="Arial"/>
          <w:sz w:val="22"/>
          <w:szCs w:val="22"/>
        </w:rPr>
      </w:pPr>
      <w:r w:rsidRPr="00AD03C8">
        <w:rPr>
          <w:rFonts w:ascii="Arial" w:hAnsi="Arial" w:cs="Arial"/>
          <w:sz w:val="22"/>
          <w:szCs w:val="22"/>
        </w:rPr>
        <w:t>Recent discussions among case</w:t>
      </w:r>
      <w:r w:rsidRPr="00AD03C8">
        <w:rPr>
          <w:rFonts w:ascii="Arial" w:hAnsi="Arial" w:cs="Arial"/>
          <w:sz w:val="22"/>
          <w:szCs w:val="22"/>
        </w:rPr>
        <w:noBreakHyphen/>
        <w:t>holding practitioners have highlighted the potential benefit of dedicated group supervision to explore complex cases collectively. Aligning this with my experiential learning, a key development goal for the coming year is to take proactive steps toward establishing a structured model for group supervision. Embedding this approach would strengthen reflective practice across the team, support consistent and cohesive interventions, and contribute to improved outcomes for the families we work with. Incorporating established frameworks such as Siobhan Maclean’s 4×4×4 model of supervision can provide a clear structure for group work, promote reflective dialogue, and help ensure that supervision remains purposeful, balanced, and grounded in best practice (Maclean, 2015).</w:t>
      </w:r>
    </w:p>
    <w:p w14:paraId="783B52B8" w14:textId="2C36CC51" w:rsidR="00780BF3" w:rsidRDefault="00780BF3" w:rsidP="00AD77D3">
      <w:pPr>
        <w:spacing w:line="360" w:lineRule="auto"/>
      </w:pPr>
    </w:p>
    <w:p w14:paraId="798F7575" w14:textId="576C4B74" w:rsidR="00AD77D3" w:rsidRDefault="00AD77D3" w:rsidP="00AD77D3">
      <w:pPr>
        <w:spacing w:line="360" w:lineRule="auto"/>
        <w:rPr>
          <w:sz w:val="18"/>
          <w:szCs w:val="18"/>
        </w:rPr>
      </w:pPr>
      <w:r w:rsidRPr="00AD77D3">
        <w:rPr>
          <w:sz w:val="18"/>
          <w:szCs w:val="18"/>
        </w:rPr>
        <w:t>Word count</w:t>
      </w:r>
      <w:r>
        <w:rPr>
          <w:sz w:val="18"/>
          <w:szCs w:val="18"/>
        </w:rPr>
        <w:t xml:space="preserve">: </w:t>
      </w:r>
      <w:r w:rsidRPr="00AD77D3">
        <w:rPr>
          <w:sz w:val="18"/>
          <w:szCs w:val="18"/>
        </w:rPr>
        <w:t>8</w:t>
      </w:r>
      <w:r w:rsidR="00894868">
        <w:rPr>
          <w:sz w:val="18"/>
          <w:szCs w:val="18"/>
        </w:rPr>
        <w:t>23</w:t>
      </w:r>
    </w:p>
    <w:p w14:paraId="5F94E922" w14:textId="77777777" w:rsidR="00AD77D3" w:rsidRDefault="00AD77D3" w:rsidP="00AD77D3">
      <w:pPr>
        <w:spacing w:line="360" w:lineRule="auto"/>
        <w:rPr>
          <w:sz w:val="18"/>
          <w:szCs w:val="18"/>
        </w:rPr>
      </w:pPr>
    </w:p>
    <w:p w14:paraId="6D60E560" w14:textId="77777777" w:rsidR="00AD77D3" w:rsidRDefault="00AD77D3" w:rsidP="00AD77D3">
      <w:pPr>
        <w:spacing w:line="360" w:lineRule="auto"/>
        <w:rPr>
          <w:sz w:val="18"/>
          <w:szCs w:val="18"/>
        </w:rPr>
      </w:pPr>
    </w:p>
    <w:p w14:paraId="5F80827B" w14:textId="77777777" w:rsidR="00CF36DA" w:rsidRDefault="00CF36DA" w:rsidP="00AD77D3">
      <w:pPr>
        <w:spacing w:line="360" w:lineRule="auto"/>
        <w:rPr>
          <w:sz w:val="18"/>
          <w:szCs w:val="18"/>
        </w:rPr>
      </w:pPr>
    </w:p>
    <w:p w14:paraId="783B703D" w14:textId="77777777" w:rsidR="00CF36DA" w:rsidRDefault="00CF36DA" w:rsidP="00AD77D3">
      <w:pPr>
        <w:spacing w:line="360" w:lineRule="auto"/>
        <w:rPr>
          <w:sz w:val="18"/>
          <w:szCs w:val="18"/>
        </w:rPr>
      </w:pPr>
    </w:p>
    <w:p w14:paraId="140103B9" w14:textId="77777777" w:rsidR="00CF36DA" w:rsidRDefault="00CF36DA" w:rsidP="00AD77D3">
      <w:pPr>
        <w:spacing w:line="360" w:lineRule="auto"/>
        <w:rPr>
          <w:sz w:val="18"/>
          <w:szCs w:val="18"/>
        </w:rPr>
      </w:pPr>
    </w:p>
    <w:p w14:paraId="2DB4D626" w14:textId="77777777" w:rsidR="00CF36DA" w:rsidRDefault="00CF36DA" w:rsidP="00AD77D3">
      <w:pPr>
        <w:spacing w:line="360" w:lineRule="auto"/>
        <w:rPr>
          <w:sz w:val="18"/>
          <w:szCs w:val="18"/>
        </w:rPr>
      </w:pPr>
    </w:p>
    <w:p w14:paraId="3CCC5B29" w14:textId="77777777" w:rsidR="00CF36DA" w:rsidRDefault="00CF36DA" w:rsidP="00AD77D3">
      <w:pPr>
        <w:spacing w:line="360" w:lineRule="auto"/>
        <w:rPr>
          <w:sz w:val="18"/>
          <w:szCs w:val="18"/>
        </w:rPr>
      </w:pPr>
    </w:p>
    <w:p w14:paraId="454B811D" w14:textId="77777777" w:rsidR="00CF36DA" w:rsidRDefault="00CF36DA" w:rsidP="00AD77D3">
      <w:pPr>
        <w:spacing w:line="360" w:lineRule="auto"/>
        <w:rPr>
          <w:sz w:val="18"/>
          <w:szCs w:val="18"/>
        </w:rPr>
      </w:pPr>
    </w:p>
    <w:p w14:paraId="6257528A" w14:textId="77777777" w:rsidR="00CF36DA" w:rsidRDefault="00CF36DA" w:rsidP="00AD77D3">
      <w:pPr>
        <w:spacing w:line="360" w:lineRule="auto"/>
        <w:rPr>
          <w:sz w:val="18"/>
          <w:szCs w:val="18"/>
        </w:rPr>
      </w:pPr>
    </w:p>
    <w:p w14:paraId="4D35C71C" w14:textId="77777777" w:rsidR="00CF36DA" w:rsidRDefault="00CF36DA" w:rsidP="00AD77D3">
      <w:pPr>
        <w:spacing w:line="360" w:lineRule="auto"/>
        <w:rPr>
          <w:sz w:val="18"/>
          <w:szCs w:val="18"/>
        </w:rPr>
      </w:pPr>
    </w:p>
    <w:p w14:paraId="460DCA09" w14:textId="77777777" w:rsidR="00CF36DA" w:rsidRDefault="00CF36DA" w:rsidP="00AD77D3">
      <w:pPr>
        <w:spacing w:line="360" w:lineRule="auto"/>
        <w:rPr>
          <w:sz w:val="18"/>
          <w:szCs w:val="18"/>
        </w:rPr>
      </w:pPr>
    </w:p>
    <w:p w14:paraId="6F6AE8B9" w14:textId="77777777" w:rsidR="00CF36DA" w:rsidRDefault="00CF36DA" w:rsidP="00AD77D3">
      <w:pPr>
        <w:spacing w:line="360" w:lineRule="auto"/>
        <w:rPr>
          <w:sz w:val="18"/>
          <w:szCs w:val="18"/>
        </w:rPr>
      </w:pPr>
    </w:p>
    <w:p w14:paraId="477A116A" w14:textId="77777777" w:rsidR="00CF36DA" w:rsidRDefault="00CF36DA" w:rsidP="00CF36DA">
      <w:pPr>
        <w:pStyle w:val="Heading1"/>
        <w:jc w:val="center"/>
      </w:pPr>
      <w:r w:rsidRPr="00D706EB">
        <w:lastRenderedPageBreak/>
        <w:t xml:space="preserve">DEVELOPMENTAL REVIEW – Task 1- part </w:t>
      </w:r>
      <w:r>
        <w:t>B</w:t>
      </w:r>
      <w:r w:rsidRPr="00D706EB">
        <w:t>)</w:t>
      </w:r>
    </w:p>
    <w:p w14:paraId="30FAEB4C" w14:textId="77777777" w:rsidR="00CF36DA" w:rsidRDefault="00CF36DA" w:rsidP="00CF36DA"/>
    <w:p w14:paraId="252189A5" w14:textId="77777777" w:rsidR="00CF36DA" w:rsidRDefault="00CF36DA" w:rsidP="00CF36DA">
      <w:pPr>
        <w:pStyle w:val="Heading1"/>
        <w:rPr>
          <w:sz w:val="32"/>
          <w:szCs w:val="32"/>
        </w:rPr>
      </w:pPr>
      <w:r w:rsidRPr="005A5D4C">
        <w:rPr>
          <w:sz w:val="32"/>
          <w:szCs w:val="32"/>
        </w:rPr>
        <w:t xml:space="preserve">Introduction </w:t>
      </w:r>
    </w:p>
    <w:p w14:paraId="12AA39EA" w14:textId="77777777" w:rsidR="00CF36DA" w:rsidRPr="00FA1A78" w:rsidRDefault="00CF36DA" w:rsidP="00CF36DA">
      <w:pPr>
        <w:spacing w:line="360" w:lineRule="auto"/>
        <w:jc w:val="both"/>
        <w:rPr>
          <w:rFonts w:ascii="Arial" w:hAnsi="Arial" w:cs="Arial"/>
          <w:sz w:val="22"/>
          <w:szCs w:val="22"/>
        </w:rPr>
      </w:pPr>
      <w:r w:rsidRPr="00FA1A78">
        <w:rPr>
          <w:rFonts w:ascii="Arial" w:hAnsi="Arial" w:cs="Arial"/>
          <w:color w:val="424242"/>
          <w:sz w:val="22"/>
          <w:szCs w:val="22"/>
          <w:shd w:val="clear" w:color="auto" w:fill="FAFAFA"/>
        </w:rPr>
        <w:t>Since writing Part A, I have continued to develop professionally and personally through experiential learning, academic study, and reflective supervision. Working within the legislative context of Wales, particularly the Social Services and Well</w:t>
      </w:r>
      <w:r w:rsidRPr="00FA1A78">
        <w:rPr>
          <w:rFonts w:ascii="Arial" w:hAnsi="Arial" w:cs="Arial"/>
          <w:color w:val="424242"/>
          <w:sz w:val="22"/>
          <w:szCs w:val="22"/>
          <w:shd w:val="clear" w:color="auto" w:fill="FAFAFA"/>
        </w:rPr>
        <w:noBreakHyphen/>
        <w:t>being (Wales) Act 2014 and the Code of Professional Practice, has reinforced the need for ongoing critical reflection as a foundation for safe and accountable practice. As my caseload has grown, so too has my understanding of reflexive practice—recognising how my values, assumptions, and experiences shape interventions and relationships with families. Kolb’s experiential learning cycle remains central to this process; the interplay between concrete experience, reflective observation, conceptual understanding, and active experimentation continues to guide my development. This aligns with literature emphasising reflection as essential for deepening professional judgement and improving outcomes in social care settings (Fook &amp; Gardner, 2007). Engaging with these processes has helped me evaluate progress and clarify my evolving development needs.</w:t>
      </w:r>
    </w:p>
    <w:p w14:paraId="277C779D" w14:textId="77777777" w:rsidR="00CF36DA" w:rsidRDefault="00CF36DA" w:rsidP="00CF36DA">
      <w:pPr>
        <w:rPr>
          <w:rFonts w:ascii="Segoe UI" w:hAnsi="Segoe UI" w:cs="Segoe UI"/>
          <w:color w:val="424242"/>
          <w:sz w:val="21"/>
          <w:szCs w:val="21"/>
          <w:shd w:val="clear" w:color="auto" w:fill="FAFAFA"/>
        </w:rPr>
      </w:pPr>
    </w:p>
    <w:p w14:paraId="6D057EF3" w14:textId="77777777" w:rsidR="00CF36DA" w:rsidRDefault="00CF36DA" w:rsidP="00CF36DA">
      <w:pPr>
        <w:pStyle w:val="NormalWeb"/>
        <w:shd w:val="clear" w:color="auto" w:fill="FAFAFA"/>
        <w:spacing w:before="30" w:beforeAutospacing="0" w:after="60" w:afterAutospacing="0" w:line="300" w:lineRule="atLeast"/>
        <w:rPr>
          <w:sz w:val="32"/>
          <w:szCs w:val="32"/>
          <w:shd w:val="clear" w:color="auto" w:fill="FAFAFA"/>
        </w:rPr>
      </w:pPr>
      <w:r w:rsidRPr="00F74E4C">
        <w:rPr>
          <w:sz w:val="32"/>
          <w:szCs w:val="32"/>
          <w:shd w:val="clear" w:color="auto" w:fill="FAFAFA"/>
        </w:rPr>
        <w:t>Question 1</w:t>
      </w:r>
    </w:p>
    <w:p w14:paraId="06E423F8" w14:textId="77777777" w:rsidR="00CF36DA" w:rsidRDefault="00CF36DA" w:rsidP="00CF36DA">
      <w:pPr>
        <w:pStyle w:val="NormalWeb"/>
        <w:shd w:val="clear" w:color="auto" w:fill="FAFAFA"/>
        <w:spacing w:before="30" w:beforeAutospacing="0" w:after="60" w:afterAutospacing="0" w:line="300" w:lineRule="atLeast"/>
        <w:rPr>
          <w:sz w:val="32"/>
          <w:szCs w:val="32"/>
          <w:shd w:val="clear" w:color="auto" w:fill="FAFAFA"/>
        </w:rPr>
      </w:pPr>
    </w:p>
    <w:p w14:paraId="7944A5F3"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Since completing Part A, a key area of development has been the integration of two structured intervention programmes into my practice. The first, an Integrated Theoretical Framework (ITF), combines attachment theory, behavioural parenting principles, and research on adult emotional regulation. Applying this model with parents affected by substance use and wider adversities has strengthened my capacity to formulate assessments that consider relational patterns, regulation, and inter</w:t>
      </w:r>
      <w:r w:rsidRPr="00FA1A78">
        <w:rPr>
          <w:rFonts w:ascii="Arial" w:hAnsi="Arial" w:cs="Arial"/>
          <w:color w:val="424242"/>
          <w:sz w:val="22"/>
          <w:szCs w:val="22"/>
          <w:shd w:val="clear" w:color="auto" w:fill="FAFAFA"/>
        </w:rPr>
        <w:noBreakHyphen/>
        <w:t>generational experience (Howe, 2011). The second programme, the ACEs Recovery Toolkit, offers a trauma</w:t>
      </w:r>
      <w:r w:rsidRPr="00FA1A78">
        <w:rPr>
          <w:rFonts w:ascii="Arial" w:hAnsi="Arial" w:cs="Arial"/>
          <w:color w:val="424242"/>
          <w:sz w:val="22"/>
          <w:szCs w:val="22"/>
          <w:shd w:val="clear" w:color="auto" w:fill="FAFAFA"/>
        </w:rPr>
        <w:noBreakHyphen/>
        <w:t>informed psycho</w:t>
      </w:r>
      <w:r w:rsidRPr="00FA1A78">
        <w:rPr>
          <w:rFonts w:ascii="Arial" w:hAnsi="Arial" w:cs="Arial"/>
          <w:color w:val="424242"/>
          <w:sz w:val="22"/>
          <w:szCs w:val="22"/>
          <w:shd w:val="clear" w:color="auto" w:fill="FAFAFA"/>
        </w:rPr>
        <w:noBreakHyphen/>
        <w:t>educational model supporting parents to understand the impact of adversity on themselves and their children (Hughes et al., 2017). Embedding this framework has enhanced my ability to identify trauma responses and support resilience, aligning with contemporary developments in trauma</w:t>
      </w:r>
      <w:r w:rsidRPr="00FA1A78">
        <w:rPr>
          <w:rFonts w:ascii="Arial" w:hAnsi="Arial" w:cs="Arial"/>
          <w:color w:val="424242"/>
          <w:sz w:val="22"/>
          <w:szCs w:val="22"/>
          <w:shd w:val="clear" w:color="auto" w:fill="FAFAFA"/>
        </w:rPr>
        <w:noBreakHyphen/>
        <w:t>informed systems.</w:t>
      </w:r>
    </w:p>
    <w:p w14:paraId="599F58B5" w14:textId="77777777" w:rsidR="00CF36DA" w:rsidRPr="00FA1A78" w:rsidRDefault="00CF36DA" w:rsidP="00CF36DA">
      <w:pPr>
        <w:spacing w:line="360" w:lineRule="auto"/>
        <w:jc w:val="both"/>
        <w:rPr>
          <w:rFonts w:ascii="Arial" w:hAnsi="Arial" w:cs="Arial"/>
          <w:color w:val="424242"/>
          <w:sz w:val="22"/>
          <w:szCs w:val="22"/>
          <w:shd w:val="clear" w:color="auto" w:fill="FAFAFA"/>
        </w:rPr>
      </w:pPr>
    </w:p>
    <w:p w14:paraId="511AF44A"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These experiences have been consolidated through Kolb’s experiential learning cycle, where concrete practice, supervision</w:t>
      </w:r>
      <w:r w:rsidRPr="00FA1A78">
        <w:rPr>
          <w:rFonts w:ascii="Arial" w:hAnsi="Arial" w:cs="Arial"/>
          <w:color w:val="424242"/>
          <w:sz w:val="22"/>
          <w:szCs w:val="22"/>
          <w:shd w:val="clear" w:color="auto" w:fill="FAFAFA"/>
        </w:rPr>
        <w:noBreakHyphen/>
        <w:t xml:space="preserve">led reflection, and active experimentation have enabled deeper </w:t>
      </w:r>
      <w:r w:rsidRPr="00FA1A78">
        <w:rPr>
          <w:rFonts w:ascii="Arial" w:hAnsi="Arial" w:cs="Arial"/>
          <w:color w:val="424242"/>
          <w:sz w:val="22"/>
          <w:szCs w:val="22"/>
          <w:shd w:val="clear" w:color="auto" w:fill="FAFAFA"/>
        </w:rPr>
        <w:lastRenderedPageBreak/>
        <w:t>conceptual understanding (Kolb, 1984). Integrating these approaches has also encouraged a shift away from deficit</w:t>
      </w:r>
      <w:r w:rsidRPr="00FA1A78">
        <w:rPr>
          <w:rFonts w:ascii="Arial" w:hAnsi="Arial" w:cs="Arial"/>
          <w:color w:val="424242"/>
          <w:sz w:val="22"/>
          <w:szCs w:val="22"/>
          <w:shd w:val="clear" w:color="auto" w:fill="FAFAFA"/>
        </w:rPr>
        <w:noBreakHyphen/>
        <w:t>focused child protection narratives and towards a more relational, contextual lens. This aligns with Ferguson’s radical perspective, which emphasises understanding individuals within the wider social, structural, and emotional contexts of their lives (Ferguson, 2017). Collectively, these developments have broadened my analytical depth and strengthened holistic assessment practice.</w:t>
      </w:r>
    </w:p>
    <w:p w14:paraId="121AA13D" w14:textId="77777777" w:rsidR="00CF36DA" w:rsidRPr="00F55367" w:rsidRDefault="00CF36DA" w:rsidP="00CF36DA">
      <w:pPr>
        <w:pStyle w:val="Heading1"/>
        <w:rPr>
          <w:sz w:val="32"/>
          <w:szCs w:val="32"/>
        </w:rPr>
      </w:pPr>
      <w:r>
        <w:rPr>
          <w:sz w:val="32"/>
          <w:szCs w:val="32"/>
        </w:rPr>
        <w:t xml:space="preserve">Question 2 </w:t>
      </w:r>
    </w:p>
    <w:p w14:paraId="22A85949"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My designation has increasingly required me to adopt a more active role in safeguarding across the locality, even though my core remit is therapeutic, preventative work with parents. </w:t>
      </w:r>
      <w:r w:rsidRPr="00FA1A78">
        <w:rPr>
          <w:rFonts w:ascii="Arial" w:hAnsi="Arial" w:cs="Arial"/>
          <w:sz w:val="22"/>
          <w:szCs w:val="22"/>
          <w:shd w:val="clear" w:color="auto" w:fill="FAFAFA"/>
        </w:rPr>
        <w:t>The rise in referrals involving families already within Child Protection processes, Public Law Outline pathways, or entering Family Court proceedings has reinforced that therapeutic intervention is not peripheral to safeguarding but central to it. As referrals have become more complex, relationship</w:t>
      </w:r>
      <w:r w:rsidRPr="00FA1A78">
        <w:rPr>
          <w:rFonts w:ascii="Arial" w:hAnsi="Arial" w:cs="Arial"/>
          <w:sz w:val="22"/>
          <w:szCs w:val="22"/>
          <w:shd w:val="clear" w:color="auto" w:fill="FAFAFA"/>
        </w:rPr>
        <w:noBreakHyphen/>
        <w:t>based, strengths</w:t>
      </w:r>
      <w:r w:rsidRPr="00FA1A78">
        <w:rPr>
          <w:rFonts w:ascii="Arial" w:hAnsi="Arial" w:cs="Arial"/>
          <w:sz w:val="22"/>
          <w:szCs w:val="22"/>
          <w:shd w:val="clear" w:color="auto" w:fill="FAFAFA"/>
        </w:rPr>
        <w:noBreakHyphen/>
        <w:t>focused work has provided insight into the lived realities behind presenting concerns, supporting early recognition of harm and enabling parents to develop insight into how their circumstances may impact their children.</w:t>
      </w:r>
      <w:r w:rsidRPr="00FA1A78">
        <w:rPr>
          <w:rFonts w:ascii="Arial" w:hAnsi="Arial" w:cs="Arial"/>
          <w:color w:val="424242"/>
          <w:sz w:val="22"/>
          <w:szCs w:val="22"/>
          <w:shd w:val="clear" w:color="auto" w:fill="FAFAFA"/>
        </w:rPr>
        <w:t> This aligns with Dominelli’s critical social work perspective, which emphasises the importance of contextual and relational understandings of risk (Dominelli, 2002), and echoes Parton’s argument that effective safeguarding must be grounded in engagement with families rather than procedural compliance (Parton, 2014).</w:t>
      </w:r>
    </w:p>
    <w:p w14:paraId="2F75FADF"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Although my request for formal Signs of Safety training was declined, I undertook self</w:t>
      </w:r>
      <w:r w:rsidRPr="00FA1A78">
        <w:rPr>
          <w:rFonts w:ascii="Arial" w:hAnsi="Arial" w:cs="Arial"/>
          <w:color w:val="424242"/>
          <w:sz w:val="22"/>
          <w:szCs w:val="22"/>
          <w:shd w:val="clear" w:color="auto" w:fill="FAFAFA"/>
        </w:rPr>
        <w:noBreakHyphen/>
        <w:t>directed learning, including Bruce Thornton’s Risk 2 training, which strengthened my threshold analysis and confidence in complex decision</w:t>
      </w:r>
      <w:r w:rsidRPr="00FA1A78">
        <w:rPr>
          <w:rFonts w:ascii="Arial" w:hAnsi="Arial" w:cs="Arial"/>
          <w:color w:val="424242"/>
          <w:sz w:val="22"/>
          <w:szCs w:val="22"/>
          <w:shd w:val="clear" w:color="auto" w:fill="FAFAFA"/>
        </w:rPr>
        <w:noBreakHyphen/>
        <w:t>making. Engaging with this model has helped me develop a more structured and defensible approach to assessing significant harm, particularly in cases where concerns evolve rapidly. Through Kolb’s experiential learning cycle, reflective supervision has enabled me to conceptualise how therapeutic engagement complements structured risk formulation (Kolb, 1984), allowing me to draw meaningful links between parents’ narratives, behavioural patterns, and wider contextual risks. This integration supports evidence that relational practice enhances engagement and statutory safeguarding outcomes by promoting deeper understanding of family dynamics and improving the quality of professional judgement (Ruch, 2005).</w:t>
      </w:r>
    </w:p>
    <w:p w14:paraId="5C25FD13" w14:textId="77777777" w:rsidR="00CF36DA" w:rsidRPr="00FA1A78" w:rsidRDefault="00CF36DA" w:rsidP="00CF36DA">
      <w:pPr>
        <w:spacing w:line="360" w:lineRule="auto"/>
        <w:jc w:val="both"/>
        <w:rPr>
          <w:rFonts w:ascii="Arial" w:hAnsi="Arial" w:cs="Arial"/>
          <w:color w:val="424242"/>
          <w:sz w:val="22"/>
          <w:szCs w:val="22"/>
          <w:shd w:val="clear" w:color="auto" w:fill="FAFAFA"/>
        </w:rPr>
      </w:pPr>
    </w:p>
    <w:p w14:paraId="386AA75B" w14:textId="77777777" w:rsidR="00CF36DA" w:rsidRPr="0083593E" w:rsidRDefault="00CF36DA" w:rsidP="00CF36DA">
      <w:pPr>
        <w:pStyle w:val="Heading1"/>
        <w:rPr>
          <w:sz w:val="32"/>
          <w:szCs w:val="32"/>
          <w:shd w:val="clear" w:color="auto" w:fill="FAFAFA"/>
        </w:rPr>
      </w:pPr>
      <w:r w:rsidRPr="0083593E">
        <w:rPr>
          <w:sz w:val="32"/>
          <w:szCs w:val="32"/>
          <w:shd w:val="clear" w:color="auto" w:fill="FAFAFA"/>
        </w:rPr>
        <w:lastRenderedPageBreak/>
        <w:t xml:space="preserve">Question 3 </w:t>
      </w:r>
    </w:p>
    <w:p w14:paraId="6EA325A6"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A key area of development this year has been the introduction of group supervision within the team. Engaging in structured case discussions has been valuable for generating shared insight and strengthening reflective dialogue. Through Kolb’s experiential learning cycle, these sessions have enabled me to move from concrete case experience into reflective observation with colleagues, supporting deeper conceptualisation of complex safeguarding themes. However, the absence of managerial involvement has sometimes restricted the implementation of actions arising from these discussions, reflecting research that unclear supervisory boundaries can create role ambiguity and limit impact (Beddoe, 2012). Despite this, the group dynamic has supported critical reflection and collective problem</w:t>
      </w:r>
      <w:r w:rsidRPr="00FA1A78">
        <w:rPr>
          <w:rFonts w:ascii="Arial" w:hAnsi="Arial" w:cs="Arial"/>
          <w:color w:val="424242"/>
          <w:sz w:val="22"/>
          <w:szCs w:val="22"/>
          <w:shd w:val="clear" w:color="auto" w:fill="FAFAFA"/>
        </w:rPr>
        <w:noBreakHyphen/>
        <w:t>solving.</w:t>
      </w:r>
    </w:p>
    <w:p w14:paraId="03E8381C" w14:textId="77777777" w:rsidR="00CF36DA" w:rsidRPr="00FA1A78" w:rsidRDefault="00CF36DA" w:rsidP="00CF36DA">
      <w:pPr>
        <w:spacing w:line="360" w:lineRule="auto"/>
        <w:jc w:val="both"/>
        <w:rPr>
          <w:rFonts w:ascii="Arial" w:hAnsi="Arial" w:cs="Arial"/>
          <w:color w:val="424242"/>
          <w:sz w:val="22"/>
          <w:szCs w:val="22"/>
          <w:shd w:val="clear" w:color="auto" w:fill="FAFAFA"/>
        </w:rPr>
      </w:pPr>
      <w:r w:rsidRPr="00FA1A78">
        <w:rPr>
          <w:rFonts w:ascii="Arial" w:hAnsi="Arial" w:cs="Arial"/>
          <w:color w:val="424242"/>
          <w:sz w:val="22"/>
          <w:szCs w:val="22"/>
          <w:shd w:val="clear" w:color="auto" w:fill="FAFAFA"/>
        </w:rPr>
        <w:t>Alongside this, being allocated an experienced social worker for clinical supervision has significantly enhanced the depth of my reflective practice. While managerial supervision remains procedurally focused, clinical supervision provides the relational safety required to analyse intervention methods, emotional responses, and the effectiveness of therapeutic work. This mirrors evidence that experienced supervisors strengthen communication and problem</w:t>
      </w:r>
      <w:r w:rsidRPr="00FA1A78">
        <w:rPr>
          <w:rFonts w:ascii="Arial" w:hAnsi="Arial" w:cs="Arial"/>
          <w:color w:val="424242"/>
          <w:sz w:val="22"/>
          <w:szCs w:val="22"/>
          <w:shd w:val="clear" w:color="auto" w:fill="FAFAFA"/>
        </w:rPr>
        <w:noBreakHyphen/>
        <w:t>solving skills (Nickson et al., 2021) and aligns with BASW policy emphasising the right to qualified supervision (BASW, 2014). Using Kolb’s model, clinical supervision supports active experimentation, enabling me to apply conceptual insights directly to practice, reflecting findings that systemic supervision enhances practitioner confidence and skill (Bostock et al., 2019).</w:t>
      </w:r>
    </w:p>
    <w:p w14:paraId="7EBD45BD" w14:textId="77777777" w:rsidR="00CF36DA" w:rsidRPr="00FA1A78" w:rsidRDefault="00CF36DA" w:rsidP="00CF36DA">
      <w:pPr>
        <w:spacing w:line="360" w:lineRule="auto"/>
        <w:jc w:val="both"/>
        <w:rPr>
          <w:rFonts w:ascii="Arial" w:hAnsi="Arial" w:cs="Arial"/>
          <w:color w:val="424242"/>
          <w:sz w:val="22"/>
          <w:szCs w:val="22"/>
          <w:shd w:val="clear" w:color="auto" w:fill="FAFAFA"/>
        </w:rPr>
      </w:pPr>
    </w:p>
    <w:p w14:paraId="3E294D03" w14:textId="24E3CAA3" w:rsidR="00CF36DA" w:rsidRDefault="00CF36DA" w:rsidP="00CF36DA">
      <w:r>
        <w:t>Word Count – 8</w:t>
      </w:r>
      <w:r w:rsidR="00894868">
        <w:t>20</w:t>
      </w:r>
    </w:p>
    <w:p w14:paraId="485E2615" w14:textId="77777777" w:rsidR="00AD77D3" w:rsidRDefault="00AD77D3" w:rsidP="00AD77D3">
      <w:pPr>
        <w:spacing w:line="360" w:lineRule="auto"/>
        <w:rPr>
          <w:sz w:val="18"/>
          <w:szCs w:val="18"/>
        </w:rPr>
      </w:pPr>
    </w:p>
    <w:p w14:paraId="7FC4CF1D" w14:textId="77777777" w:rsidR="00AD77D3" w:rsidRDefault="00AD77D3" w:rsidP="00AD77D3">
      <w:pPr>
        <w:spacing w:line="360" w:lineRule="auto"/>
        <w:rPr>
          <w:sz w:val="18"/>
          <w:szCs w:val="18"/>
        </w:rPr>
      </w:pPr>
    </w:p>
    <w:p w14:paraId="117E133E" w14:textId="77777777" w:rsidR="00AD77D3" w:rsidRDefault="00AD77D3" w:rsidP="00AD77D3">
      <w:pPr>
        <w:spacing w:line="360" w:lineRule="auto"/>
        <w:rPr>
          <w:sz w:val="18"/>
          <w:szCs w:val="18"/>
        </w:rPr>
      </w:pPr>
    </w:p>
    <w:p w14:paraId="33EA155A" w14:textId="77777777" w:rsidR="00AD77D3" w:rsidRDefault="00AD77D3" w:rsidP="00AD77D3">
      <w:pPr>
        <w:spacing w:line="360" w:lineRule="auto"/>
        <w:rPr>
          <w:sz w:val="18"/>
          <w:szCs w:val="18"/>
        </w:rPr>
      </w:pPr>
    </w:p>
    <w:p w14:paraId="0F542EB4" w14:textId="77777777" w:rsidR="003436B9" w:rsidRDefault="003436B9" w:rsidP="00AD77D3">
      <w:pPr>
        <w:spacing w:line="360" w:lineRule="auto"/>
        <w:rPr>
          <w:sz w:val="18"/>
          <w:szCs w:val="18"/>
        </w:rPr>
      </w:pPr>
    </w:p>
    <w:p w14:paraId="5C89D7B1" w14:textId="77777777" w:rsidR="003436B9" w:rsidRDefault="003436B9" w:rsidP="00AD77D3">
      <w:pPr>
        <w:spacing w:line="360" w:lineRule="auto"/>
        <w:rPr>
          <w:sz w:val="18"/>
          <w:szCs w:val="18"/>
        </w:rPr>
      </w:pPr>
    </w:p>
    <w:p w14:paraId="2638BE61" w14:textId="77777777" w:rsidR="003436B9" w:rsidRDefault="003436B9" w:rsidP="00AD77D3">
      <w:pPr>
        <w:spacing w:line="360" w:lineRule="auto"/>
        <w:rPr>
          <w:sz w:val="18"/>
          <w:szCs w:val="18"/>
        </w:rPr>
      </w:pPr>
    </w:p>
    <w:p w14:paraId="2CC19EDD" w14:textId="77777777" w:rsidR="003436B9" w:rsidRDefault="003436B9" w:rsidP="00AD77D3">
      <w:pPr>
        <w:spacing w:line="360" w:lineRule="auto"/>
        <w:rPr>
          <w:sz w:val="18"/>
          <w:szCs w:val="18"/>
        </w:rPr>
      </w:pPr>
    </w:p>
    <w:p w14:paraId="6024E15E" w14:textId="51AE54D8" w:rsidR="00AD77D3" w:rsidRPr="00AD77D3" w:rsidRDefault="00AD77D3" w:rsidP="00AD77D3">
      <w:pPr>
        <w:pStyle w:val="Heading1"/>
      </w:pPr>
    </w:p>
    <w:sectPr w:rsidR="00AD77D3" w:rsidRPr="00AD77D3" w:rsidSect="00894868">
      <w:headerReference w:type="default" r:id="rId9"/>
      <w:footerReference w:type="default" r:id="rId10"/>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46A9E" w14:textId="77777777" w:rsidR="003A2172" w:rsidRDefault="003A2172" w:rsidP="00894868">
      <w:pPr>
        <w:spacing w:after="0" w:line="240" w:lineRule="auto"/>
      </w:pPr>
      <w:r>
        <w:separator/>
      </w:r>
    </w:p>
  </w:endnote>
  <w:endnote w:type="continuationSeparator" w:id="0">
    <w:p w14:paraId="16BA920B" w14:textId="77777777" w:rsidR="003A2172" w:rsidRDefault="003A2172" w:rsidP="0089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25351"/>
      <w:docPartObj>
        <w:docPartGallery w:val="Page Numbers (Bottom of Page)"/>
        <w:docPartUnique/>
      </w:docPartObj>
    </w:sdtPr>
    <w:sdtEndPr>
      <w:rPr>
        <w:noProof/>
      </w:rPr>
    </w:sdtEndPr>
    <w:sdtContent>
      <w:p w14:paraId="761E3C89" w14:textId="458E38C0" w:rsidR="00894868" w:rsidRDefault="008948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8B66A" w14:textId="77777777" w:rsidR="00894868" w:rsidRDefault="00894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971ED" w14:textId="77777777" w:rsidR="003A2172" w:rsidRDefault="003A2172" w:rsidP="00894868">
      <w:pPr>
        <w:spacing w:after="0" w:line="240" w:lineRule="auto"/>
      </w:pPr>
      <w:r>
        <w:separator/>
      </w:r>
    </w:p>
  </w:footnote>
  <w:footnote w:type="continuationSeparator" w:id="0">
    <w:p w14:paraId="4E903B57" w14:textId="77777777" w:rsidR="003A2172" w:rsidRDefault="003A2172" w:rsidP="00894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CD61B" w14:textId="4AADD44F" w:rsidR="00894868" w:rsidRDefault="00894868">
    <w:pPr>
      <w:pStyle w:val="Header"/>
    </w:pPr>
    <w:r>
      <w:t>Student Number: 2422519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585"/>
    <w:multiLevelType w:val="hybridMultilevel"/>
    <w:tmpl w:val="86D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53231"/>
    <w:multiLevelType w:val="hybridMultilevel"/>
    <w:tmpl w:val="6DB42038"/>
    <w:lvl w:ilvl="0" w:tplc="809A138E">
      <w:start w:val="1"/>
      <w:numFmt w:val="bullet"/>
      <w:lvlText w:val="•"/>
      <w:lvlJc w:val="left"/>
      <w:pPr>
        <w:tabs>
          <w:tab w:val="num" w:pos="720"/>
        </w:tabs>
        <w:ind w:left="720" w:hanging="360"/>
      </w:pPr>
      <w:rPr>
        <w:rFonts w:ascii="Arial" w:hAnsi="Arial" w:hint="default"/>
      </w:rPr>
    </w:lvl>
    <w:lvl w:ilvl="1" w:tplc="9FDA057E" w:tentative="1">
      <w:start w:val="1"/>
      <w:numFmt w:val="bullet"/>
      <w:lvlText w:val="•"/>
      <w:lvlJc w:val="left"/>
      <w:pPr>
        <w:tabs>
          <w:tab w:val="num" w:pos="1440"/>
        </w:tabs>
        <w:ind w:left="1440" w:hanging="360"/>
      </w:pPr>
      <w:rPr>
        <w:rFonts w:ascii="Arial" w:hAnsi="Arial" w:hint="default"/>
      </w:rPr>
    </w:lvl>
    <w:lvl w:ilvl="2" w:tplc="0C765A40" w:tentative="1">
      <w:start w:val="1"/>
      <w:numFmt w:val="bullet"/>
      <w:lvlText w:val="•"/>
      <w:lvlJc w:val="left"/>
      <w:pPr>
        <w:tabs>
          <w:tab w:val="num" w:pos="2160"/>
        </w:tabs>
        <w:ind w:left="2160" w:hanging="360"/>
      </w:pPr>
      <w:rPr>
        <w:rFonts w:ascii="Arial" w:hAnsi="Arial" w:hint="default"/>
      </w:rPr>
    </w:lvl>
    <w:lvl w:ilvl="3" w:tplc="C346E8CC" w:tentative="1">
      <w:start w:val="1"/>
      <w:numFmt w:val="bullet"/>
      <w:lvlText w:val="•"/>
      <w:lvlJc w:val="left"/>
      <w:pPr>
        <w:tabs>
          <w:tab w:val="num" w:pos="2880"/>
        </w:tabs>
        <w:ind w:left="2880" w:hanging="360"/>
      </w:pPr>
      <w:rPr>
        <w:rFonts w:ascii="Arial" w:hAnsi="Arial" w:hint="default"/>
      </w:rPr>
    </w:lvl>
    <w:lvl w:ilvl="4" w:tplc="8D94E472" w:tentative="1">
      <w:start w:val="1"/>
      <w:numFmt w:val="bullet"/>
      <w:lvlText w:val="•"/>
      <w:lvlJc w:val="left"/>
      <w:pPr>
        <w:tabs>
          <w:tab w:val="num" w:pos="3600"/>
        </w:tabs>
        <w:ind w:left="3600" w:hanging="360"/>
      </w:pPr>
      <w:rPr>
        <w:rFonts w:ascii="Arial" w:hAnsi="Arial" w:hint="default"/>
      </w:rPr>
    </w:lvl>
    <w:lvl w:ilvl="5" w:tplc="98C8B884" w:tentative="1">
      <w:start w:val="1"/>
      <w:numFmt w:val="bullet"/>
      <w:lvlText w:val="•"/>
      <w:lvlJc w:val="left"/>
      <w:pPr>
        <w:tabs>
          <w:tab w:val="num" w:pos="4320"/>
        </w:tabs>
        <w:ind w:left="4320" w:hanging="360"/>
      </w:pPr>
      <w:rPr>
        <w:rFonts w:ascii="Arial" w:hAnsi="Arial" w:hint="default"/>
      </w:rPr>
    </w:lvl>
    <w:lvl w:ilvl="6" w:tplc="35E60E8E" w:tentative="1">
      <w:start w:val="1"/>
      <w:numFmt w:val="bullet"/>
      <w:lvlText w:val="•"/>
      <w:lvlJc w:val="left"/>
      <w:pPr>
        <w:tabs>
          <w:tab w:val="num" w:pos="5040"/>
        </w:tabs>
        <w:ind w:left="5040" w:hanging="360"/>
      </w:pPr>
      <w:rPr>
        <w:rFonts w:ascii="Arial" w:hAnsi="Arial" w:hint="default"/>
      </w:rPr>
    </w:lvl>
    <w:lvl w:ilvl="7" w:tplc="BACA4696" w:tentative="1">
      <w:start w:val="1"/>
      <w:numFmt w:val="bullet"/>
      <w:lvlText w:val="•"/>
      <w:lvlJc w:val="left"/>
      <w:pPr>
        <w:tabs>
          <w:tab w:val="num" w:pos="5760"/>
        </w:tabs>
        <w:ind w:left="5760" w:hanging="360"/>
      </w:pPr>
      <w:rPr>
        <w:rFonts w:ascii="Arial" w:hAnsi="Arial" w:hint="default"/>
      </w:rPr>
    </w:lvl>
    <w:lvl w:ilvl="8" w:tplc="4C5E4A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8B7BD4"/>
    <w:multiLevelType w:val="hybridMultilevel"/>
    <w:tmpl w:val="3C94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995464"/>
    <w:multiLevelType w:val="hybridMultilevel"/>
    <w:tmpl w:val="8E909170"/>
    <w:lvl w:ilvl="0" w:tplc="FC3AFDD8">
      <w:start w:val="1"/>
      <w:numFmt w:val="bullet"/>
      <w:lvlText w:val="•"/>
      <w:lvlJc w:val="left"/>
      <w:pPr>
        <w:tabs>
          <w:tab w:val="num" w:pos="720"/>
        </w:tabs>
        <w:ind w:left="720" w:hanging="360"/>
      </w:pPr>
      <w:rPr>
        <w:rFonts w:ascii="Arial" w:hAnsi="Arial" w:hint="default"/>
      </w:rPr>
    </w:lvl>
    <w:lvl w:ilvl="1" w:tplc="E8A0D16A" w:tentative="1">
      <w:start w:val="1"/>
      <w:numFmt w:val="bullet"/>
      <w:lvlText w:val="•"/>
      <w:lvlJc w:val="left"/>
      <w:pPr>
        <w:tabs>
          <w:tab w:val="num" w:pos="1440"/>
        </w:tabs>
        <w:ind w:left="1440" w:hanging="360"/>
      </w:pPr>
      <w:rPr>
        <w:rFonts w:ascii="Arial" w:hAnsi="Arial" w:hint="default"/>
      </w:rPr>
    </w:lvl>
    <w:lvl w:ilvl="2" w:tplc="8F265250" w:tentative="1">
      <w:start w:val="1"/>
      <w:numFmt w:val="bullet"/>
      <w:lvlText w:val="•"/>
      <w:lvlJc w:val="left"/>
      <w:pPr>
        <w:tabs>
          <w:tab w:val="num" w:pos="2160"/>
        </w:tabs>
        <w:ind w:left="2160" w:hanging="360"/>
      </w:pPr>
      <w:rPr>
        <w:rFonts w:ascii="Arial" w:hAnsi="Arial" w:hint="default"/>
      </w:rPr>
    </w:lvl>
    <w:lvl w:ilvl="3" w:tplc="5F4C3CC4" w:tentative="1">
      <w:start w:val="1"/>
      <w:numFmt w:val="bullet"/>
      <w:lvlText w:val="•"/>
      <w:lvlJc w:val="left"/>
      <w:pPr>
        <w:tabs>
          <w:tab w:val="num" w:pos="2880"/>
        </w:tabs>
        <w:ind w:left="2880" w:hanging="360"/>
      </w:pPr>
      <w:rPr>
        <w:rFonts w:ascii="Arial" w:hAnsi="Arial" w:hint="default"/>
      </w:rPr>
    </w:lvl>
    <w:lvl w:ilvl="4" w:tplc="A776E840" w:tentative="1">
      <w:start w:val="1"/>
      <w:numFmt w:val="bullet"/>
      <w:lvlText w:val="•"/>
      <w:lvlJc w:val="left"/>
      <w:pPr>
        <w:tabs>
          <w:tab w:val="num" w:pos="3600"/>
        </w:tabs>
        <w:ind w:left="3600" w:hanging="360"/>
      </w:pPr>
      <w:rPr>
        <w:rFonts w:ascii="Arial" w:hAnsi="Arial" w:hint="default"/>
      </w:rPr>
    </w:lvl>
    <w:lvl w:ilvl="5" w:tplc="708E9C16" w:tentative="1">
      <w:start w:val="1"/>
      <w:numFmt w:val="bullet"/>
      <w:lvlText w:val="•"/>
      <w:lvlJc w:val="left"/>
      <w:pPr>
        <w:tabs>
          <w:tab w:val="num" w:pos="4320"/>
        </w:tabs>
        <w:ind w:left="4320" w:hanging="360"/>
      </w:pPr>
      <w:rPr>
        <w:rFonts w:ascii="Arial" w:hAnsi="Arial" w:hint="default"/>
      </w:rPr>
    </w:lvl>
    <w:lvl w:ilvl="6" w:tplc="5CEAEE28" w:tentative="1">
      <w:start w:val="1"/>
      <w:numFmt w:val="bullet"/>
      <w:lvlText w:val="•"/>
      <w:lvlJc w:val="left"/>
      <w:pPr>
        <w:tabs>
          <w:tab w:val="num" w:pos="5040"/>
        </w:tabs>
        <w:ind w:left="5040" w:hanging="360"/>
      </w:pPr>
      <w:rPr>
        <w:rFonts w:ascii="Arial" w:hAnsi="Arial" w:hint="default"/>
      </w:rPr>
    </w:lvl>
    <w:lvl w:ilvl="7" w:tplc="0C08DFCA" w:tentative="1">
      <w:start w:val="1"/>
      <w:numFmt w:val="bullet"/>
      <w:lvlText w:val="•"/>
      <w:lvlJc w:val="left"/>
      <w:pPr>
        <w:tabs>
          <w:tab w:val="num" w:pos="5760"/>
        </w:tabs>
        <w:ind w:left="5760" w:hanging="360"/>
      </w:pPr>
      <w:rPr>
        <w:rFonts w:ascii="Arial" w:hAnsi="Arial" w:hint="default"/>
      </w:rPr>
    </w:lvl>
    <w:lvl w:ilvl="8" w:tplc="FD30DA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BC34571"/>
    <w:multiLevelType w:val="hybridMultilevel"/>
    <w:tmpl w:val="9738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835562">
    <w:abstractNumId w:val="3"/>
  </w:num>
  <w:num w:numId="2" w16cid:durableId="514616988">
    <w:abstractNumId w:val="2"/>
  </w:num>
  <w:num w:numId="3" w16cid:durableId="1171793468">
    <w:abstractNumId w:val="4"/>
  </w:num>
  <w:num w:numId="4" w16cid:durableId="414786875">
    <w:abstractNumId w:val="1"/>
  </w:num>
  <w:num w:numId="5" w16cid:durableId="391973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37A"/>
    <w:rsid w:val="00001968"/>
    <w:rsid w:val="00091BF4"/>
    <w:rsid w:val="001110DB"/>
    <w:rsid w:val="00111EC7"/>
    <w:rsid w:val="001136A5"/>
    <w:rsid w:val="00173A61"/>
    <w:rsid w:val="001819D1"/>
    <w:rsid w:val="00186146"/>
    <w:rsid w:val="00284A28"/>
    <w:rsid w:val="002F0A9A"/>
    <w:rsid w:val="003436B9"/>
    <w:rsid w:val="003461C3"/>
    <w:rsid w:val="00386602"/>
    <w:rsid w:val="003A2172"/>
    <w:rsid w:val="003E131C"/>
    <w:rsid w:val="00414692"/>
    <w:rsid w:val="00423E37"/>
    <w:rsid w:val="00467430"/>
    <w:rsid w:val="004A06BA"/>
    <w:rsid w:val="00575321"/>
    <w:rsid w:val="005766BB"/>
    <w:rsid w:val="00593B6C"/>
    <w:rsid w:val="005B692D"/>
    <w:rsid w:val="00620C95"/>
    <w:rsid w:val="0066570F"/>
    <w:rsid w:val="00667EFC"/>
    <w:rsid w:val="006D7FEC"/>
    <w:rsid w:val="00780BF3"/>
    <w:rsid w:val="00784FBB"/>
    <w:rsid w:val="007D4B20"/>
    <w:rsid w:val="008012D3"/>
    <w:rsid w:val="00834F72"/>
    <w:rsid w:val="0086736C"/>
    <w:rsid w:val="0088767C"/>
    <w:rsid w:val="00892BA3"/>
    <w:rsid w:val="00894868"/>
    <w:rsid w:val="008D2B65"/>
    <w:rsid w:val="008D2DE6"/>
    <w:rsid w:val="00905AD1"/>
    <w:rsid w:val="00917BE8"/>
    <w:rsid w:val="00987B3E"/>
    <w:rsid w:val="009941B5"/>
    <w:rsid w:val="009B72B2"/>
    <w:rsid w:val="00A7064D"/>
    <w:rsid w:val="00A76DD2"/>
    <w:rsid w:val="00AD03C8"/>
    <w:rsid w:val="00AD77D3"/>
    <w:rsid w:val="00AF39C6"/>
    <w:rsid w:val="00B05CBB"/>
    <w:rsid w:val="00B170EE"/>
    <w:rsid w:val="00B76112"/>
    <w:rsid w:val="00C90497"/>
    <w:rsid w:val="00CF36DA"/>
    <w:rsid w:val="00D3148F"/>
    <w:rsid w:val="00D706EB"/>
    <w:rsid w:val="00D77EA7"/>
    <w:rsid w:val="00DD0890"/>
    <w:rsid w:val="00E17FE5"/>
    <w:rsid w:val="00E53169"/>
    <w:rsid w:val="00E713F4"/>
    <w:rsid w:val="00E90631"/>
    <w:rsid w:val="00ED03D6"/>
    <w:rsid w:val="00F41707"/>
    <w:rsid w:val="00F75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3D4C"/>
  <w15:chartTrackingRefBased/>
  <w15:docId w15:val="{E13AEA22-7313-44E8-86EF-A9EE7DE1B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37A"/>
    <w:rPr>
      <w:rFonts w:eastAsiaTheme="majorEastAsia" w:cstheme="majorBidi"/>
      <w:color w:val="272727" w:themeColor="text1" w:themeTint="D8"/>
    </w:rPr>
  </w:style>
  <w:style w:type="paragraph" w:styleId="Title">
    <w:name w:val="Title"/>
    <w:basedOn w:val="Normal"/>
    <w:next w:val="Normal"/>
    <w:link w:val="TitleChar"/>
    <w:uiPriority w:val="10"/>
    <w:qFormat/>
    <w:rsid w:val="00F75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37A"/>
    <w:pPr>
      <w:spacing w:before="160"/>
      <w:jc w:val="center"/>
    </w:pPr>
    <w:rPr>
      <w:i/>
      <w:iCs/>
      <w:color w:val="404040" w:themeColor="text1" w:themeTint="BF"/>
    </w:rPr>
  </w:style>
  <w:style w:type="character" w:customStyle="1" w:styleId="QuoteChar">
    <w:name w:val="Quote Char"/>
    <w:basedOn w:val="DefaultParagraphFont"/>
    <w:link w:val="Quote"/>
    <w:uiPriority w:val="29"/>
    <w:rsid w:val="00F7537A"/>
    <w:rPr>
      <w:i/>
      <w:iCs/>
      <w:color w:val="404040" w:themeColor="text1" w:themeTint="BF"/>
    </w:rPr>
  </w:style>
  <w:style w:type="paragraph" w:styleId="ListParagraph">
    <w:name w:val="List Paragraph"/>
    <w:basedOn w:val="Normal"/>
    <w:uiPriority w:val="34"/>
    <w:qFormat/>
    <w:rsid w:val="00F7537A"/>
    <w:pPr>
      <w:ind w:left="720"/>
      <w:contextualSpacing/>
    </w:pPr>
  </w:style>
  <w:style w:type="character" w:styleId="IntenseEmphasis">
    <w:name w:val="Intense Emphasis"/>
    <w:basedOn w:val="DefaultParagraphFont"/>
    <w:uiPriority w:val="21"/>
    <w:qFormat/>
    <w:rsid w:val="00F7537A"/>
    <w:rPr>
      <w:i/>
      <w:iCs/>
      <w:color w:val="0F4761" w:themeColor="accent1" w:themeShade="BF"/>
    </w:rPr>
  </w:style>
  <w:style w:type="paragraph" w:styleId="IntenseQuote">
    <w:name w:val="Intense Quote"/>
    <w:basedOn w:val="Normal"/>
    <w:next w:val="Normal"/>
    <w:link w:val="IntenseQuoteChar"/>
    <w:uiPriority w:val="30"/>
    <w:qFormat/>
    <w:rsid w:val="00F75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37A"/>
    <w:rPr>
      <w:i/>
      <w:iCs/>
      <w:color w:val="0F4761" w:themeColor="accent1" w:themeShade="BF"/>
    </w:rPr>
  </w:style>
  <w:style w:type="character" w:styleId="IntenseReference">
    <w:name w:val="Intense Reference"/>
    <w:basedOn w:val="DefaultParagraphFont"/>
    <w:uiPriority w:val="32"/>
    <w:qFormat/>
    <w:rsid w:val="00F7537A"/>
    <w:rPr>
      <w:b/>
      <w:bCs/>
      <w:smallCaps/>
      <w:color w:val="0F4761" w:themeColor="accent1" w:themeShade="BF"/>
      <w:spacing w:val="5"/>
    </w:rPr>
  </w:style>
  <w:style w:type="paragraph" w:styleId="NormalWeb">
    <w:name w:val="Normal (Web)"/>
    <w:basedOn w:val="Normal"/>
    <w:uiPriority w:val="99"/>
    <w:unhideWhenUsed/>
    <w:rsid w:val="005753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AD77D3"/>
    <w:pPr>
      <w:spacing w:after="0" w:line="240" w:lineRule="auto"/>
    </w:pPr>
  </w:style>
  <w:style w:type="paragraph" w:styleId="Bibliography">
    <w:name w:val="Bibliography"/>
    <w:basedOn w:val="Normal"/>
    <w:next w:val="Normal"/>
    <w:uiPriority w:val="37"/>
    <w:unhideWhenUsed/>
    <w:rsid w:val="00AD77D3"/>
  </w:style>
  <w:style w:type="paragraph" w:styleId="Header">
    <w:name w:val="header"/>
    <w:basedOn w:val="Normal"/>
    <w:link w:val="HeaderChar"/>
    <w:uiPriority w:val="99"/>
    <w:unhideWhenUsed/>
    <w:rsid w:val="00894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868"/>
  </w:style>
  <w:style w:type="paragraph" w:styleId="Footer">
    <w:name w:val="footer"/>
    <w:basedOn w:val="Normal"/>
    <w:link w:val="FooterChar"/>
    <w:uiPriority w:val="99"/>
    <w:unhideWhenUsed/>
    <w:rsid w:val="00894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4801">
      <w:bodyDiv w:val="1"/>
      <w:marLeft w:val="0"/>
      <w:marRight w:val="0"/>
      <w:marTop w:val="0"/>
      <w:marBottom w:val="0"/>
      <w:divBdr>
        <w:top w:val="none" w:sz="0" w:space="0" w:color="auto"/>
        <w:left w:val="none" w:sz="0" w:space="0" w:color="auto"/>
        <w:bottom w:val="none" w:sz="0" w:space="0" w:color="auto"/>
        <w:right w:val="none" w:sz="0" w:space="0" w:color="auto"/>
      </w:divBdr>
    </w:div>
    <w:div w:id="115032440">
      <w:bodyDiv w:val="1"/>
      <w:marLeft w:val="0"/>
      <w:marRight w:val="0"/>
      <w:marTop w:val="0"/>
      <w:marBottom w:val="0"/>
      <w:divBdr>
        <w:top w:val="none" w:sz="0" w:space="0" w:color="auto"/>
        <w:left w:val="none" w:sz="0" w:space="0" w:color="auto"/>
        <w:bottom w:val="none" w:sz="0" w:space="0" w:color="auto"/>
        <w:right w:val="none" w:sz="0" w:space="0" w:color="auto"/>
      </w:divBdr>
    </w:div>
    <w:div w:id="380709469">
      <w:bodyDiv w:val="1"/>
      <w:marLeft w:val="0"/>
      <w:marRight w:val="0"/>
      <w:marTop w:val="0"/>
      <w:marBottom w:val="0"/>
      <w:divBdr>
        <w:top w:val="none" w:sz="0" w:space="0" w:color="auto"/>
        <w:left w:val="none" w:sz="0" w:space="0" w:color="auto"/>
        <w:bottom w:val="none" w:sz="0" w:space="0" w:color="auto"/>
        <w:right w:val="none" w:sz="0" w:space="0" w:color="auto"/>
      </w:divBdr>
    </w:div>
    <w:div w:id="398676328">
      <w:bodyDiv w:val="1"/>
      <w:marLeft w:val="0"/>
      <w:marRight w:val="0"/>
      <w:marTop w:val="0"/>
      <w:marBottom w:val="0"/>
      <w:divBdr>
        <w:top w:val="none" w:sz="0" w:space="0" w:color="auto"/>
        <w:left w:val="none" w:sz="0" w:space="0" w:color="auto"/>
        <w:bottom w:val="none" w:sz="0" w:space="0" w:color="auto"/>
        <w:right w:val="none" w:sz="0" w:space="0" w:color="auto"/>
      </w:divBdr>
    </w:div>
    <w:div w:id="444076629">
      <w:bodyDiv w:val="1"/>
      <w:marLeft w:val="0"/>
      <w:marRight w:val="0"/>
      <w:marTop w:val="0"/>
      <w:marBottom w:val="0"/>
      <w:divBdr>
        <w:top w:val="none" w:sz="0" w:space="0" w:color="auto"/>
        <w:left w:val="none" w:sz="0" w:space="0" w:color="auto"/>
        <w:bottom w:val="none" w:sz="0" w:space="0" w:color="auto"/>
        <w:right w:val="none" w:sz="0" w:space="0" w:color="auto"/>
      </w:divBdr>
    </w:div>
    <w:div w:id="533494429">
      <w:bodyDiv w:val="1"/>
      <w:marLeft w:val="0"/>
      <w:marRight w:val="0"/>
      <w:marTop w:val="0"/>
      <w:marBottom w:val="0"/>
      <w:divBdr>
        <w:top w:val="none" w:sz="0" w:space="0" w:color="auto"/>
        <w:left w:val="none" w:sz="0" w:space="0" w:color="auto"/>
        <w:bottom w:val="none" w:sz="0" w:space="0" w:color="auto"/>
        <w:right w:val="none" w:sz="0" w:space="0" w:color="auto"/>
      </w:divBdr>
    </w:div>
    <w:div w:id="563758785">
      <w:bodyDiv w:val="1"/>
      <w:marLeft w:val="0"/>
      <w:marRight w:val="0"/>
      <w:marTop w:val="0"/>
      <w:marBottom w:val="0"/>
      <w:divBdr>
        <w:top w:val="none" w:sz="0" w:space="0" w:color="auto"/>
        <w:left w:val="none" w:sz="0" w:space="0" w:color="auto"/>
        <w:bottom w:val="none" w:sz="0" w:space="0" w:color="auto"/>
        <w:right w:val="none" w:sz="0" w:space="0" w:color="auto"/>
      </w:divBdr>
    </w:div>
    <w:div w:id="664093373">
      <w:bodyDiv w:val="1"/>
      <w:marLeft w:val="0"/>
      <w:marRight w:val="0"/>
      <w:marTop w:val="0"/>
      <w:marBottom w:val="0"/>
      <w:divBdr>
        <w:top w:val="none" w:sz="0" w:space="0" w:color="auto"/>
        <w:left w:val="none" w:sz="0" w:space="0" w:color="auto"/>
        <w:bottom w:val="none" w:sz="0" w:space="0" w:color="auto"/>
        <w:right w:val="none" w:sz="0" w:space="0" w:color="auto"/>
      </w:divBdr>
    </w:div>
    <w:div w:id="956910461">
      <w:bodyDiv w:val="1"/>
      <w:marLeft w:val="0"/>
      <w:marRight w:val="0"/>
      <w:marTop w:val="0"/>
      <w:marBottom w:val="0"/>
      <w:divBdr>
        <w:top w:val="none" w:sz="0" w:space="0" w:color="auto"/>
        <w:left w:val="none" w:sz="0" w:space="0" w:color="auto"/>
        <w:bottom w:val="none" w:sz="0" w:space="0" w:color="auto"/>
        <w:right w:val="none" w:sz="0" w:space="0" w:color="auto"/>
      </w:divBdr>
    </w:div>
    <w:div w:id="980306835">
      <w:bodyDiv w:val="1"/>
      <w:marLeft w:val="0"/>
      <w:marRight w:val="0"/>
      <w:marTop w:val="0"/>
      <w:marBottom w:val="0"/>
      <w:divBdr>
        <w:top w:val="none" w:sz="0" w:space="0" w:color="auto"/>
        <w:left w:val="none" w:sz="0" w:space="0" w:color="auto"/>
        <w:bottom w:val="none" w:sz="0" w:space="0" w:color="auto"/>
        <w:right w:val="none" w:sz="0" w:space="0" w:color="auto"/>
      </w:divBdr>
    </w:div>
    <w:div w:id="1022240741">
      <w:bodyDiv w:val="1"/>
      <w:marLeft w:val="0"/>
      <w:marRight w:val="0"/>
      <w:marTop w:val="0"/>
      <w:marBottom w:val="0"/>
      <w:divBdr>
        <w:top w:val="none" w:sz="0" w:space="0" w:color="auto"/>
        <w:left w:val="none" w:sz="0" w:space="0" w:color="auto"/>
        <w:bottom w:val="none" w:sz="0" w:space="0" w:color="auto"/>
        <w:right w:val="none" w:sz="0" w:space="0" w:color="auto"/>
      </w:divBdr>
    </w:div>
    <w:div w:id="1069108868">
      <w:bodyDiv w:val="1"/>
      <w:marLeft w:val="0"/>
      <w:marRight w:val="0"/>
      <w:marTop w:val="0"/>
      <w:marBottom w:val="0"/>
      <w:divBdr>
        <w:top w:val="none" w:sz="0" w:space="0" w:color="auto"/>
        <w:left w:val="none" w:sz="0" w:space="0" w:color="auto"/>
        <w:bottom w:val="none" w:sz="0" w:space="0" w:color="auto"/>
        <w:right w:val="none" w:sz="0" w:space="0" w:color="auto"/>
      </w:divBdr>
    </w:div>
    <w:div w:id="1090465474">
      <w:bodyDiv w:val="1"/>
      <w:marLeft w:val="0"/>
      <w:marRight w:val="0"/>
      <w:marTop w:val="0"/>
      <w:marBottom w:val="0"/>
      <w:divBdr>
        <w:top w:val="none" w:sz="0" w:space="0" w:color="auto"/>
        <w:left w:val="none" w:sz="0" w:space="0" w:color="auto"/>
        <w:bottom w:val="none" w:sz="0" w:space="0" w:color="auto"/>
        <w:right w:val="none" w:sz="0" w:space="0" w:color="auto"/>
      </w:divBdr>
    </w:div>
    <w:div w:id="1111974579">
      <w:bodyDiv w:val="1"/>
      <w:marLeft w:val="0"/>
      <w:marRight w:val="0"/>
      <w:marTop w:val="0"/>
      <w:marBottom w:val="0"/>
      <w:divBdr>
        <w:top w:val="none" w:sz="0" w:space="0" w:color="auto"/>
        <w:left w:val="none" w:sz="0" w:space="0" w:color="auto"/>
        <w:bottom w:val="none" w:sz="0" w:space="0" w:color="auto"/>
        <w:right w:val="none" w:sz="0" w:space="0" w:color="auto"/>
      </w:divBdr>
    </w:div>
    <w:div w:id="1115559075">
      <w:bodyDiv w:val="1"/>
      <w:marLeft w:val="0"/>
      <w:marRight w:val="0"/>
      <w:marTop w:val="0"/>
      <w:marBottom w:val="0"/>
      <w:divBdr>
        <w:top w:val="none" w:sz="0" w:space="0" w:color="auto"/>
        <w:left w:val="none" w:sz="0" w:space="0" w:color="auto"/>
        <w:bottom w:val="none" w:sz="0" w:space="0" w:color="auto"/>
        <w:right w:val="none" w:sz="0" w:space="0" w:color="auto"/>
      </w:divBdr>
    </w:div>
    <w:div w:id="1151101107">
      <w:bodyDiv w:val="1"/>
      <w:marLeft w:val="0"/>
      <w:marRight w:val="0"/>
      <w:marTop w:val="0"/>
      <w:marBottom w:val="0"/>
      <w:divBdr>
        <w:top w:val="none" w:sz="0" w:space="0" w:color="auto"/>
        <w:left w:val="none" w:sz="0" w:space="0" w:color="auto"/>
        <w:bottom w:val="none" w:sz="0" w:space="0" w:color="auto"/>
        <w:right w:val="none" w:sz="0" w:space="0" w:color="auto"/>
      </w:divBdr>
    </w:div>
    <w:div w:id="1155685451">
      <w:bodyDiv w:val="1"/>
      <w:marLeft w:val="0"/>
      <w:marRight w:val="0"/>
      <w:marTop w:val="0"/>
      <w:marBottom w:val="0"/>
      <w:divBdr>
        <w:top w:val="none" w:sz="0" w:space="0" w:color="auto"/>
        <w:left w:val="none" w:sz="0" w:space="0" w:color="auto"/>
        <w:bottom w:val="none" w:sz="0" w:space="0" w:color="auto"/>
        <w:right w:val="none" w:sz="0" w:space="0" w:color="auto"/>
      </w:divBdr>
    </w:div>
    <w:div w:id="1200699863">
      <w:bodyDiv w:val="1"/>
      <w:marLeft w:val="0"/>
      <w:marRight w:val="0"/>
      <w:marTop w:val="0"/>
      <w:marBottom w:val="0"/>
      <w:divBdr>
        <w:top w:val="none" w:sz="0" w:space="0" w:color="auto"/>
        <w:left w:val="none" w:sz="0" w:space="0" w:color="auto"/>
        <w:bottom w:val="none" w:sz="0" w:space="0" w:color="auto"/>
        <w:right w:val="none" w:sz="0" w:space="0" w:color="auto"/>
      </w:divBdr>
    </w:div>
    <w:div w:id="1325889777">
      <w:bodyDiv w:val="1"/>
      <w:marLeft w:val="0"/>
      <w:marRight w:val="0"/>
      <w:marTop w:val="0"/>
      <w:marBottom w:val="0"/>
      <w:divBdr>
        <w:top w:val="none" w:sz="0" w:space="0" w:color="auto"/>
        <w:left w:val="none" w:sz="0" w:space="0" w:color="auto"/>
        <w:bottom w:val="none" w:sz="0" w:space="0" w:color="auto"/>
        <w:right w:val="none" w:sz="0" w:space="0" w:color="auto"/>
      </w:divBdr>
    </w:div>
    <w:div w:id="1389112753">
      <w:bodyDiv w:val="1"/>
      <w:marLeft w:val="0"/>
      <w:marRight w:val="0"/>
      <w:marTop w:val="0"/>
      <w:marBottom w:val="0"/>
      <w:divBdr>
        <w:top w:val="none" w:sz="0" w:space="0" w:color="auto"/>
        <w:left w:val="none" w:sz="0" w:space="0" w:color="auto"/>
        <w:bottom w:val="none" w:sz="0" w:space="0" w:color="auto"/>
        <w:right w:val="none" w:sz="0" w:space="0" w:color="auto"/>
      </w:divBdr>
    </w:div>
    <w:div w:id="1912346855">
      <w:bodyDiv w:val="1"/>
      <w:marLeft w:val="0"/>
      <w:marRight w:val="0"/>
      <w:marTop w:val="0"/>
      <w:marBottom w:val="0"/>
      <w:divBdr>
        <w:top w:val="none" w:sz="0" w:space="0" w:color="auto"/>
        <w:left w:val="none" w:sz="0" w:space="0" w:color="auto"/>
        <w:bottom w:val="none" w:sz="0" w:space="0" w:color="auto"/>
        <w:right w:val="none" w:sz="0" w:space="0" w:color="auto"/>
      </w:divBdr>
    </w:div>
    <w:div w:id="1973973816">
      <w:bodyDiv w:val="1"/>
      <w:marLeft w:val="0"/>
      <w:marRight w:val="0"/>
      <w:marTop w:val="0"/>
      <w:marBottom w:val="0"/>
      <w:divBdr>
        <w:top w:val="none" w:sz="0" w:space="0" w:color="auto"/>
        <w:left w:val="none" w:sz="0" w:space="0" w:color="auto"/>
        <w:bottom w:val="none" w:sz="0" w:space="0" w:color="auto"/>
        <w:right w:val="none" w:sz="0" w:space="0" w:color="auto"/>
      </w:divBdr>
    </w:div>
    <w:div w:id="200593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Wel14</b:Tag>
    <b:SourceType>Report</b:SourceType>
    <b:Guid>{8CB28A01-B4BE-4B5C-B5F8-06036DCC72E8}</b:Guid>
    <b:Year>2014</b:Year>
    <b:City>Cardiff</b:City>
    <b:URL>https://www.gov.wales/sites/default/files/publications/2019-05/social-services-and-well-being-wales-act-2014-the-essentials.pdf</b:URL>
    <b:Author>
      <b:Author>
        <b:Corporate>Welsh Goverment </b:Corporate>
      </b:Author>
    </b:Author>
    <b:Publisher>Welsh Goverment</b:Publisher>
    <b:Title>Social Services and well-being (Wales) Act 2014 (SSWWA)</b:Title>
    <b:RefOrder>1</b:RefOrder>
  </b:Source>
  <b:Source>
    <b:Tag>DAK84</b:Tag>
    <b:SourceType>Book</b:SourceType>
    <b:Guid>{539B503C-9F56-4CC4-AB58-3A7C9AAFCBAF}</b:Guid>
    <b:Title>Experiential learning: Experience as the source of learning and development.</b:Title>
    <b:Year>1984</b:Year>
    <b:Publisher>Englewood Cliffs</b:Publisher>
    <b:City>NJ: Prentice-Hall</b:City>
    <b:Author>
      <b:Author>
        <b:NameList>
          <b:Person>
            <b:Last>D.A Kolb</b:Last>
          </b:Person>
        </b:NameList>
      </b:Author>
    </b:Author>
    <b:RefOrder>2</b:RefOrder>
  </b:Source>
  <b:Source>
    <b:Tag>MBa19</b:Tag>
    <b:SourceType>Book</b:SourceType>
    <b:Guid>{34F7FA8F-587D-492D-B4EB-F47C83BD29EE}</b:Guid>
    <b:Author>
      <b:Author>
        <b:NameList>
          <b:Person>
            <b:Last>Bacon</b:Last>
            <b:First>M</b:First>
          </b:Person>
        </b:NameList>
      </b:Author>
    </b:Author>
    <b:Title>Family therapy and the treatment of substance use disorders: the Family Matters model</b:Title>
    <b:Year>2019</b:Year>
    <b:City>London</b:City>
    <b:Publisher>Routledge</b:Publisher>
    <b:RefOrder>6</b:RefOrder>
  </b:Source>
  <b:Source>
    <b:Tag>GSm93</b:Tag>
    <b:SourceType>Book</b:SourceType>
    <b:Guid>{546E1A54-C56C-43EB-A4EC-E161108ACA6E}</b:Guid>
    <b:Author>
      <b:Author>
        <b:NameList>
          <b:Person>
            <b:Last>Smale</b:Last>
            <b:First>G.,</b:First>
            <b:Middle>Tuson, G. and Biehal, N.</b:Middle>
          </b:Person>
        </b:NameList>
      </b:Author>
    </b:Author>
    <b:Title>Empowerment, assessment, care management and the skilled worker.</b:Title>
    <b:Year>1993</b:Year>
    <b:City>London</b:City>
    <b:Publisher>HMSO</b:Publisher>
    <b:RefOrder>7</b:RefOrder>
  </b:Source>
  <b:Source>
    <b:Tag>Wal17</b:Tag>
    <b:SourceType>Report</b:SourceType>
    <b:Guid>{FF75291C-7CB7-4A35-A743-6EEDDC20569E}</b:Guid>
    <b:Title>Code of Professional Practice</b:Title>
    <b:Year>2017</b:Year>
    <b:City>Cardiff</b:City>
    <b:Publisher>Social Care Wales</b:Publisher>
    <b:Author>
      <b:Author>
        <b:NameList>
          <b:Person>
            <b:Last>Wales</b:Last>
            <b:First>Social</b:First>
            <b:Middle>Care</b:Middle>
          </b:Person>
        </b:NameList>
      </b:Author>
    </b:Author>
    <b:RefOrder>3</b:RefOrder>
  </b:Source>
  <b:Source>
    <b:Tag>Nes14</b:Tag>
    <b:SourceType>JournalArticle</b:SourceType>
    <b:Guid>{89C5DA74-BC92-4950-A826-99D2BD8CD595}</b:Guid>
    <b:Title>Collaborative practices in mental health and substance use care</b:Title>
    <b:Year>2014</b:Year>
    <b:Author>
      <b:Author>
        <b:NameList>
          <b:Person>
            <b:Last>Ness</b:Last>
            <b:First>O.,</b:First>
            <b:Middle>Borg, M., Semb, R., &amp; Karlsson, B.</b:Middle>
          </b:Person>
        </b:NameList>
      </b:Author>
    </b:Author>
    <b:JournalName>International Journal of Mental Health Systems</b:JournalName>
    <b:Pages> 8(1) - 55</b:Pages>
    <b:RefOrder>4</b:RefOrder>
  </b:Source>
  <b:Source>
    <b:Tag>Tho16</b:Tag>
    <b:SourceType>Book</b:SourceType>
    <b:Guid>{739BD56A-6DCB-4F9D-9418-B813698D429E}</b:Guid>
    <b:Title>The Professional Social Worker: Meeting the Challenge</b:Title>
    <b:Year>2016</b:Year>
    <b:Author>
      <b:Author>
        <b:NameList>
          <b:Person>
            <b:Last>Thompson</b:Last>
            <b:First>N.</b:First>
          </b:Person>
        </b:NameList>
      </b:Author>
    </b:Author>
    <b:City>London </b:City>
    <b:Publisher>Palgrave Macmillan</b:Publisher>
    <b:RefOrder>5</b:RefOrder>
  </b:Source>
  <b:Source>
    <b:Tag>Tho25</b:Tag>
    <b:SourceType>InternetSite</b:SourceType>
    <b:Guid>{34BBF408-2161-4FD6-AA89-83CD843C0908}</b:Guid>
    <b:Title>Dc Neil Thompson Medium </b:Title>
    <b:Year>2025</b:Year>
    <b:Author>
      <b:Author>
        <b:NameList>
          <b:Person>
            <b:Last>Thompson</b:Last>
            <b:First>N.,</b:First>
          </b:Person>
        </b:NameList>
      </b:Author>
    </b:Author>
    <b:InternetSiteTitle>Medium</b:InternetSiteTitle>
    <b:Month>April</b:Month>
    <b:Day>12</b:Day>
    <b:URL>https://drneilthompson.medium.com/teamwork-and-wellbeing-410939e591af#:~:text=Sometimes%20genuine%20teamwork%20can%20indeed,alike)%20to%20promote%20effective%20teamwork.</b:URL>
    <b:RefOrder>8</b:RefOrder>
  </b:Source>
</b:Sources>
</file>

<file path=customXml/itemProps1.xml><?xml version="1.0" encoding="utf-8"?>
<ds:datastoreItem xmlns:ds="http://schemas.openxmlformats.org/officeDocument/2006/customXml" ds:itemID="{CA14452F-CE48-428B-94CC-EC278C45E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1433</Words>
  <Characters>11559</Characters>
  <Application>Microsoft Office Word</Application>
  <DocSecurity>0</DocSecurity>
  <Lines>231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Pybus</dc:creator>
  <cp:keywords/>
  <dc:description/>
  <cp:lastModifiedBy>Phil Pybus</cp:lastModifiedBy>
  <cp:revision>3</cp:revision>
  <dcterms:created xsi:type="dcterms:W3CDTF">2026-02-23T14:33:00Z</dcterms:created>
  <dcterms:modified xsi:type="dcterms:W3CDTF">2026-02-23T14:40:00Z</dcterms:modified>
</cp:coreProperties>
</file>