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diagrams/drawing1.xml" ContentType="application/vnd.ms-office.drawingml.diagramDrawing+xml"/>
  <Override PartName="/word/fontTable.xml" ContentType="application/vnd.openxmlformats-officedocument.wordprocessingml.fontTable+xml"/>
  <Override PartName="/docProps/core.xml" ContentType="application/vnd.openxmlformats-package.core-properties+xml"/>
  <Override PartName="/word/footer1.xml" ContentType="application/vnd.openxmlformats-officedocument.wordprocessingml.footer+xml"/>
  <Override PartName="/word/numbering.xml" ContentType="application/vnd.openxmlformats-officedocument.wordprocessingml.numbering+xml"/>
  <Override PartName="/word/diagrams/data1.xml" ContentType="application/vnd.openxmlformats-officedocument.drawingml.diagramData+xml"/>
  <Override PartName="/word/diagrams/colors1.xml" ContentType="application/vnd.openxmlformats-officedocument.drawingml.diagramColors+xml"/>
  <Override PartName="/word/settings.xml" ContentType="application/vnd.openxmlformats-officedocument.wordprocessingml.settings+xml"/>
  <Override PartName="/docProps/custom.xml" ContentType="application/vnd.openxmlformats-officedocument.custom-properties+xml"/>
  <Override PartName="/word/diagrams/layout1.xml" ContentType="application/vnd.openxmlformats-officedocument.drawingml.diagramLayout+xml"/>
  <Override PartName="/word/document.xml" ContentType="application/vnd.openxmlformats-officedocument.wordprocessingml.document.main+xml"/>
  <Override PartName="/customXml/itemProps1.xml" ContentType="application/vnd.openxmlformats-officedocument.customXmlProperties+xml"/>
  <Override PartName="/word/footer2.xml" ContentType="application/vnd.openxmlformats-officedocument.wordprocessingml.footer+xml"/>
  <Override PartName="/word/diagrams/quickStyle1.xml" ContentType="application/vnd.openxmlformats-officedocument.drawingml.diagramStyle+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widowControl w:val="false"/>
        <w:pBdr>
          <w:left w:val="nil"/>
          <w:right w:val="nil"/>
          <w:top w:val="nil"/>
          <w:bottom w:val="nil"/>
          <w:between w:val="nil"/>
        </w:pBdr>
        <w:spacing w:after="0" w:lineRule="auto" w:line="276"/>
        <w:jc w:val="both"/>
        <w:rPr>
          <w:rFonts w:ascii="Arial" w:cs="Arial" w:eastAsia="Times New Roman" w:hAnsi="Arial"/>
          <w:sz w:val="24"/>
          <w:szCs w:val="24"/>
          <w:lang w:eastAsia="en-GB"/>
        </w:rPr>
      </w:pPr>
    </w:p>
    <w:p>
      <w:pPr>
        <w:pStyle w:val="style0"/>
        <w:jc w:val="center"/>
        <w:rPr>
          <w:rFonts w:ascii="Arial" w:cs="Arial" w:eastAsia="Times New Roman" w:hAnsi="Arial"/>
          <w:sz w:val="24"/>
          <w:szCs w:val="24"/>
          <w:lang w:eastAsia="en-GB"/>
        </w:rPr>
      </w:pPr>
      <w:r>
        <w:rPr>
          <w:rFonts w:ascii="Arial" w:cs="Arial" w:eastAsia="Times New Roman" w:hAnsi="Arial"/>
          <w:noProof/>
          <w:sz w:val="24"/>
          <w:szCs w:val="24"/>
          <w:lang w:eastAsia="en-GB"/>
        </w:rPr>
        <w:drawing>
          <wp:inline distL="0" distT="0" distB="0" distR="0">
            <wp:extent cx="3895724" cy="1877060"/>
            <wp:effectExtent l="0" t="0" r="9525" b="8890"/>
            <wp:docPr id="1026"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2" cstate="print"/>
                    <a:srcRect l="0" t="0" r="0" b="0"/>
                    <a:stretch/>
                  </pic:blipFill>
                  <pic:spPr>
                    <a:xfrm rot="0">
                      <a:off x="0" y="0"/>
                      <a:ext cx="3895724" cy="1877060"/>
                    </a:xfrm>
                    <a:prstGeom prst="rect"/>
                    <a:ln cmpd="sng" cap="flat" w="9525">
                      <a:solidFill>
                        <a:srgbClr val="000000"/>
                      </a:solidFill>
                      <a:prstDash val="solid"/>
                      <a:round/>
                      <a:headEnd/>
                      <a:tailEnd/>
                    </a:ln>
                  </pic:spPr>
                </pic:pic>
              </a:graphicData>
            </a:graphic>
          </wp:inline>
        </w:drawing>
      </w:r>
    </w:p>
    <w:p>
      <w:pPr>
        <w:pStyle w:val="style0"/>
        <w:widowControl w:val="false"/>
        <w:spacing w:after="0" w:lineRule="auto" w:line="360"/>
        <w:jc w:val="center"/>
        <w:rPr>
          <w:rFonts w:ascii="Arial" w:cs="Arial" w:eastAsia="Times New Roman" w:hAnsi="Arial"/>
          <w:b/>
          <w:sz w:val="24"/>
          <w:szCs w:val="24"/>
          <w:lang w:eastAsia="en-GB"/>
        </w:rPr>
      </w:pPr>
      <w:r>
        <w:rPr>
          <w:rFonts w:ascii="Arial" w:cs="Arial" w:eastAsia="Times New Roman" w:hAnsi="Arial"/>
          <w:b/>
          <w:sz w:val="24"/>
          <w:szCs w:val="24"/>
          <w:lang w:eastAsia="en-GB"/>
        </w:rPr>
        <w:t xml:space="preserve">Student </w:t>
      </w:r>
      <w:r>
        <w:rPr>
          <w:rFonts w:ascii="Arial" w:cs="Arial" w:eastAsia="Times New Roman" w:hAnsi="Arial"/>
          <w:b/>
          <w:sz w:val="24"/>
          <w:szCs w:val="24"/>
          <w:lang w:eastAsia="en-GB"/>
        </w:rPr>
        <w:t>N</w:t>
      </w:r>
      <w:r>
        <w:rPr>
          <w:rFonts w:ascii="Arial" w:cs="Arial" w:eastAsia="Times New Roman" w:hAnsi="Arial"/>
          <w:b/>
          <w:sz w:val="24"/>
          <w:szCs w:val="24"/>
          <w:lang w:eastAsia="en-GB"/>
        </w:rPr>
        <w:t xml:space="preserve">ame: </w:t>
      </w:r>
      <w:r>
        <w:rPr>
          <w:rFonts w:ascii="Arial" w:cs="Arial" w:eastAsia="Times New Roman" w:hAnsi="Arial"/>
          <w:b/>
          <w:sz w:val="24"/>
          <w:szCs w:val="24"/>
          <w:lang w:eastAsia="en-GB"/>
        </w:rPr>
        <w:t>MD Saifur Rahman</w:t>
      </w:r>
    </w:p>
    <w:p>
      <w:pPr>
        <w:pStyle w:val="style0"/>
        <w:widowControl w:val="false"/>
        <w:spacing w:after="0" w:lineRule="auto" w:line="360"/>
        <w:jc w:val="center"/>
        <w:rPr>
          <w:rFonts w:ascii="Arial" w:cs="Arial" w:eastAsia="Times New Roman" w:hAnsi="Arial"/>
          <w:b/>
          <w:sz w:val="24"/>
          <w:szCs w:val="24"/>
          <w:lang w:eastAsia="en-GB"/>
        </w:rPr>
      </w:pPr>
      <w:r>
        <w:rPr>
          <w:rFonts w:ascii="Arial" w:cs="Arial" w:eastAsia="Times New Roman" w:hAnsi="Arial"/>
          <w:b/>
          <w:sz w:val="24"/>
          <w:szCs w:val="24"/>
          <w:lang w:eastAsia="en-GB"/>
        </w:rPr>
        <w:t xml:space="preserve">Student ID: </w:t>
      </w:r>
      <w:r>
        <w:rPr>
          <w:rFonts w:ascii="Arial" w:cs="Arial" w:eastAsia="Times New Roman" w:hAnsi="Arial"/>
          <w:b/>
          <w:sz w:val="24"/>
          <w:szCs w:val="24"/>
          <w:lang w:eastAsia="en-GB"/>
        </w:rPr>
        <w:t>2431872</w:t>
      </w:r>
    </w:p>
    <w:p>
      <w:pPr>
        <w:pStyle w:val="style0"/>
        <w:widowControl w:val="false"/>
        <w:spacing w:after="0" w:lineRule="auto" w:line="360"/>
        <w:jc w:val="center"/>
        <w:rPr>
          <w:rFonts w:ascii="Arial" w:cs="Arial" w:eastAsia="Times New Roman" w:hAnsi="Arial"/>
          <w:b/>
          <w:sz w:val="24"/>
          <w:szCs w:val="24"/>
          <w:lang w:eastAsia="en-GB"/>
        </w:rPr>
      </w:pPr>
    </w:p>
    <w:p>
      <w:pPr>
        <w:pStyle w:val="style0"/>
        <w:widowControl w:val="false"/>
        <w:spacing w:after="0" w:lineRule="auto" w:line="360"/>
        <w:jc w:val="center"/>
        <w:rPr>
          <w:rFonts w:ascii="Arial" w:cs="Arial" w:eastAsia="Times New Roman" w:hAnsi="Arial"/>
          <w:b/>
          <w:sz w:val="24"/>
          <w:szCs w:val="24"/>
          <w:lang w:eastAsia="en-GB"/>
        </w:rPr>
      </w:pPr>
      <w:r>
        <w:rPr>
          <w:rFonts w:ascii="Arial" w:cs="Arial" w:eastAsia="Times New Roman" w:hAnsi="Arial"/>
          <w:b/>
          <w:sz w:val="24"/>
          <w:szCs w:val="24"/>
          <w:lang w:eastAsia="en-GB"/>
        </w:rPr>
        <w:t>Programme: Master of Business Administration</w:t>
      </w:r>
    </w:p>
    <w:p>
      <w:pPr>
        <w:pStyle w:val="style0"/>
        <w:widowControl w:val="false"/>
        <w:spacing w:after="0" w:lineRule="auto" w:line="360"/>
        <w:jc w:val="center"/>
        <w:rPr>
          <w:rFonts w:ascii="Arial" w:cs="Arial" w:eastAsia="Times New Roman" w:hAnsi="Arial"/>
          <w:b/>
          <w:sz w:val="24"/>
          <w:szCs w:val="24"/>
          <w:lang w:eastAsia="en-GB"/>
        </w:rPr>
      </w:pPr>
      <w:r>
        <w:rPr>
          <w:rFonts w:ascii="Arial" w:cs="Arial" w:eastAsia="Times New Roman" w:hAnsi="Arial"/>
          <w:b/>
          <w:sz w:val="24"/>
          <w:szCs w:val="24"/>
          <w:lang w:eastAsia="en-GB"/>
        </w:rPr>
        <w:t>Module &amp; Code</w:t>
      </w:r>
      <w:r>
        <w:rPr>
          <w:rFonts w:ascii="Arial" w:cs="Arial" w:eastAsia="Times New Roman" w:hAnsi="Arial"/>
          <w:b/>
          <w:sz w:val="24"/>
          <w:szCs w:val="24"/>
          <w:lang w:eastAsia="en-GB"/>
        </w:rPr>
        <w:t>: Human Capital Management (LCMB7023)</w:t>
      </w:r>
    </w:p>
    <w:p>
      <w:pPr>
        <w:pStyle w:val="style0"/>
        <w:widowControl w:val="false"/>
        <w:spacing w:after="0" w:lineRule="auto" w:line="360"/>
        <w:jc w:val="center"/>
        <w:rPr>
          <w:rFonts w:ascii="Arial" w:cs="Arial" w:eastAsia="Times New Roman" w:hAnsi="Arial"/>
          <w:b/>
          <w:sz w:val="24"/>
          <w:szCs w:val="24"/>
          <w:lang w:eastAsia="en-GB"/>
        </w:rPr>
      </w:pPr>
    </w:p>
    <w:p>
      <w:pPr>
        <w:pStyle w:val="style0"/>
        <w:widowControl w:val="false"/>
        <w:spacing w:after="0" w:lineRule="auto" w:line="360"/>
        <w:jc w:val="center"/>
        <w:rPr>
          <w:rFonts w:ascii="Arial" w:cs="Arial" w:eastAsia="Times New Roman" w:hAnsi="Arial"/>
          <w:b/>
          <w:sz w:val="24"/>
          <w:szCs w:val="24"/>
        </w:rPr>
      </w:pPr>
      <w:r>
        <w:rPr>
          <w:rFonts w:ascii="Arial" w:cs="Arial" w:eastAsia="Times New Roman" w:hAnsi="Arial"/>
          <w:b/>
          <w:sz w:val="24"/>
          <w:szCs w:val="24"/>
        </w:rPr>
        <w:t>Lecturer:  Gladius Kulothungan</w:t>
      </w:r>
    </w:p>
    <w:p>
      <w:pPr>
        <w:pStyle w:val="style0"/>
        <w:widowControl w:val="false"/>
        <w:spacing w:after="0" w:lineRule="auto" w:line="360"/>
        <w:jc w:val="center"/>
        <w:rPr>
          <w:rFonts w:ascii="Arial" w:cs="Arial" w:eastAsia="Times New Roman" w:hAnsi="Arial"/>
          <w:b/>
          <w:sz w:val="24"/>
          <w:szCs w:val="24"/>
          <w:lang w:eastAsia="en-GB"/>
        </w:rPr>
      </w:pPr>
      <w:r>
        <w:rPr>
          <w:rFonts w:ascii="Arial" w:cs="Arial" w:eastAsia="Times New Roman" w:hAnsi="Arial"/>
          <w:b/>
          <w:sz w:val="24"/>
          <w:szCs w:val="24"/>
          <w:lang w:eastAsia="en-GB"/>
        </w:rPr>
        <w:t xml:space="preserve">Word: </w:t>
      </w:r>
      <w:r>
        <w:rPr>
          <w:rFonts w:ascii="Arial" w:cs="Arial" w:eastAsia="Times New Roman" w:hAnsi="Arial"/>
          <w:b/>
          <w:sz w:val="24"/>
          <w:szCs w:val="24"/>
          <w:lang w:eastAsia="en-GB"/>
        </w:rPr>
        <w:t>2737</w:t>
      </w:r>
    </w:p>
    <w:p>
      <w:pPr>
        <w:pStyle w:val="style0"/>
        <w:rPr>
          <w:rFonts w:ascii="Arial" w:cs="Arial" w:eastAsia="Times New Roman" w:hAnsi="Arial"/>
          <w:b/>
          <w:sz w:val="24"/>
          <w:szCs w:val="24"/>
          <w:lang w:eastAsia="en-GB"/>
        </w:rPr>
      </w:pPr>
    </w:p>
    <w:p>
      <w:pPr>
        <w:pStyle w:val="style0"/>
        <w:jc w:val="center"/>
        <w:rPr>
          <w:rFonts w:ascii="Arial" w:cs="Arial" w:eastAsia="Times New Roman" w:hAnsi="Arial"/>
          <w:b/>
          <w:sz w:val="24"/>
          <w:szCs w:val="24"/>
          <w:lang w:eastAsia="en-GB"/>
        </w:rPr>
      </w:pPr>
      <w:r>
        <w:rPr>
          <w:rFonts w:ascii="Arial" w:cs="Arial" w:eastAsia="Times New Roman" w:hAnsi="Arial"/>
          <w:b/>
          <w:sz w:val="24"/>
          <w:szCs w:val="24"/>
          <w:lang w:eastAsia="en-GB"/>
        </w:rPr>
        <w:t>Submission Deadline: 1</w:t>
      </w:r>
      <w:r>
        <w:rPr>
          <w:rFonts w:ascii="Arial" w:cs="Arial" w:eastAsia="Times New Roman" w:hAnsi="Arial"/>
          <w:b/>
          <w:sz w:val="24"/>
          <w:szCs w:val="24"/>
          <w:lang w:val="en-US" w:eastAsia="en-GB"/>
        </w:rPr>
        <w:t>7</w:t>
      </w:r>
      <w:r>
        <w:rPr>
          <w:rFonts w:ascii="Arial" w:cs="Arial" w:eastAsia="Times New Roman" w:hAnsi="Arial"/>
          <w:b/>
          <w:sz w:val="24"/>
          <w:szCs w:val="24"/>
          <w:lang w:eastAsia="en-GB"/>
        </w:rPr>
        <w:t>/1</w:t>
      </w:r>
      <w:r>
        <w:rPr>
          <w:rFonts w:ascii="Arial" w:cs="Arial" w:eastAsia="Times New Roman" w:hAnsi="Arial"/>
          <w:b/>
          <w:sz w:val="24"/>
          <w:szCs w:val="24"/>
          <w:lang w:val="en-US" w:eastAsia="en-GB"/>
        </w:rPr>
        <w:t>2</w:t>
      </w:r>
      <w:r>
        <w:rPr>
          <w:rFonts w:ascii="Arial" w:cs="Arial" w:eastAsia="Times New Roman" w:hAnsi="Arial"/>
          <w:b/>
          <w:sz w:val="24"/>
          <w:szCs w:val="24"/>
          <w:lang w:eastAsia="en-GB"/>
        </w:rPr>
        <w:t>/2025</w:t>
      </w:r>
    </w:p>
    <w:p>
      <w:pPr>
        <w:pStyle w:val="style0"/>
        <w:jc w:val="center"/>
        <w:rPr>
          <w:rFonts w:ascii="Arial" w:cs="Arial" w:eastAsia="Times New Roman" w:hAnsi="Arial"/>
          <w:b/>
          <w:sz w:val="24"/>
          <w:szCs w:val="24"/>
          <w:lang w:eastAsia="en-GB"/>
        </w:rPr>
      </w:pPr>
    </w:p>
    <w:p>
      <w:pPr>
        <w:pStyle w:val="style0"/>
        <w:jc w:val="center"/>
        <w:rPr>
          <w:rFonts w:ascii="Arial" w:cs="Arial" w:eastAsia="Times New Roman" w:hAnsi="Arial"/>
          <w:b/>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center"/>
        <w:rPr>
          <w:rFonts w:ascii="Arial" w:cs="Arial" w:eastAsia="Times New Roman" w:hAnsi="Arial"/>
          <w:sz w:val="30"/>
          <w:szCs w:val="30"/>
          <w:highlight w:val="white"/>
          <w:lang w:eastAsia="en-GB"/>
        </w:rPr>
      </w:pPr>
      <w:r>
        <w:rPr>
          <w:rFonts w:ascii="Arial" w:cs="Arial" w:eastAsia="Times New Roman" w:hAnsi="Arial"/>
          <w:sz w:val="30"/>
          <w:szCs w:val="30"/>
          <w:highlight w:val="white"/>
          <w:lang w:eastAsia="en-GB"/>
        </w:rPr>
        <w:t xml:space="preserve"> 1. Executive Summary</w:t>
      </w:r>
    </w:p>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 xml:space="preserve">Diageo plc could be a driving British multinational refreshment company headquartered in London, working in over 180 nations with </w:t>
      </w:r>
      <w:r>
        <w:rPr>
          <w:rFonts w:ascii="Arial" w:cs="Arial" w:eastAsia="Times New Roman" w:hAnsi="Arial"/>
          <w:sz w:val="24"/>
          <w:szCs w:val="24"/>
          <w:lang w:eastAsia="en-GB"/>
        </w:rPr>
        <w:t>an</w:t>
      </w:r>
      <w:r>
        <w:rPr>
          <w:rFonts w:ascii="Arial" w:cs="Arial" w:eastAsia="Times New Roman" w:hAnsi="Arial"/>
          <w:sz w:val="24"/>
          <w:szCs w:val="24"/>
          <w:lang w:eastAsia="en-GB"/>
        </w:rPr>
        <w:t xml:space="preserve"> assorted portfolio of premium alcoholic brands such as Johnnie Walker, Guinness, and Smirnoff. This report analyses Diageo’s authoritative culture and working environment, assessing how these components back its key objectives of economic development, development, and worldwide brand authority.</w:t>
      </w:r>
    </w:p>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Key discoveries uncover a solid culture of inclusivity, differences, and moral polished skill that improves worker fulfilment and engagement. The company’s crossover work demonstrate and adaptable approaches advance work-life adjust but confront challenges related to workload weight and rebuilding stretch. Diageo’s culture adjusts well with its long-term sustainability and advancement techniques, in spite of the fact that deftness may well be moved forward.</w:t>
      </w:r>
    </w:p>
    <w:p>
      <w:pPr>
        <w:pStyle w:val="style0"/>
        <w:spacing w:lineRule="auto" w:line="360"/>
        <w:jc w:val="both"/>
        <w:rPr>
          <w:rFonts w:ascii="Arial" w:cs="Arial" w:eastAsia="Times New Roman" w:hAnsi="Arial"/>
          <w:sz w:val="24"/>
          <w:szCs w:val="24"/>
          <w:highlight w:val="white"/>
          <w:lang w:eastAsia="en-GB"/>
        </w:rPr>
      </w:pPr>
      <w:r>
        <w:rPr>
          <w:rFonts w:ascii="Arial" w:cs="Arial" w:eastAsia="Times New Roman" w:hAnsi="Arial"/>
          <w:sz w:val="24"/>
          <w:szCs w:val="24"/>
          <w:lang w:eastAsia="en-GB"/>
        </w:rPr>
        <w:t>Proposals incorporate cultivating a more dexterous culture through administration improvement, actualising workload administration devices, and improving mental wellbeing bolster. A staged execution arrange with clear victory measurements will offer assistance Diageo maintain its competitive advantage and reinforce its position as an alluring boss</w:t>
      </w:r>
      <w:r>
        <w:rPr>
          <w:rFonts w:ascii="Arial" w:cs="Arial" w:eastAsia="Times New Roman" w:hAnsi="Arial"/>
          <w:sz w:val="24"/>
          <w:szCs w:val="24"/>
          <w:highlight w:val="white"/>
          <w:lang w:eastAsia="en-GB"/>
        </w:rPr>
        <w:t>.</w:t>
      </w:r>
    </w:p>
    <w:p>
      <w:pPr>
        <w:pStyle w:val="style0"/>
        <w:spacing w:lineRule="auto" w:line="360"/>
        <w:jc w:val="both"/>
        <w:rPr>
          <w:rFonts w:ascii="Arial" w:cs="Arial" w:eastAsia="Times New Roman" w:hAnsi="Arial"/>
          <w:sz w:val="24"/>
          <w:szCs w:val="24"/>
          <w:highlight w:val="white"/>
          <w:lang w:eastAsia="en-GB"/>
        </w:rPr>
      </w:pPr>
    </w:p>
    <w:p>
      <w:pPr>
        <w:pStyle w:val="style0"/>
        <w:spacing w:lineRule="auto" w:line="360"/>
        <w:jc w:val="both"/>
        <w:rPr>
          <w:rFonts w:ascii="Arial" w:cs="Arial" w:eastAsia="Times New Roman" w:hAnsi="Arial"/>
          <w:sz w:val="24"/>
          <w:szCs w:val="24"/>
          <w:highlight w:val="white"/>
          <w:lang w:eastAsia="en-GB"/>
        </w:rPr>
      </w:pPr>
    </w:p>
    <w:p>
      <w:pPr>
        <w:pStyle w:val="style0"/>
        <w:spacing w:lineRule="auto" w:line="360"/>
        <w:jc w:val="both"/>
        <w:rPr>
          <w:rFonts w:ascii="Arial" w:cs="Arial" w:eastAsia="Times New Roman" w:hAnsi="Arial"/>
          <w:sz w:val="24"/>
          <w:szCs w:val="24"/>
          <w:highlight w:val="white"/>
          <w:lang w:eastAsia="en-GB"/>
        </w:rPr>
      </w:pPr>
    </w:p>
    <w:p>
      <w:pPr>
        <w:pStyle w:val="style0"/>
        <w:spacing w:lineRule="auto" w:line="360"/>
        <w:jc w:val="both"/>
        <w:rPr>
          <w:rFonts w:ascii="Arial" w:cs="Arial" w:eastAsia="Times New Roman" w:hAnsi="Arial"/>
          <w:sz w:val="24"/>
          <w:szCs w:val="24"/>
          <w:highlight w:val="white"/>
          <w:lang w:eastAsia="en-GB"/>
        </w:rPr>
      </w:pPr>
    </w:p>
    <w:p>
      <w:pPr>
        <w:pStyle w:val="style0"/>
        <w:spacing w:lineRule="auto" w:line="360"/>
        <w:jc w:val="both"/>
        <w:rPr>
          <w:rFonts w:ascii="Arial" w:cs="Arial" w:eastAsia="Times New Roman" w:hAnsi="Arial"/>
          <w:sz w:val="24"/>
          <w:szCs w:val="24"/>
          <w:highlight w:val="white"/>
          <w:lang w:eastAsia="en-GB"/>
        </w:rPr>
      </w:pPr>
    </w:p>
    <w:p>
      <w:pPr>
        <w:pStyle w:val="style0"/>
        <w:spacing w:lineRule="auto" w:line="360"/>
        <w:jc w:val="both"/>
        <w:rPr>
          <w:rFonts w:ascii="Arial" w:cs="Arial" w:eastAsia="Times New Roman" w:hAnsi="Arial"/>
          <w:sz w:val="24"/>
          <w:szCs w:val="24"/>
          <w:highlight w:val="white"/>
          <w:lang w:eastAsia="en-GB"/>
        </w:rPr>
      </w:pPr>
    </w:p>
    <w:p>
      <w:pPr>
        <w:pStyle w:val="style0"/>
        <w:spacing w:lineRule="auto" w:line="360"/>
        <w:jc w:val="both"/>
        <w:rPr>
          <w:rFonts w:ascii="Arial" w:cs="Arial" w:eastAsia="Times New Roman" w:hAnsi="Arial"/>
          <w:sz w:val="24"/>
          <w:szCs w:val="24"/>
          <w:highlight w:val="white"/>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266"/>
        <w:jc w:val="center"/>
        <w:rPr>
          <w:rFonts w:ascii="Arial" w:cs="Arial" w:hAnsi="Arial"/>
          <w:color w:val="auto"/>
        </w:rPr>
      </w:pPr>
      <w:r>
        <w:rPr>
          <w:rFonts w:ascii="Arial" w:cs="Arial" w:hAnsi="Arial"/>
          <w:color w:val="auto"/>
        </w:rPr>
        <w:t>Contents</w:t>
      </w:r>
    </w:p>
    <w:p>
      <w:pPr>
        <w:pStyle w:val="style19"/>
        <w:tabs>
          <w:tab w:val="right" w:leader="dot" w:pos="9350"/>
        </w:tabs>
        <w:rPr>
          <w:rFonts w:eastAsia="宋体"/>
          <w:noProof/>
          <w:kern w:val="2"/>
          <w:sz w:val="24"/>
          <w:szCs w:val="24"/>
          <w:lang w:val="en-US"/>
          <w14:ligatures xmlns:w14="http://schemas.microsoft.com/office/word/2010/wordml" w14:val="standardContextual"/>
        </w:rPr>
      </w:pPr>
      <w:r>
        <w:rPr>
          <w:rFonts w:ascii="Arial" w:cs="Arial" w:hAnsi="Arial"/>
        </w:rPr>
        <w:fldChar w:fldCharType="begin"/>
      </w:r>
      <w:r>
        <w:rPr>
          <w:rFonts w:ascii="Arial" w:cs="Arial" w:hAnsi="Arial"/>
        </w:rPr>
        <w:instrText xml:space="preserve"> TOC \o "1-3" \h \z \u </w:instrText>
      </w:r>
      <w:r>
        <w:rPr>
          <w:rFonts w:ascii="Arial" w:cs="Arial" w:hAnsi="Arial"/>
        </w:rPr>
        <w:fldChar w:fldCharType="separate"/>
      </w:r>
      <w:r>
        <w:rPr/>
        <w:fldChar w:fldCharType="begin"/>
      </w:r>
      <w:r>
        <w:instrText xml:space="preserve"> HYPERLINK \l "_Toc216720470" </w:instrText>
      </w:r>
      <w:r>
        <w:rPr/>
        <w:fldChar w:fldCharType="separate"/>
      </w:r>
      <w:r>
        <w:rPr>
          <w:rStyle w:val="style85"/>
          <w:rFonts w:ascii="Arial" w:cs="Arial" w:eastAsia="Calibri" w:hAnsi="Arial"/>
          <w:noProof/>
          <w:lang w:eastAsia="en-GB"/>
        </w:rPr>
        <w:t>2. Introduction</w:t>
      </w:r>
      <w:r>
        <w:rPr>
          <w:noProof/>
          <w:webHidden/>
        </w:rPr>
        <w:tab/>
      </w:r>
      <w:r>
        <w:rPr>
          <w:noProof/>
          <w:webHidden/>
        </w:rPr>
        <w:fldChar w:fldCharType="begin"/>
      </w:r>
      <w:r>
        <w:rPr>
          <w:noProof/>
          <w:webHidden/>
        </w:rPr>
        <w:instrText xml:space="preserve"> PAGEREF _Toc216720470 \h </w:instrText>
      </w:r>
      <w:r>
        <w:rPr>
          <w:noProof/>
          <w:webHidden/>
        </w:rPr>
        <w:fldChar w:fldCharType="separate"/>
      </w:r>
      <w:r>
        <w:rPr>
          <w:noProof/>
          <w:webHidden/>
        </w:rPr>
        <w:t>1</w:t>
      </w:r>
      <w:r>
        <w:rPr>
          <w:noProof/>
          <w:webHidden/>
        </w:rPr>
        <w:fldChar w:fldCharType="end"/>
      </w:r>
      <w:r>
        <w:rPr/>
        <w:fldChar w:fldCharType="end"/>
      </w:r>
    </w:p>
    <w:p>
      <w:pPr>
        <w:pStyle w:val="style19"/>
        <w:tabs>
          <w:tab w:val="right" w:leader="dot" w:pos="9350"/>
        </w:tabs>
        <w:rPr>
          <w:rFonts w:eastAsia="宋体"/>
          <w:noProof/>
          <w:kern w:val="2"/>
          <w:sz w:val="24"/>
          <w:szCs w:val="24"/>
          <w:lang w:val="en-US"/>
          <w14:ligatures xmlns:w14="http://schemas.microsoft.com/office/word/2010/wordml" w14:val="standardContextual"/>
        </w:rPr>
      </w:pPr>
      <w:r>
        <w:rPr/>
        <w:fldChar w:fldCharType="begin"/>
      </w:r>
      <w:r>
        <w:instrText xml:space="preserve"> HYPERLINK \l "_Toc216720471" </w:instrText>
      </w:r>
      <w:r>
        <w:rPr/>
        <w:fldChar w:fldCharType="separate"/>
      </w:r>
      <w:r>
        <w:rPr>
          <w:rStyle w:val="style85"/>
          <w:rFonts w:ascii="Arial" w:cs="Arial" w:eastAsia="Times New Roman" w:hAnsi="Arial"/>
          <w:noProof/>
          <w:lang w:eastAsia="en-GB"/>
        </w:rPr>
        <w:t>3. Company Overview of Diageo PLC</w:t>
      </w:r>
      <w:r>
        <w:rPr>
          <w:noProof/>
          <w:webHidden/>
        </w:rPr>
        <w:tab/>
      </w:r>
      <w:r>
        <w:rPr>
          <w:noProof/>
          <w:webHidden/>
        </w:rPr>
        <w:fldChar w:fldCharType="begin"/>
      </w:r>
      <w:r>
        <w:rPr>
          <w:noProof/>
          <w:webHidden/>
        </w:rPr>
        <w:instrText xml:space="preserve"> PAGEREF _Toc216720471 \h </w:instrText>
      </w:r>
      <w:r>
        <w:rPr>
          <w:noProof/>
          <w:webHidden/>
        </w:rPr>
        <w:fldChar w:fldCharType="separate"/>
      </w:r>
      <w:r>
        <w:rPr>
          <w:noProof/>
          <w:webHidden/>
        </w:rPr>
        <w:t>2</w:t>
      </w:r>
      <w:r>
        <w:rPr>
          <w:noProof/>
          <w:webHidden/>
        </w:rPr>
        <w:fldChar w:fldCharType="end"/>
      </w:r>
      <w:r>
        <w:rPr/>
        <w:fldChar w:fldCharType="end"/>
      </w:r>
    </w:p>
    <w:p>
      <w:pPr>
        <w:pStyle w:val="style19"/>
        <w:tabs>
          <w:tab w:val="right" w:leader="dot" w:pos="9350"/>
        </w:tabs>
        <w:rPr>
          <w:rFonts w:eastAsia="宋体"/>
          <w:noProof/>
          <w:kern w:val="2"/>
          <w:sz w:val="24"/>
          <w:szCs w:val="24"/>
          <w:lang w:val="en-US"/>
          <w14:ligatures xmlns:w14="http://schemas.microsoft.com/office/word/2010/wordml" w14:val="standardContextual"/>
        </w:rPr>
      </w:pPr>
      <w:r>
        <w:rPr/>
        <w:fldChar w:fldCharType="begin"/>
      </w:r>
      <w:r>
        <w:instrText xml:space="preserve"> HYPERLINK \l "_Toc216720472" </w:instrText>
      </w:r>
      <w:r>
        <w:rPr/>
        <w:fldChar w:fldCharType="separate"/>
      </w:r>
      <w:r>
        <w:rPr>
          <w:rStyle w:val="style85"/>
          <w:rFonts w:ascii="Arial" w:cs="Arial" w:eastAsia="Times New Roman" w:hAnsi="Arial"/>
          <w:noProof/>
          <w:lang w:eastAsia="en-GB"/>
        </w:rPr>
        <w:t>4. Organisational Culture Analysis</w:t>
      </w:r>
      <w:r>
        <w:rPr>
          <w:noProof/>
          <w:webHidden/>
        </w:rPr>
        <w:tab/>
      </w:r>
      <w:r>
        <w:rPr>
          <w:noProof/>
          <w:webHidden/>
        </w:rPr>
        <w:fldChar w:fldCharType="begin"/>
      </w:r>
      <w:r>
        <w:rPr>
          <w:noProof/>
          <w:webHidden/>
        </w:rPr>
        <w:instrText xml:space="preserve"> PAGEREF _Toc216720472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350"/>
        </w:tabs>
        <w:rPr>
          <w:rFonts w:eastAsia="宋体"/>
          <w:noProof/>
          <w:kern w:val="2"/>
          <w:sz w:val="24"/>
          <w:szCs w:val="24"/>
          <w:lang w:val="en-US"/>
          <w14:ligatures xmlns:w14="http://schemas.microsoft.com/office/word/2010/wordml" w14:val="standardContextual"/>
        </w:rPr>
      </w:pPr>
      <w:r>
        <w:rPr/>
        <w:fldChar w:fldCharType="begin"/>
      </w:r>
      <w:r>
        <w:instrText xml:space="preserve"> HYPERLINK \l "_Toc216720473" </w:instrText>
      </w:r>
      <w:r>
        <w:rPr/>
        <w:fldChar w:fldCharType="separate"/>
      </w:r>
      <w:r>
        <w:rPr>
          <w:rStyle w:val="style85"/>
          <w:rFonts w:ascii="Arial" w:cs="Arial" w:eastAsia="Times New Roman" w:hAnsi="Arial"/>
          <w:noProof/>
          <w:lang w:eastAsia="en-GB"/>
        </w:rPr>
        <w:t>4.1. Current Organisational Culture</w:t>
      </w:r>
      <w:r>
        <w:rPr>
          <w:noProof/>
          <w:webHidden/>
        </w:rPr>
        <w:tab/>
      </w:r>
      <w:r>
        <w:rPr>
          <w:noProof/>
          <w:webHidden/>
        </w:rPr>
        <w:fldChar w:fldCharType="begin"/>
      </w:r>
      <w:r>
        <w:rPr>
          <w:noProof/>
          <w:webHidden/>
        </w:rPr>
        <w:instrText xml:space="preserve"> PAGEREF _Toc216720473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350"/>
        </w:tabs>
        <w:rPr>
          <w:rFonts w:eastAsia="宋体"/>
          <w:noProof/>
          <w:kern w:val="2"/>
          <w:sz w:val="24"/>
          <w:szCs w:val="24"/>
          <w:lang w:val="en-US"/>
          <w14:ligatures xmlns:w14="http://schemas.microsoft.com/office/word/2010/wordml" w14:val="standardContextual"/>
        </w:rPr>
      </w:pPr>
      <w:r>
        <w:rPr/>
        <w:fldChar w:fldCharType="begin"/>
      </w:r>
      <w:r>
        <w:instrText xml:space="preserve"> HYPERLINK \l "_Toc216720474" </w:instrText>
      </w:r>
      <w:r>
        <w:rPr/>
        <w:fldChar w:fldCharType="separate"/>
      </w:r>
      <w:r>
        <w:rPr>
          <w:rStyle w:val="style85"/>
          <w:rFonts w:ascii="Arial" w:cs="Arial" w:eastAsia="Times New Roman" w:hAnsi="Arial"/>
          <w:noProof/>
          <w:lang w:eastAsia="en-GB"/>
        </w:rPr>
        <w:t>4.2. Impact on Strategic Development</w:t>
      </w:r>
      <w:r>
        <w:rPr>
          <w:noProof/>
          <w:webHidden/>
        </w:rPr>
        <w:tab/>
      </w:r>
      <w:r>
        <w:rPr>
          <w:noProof/>
          <w:webHidden/>
        </w:rPr>
        <w:fldChar w:fldCharType="begin"/>
      </w:r>
      <w:r>
        <w:rPr>
          <w:noProof/>
          <w:webHidden/>
        </w:rPr>
        <w:instrText xml:space="preserve"> PAGEREF _Toc216720474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350"/>
        </w:tabs>
        <w:rPr>
          <w:rFonts w:eastAsia="宋体"/>
          <w:noProof/>
          <w:kern w:val="2"/>
          <w:sz w:val="24"/>
          <w:szCs w:val="24"/>
          <w:lang w:val="en-US"/>
          <w14:ligatures xmlns:w14="http://schemas.microsoft.com/office/word/2010/wordml" w14:val="standardContextual"/>
        </w:rPr>
      </w:pPr>
      <w:r>
        <w:rPr/>
        <w:fldChar w:fldCharType="begin"/>
      </w:r>
      <w:r>
        <w:instrText xml:space="preserve"> HYPERLINK \l "_Toc216720475" </w:instrText>
      </w:r>
      <w:r>
        <w:rPr/>
        <w:fldChar w:fldCharType="separate"/>
      </w:r>
      <w:r>
        <w:rPr>
          <w:rStyle w:val="style85"/>
          <w:rFonts w:ascii="Arial" w:cs="Arial" w:eastAsia="Times New Roman" w:hAnsi="Arial"/>
          <w:noProof/>
          <w:lang w:eastAsia="en-GB"/>
        </w:rPr>
        <w:t>5. Working Environment Analysis</w:t>
      </w:r>
      <w:r>
        <w:rPr>
          <w:noProof/>
          <w:webHidden/>
        </w:rPr>
        <w:tab/>
      </w:r>
      <w:r>
        <w:rPr>
          <w:noProof/>
          <w:webHidden/>
        </w:rPr>
        <w:fldChar w:fldCharType="begin"/>
      </w:r>
      <w:r>
        <w:rPr>
          <w:noProof/>
          <w:webHidden/>
        </w:rPr>
        <w:instrText xml:space="preserve"> PAGEREF _Toc216720475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350"/>
        </w:tabs>
        <w:rPr>
          <w:rFonts w:eastAsia="宋体"/>
          <w:noProof/>
          <w:kern w:val="2"/>
          <w:sz w:val="24"/>
          <w:szCs w:val="24"/>
          <w:lang w:val="en-US"/>
          <w14:ligatures xmlns:w14="http://schemas.microsoft.com/office/word/2010/wordml" w14:val="standardContextual"/>
        </w:rPr>
      </w:pPr>
      <w:r>
        <w:rPr/>
        <w:fldChar w:fldCharType="begin"/>
      </w:r>
      <w:r>
        <w:instrText xml:space="preserve"> HYPERLINK \l "_Toc216720476" </w:instrText>
      </w:r>
      <w:r>
        <w:rPr/>
        <w:fldChar w:fldCharType="separate"/>
      </w:r>
      <w:r>
        <w:rPr>
          <w:rStyle w:val="style85"/>
          <w:rFonts w:ascii="Arial" w:cs="Arial" w:eastAsia="Times New Roman" w:hAnsi="Arial"/>
          <w:noProof/>
          <w:lang w:eastAsia="en-GB"/>
        </w:rPr>
        <w:t>5.1. Characteristics of the Current Working Environment</w:t>
      </w:r>
      <w:r>
        <w:rPr>
          <w:noProof/>
          <w:webHidden/>
        </w:rPr>
        <w:tab/>
      </w:r>
      <w:r>
        <w:rPr>
          <w:noProof/>
          <w:webHidden/>
        </w:rPr>
        <w:fldChar w:fldCharType="begin"/>
      </w:r>
      <w:r>
        <w:rPr>
          <w:noProof/>
          <w:webHidden/>
        </w:rPr>
        <w:instrText xml:space="preserve"> PAGEREF _Toc216720476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350"/>
        </w:tabs>
        <w:rPr>
          <w:rFonts w:eastAsia="宋体"/>
          <w:noProof/>
          <w:kern w:val="2"/>
          <w:sz w:val="24"/>
          <w:szCs w:val="24"/>
          <w:lang w:val="en-US"/>
          <w14:ligatures xmlns:w14="http://schemas.microsoft.com/office/word/2010/wordml" w14:val="standardContextual"/>
        </w:rPr>
      </w:pPr>
      <w:r>
        <w:rPr/>
        <w:fldChar w:fldCharType="begin"/>
      </w:r>
      <w:r>
        <w:instrText xml:space="preserve"> HYPERLINK \l "_Toc216720477" </w:instrText>
      </w:r>
      <w:r>
        <w:rPr/>
        <w:fldChar w:fldCharType="separate"/>
      </w:r>
      <w:r>
        <w:rPr>
          <w:rStyle w:val="style85"/>
          <w:rFonts w:ascii="Arial" w:cs="Arial" w:eastAsia="Times New Roman" w:hAnsi="Arial"/>
          <w:noProof/>
          <w:lang w:eastAsia="en-GB"/>
        </w:rPr>
        <w:t>5.2. Impact on Strategic Goal Attainment</w:t>
      </w:r>
      <w:r>
        <w:rPr>
          <w:noProof/>
          <w:webHidden/>
        </w:rPr>
        <w:tab/>
      </w:r>
      <w:r>
        <w:rPr>
          <w:noProof/>
          <w:webHidden/>
        </w:rPr>
        <w:fldChar w:fldCharType="begin"/>
      </w:r>
      <w:r>
        <w:rPr>
          <w:noProof/>
          <w:webHidden/>
        </w:rPr>
        <w:instrText xml:space="preserve"> PAGEREF _Toc216720477 \h </w:instrText>
      </w:r>
      <w:r>
        <w:rPr>
          <w:noProof/>
          <w:webHidden/>
        </w:rPr>
        <w:fldChar w:fldCharType="separate"/>
      </w:r>
      <w:r>
        <w:rPr>
          <w:noProof/>
          <w:webHidden/>
        </w:rPr>
        <w:t>7</w:t>
      </w:r>
      <w:r>
        <w:rPr>
          <w:noProof/>
          <w:webHidden/>
        </w:rPr>
        <w:fldChar w:fldCharType="end"/>
      </w:r>
      <w:r>
        <w:rPr/>
        <w:fldChar w:fldCharType="end"/>
      </w:r>
    </w:p>
    <w:p>
      <w:pPr>
        <w:pStyle w:val="style19"/>
        <w:tabs>
          <w:tab w:val="right" w:leader="dot" w:pos="9350"/>
        </w:tabs>
        <w:rPr>
          <w:rFonts w:eastAsia="宋体"/>
          <w:noProof/>
          <w:kern w:val="2"/>
          <w:sz w:val="24"/>
          <w:szCs w:val="24"/>
          <w:lang w:val="en-US"/>
          <w14:ligatures xmlns:w14="http://schemas.microsoft.com/office/word/2010/wordml" w14:val="standardContextual"/>
        </w:rPr>
      </w:pPr>
      <w:r>
        <w:rPr/>
        <w:fldChar w:fldCharType="begin"/>
      </w:r>
      <w:r>
        <w:instrText xml:space="preserve"> HYPERLINK \l "_Toc216720478" </w:instrText>
      </w:r>
      <w:r>
        <w:rPr/>
        <w:fldChar w:fldCharType="separate"/>
      </w:r>
      <w:r>
        <w:rPr>
          <w:rStyle w:val="style85"/>
          <w:rFonts w:ascii="Arial" w:cs="Arial" w:eastAsia="Times New Roman" w:hAnsi="Arial"/>
          <w:noProof/>
          <w:lang w:eastAsia="en-GB"/>
        </w:rPr>
        <w:t>6. Personal Perspective: Employee Viewpoint</w:t>
      </w:r>
      <w:r>
        <w:rPr>
          <w:noProof/>
          <w:webHidden/>
        </w:rPr>
        <w:tab/>
      </w:r>
      <w:r>
        <w:rPr>
          <w:noProof/>
          <w:webHidden/>
        </w:rPr>
        <w:fldChar w:fldCharType="begin"/>
      </w:r>
      <w:r>
        <w:rPr>
          <w:noProof/>
          <w:webHidden/>
        </w:rPr>
        <w:instrText xml:space="preserve"> PAGEREF _Toc216720478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350"/>
        </w:tabs>
        <w:rPr>
          <w:rFonts w:eastAsia="宋体"/>
          <w:noProof/>
          <w:kern w:val="2"/>
          <w:sz w:val="24"/>
          <w:szCs w:val="24"/>
          <w:lang w:val="en-US"/>
          <w14:ligatures xmlns:w14="http://schemas.microsoft.com/office/word/2010/wordml" w14:val="standardContextual"/>
        </w:rPr>
      </w:pPr>
      <w:r>
        <w:rPr/>
        <w:fldChar w:fldCharType="begin"/>
      </w:r>
      <w:r>
        <w:instrText xml:space="preserve"> HYPERLINK \l "_Toc216720479" </w:instrText>
      </w:r>
      <w:r>
        <w:rPr/>
        <w:fldChar w:fldCharType="separate"/>
      </w:r>
      <w:r>
        <w:rPr>
          <w:rStyle w:val="style85"/>
          <w:rFonts w:ascii="Arial" w:cs="Arial" w:eastAsia="Times New Roman" w:hAnsi="Arial"/>
          <w:noProof/>
          <w:lang w:eastAsia="en-GB"/>
        </w:rPr>
        <w:t>6.1. Job Satisfaction</w:t>
      </w:r>
      <w:r>
        <w:rPr>
          <w:noProof/>
          <w:webHidden/>
        </w:rPr>
        <w:tab/>
      </w:r>
      <w:r>
        <w:rPr>
          <w:noProof/>
          <w:webHidden/>
        </w:rPr>
        <w:fldChar w:fldCharType="begin"/>
      </w:r>
      <w:r>
        <w:rPr>
          <w:noProof/>
          <w:webHidden/>
        </w:rPr>
        <w:instrText xml:space="preserve"> PAGEREF _Toc216720479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350"/>
        </w:tabs>
        <w:rPr>
          <w:rFonts w:eastAsia="宋体"/>
          <w:noProof/>
          <w:kern w:val="2"/>
          <w:sz w:val="24"/>
          <w:szCs w:val="24"/>
          <w:lang w:val="en-US"/>
          <w14:ligatures xmlns:w14="http://schemas.microsoft.com/office/word/2010/wordml" w14:val="standardContextual"/>
        </w:rPr>
      </w:pPr>
      <w:r>
        <w:rPr/>
        <w:fldChar w:fldCharType="begin"/>
      </w:r>
      <w:r>
        <w:instrText xml:space="preserve"> HYPERLINK \l "_Toc216720480" </w:instrText>
      </w:r>
      <w:r>
        <w:rPr/>
        <w:fldChar w:fldCharType="separate"/>
      </w:r>
      <w:r>
        <w:rPr>
          <w:rStyle w:val="style85"/>
          <w:rFonts w:ascii="Arial" w:cs="Arial" w:eastAsia="Times New Roman" w:hAnsi="Arial"/>
          <w:noProof/>
          <w:lang w:eastAsia="en-GB"/>
        </w:rPr>
        <w:t>6.2. Job Engagement</w:t>
      </w:r>
      <w:r>
        <w:rPr>
          <w:noProof/>
          <w:webHidden/>
        </w:rPr>
        <w:tab/>
      </w:r>
      <w:r>
        <w:rPr>
          <w:noProof/>
          <w:webHidden/>
        </w:rPr>
        <w:fldChar w:fldCharType="begin"/>
      </w:r>
      <w:r>
        <w:rPr>
          <w:noProof/>
          <w:webHidden/>
        </w:rPr>
        <w:instrText xml:space="preserve"> PAGEREF _Toc216720480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350"/>
        </w:tabs>
        <w:rPr>
          <w:rFonts w:eastAsia="宋体"/>
          <w:noProof/>
          <w:kern w:val="2"/>
          <w:sz w:val="24"/>
          <w:szCs w:val="24"/>
          <w:lang w:val="en-US"/>
          <w14:ligatures xmlns:w14="http://schemas.microsoft.com/office/word/2010/wordml" w14:val="standardContextual"/>
        </w:rPr>
      </w:pPr>
      <w:r>
        <w:rPr/>
        <w:fldChar w:fldCharType="begin"/>
      </w:r>
      <w:r>
        <w:instrText xml:space="preserve"> HYPERLINK \l "_Toc216720481" </w:instrText>
      </w:r>
      <w:r>
        <w:rPr/>
        <w:fldChar w:fldCharType="separate"/>
      </w:r>
      <w:r>
        <w:rPr>
          <w:rStyle w:val="style85"/>
          <w:rFonts w:ascii="Arial" w:cs="Arial" w:eastAsia="Times New Roman" w:hAnsi="Arial"/>
          <w:noProof/>
          <w:lang w:eastAsia="en-GB"/>
        </w:rPr>
        <w:t>6.3. Career Development</w:t>
      </w:r>
      <w:r>
        <w:rPr>
          <w:noProof/>
          <w:webHidden/>
        </w:rPr>
        <w:tab/>
      </w:r>
      <w:r>
        <w:rPr>
          <w:noProof/>
          <w:webHidden/>
        </w:rPr>
        <w:fldChar w:fldCharType="begin"/>
      </w:r>
      <w:r>
        <w:rPr>
          <w:noProof/>
          <w:webHidden/>
        </w:rPr>
        <w:instrText xml:space="preserve"> PAGEREF _Toc216720481 \h </w:instrText>
      </w:r>
      <w:r>
        <w:rPr>
          <w:noProof/>
          <w:webHidden/>
        </w:rPr>
        <w:fldChar w:fldCharType="separate"/>
      </w:r>
      <w:r>
        <w:rPr>
          <w:noProof/>
          <w:webHidden/>
        </w:rPr>
        <w:t>10</w:t>
      </w:r>
      <w:r>
        <w:rPr>
          <w:noProof/>
          <w:webHidden/>
        </w:rPr>
        <w:fldChar w:fldCharType="end"/>
      </w:r>
      <w:r>
        <w:rPr/>
        <w:fldChar w:fldCharType="end"/>
      </w:r>
    </w:p>
    <w:p>
      <w:pPr>
        <w:pStyle w:val="style19"/>
        <w:tabs>
          <w:tab w:val="right" w:leader="dot" w:pos="9350"/>
        </w:tabs>
        <w:rPr>
          <w:rFonts w:eastAsia="宋体"/>
          <w:noProof/>
          <w:kern w:val="2"/>
          <w:sz w:val="24"/>
          <w:szCs w:val="24"/>
          <w:lang w:val="en-US"/>
          <w14:ligatures xmlns:w14="http://schemas.microsoft.com/office/word/2010/wordml" w14:val="standardContextual"/>
        </w:rPr>
      </w:pPr>
      <w:r>
        <w:rPr/>
        <w:fldChar w:fldCharType="begin"/>
      </w:r>
      <w:r>
        <w:instrText xml:space="preserve"> HYPERLINK \l "_Toc216720482" </w:instrText>
      </w:r>
      <w:r>
        <w:rPr/>
        <w:fldChar w:fldCharType="separate"/>
      </w:r>
      <w:r>
        <w:rPr>
          <w:rStyle w:val="style85"/>
          <w:rFonts w:ascii="Arial" w:cs="Arial" w:eastAsia="Times New Roman" w:hAnsi="Arial"/>
          <w:noProof/>
          <w:lang w:eastAsia="en-GB"/>
        </w:rPr>
        <w:t>7. Recommendations</w:t>
      </w:r>
      <w:r>
        <w:rPr>
          <w:noProof/>
          <w:webHidden/>
        </w:rPr>
        <w:tab/>
      </w:r>
      <w:r>
        <w:rPr>
          <w:noProof/>
          <w:webHidden/>
        </w:rPr>
        <w:fldChar w:fldCharType="begin"/>
      </w:r>
      <w:r>
        <w:rPr>
          <w:noProof/>
          <w:webHidden/>
        </w:rPr>
        <w:instrText xml:space="preserve"> PAGEREF _Toc216720482 \h </w:instrText>
      </w:r>
      <w:r>
        <w:rPr>
          <w:noProof/>
          <w:webHidden/>
        </w:rPr>
        <w:fldChar w:fldCharType="separate"/>
      </w:r>
      <w:r>
        <w:rPr>
          <w:noProof/>
          <w:webHidden/>
        </w:rPr>
        <w:t>11</w:t>
      </w:r>
      <w:r>
        <w:rPr>
          <w:noProof/>
          <w:webHidden/>
        </w:rPr>
        <w:fldChar w:fldCharType="end"/>
      </w:r>
      <w:r>
        <w:rPr/>
        <w:fldChar w:fldCharType="end"/>
      </w:r>
    </w:p>
    <w:p>
      <w:pPr>
        <w:pStyle w:val="style20"/>
        <w:tabs>
          <w:tab w:val="right" w:leader="dot" w:pos="9350"/>
        </w:tabs>
        <w:rPr>
          <w:rFonts w:eastAsia="宋体"/>
          <w:noProof/>
          <w:kern w:val="2"/>
          <w:sz w:val="24"/>
          <w:szCs w:val="24"/>
          <w:lang w:val="en-US"/>
          <w14:ligatures xmlns:w14="http://schemas.microsoft.com/office/word/2010/wordml" w14:val="standardContextual"/>
        </w:rPr>
      </w:pPr>
      <w:r>
        <w:rPr/>
        <w:fldChar w:fldCharType="begin"/>
      </w:r>
      <w:r>
        <w:instrText xml:space="preserve"> HYPERLINK \l "_Toc216720483" </w:instrText>
      </w:r>
      <w:r>
        <w:rPr/>
        <w:fldChar w:fldCharType="separate"/>
      </w:r>
      <w:r>
        <w:rPr>
          <w:rStyle w:val="style85"/>
          <w:rFonts w:ascii="Arial" w:cs="Arial" w:eastAsia="Times New Roman" w:hAnsi="Arial"/>
          <w:noProof/>
          <w:lang w:eastAsia="en-GB"/>
        </w:rPr>
        <w:t>7.1. Enhancing Organisational Culture</w:t>
      </w:r>
      <w:r>
        <w:rPr>
          <w:noProof/>
          <w:webHidden/>
        </w:rPr>
        <w:tab/>
      </w:r>
      <w:r>
        <w:rPr>
          <w:noProof/>
          <w:webHidden/>
        </w:rPr>
        <w:fldChar w:fldCharType="begin"/>
      </w:r>
      <w:r>
        <w:rPr>
          <w:noProof/>
          <w:webHidden/>
        </w:rPr>
        <w:instrText xml:space="preserve"> PAGEREF _Toc216720483 \h </w:instrText>
      </w:r>
      <w:r>
        <w:rPr>
          <w:noProof/>
          <w:webHidden/>
        </w:rPr>
        <w:fldChar w:fldCharType="separate"/>
      </w:r>
      <w:r>
        <w:rPr>
          <w:noProof/>
          <w:webHidden/>
        </w:rPr>
        <w:t>11</w:t>
      </w:r>
      <w:r>
        <w:rPr>
          <w:noProof/>
          <w:webHidden/>
        </w:rPr>
        <w:fldChar w:fldCharType="end"/>
      </w:r>
      <w:r>
        <w:rPr/>
        <w:fldChar w:fldCharType="end"/>
      </w:r>
    </w:p>
    <w:p>
      <w:pPr>
        <w:pStyle w:val="style20"/>
        <w:tabs>
          <w:tab w:val="right" w:leader="dot" w:pos="9350"/>
        </w:tabs>
        <w:rPr>
          <w:rFonts w:eastAsia="宋体"/>
          <w:noProof/>
          <w:kern w:val="2"/>
          <w:sz w:val="24"/>
          <w:szCs w:val="24"/>
          <w:lang w:val="en-US"/>
          <w14:ligatures xmlns:w14="http://schemas.microsoft.com/office/word/2010/wordml" w14:val="standardContextual"/>
        </w:rPr>
      </w:pPr>
      <w:r>
        <w:rPr/>
        <w:fldChar w:fldCharType="begin"/>
      </w:r>
      <w:r>
        <w:instrText xml:space="preserve"> HYPERLINK \l "_Toc216720484" </w:instrText>
      </w:r>
      <w:r>
        <w:rPr/>
        <w:fldChar w:fldCharType="separate"/>
      </w:r>
      <w:r>
        <w:rPr>
          <w:rStyle w:val="style85"/>
          <w:rFonts w:ascii="Arial" w:cs="Arial" w:eastAsia="Times New Roman" w:hAnsi="Arial"/>
          <w:noProof/>
          <w:lang w:eastAsia="en-GB"/>
        </w:rPr>
        <w:t>7.2. Improving the Working Environment</w:t>
      </w:r>
      <w:r>
        <w:rPr>
          <w:noProof/>
          <w:webHidden/>
        </w:rPr>
        <w:tab/>
      </w:r>
      <w:r>
        <w:rPr>
          <w:noProof/>
          <w:webHidden/>
        </w:rPr>
        <w:fldChar w:fldCharType="begin"/>
      </w:r>
      <w:r>
        <w:rPr>
          <w:noProof/>
          <w:webHidden/>
        </w:rPr>
        <w:instrText xml:space="preserve"> PAGEREF _Toc216720484 \h </w:instrText>
      </w:r>
      <w:r>
        <w:rPr>
          <w:noProof/>
          <w:webHidden/>
        </w:rPr>
        <w:fldChar w:fldCharType="separate"/>
      </w:r>
      <w:r>
        <w:rPr>
          <w:noProof/>
          <w:webHidden/>
        </w:rPr>
        <w:t>12</w:t>
      </w:r>
      <w:r>
        <w:rPr>
          <w:noProof/>
          <w:webHidden/>
        </w:rPr>
        <w:fldChar w:fldCharType="end"/>
      </w:r>
      <w:r>
        <w:rPr/>
        <w:fldChar w:fldCharType="end"/>
      </w:r>
    </w:p>
    <w:p>
      <w:pPr>
        <w:pStyle w:val="style20"/>
        <w:tabs>
          <w:tab w:val="right" w:leader="dot" w:pos="9350"/>
        </w:tabs>
        <w:rPr>
          <w:rFonts w:eastAsia="宋体"/>
          <w:noProof/>
          <w:kern w:val="2"/>
          <w:sz w:val="24"/>
          <w:szCs w:val="24"/>
          <w:lang w:val="en-US"/>
          <w14:ligatures xmlns:w14="http://schemas.microsoft.com/office/word/2010/wordml" w14:val="standardContextual"/>
        </w:rPr>
      </w:pPr>
      <w:r>
        <w:rPr/>
        <w:fldChar w:fldCharType="begin"/>
      </w:r>
      <w:r>
        <w:instrText xml:space="preserve"> HYPERLINK \l "_Toc216720485" </w:instrText>
      </w:r>
      <w:r>
        <w:rPr/>
        <w:fldChar w:fldCharType="separate"/>
      </w:r>
      <w:r>
        <w:rPr>
          <w:rStyle w:val="style85"/>
          <w:rFonts w:ascii="Arial" w:cs="Arial" w:eastAsia="Times New Roman" w:hAnsi="Arial"/>
          <w:noProof/>
          <w:lang w:eastAsia="en-GB"/>
        </w:rPr>
        <w:t>7.3. Implementation Plan</w:t>
      </w:r>
      <w:r>
        <w:rPr>
          <w:noProof/>
          <w:webHidden/>
        </w:rPr>
        <w:tab/>
      </w:r>
      <w:r>
        <w:rPr>
          <w:noProof/>
          <w:webHidden/>
        </w:rPr>
        <w:fldChar w:fldCharType="begin"/>
      </w:r>
      <w:r>
        <w:rPr>
          <w:noProof/>
          <w:webHidden/>
        </w:rPr>
        <w:instrText xml:space="preserve"> PAGEREF _Toc216720485 \h </w:instrText>
      </w:r>
      <w:r>
        <w:rPr>
          <w:noProof/>
          <w:webHidden/>
        </w:rPr>
        <w:fldChar w:fldCharType="separate"/>
      </w:r>
      <w:r>
        <w:rPr>
          <w:noProof/>
          <w:webHidden/>
        </w:rPr>
        <w:t>12</w:t>
      </w:r>
      <w:r>
        <w:rPr>
          <w:noProof/>
          <w:webHidden/>
        </w:rPr>
        <w:fldChar w:fldCharType="end"/>
      </w:r>
      <w:r>
        <w:rPr/>
        <w:fldChar w:fldCharType="end"/>
      </w:r>
    </w:p>
    <w:p>
      <w:pPr>
        <w:pStyle w:val="style19"/>
        <w:tabs>
          <w:tab w:val="right" w:leader="dot" w:pos="9350"/>
        </w:tabs>
        <w:rPr>
          <w:rFonts w:eastAsia="宋体"/>
          <w:noProof/>
          <w:kern w:val="2"/>
          <w:sz w:val="24"/>
          <w:szCs w:val="24"/>
          <w:lang w:val="en-US"/>
          <w14:ligatures xmlns:w14="http://schemas.microsoft.com/office/word/2010/wordml" w14:val="standardContextual"/>
        </w:rPr>
      </w:pPr>
      <w:r>
        <w:rPr/>
        <w:fldChar w:fldCharType="begin"/>
      </w:r>
      <w:r>
        <w:instrText xml:space="preserve"> HYPERLINK \l "_Toc216720486" </w:instrText>
      </w:r>
      <w:r>
        <w:rPr/>
        <w:fldChar w:fldCharType="separate"/>
      </w:r>
      <w:r>
        <w:rPr>
          <w:rStyle w:val="style85"/>
          <w:rFonts w:ascii="Arial" w:cs="Arial" w:eastAsia="Times New Roman" w:hAnsi="Arial"/>
          <w:noProof/>
          <w:lang w:eastAsia="en-GB"/>
        </w:rPr>
        <w:t>8. Conclusion</w:t>
      </w:r>
      <w:r>
        <w:rPr>
          <w:noProof/>
          <w:webHidden/>
        </w:rPr>
        <w:tab/>
      </w:r>
      <w:r>
        <w:rPr>
          <w:noProof/>
          <w:webHidden/>
        </w:rPr>
        <w:fldChar w:fldCharType="begin"/>
      </w:r>
      <w:r>
        <w:rPr>
          <w:noProof/>
          <w:webHidden/>
        </w:rPr>
        <w:instrText xml:space="preserve"> PAGEREF _Toc216720486 \h </w:instrText>
      </w:r>
      <w:r>
        <w:rPr>
          <w:noProof/>
          <w:webHidden/>
        </w:rPr>
        <w:fldChar w:fldCharType="separate"/>
      </w:r>
      <w:r>
        <w:rPr>
          <w:noProof/>
          <w:webHidden/>
        </w:rPr>
        <w:t>14</w:t>
      </w:r>
      <w:r>
        <w:rPr>
          <w:noProof/>
          <w:webHidden/>
        </w:rPr>
        <w:fldChar w:fldCharType="end"/>
      </w:r>
      <w:r>
        <w:rPr/>
        <w:fldChar w:fldCharType="end"/>
      </w:r>
    </w:p>
    <w:p>
      <w:pPr>
        <w:pStyle w:val="style19"/>
        <w:tabs>
          <w:tab w:val="right" w:leader="dot" w:pos="9350"/>
        </w:tabs>
        <w:rPr>
          <w:rFonts w:eastAsia="宋体"/>
          <w:noProof/>
          <w:kern w:val="2"/>
          <w:sz w:val="24"/>
          <w:szCs w:val="24"/>
          <w:lang w:val="en-US"/>
          <w14:ligatures xmlns:w14="http://schemas.microsoft.com/office/word/2010/wordml" w14:val="standardContextual"/>
        </w:rPr>
      </w:pPr>
      <w:r>
        <w:rPr/>
        <w:fldChar w:fldCharType="begin"/>
      </w:r>
      <w:r>
        <w:instrText xml:space="preserve"> HYPERLINK \l "_Toc216720487" </w:instrText>
      </w:r>
      <w:r>
        <w:rPr/>
        <w:fldChar w:fldCharType="separate"/>
      </w:r>
      <w:r>
        <w:rPr>
          <w:rStyle w:val="style85"/>
          <w:rFonts w:ascii="Arial" w:cs="Arial" w:eastAsia="Times New Roman" w:hAnsi="Arial"/>
          <w:noProof/>
          <w:lang w:eastAsia="en-GB"/>
        </w:rPr>
        <w:t>9. References</w:t>
      </w:r>
      <w:r>
        <w:rPr>
          <w:noProof/>
          <w:webHidden/>
        </w:rPr>
        <w:tab/>
      </w:r>
      <w:r>
        <w:rPr>
          <w:noProof/>
          <w:webHidden/>
        </w:rPr>
        <w:fldChar w:fldCharType="begin"/>
      </w:r>
      <w:r>
        <w:rPr>
          <w:noProof/>
          <w:webHidden/>
        </w:rPr>
        <w:instrText xml:space="preserve"> PAGEREF _Toc216720487 \h </w:instrText>
      </w:r>
      <w:r>
        <w:rPr>
          <w:noProof/>
          <w:webHidden/>
        </w:rPr>
        <w:fldChar w:fldCharType="separate"/>
      </w:r>
      <w:r>
        <w:rPr>
          <w:noProof/>
          <w:webHidden/>
        </w:rPr>
        <w:t>15</w:t>
      </w:r>
      <w:r>
        <w:rPr>
          <w:noProof/>
          <w:webHidden/>
        </w:rPr>
        <w:fldChar w:fldCharType="end"/>
      </w:r>
      <w:r>
        <w:rPr/>
        <w:fldChar w:fldCharType="end"/>
      </w:r>
    </w:p>
    <w:p>
      <w:pPr>
        <w:pStyle w:val="style0"/>
        <w:rPr>
          <w:rFonts w:ascii="Arial" w:cs="Arial" w:hAnsi="Arial"/>
        </w:rPr>
      </w:pPr>
      <w:r>
        <w:rPr>
          <w:rFonts w:ascii="Arial" w:cs="Arial" w:hAnsi="Arial"/>
          <w:b/>
          <w:bCs/>
          <w:noProof/>
        </w:rPr>
        <w:fldChar w:fldCharType="end"/>
      </w: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r>
        <w:rPr>
          <w:rFonts w:ascii="Arial" w:cs="Arial" w:eastAsia="Calibri" w:hAnsi="Arial"/>
          <w:lang w:eastAsia="en-GB"/>
        </w:rPr>
        <w:br w:type="page"/>
      </w:r>
    </w:p>
    <w:p>
      <w:pPr>
        <w:pStyle w:val="style1"/>
        <w:spacing w:after="240"/>
        <w:rPr>
          <w:rFonts w:ascii="Arial" w:cs="Arial" w:eastAsia="Calibri" w:hAnsi="Arial"/>
          <w:color w:val="auto"/>
          <w:lang w:eastAsia="en-GB"/>
        </w:rPr>
        <w:sectPr>
          <w:footerReference w:type="default" r:id="rId3"/>
          <w:pgSz w:w="12240" w:h="15840" w:orient="portrait"/>
          <w:pgMar w:top="1440" w:right="1440" w:bottom="1440" w:left="1440" w:header="720" w:footer="720" w:gutter="0"/>
          <w:pgBorders w:zOrder="front" w:display="allPages" w:offsetFrom="page">
            <w:top w:val="flowersTiny" w:sz="14" w:space="24" w:color="auto"/>
            <w:left w:val="flowersTiny" w:sz="14" w:space="24" w:color="auto"/>
            <w:bottom w:val="flowersTiny" w:sz="14" w:space="24" w:color="auto"/>
            <w:right w:val="flowersTiny" w:sz="14" w:space="24" w:color="auto"/>
          </w:pgBorders>
          <w:pgNumType w:start="1"/>
          <w:cols w:space="720"/>
        </w:sectPr>
      </w:pPr>
    </w:p>
    <w:bookmarkStart w:id="0" w:name="_Toc216720470"/>
    <w:p>
      <w:pPr>
        <w:pStyle w:val="style1"/>
        <w:spacing w:after="240"/>
        <w:rPr>
          <w:rFonts w:ascii="Arial" w:cs="Arial" w:eastAsia="Calibri" w:hAnsi="Arial"/>
          <w:color w:val="auto"/>
          <w:lang w:eastAsia="en-GB"/>
        </w:rPr>
      </w:pPr>
      <w:r>
        <w:rPr>
          <w:rFonts w:ascii="Arial" w:cs="Arial" w:eastAsia="Calibri" w:hAnsi="Arial"/>
          <w:color w:val="auto"/>
          <w:lang w:eastAsia="en-GB"/>
        </w:rPr>
        <w:t>2. Introduction</w:t>
      </w:r>
      <w:bookmarkEnd w:id="0"/>
    </w:p>
    <w:p>
      <w:pPr>
        <w:pStyle w:val="style0"/>
        <w:spacing w:after="240"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This report investigates the hierarchical culture and working environment of Diageo plc, a driving multinational refreshment company headquartered in London, UK. Hierarchical culture alludes to the shared values, convictions, and standards that shape representative conduct and states of mind, whereas the working environment envelops the physical, social, and mental conditions in which workers work (Schein, 2010). These components are basic in affecting worker fulfilment, execution, and generally hierarchical viability. Diageo was chosen due to its worldwide nearness in over 180 nations, solid open commitment to differences and incorporation, and broad accessibility of corporate information, counting yearly reports, supportability overhauls, and representative audits. The basis behind this choice is to dissect how an all-inclusive powerful company keeps up a positive work culture and addresses challenges over distinctive districts. The report draws on auxiliary sources such as Diageo’s yearly reports, CSR reports, industry distributions, and scholastic writing to assess its hones. It is organised into writing survey, investigation, discoveries, and conclusions.</w:t>
      </w: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bookmarkStart w:id="1" w:name="_Toc216720471"/>
    <w:p>
      <w:pPr>
        <w:pStyle w:val="style1"/>
        <w:spacing w:after="240"/>
        <w:rPr>
          <w:rFonts w:ascii="Arial" w:cs="Arial" w:eastAsia="Times New Roman" w:hAnsi="Arial"/>
          <w:color w:val="auto"/>
          <w:lang w:eastAsia="en-GB"/>
        </w:rPr>
      </w:pPr>
      <w:r>
        <w:rPr>
          <w:rFonts w:ascii="Arial" w:cs="Arial" w:eastAsia="Times New Roman" w:hAnsi="Arial"/>
          <w:color w:val="auto"/>
          <w:lang w:eastAsia="en-GB"/>
        </w:rPr>
        <w:t>3. Company Overview</w:t>
      </w:r>
      <w:r>
        <w:rPr>
          <w:rFonts w:ascii="Arial" w:cs="Arial" w:eastAsia="Times New Roman" w:hAnsi="Arial"/>
          <w:color w:val="auto"/>
          <w:lang w:eastAsia="en-GB"/>
        </w:rPr>
        <w:t xml:space="preserve"> of Diageo PLC</w:t>
      </w:r>
      <w:bookmarkEnd w:id="1"/>
    </w:p>
    <w:p>
      <w:pPr>
        <w:pStyle w:val="style0"/>
        <w:spacing w:after="240"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Diageo plc may be a British multinational company headquartered in London, United Kingdom, working within the alcoholic refreshments ind</w:t>
      </w:r>
      <w:r>
        <w:rPr>
          <w:rFonts w:ascii="Arial" w:cs="Arial" w:eastAsia="Times New Roman" w:hAnsi="Arial"/>
          <w:sz w:val="24"/>
          <w:szCs w:val="24"/>
          <w:lang w:eastAsia="en-GB"/>
        </w:rPr>
        <w:t>ustry. It is one of the world’</w:t>
      </w:r>
      <w:r>
        <w:rPr>
          <w:rFonts w:ascii="Arial" w:cs="Arial" w:eastAsia="Times New Roman" w:hAnsi="Arial"/>
          <w:sz w:val="24"/>
          <w:szCs w:val="24"/>
          <w:lang w:eastAsia="en-GB"/>
        </w:rPr>
        <w:t>s biggest makers and wholesalers of premium spirits and lagers, with operations in over 180 nations and fabricating offices in more than 140 locales universally. Diageo’s famous brand portfolio incorporates Johnnie Walker, Guinness, Smirnoff, Baileys, Tanqueray, and Captain Morgan, among others.</w:t>
      </w:r>
    </w:p>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 xml:space="preserve">Nevertheless, the strategic location of Diageo should be put into the context of the recent changes within the alcohol and FMCG markets discontinuation. Operational complexities that have emerged through global supply chain volatility, tightening sustainability regulations, and changed consumer preferences in </w:t>
      </w:r>
      <w:r>
        <w:rPr>
          <w:rFonts w:ascii="Arial" w:cs="Arial" w:eastAsia="Times New Roman" w:hAnsi="Arial"/>
          <w:sz w:val="24"/>
          <w:szCs w:val="24"/>
          <w:lang w:eastAsia="en-GB"/>
        </w:rPr>
        <w:t>favour</w:t>
      </w:r>
      <w:r>
        <w:rPr>
          <w:rFonts w:ascii="Arial" w:cs="Arial" w:eastAsia="Times New Roman" w:hAnsi="Arial"/>
          <w:sz w:val="24"/>
          <w:szCs w:val="24"/>
          <w:lang w:eastAsia="en-GB"/>
        </w:rPr>
        <w:t xml:space="preserve"> of low-alcohol beverages serve as threats to Diageo in terms of its long, strategy assumptions (PwC, 2024). More to the point, according to opponents, companies trying to diversify their products quickly undertake the risk of overextending their brand name in case cultural coherence is not established within the company (Kumar and Reinartz, 2021). </w:t>
      </w: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bookmarkStart w:id="2" w:name="_Toc216720472"/>
    <w:p>
      <w:pPr>
        <w:pStyle w:val="style1"/>
        <w:spacing w:after="240"/>
        <w:rPr>
          <w:rFonts w:ascii="Arial" w:cs="Arial" w:eastAsia="Times New Roman" w:hAnsi="Arial"/>
          <w:color w:val="auto"/>
          <w:lang w:eastAsia="en-GB"/>
        </w:rPr>
      </w:pPr>
      <w:r>
        <w:rPr>
          <w:rFonts w:ascii="Arial" w:cs="Arial" w:eastAsia="Times New Roman" w:hAnsi="Arial"/>
          <w:color w:val="auto"/>
          <w:lang w:eastAsia="en-GB"/>
        </w:rPr>
        <w:t>4. Organisational Culture Analysis</w:t>
      </w:r>
      <w:bookmarkEnd w:id="2"/>
    </w:p>
    <w:bookmarkStart w:id="3" w:name="_Toc216720473"/>
    <w:p>
      <w:pPr>
        <w:pStyle w:val="style2"/>
        <w:spacing w:after="240"/>
        <w:rPr>
          <w:rFonts w:ascii="Arial" w:cs="Arial" w:eastAsia="Times New Roman" w:hAnsi="Arial"/>
          <w:color w:val="auto"/>
          <w:lang w:eastAsia="en-GB"/>
        </w:rPr>
      </w:pPr>
      <w:r>
        <w:rPr>
          <w:rFonts w:ascii="Arial" w:cs="Arial" w:eastAsia="Times New Roman" w:hAnsi="Arial"/>
          <w:color w:val="auto"/>
          <w:lang w:eastAsia="en-GB"/>
        </w:rPr>
        <w:t>4.1. Current Organisational Culture</w:t>
      </w:r>
      <w:bookmarkEnd w:id="3"/>
    </w:p>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Diageo’s hierarchical culture is characterised by its commitment to inclusivity, astuteness, execution, and celebration of differing qualities. To superior get it this, we will apply Hofstede’s Social Measurements show, which makes a difference dissect the basic social characteristics of worldwide associations:</w:t>
      </w:r>
    </w:p>
    <w:tbl>
      <w:tblPr>
        <w:tblStyle w:val="style154"/>
        <w:tblW w:w="0" w:type="auto"/>
        <w:tblLook w:val="04A0" w:firstRow="1" w:lastRow="0" w:firstColumn="1" w:lastColumn="0" w:noHBand="0" w:noVBand="1"/>
      </w:tblPr>
      <w:tblGrid>
        <w:gridCol w:w="3116"/>
        <w:gridCol w:w="3117"/>
        <w:gridCol w:w="3117"/>
      </w:tblGrid>
      <w:tr>
        <w:trPr/>
        <w:tc>
          <w:tcPr>
            <w:tcW w:w="3116" w:type="dxa"/>
            <w:tcBorders/>
          </w:tcPr>
          <w:p>
            <w:pPr>
              <w:pStyle w:val="style0"/>
              <w:spacing w:lineRule="auto" w:line="360"/>
              <w:jc w:val="both"/>
              <w:rPr>
                <w:rFonts w:ascii="Arial" w:cs="Arial" w:eastAsia="Times New Roman" w:hAnsi="Arial"/>
                <w:b/>
                <w:sz w:val="24"/>
                <w:szCs w:val="24"/>
                <w:lang w:eastAsia="en-GB"/>
              </w:rPr>
            </w:pPr>
            <w:r>
              <w:rPr>
                <w:rFonts w:ascii="Arial" w:cs="Arial" w:eastAsia="Times New Roman" w:hAnsi="Arial"/>
                <w:b/>
                <w:sz w:val="24"/>
                <w:szCs w:val="24"/>
                <w:lang w:eastAsia="en-GB"/>
              </w:rPr>
              <w:t>Dimension</w:t>
            </w:r>
          </w:p>
        </w:tc>
        <w:tc>
          <w:tcPr>
            <w:tcW w:w="3117" w:type="dxa"/>
            <w:tcBorders/>
          </w:tcPr>
          <w:p>
            <w:pPr>
              <w:pStyle w:val="style0"/>
              <w:spacing w:lineRule="auto" w:line="360"/>
              <w:jc w:val="both"/>
              <w:rPr>
                <w:rFonts w:ascii="Arial" w:cs="Arial" w:eastAsia="Times New Roman" w:hAnsi="Arial"/>
                <w:b/>
                <w:sz w:val="24"/>
                <w:szCs w:val="24"/>
                <w:lang w:eastAsia="en-GB"/>
              </w:rPr>
            </w:pPr>
            <w:r>
              <w:rPr>
                <w:rFonts w:ascii="Arial" w:cs="Arial" w:eastAsia="Times New Roman" w:hAnsi="Arial"/>
                <w:b/>
                <w:sz w:val="24"/>
                <w:szCs w:val="24"/>
                <w:lang w:eastAsia="en-GB"/>
              </w:rPr>
              <w:t>Level</w:t>
            </w:r>
          </w:p>
        </w:tc>
        <w:tc>
          <w:tcPr>
            <w:tcW w:w="3117" w:type="dxa"/>
            <w:tcBorders/>
          </w:tcPr>
          <w:p>
            <w:pPr>
              <w:pStyle w:val="style0"/>
              <w:spacing w:lineRule="auto" w:line="360"/>
              <w:jc w:val="both"/>
              <w:rPr>
                <w:rFonts w:ascii="Arial" w:cs="Arial" w:eastAsia="Times New Roman" w:hAnsi="Arial"/>
                <w:b/>
                <w:sz w:val="24"/>
                <w:szCs w:val="24"/>
                <w:lang w:eastAsia="en-GB"/>
              </w:rPr>
            </w:pPr>
            <w:r>
              <w:rPr>
                <w:rFonts w:ascii="Arial" w:cs="Arial" w:eastAsia="Times New Roman" w:hAnsi="Arial"/>
                <w:b/>
                <w:sz w:val="24"/>
                <w:szCs w:val="24"/>
                <w:lang w:eastAsia="en-GB"/>
              </w:rPr>
              <w:t>Explanation</w:t>
            </w:r>
          </w:p>
        </w:tc>
      </w:tr>
      <w:tr>
        <w:tblPrEx/>
        <w:trPr/>
        <w:tc>
          <w:tcPr>
            <w:tcW w:w="3116" w:type="dxa"/>
            <w:tcBorders/>
          </w:tcPr>
          <w:p>
            <w:pPr>
              <w:pStyle w:val="style0"/>
              <w:spacing w:lineRule="auto" w:line="360"/>
              <w:jc w:val="both"/>
              <w:rPr>
                <w:rFonts w:ascii="Arial" w:cs="Arial" w:eastAsia="Times New Roman" w:hAnsi="Arial"/>
                <w:b/>
                <w:sz w:val="24"/>
                <w:szCs w:val="24"/>
                <w:lang w:eastAsia="en-GB"/>
              </w:rPr>
            </w:pPr>
            <w:r>
              <w:rPr>
                <w:rFonts w:ascii="Arial" w:cs="Arial" w:eastAsia="Times New Roman" w:hAnsi="Arial"/>
                <w:b/>
                <w:sz w:val="24"/>
                <w:szCs w:val="24"/>
                <w:lang w:eastAsia="en-GB"/>
              </w:rPr>
              <w:t>Power Distance</w:t>
            </w:r>
          </w:p>
        </w:tc>
        <w:tc>
          <w:tcPr>
            <w:tcW w:w="3117" w:type="dxa"/>
            <w:tcBorders/>
          </w:tcPr>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Low–Medium</w:t>
            </w:r>
          </w:p>
        </w:tc>
        <w:tc>
          <w:tcPr>
            <w:tcW w:w="3117" w:type="dxa"/>
            <w:tcBorders/>
          </w:tcPr>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Encourages open communication, flat leadership style</w:t>
            </w:r>
          </w:p>
        </w:tc>
      </w:tr>
      <w:tr>
        <w:tblPrEx/>
        <w:trPr/>
        <w:tc>
          <w:tcPr>
            <w:tcW w:w="3116" w:type="dxa"/>
            <w:tcBorders/>
          </w:tcPr>
          <w:p>
            <w:pPr>
              <w:pStyle w:val="style0"/>
              <w:spacing w:lineRule="auto" w:line="360"/>
              <w:jc w:val="both"/>
              <w:rPr>
                <w:rFonts w:ascii="Arial" w:cs="Arial" w:eastAsia="Times New Roman" w:hAnsi="Arial"/>
                <w:b/>
                <w:sz w:val="24"/>
                <w:szCs w:val="24"/>
                <w:lang w:eastAsia="en-GB"/>
              </w:rPr>
            </w:pPr>
            <w:r>
              <w:rPr>
                <w:rFonts w:ascii="Arial" w:cs="Arial" w:eastAsia="Times New Roman" w:hAnsi="Arial"/>
                <w:b/>
                <w:sz w:val="24"/>
                <w:szCs w:val="24"/>
                <w:lang w:eastAsia="en-GB"/>
              </w:rPr>
              <w:t>Individualism</w:t>
            </w:r>
          </w:p>
        </w:tc>
        <w:tc>
          <w:tcPr>
            <w:tcW w:w="3117" w:type="dxa"/>
            <w:tcBorders/>
          </w:tcPr>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Moderate</w:t>
            </w:r>
          </w:p>
        </w:tc>
        <w:tc>
          <w:tcPr>
            <w:tcW w:w="3117" w:type="dxa"/>
            <w:tcBorders/>
          </w:tcPr>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Promotes accountability with team collaboration</w:t>
            </w:r>
          </w:p>
        </w:tc>
      </w:tr>
      <w:tr>
        <w:tblPrEx/>
        <w:trPr/>
        <w:tc>
          <w:tcPr>
            <w:tcW w:w="3116" w:type="dxa"/>
            <w:tcBorders/>
          </w:tcPr>
          <w:p>
            <w:pPr>
              <w:pStyle w:val="style0"/>
              <w:spacing w:lineRule="auto" w:line="360"/>
              <w:jc w:val="both"/>
              <w:rPr>
                <w:rFonts w:ascii="Arial" w:cs="Arial" w:eastAsia="Times New Roman" w:hAnsi="Arial"/>
                <w:b/>
                <w:sz w:val="24"/>
                <w:szCs w:val="24"/>
                <w:lang w:eastAsia="en-GB"/>
              </w:rPr>
            </w:pPr>
            <w:r>
              <w:rPr>
                <w:rFonts w:ascii="Arial" w:cs="Arial" w:eastAsia="Times New Roman" w:hAnsi="Arial"/>
                <w:b/>
                <w:sz w:val="24"/>
                <w:szCs w:val="24"/>
                <w:lang w:eastAsia="en-GB"/>
              </w:rPr>
              <w:t>Masculinity</w:t>
            </w:r>
          </w:p>
        </w:tc>
        <w:tc>
          <w:tcPr>
            <w:tcW w:w="3117" w:type="dxa"/>
            <w:tcBorders/>
          </w:tcPr>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Low (Feminine)</w:t>
            </w:r>
          </w:p>
        </w:tc>
        <w:tc>
          <w:tcPr>
            <w:tcW w:w="3117" w:type="dxa"/>
            <w:tcBorders/>
          </w:tcPr>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Values wellbeing, inclusion, and work-life balance</w:t>
            </w:r>
          </w:p>
        </w:tc>
      </w:tr>
      <w:tr>
        <w:tblPrEx/>
        <w:trPr/>
        <w:tc>
          <w:tcPr>
            <w:tcW w:w="3116" w:type="dxa"/>
            <w:tcBorders/>
          </w:tcPr>
          <w:p>
            <w:pPr>
              <w:pStyle w:val="style0"/>
              <w:spacing w:lineRule="auto" w:line="360"/>
              <w:jc w:val="both"/>
              <w:rPr>
                <w:rFonts w:ascii="Arial" w:cs="Arial" w:eastAsia="Times New Roman" w:hAnsi="Arial"/>
                <w:b/>
                <w:sz w:val="24"/>
                <w:szCs w:val="24"/>
                <w:lang w:eastAsia="en-GB"/>
              </w:rPr>
            </w:pPr>
            <w:r>
              <w:rPr>
                <w:rFonts w:ascii="Arial" w:cs="Arial" w:eastAsia="Times New Roman" w:hAnsi="Arial"/>
                <w:b/>
                <w:sz w:val="24"/>
                <w:szCs w:val="24"/>
                <w:lang w:eastAsia="en-GB"/>
              </w:rPr>
              <w:t>Uncertainty Avoidance</w:t>
            </w:r>
          </w:p>
        </w:tc>
        <w:tc>
          <w:tcPr>
            <w:tcW w:w="3117" w:type="dxa"/>
            <w:tcBorders/>
          </w:tcPr>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Moderate</w:t>
            </w:r>
          </w:p>
        </w:tc>
        <w:tc>
          <w:tcPr>
            <w:tcW w:w="3117" w:type="dxa"/>
            <w:tcBorders/>
          </w:tcPr>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Encourages innovation while maintaining some structure</w:t>
            </w:r>
          </w:p>
        </w:tc>
      </w:tr>
      <w:tr>
        <w:tblPrEx/>
        <w:trPr/>
        <w:tc>
          <w:tcPr>
            <w:tcW w:w="3116" w:type="dxa"/>
            <w:tcBorders/>
          </w:tcPr>
          <w:p>
            <w:pPr>
              <w:pStyle w:val="style0"/>
              <w:spacing w:lineRule="auto" w:line="360"/>
              <w:jc w:val="both"/>
              <w:rPr>
                <w:rFonts w:ascii="Arial" w:cs="Arial" w:eastAsia="Times New Roman" w:hAnsi="Arial"/>
                <w:b/>
                <w:sz w:val="24"/>
                <w:szCs w:val="24"/>
                <w:lang w:eastAsia="en-GB"/>
              </w:rPr>
            </w:pPr>
            <w:r>
              <w:rPr>
                <w:rFonts w:ascii="Arial" w:cs="Arial" w:eastAsia="Times New Roman" w:hAnsi="Arial"/>
                <w:b/>
                <w:sz w:val="24"/>
                <w:szCs w:val="24"/>
                <w:lang w:eastAsia="en-GB"/>
              </w:rPr>
              <w:t>Long-Term Orientation</w:t>
            </w:r>
          </w:p>
        </w:tc>
        <w:tc>
          <w:tcPr>
            <w:tcW w:w="3117" w:type="dxa"/>
            <w:tcBorders/>
          </w:tcPr>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High</w:t>
            </w:r>
          </w:p>
        </w:tc>
        <w:tc>
          <w:tcPr>
            <w:tcW w:w="3117" w:type="dxa"/>
            <w:tcBorders/>
          </w:tcPr>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Focused on sustainability and future growth (e.g., net-zero by 2030)</w:t>
            </w:r>
          </w:p>
        </w:tc>
      </w:tr>
      <w:tr>
        <w:tblPrEx/>
        <w:trPr/>
        <w:tc>
          <w:tcPr>
            <w:tcW w:w="3116" w:type="dxa"/>
            <w:tcBorders/>
          </w:tcPr>
          <w:p>
            <w:pPr>
              <w:pStyle w:val="style0"/>
              <w:spacing w:lineRule="auto" w:line="360"/>
              <w:jc w:val="both"/>
              <w:rPr>
                <w:rFonts w:ascii="Arial" w:cs="Arial" w:eastAsia="Times New Roman" w:hAnsi="Arial"/>
                <w:b/>
                <w:sz w:val="24"/>
                <w:szCs w:val="24"/>
                <w:lang w:eastAsia="en-GB"/>
              </w:rPr>
            </w:pPr>
            <w:r>
              <w:rPr>
                <w:rFonts w:ascii="Arial" w:cs="Arial" w:eastAsia="Times New Roman" w:hAnsi="Arial"/>
                <w:b/>
                <w:sz w:val="24"/>
                <w:szCs w:val="24"/>
                <w:lang w:eastAsia="en-GB"/>
              </w:rPr>
              <w:t>Indulgence</w:t>
            </w:r>
          </w:p>
        </w:tc>
        <w:tc>
          <w:tcPr>
            <w:tcW w:w="3117" w:type="dxa"/>
            <w:tcBorders/>
          </w:tcPr>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High</w:t>
            </w:r>
          </w:p>
        </w:tc>
        <w:tc>
          <w:tcPr>
            <w:tcW w:w="3117" w:type="dxa"/>
            <w:tcBorders/>
          </w:tcPr>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Promotes creativity, celebration, and enjoyment as part of work culture</w:t>
            </w:r>
          </w:p>
        </w:tc>
      </w:tr>
    </w:tbl>
    <w:p>
      <w:pPr>
        <w:pStyle w:val="style34"/>
        <w:jc w:val="center"/>
        <w:rPr/>
      </w:pPr>
      <w:r>
        <w:t xml:space="preserve">Table </w:t>
      </w:r>
      <w:r>
        <w:rPr/>
        <w:fldChar w:fldCharType="begin"/>
      </w:r>
      <w:r>
        <w:instrText xml:space="preserve"> SEQ Table \* ARABIC </w:instrText>
      </w:r>
      <w:r>
        <w:rPr/>
        <w:fldChar w:fldCharType="separate"/>
      </w:r>
      <w:r>
        <w:rPr>
          <w:noProof/>
        </w:rPr>
        <w:t>1</w:t>
      </w:r>
      <w:r>
        <w:rPr/>
        <w:fldChar w:fldCharType="end"/>
      </w:r>
      <w:r>
        <w:t xml:space="preserve">: </w:t>
      </w:r>
      <w:r>
        <w:t>Diageo's Organisational Culture – Analysis via Hofstede's Model</w:t>
      </w:r>
      <w:r>
        <w:t xml:space="preserve"> (</w:t>
      </w:r>
      <w:r>
        <w:t>Source: Adapted from Hofstede Insights (2010); Diageo Annual Reports (2023–2024)</w:t>
      </w:r>
    </w:p>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 xml:space="preserve">A more critical use of the Hofstede model is to indicate that its usefulness can be limited to studying large multinational organisations. Researchers highlight that the cultural models of organisational behaviour tend to simplify organisational behaviour premising that culture is stable and homogenous (McSweeney, 2022). The distribution of power in </w:t>
      </w:r>
      <w:r>
        <w:rPr>
          <w:rFonts w:ascii="Arial" w:cs="Arial" w:eastAsia="Times New Roman" w:hAnsi="Arial"/>
          <w:sz w:val="24"/>
          <w:szCs w:val="24"/>
          <w:lang w:eastAsia="en-GB"/>
        </w:rPr>
        <w:t>the case of Diageo can be rather different in various regional offices: whereas the UK headquarters encourages a decentralised management, the markets in Asia and Africa can be guided by hierarchical standards and influenced by regulations and other factors in the labour market. Moreover, even though Diageo positions itself as a feminine culture, the more recent critiques of the gendered aspects of organisational culture warn that such terms might help hide deep-seated inequalities and gendered role demands in leadership pipelines. The faster growth of zero-alcohol products by the company can also be perceived as a manifestation of the underlying contradiction in indulgence-centred brand identity and the increased worry about population health, which reflects how cultural values could represent contradictions depending on the changes in the strategic ambitions. These intricacies clarify that the culture of Diageo is more ambitious and communicated, but these complexities can be more fluid, disputable and politicized than corporate discourses would lead one to believe.</w:t>
      </w:r>
    </w:p>
    <w:p>
      <w:pPr>
        <w:pStyle w:val="style0"/>
        <w:spacing w:lineRule="auto" w:line="360"/>
        <w:jc w:val="both"/>
        <w:rPr>
          <w:rFonts w:ascii="Arial" w:cs="Arial" w:eastAsia="Times New Roman" w:hAnsi="Arial"/>
          <w:b/>
          <w:sz w:val="24"/>
          <w:szCs w:val="24"/>
          <w:lang w:eastAsia="en-GB"/>
        </w:rPr>
      </w:pPr>
      <w:r>
        <w:rPr>
          <w:rFonts w:ascii="Arial" w:cs="Arial" w:eastAsia="Times New Roman" w:hAnsi="Arial"/>
          <w:b/>
          <w:sz w:val="24"/>
          <w:szCs w:val="24"/>
          <w:lang w:eastAsia="en-GB"/>
        </w:rPr>
        <w:t>Other indicators of Diageo’s culture incorporate:</w:t>
      </w:r>
    </w:p>
    <w:p>
      <w:pPr>
        <w:pStyle w:val="style179"/>
        <w:numPr>
          <w:ilvl w:val="0"/>
          <w:numId w:val="1"/>
        </w:numPr>
        <w:spacing w:lineRule="auto" w:line="360"/>
        <w:jc w:val="both"/>
        <w:rPr>
          <w:rFonts w:ascii="Arial" w:cs="Arial" w:eastAsia="Times New Roman" w:hAnsi="Arial"/>
          <w:sz w:val="24"/>
          <w:szCs w:val="24"/>
          <w:lang w:eastAsia="en-GB"/>
        </w:rPr>
      </w:pPr>
      <w:r>
        <w:rPr>
          <w:rFonts w:ascii="Arial" w:cs="Arial" w:eastAsia="Times New Roman" w:hAnsi="Arial"/>
          <w:b/>
          <w:sz w:val="24"/>
          <w:szCs w:val="24"/>
          <w:lang w:eastAsia="en-GB"/>
        </w:rPr>
        <w:t>Leadership style:</w:t>
      </w:r>
      <w:r>
        <w:rPr>
          <w:rFonts w:ascii="Arial" w:cs="Arial" w:eastAsia="Times New Roman" w:hAnsi="Arial"/>
          <w:sz w:val="24"/>
          <w:szCs w:val="24"/>
          <w:lang w:eastAsia="en-GB"/>
        </w:rPr>
        <w:t xml:space="preserve"> Collaborative, rousing, and inclusive leaders like CEO Debra Team winner sex differences and supportability.</w:t>
      </w:r>
    </w:p>
    <w:p>
      <w:pPr>
        <w:pStyle w:val="style179"/>
        <w:numPr>
          <w:ilvl w:val="0"/>
          <w:numId w:val="1"/>
        </w:numPr>
        <w:spacing w:lineRule="auto" w:line="360"/>
        <w:jc w:val="both"/>
        <w:rPr>
          <w:rFonts w:ascii="Arial" w:cs="Arial" w:eastAsia="Times New Roman" w:hAnsi="Arial"/>
          <w:sz w:val="24"/>
          <w:szCs w:val="24"/>
          <w:lang w:eastAsia="en-GB"/>
        </w:rPr>
      </w:pPr>
      <w:r>
        <w:rPr>
          <w:rFonts w:ascii="Arial" w:cs="Arial" w:eastAsia="Times New Roman" w:hAnsi="Arial"/>
          <w:b/>
          <w:sz w:val="24"/>
          <w:szCs w:val="24"/>
          <w:lang w:eastAsia="en-GB"/>
        </w:rPr>
        <w:t>Communication style</w:t>
      </w:r>
      <w:r>
        <w:rPr>
          <w:rFonts w:ascii="Arial" w:cs="Arial" w:eastAsia="Times New Roman" w:hAnsi="Arial"/>
          <w:sz w:val="24"/>
          <w:szCs w:val="24"/>
          <w:lang w:eastAsia="en-GB"/>
        </w:rPr>
        <w:t>: Straightforward and steady, with standard engagement through advanced town halls, intranet upgrades, and social obligation campaigns.</w:t>
      </w:r>
    </w:p>
    <w:p>
      <w:pPr>
        <w:pStyle w:val="style179"/>
        <w:numPr>
          <w:ilvl w:val="0"/>
          <w:numId w:val="1"/>
        </w:numPr>
        <w:spacing w:lineRule="auto" w:line="360"/>
        <w:jc w:val="both"/>
        <w:rPr>
          <w:rFonts w:ascii="Arial" w:cs="Arial" w:eastAsia="Times New Roman" w:hAnsi="Arial"/>
          <w:sz w:val="24"/>
          <w:szCs w:val="24"/>
          <w:lang w:eastAsia="en-GB"/>
        </w:rPr>
      </w:pPr>
      <w:r>
        <w:rPr>
          <w:rFonts w:ascii="Arial" w:cs="Arial" w:eastAsia="Times New Roman" w:hAnsi="Arial"/>
          <w:b/>
          <w:sz w:val="24"/>
          <w:szCs w:val="24"/>
          <w:lang w:eastAsia="en-GB"/>
        </w:rPr>
        <w:t>Rituals &amp; values:</w:t>
      </w:r>
      <w:r>
        <w:rPr>
          <w:rFonts w:ascii="Arial" w:cs="Arial" w:eastAsia="Times New Roman" w:hAnsi="Arial"/>
          <w:sz w:val="24"/>
          <w:szCs w:val="24"/>
          <w:lang w:eastAsia="en-GB"/>
        </w:rPr>
        <w:t xml:space="preserve"> Celebratory </w:t>
      </w:r>
      <w:r>
        <w:rPr>
          <w:rFonts w:ascii="Arial" w:cs="Arial" w:eastAsia="Times New Roman" w:hAnsi="Arial"/>
          <w:sz w:val="24"/>
          <w:szCs w:val="24"/>
          <w:lang w:eastAsia="en-GB"/>
        </w:rPr>
        <w:t>culture, with acknowledgement of worker accomplishments, grants, and shared ceremonies of advancement and community affect.</w:t>
      </w:r>
    </w:p>
    <w:p>
      <w:pPr>
        <w:pStyle w:val="style179"/>
        <w:numPr>
          <w:ilvl w:val="0"/>
          <w:numId w:val="1"/>
        </w:numPr>
        <w:spacing w:lineRule="auto" w:line="360"/>
        <w:jc w:val="both"/>
        <w:rPr>
          <w:rFonts w:ascii="Arial" w:cs="Arial" w:eastAsia="Times New Roman" w:hAnsi="Arial"/>
          <w:sz w:val="24"/>
          <w:szCs w:val="24"/>
          <w:lang w:eastAsia="en-GB"/>
        </w:rPr>
      </w:pPr>
      <w:r>
        <w:rPr>
          <w:rFonts w:ascii="Arial" w:cs="Arial" w:eastAsia="Times New Roman" w:hAnsi="Arial"/>
          <w:b/>
          <w:sz w:val="24"/>
          <w:szCs w:val="24"/>
          <w:lang w:eastAsia="en-GB"/>
        </w:rPr>
        <w:t>Corporate values</w:t>
      </w:r>
      <w:r>
        <w:rPr>
          <w:rFonts w:ascii="Arial" w:cs="Arial" w:eastAsia="Times New Roman" w:hAnsi="Arial"/>
          <w:sz w:val="24"/>
          <w:szCs w:val="24"/>
          <w:lang w:eastAsia="en-GB"/>
        </w:rPr>
        <w:t>: The five centre values passion, opportunity to succeed, pride, be yourself, and do the proper thing are implanted in authority preparing and worker improvement.</w:t>
      </w:r>
    </w:p>
    <w:bookmarkStart w:id="4" w:name="_Toc216720474"/>
    <w:p>
      <w:pPr>
        <w:pStyle w:val="style2"/>
        <w:rPr>
          <w:rFonts w:ascii="Arial" w:cs="Arial" w:eastAsia="Times New Roman" w:hAnsi="Arial"/>
          <w:color w:val="auto"/>
          <w:lang w:eastAsia="en-GB"/>
        </w:rPr>
      </w:pPr>
      <w:r>
        <w:rPr>
          <w:rFonts w:ascii="Arial" w:cs="Arial" w:eastAsia="Times New Roman" w:hAnsi="Arial"/>
          <w:color w:val="auto"/>
          <w:lang w:eastAsia="en-GB"/>
        </w:rPr>
        <w:t>4.2. Impact on Strategic Development</w:t>
      </w:r>
      <w:bookmarkEnd w:id="4"/>
    </w:p>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Diageo’s hierarchical culture straightforwardly underpins its vital advancement, empowering arrangement between its corporate values and trade objectives.</w:t>
      </w:r>
    </w:p>
    <w:p>
      <w:pPr>
        <w:pStyle w:val="style179"/>
        <w:numPr>
          <w:ilvl w:val="0"/>
          <w:numId w:val="3"/>
        </w:numPr>
        <w:spacing w:lineRule="auto" w:line="360"/>
        <w:jc w:val="both"/>
        <w:rPr>
          <w:rFonts w:ascii="Arial" w:cs="Arial" w:eastAsia="Times New Roman" w:hAnsi="Arial"/>
          <w:b/>
          <w:sz w:val="24"/>
          <w:szCs w:val="24"/>
          <w:lang w:eastAsia="en-GB"/>
        </w:rPr>
      </w:pPr>
      <w:r>
        <w:rPr>
          <w:rFonts w:ascii="Arial" w:cs="Arial" w:eastAsia="Times New Roman" w:hAnsi="Arial"/>
          <w:b/>
          <w:sz w:val="24"/>
          <w:szCs w:val="24"/>
          <w:lang w:eastAsia="en-GB"/>
        </w:rPr>
        <w:t xml:space="preserve">Innovation &amp;Brand Expansion: </w:t>
      </w:r>
      <w:r>
        <w:rPr>
          <w:rFonts w:ascii="Arial" w:cs="Arial" w:eastAsia="Times New Roman" w:hAnsi="Arial"/>
          <w:sz w:val="24"/>
          <w:szCs w:val="24"/>
          <w:lang w:eastAsia="en-GB"/>
        </w:rPr>
        <w:t>The company propelled over 200 new items in FY2023, displaying social arrangement with nimbleness and shopper responsiveness (Diageo Speculator Report, 2023).</w:t>
      </w:r>
    </w:p>
    <w:p>
      <w:pPr>
        <w:pStyle w:val="style179"/>
        <w:numPr>
          <w:ilvl w:val="0"/>
          <w:numId w:val="3"/>
        </w:numPr>
        <w:spacing w:lineRule="auto" w:line="360"/>
        <w:jc w:val="both"/>
        <w:rPr>
          <w:rFonts w:ascii="Arial" w:cs="Arial" w:eastAsia="Times New Roman" w:hAnsi="Arial"/>
          <w:b/>
          <w:sz w:val="24"/>
          <w:szCs w:val="24"/>
          <w:lang w:eastAsia="en-GB"/>
        </w:rPr>
      </w:pPr>
      <w:r>
        <w:rPr>
          <w:rFonts w:ascii="Arial" w:cs="Arial" w:eastAsia="Times New Roman" w:hAnsi="Arial"/>
          <w:b/>
          <w:sz w:val="24"/>
          <w:szCs w:val="24"/>
          <w:lang w:eastAsia="en-GB"/>
        </w:rPr>
        <w:t xml:space="preserve">Diversity &amp; Inclusion (D&amp;I): </w:t>
      </w:r>
      <w:r>
        <w:rPr>
          <w:rFonts w:ascii="Arial" w:cs="Arial" w:eastAsia="Times New Roman" w:hAnsi="Arial"/>
          <w:sz w:val="24"/>
          <w:szCs w:val="24"/>
          <w:lang w:eastAsia="en-GB"/>
        </w:rPr>
        <w:t>Key centre on D&amp;I is both a social column and a commerce objective. As of 2023, Diageo surpassed its 2030 target for sex and ethnic differences in authority parts, upgrading brand notoriety, ability maintenance, and social permit to function (FT, 2024).</w:t>
      </w:r>
    </w:p>
    <w:p>
      <w:pPr>
        <w:pStyle w:val="style179"/>
        <w:numPr>
          <w:ilvl w:val="0"/>
          <w:numId w:val="3"/>
        </w:numPr>
        <w:spacing w:lineRule="auto" w:line="360"/>
        <w:jc w:val="both"/>
        <w:rPr>
          <w:rFonts w:ascii="Arial" w:cs="Arial" w:eastAsia="Times New Roman" w:hAnsi="Arial"/>
          <w:b/>
          <w:sz w:val="24"/>
          <w:szCs w:val="24"/>
          <w:lang w:eastAsia="en-GB"/>
        </w:rPr>
      </w:pPr>
      <w:r>
        <w:rPr>
          <w:rFonts w:ascii="Arial" w:cs="Arial" w:eastAsia="Times New Roman" w:hAnsi="Arial"/>
          <w:b/>
          <w:sz w:val="24"/>
          <w:szCs w:val="24"/>
          <w:lang w:eastAsia="en-GB"/>
        </w:rPr>
        <w:t xml:space="preserve">Sustainability Goals: </w:t>
      </w:r>
      <w:r>
        <w:rPr>
          <w:rFonts w:ascii="Arial" w:cs="Arial" w:eastAsia="Times New Roman" w:hAnsi="Arial"/>
          <w:sz w:val="24"/>
          <w:szCs w:val="24"/>
          <w:lang w:eastAsia="en-GB"/>
        </w:rPr>
        <w:t xml:space="preserve">The company’s values back long-term natural and social procedures such as Society 2030: Spirit of Progresso arrange to realise carbon non-partisanship, water stewardship, and dependable showcasing. </w:t>
      </w:r>
    </w:p>
    <w:p>
      <w:pPr>
        <w:pStyle w:val="style179"/>
        <w:numPr>
          <w:ilvl w:val="0"/>
          <w:numId w:val="3"/>
        </w:numPr>
        <w:spacing w:lineRule="auto" w:line="360"/>
        <w:jc w:val="both"/>
        <w:rPr>
          <w:rFonts w:ascii="Arial" w:cs="Arial" w:eastAsia="Times New Roman" w:hAnsi="Arial"/>
          <w:b/>
          <w:sz w:val="24"/>
          <w:szCs w:val="24"/>
          <w:lang w:eastAsia="en-GB"/>
        </w:rPr>
      </w:pPr>
      <w:r>
        <w:rPr>
          <w:rFonts w:ascii="Arial" w:cs="Arial" w:eastAsia="Times New Roman" w:hAnsi="Arial"/>
          <w:b/>
          <w:sz w:val="24"/>
          <w:szCs w:val="24"/>
          <w:lang w:eastAsia="en-GB"/>
        </w:rPr>
        <w:t xml:space="preserve">Employee Performance &amp; Engagement: </w:t>
      </w:r>
      <w:r>
        <w:rPr>
          <w:rFonts w:ascii="Arial" w:cs="Arial" w:eastAsia="Times New Roman" w:hAnsi="Arial"/>
          <w:sz w:val="24"/>
          <w:szCs w:val="24"/>
          <w:lang w:eastAsia="en-GB"/>
        </w:rPr>
        <w:t>Diageo's tall worker fulfilment scores and moo turnover are coming about of a culture that values acknowledgement, development, and mental security. Tall engagement cultivates efficiency, commitment, and arrangement with corporate goals.</w:t>
      </w:r>
    </w:p>
    <w:p>
      <w:pPr>
        <w:pStyle w:val="style179"/>
        <w:numPr>
          <w:ilvl w:val="0"/>
          <w:numId w:val="3"/>
        </w:numPr>
        <w:spacing w:lineRule="auto" w:line="360"/>
        <w:jc w:val="both"/>
        <w:rPr>
          <w:rFonts w:ascii="Arial" w:cs="Arial" w:eastAsia="Times New Roman" w:hAnsi="Arial"/>
          <w:b/>
          <w:sz w:val="24"/>
          <w:szCs w:val="24"/>
          <w:lang w:eastAsia="en-GB"/>
        </w:rPr>
      </w:pPr>
      <w:r>
        <w:rPr>
          <w:rFonts w:ascii="Arial" w:cs="Arial" w:eastAsia="Times New Roman" w:hAnsi="Arial"/>
          <w:b/>
          <w:sz w:val="24"/>
          <w:szCs w:val="24"/>
          <w:lang w:eastAsia="en-GB"/>
        </w:rPr>
        <w:t xml:space="preserve">Reputation &amp; Stakeholder Trust: </w:t>
      </w:r>
      <w:r>
        <w:rPr>
          <w:rFonts w:ascii="Arial" w:cs="Arial" w:eastAsia="Times New Roman" w:hAnsi="Arial"/>
          <w:sz w:val="24"/>
          <w:szCs w:val="24"/>
          <w:lang w:eastAsia="en-GB"/>
        </w:rPr>
        <w:t>Social consistency across global operations guarantees Diageo keeps up reputational quality in numerous markets. Open articulations and administration conduct reflect a commitment to moral hones and partner esteem.</w:t>
      </w:r>
    </w:p>
    <w:p>
      <w:pPr>
        <w:pStyle w:val="style0"/>
        <w:rPr>
          <w:lang w:eastAsia="en-GB"/>
        </w:rPr>
      </w:pPr>
    </w:p>
    <w:bookmarkStart w:id="5" w:name="_Toc216720475"/>
    <w:p>
      <w:pPr>
        <w:pStyle w:val="style1"/>
        <w:spacing w:after="240"/>
        <w:rPr>
          <w:rFonts w:ascii="Arial" w:cs="Arial" w:eastAsia="Times New Roman" w:hAnsi="Arial"/>
          <w:color w:val="auto"/>
          <w:lang w:eastAsia="en-GB"/>
        </w:rPr>
      </w:pPr>
      <w:r>
        <w:rPr>
          <w:rFonts w:ascii="Arial" w:cs="Arial" w:eastAsia="Times New Roman" w:hAnsi="Arial"/>
          <w:color w:val="auto"/>
          <w:lang w:eastAsia="en-GB"/>
        </w:rPr>
        <w:t>5. Working Environment Analysis</w:t>
      </w:r>
      <w:bookmarkEnd w:id="5"/>
    </w:p>
    <w:bookmarkStart w:id="6" w:name="_Toc216720476"/>
    <w:p>
      <w:pPr>
        <w:pStyle w:val="style2"/>
        <w:spacing w:after="240"/>
        <w:rPr>
          <w:rFonts w:ascii="Arial" w:cs="Arial" w:eastAsia="Times New Roman" w:hAnsi="Arial"/>
          <w:color w:val="auto"/>
          <w:lang w:eastAsia="en-GB"/>
        </w:rPr>
      </w:pPr>
      <w:r>
        <w:rPr>
          <w:rFonts w:ascii="Arial" w:cs="Arial" w:eastAsia="Times New Roman" w:hAnsi="Arial"/>
          <w:color w:val="auto"/>
          <w:lang w:eastAsia="en-GB"/>
        </w:rPr>
        <w:t>5.1. Characteristics of the Current Working Environment</w:t>
      </w:r>
      <w:bookmarkEnd w:id="6"/>
    </w:p>
    <w:p>
      <w:pPr>
        <w:pStyle w:val="style0"/>
        <w:rPr>
          <w:lang w:eastAsia="en-GB"/>
        </w:rPr>
      </w:pPr>
      <w:r>
        <w:rPr>
          <w:noProof/>
          <w:lang w:eastAsia="en-GB"/>
        </w:rPr>
        <w:drawing>
          <wp:inline distL="0" distT="0" distB="0" distR="0">
            <wp:extent cx="5486400" cy="3200400"/>
            <wp:effectExtent l="0" t="0" r="0" b="19050"/>
            <wp:docPr id="1027" name="Diagram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pPr>
        <w:pStyle w:val="style34"/>
        <w:jc w:val="center"/>
        <w:rPr>
          <w:lang w:eastAsia="en-GB"/>
        </w:rPr>
      </w:pPr>
      <w:r>
        <w:t xml:space="preserve">Diagram </w:t>
      </w:r>
      <w:r>
        <w:rPr/>
        <w:fldChar w:fldCharType="begin"/>
      </w:r>
      <w:r>
        <w:instrText xml:space="preserve"> SEQ Diagram \* ARABIC </w:instrText>
      </w:r>
      <w:r>
        <w:rPr/>
        <w:fldChar w:fldCharType="separate"/>
      </w:r>
      <w:r>
        <w:rPr>
          <w:noProof/>
        </w:rPr>
        <w:t>1</w:t>
      </w:r>
      <w:r>
        <w:rPr/>
        <w:fldChar w:fldCharType="end"/>
      </w:r>
      <w:r>
        <w:t xml:space="preserve">: </w:t>
      </w:r>
      <w:r>
        <w:t>Culture–Environment–Strategy Relationship at Diageo</w:t>
      </w:r>
      <w:r>
        <w:t xml:space="preserve"> (Source-</w:t>
      </w:r>
      <w:r>
        <w:t xml:space="preserve"> </w:t>
      </w:r>
      <w:r>
        <w:t>(Dumb, 2016)</w:t>
      </w:r>
    </w:p>
    <w:p>
      <w:pPr>
        <w:pStyle w:val="style0"/>
        <w:spacing w:lineRule="auto" w:line="360"/>
        <w:jc w:val="both"/>
        <w:rPr>
          <w:rFonts w:ascii="Arial" w:cs="Arial" w:eastAsia="Times New Roman" w:hAnsi="Arial"/>
          <w:b/>
          <w:sz w:val="24"/>
          <w:szCs w:val="24"/>
          <w:lang w:eastAsia="en-GB"/>
        </w:rPr>
      </w:pPr>
      <w:r>
        <w:rPr>
          <w:rFonts w:ascii="Arial" w:cs="Arial" w:eastAsia="Times New Roman" w:hAnsi="Arial"/>
          <w:b/>
          <w:sz w:val="24"/>
          <w:szCs w:val="24"/>
          <w:lang w:eastAsia="en-GB"/>
        </w:rPr>
        <w:t>Organisational S</w:t>
      </w:r>
      <w:r>
        <w:rPr>
          <w:rFonts w:ascii="Arial" w:cs="Arial" w:eastAsia="Times New Roman" w:hAnsi="Arial"/>
          <w:b/>
          <w:sz w:val="24"/>
          <w:szCs w:val="24"/>
          <w:lang w:eastAsia="en-GB"/>
        </w:rPr>
        <w:t>tructure and Design Dimensions:</w:t>
      </w:r>
    </w:p>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Diageo works with a network authoritative structure, mixing geological locales and item categories. The structure underpins both centralised methodology and neighbourhood responsiveness, permitting adaptability in worldwide markets. Utilising the six hierarchical plan measurements (Dumb, 2016),</w:t>
      </w:r>
    </w:p>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C</w:t>
      </w:r>
      <w:r>
        <w:rPr>
          <w:rFonts w:ascii="Arial" w:cs="Arial" w:eastAsia="Times New Roman" w:hAnsi="Arial"/>
          <w:sz w:val="24"/>
          <w:szCs w:val="24"/>
          <w:lang w:eastAsia="en-GB"/>
        </w:rPr>
        <w:t>ritical</w:t>
      </w:r>
      <w:r>
        <w:rPr>
          <w:rFonts w:ascii="Arial" w:cs="Arial" w:eastAsia="Times New Roman" w:hAnsi="Arial"/>
          <w:sz w:val="24"/>
          <w:szCs w:val="24"/>
          <w:lang w:eastAsia="en-GB"/>
        </w:rPr>
        <w:t xml:space="preserve"> </w:t>
      </w:r>
      <w:r>
        <w:rPr>
          <w:rFonts w:ascii="Arial" w:cs="Arial" w:eastAsia="Times New Roman" w:hAnsi="Arial"/>
          <w:sz w:val="24"/>
          <w:szCs w:val="24"/>
          <w:lang w:eastAsia="en-GB"/>
        </w:rPr>
        <w:t xml:space="preserve">analysis of the working environment at Diageo is that the hybrid model, although progressive, can create disproportional experiences on different job families. Empirical studies establish that hybrid work </w:t>
      </w:r>
      <w:r>
        <w:rPr>
          <w:rFonts w:ascii="Arial" w:cs="Arial" w:eastAsia="Times New Roman" w:hAnsi="Arial"/>
          <w:sz w:val="24"/>
          <w:szCs w:val="24"/>
          <w:lang w:eastAsia="en-GB"/>
        </w:rPr>
        <w:t>favours</w:t>
      </w:r>
      <w:r>
        <w:rPr>
          <w:rFonts w:ascii="Arial" w:cs="Arial" w:eastAsia="Times New Roman" w:hAnsi="Arial"/>
          <w:sz w:val="24"/>
          <w:szCs w:val="24"/>
          <w:lang w:eastAsia="en-GB"/>
        </w:rPr>
        <w:t xml:space="preserve"> the employee in knowledge-intensive job positions and restricts flexibility in the manufacturing and logistic jobs, which may give a sense of unfairness (Choudhury, 2023). Also, despite Diageo fostering a psychologically safe workplace, the literature suggests that the workers of high-performance cultures tend to be inaccurate when reporting their stress because of the fear of being reputed or losing their jobs </w:t>
      </w:r>
      <w:r>
        <w:rPr>
          <w:rFonts w:ascii="Arial" w:cs="Arial" w:eastAsia="Times New Roman" w:hAnsi="Arial"/>
          <w:sz w:val="24"/>
          <w:szCs w:val="24"/>
          <w:lang w:eastAsia="en-GB"/>
        </w:rPr>
        <w:t xml:space="preserve">(Gaur and </w:t>
      </w:r>
      <w:r>
        <w:rPr>
          <w:rFonts w:ascii="Arial" w:cs="Arial" w:eastAsia="Times New Roman" w:hAnsi="Arial"/>
          <w:sz w:val="24"/>
          <w:szCs w:val="24"/>
          <w:lang w:eastAsia="en-GB"/>
        </w:rPr>
        <w:t>tarkar</w:t>
      </w:r>
      <w:r>
        <w:rPr>
          <w:rFonts w:ascii="Arial" w:cs="Arial" w:eastAsia="Times New Roman" w:hAnsi="Arial"/>
          <w:sz w:val="24"/>
          <w:szCs w:val="24"/>
          <w:lang w:eastAsia="en-GB"/>
        </w:rPr>
        <w:t>, 2025)</w:t>
      </w:r>
      <w:r>
        <w:rPr>
          <w:rFonts w:ascii="Arial" w:cs="Arial" w:eastAsia="Times New Roman" w:hAnsi="Arial"/>
          <w:sz w:val="24"/>
          <w:szCs w:val="24"/>
          <w:lang w:eastAsia="en-GB"/>
        </w:rPr>
        <w:t xml:space="preserve">. The focus on professionalism and ethic that is critical to the company can also lead to the increase in surveillance and compliance </w:t>
      </w:r>
      <w:r>
        <w:rPr>
          <w:rFonts w:ascii="Arial" w:cs="Arial" w:eastAsia="Times New Roman" w:hAnsi="Arial"/>
          <w:sz w:val="24"/>
          <w:szCs w:val="24"/>
          <w:lang w:eastAsia="en-GB"/>
        </w:rPr>
        <w:t>requirements, particularly in regulated sectors like the production of alcohol. These dimensions emphasise the fact that the working environment of Diageo is not similarly empowering but rather it is situational with respect to its efficacy basing on functional aspects, discretion on the part of managers and the presence of organisational resources.</w:t>
      </w:r>
    </w:p>
    <w:p>
      <w:pPr>
        <w:pStyle w:val="style0"/>
        <w:spacing w:lineRule="auto" w:line="360"/>
        <w:jc w:val="both"/>
        <w:rPr>
          <w:rFonts w:ascii="Arial" w:cs="Arial" w:eastAsia="Times New Roman" w:hAnsi="Arial"/>
          <w:sz w:val="24"/>
          <w:szCs w:val="24"/>
          <w:lang w:eastAsia="en-GB"/>
        </w:rPr>
      </w:pPr>
      <w:r>
        <w:rPr>
          <w:rFonts w:ascii="Arial" w:cs="Arial" w:eastAsia="Times New Roman" w:hAnsi="Arial"/>
          <w:b/>
          <w:sz w:val="24"/>
          <w:szCs w:val="24"/>
          <w:lang w:eastAsia="en-GB"/>
        </w:rPr>
        <w:t xml:space="preserve">Morals and Polished skill </w:t>
      </w:r>
      <w:r>
        <w:rPr>
          <w:rFonts w:ascii="Arial" w:cs="Arial" w:eastAsia="Times New Roman" w:hAnsi="Arial"/>
          <w:b/>
          <w:sz w:val="24"/>
          <w:szCs w:val="24"/>
          <w:lang w:eastAsia="en-GB"/>
        </w:rPr>
        <w:t>-</w:t>
      </w:r>
      <w:r>
        <w:rPr>
          <w:rFonts w:ascii="Arial" w:cs="Arial" w:eastAsia="Times New Roman" w:hAnsi="Arial"/>
          <w:sz w:val="24"/>
          <w:szCs w:val="24"/>
          <w:lang w:eastAsia="en-GB"/>
        </w:rPr>
        <w:t xml:space="preserve"> The company advances a zero-tolerance position on wrongdoing, guided by its Code of Commerce Conduct and worldwide compliance preparing. Representatives are routinely surveyed on both ex</w:t>
      </w:r>
      <w:r>
        <w:rPr>
          <w:rFonts w:ascii="Arial" w:cs="Arial" w:eastAsia="Times New Roman" w:hAnsi="Arial"/>
          <w:sz w:val="24"/>
          <w:szCs w:val="24"/>
          <w:lang w:eastAsia="en-GB"/>
        </w:rPr>
        <w:t>ecution and values arrangement.</w:t>
      </w:r>
    </w:p>
    <w:p>
      <w:pPr>
        <w:pStyle w:val="style0"/>
        <w:spacing w:lineRule="auto" w:line="360"/>
        <w:jc w:val="both"/>
        <w:rPr>
          <w:rFonts w:ascii="Arial" w:cs="Arial" w:eastAsia="Times New Roman" w:hAnsi="Arial"/>
          <w:b/>
          <w:sz w:val="24"/>
          <w:szCs w:val="24"/>
          <w:lang w:eastAsia="en-GB"/>
        </w:rPr>
      </w:pPr>
      <w:r>
        <w:rPr>
          <w:rFonts w:ascii="Arial" w:cs="Arial" w:eastAsia="Times New Roman" w:hAnsi="Arial"/>
          <w:b/>
          <w:sz w:val="24"/>
          <w:szCs w:val="24"/>
          <w:lang w:eastAsia="en-GB"/>
        </w:rPr>
        <w:t>Physica</w:t>
      </w:r>
      <w:r>
        <w:rPr>
          <w:rFonts w:ascii="Arial" w:cs="Arial" w:eastAsia="Times New Roman" w:hAnsi="Arial"/>
          <w:b/>
          <w:sz w:val="24"/>
          <w:szCs w:val="24"/>
          <w:lang w:eastAsia="en-GB"/>
        </w:rPr>
        <w:t>l Working Conditions and Setup:</w:t>
      </w:r>
    </w:p>
    <w:p>
      <w:pPr>
        <w:pStyle w:val="style179"/>
        <w:numPr>
          <w:ilvl w:val="0"/>
          <w:numId w:val="6"/>
        </w:numPr>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Diageo grasps a crossover working show with th</w:t>
      </w:r>
      <w:r>
        <w:rPr>
          <w:rFonts w:ascii="Arial" w:cs="Arial" w:eastAsia="Times New Roman" w:hAnsi="Arial"/>
          <w:sz w:val="24"/>
          <w:szCs w:val="24"/>
          <w:lang w:eastAsia="en-GB"/>
        </w:rPr>
        <w:t>e taking after characteristics:</w:t>
      </w:r>
    </w:p>
    <w:p>
      <w:pPr>
        <w:pStyle w:val="style179"/>
        <w:numPr>
          <w:ilvl w:val="0"/>
          <w:numId w:val="6"/>
        </w:numPr>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 xml:space="preserve">Adaptable Hours </w:t>
      </w:r>
      <w:r>
        <w:rPr>
          <w:rFonts w:ascii="Arial" w:cs="Arial" w:eastAsia="Times New Roman" w:hAnsi="Arial"/>
          <w:sz w:val="24"/>
          <w:szCs w:val="24"/>
          <w:lang w:eastAsia="en-GB"/>
        </w:rPr>
        <w:t>-</w:t>
      </w:r>
      <w:r>
        <w:rPr>
          <w:rFonts w:ascii="Arial" w:cs="Arial" w:eastAsia="Times New Roman" w:hAnsi="Arial"/>
          <w:sz w:val="24"/>
          <w:szCs w:val="24"/>
          <w:lang w:eastAsia="en-GB"/>
        </w:rPr>
        <w:t xml:space="preserve"> Workers are enabled to oversee work</w:t>
      </w:r>
      <w:r>
        <w:rPr>
          <w:rFonts w:ascii="Arial" w:cs="Arial" w:eastAsia="Times New Roman" w:hAnsi="Arial"/>
          <w:sz w:val="24"/>
          <w:szCs w:val="24"/>
          <w:lang w:eastAsia="en-GB"/>
        </w:rPr>
        <w:t>-</w:t>
      </w:r>
      <w:r>
        <w:rPr>
          <w:rFonts w:ascii="Arial" w:cs="Arial" w:eastAsia="Times New Roman" w:hAnsi="Arial"/>
          <w:sz w:val="24"/>
          <w:szCs w:val="24"/>
          <w:lang w:eastAsia="en-GB"/>
        </w:rPr>
        <w:t>life adju</w:t>
      </w:r>
      <w:r>
        <w:rPr>
          <w:rFonts w:ascii="Arial" w:cs="Arial" w:eastAsia="Times New Roman" w:hAnsi="Arial"/>
          <w:sz w:val="24"/>
          <w:szCs w:val="24"/>
          <w:lang w:eastAsia="en-GB"/>
        </w:rPr>
        <w:t>st by means of adaptable plans.</w:t>
      </w:r>
    </w:p>
    <w:p>
      <w:pPr>
        <w:pStyle w:val="style179"/>
        <w:numPr>
          <w:ilvl w:val="0"/>
          <w:numId w:val="6"/>
        </w:numPr>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 xml:space="preserve">Farther &amp; Half breed Choices </w:t>
      </w:r>
      <w:r>
        <w:rPr>
          <w:rFonts w:ascii="Arial" w:cs="Arial" w:eastAsia="Times New Roman" w:hAnsi="Arial"/>
          <w:sz w:val="24"/>
          <w:szCs w:val="24"/>
          <w:lang w:eastAsia="en-GB"/>
        </w:rPr>
        <w:t>-</w:t>
      </w:r>
      <w:r>
        <w:rPr>
          <w:rFonts w:ascii="Arial" w:cs="Arial" w:eastAsia="Times New Roman" w:hAnsi="Arial"/>
          <w:sz w:val="24"/>
          <w:szCs w:val="24"/>
          <w:lang w:eastAsia="en-GB"/>
        </w:rPr>
        <w:t xml:space="preserve"> Post-COVID-19, Diageo proceeds to back half breed setups, de</w:t>
      </w:r>
      <w:r>
        <w:rPr>
          <w:rFonts w:ascii="Arial" w:cs="Arial" w:eastAsia="Times New Roman" w:hAnsi="Arial"/>
          <w:sz w:val="24"/>
          <w:szCs w:val="24"/>
          <w:lang w:eastAsia="en-GB"/>
        </w:rPr>
        <w:t>pending on the part and locale.</w:t>
      </w:r>
    </w:p>
    <w:p>
      <w:pPr>
        <w:pStyle w:val="style0"/>
        <w:spacing w:lineRule="auto" w:line="360"/>
        <w:jc w:val="both"/>
        <w:rPr>
          <w:rFonts w:ascii="Arial" w:cs="Arial" w:eastAsia="Times New Roman" w:hAnsi="Arial"/>
          <w:sz w:val="24"/>
          <w:szCs w:val="24"/>
          <w:lang w:eastAsia="en-GB"/>
        </w:rPr>
      </w:pPr>
      <w:r>
        <w:rPr>
          <w:rFonts w:ascii="Arial" w:cs="Arial" w:eastAsia="Times New Roman" w:hAnsi="Arial"/>
          <w:b/>
          <w:sz w:val="24"/>
          <w:szCs w:val="24"/>
          <w:lang w:eastAsia="en-GB"/>
        </w:rPr>
        <w:t xml:space="preserve">Work environment Plan </w:t>
      </w:r>
      <w:r>
        <w:rPr>
          <w:rFonts w:ascii="Arial" w:cs="Arial" w:eastAsia="Times New Roman" w:hAnsi="Arial"/>
          <w:b/>
          <w:sz w:val="24"/>
          <w:szCs w:val="24"/>
          <w:lang w:eastAsia="en-GB"/>
        </w:rPr>
        <w:t>-</w:t>
      </w:r>
      <w:r>
        <w:rPr>
          <w:rFonts w:ascii="Arial" w:cs="Arial" w:eastAsia="Times New Roman" w:hAnsi="Arial"/>
          <w:sz w:val="24"/>
          <w:szCs w:val="24"/>
          <w:lang w:eastAsia="en-GB"/>
        </w:rPr>
        <w:t xml:space="preserve"> Workplaces are open-plan, collaborative, and outlined to energi</w:t>
      </w:r>
      <w:r>
        <w:rPr>
          <w:rFonts w:ascii="Arial" w:cs="Arial" w:eastAsia="Times New Roman" w:hAnsi="Arial"/>
          <w:sz w:val="24"/>
          <w:szCs w:val="24"/>
          <w:lang w:eastAsia="en-GB"/>
        </w:rPr>
        <w:t>se cross-functional engagement.</w:t>
      </w:r>
    </w:p>
    <w:p>
      <w:pPr>
        <w:pStyle w:val="style0"/>
        <w:spacing w:lineRule="auto" w:line="360"/>
        <w:jc w:val="both"/>
        <w:rPr>
          <w:rFonts w:ascii="Arial" w:cs="Arial" w:eastAsia="Times New Roman" w:hAnsi="Arial"/>
          <w:sz w:val="24"/>
          <w:szCs w:val="24"/>
          <w:lang w:eastAsia="en-GB"/>
        </w:rPr>
      </w:pPr>
      <w:r>
        <w:rPr>
          <w:rFonts w:ascii="Arial" w:cs="Arial" w:eastAsia="Times New Roman" w:hAnsi="Arial"/>
          <w:b/>
          <w:sz w:val="24"/>
          <w:szCs w:val="24"/>
          <w:lang w:eastAsia="en-GB"/>
        </w:rPr>
        <w:t xml:space="preserve">Wellbeing and Security </w:t>
      </w:r>
      <w:r>
        <w:rPr>
          <w:rFonts w:ascii="Arial" w:cs="Arial" w:eastAsia="Times New Roman" w:hAnsi="Arial"/>
          <w:b/>
          <w:sz w:val="24"/>
          <w:szCs w:val="24"/>
          <w:lang w:eastAsia="en-GB"/>
        </w:rPr>
        <w:t>-</w:t>
      </w:r>
      <w:r>
        <w:rPr>
          <w:rFonts w:ascii="Arial" w:cs="Arial" w:eastAsia="Times New Roman" w:hAnsi="Arial"/>
          <w:sz w:val="24"/>
          <w:szCs w:val="24"/>
          <w:lang w:eastAsia="en-GB"/>
        </w:rPr>
        <w:t xml:space="preserve"> Solid accentuation on worker prosperity </w:t>
      </w:r>
      <w:r>
        <w:rPr>
          <w:rFonts w:ascii="Arial" w:cs="Arial" w:eastAsia="Times New Roman" w:hAnsi="Arial"/>
          <w:sz w:val="24"/>
          <w:szCs w:val="24"/>
          <w:lang w:eastAsia="en-GB"/>
        </w:rPr>
        <w:t>with secure</w:t>
      </w:r>
      <w:r>
        <w:rPr>
          <w:rFonts w:ascii="Arial" w:cs="Arial" w:eastAsia="Times New Roman" w:hAnsi="Arial"/>
          <w:sz w:val="24"/>
          <w:szCs w:val="24"/>
          <w:lang w:eastAsia="en-GB"/>
        </w:rPr>
        <w:t xml:space="preserve"> physical situations, ergonomic</w:t>
      </w:r>
      <w:r>
        <w:rPr>
          <w:rFonts w:ascii="Arial" w:cs="Arial" w:eastAsia="Times New Roman" w:hAnsi="Arial"/>
          <w:sz w:val="24"/>
          <w:szCs w:val="24"/>
          <w:lang w:eastAsia="en-GB"/>
        </w:rPr>
        <w:t xml:space="preserve"> back, and wellness programmes.</w:t>
      </w:r>
    </w:p>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These components make a cutting edge and versatile work environment adjusted with worker desires and industry guidelines.</w:t>
      </w:r>
    </w:p>
    <w:bookmarkStart w:id="7" w:name="_Toc216720477"/>
    <w:p>
      <w:pPr>
        <w:pStyle w:val="style2"/>
        <w:spacing w:after="240"/>
        <w:rPr>
          <w:rFonts w:ascii="Arial" w:cs="Arial" w:eastAsia="Times New Roman" w:hAnsi="Arial"/>
          <w:color w:val="auto"/>
          <w:lang w:eastAsia="en-GB"/>
        </w:rPr>
      </w:pPr>
      <w:r>
        <w:rPr>
          <w:rFonts w:ascii="Arial" w:cs="Arial" w:eastAsia="Times New Roman" w:hAnsi="Arial"/>
          <w:color w:val="auto"/>
          <w:lang w:eastAsia="en-GB"/>
        </w:rPr>
        <w:t>5.2. Impa</w:t>
      </w:r>
      <w:r>
        <w:rPr>
          <w:rFonts w:ascii="Arial" w:cs="Arial" w:eastAsia="Times New Roman" w:hAnsi="Arial"/>
          <w:color w:val="auto"/>
          <w:lang w:eastAsia="en-GB"/>
        </w:rPr>
        <w:t>ct on Strategic Goal Attainment</w:t>
      </w:r>
      <w:bookmarkEnd w:id="7"/>
    </w:p>
    <w:p>
      <w:pPr>
        <w:pStyle w:val="style0"/>
        <w:spacing w:after="240"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Diageo’s</w:t>
      </w:r>
      <w:r>
        <w:rPr>
          <w:rFonts w:ascii="Arial" w:cs="Arial" w:eastAsia="Times New Roman" w:hAnsi="Arial"/>
          <w:sz w:val="24"/>
          <w:szCs w:val="24"/>
          <w:lang w:eastAsia="en-GB"/>
        </w:rPr>
        <w:t xml:space="preserve"> working environment plays a basic part in accomplishing its vital objectives, especially in regions like advancement, ability maintenance, brand admin</w:t>
      </w:r>
      <w:r>
        <w:rPr>
          <w:rFonts w:ascii="Arial" w:cs="Arial" w:eastAsia="Times New Roman" w:hAnsi="Arial"/>
          <w:sz w:val="24"/>
          <w:szCs w:val="24"/>
          <w:lang w:eastAsia="en-GB"/>
        </w:rPr>
        <w:t>istration, and maintainability.</w:t>
      </w:r>
    </w:p>
    <w:p>
      <w:pPr>
        <w:pStyle w:val="style0"/>
        <w:spacing w:after="240" w:lineRule="auto" w:line="360"/>
        <w:jc w:val="both"/>
        <w:rPr>
          <w:rFonts w:ascii="Arial" w:cs="Arial" w:eastAsia="Times New Roman" w:hAnsi="Arial"/>
          <w:sz w:val="24"/>
          <w:szCs w:val="24"/>
          <w:lang w:eastAsia="en-GB"/>
        </w:rPr>
      </w:pPr>
    </w:p>
    <w:p>
      <w:pPr>
        <w:pStyle w:val="style0"/>
        <w:spacing w:after="240"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b/>
          <w:sz w:val="24"/>
          <w:szCs w:val="24"/>
          <w:lang w:eastAsia="en-GB"/>
        </w:rPr>
      </w:pPr>
      <w:r>
        <w:rPr>
          <w:rFonts w:ascii="Arial" w:cs="Arial" w:eastAsia="Times New Roman" w:hAnsi="Arial"/>
          <w:b/>
          <w:sz w:val="24"/>
          <w:szCs w:val="24"/>
          <w:lang w:eastAsia="en-GB"/>
        </w:rPr>
        <w:t>Supportive Impacts:</w:t>
      </w:r>
    </w:p>
    <w:p>
      <w:pPr>
        <w:pStyle w:val="style179"/>
        <w:numPr>
          <w:ilvl w:val="0"/>
          <w:numId w:val="7"/>
        </w:numPr>
        <w:spacing w:lineRule="auto" w:line="360"/>
        <w:jc w:val="both"/>
        <w:rPr>
          <w:rFonts w:ascii="Arial" w:cs="Arial" w:eastAsia="Times New Roman" w:hAnsi="Arial"/>
          <w:b/>
          <w:sz w:val="24"/>
          <w:szCs w:val="24"/>
          <w:lang w:eastAsia="en-GB"/>
        </w:rPr>
      </w:pPr>
      <w:r>
        <w:rPr>
          <w:rFonts w:ascii="Arial" w:cs="Arial" w:eastAsia="Times New Roman" w:hAnsi="Arial"/>
          <w:b/>
          <w:sz w:val="24"/>
          <w:szCs w:val="24"/>
          <w:lang w:eastAsia="en-GB"/>
        </w:rPr>
        <w:t xml:space="preserve">Innovation &amp; Agility: </w:t>
      </w:r>
      <w:r>
        <w:rPr>
          <w:rFonts w:ascii="Arial" w:cs="Arial" w:eastAsia="Times New Roman" w:hAnsi="Arial"/>
          <w:sz w:val="24"/>
          <w:szCs w:val="24"/>
          <w:lang w:eastAsia="en-GB"/>
        </w:rPr>
        <w:t>The crossover and adaptable work show has energised inventiveness, quicker item improvement, and expanded responsiveness to showcase requests. Diageo propelled more than 200 unused items in FY2023, profiting from cross-regional collaboration empowered by computerised stages.</w:t>
      </w:r>
    </w:p>
    <w:p>
      <w:pPr>
        <w:pStyle w:val="style179"/>
        <w:numPr>
          <w:ilvl w:val="0"/>
          <w:numId w:val="7"/>
        </w:numPr>
        <w:spacing w:lineRule="auto" w:line="360"/>
        <w:jc w:val="both"/>
        <w:rPr>
          <w:rFonts w:ascii="Arial" w:cs="Arial" w:eastAsia="Times New Roman" w:hAnsi="Arial"/>
          <w:b/>
          <w:sz w:val="24"/>
          <w:szCs w:val="24"/>
          <w:lang w:eastAsia="en-GB"/>
        </w:rPr>
      </w:pPr>
      <w:r>
        <w:rPr>
          <w:rFonts w:ascii="Arial" w:cs="Arial" w:eastAsia="Times New Roman" w:hAnsi="Arial"/>
          <w:b/>
          <w:sz w:val="24"/>
          <w:szCs w:val="24"/>
          <w:lang w:eastAsia="en-GB"/>
        </w:rPr>
        <w:t>Talent Retention and Leadership Development:</w:t>
      </w:r>
      <w:r>
        <w:rPr>
          <w:rFonts w:ascii="Arial" w:cs="Arial" w:eastAsia="Times New Roman" w:hAnsi="Arial"/>
          <w:b/>
          <w:sz w:val="24"/>
          <w:szCs w:val="24"/>
          <w:lang w:eastAsia="en-GB"/>
        </w:rPr>
        <w:t xml:space="preserve"> </w:t>
      </w:r>
      <w:r>
        <w:rPr>
          <w:rFonts w:ascii="Arial" w:cs="Arial" w:eastAsia="Times New Roman" w:hAnsi="Arial"/>
          <w:sz w:val="24"/>
          <w:szCs w:val="24"/>
          <w:lang w:eastAsia="en-GB"/>
        </w:rPr>
        <w:t>Tall consideration and differing qualities levels contribute to worker fulfilment, believe, and dependability. Agreeing to Glassdoor, Diageo scores exceedingly in representative surveys, with specific laud for its comprehensive culture and individual improvement openings. This reinforces its key centre on building future-ready administration.</w:t>
      </w:r>
    </w:p>
    <w:p>
      <w:pPr>
        <w:pStyle w:val="style179"/>
        <w:numPr>
          <w:ilvl w:val="0"/>
          <w:numId w:val="7"/>
        </w:numPr>
        <w:spacing w:lineRule="auto" w:line="360"/>
        <w:jc w:val="both"/>
        <w:rPr>
          <w:rFonts w:ascii="Arial" w:cs="Arial" w:eastAsia="Times New Roman" w:hAnsi="Arial"/>
          <w:b/>
          <w:sz w:val="24"/>
          <w:szCs w:val="24"/>
          <w:lang w:eastAsia="en-GB"/>
        </w:rPr>
      </w:pPr>
      <w:r>
        <w:rPr>
          <w:rFonts w:ascii="Arial" w:cs="Arial" w:eastAsia="Times New Roman" w:hAnsi="Arial"/>
          <w:b/>
          <w:sz w:val="24"/>
          <w:szCs w:val="24"/>
          <w:lang w:eastAsia="en-GB"/>
        </w:rPr>
        <w:t xml:space="preserve">Ethical Governance: </w:t>
      </w:r>
      <w:r>
        <w:rPr>
          <w:rFonts w:ascii="Arial" w:cs="Arial" w:eastAsia="Times New Roman" w:hAnsi="Arial"/>
          <w:sz w:val="24"/>
          <w:szCs w:val="24"/>
          <w:lang w:eastAsia="en-GB"/>
        </w:rPr>
        <w:t xml:space="preserve">Moral polished skill bolsters </w:t>
      </w:r>
      <w:r>
        <w:rPr>
          <w:rFonts w:ascii="Arial" w:cs="Arial" w:eastAsia="Times New Roman" w:hAnsi="Arial"/>
          <w:sz w:val="24"/>
          <w:szCs w:val="24"/>
          <w:lang w:eastAsia="en-GB"/>
        </w:rPr>
        <w:t>Diageo’s</w:t>
      </w:r>
      <w:r>
        <w:rPr>
          <w:rFonts w:ascii="Arial" w:cs="Arial" w:eastAsia="Times New Roman" w:hAnsi="Arial"/>
          <w:sz w:val="24"/>
          <w:szCs w:val="24"/>
          <w:lang w:eastAsia="en-GB"/>
        </w:rPr>
        <w:t xml:space="preserve"> brand picture and partner believe, basic within the intensely directed liquor industry. Its open commitment to capable promoting, maintainability, and sexual orientation value boosts long-term brand esteem.</w:t>
      </w:r>
    </w:p>
    <w:p>
      <w:pPr>
        <w:pStyle w:val="style179"/>
        <w:numPr>
          <w:ilvl w:val="0"/>
          <w:numId w:val="7"/>
        </w:numPr>
        <w:spacing w:lineRule="auto" w:line="360"/>
        <w:jc w:val="both"/>
        <w:rPr>
          <w:rFonts w:ascii="Arial" w:cs="Arial" w:eastAsia="Times New Roman" w:hAnsi="Arial"/>
          <w:b/>
          <w:sz w:val="24"/>
          <w:szCs w:val="24"/>
          <w:lang w:eastAsia="en-GB"/>
        </w:rPr>
      </w:pPr>
      <w:r>
        <w:rPr>
          <w:rFonts w:ascii="Arial" w:cs="Arial" w:eastAsia="Times New Roman" w:hAnsi="Arial"/>
          <w:b/>
          <w:sz w:val="24"/>
          <w:szCs w:val="24"/>
          <w:lang w:eastAsia="en-GB"/>
        </w:rPr>
        <w:t xml:space="preserve">Operational Efficiency: </w:t>
      </w:r>
      <w:r>
        <w:rPr>
          <w:rFonts w:ascii="Arial" w:cs="Arial" w:eastAsia="Times New Roman" w:hAnsi="Arial"/>
          <w:sz w:val="24"/>
          <w:szCs w:val="24"/>
          <w:lang w:eastAsia="en-GB"/>
        </w:rPr>
        <w:t xml:space="preserve">The incline structure and decentralised execution permit neighbourhood groups to tailor arrangements to territorial needs whereas adjusting with worldwide objectives. This upgrades effectiveness and advertise </w:t>
      </w:r>
      <w:r>
        <w:rPr>
          <w:rFonts w:ascii="Arial" w:cs="Arial" w:eastAsia="Times New Roman" w:hAnsi="Arial"/>
          <w:sz w:val="24"/>
          <w:szCs w:val="24"/>
          <w:lang w:eastAsia="en-GB"/>
        </w:rPr>
        <w:t>penetration both</w:t>
      </w:r>
      <w:r>
        <w:rPr>
          <w:rFonts w:ascii="Arial" w:cs="Arial" w:eastAsia="Times New Roman" w:hAnsi="Arial"/>
          <w:sz w:val="24"/>
          <w:szCs w:val="24"/>
          <w:lang w:eastAsia="en-GB"/>
        </w:rPr>
        <w:t xml:space="preserve"> basic to </w:t>
      </w:r>
      <w:r>
        <w:rPr>
          <w:rFonts w:ascii="Arial" w:cs="Arial" w:eastAsia="Times New Roman" w:hAnsi="Arial"/>
          <w:sz w:val="24"/>
          <w:szCs w:val="24"/>
          <w:lang w:eastAsia="en-GB"/>
        </w:rPr>
        <w:t>Diageo’s</w:t>
      </w:r>
      <w:r>
        <w:rPr>
          <w:rFonts w:ascii="Arial" w:cs="Arial" w:eastAsia="Times New Roman" w:hAnsi="Arial"/>
          <w:sz w:val="24"/>
          <w:szCs w:val="24"/>
          <w:lang w:eastAsia="en-GB"/>
        </w:rPr>
        <w:t xml:space="preserve"> development plan.</w:t>
      </w:r>
    </w:p>
    <w:p>
      <w:pPr>
        <w:pStyle w:val="style0"/>
        <w:spacing w:lineRule="auto" w:line="360"/>
        <w:jc w:val="both"/>
        <w:rPr>
          <w:rFonts w:ascii="Arial" w:cs="Arial" w:eastAsia="Times New Roman" w:hAnsi="Arial"/>
          <w:b/>
          <w:sz w:val="24"/>
          <w:szCs w:val="24"/>
          <w:lang w:eastAsia="en-GB"/>
        </w:rPr>
      </w:pPr>
      <w:r>
        <w:rPr>
          <w:rFonts w:ascii="Arial" w:cs="Arial" w:eastAsia="Times New Roman" w:hAnsi="Arial"/>
          <w:b/>
          <w:sz w:val="24"/>
          <w:szCs w:val="24"/>
          <w:lang w:eastAsia="en-GB"/>
        </w:rPr>
        <w:t>Challenges and Limitations:</w:t>
      </w:r>
    </w:p>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 xml:space="preserve">As recent organisational research findings </w:t>
      </w:r>
      <w:r>
        <w:rPr>
          <w:rFonts w:ascii="Arial" w:cs="Arial" w:eastAsia="Times New Roman" w:hAnsi="Arial"/>
          <w:sz w:val="24"/>
          <w:szCs w:val="24"/>
          <w:lang w:eastAsia="en-GB"/>
        </w:rPr>
        <w:t>imply</w:t>
      </w:r>
      <w:r>
        <w:rPr>
          <w:rFonts w:ascii="Arial" w:cs="Arial" w:eastAsia="Times New Roman" w:hAnsi="Arial"/>
          <w:sz w:val="24"/>
          <w:szCs w:val="24"/>
          <w:lang w:eastAsia="en-GB"/>
        </w:rPr>
        <w:t xml:space="preserve"> hybrid forms in an organisation can only boost innovation, with high-quality digital collaboration systems, and high managerial talent, which a number of large firms are still struggling to develop (McKinsey, 2024). Moreover, despite the governance systems of Diageo encouraging ethical </w:t>
      </w:r>
      <w:r>
        <w:rPr>
          <w:rFonts w:ascii="Arial" w:cs="Arial" w:eastAsia="Times New Roman" w:hAnsi="Arial"/>
          <w:sz w:val="24"/>
          <w:szCs w:val="24"/>
          <w:lang w:eastAsia="en-GB"/>
        </w:rPr>
        <w:t>behavior</w:t>
      </w:r>
      <w:r>
        <w:rPr>
          <w:rFonts w:ascii="Arial" w:cs="Arial" w:eastAsia="Times New Roman" w:hAnsi="Arial"/>
          <w:sz w:val="24"/>
          <w:szCs w:val="24"/>
          <w:lang w:eastAsia="en-GB"/>
        </w:rPr>
        <w:t xml:space="preserve">, researchers warn that the presence of compliance-oriented settings may block innovation, risk-taking, and employee expression </w:t>
      </w:r>
      <w:r>
        <w:rPr>
          <w:rFonts w:ascii="Arial" w:cs="Arial" w:eastAsia="Times New Roman" w:hAnsi="Arial"/>
          <w:sz w:val="24"/>
          <w:szCs w:val="24"/>
          <w:lang w:eastAsia="en-GB"/>
        </w:rPr>
        <w:t>(Addai et al., 2023)</w:t>
      </w:r>
      <w:r>
        <w:rPr>
          <w:rFonts w:ascii="Arial" w:cs="Arial" w:eastAsia="Times New Roman" w:hAnsi="Arial"/>
          <w:sz w:val="24"/>
          <w:szCs w:val="24"/>
          <w:lang w:eastAsia="en-GB"/>
        </w:rPr>
        <w:t xml:space="preserve">. The example of employee reviews that mention more workloads after the restructuring brings up the issue that is in line with the Job Demands-Resources (JD-R) theory, which assumes that engagement declines in the situations where demands exceed the availability of resources (Bakker and Demerouti, 2023). Consequently, although the working environment at Diageo overall helps to achieve strategic objectives, its prosperity hinges </w:t>
      </w:r>
      <w:r>
        <w:rPr>
          <w:rFonts w:ascii="Arial" w:cs="Arial" w:eastAsia="Times New Roman" w:hAnsi="Arial"/>
          <w:sz w:val="24"/>
          <w:szCs w:val="24"/>
          <w:lang w:eastAsia="en-GB"/>
        </w:rPr>
        <w:t>on the willingness to constantly invest in resources and train employees and possible to avert the risks of work intensification.</w:t>
      </w:r>
    </w:p>
    <w:bookmarkStart w:id="8" w:name="_Toc216720478"/>
    <w:p>
      <w:pPr>
        <w:pStyle w:val="style1"/>
        <w:rPr>
          <w:rFonts w:ascii="Arial" w:cs="Arial" w:eastAsia="Times New Roman" w:hAnsi="Arial"/>
          <w:color w:val="auto"/>
          <w:lang w:eastAsia="en-GB"/>
        </w:rPr>
      </w:pPr>
      <w:r>
        <w:rPr>
          <w:rFonts w:ascii="Arial" w:cs="Arial" w:eastAsia="Times New Roman" w:hAnsi="Arial"/>
          <w:color w:val="auto"/>
          <w:lang w:eastAsia="en-GB"/>
        </w:rPr>
        <w:t xml:space="preserve">6. Personal </w:t>
      </w:r>
      <w:r>
        <w:rPr>
          <w:rFonts w:ascii="Arial" w:cs="Arial" w:eastAsia="Times New Roman" w:hAnsi="Arial"/>
          <w:color w:val="auto"/>
          <w:lang w:eastAsia="en-GB"/>
        </w:rPr>
        <w:t>Perspective: Employee Viewpoint</w:t>
      </w:r>
      <w:bookmarkEnd w:id="8"/>
    </w:p>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 xml:space="preserve">On the off chance that I were </w:t>
      </w:r>
      <w:r>
        <w:rPr>
          <w:rFonts w:ascii="Arial" w:cs="Arial" w:eastAsia="Times New Roman" w:hAnsi="Arial"/>
          <w:sz w:val="24"/>
          <w:szCs w:val="24"/>
          <w:lang w:eastAsia="en-GB"/>
        </w:rPr>
        <w:t>a</w:t>
      </w:r>
      <w:r>
        <w:rPr>
          <w:rFonts w:ascii="Arial" w:cs="Arial" w:eastAsia="Times New Roman" w:hAnsi="Arial"/>
          <w:sz w:val="24"/>
          <w:szCs w:val="24"/>
          <w:lang w:eastAsia="en-GB"/>
        </w:rPr>
        <w:t xml:space="preserve"> representative at Diageo, I accept the </w:t>
      </w:r>
      <w:r>
        <w:rPr>
          <w:rFonts w:ascii="Arial" w:cs="Arial" w:eastAsia="Times New Roman" w:hAnsi="Arial"/>
          <w:sz w:val="24"/>
          <w:szCs w:val="24"/>
          <w:lang w:eastAsia="en-GB"/>
        </w:rPr>
        <w:t>company’s</w:t>
      </w:r>
      <w:r>
        <w:rPr>
          <w:rFonts w:ascii="Arial" w:cs="Arial" w:eastAsia="Times New Roman" w:hAnsi="Arial"/>
          <w:sz w:val="24"/>
          <w:szCs w:val="24"/>
          <w:lang w:eastAsia="en-GB"/>
        </w:rPr>
        <w:t xml:space="preserve"> hierarchical culture and working environment would emphatically impact my work fulfilment, engagement, and career improvement. This viewpoint is upheld by both hypothetical systems and </w:t>
      </w:r>
      <w:r>
        <w:rPr>
          <w:rFonts w:ascii="Arial" w:cs="Arial" w:eastAsia="Times New Roman" w:hAnsi="Arial"/>
          <w:sz w:val="24"/>
          <w:szCs w:val="24"/>
          <w:lang w:eastAsia="en-GB"/>
        </w:rPr>
        <w:t>Diageo’s</w:t>
      </w:r>
      <w:r>
        <w:rPr>
          <w:rFonts w:ascii="Arial" w:cs="Arial" w:eastAsia="Times New Roman" w:hAnsi="Arial"/>
          <w:sz w:val="24"/>
          <w:szCs w:val="24"/>
          <w:lang w:eastAsia="en-GB"/>
        </w:rPr>
        <w:t xml:space="preserve"> real-world hones.</w:t>
      </w:r>
    </w:p>
    <w:bookmarkStart w:id="9" w:name="_Toc216720479"/>
    <w:p>
      <w:pPr>
        <w:pStyle w:val="style2"/>
        <w:rPr>
          <w:rFonts w:ascii="Arial" w:cs="Arial" w:eastAsia="Times New Roman" w:hAnsi="Arial"/>
          <w:color w:val="auto"/>
          <w:lang w:eastAsia="en-GB"/>
        </w:rPr>
      </w:pPr>
      <w:r>
        <w:rPr>
          <w:rFonts w:ascii="Arial" w:cs="Arial" w:eastAsia="Times New Roman" w:hAnsi="Arial"/>
          <w:color w:val="auto"/>
          <w:lang w:eastAsia="en-GB"/>
        </w:rPr>
        <w:t>6.1. Job Satisfaction</w:t>
      </w:r>
      <w:bookmarkEnd w:id="9"/>
    </w:p>
    <w:p>
      <w:pPr>
        <w:pStyle w:val="style0"/>
        <w:spacing w:lineRule="auto" w:line="360"/>
        <w:jc w:val="both"/>
        <w:rPr>
          <w:rFonts w:ascii="Arial" w:cs="Arial" w:eastAsia="Times New Roman" w:hAnsi="Arial"/>
          <w:b/>
          <w:sz w:val="24"/>
          <w:szCs w:val="24"/>
          <w:lang w:eastAsia="en-GB"/>
        </w:rPr>
      </w:pPr>
      <w:r>
        <w:rPr>
          <w:rFonts w:ascii="Arial" w:cs="Arial" w:eastAsia="Times New Roman" w:hAnsi="Arial"/>
          <w:sz w:val="24"/>
          <w:szCs w:val="24"/>
          <w:lang w:eastAsia="en-GB"/>
        </w:rPr>
        <w:t>Diageo’s</w:t>
      </w:r>
      <w:r>
        <w:rPr>
          <w:rFonts w:ascii="Arial" w:cs="Arial" w:eastAsia="Times New Roman" w:hAnsi="Arial"/>
          <w:sz w:val="24"/>
          <w:szCs w:val="24"/>
          <w:lang w:eastAsia="en-GB"/>
        </w:rPr>
        <w:t xml:space="preserve"> comprehensive and people-focused culture would likely improve </w:t>
      </w:r>
      <w:r>
        <w:rPr>
          <w:rFonts w:ascii="Arial" w:cs="Arial" w:eastAsia="Times New Roman" w:hAnsi="Arial"/>
          <w:sz w:val="24"/>
          <w:szCs w:val="24"/>
          <w:lang w:eastAsia="en-GB"/>
        </w:rPr>
        <w:t>me</w:t>
      </w:r>
      <w:r>
        <w:rPr>
          <w:rFonts w:ascii="Arial" w:cs="Arial" w:eastAsia="Times New Roman" w:hAnsi="Arial"/>
          <w:sz w:val="24"/>
          <w:szCs w:val="24"/>
          <w:lang w:eastAsia="en-GB"/>
        </w:rPr>
        <w:t xml:space="preserve"> in general work fulfilment, as characterised by </w:t>
      </w:r>
      <w:r>
        <w:rPr>
          <w:rFonts w:ascii="Arial" w:cs="Arial" w:eastAsia="Times New Roman" w:hAnsi="Arial"/>
          <w:sz w:val="24"/>
          <w:szCs w:val="24"/>
          <w:lang w:eastAsia="en-GB"/>
        </w:rPr>
        <w:t>Herzberg’s</w:t>
      </w:r>
      <w:r>
        <w:rPr>
          <w:rFonts w:ascii="Arial" w:cs="Arial" w:eastAsia="Times New Roman" w:hAnsi="Arial"/>
          <w:sz w:val="24"/>
          <w:szCs w:val="24"/>
          <w:lang w:eastAsia="en-GB"/>
        </w:rPr>
        <w:t xml:space="preserve"> Two-Factor Hypothesis (1959). Herzberg isolates work fulfilment into sparks (natural variables like accomplishment and acknowledgement) and cleanliness components (outward conditions like pay and approaches).</w:t>
      </w:r>
    </w:p>
    <w:p>
      <w:pPr>
        <w:pStyle w:val="style179"/>
        <w:numPr>
          <w:ilvl w:val="0"/>
          <w:numId w:val="9"/>
        </w:numPr>
        <w:spacing w:lineRule="auto" w:line="360"/>
        <w:jc w:val="both"/>
        <w:rPr>
          <w:rFonts w:ascii="Arial" w:cs="Arial" w:eastAsia="Times New Roman" w:hAnsi="Arial"/>
          <w:sz w:val="24"/>
          <w:szCs w:val="24"/>
          <w:lang w:eastAsia="en-GB"/>
        </w:rPr>
      </w:pPr>
      <w:r>
        <w:rPr>
          <w:rFonts w:ascii="Arial" w:cs="Arial" w:eastAsia="Times New Roman" w:hAnsi="Arial"/>
          <w:b/>
          <w:sz w:val="24"/>
          <w:szCs w:val="24"/>
          <w:lang w:eastAsia="en-GB"/>
        </w:rPr>
        <w:t>Motivators:</w:t>
      </w:r>
      <w:r>
        <w:rPr>
          <w:rFonts w:ascii="Arial" w:cs="Arial" w:eastAsia="Times New Roman" w:hAnsi="Arial"/>
          <w:sz w:val="24"/>
          <w:szCs w:val="24"/>
          <w:lang w:eastAsia="en-GB"/>
        </w:rPr>
        <w:t xml:space="preserve"> </w:t>
      </w:r>
      <w:r>
        <w:rPr>
          <w:rFonts w:ascii="Arial" w:cs="Arial" w:eastAsia="Times New Roman" w:hAnsi="Arial"/>
          <w:sz w:val="24"/>
          <w:szCs w:val="24"/>
          <w:lang w:eastAsia="en-GB"/>
        </w:rPr>
        <w:t>Diageo’s</w:t>
      </w:r>
      <w:r>
        <w:rPr>
          <w:rFonts w:ascii="Arial" w:cs="Arial" w:eastAsia="Times New Roman" w:hAnsi="Arial"/>
          <w:sz w:val="24"/>
          <w:szCs w:val="24"/>
          <w:lang w:eastAsia="en-GB"/>
        </w:rPr>
        <w:t xml:space="preserve"> culture of celebrating victory, giving independence, and perceiving execution adjusts with </w:t>
      </w:r>
      <w:r>
        <w:rPr>
          <w:rFonts w:ascii="Arial" w:cs="Arial" w:eastAsia="Times New Roman" w:hAnsi="Arial"/>
          <w:sz w:val="24"/>
          <w:szCs w:val="24"/>
          <w:lang w:eastAsia="en-GB"/>
        </w:rPr>
        <w:t>Herzberg’s</w:t>
      </w:r>
      <w:r>
        <w:rPr>
          <w:rFonts w:ascii="Arial" w:cs="Arial" w:eastAsia="Times New Roman" w:hAnsi="Arial"/>
          <w:sz w:val="24"/>
          <w:szCs w:val="24"/>
          <w:lang w:eastAsia="en-GB"/>
        </w:rPr>
        <w:t xml:space="preserve"> inspirations. For illustration, the company advances person flexibility through its freedom to </w:t>
      </w:r>
      <w:r>
        <w:rPr>
          <w:rFonts w:ascii="Arial" w:cs="Arial" w:eastAsia="Times New Roman" w:hAnsi="Arial"/>
          <w:sz w:val="24"/>
          <w:szCs w:val="24"/>
          <w:lang w:eastAsia="en-GB"/>
        </w:rPr>
        <w:t>succeed</w:t>
      </w:r>
      <w:r>
        <w:rPr>
          <w:rFonts w:ascii="Arial" w:cs="Arial" w:eastAsia="Times New Roman" w:hAnsi="Arial"/>
          <w:sz w:val="24"/>
          <w:szCs w:val="24"/>
          <w:lang w:eastAsia="en-GB"/>
        </w:rPr>
        <w:t xml:space="preserve"> esteem and offers worker gr</w:t>
      </w:r>
      <w:r>
        <w:rPr>
          <w:rFonts w:ascii="Arial" w:cs="Arial" w:eastAsia="Times New Roman" w:hAnsi="Arial"/>
          <w:sz w:val="24"/>
          <w:szCs w:val="24"/>
          <w:lang w:eastAsia="en-GB"/>
        </w:rPr>
        <w:t>ants and acknowledgement plans.</w:t>
      </w:r>
    </w:p>
    <w:p>
      <w:pPr>
        <w:pStyle w:val="style179"/>
        <w:numPr>
          <w:ilvl w:val="0"/>
          <w:numId w:val="9"/>
        </w:numPr>
        <w:spacing w:lineRule="auto" w:line="360"/>
        <w:jc w:val="both"/>
        <w:rPr>
          <w:rFonts w:ascii="Arial" w:cs="Arial" w:eastAsia="Times New Roman" w:hAnsi="Arial"/>
          <w:sz w:val="24"/>
          <w:szCs w:val="24"/>
          <w:lang w:eastAsia="en-GB"/>
        </w:rPr>
      </w:pPr>
      <w:r>
        <w:rPr>
          <w:rFonts w:ascii="Arial" w:cs="Arial" w:eastAsia="Times New Roman" w:hAnsi="Arial"/>
          <w:b/>
          <w:sz w:val="24"/>
          <w:szCs w:val="24"/>
          <w:lang w:eastAsia="en-GB"/>
        </w:rPr>
        <w:t>Hygiene Factors:</w:t>
      </w:r>
      <w:r>
        <w:rPr>
          <w:rFonts w:ascii="Arial" w:cs="Arial" w:eastAsia="Times New Roman" w:hAnsi="Arial"/>
          <w:sz w:val="24"/>
          <w:szCs w:val="24"/>
          <w:lang w:eastAsia="en-GB"/>
        </w:rPr>
        <w:t xml:space="preserve"> Diageo moreover guarantees solid cleanliness variables through competitive emolument, work-life adjust, and adaptable work courses of action. Their half breed working arrangement and break even with parental take off arrangement contribute to fulfilment by expelling stressors that can lead to disappointment.</w:t>
      </w:r>
    </w:p>
    <w:p>
      <w:pPr>
        <w:pStyle w:val="style0"/>
        <w:spacing w:lineRule="auto" w:line="360"/>
        <w:jc w:val="both"/>
        <w:rPr>
          <w:rFonts w:ascii="Arial" w:cs="Arial" w:eastAsia="Times New Roman" w:hAnsi="Arial"/>
          <w:b/>
          <w:sz w:val="24"/>
          <w:szCs w:val="24"/>
          <w:lang w:eastAsia="en-GB"/>
        </w:rPr>
      </w:pPr>
      <w:r>
        <w:rPr>
          <w:rFonts w:ascii="Arial" w:cs="Arial" w:eastAsia="Times New Roman" w:hAnsi="Arial"/>
          <w:b/>
          <w:sz w:val="24"/>
          <w:szCs w:val="24"/>
          <w:lang w:eastAsia="en-GB"/>
        </w:rPr>
        <w:t xml:space="preserve">Besides, </w:t>
      </w:r>
      <w:r>
        <w:rPr>
          <w:rFonts w:ascii="Arial" w:cs="Arial" w:eastAsia="Times New Roman" w:hAnsi="Arial"/>
          <w:b/>
          <w:sz w:val="24"/>
          <w:szCs w:val="24"/>
          <w:lang w:eastAsia="en-GB"/>
        </w:rPr>
        <w:t>Maslow’s</w:t>
      </w:r>
      <w:r>
        <w:rPr>
          <w:rFonts w:ascii="Arial" w:cs="Arial" w:eastAsia="Times New Roman" w:hAnsi="Arial"/>
          <w:b/>
          <w:sz w:val="24"/>
          <w:szCs w:val="24"/>
          <w:lang w:eastAsia="en-GB"/>
        </w:rPr>
        <w:t xml:space="preserve"> Pecking order of Needs (1943) is appr</w:t>
      </w:r>
      <w:r>
        <w:rPr>
          <w:rFonts w:ascii="Arial" w:cs="Arial" w:eastAsia="Times New Roman" w:hAnsi="Arial"/>
          <w:b/>
          <w:sz w:val="24"/>
          <w:szCs w:val="24"/>
          <w:lang w:eastAsia="en-GB"/>
        </w:rPr>
        <w:t>opriate here. Diageo satisfies:</w:t>
      </w:r>
    </w:p>
    <w:p>
      <w:pPr>
        <w:pStyle w:val="style179"/>
        <w:numPr>
          <w:ilvl w:val="0"/>
          <w:numId w:val="11"/>
        </w:numPr>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Physiological &amp; Security Needs through secure business, wellbeing programmes,</w:t>
      </w:r>
      <w:r>
        <w:rPr>
          <w:rFonts w:ascii="Arial" w:cs="Arial" w:eastAsia="Times New Roman" w:hAnsi="Arial"/>
          <w:sz w:val="24"/>
          <w:szCs w:val="24"/>
          <w:lang w:eastAsia="en-GB"/>
        </w:rPr>
        <w:t xml:space="preserve"> and secure working situations.</w:t>
      </w:r>
    </w:p>
    <w:p>
      <w:pPr>
        <w:pStyle w:val="style179"/>
        <w:numPr>
          <w:ilvl w:val="0"/>
          <w:numId w:val="11"/>
        </w:numPr>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Social Needs through incorporation programmes an</w:t>
      </w:r>
      <w:r>
        <w:rPr>
          <w:rFonts w:ascii="Arial" w:cs="Arial" w:eastAsia="Times New Roman" w:hAnsi="Arial"/>
          <w:sz w:val="24"/>
          <w:szCs w:val="24"/>
          <w:lang w:eastAsia="en-GB"/>
        </w:rPr>
        <w:t>d representative asset bunches.</w:t>
      </w:r>
    </w:p>
    <w:p>
      <w:pPr>
        <w:pStyle w:val="style179"/>
        <w:numPr>
          <w:ilvl w:val="0"/>
          <w:numId w:val="11"/>
        </w:numPr>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Regard &amp; Self-actualisation Needs through execution acknowledgement and career improvement openin</w:t>
      </w:r>
      <w:r>
        <w:rPr>
          <w:rFonts w:ascii="Arial" w:cs="Arial" w:eastAsia="Times New Roman" w:hAnsi="Arial"/>
          <w:sz w:val="24"/>
          <w:szCs w:val="24"/>
          <w:lang w:eastAsia="en-GB"/>
        </w:rPr>
        <w:t>gs.</w:t>
      </w:r>
    </w:p>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In this way, I would likely feel esteemed, regarded, and persuaded inside this environment.</w:t>
      </w:r>
    </w:p>
    <w:bookmarkStart w:id="10" w:name="_Toc216720480"/>
    <w:p>
      <w:pPr>
        <w:pStyle w:val="style2"/>
        <w:spacing w:after="240"/>
        <w:rPr>
          <w:rFonts w:ascii="Arial" w:cs="Arial" w:eastAsia="Times New Roman" w:hAnsi="Arial"/>
          <w:color w:val="auto"/>
          <w:lang w:eastAsia="en-GB"/>
        </w:rPr>
      </w:pPr>
      <w:r>
        <w:rPr>
          <w:rFonts w:ascii="Arial" w:cs="Arial" w:eastAsia="Times New Roman" w:hAnsi="Arial"/>
          <w:color w:val="auto"/>
          <w:lang w:eastAsia="en-GB"/>
        </w:rPr>
        <w:t xml:space="preserve">6.2. Job </w:t>
      </w:r>
      <w:r>
        <w:rPr>
          <w:rFonts w:ascii="Arial" w:cs="Arial" w:eastAsia="Times New Roman" w:hAnsi="Arial"/>
          <w:color w:val="auto"/>
          <w:lang w:eastAsia="en-GB"/>
        </w:rPr>
        <w:t>Engagement</w:t>
      </w:r>
      <w:bookmarkEnd w:id="10"/>
    </w:p>
    <w:p>
      <w:pPr>
        <w:pStyle w:val="style0"/>
        <w:spacing w:after="240"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 xml:space="preserve">Work engagement, characterised as the passionate commitment </w:t>
      </w:r>
      <w:r>
        <w:rPr>
          <w:rFonts w:ascii="Arial" w:cs="Arial" w:eastAsia="Times New Roman" w:hAnsi="Arial"/>
          <w:sz w:val="24"/>
          <w:szCs w:val="24"/>
          <w:lang w:eastAsia="en-GB"/>
        </w:rPr>
        <w:t>a</w:t>
      </w:r>
      <w:r>
        <w:rPr>
          <w:rFonts w:ascii="Arial" w:cs="Arial" w:eastAsia="Times New Roman" w:hAnsi="Arial"/>
          <w:sz w:val="24"/>
          <w:szCs w:val="24"/>
          <w:lang w:eastAsia="en-GB"/>
        </w:rPr>
        <w:t xml:space="preserve"> representative has got to their role and the association, may be a basic figure for efficiency and maintenance. Agreeing to the Work Characteristics Demonstrate (Hackman &amp; Oldham, 1976), five centre work measurements contribute to engagement: aptitude assortment, assignment personality, errand importance, independence, and input.</w:t>
      </w:r>
    </w:p>
    <w:p>
      <w:pPr>
        <w:pStyle w:val="style179"/>
        <w:numPr>
          <w:ilvl w:val="0"/>
          <w:numId w:val="12"/>
        </w:numPr>
        <w:spacing w:lineRule="auto" w:line="360"/>
        <w:jc w:val="both"/>
        <w:rPr>
          <w:rFonts w:ascii="Arial" w:cs="Arial" w:eastAsia="Times New Roman" w:hAnsi="Arial"/>
          <w:sz w:val="24"/>
          <w:szCs w:val="24"/>
          <w:lang w:eastAsia="en-GB"/>
        </w:rPr>
      </w:pPr>
      <w:r>
        <w:rPr>
          <w:rFonts w:ascii="Arial" w:cs="Arial" w:eastAsia="Times New Roman" w:hAnsi="Arial"/>
          <w:b/>
          <w:sz w:val="24"/>
          <w:szCs w:val="24"/>
          <w:lang w:eastAsia="en-GB"/>
        </w:rPr>
        <w:t>Skill Variety &amp; Task Identity:</w:t>
      </w:r>
      <w:r>
        <w:rPr>
          <w:rFonts w:ascii="Arial" w:cs="Arial" w:eastAsia="Times New Roman" w:hAnsi="Arial"/>
          <w:sz w:val="24"/>
          <w:szCs w:val="24"/>
          <w:lang w:eastAsia="en-GB"/>
        </w:rPr>
        <w:t xml:space="preserve"> At Diageo, workers regularly work on cross-functional and worldwide ventures, which include assorted obligations and give a s</w:t>
      </w:r>
      <w:r>
        <w:rPr>
          <w:rFonts w:ascii="Arial" w:cs="Arial" w:eastAsia="Times New Roman" w:hAnsi="Arial"/>
          <w:sz w:val="24"/>
          <w:szCs w:val="24"/>
          <w:lang w:eastAsia="en-GB"/>
        </w:rPr>
        <w:t>ense of venture proprietorship.</w:t>
      </w:r>
    </w:p>
    <w:p>
      <w:pPr>
        <w:pStyle w:val="style179"/>
        <w:numPr>
          <w:ilvl w:val="0"/>
          <w:numId w:val="12"/>
        </w:numPr>
        <w:spacing w:lineRule="auto" w:line="360"/>
        <w:jc w:val="both"/>
        <w:rPr>
          <w:rFonts w:ascii="Arial" w:cs="Arial" w:eastAsia="Times New Roman" w:hAnsi="Arial"/>
          <w:sz w:val="24"/>
          <w:szCs w:val="24"/>
          <w:lang w:eastAsia="en-GB"/>
        </w:rPr>
      </w:pPr>
      <w:r>
        <w:rPr>
          <w:rFonts w:ascii="Arial" w:cs="Arial" w:eastAsia="Times New Roman" w:hAnsi="Arial"/>
          <w:b/>
          <w:sz w:val="24"/>
          <w:szCs w:val="24"/>
          <w:lang w:eastAsia="en-GB"/>
        </w:rPr>
        <w:t>Task Significance:</w:t>
      </w:r>
      <w:r>
        <w:rPr>
          <w:rFonts w:ascii="Arial" w:cs="Arial" w:eastAsia="Times New Roman" w:hAnsi="Arial"/>
          <w:sz w:val="24"/>
          <w:szCs w:val="24"/>
          <w:lang w:eastAsia="en-GB"/>
        </w:rPr>
        <w:t xml:space="preserve"> The company’</w:t>
      </w:r>
      <w:r>
        <w:rPr>
          <w:rFonts w:ascii="Arial" w:cs="Arial" w:eastAsia="Times New Roman" w:hAnsi="Arial"/>
          <w:sz w:val="24"/>
          <w:szCs w:val="24"/>
          <w:lang w:eastAsia="en-GB"/>
        </w:rPr>
        <w:t>s arrangement with supportabilit</w:t>
      </w:r>
      <w:r>
        <w:rPr>
          <w:rFonts w:ascii="Arial" w:cs="Arial" w:eastAsia="Times New Roman" w:hAnsi="Arial"/>
          <w:sz w:val="24"/>
          <w:szCs w:val="24"/>
          <w:lang w:eastAsia="en-GB"/>
        </w:rPr>
        <w:t>y and social advance (</w:t>
      </w:r>
      <w:r>
        <w:rPr>
          <w:rFonts w:ascii="Arial" w:cs="Arial" w:eastAsia="Times New Roman" w:hAnsi="Arial"/>
          <w:sz w:val="24"/>
          <w:szCs w:val="24"/>
          <w:lang w:eastAsia="en-GB"/>
        </w:rPr>
        <w:t xml:space="preserve">Society 2030: Soul of Progress) implies that workers feel their work contributes to a more prominent </w:t>
      </w:r>
      <w:r>
        <w:rPr>
          <w:rFonts w:ascii="Arial" w:cs="Arial" w:eastAsia="Times New Roman" w:hAnsi="Arial"/>
          <w:sz w:val="24"/>
          <w:szCs w:val="24"/>
          <w:lang w:eastAsia="en-GB"/>
        </w:rPr>
        <w:t>purpose enhancing errand importance.</w:t>
      </w:r>
    </w:p>
    <w:p>
      <w:pPr>
        <w:pStyle w:val="style179"/>
        <w:numPr>
          <w:ilvl w:val="0"/>
          <w:numId w:val="12"/>
        </w:numPr>
        <w:spacing w:lineRule="auto" w:line="360"/>
        <w:jc w:val="both"/>
        <w:rPr>
          <w:rFonts w:ascii="Arial" w:cs="Arial" w:eastAsia="Times New Roman" w:hAnsi="Arial"/>
          <w:sz w:val="24"/>
          <w:szCs w:val="24"/>
          <w:lang w:eastAsia="en-GB"/>
        </w:rPr>
      </w:pPr>
      <w:r>
        <w:rPr>
          <w:rFonts w:ascii="Arial" w:cs="Arial" w:eastAsia="Times New Roman" w:hAnsi="Arial"/>
          <w:b/>
          <w:sz w:val="24"/>
          <w:szCs w:val="24"/>
          <w:lang w:eastAsia="en-GB"/>
        </w:rPr>
        <w:t>Autonomy</w:t>
      </w:r>
      <w:r>
        <w:rPr>
          <w:rFonts w:ascii="Arial" w:cs="Arial" w:eastAsia="Times New Roman" w:hAnsi="Arial"/>
          <w:sz w:val="24"/>
          <w:szCs w:val="24"/>
          <w:lang w:eastAsia="en-GB"/>
        </w:rPr>
        <w:t xml:space="preserve">: Adaptable work plans, decentralised decision-making, and half breed work courses of action deliver </w:t>
      </w:r>
      <w:r>
        <w:rPr>
          <w:rFonts w:ascii="Arial" w:cs="Arial" w:eastAsia="Times New Roman" w:hAnsi="Arial"/>
          <w:sz w:val="24"/>
          <w:szCs w:val="24"/>
          <w:lang w:eastAsia="en-GB"/>
        </w:rPr>
        <w:t>worker’s</w:t>
      </w:r>
      <w:r>
        <w:rPr>
          <w:rFonts w:ascii="Arial" w:cs="Arial" w:eastAsia="Times New Roman" w:hAnsi="Arial"/>
          <w:sz w:val="24"/>
          <w:szCs w:val="24"/>
          <w:lang w:eastAsia="en-GB"/>
        </w:rPr>
        <w:t xml:space="preserve"> independence </w:t>
      </w:r>
      <w:r>
        <w:rPr>
          <w:rFonts w:ascii="Arial" w:cs="Arial" w:eastAsia="Times New Roman" w:hAnsi="Arial"/>
          <w:sz w:val="24"/>
          <w:szCs w:val="24"/>
          <w:lang w:eastAsia="en-GB"/>
        </w:rPr>
        <w:t>in overseeing errands and time.</w:t>
      </w:r>
    </w:p>
    <w:p>
      <w:pPr>
        <w:pStyle w:val="style179"/>
        <w:numPr>
          <w:ilvl w:val="0"/>
          <w:numId w:val="12"/>
        </w:numPr>
        <w:spacing w:lineRule="auto" w:line="360"/>
        <w:jc w:val="both"/>
        <w:rPr>
          <w:rFonts w:ascii="Arial" w:cs="Arial" w:eastAsia="Times New Roman" w:hAnsi="Arial"/>
          <w:sz w:val="24"/>
          <w:szCs w:val="24"/>
          <w:lang w:eastAsia="en-GB"/>
        </w:rPr>
      </w:pPr>
      <w:r>
        <w:rPr>
          <w:rFonts w:ascii="Arial" w:cs="Arial" w:eastAsia="Times New Roman" w:hAnsi="Arial"/>
          <w:b/>
          <w:sz w:val="24"/>
          <w:szCs w:val="24"/>
          <w:lang w:eastAsia="en-GB"/>
        </w:rPr>
        <w:t>Feedback:</w:t>
      </w:r>
      <w:r>
        <w:rPr>
          <w:rFonts w:ascii="Arial" w:cs="Arial" w:eastAsia="Times New Roman" w:hAnsi="Arial"/>
          <w:sz w:val="24"/>
          <w:szCs w:val="24"/>
          <w:lang w:eastAsia="en-GB"/>
        </w:rPr>
        <w:t xml:space="preserve"> Nonstop execution audits and open discourse culture permit for customary, useful input.</w:t>
      </w:r>
    </w:p>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Given this structure, I would likely be profoundly locked in in my part, knowing that my work is significant, shifted, and backed by administration.</w:t>
      </w:r>
    </w:p>
    <w:bookmarkStart w:id="11" w:name="_Toc216720481"/>
    <w:p>
      <w:pPr>
        <w:pStyle w:val="style2"/>
        <w:spacing w:after="240"/>
        <w:rPr>
          <w:rFonts w:ascii="Arial" w:cs="Arial" w:eastAsia="Times New Roman" w:hAnsi="Arial"/>
          <w:color w:val="auto"/>
          <w:lang w:eastAsia="en-GB"/>
        </w:rPr>
      </w:pPr>
      <w:r>
        <w:rPr>
          <w:rFonts w:ascii="Arial" w:cs="Arial" w:eastAsia="Times New Roman" w:hAnsi="Arial"/>
          <w:color w:val="auto"/>
          <w:lang w:eastAsia="en-GB"/>
        </w:rPr>
        <w:t>6.3. Career Development</w:t>
      </w:r>
      <w:bookmarkEnd w:id="11"/>
    </w:p>
    <w:p>
      <w:pPr>
        <w:pStyle w:val="style0"/>
        <w:spacing w:after="240"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 xml:space="preserve">Diageo contributes intensely in learning and advancement, advertising worldwide administration programmes, mentorship, and portability openings over markets. This commitment would back my career development and fulfil inborn sparks sketched out by </w:t>
      </w:r>
      <w:r>
        <w:rPr>
          <w:rFonts w:ascii="Arial" w:cs="Arial" w:eastAsia="Times New Roman" w:hAnsi="Arial"/>
          <w:sz w:val="24"/>
          <w:szCs w:val="24"/>
          <w:lang w:eastAsia="en-GB"/>
        </w:rPr>
        <w:t>Self-Determination Hypothesis (</w:t>
      </w:r>
      <w:r>
        <w:rPr>
          <w:rFonts w:ascii="Arial" w:cs="Arial" w:eastAsia="Times New Roman" w:hAnsi="Arial"/>
          <w:sz w:val="24"/>
          <w:szCs w:val="24"/>
          <w:lang w:eastAsia="en-GB"/>
        </w:rPr>
        <w:t>Deco</w:t>
      </w:r>
      <w:r>
        <w:rPr>
          <w:rFonts w:ascii="Arial" w:cs="Arial" w:eastAsia="Times New Roman" w:hAnsi="Arial"/>
          <w:sz w:val="24"/>
          <w:szCs w:val="24"/>
          <w:lang w:eastAsia="en-GB"/>
        </w:rPr>
        <w:t xml:space="preserve"> &amp; Ryan,1985), which highlights competence, independence, and relatedness as fundamental </w:t>
      </w:r>
      <w:r>
        <w:rPr>
          <w:rFonts w:ascii="Arial" w:cs="Arial" w:eastAsia="Times New Roman" w:hAnsi="Arial"/>
          <w:sz w:val="24"/>
          <w:szCs w:val="24"/>
          <w:lang w:eastAsia="en-GB"/>
        </w:rPr>
        <w:t>to inspiration and development.</w:t>
      </w:r>
    </w:p>
    <w:p>
      <w:pPr>
        <w:pStyle w:val="style179"/>
        <w:numPr>
          <w:ilvl w:val="0"/>
          <w:numId w:val="13"/>
        </w:numPr>
        <w:spacing w:lineRule="auto" w:line="360"/>
        <w:jc w:val="both"/>
        <w:rPr>
          <w:rFonts w:ascii="Arial" w:cs="Arial" w:eastAsia="Times New Roman" w:hAnsi="Arial"/>
          <w:sz w:val="24"/>
          <w:szCs w:val="24"/>
          <w:lang w:eastAsia="en-GB"/>
        </w:rPr>
      </w:pPr>
      <w:r>
        <w:rPr>
          <w:rFonts w:ascii="Arial" w:cs="Arial" w:eastAsia="Times New Roman" w:hAnsi="Arial"/>
          <w:b/>
          <w:sz w:val="24"/>
          <w:szCs w:val="24"/>
          <w:lang w:eastAsia="en-GB"/>
        </w:rPr>
        <w:t>Competence:</w:t>
      </w:r>
      <w:r>
        <w:rPr>
          <w:rFonts w:ascii="Arial" w:cs="Arial" w:eastAsia="Times New Roman" w:hAnsi="Arial"/>
          <w:sz w:val="24"/>
          <w:szCs w:val="24"/>
          <w:lang w:eastAsia="en-GB"/>
        </w:rPr>
        <w:t xml:space="preserve"> </w:t>
      </w:r>
      <w:r>
        <w:rPr>
          <w:rFonts w:ascii="Arial" w:cs="Arial" w:eastAsia="Times New Roman" w:hAnsi="Arial"/>
          <w:sz w:val="24"/>
          <w:szCs w:val="24"/>
          <w:lang w:eastAsia="en-GB"/>
        </w:rPr>
        <w:t>Diageo’s</w:t>
      </w:r>
      <w:r>
        <w:rPr>
          <w:rFonts w:ascii="Arial" w:cs="Arial" w:eastAsia="Times New Roman" w:hAnsi="Arial"/>
          <w:sz w:val="24"/>
          <w:szCs w:val="24"/>
          <w:lang w:eastAsia="en-GB"/>
        </w:rPr>
        <w:t xml:space="preserve"> preparing and upskilling activities would upgrade my capabilities, expanding certainty</w:t>
      </w:r>
      <w:r>
        <w:rPr>
          <w:rFonts w:ascii="Arial" w:cs="Arial" w:eastAsia="Times New Roman" w:hAnsi="Arial"/>
          <w:sz w:val="24"/>
          <w:szCs w:val="24"/>
          <w:lang w:eastAsia="en-GB"/>
        </w:rPr>
        <w:t xml:space="preserve"> and career movement potential.</w:t>
      </w:r>
    </w:p>
    <w:p>
      <w:pPr>
        <w:pStyle w:val="style179"/>
        <w:numPr>
          <w:ilvl w:val="0"/>
          <w:numId w:val="13"/>
        </w:numPr>
        <w:spacing w:lineRule="auto" w:line="360"/>
        <w:jc w:val="both"/>
        <w:rPr>
          <w:rFonts w:ascii="Arial" w:cs="Arial" w:eastAsia="Times New Roman" w:hAnsi="Arial"/>
          <w:sz w:val="24"/>
          <w:szCs w:val="24"/>
          <w:lang w:eastAsia="en-GB"/>
        </w:rPr>
      </w:pPr>
      <w:r>
        <w:rPr>
          <w:rFonts w:ascii="Arial" w:cs="Arial" w:eastAsia="Times New Roman" w:hAnsi="Arial"/>
          <w:b/>
          <w:sz w:val="24"/>
          <w:szCs w:val="24"/>
          <w:lang w:eastAsia="en-GB"/>
        </w:rPr>
        <w:t>Autonomy:</w:t>
      </w:r>
      <w:r>
        <w:rPr>
          <w:rFonts w:ascii="Arial" w:cs="Arial" w:eastAsia="Times New Roman" w:hAnsi="Arial"/>
          <w:sz w:val="24"/>
          <w:szCs w:val="24"/>
          <w:lang w:eastAsia="en-GB"/>
        </w:rPr>
        <w:t xml:space="preserve"> The capacity to investigate diverse ventures and capacities inside </w:t>
      </w:r>
      <w:r>
        <w:rPr>
          <w:rFonts w:ascii="Arial" w:cs="Arial" w:eastAsia="Times New Roman" w:hAnsi="Arial"/>
          <w:sz w:val="24"/>
          <w:szCs w:val="24"/>
          <w:lang w:eastAsia="en-GB"/>
        </w:rPr>
        <w:t>a</w:t>
      </w:r>
      <w:r>
        <w:rPr>
          <w:rFonts w:ascii="Arial" w:cs="Arial" w:eastAsia="Times New Roman" w:hAnsi="Arial"/>
          <w:sz w:val="24"/>
          <w:szCs w:val="24"/>
          <w:lang w:eastAsia="en-GB"/>
        </w:rPr>
        <w:t xml:space="preserve"> adaptable system permi</w:t>
      </w:r>
      <w:r>
        <w:rPr>
          <w:rFonts w:ascii="Arial" w:cs="Arial" w:eastAsia="Times New Roman" w:hAnsi="Arial"/>
          <w:sz w:val="24"/>
          <w:szCs w:val="24"/>
          <w:lang w:eastAsia="en-GB"/>
        </w:rPr>
        <w:t>ts for person improvement ways.</w:t>
      </w:r>
    </w:p>
    <w:p>
      <w:pPr>
        <w:pStyle w:val="style179"/>
        <w:numPr>
          <w:ilvl w:val="0"/>
          <w:numId w:val="13"/>
        </w:numPr>
        <w:spacing w:lineRule="auto" w:line="360"/>
        <w:jc w:val="both"/>
        <w:rPr>
          <w:rFonts w:ascii="Arial" w:cs="Arial" w:eastAsia="Times New Roman" w:hAnsi="Arial"/>
          <w:sz w:val="24"/>
          <w:szCs w:val="24"/>
          <w:lang w:eastAsia="en-GB"/>
        </w:rPr>
      </w:pPr>
      <w:r>
        <w:rPr>
          <w:rFonts w:ascii="Arial" w:cs="Arial" w:eastAsia="Times New Roman" w:hAnsi="Arial"/>
          <w:b/>
          <w:sz w:val="24"/>
          <w:szCs w:val="24"/>
          <w:lang w:eastAsia="en-GB"/>
        </w:rPr>
        <w:t>Relatedness:</w:t>
      </w:r>
      <w:r>
        <w:rPr>
          <w:rFonts w:ascii="Arial" w:cs="Arial" w:eastAsia="Times New Roman" w:hAnsi="Arial"/>
          <w:sz w:val="24"/>
          <w:szCs w:val="24"/>
          <w:lang w:eastAsia="en-GB"/>
        </w:rPr>
        <w:t xml:space="preserve"> Being portion of a purpose-driven, comprehensive community improves association and energises pr</w:t>
      </w:r>
      <w:r>
        <w:rPr>
          <w:rFonts w:ascii="Arial" w:cs="Arial" w:eastAsia="Times New Roman" w:hAnsi="Arial"/>
          <w:sz w:val="24"/>
          <w:szCs w:val="24"/>
          <w:lang w:eastAsia="en-GB"/>
        </w:rPr>
        <w:t>oceeded individual improvement.</w:t>
      </w:r>
    </w:p>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 xml:space="preserve">Additionally, </w:t>
      </w:r>
      <w:r>
        <w:rPr>
          <w:rFonts w:ascii="Arial" w:cs="Arial" w:eastAsia="Times New Roman" w:hAnsi="Arial"/>
          <w:sz w:val="24"/>
          <w:szCs w:val="24"/>
          <w:lang w:eastAsia="en-GB"/>
        </w:rPr>
        <w:t>Diageo’s</w:t>
      </w:r>
      <w:r>
        <w:rPr>
          <w:rFonts w:ascii="Arial" w:cs="Arial" w:eastAsia="Times New Roman" w:hAnsi="Arial"/>
          <w:sz w:val="24"/>
          <w:szCs w:val="24"/>
          <w:lang w:eastAsia="en-GB"/>
        </w:rPr>
        <w:t xml:space="preserve"> solid accentuation on authority advancement (e.g., Developing with Diageo programme) would likely empower me to imagine a long-term future with the association.</w:t>
      </w:r>
    </w:p>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Outline</w:t>
      </w:r>
    </w:p>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 xml:space="preserve">If I were utilised at Diageo, I would anticipate a tall level of work fulfilment, solid engagement, and important career movement, much obliged to the </w:t>
      </w:r>
      <w:r>
        <w:rPr>
          <w:rFonts w:ascii="Arial" w:cs="Arial" w:eastAsia="Times New Roman" w:hAnsi="Arial"/>
          <w:sz w:val="24"/>
          <w:szCs w:val="24"/>
          <w:lang w:eastAsia="en-GB"/>
        </w:rPr>
        <w:t>company’s</w:t>
      </w:r>
      <w:r>
        <w:rPr>
          <w:rFonts w:ascii="Arial" w:cs="Arial" w:eastAsia="Times New Roman" w:hAnsi="Arial"/>
          <w:sz w:val="24"/>
          <w:szCs w:val="24"/>
          <w:lang w:eastAsia="en-GB"/>
        </w:rPr>
        <w:t xml:space="preserve"> comprehensive values, adaptability, learning culture, and moral environment. </w:t>
      </w:r>
    </w:p>
    <w:bookmarkStart w:id="12" w:name="_Toc216720482"/>
    <w:p>
      <w:pPr>
        <w:pStyle w:val="style1"/>
        <w:spacing w:after="240"/>
        <w:rPr>
          <w:rFonts w:ascii="Arial" w:cs="Arial" w:eastAsia="Times New Roman" w:hAnsi="Arial"/>
          <w:color w:val="auto"/>
          <w:lang w:eastAsia="en-GB"/>
        </w:rPr>
      </w:pPr>
      <w:r>
        <w:rPr>
          <w:rFonts w:ascii="Arial" w:cs="Arial" w:eastAsia="Times New Roman" w:hAnsi="Arial"/>
          <w:color w:val="auto"/>
          <w:lang w:eastAsia="en-GB"/>
        </w:rPr>
        <w:t>7. Recommendations</w:t>
      </w:r>
      <w:bookmarkEnd w:id="12"/>
    </w:p>
    <w:bookmarkStart w:id="13" w:name="_Toc216720483"/>
    <w:p>
      <w:pPr>
        <w:pStyle w:val="style2"/>
        <w:spacing w:after="240"/>
        <w:rPr>
          <w:rFonts w:ascii="Arial" w:cs="Arial" w:eastAsia="Times New Roman" w:hAnsi="Arial"/>
          <w:color w:val="auto"/>
          <w:lang w:eastAsia="en-GB"/>
        </w:rPr>
      </w:pPr>
      <w:r>
        <w:rPr>
          <w:rFonts w:ascii="Arial" w:cs="Arial" w:eastAsia="Times New Roman" w:hAnsi="Arial"/>
          <w:color w:val="auto"/>
          <w:lang w:eastAsia="en-GB"/>
        </w:rPr>
        <w:t>7.1. Enhancing Organisational Culture</w:t>
      </w:r>
      <w:bookmarkEnd w:id="13"/>
    </w:p>
    <w:p>
      <w:pPr>
        <w:pStyle w:val="style0"/>
        <w:spacing w:before="240" w:after="240"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 xml:space="preserve">In spite of the fact that Diageo illustrates a solid and comprehensive culture, it can advance advantage from creating a </w:t>
      </w:r>
      <w:r>
        <w:rPr>
          <w:rFonts w:ascii="Arial" w:cs="Arial" w:eastAsia="Times New Roman" w:hAnsi="Arial"/>
          <w:sz w:val="24"/>
          <w:szCs w:val="24"/>
          <w:lang w:eastAsia="en-GB"/>
        </w:rPr>
        <w:t>sprier</w:t>
      </w:r>
      <w:r>
        <w:rPr>
          <w:rFonts w:ascii="Arial" w:cs="Arial" w:eastAsia="Times New Roman" w:hAnsi="Arial"/>
          <w:sz w:val="24"/>
          <w:szCs w:val="24"/>
          <w:lang w:eastAsia="en-GB"/>
        </w:rPr>
        <w:t xml:space="preserve"> and versatile culture, especially in reaction to fast-changing show</w:t>
      </w:r>
      <w:r>
        <w:rPr>
          <w:rFonts w:ascii="Arial" w:cs="Arial" w:eastAsia="Times New Roman" w:hAnsi="Arial"/>
          <w:sz w:val="24"/>
          <w:szCs w:val="24"/>
          <w:lang w:eastAsia="en-GB"/>
        </w:rPr>
        <w:t>case requests. Utilising Schein’</w:t>
      </w:r>
      <w:r>
        <w:rPr>
          <w:rFonts w:ascii="Arial" w:cs="Arial" w:eastAsia="Times New Roman" w:hAnsi="Arial"/>
          <w:sz w:val="24"/>
          <w:szCs w:val="24"/>
          <w:lang w:eastAsia="en-GB"/>
        </w:rPr>
        <w:t>s Authoritative Culture Show (2010), Diageo ought to strengthen values such as speed, development, and responsiveness at the antique and embraced esteem levels. Preparing programmes ought to underscore plan considering and dexterous administration, particularly for centre supervisors, to decrease bureaucracy and progress decision-making speed.</w:t>
      </w:r>
      <w:r>
        <w:rPr>
          <w:rFonts w:ascii="Arial" w:cs="Arial" w:eastAsia="Times New Roman" w:hAnsi="Arial"/>
          <w:sz w:val="24"/>
          <w:szCs w:val="24"/>
          <w:lang w:eastAsia="en-GB"/>
        </w:rPr>
        <w:t xml:space="preserve"> </w:t>
      </w:r>
      <w:r>
        <w:rPr>
          <w:rFonts w:ascii="Arial" w:cs="Arial" w:eastAsia="Times New Roman" w:hAnsi="Arial"/>
          <w:sz w:val="24"/>
          <w:szCs w:val="24"/>
          <w:lang w:eastAsia="en-GB"/>
        </w:rPr>
        <w:t xml:space="preserve">Diageo needs to introduce formalized processes of twice loop learning to make the organization culturally agile so that teams can challenge the underlying assumptions instead of only improving what already works </w:t>
      </w:r>
      <w:r>
        <w:rPr>
          <w:rFonts w:ascii="Arial" w:cs="Arial" w:eastAsia="Times New Roman" w:hAnsi="Arial"/>
          <w:sz w:val="24"/>
          <w:szCs w:val="24"/>
          <w:lang w:eastAsia="en-GB"/>
        </w:rPr>
        <w:t>(Choudhury, 2023)</w:t>
      </w:r>
      <w:r>
        <w:rPr>
          <w:rFonts w:ascii="Arial" w:cs="Arial" w:eastAsia="Times New Roman" w:hAnsi="Arial"/>
          <w:sz w:val="24"/>
          <w:szCs w:val="24"/>
          <w:lang w:eastAsia="en-GB"/>
        </w:rPr>
        <w:t xml:space="preserve">. This would enhance flexibility in dynamic markets. Moreover, the company must consider implementing empirically validated instruments of </w:t>
      </w:r>
      <w:r>
        <w:rPr>
          <w:rFonts w:ascii="Arial" w:cs="Arial" w:eastAsia="Times New Roman" w:hAnsi="Arial"/>
          <w:sz w:val="24"/>
          <w:szCs w:val="24"/>
          <w:lang w:eastAsia="en-GB"/>
        </w:rPr>
        <w:t xml:space="preserve">workload evaluation, including the Demand-Control-Support model, in order to systematically discover the areas of pressure and pre-tune interventions </w:t>
      </w:r>
      <w:r>
        <w:rPr>
          <w:rFonts w:ascii="Arial" w:cs="Arial" w:eastAsia="Times New Roman" w:hAnsi="Arial"/>
          <w:sz w:val="24"/>
          <w:szCs w:val="24"/>
          <w:lang w:eastAsia="en-GB"/>
        </w:rPr>
        <w:t>(Addai et al., 2023)</w:t>
      </w:r>
      <w:r>
        <w:rPr>
          <w:rFonts w:ascii="Arial" w:cs="Arial" w:eastAsia="Times New Roman" w:hAnsi="Arial"/>
          <w:sz w:val="24"/>
          <w:szCs w:val="24"/>
          <w:lang w:eastAsia="en-GB"/>
        </w:rPr>
        <w:t>.</w:t>
      </w:r>
    </w:p>
    <w:bookmarkStart w:id="14" w:name="_Toc216720484"/>
    <w:p>
      <w:pPr>
        <w:pStyle w:val="style2"/>
        <w:spacing w:before="240"/>
        <w:rPr>
          <w:rFonts w:ascii="Arial" w:cs="Arial" w:eastAsia="Times New Roman" w:hAnsi="Arial"/>
          <w:color w:val="auto"/>
          <w:lang w:eastAsia="en-GB"/>
        </w:rPr>
      </w:pPr>
      <w:r>
        <w:rPr>
          <w:rFonts w:ascii="Arial" w:cs="Arial" w:eastAsia="Times New Roman" w:hAnsi="Arial"/>
          <w:color w:val="auto"/>
          <w:lang w:eastAsia="en-GB"/>
        </w:rPr>
        <w:t>7.2. Im</w:t>
      </w:r>
      <w:r>
        <w:rPr>
          <w:rFonts w:ascii="Arial" w:cs="Arial" w:eastAsia="Times New Roman" w:hAnsi="Arial"/>
          <w:color w:val="auto"/>
          <w:lang w:eastAsia="en-GB"/>
        </w:rPr>
        <w:t>proving the Working Environment</w:t>
      </w:r>
      <w:bookmarkEnd w:id="14"/>
    </w:p>
    <w:p>
      <w:pPr>
        <w:pStyle w:val="style0"/>
        <w:spacing w:before="240" w:lineRule="auto" w:line="360"/>
        <w:jc w:val="both"/>
        <w:rPr>
          <w:rFonts w:ascii="Arial" w:cs="Arial" w:eastAsia="Times New Roman" w:hAnsi="Arial"/>
          <w:color w:val="ee0000"/>
          <w:sz w:val="24"/>
          <w:szCs w:val="24"/>
          <w:lang w:eastAsia="en-GB"/>
        </w:rPr>
      </w:pPr>
      <w:r>
        <w:rPr>
          <w:rFonts w:ascii="Arial" w:cs="Arial" w:eastAsia="Times New Roman" w:hAnsi="Arial"/>
          <w:sz w:val="24"/>
          <w:szCs w:val="24"/>
          <w:lang w:eastAsia="en-GB"/>
        </w:rPr>
        <w:t>Based on the Work Demands-Resources (JD-R) Show, Diageo can way better oversee work-related push by upgrading work assets (e.g., back, independence) and decreasing over the top requests (e.g., workload from rebuilding). A key suggestion is to execute workload-balancing apparatuses and mental wellbeing reviews in high-pressure offices. Growing cross breed alternatives, where doable, can increment independence and adaptability, encourage boosting engagement.</w:t>
      </w:r>
      <w:r>
        <w:rPr>
          <w:rFonts w:ascii="Arial" w:cs="Arial" w:eastAsia="Times New Roman" w:hAnsi="Arial"/>
          <w:sz w:val="24"/>
          <w:szCs w:val="24"/>
          <w:lang w:eastAsia="en-GB"/>
        </w:rPr>
        <w:t xml:space="preserve"> </w:t>
      </w:r>
      <w:r>
        <w:rPr>
          <w:rFonts w:ascii="Arial" w:cs="Arial" w:eastAsia="Times New Roman" w:hAnsi="Arial"/>
          <w:sz w:val="24"/>
          <w:szCs w:val="24"/>
          <w:lang w:eastAsia="en-GB"/>
        </w:rPr>
        <w:t xml:space="preserve">In a bid to make the inclusion experience fair, Diageo ought to institute regional inclusion audits and therefore, empower its local leaders to contextualise global policies. The working environment would be reinforced even further by strengthening the managerial training in terms of hybrid leadership, empathetic communication, and psychological safety. Lastly, the implementation of sustainability KPIs in the performance management systems would also ensure alignment of the </w:t>
      </w:r>
      <w:r>
        <w:rPr>
          <w:rFonts w:ascii="Arial" w:cs="Arial" w:eastAsia="Times New Roman" w:hAnsi="Arial"/>
          <w:sz w:val="24"/>
          <w:szCs w:val="24"/>
          <w:lang w:eastAsia="en-GB"/>
        </w:rPr>
        <w:t>day-to-day</w:t>
      </w:r>
      <w:r>
        <w:rPr>
          <w:rFonts w:ascii="Arial" w:cs="Arial" w:eastAsia="Times New Roman" w:hAnsi="Arial"/>
          <w:sz w:val="24"/>
          <w:szCs w:val="24"/>
          <w:lang w:eastAsia="en-GB"/>
        </w:rPr>
        <w:t xml:space="preserve"> practice with strategic goals in the long term.</w:t>
      </w:r>
    </w:p>
    <w:bookmarkStart w:id="15" w:name="_Toc216720485"/>
    <w:p>
      <w:pPr>
        <w:pStyle w:val="style2"/>
        <w:spacing w:after="240"/>
        <w:rPr>
          <w:rFonts w:ascii="Arial" w:cs="Arial" w:eastAsia="Times New Roman" w:hAnsi="Arial"/>
          <w:color w:val="auto"/>
          <w:lang w:eastAsia="en-GB"/>
        </w:rPr>
      </w:pPr>
      <w:r>
        <w:rPr>
          <w:rFonts w:ascii="Arial" w:cs="Arial" w:eastAsia="Times New Roman" w:hAnsi="Arial"/>
          <w:color w:val="auto"/>
          <w:lang w:eastAsia="en-GB"/>
        </w:rPr>
        <w:t>7.3. Implementation Plan</w:t>
      </w:r>
      <w:bookmarkEnd w:id="15"/>
    </w:p>
    <w:p>
      <w:pPr>
        <w:pStyle w:val="style0"/>
        <w:spacing w:after="240" w:lineRule="auto" w:line="360"/>
        <w:jc w:val="both"/>
        <w:rPr>
          <w:rFonts w:ascii="Arial" w:cs="Arial" w:eastAsia="Times New Roman" w:hAnsi="Arial"/>
          <w:b/>
          <w:sz w:val="24"/>
          <w:szCs w:val="24"/>
          <w:lang w:eastAsia="en-GB"/>
        </w:rPr>
      </w:pPr>
      <w:r>
        <w:rPr>
          <w:rFonts w:ascii="Arial" w:cs="Arial" w:eastAsia="Times New Roman" w:hAnsi="Arial"/>
          <w:b/>
          <w:sz w:val="24"/>
          <w:szCs w:val="24"/>
          <w:lang w:eastAsia="en-GB"/>
        </w:rPr>
        <w:t>Short-Term (0-6 months):</w:t>
      </w:r>
    </w:p>
    <w:p>
      <w:pPr>
        <w:pStyle w:val="style179"/>
        <w:numPr>
          <w:ilvl w:val="0"/>
          <w:numId w:val="14"/>
        </w:numPr>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Dispatch administration workshops on dexter</w:t>
      </w:r>
      <w:r>
        <w:rPr>
          <w:rFonts w:ascii="Arial" w:cs="Arial" w:eastAsia="Times New Roman" w:hAnsi="Arial"/>
          <w:sz w:val="24"/>
          <w:szCs w:val="24"/>
          <w:lang w:eastAsia="en-GB"/>
        </w:rPr>
        <w:t>ous culture and decision-making</w:t>
      </w:r>
    </w:p>
    <w:p>
      <w:pPr>
        <w:pStyle w:val="style179"/>
        <w:numPr>
          <w:ilvl w:val="0"/>
          <w:numId w:val="14"/>
        </w:numPr>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Conduct mental w</w:t>
      </w:r>
      <w:r>
        <w:rPr>
          <w:rFonts w:ascii="Arial" w:cs="Arial" w:eastAsia="Times New Roman" w:hAnsi="Arial"/>
          <w:sz w:val="24"/>
          <w:szCs w:val="24"/>
          <w:lang w:eastAsia="en-GB"/>
        </w:rPr>
        <w:t>ellbeing and workload overviews</w:t>
      </w:r>
    </w:p>
    <w:p>
      <w:pPr>
        <w:pStyle w:val="style179"/>
        <w:numPr>
          <w:ilvl w:val="0"/>
          <w:numId w:val="14"/>
        </w:numPr>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Present input circ</w:t>
      </w:r>
      <w:r>
        <w:rPr>
          <w:rFonts w:ascii="Arial" w:cs="Arial" w:eastAsia="Times New Roman" w:hAnsi="Arial"/>
          <w:sz w:val="24"/>
          <w:szCs w:val="24"/>
          <w:lang w:eastAsia="en-GB"/>
        </w:rPr>
        <w:t>les for crossover work adequacy</w:t>
      </w:r>
    </w:p>
    <w:p>
      <w:pPr>
        <w:pStyle w:val="style179"/>
        <w:numPr>
          <w:ilvl w:val="0"/>
          <w:numId w:val="14"/>
        </w:numPr>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 xml:space="preserve">Name cross-functional </w:t>
      </w:r>
      <w:r>
        <w:rPr>
          <w:rFonts w:ascii="Arial" w:cs="Arial" w:eastAsia="Times New Roman" w:hAnsi="Arial"/>
          <w:sz w:val="24"/>
          <w:szCs w:val="24"/>
          <w:lang w:eastAsia="en-GB"/>
        </w:rPr>
        <w:t xml:space="preserve">culture </w:t>
      </w:r>
      <w:r>
        <w:rPr>
          <w:rFonts w:ascii="Arial" w:cs="Arial" w:eastAsia="Times New Roman" w:hAnsi="Arial"/>
          <w:sz w:val="24"/>
          <w:szCs w:val="24"/>
          <w:lang w:eastAsia="en-GB"/>
        </w:rPr>
        <w:t>champions to show modern practises</w:t>
      </w:r>
    </w:p>
    <w:p>
      <w:pPr>
        <w:pStyle w:val="style0"/>
        <w:spacing w:lineRule="auto" w:line="360"/>
        <w:jc w:val="both"/>
        <w:rPr>
          <w:rFonts w:ascii="Arial" w:cs="Arial" w:eastAsia="Times New Roman" w:hAnsi="Arial"/>
          <w:b/>
          <w:sz w:val="24"/>
          <w:szCs w:val="24"/>
          <w:lang w:eastAsia="en-GB"/>
        </w:rPr>
      </w:pPr>
      <w:r>
        <w:rPr>
          <w:rFonts w:ascii="Arial" w:cs="Arial" w:eastAsia="Times New Roman" w:hAnsi="Arial"/>
          <w:b/>
          <w:sz w:val="24"/>
          <w:szCs w:val="24"/>
          <w:lang w:eastAsia="en-GB"/>
        </w:rPr>
        <w:t>Long-Ter</w:t>
      </w:r>
      <w:r>
        <w:rPr>
          <w:rFonts w:ascii="Arial" w:cs="Arial" w:eastAsia="Times New Roman" w:hAnsi="Arial"/>
          <w:b/>
          <w:sz w:val="24"/>
          <w:szCs w:val="24"/>
          <w:lang w:eastAsia="en-GB"/>
        </w:rPr>
        <w:t>m (6-24 months):</w:t>
      </w:r>
    </w:p>
    <w:p>
      <w:pPr>
        <w:pStyle w:val="style179"/>
        <w:numPr>
          <w:ilvl w:val="0"/>
          <w:numId w:val="15"/>
        </w:numPr>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Coordinated dexterous values into e</w:t>
      </w:r>
      <w:r>
        <w:rPr>
          <w:rFonts w:ascii="Arial" w:cs="Arial" w:eastAsia="Times New Roman" w:hAnsi="Arial"/>
          <w:sz w:val="24"/>
          <w:szCs w:val="24"/>
          <w:lang w:eastAsia="en-GB"/>
        </w:rPr>
        <w:t>xecution examination frameworks</w:t>
      </w:r>
    </w:p>
    <w:p>
      <w:pPr>
        <w:pStyle w:val="style179"/>
        <w:numPr>
          <w:ilvl w:val="0"/>
          <w:numId w:val="15"/>
        </w:numPr>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Update work parts with clear impro</w:t>
      </w:r>
      <w:r>
        <w:rPr>
          <w:rFonts w:ascii="Arial" w:cs="Arial" w:eastAsia="Times New Roman" w:hAnsi="Arial"/>
          <w:sz w:val="24"/>
          <w:szCs w:val="24"/>
          <w:lang w:eastAsia="en-GB"/>
        </w:rPr>
        <w:t>vement ways and asset arranging</w:t>
      </w:r>
    </w:p>
    <w:p>
      <w:pPr>
        <w:pStyle w:val="style179"/>
        <w:numPr>
          <w:ilvl w:val="0"/>
          <w:numId w:val="15"/>
        </w:numPr>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Build up yearly culture reviews and represe</w:t>
      </w:r>
      <w:r>
        <w:rPr>
          <w:rFonts w:ascii="Arial" w:cs="Arial" w:eastAsia="Times New Roman" w:hAnsi="Arial"/>
          <w:sz w:val="24"/>
          <w:szCs w:val="24"/>
          <w:lang w:eastAsia="en-GB"/>
        </w:rPr>
        <w:t>ntative engagement benchmarking</w:t>
      </w:r>
    </w:p>
    <w:p>
      <w:pPr>
        <w:pStyle w:val="style0"/>
        <w:spacing w:lineRule="auto" w:line="360"/>
        <w:jc w:val="both"/>
        <w:rPr>
          <w:rFonts w:ascii="Arial" w:cs="Arial" w:eastAsia="Times New Roman" w:hAnsi="Arial"/>
          <w:b/>
          <w:sz w:val="24"/>
          <w:szCs w:val="24"/>
          <w:lang w:eastAsia="en-GB"/>
        </w:rPr>
      </w:pPr>
    </w:p>
    <w:p>
      <w:pPr>
        <w:pStyle w:val="style0"/>
        <w:spacing w:lineRule="auto" w:line="360"/>
        <w:jc w:val="both"/>
        <w:rPr>
          <w:rFonts w:ascii="Arial" w:cs="Arial" w:eastAsia="Times New Roman" w:hAnsi="Arial"/>
          <w:b/>
          <w:sz w:val="24"/>
          <w:szCs w:val="24"/>
          <w:lang w:eastAsia="en-GB"/>
        </w:rPr>
      </w:pPr>
      <w:r>
        <w:rPr>
          <w:rFonts w:ascii="Arial" w:cs="Arial" w:eastAsia="Times New Roman" w:hAnsi="Arial"/>
          <w:b/>
          <w:sz w:val="24"/>
          <w:szCs w:val="24"/>
          <w:lang w:eastAsia="en-GB"/>
        </w:rPr>
        <w:t>Metrics for Success:</w:t>
      </w:r>
    </w:p>
    <w:p>
      <w:pPr>
        <w:pStyle w:val="style179"/>
        <w:numPr>
          <w:ilvl w:val="0"/>
          <w:numId w:val="16"/>
        </w:numPr>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 xml:space="preserve">Representative engagement score </w:t>
      </w:r>
      <w:r>
        <w:rPr>
          <w:rFonts w:ascii="Arial" w:cs="Arial" w:eastAsia="Times New Roman" w:hAnsi="Arial"/>
          <w:sz w:val="24"/>
          <w:szCs w:val="24"/>
          <w:lang w:eastAsia="en-GB"/>
        </w:rPr>
        <w:t>change (through yearly studies)</w:t>
      </w:r>
    </w:p>
    <w:p>
      <w:pPr>
        <w:pStyle w:val="style179"/>
        <w:numPr>
          <w:ilvl w:val="0"/>
          <w:numId w:val="16"/>
        </w:numPr>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Decrease in turnover rate, pa</w:t>
      </w:r>
      <w:r>
        <w:rPr>
          <w:rFonts w:ascii="Arial" w:cs="Arial" w:eastAsia="Times New Roman" w:hAnsi="Arial"/>
          <w:sz w:val="24"/>
          <w:szCs w:val="24"/>
          <w:lang w:eastAsia="en-GB"/>
        </w:rPr>
        <w:t>rticularly in high-demand parts</w:t>
      </w:r>
    </w:p>
    <w:p>
      <w:pPr>
        <w:pStyle w:val="style179"/>
        <w:numPr>
          <w:ilvl w:val="0"/>
          <w:numId w:val="16"/>
        </w:numPr>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Expanded number of inn</w:t>
      </w:r>
      <w:r>
        <w:rPr>
          <w:rFonts w:ascii="Arial" w:cs="Arial" w:eastAsia="Times New Roman" w:hAnsi="Arial"/>
          <w:sz w:val="24"/>
          <w:szCs w:val="24"/>
          <w:lang w:eastAsia="en-GB"/>
        </w:rPr>
        <w:t>er advancements and portability</w:t>
      </w:r>
    </w:p>
    <w:p>
      <w:pPr>
        <w:pStyle w:val="style179"/>
        <w:numPr>
          <w:ilvl w:val="0"/>
          <w:numId w:val="16"/>
        </w:numPr>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Moved fo</w:t>
      </w:r>
      <w:r>
        <w:rPr>
          <w:rFonts w:ascii="Arial" w:cs="Arial" w:eastAsia="Times New Roman" w:hAnsi="Arial"/>
          <w:sz w:val="24"/>
          <w:szCs w:val="24"/>
          <w:lang w:eastAsia="en-GB"/>
        </w:rPr>
        <w:t>rward mental wellbeing and work life</w:t>
      </w:r>
      <w:r>
        <w:rPr>
          <w:rFonts w:ascii="Arial" w:cs="Arial" w:eastAsia="Times New Roman" w:hAnsi="Arial"/>
          <w:sz w:val="24"/>
          <w:szCs w:val="24"/>
          <w:lang w:eastAsia="en-GB"/>
        </w:rPr>
        <w:t xml:space="preserve"> adjust evaluations in criticis</w:t>
      </w:r>
      <w:r>
        <w:rPr>
          <w:rFonts w:ascii="Arial" w:cs="Arial" w:eastAsia="Times New Roman" w:hAnsi="Arial"/>
          <w:sz w:val="24"/>
          <w:szCs w:val="24"/>
          <w:lang w:eastAsia="en-GB"/>
        </w:rPr>
        <w:t>m reports</w:t>
      </w:r>
    </w:p>
    <w:p>
      <w:pPr>
        <w:pStyle w:val="style0"/>
        <w:spacing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By adjusting these steps with hypothesis and prove, Diageo can future-proof its authoritative culture and guarantee a working environment that proceeds to back vital development.</w:t>
      </w: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rPr>
          <w:rFonts w:ascii="Arial" w:cs="Arial" w:eastAsia="Times New Roman" w:hAnsi="Arial"/>
          <w:sz w:val="32"/>
          <w:szCs w:val="32"/>
          <w:lang w:eastAsia="en-GB"/>
        </w:rPr>
      </w:pPr>
      <w:r>
        <w:rPr>
          <w:rFonts w:ascii="Arial" w:cs="Arial" w:eastAsia="Times New Roman" w:hAnsi="Arial"/>
          <w:lang w:eastAsia="en-GB"/>
        </w:rPr>
        <w:br w:type="page"/>
      </w:r>
    </w:p>
    <w:bookmarkStart w:id="16" w:name="_Toc216720486"/>
    <w:p>
      <w:pPr>
        <w:pStyle w:val="style1"/>
        <w:spacing w:after="240"/>
        <w:rPr>
          <w:rFonts w:ascii="Arial" w:cs="Arial" w:eastAsia="Times New Roman" w:hAnsi="Arial"/>
          <w:color w:val="auto"/>
          <w:lang w:eastAsia="en-GB"/>
        </w:rPr>
      </w:pPr>
      <w:r>
        <w:rPr>
          <w:rFonts w:ascii="Arial" w:cs="Arial" w:eastAsia="Times New Roman" w:hAnsi="Arial"/>
          <w:color w:val="auto"/>
          <w:lang w:eastAsia="en-GB"/>
        </w:rPr>
        <w:t>8. Conclusion</w:t>
      </w:r>
      <w:bookmarkEnd w:id="16"/>
    </w:p>
    <w:p>
      <w:pPr>
        <w:pStyle w:val="style0"/>
        <w:spacing w:after="240" w:lineRule="auto" w:line="360"/>
        <w:jc w:val="both"/>
        <w:rPr>
          <w:rFonts w:ascii="Arial" w:cs="Arial" w:eastAsia="Times New Roman" w:hAnsi="Arial"/>
          <w:sz w:val="24"/>
          <w:szCs w:val="24"/>
          <w:lang w:eastAsia="en-GB"/>
        </w:rPr>
      </w:pPr>
      <w:r>
        <w:rPr>
          <w:rFonts w:ascii="Arial" w:cs="Arial" w:eastAsia="Times New Roman" w:hAnsi="Arial"/>
          <w:sz w:val="24"/>
          <w:szCs w:val="24"/>
          <w:lang w:eastAsia="en-GB"/>
        </w:rPr>
        <w:t>This report has inspected Diageo’s authoritative culture and working environment, highlighting its qualities in consideration, development, and representative prosperity. Utilising hypothetical models, the examination affirms that Diageo’s culture and working environment hones are well-aligned with its vital objectives, especially in maintainability, differing qualities, and worldwide brand administration. Be that as it may, ranges like dexterity and workload administration require encourage consideration. Adjusting authoritative culture and environment with methodology is fundamental for long-term victory. Diageo’s commitment to human capital improvement positions it as a forward-thinking manager, able of sustaining ability whereas adjusting to an ever-changing worldwide trade scene.</w:t>
      </w: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p>
      <w:pPr>
        <w:pStyle w:val="style0"/>
        <w:spacing w:lineRule="auto" w:line="360"/>
        <w:jc w:val="both"/>
        <w:rPr>
          <w:rFonts w:ascii="Arial" w:cs="Arial" w:eastAsia="Times New Roman" w:hAnsi="Arial"/>
          <w:sz w:val="24"/>
          <w:szCs w:val="24"/>
          <w:lang w:eastAsia="en-GB"/>
        </w:rPr>
      </w:pPr>
    </w:p>
    <w:bookmarkStart w:id="17" w:name="_Toc216720487"/>
    <w:p>
      <w:pPr>
        <w:pStyle w:val="style1"/>
        <w:spacing w:after="240"/>
        <w:rPr>
          <w:rFonts w:ascii="Arial" w:cs="Arial" w:eastAsia="Times New Roman" w:hAnsi="Arial"/>
          <w:color w:val="auto"/>
          <w:lang w:eastAsia="en-GB"/>
        </w:rPr>
      </w:pPr>
      <w:r>
        <w:rPr>
          <w:rFonts w:ascii="Arial" w:cs="Arial" w:eastAsia="Times New Roman" w:hAnsi="Arial"/>
          <w:color w:val="auto"/>
          <w:lang w:eastAsia="en-GB"/>
        </w:rPr>
        <w:t>9. References</w:t>
      </w:r>
      <w:bookmarkEnd w:id="17"/>
    </w:p>
    <w:p>
      <w:pPr>
        <w:pStyle w:val="style94"/>
        <w:numPr>
          <w:ilvl w:val="0"/>
          <w:numId w:val="18"/>
        </w:numPr>
        <w:spacing w:before="0" w:beforeAutospacing="false" w:after="240" w:afterAutospacing="false" w:lineRule="auto" w:line="360"/>
        <w:rPr>
          <w:rFonts w:ascii="Arial" w:cs="Arial" w:eastAsia="Calibri" w:hAnsi="Arial"/>
          <w:sz w:val="22"/>
          <w:szCs w:val="22"/>
          <w:lang w:eastAsia="en-US"/>
        </w:rPr>
      </w:pPr>
      <w:r>
        <w:rPr>
          <w:rFonts w:ascii="Arial" w:cs="Arial" w:eastAsia="Calibri" w:hAnsi="Arial"/>
          <w:sz w:val="22"/>
          <w:szCs w:val="22"/>
          <w:lang w:eastAsia="en-US"/>
        </w:rPr>
        <w:t xml:space="preserve">Addai, P., Asiedu, E., Afia Nyarko Boakye and Bright </w:t>
      </w:r>
      <w:r>
        <w:rPr>
          <w:rFonts w:ascii="Arial" w:cs="Arial" w:eastAsia="Calibri" w:hAnsi="Arial"/>
          <w:sz w:val="22"/>
          <w:szCs w:val="22"/>
          <w:lang w:eastAsia="en-US"/>
        </w:rPr>
        <w:t>Kumardzi</w:t>
      </w:r>
      <w:r>
        <w:rPr>
          <w:rFonts w:ascii="Arial" w:cs="Arial" w:eastAsia="Calibri" w:hAnsi="Arial"/>
          <w:sz w:val="22"/>
          <w:szCs w:val="22"/>
          <w:lang w:eastAsia="en-US"/>
        </w:rPr>
        <w:t xml:space="preserve"> (2023). Ethical Leadership and Creativity Among Employees: Does Leadership Trust and Organizational Climate Matter? SEISENSE business review, 3(1), pp.62–75. </w:t>
      </w:r>
      <w:r>
        <w:rPr>
          <w:rFonts w:ascii="Arial" w:cs="Arial" w:eastAsia="Calibri" w:hAnsi="Arial"/>
          <w:sz w:val="22"/>
          <w:szCs w:val="22"/>
          <w:lang w:eastAsia="en-US"/>
        </w:rPr>
        <w:t>doi</w:t>
      </w:r>
      <w:r>
        <w:rPr>
          <w:rFonts w:ascii="Arial" w:cs="Arial" w:eastAsia="Calibri" w:hAnsi="Arial"/>
          <w:sz w:val="22"/>
          <w:szCs w:val="22"/>
          <w:lang w:eastAsia="en-US"/>
        </w:rPr>
        <w:t>:</w:t>
      </w:r>
      <w:r>
        <w:rPr>
          <w:rFonts w:ascii="Arial" w:cs="Arial" w:eastAsia="Calibri" w:hAnsi="Arial"/>
          <w:sz w:val="22"/>
          <w:szCs w:val="22"/>
          <w:lang w:eastAsia="en-US"/>
        </w:rPr>
        <w:t xml:space="preserve"> </w:t>
      </w:r>
      <w:r>
        <w:rPr>
          <w:rFonts w:ascii="Arial" w:cs="Arial" w:eastAsia="Calibri" w:hAnsi="Arial"/>
          <w:sz w:val="22"/>
          <w:szCs w:val="22"/>
          <w:lang w:eastAsia="en-US"/>
        </w:rPr>
        <w:t>https://doi.org/10.33215/1584bf55.</w:t>
      </w:r>
    </w:p>
    <w:p>
      <w:pPr>
        <w:pStyle w:val="style179"/>
        <w:numPr>
          <w:ilvl w:val="0"/>
          <w:numId w:val="18"/>
        </w:numPr>
        <w:spacing w:lineRule="auto" w:line="360"/>
        <w:jc w:val="both"/>
        <w:rPr>
          <w:rFonts w:ascii="Arial" w:cs="Arial" w:hAnsi="Arial"/>
        </w:rPr>
      </w:pPr>
      <w:r>
        <w:rPr>
          <w:rFonts w:ascii="Arial" w:cs="Arial" w:hAnsi="Arial"/>
        </w:rPr>
        <w:t>AmbitionBox</w:t>
      </w:r>
      <w:r>
        <w:rPr>
          <w:rFonts w:ascii="Arial" w:cs="Arial" w:hAnsi="Arial"/>
        </w:rPr>
        <w:t>, 2024. Diageo Reviews and Work Environment. [online] Available at: https://www.ambitionbox.com/reviews/diageo-work-environment-reviews-157091 [Accessed 5 July 2025].</w:t>
      </w:r>
    </w:p>
    <w:p>
      <w:pPr>
        <w:pStyle w:val="style94"/>
        <w:numPr>
          <w:ilvl w:val="0"/>
          <w:numId w:val="18"/>
        </w:numPr>
        <w:spacing w:before="0" w:beforeAutospacing="false" w:after="240" w:afterAutospacing="false" w:lineRule="auto" w:line="360"/>
        <w:rPr>
          <w:rFonts w:ascii="Arial" w:cs="Arial" w:eastAsia="Calibri" w:hAnsi="Arial"/>
          <w:sz w:val="22"/>
          <w:szCs w:val="22"/>
          <w:lang w:eastAsia="en-US"/>
        </w:rPr>
      </w:pPr>
      <w:r>
        <w:rPr>
          <w:rFonts w:ascii="Arial" w:cs="Arial" w:eastAsia="Calibri" w:hAnsi="Arial"/>
          <w:sz w:val="22"/>
          <w:szCs w:val="22"/>
          <w:lang w:eastAsia="en-US"/>
        </w:rPr>
        <w:t xml:space="preserve">Bakker, A., Demerouti, E. and Sanz-Vergel, A. (2023). Job Demands–Resources Theory: Ten years later. Annual Review of Organizational Psychology and Organizational </w:t>
      </w:r>
      <w:r>
        <w:rPr>
          <w:rFonts w:ascii="Arial" w:cs="Arial" w:eastAsia="Calibri" w:hAnsi="Arial"/>
          <w:sz w:val="22"/>
          <w:szCs w:val="22"/>
          <w:lang w:eastAsia="en-US"/>
        </w:rPr>
        <w:t>Behavior</w:t>
      </w:r>
      <w:r>
        <w:rPr>
          <w:rFonts w:ascii="Arial" w:cs="Arial" w:eastAsia="Calibri" w:hAnsi="Arial"/>
          <w:sz w:val="22"/>
          <w:szCs w:val="22"/>
          <w:lang w:eastAsia="en-US"/>
        </w:rPr>
        <w:t xml:space="preserve">, 10(1), pp.25–53. </w:t>
      </w:r>
      <w:r>
        <w:rPr>
          <w:rFonts w:ascii="Arial" w:cs="Arial" w:eastAsia="Calibri" w:hAnsi="Arial"/>
          <w:sz w:val="22"/>
          <w:szCs w:val="22"/>
          <w:lang w:eastAsia="en-US"/>
        </w:rPr>
        <w:t>doi</w:t>
      </w:r>
      <w:r>
        <w:rPr>
          <w:rFonts w:ascii="Arial" w:cs="Arial" w:eastAsia="Calibri" w:hAnsi="Arial"/>
          <w:sz w:val="22"/>
          <w:szCs w:val="22"/>
          <w:lang w:eastAsia="en-US"/>
        </w:rPr>
        <w:t>:</w:t>
      </w:r>
      <w:r>
        <w:rPr>
          <w:rFonts w:ascii="Arial" w:cs="Arial" w:eastAsia="Calibri" w:hAnsi="Arial"/>
          <w:sz w:val="22"/>
          <w:szCs w:val="22"/>
          <w:lang w:eastAsia="en-US"/>
        </w:rPr>
        <w:t xml:space="preserve"> </w:t>
      </w:r>
      <w:r>
        <w:rPr>
          <w:rFonts w:ascii="Arial" w:cs="Arial" w:eastAsia="Calibri" w:hAnsi="Arial"/>
          <w:sz w:val="22"/>
          <w:szCs w:val="22"/>
          <w:lang w:eastAsia="en-US"/>
        </w:rPr>
        <w:t>https://doi.org/10.1146/annurev-orgpsych-120920-053933.</w:t>
      </w:r>
    </w:p>
    <w:p>
      <w:pPr>
        <w:pStyle w:val="style179"/>
        <w:numPr>
          <w:ilvl w:val="0"/>
          <w:numId w:val="18"/>
        </w:numPr>
        <w:spacing w:after="240" w:lineRule="auto" w:line="360"/>
        <w:jc w:val="both"/>
        <w:rPr>
          <w:rFonts w:ascii="Arial" w:cs="Arial" w:hAnsi="Arial"/>
        </w:rPr>
      </w:pPr>
      <w:r>
        <w:rPr>
          <w:rFonts w:ascii="Arial" w:cs="Arial" w:hAnsi="Arial"/>
        </w:rPr>
        <w:t xml:space="preserve">Bassett-Jones, N. and Lloyd, G.C., 2005. Does Herzberg’s motivation theory have staying power? </w:t>
      </w:r>
      <w:r>
        <w:rPr>
          <w:rStyle w:val="style88"/>
          <w:rFonts w:ascii="Arial" w:cs="Arial" w:hAnsi="Arial"/>
        </w:rPr>
        <w:t>Journal of Management Development</w:t>
      </w:r>
      <w:r>
        <w:rPr>
          <w:rFonts w:ascii="Arial" w:cs="Arial" w:hAnsi="Arial"/>
        </w:rPr>
        <w:t>, 24(10), pp.929-943.</w:t>
      </w:r>
    </w:p>
    <w:p>
      <w:pPr>
        <w:pStyle w:val="style179"/>
        <w:numPr>
          <w:ilvl w:val="0"/>
          <w:numId w:val="18"/>
        </w:numPr>
        <w:spacing w:after="240" w:lineRule="auto" w:line="360"/>
        <w:jc w:val="both"/>
        <w:rPr>
          <w:rFonts w:ascii="Arial" w:cs="Arial" w:hAnsi="Arial"/>
        </w:rPr>
      </w:pPr>
      <w:r>
        <w:rPr>
          <w:rFonts w:ascii="Arial" w:cs="Arial" w:hAnsi="Arial"/>
        </w:rPr>
        <w:t>Beer, M., 2009. High Commitment, High Performance: How to Build a Resilient Organization for Sustained Advantage. Jossey-Bass, San Francisco.</w:t>
      </w:r>
    </w:p>
    <w:p>
      <w:pPr>
        <w:pStyle w:val="style94"/>
        <w:numPr>
          <w:ilvl w:val="0"/>
          <w:numId w:val="18"/>
        </w:numPr>
        <w:spacing w:before="0" w:beforeAutospacing="false" w:after="240" w:afterAutospacing="false" w:lineRule="auto" w:line="360"/>
        <w:rPr>
          <w:rFonts w:ascii="Arial" w:cs="Arial" w:eastAsia="Calibri" w:hAnsi="Arial"/>
          <w:sz w:val="22"/>
          <w:szCs w:val="22"/>
          <w:lang w:eastAsia="en-US"/>
        </w:rPr>
      </w:pPr>
      <w:r>
        <w:rPr>
          <w:rFonts w:ascii="Arial" w:cs="Arial" w:eastAsia="Calibri" w:hAnsi="Arial"/>
          <w:sz w:val="22"/>
          <w:szCs w:val="22"/>
          <w:lang w:eastAsia="en-US"/>
        </w:rPr>
        <w:t xml:space="preserve">Choudhury (2023). </w:t>
      </w:r>
      <w:r>
        <w:rPr>
          <w:rFonts w:ascii="Arial" w:cs="Arial" w:eastAsia="Calibri" w:hAnsi="Arial"/>
          <w:sz w:val="22"/>
          <w:szCs w:val="22"/>
          <w:lang w:eastAsia="en-US"/>
        </w:rPr>
        <w:t>Prithwiraj</w:t>
      </w:r>
      <w:r>
        <w:rPr>
          <w:rFonts w:ascii="Arial" w:cs="Arial" w:eastAsia="Calibri" w:hAnsi="Arial"/>
          <w:sz w:val="22"/>
          <w:szCs w:val="22"/>
          <w:lang w:eastAsia="en-US"/>
        </w:rPr>
        <w:t xml:space="preserve"> Choudhury on the Future of Remote Work. [online] www.hks.harvard.edu. Available at: https://www.hks.harvard.edu/centers/mrcbg/programs/growthpolicy/prithwiraj-choudhury-future-remote-work.</w:t>
      </w:r>
    </w:p>
    <w:p>
      <w:pPr>
        <w:pStyle w:val="style179"/>
        <w:numPr>
          <w:ilvl w:val="0"/>
          <w:numId w:val="18"/>
        </w:numPr>
        <w:spacing w:lineRule="auto" w:line="360"/>
        <w:jc w:val="both"/>
        <w:rPr>
          <w:rFonts w:ascii="Arial" w:cs="Arial" w:hAnsi="Arial"/>
        </w:rPr>
      </w:pPr>
      <w:r>
        <w:rPr>
          <w:rFonts w:ascii="Arial" w:cs="Arial" w:hAnsi="Arial"/>
        </w:rPr>
        <w:t xml:space="preserve">Daft, R.L., 2016. </w:t>
      </w:r>
      <w:r>
        <w:rPr>
          <w:rStyle w:val="style88"/>
          <w:rFonts w:ascii="Arial" w:cs="Arial" w:hAnsi="Arial"/>
        </w:rPr>
        <w:t>Organization Theory and Design</w:t>
      </w:r>
      <w:r>
        <w:rPr>
          <w:rFonts w:ascii="Arial" w:cs="Arial" w:hAnsi="Arial"/>
        </w:rPr>
        <w:t>. 12th ed. Boston: Cengage Learning.</w:t>
      </w:r>
    </w:p>
    <w:p>
      <w:pPr>
        <w:pStyle w:val="style179"/>
        <w:numPr>
          <w:ilvl w:val="0"/>
          <w:numId w:val="18"/>
        </w:numPr>
        <w:spacing w:lineRule="auto" w:line="360"/>
        <w:jc w:val="both"/>
        <w:rPr>
          <w:rFonts w:ascii="Arial" w:cs="Arial" w:hAnsi="Arial"/>
        </w:rPr>
      </w:pPr>
      <w:r>
        <w:rPr>
          <w:rFonts w:ascii="Arial" w:cs="Arial" w:hAnsi="Arial"/>
        </w:rPr>
        <w:t xml:space="preserve">Deci, E.L. and Ryan, R.M., 1985. Intrinsic motivation and self-determination in human </w:t>
      </w:r>
      <w:r>
        <w:rPr>
          <w:rFonts w:ascii="Arial" w:cs="Arial" w:hAnsi="Arial"/>
        </w:rPr>
        <w:t>behavior</w:t>
      </w:r>
      <w:r>
        <w:rPr>
          <w:rFonts w:ascii="Arial" w:cs="Arial" w:hAnsi="Arial"/>
        </w:rPr>
        <w:t>. New York: Plenum.</w:t>
      </w:r>
    </w:p>
    <w:p>
      <w:pPr>
        <w:pStyle w:val="style179"/>
        <w:numPr>
          <w:ilvl w:val="0"/>
          <w:numId w:val="18"/>
        </w:numPr>
        <w:spacing w:lineRule="auto" w:line="360"/>
        <w:jc w:val="both"/>
        <w:rPr>
          <w:rFonts w:ascii="Arial" w:cs="Arial" w:hAnsi="Arial"/>
        </w:rPr>
      </w:pPr>
      <w:r>
        <w:rPr>
          <w:rFonts w:ascii="Arial" w:cs="Arial" w:hAnsi="Arial"/>
        </w:rPr>
        <w:t xml:space="preserve">Diageo plc, 2023. </w:t>
      </w:r>
      <w:r>
        <w:rPr>
          <w:rStyle w:val="style88"/>
          <w:rFonts w:ascii="Arial" w:cs="Arial" w:hAnsi="Arial"/>
        </w:rPr>
        <w:t>Annual Report 2023</w:t>
      </w:r>
      <w:r>
        <w:rPr>
          <w:rFonts w:ascii="Arial" w:cs="Arial" w:hAnsi="Arial"/>
        </w:rPr>
        <w:t>. [online] Available at: https://www.diageo.com/en/investors/financial-results-and-presentations [Accessed 5 July 2025].</w:t>
      </w:r>
    </w:p>
    <w:p>
      <w:pPr>
        <w:pStyle w:val="style179"/>
        <w:numPr>
          <w:ilvl w:val="0"/>
          <w:numId w:val="18"/>
        </w:numPr>
        <w:spacing w:lineRule="auto" w:line="360"/>
        <w:jc w:val="both"/>
        <w:rPr>
          <w:rFonts w:ascii="Arial" w:cs="Arial" w:hAnsi="Arial"/>
        </w:rPr>
      </w:pPr>
      <w:r>
        <w:rPr>
          <w:rFonts w:ascii="Arial" w:cs="Arial" w:hAnsi="Arial"/>
        </w:rPr>
        <w:t xml:space="preserve">Diageo plc, 2023. </w:t>
      </w:r>
      <w:r>
        <w:rPr>
          <w:rStyle w:val="style88"/>
          <w:rFonts w:ascii="Arial" w:cs="Arial" w:hAnsi="Arial"/>
        </w:rPr>
        <w:t>Society 2030: Spirit of Progress</w:t>
      </w:r>
      <w:r>
        <w:rPr>
          <w:rFonts w:ascii="Arial" w:cs="Arial" w:hAnsi="Arial"/>
        </w:rPr>
        <w:t>. [online] Available at: https://www.diageo.com/en/society-2030 [Accessed 5 July 2025].</w:t>
      </w:r>
    </w:p>
    <w:p>
      <w:pPr>
        <w:pStyle w:val="style179"/>
        <w:numPr>
          <w:ilvl w:val="0"/>
          <w:numId w:val="18"/>
        </w:numPr>
        <w:spacing w:lineRule="auto" w:line="360"/>
        <w:jc w:val="both"/>
        <w:rPr>
          <w:rFonts w:ascii="Arial" w:cs="Arial" w:hAnsi="Arial"/>
        </w:rPr>
      </w:pPr>
      <w:r>
        <w:rPr>
          <w:rFonts w:ascii="Arial" w:cs="Arial" w:hAnsi="Arial"/>
        </w:rPr>
        <w:t xml:space="preserve">Diageo plc, 2024. </w:t>
      </w:r>
      <w:r>
        <w:rPr>
          <w:rStyle w:val="style88"/>
          <w:rFonts w:ascii="Arial" w:cs="Arial" w:hAnsi="Arial"/>
        </w:rPr>
        <w:t>Diversity &amp; Inclusion Report 2024</w:t>
      </w:r>
      <w:r>
        <w:rPr>
          <w:rFonts w:ascii="Arial" w:cs="Arial" w:hAnsi="Arial"/>
        </w:rPr>
        <w:t>. [online] Available at: https://www.diageo.com/en/diversity-inclusion [Accessed 5 July 2025].</w:t>
      </w:r>
    </w:p>
    <w:p>
      <w:pPr>
        <w:pStyle w:val="style179"/>
        <w:numPr>
          <w:ilvl w:val="0"/>
          <w:numId w:val="18"/>
        </w:numPr>
        <w:spacing w:lineRule="auto" w:line="360"/>
        <w:jc w:val="both"/>
        <w:rPr>
          <w:rFonts w:ascii="Arial" w:cs="Arial" w:hAnsi="Arial"/>
        </w:rPr>
      </w:pPr>
      <w:r>
        <w:rPr>
          <w:rFonts w:ascii="Arial" w:cs="Arial" w:hAnsi="Arial"/>
        </w:rPr>
        <w:t xml:space="preserve">FT (Financial Times), 2024. Diageo leads on diversity in UK boardrooms. </w:t>
      </w:r>
      <w:r>
        <w:rPr>
          <w:rStyle w:val="style88"/>
          <w:rFonts w:ascii="Arial" w:cs="Arial" w:hAnsi="Arial"/>
        </w:rPr>
        <w:t>Financial Times</w:t>
      </w:r>
      <w:r>
        <w:rPr>
          <w:rFonts w:ascii="Arial" w:cs="Arial" w:hAnsi="Arial"/>
        </w:rPr>
        <w:t>, 20 March. [online] Available at: https://www.ft.com/content/9ad7b5e8-0071-40e3-bfdc-55f007aea38e [Accessed 5 July 2025].</w:t>
      </w:r>
    </w:p>
    <w:p>
      <w:pPr>
        <w:pStyle w:val="style94"/>
        <w:numPr>
          <w:ilvl w:val="0"/>
          <w:numId w:val="18"/>
        </w:numPr>
        <w:spacing w:before="0" w:beforeAutospacing="false" w:after="240" w:afterAutospacing="false" w:lineRule="auto" w:line="360"/>
        <w:rPr>
          <w:rFonts w:ascii="Arial" w:cs="Arial" w:eastAsia="Calibri" w:hAnsi="Arial"/>
          <w:sz w:val="22"/>
          <w:szCs w:val="22"/>
          <w:lang w:eastAsia="en-US"/>
        </w:rPr>
      </w:pPr>
      <w:r>
        <w:rPr>
          <w:rFonts w:ascii="Arial" w:cs="Arial" w:eastAsia="Calibri" w:hAnsi="Arial"/>
          <w:sz w:val="22"/>
          <w:szCs w:val="22"/>
          <w:lang w:eastAsia="en-US"/>
        </w:rPr>
        <w:t xml:space="preserve">Gaur, J. and </w:t>
      </w:r>
      <w:r>
        <w:rPr>
          <w:rFonts w:ascii="Arial" w:cs="Arial" w:eastAsia="Calibri" w:hAnsi="Arial"/>
          <w:sz w:val="22"/>
          <w:szCs w:val="22"/>
          <w:lang w:eastAsia="en-US"/>
        </w:rPr>
        <w:t>tarkar</w:t>
      </w:r>
      <w:r>
        <w:rPr>
          <w:rFonts w:ascii="Arial" w:cs="Arial" w:eastAsia="Calibri" w:hAnsi="Arial"/>
          <w:sz w:val="22"/>
          <w:szCs w:val="22"/>
          <w:lang w:eastAsia="en-US"/>
        </w:rPr>
        <w:t xml:space="preserve">, </w:t>
      </w:r>
      <w:r>
        <w:rPr>
          <w:rFonts w:ascii="Arial" w:cs="Arial" w:eastAsia="Calibri" w:hAnsi="Arial"/>
          <w:sz w:val="22"/>
          <w:szCs w:val="22"/>
          <w:lang w:eastAsia="en-US"/>
        </w:rPr>
        <w:t>preeti</w:t>
      </w:r>
      <w:r>
        <w:rPr>
          <w:rFonts w:ascii="Arial" w:cs="Arial" w:eastAsia="Calibri" w:hAnsi="Arial"/>
          <w:sz w:val="22"/>
          <w:szCs w:val="22"/>
          <w:lang w:eastAsia="en-US"/>
        </w:rPr>
        <w:t xml:space="preserve"> (2025). Relationship Between Work life Balance with Job Satisfaction in Organization: A Systematic Review of the Empirical Research. Management, (1), pp.826–855. </w:t>
      </w:r>
      <w:r>
        <w:rPr>
          <w:rFonts w:ascii="Arial" w:cs="Arial" w:eastAsia="Calibri" w:hAnsi="Arial"/>
          <w:sz w:val="22"/>
          <w:szCs w:val="22"/>
          <w:lang w:eastAsia="en-US"/>
        </w:rPr>
        <w:t>doi:https</w:t>
      </w:r>
      <w:r>
        <w:rPr>
          <w:rFonts w:ascii="Arial" w:cs="Arial" w:eastAsia="Calibri" w:hAnsi="Arial"/>
          <w:sz w:val="22"/>
          <w:szCs w:val="22"/>
          <w:lang w:eastAsia="en-US"/>
        </w:rPr>
        <w:t>://doi.org/10.58691/man/207992</w:t>
      </w:r>
      <w:r>
        <w:rPr>
          <w:rFonts w:ascii="Arial" w:cs="Arial" w:eastAsia="Calibri" w:hAnsi="Arial"/>
          <w:sz w:val="22"/>
          <w:szCs w:val="22"/>
          <w:lang w:eastAsia="en-US"/>
        </w:rPr>
        <w:t>.</w:t>
      </w:r>
    </w:p>
    <w:p>
      <w:pPr>
        <w:pStyle w:val="style179"/>
        <w:numPr>
          <w:ilvl w:val="0"/>
          <w:numId w:val="18"/>
        </w:numPr>
        <w:spacing w:lineRule="auto" w:line="360"/>
        <w:jc w:val="both"/>
        <w:rPr>
          <w:rFonts w:ascii="Arial" w:cs="Arial" w:hAnsi="Arial"/>
        </w:rPr>
      </w:pPr>
      <w:r>
        <w:rPr>
          <w:rFonts w:ascii="Arial" w:cs="Arial" w:hAnsi="Arial"/>
        </w:rPr>
        <w:t>Glassdoor, 2024. Diageo Employee Reviews. [online] Available at: https://www.glassdoor.com/Reviews/Diageo-reviews-SRCH_KE0,6.htm [Accessed 5 July 2025].</w:t>
      </w:r>
    </w:p>
    <w:p>
      <w:pPr>
        <w:pStyle w:val="style179"/>
        <w:numPr>
          <w:ilvl w:val="0"/>
          <w:numId w:val="18"/>
        </w:numPr>
        <w:spacing w:lineRule="auto" w:line="360"/>
        <w:jc w:val="both"/>
        <w:rPr>
          <w:rFonts w:ascii="Arial" w:cs="Arial" w:hAnsi="Arial"/>
        </w:rPr>
      </w:pPr>
      <w:r>
        <w:rPr>
          <w:rFonts w:ascii="Arial" w:cs="Arial" w:hAnsi="Arial"/>
        </w:rPr>
        <w:t xml:space="preserve">Hackman, J.R. and Oldham, G.R., 1976. Motivation through the design of work: Test of a theory. </w:t>
      </w:r>
      <w:r>
        <w:rPr>
          <w:rStyle w:val="style88"/>
          <w:rFonts w:ascii="Arial" w:cs="Arial" w:hAnsi="Arial"/>
        </w:rPr>
        <w:t xml:space="preserve">Organizational </w:t>
      </w:r>
      <w:r>
        <w:rPr>
          <w:rStyle w:val="style88"/>
          <w:rFonts w:ascii="Arial" w:cs="Arial" w:hAnsi="Arial"/>
        </w:rPr>
        <w:t>Behavior</w:t>
      </w:r>
      <w:r>
        <w:rPr>
          <w:rStyle w:val="style88"/>
          <w:rFonts w:ascii="Arial" w:cs="Arial" w:hAnsi="Arial"/>
        </w:rPr>
        <w:t xml:space="preserve"> and Human Performance</w:t>
      </w:r>
      <w:r>
        <w:rPr>
          <w:rFonts w:ascii="Arial" w:cs="Arial" w:hAnsi="Arial"/>
        </w:rPr>
        <w:t>, 16(2), pp.250-279.</w:t>
      </w:r>
    </w:p>
    <w:p>
      <w:pPr>
        <w:pStyle w:val="style179"/>
        <w:numPr>
          <w:ilvl w:val="0"/>
          <w:numId w:val="18"/>
        </w:numPr>
        <w:spacing w:lineRule="auto" w:line="360"/>
        <w:jc w:val="both"/>
        <w:rPr>
          <w:rFonts w:ascii="Arial" w:cs="Arial" w:hAnsi="Arial"/>
        </w:rPr>
      </w:pPr>
      <w:r>
        <w:rPr>
          <w:rFonts w:ascii="Arial" w:cs="Arial" w:hAnsi="Arial"/>
        </w:rPr>
        <w:t xml:space="preserve">Harvard Business Review, 2022. Building agile cultures that can thrive. [online] Available at: </w:t>
      </w:r>
      <w:r>
        <w:rPr/>
        <w:fldChar w:fldCharType="begin"/>
      </w:r>
      <w:r>
        <w:instrText xml:space="preserve"> HYPERLINK "https://hbr.org/2022/09/building-agile-cultures-that-can-thrive" \t "_new" </w:instrText>
      </w:r>
      <w:r>
        <w:rPr/>
        <w:fldChar w:fldCharType="separate"/>
      </w:r>
      <w:r>
        <w:rPr>
          <w:rStyle w:val="style85"/>
          <w:rFonts w:ascii="Arial" w:cs="Arial" w:hAnsi="Arial"/>
          <w:color w:val="auto"/>
        </w:rPr>
        <w:t>https://hbr.org/2022/09/building-agile-cultures-that-can-thrive</w:t>
      </w:r>
      <w:r>
        <w:rPr/>
        <w:fldChar w:fldCharType="end"/>
      </w:r>
      <w:r>
        <w:rPr>
          <w:rFonts w:ascii="Arial" w:cs="Arial" w:hAnsi="Arial"/>
        </w:rPr>
        <w:t xml:space="preserve"> [Accessed 5 July 2025].</w:t>
      </w:r>
    </w:p>
    <w:p>
      <w:pPr>
        <w:pStyle w:val="style179"/>
        <w:numPr>
          <w:ilvl w:val="0"/>
          <w:numId w:val="18"/>
        </w:numPr>
        <w:spacing w:lineRule="auto" w:line="360"/>
        <w:jc w:val="both"/>
        <w:rPr>
          <w:rFonts w:ascii="Arial" w:cs="Arial" w:hAnsi="Arial"/>
        </w:rPr>
      </w:pPr>
      <w:r>
        <w:rPr>
          <w:rFonts w:ascii="Arial" w:cs="Arial" w:hAnsi="Arial"/>
        </w:rPr>
        <w:t xml:space="preserve">Hofstede, G., Hofstede, G.J. and Minkov, M., 2010. </w:t>
      </w:r>
      <w:r>
        <w:rPr>
          <w:rStyle w:val="style88"/>
          <w:rFonts w:ascii="Arial" w:cs="Arial" w:hAnsi="Arial"/>
        </w:rPr>
        <w:t>Cultures and Organizations: Software of the Mind</w:t>
      </w:r>
      <w:r>
        <w:rPr>
          <w:rFonts w:ascii="Arial" w:cs="Arial" w:hAnsi="Arial"/>
        </w:rPr>
        <w:t>. 3rd ed. New York: McGraw-Hill.</w:t>
      </w:r>
    </w:p>
    <w:p>
      <w:pPr>
        <w:pStyle w:val="style179"/>
        <w:numPr>
          <w:ilvl w:val="0"/>
          <w:numId w:val="18"/>
        </w:numPr>
        <w:spacing w:lineRule="auto" w:line="360"/>
        <w:jc w:val="both"/>
        <w:rPr>
          <w:rFonts w:ascii="Arial" w:cs="Arial" w:hAnsi="Arial"/>
        </w:rPr>
      </w:pPr>
      <w:r>
        <w:rPr>
          <w:rFonts w:ascii="Arial" w:cs="Arial" w:hAnsi="Arial"/>
        </w:rPr>
        <w:t xml:space="preserve">Judge, T.A., Bono, J.E., Erez, A. and Locke, E.A., 2005. Core self-evaluations and job and life satisfaction: The role of self-concordance and goal attainment. </w:t>
      </w:r>
      <w:r>
        <w:rPr>
          <w:rStyle w:val="style88"/>
          <w:rFonts w:ascii="Arial" w:cs="Arial" w:hAnsi="Arial"/>
        </w:rPr>
        <w:t>Journal of Applied Psychology</w:t>
      </w:r>
      <w:r>
        <w:rPr>
          <w:rFonts w:ascii="Arial" w:cs="Arial" w:hAnsi="Arial"/>
        </w:rPr>
        <w:t>, 90(2), pp.257-268.</w:t>
      </w:r>
    </w:p>
    <w:p>
      <w:pPr>
        <w:pStyle w:val="style94"/>
        <w:numPr>
          <w:ilvl w:val="0"/>
          <w:numId w:val="18"/>
        </w:numPr>
        <w:spacing w:before="0" w:beforeAutospacing="false" w:after="240" w:afterAutospacing="false" w:lineRule="auto" w:line="360"/>
        <w:rPr>
          <w:rFonts w:ascii="Arial" w:cs="Arial" w:eastAsia="Calibri" w:hAnsi="Arial"/>
          <w:sz w:val="22"/>
          <w:szCs w:val="22"/>
          <w:lang w:eastAsia="en-US"/>
        </w:rPr>
      </w:pPr>
      <w:r>
        <w:rPr>
          <w:rFonts w:ascii="Arial" w:cs="Arial" w:eastAsia="Calibri" w:hAnsi="Arial"/>
          <w:sz w:val="22"/>
          <w:szCs w:val="22"/>
          <w:lang w:eastAsia="en-US"/>
        </w:rPr>
        <w:t xml:space="preserve">Kumar, V. and Reinartz, W. (2021). Customer relationship management - concept, strategy, and tools. Springer-Verlag Berlin </w:t>
      </w:r>
      <w:r>
        <w:rPr>
          <w:rFonts w:ascii="Arial" w:cs="Arial" w:eastAsia="Calibri" w:hAnsi="Arial"/>
          <w:sz w:val="22"/>
          <w:szCs w:val="22"/>
          <w:lang w:eastAsia="en-US"/>
        </w:rPr>
        <w:t>And</w:t>
      </w:r>
      <w:r>
        <w:rPr>
          <w:rFonts w:ascii="Arial" w:cs="Arial" w:eastAsia="Calibri" w:hAnsi="Arial"/>
          <w:sz w:val="22"/>
          <w:szCs w:val="22"/>
          <w:lang w:eastAsia="en-US"/>
        </w:rPr>
        <w:t xml:space="preserve"> Hei.</w:t>
      </w:r>
    </w:p>
    <w:p>
      <w:pPr>
        <w:pStyle w:val="style179"/>
        <w:numPr>
          <w:ilvl w:val="0"/>
          <w:numId w:val="18"/>
        </w:numPr>
        <w:spacing w:lineRule="auto" w:line="360"/>
        <w:jc w:val="both"/>
        <w:rPr>
          <w:rFonts w:ascii="Arial" w:cs="Arial" w:hAnsi="Arial"/>
        </w:rPr>
      </w:pPr>
      <w:r>
        <w:rPr>
          <w:rFonts w:ascii="Arial" w:cs="Arial" w:hAnsi="Arial"/>
        </w:rPr>
        <w:t xml:space="preserve">Maslow, A.H., 1943. A theory of human motivation. </w:t>
      </w:r>
      <w:r>
        <w:rPr>
          <w:rStyle w:val="style88"/>
          <w:rFonts w:ascii="Arial" w:cs="Arial" w:hAnsi="Arial"/>
        </w:rPr>
        <w:t>Psychological Review</w:t>
      </w:r>
      <w:r>
        <w:rPr>
          <w:rFonts w:ascii="Arial" w:cs="Arial" w:hAnsi="Arial"/>
        </w:rPr>
        <w:t>, 50(4), pp.370-396.</w:t>
      </w:r>
    </w:p>
    <w:p>
      <w:pPr>
        <w:pStyle w:val="style94"/>
        <w:numPr>
          <w:ilvl w:val="0"/>
          <w:numId w:val="18"/>
        </w:numPr>
        <w:spacing w:before="0" w:beforeAutospacing="false" w:after="240" w:afterAutospacing="false" w:lineRule="auto" w:line="360"/>
        <w:rPr>
          <w:rFonts w:ascii="Arial" w:cs="Arial" w:eastAsia="Calibri" w:hAnsi="Arial"/>
          <w:sz w:val="22"/>
          <w:szCs w:val="22"/>
          <w:lang w:eastAsia="en-US"/>
        </w:rPr>
      </w:pPr>
      <w:r>
        <w:rPr>
          <w:rFonts w:ascii="Arial" w:cs="Arial" w:eastAsia="Calibri" w:hAnsi="Arial"/>
          <w:sz w:val="22"/>
          <w:szCs w:val="22"/>
          <w:lang w:eastAsia="en-US"/>
        </w:rPr>
        <w:t>McKinsey (2024). How Hybrid Work Has Changed the Way People work, live, and Shop | McKinsey. [online] www.mckinsey.com. Available at: https://www.mckinsey.com/mgi/our-research/empty-spaces-and-hybrid-places-chapter-1.</w:t>
      </w:r>
    </w:p>
    <w:p>
      <w:pPr>
        <w:pStyle w:val="style94"/>
        <w:numPr>
          <w:ilvl w:val="0"/>
          <w:numId w:val="18"/>
        </w:numPr>
        <w:spacing w:before="0" w:beforeAutospacing="false" w:after="240" w:afterAutospacing="false" w:lineRule="auto" w:line="360"/>
        <w:rPr>
          <w:rFonts w:ascii="Arial" w:cs="Arial" w:eastAsia="Calibri" w:hAnsi="Arial"/>
          <w:sz w:val="22"/>
          <w:szCs w:val="22"/>
          <w:lang w:eastAsia="en-US"/>
        </w:rPr>
      </w:pPr>
      <w:r>
        <w:rPr>
          <w:rFonts w:ascii="Arial" w:cs="Arial" w:eastAsia="Calibri" w:hAnsi="Arial"/>
          <w:sz w:val="22"/>
          <w:szCs w:val="22"/>
          <w:lang w:eastAsia="en-US"/>
        </w:rPr>
        <w:t>McSweeney, B. (2022). Hofstede’s Model of National Cultural Differences and Their Consequences: A Triumph of Faith - A Failure of Analysis. Human Relations, 55(1), pp.89–118.</w:t>
      </w:r>
    </w:p>
    <w:p>
      <w:pPr>
        <w:pStyle w:val="style179"/>
        <w:numPr>
          <w:ilvl w:val="0"/>
          <w:numId w:val="18"/>
        </w:numPr>
        <w:spacing w:lineRule="auto" w:line="360"/>
        <w:jc w:val="both"/>
        <w:rPr>
          <w:rFonts w:ascii="Arial" w:cs="Arial" w:hAnsi="Arial"/>
        </w:rPr>
      </w:pPr>
      <w:r>
        <w:rPr>
          <w:rFonts w:ascii="Arial" w:cs="Arial" w:hAnsi="Arial"/>
        </w:rPr>
        <w:t xml:space="preserve">Morgeson, F.P. and Humphrey, S.E., 2006. The Work Design Questionnaire (WDQ): Developing and validating a comprehensive measure for assessing job design and the nature of work. </w:t>
      </w:r>
      <w:r>
        <w:rPr>
          <w:rStyle w:val="style88"/>
          <w:rFonts w:ascii="Arial" w:cs="Arial" w:hAnsi="Arial"/>
        </w:rPr>
        <w:t>Journal of Applied Psychology</w:t>
      </w:r>
      <w:r>
        <w:rPr>
          <w:rFonts w:ascii="Arial" w:cs="Arial" w:hAnsi="Arial"/>
        </w:rPr>
        <w:t>, 91(6), pp.1321-1339.</w:t>
      </w:r>
    </w:p>
    <w:p>
      <w:pPr>
        <w:pStyle w:val="style94"/>
        <w:numPr>
          <w:ilvl w:val="0"/>
          <w:numId w:val="18"/>
        </w:numPr>
        <w:spacing w:before="0" w:beforeAutospacing="false" w:after="240" w:afterAutospacing="false" w:lineRule="auto" w:line="360"/>
        <w:rPr>
          <w:rFonts w:ascii="Arial" w:cs="Arial" w:eastAsia="Calibri" w:hAnsi="Arial"/>
          <w:sz w:val="22"/>
          <w:szCs w:val="22"/>
          <w:lang w:eastAsia="en-US"/>
        </w:rPr>
      </w:pPr>
      <w:r>
        <w:rPr>
          <w:rFonts w:ascii="Arial" w:cs="Arial" w:eastAsia="Calibri" w:hAnsi="Arial"/>
          <w:sz w:val="22"/>
          <w:szCs w:val="22"/>
          <w:lang w:eastAsia="en-US"/>
        </w:rPr>
        <w:t>PwC (2024). Global M&amp;A trends in consumer markets: 2024 outlook | PwC. [online] PwC. Available at: https://www.pwc.com/gx/en/services/deals/trends/2024/consumer-markets.html.</w:t>
      </w:r>
    </w:p>
    <w:p>
      <w:pPr>
        <w:pStyle w:val="style179"/>
        <w:numPr>
          <w:ilvl w:val="0"/>
          <w:numId w:val="18"/>
        </w:numPr>
        <w:spacing w:lineRule="auto" w:line="360"/>
        <w:jc w:val="both"/>
        <w:rPr>
          <w:rFonts w:ascii="Arial" w:cs="Arial" w:hAnsi="Arial"/>
        </w:rPr>
      </w:pPr>
      <w:r>
        <w:rPr>
          <w:rFonts w:ascii="Arial" w:cs="Arial" w:hAnsi="Arial"/>
        </w:rPr>
        <w:t xml:space="preserve">Schein, E.H., 2010. </w:t>
      </w:r>
      <w:r>
        <w:rPr>
          <w:rStyle w:val="style88"/>
          <w:rFonts w:ascii="Arial" w:cs="Arial" w:hAnsi="Arial"/>
        </w:rPr>
        <w:t>Organizational Culture and Leadership</w:t>
      </w:r>
      <w:r>
        <w:rPr>
          <w:rFonts w:ascii="Arial" w:cs="Arial" w:hAnsi="Arial"/>
        </w:rPr>
        <w:t>. 4th ed. San Francisco: Jossey-Bass.</w:t>
      </w:r>
    </w:p>
    <w:p>
      <w:pPr>
        <w:pStyle w:val="style179"/>
        <w:numPr>
          <w:ilvl w:val="0"/>
          <w:numId w:val="18"/>
        </w:numPr>
        <w:spacing w:lineRule="auto" w:line="360"/>
        <w:jc w:val="both"/>
        <w:rPr>
          <w:rFonts w:ascii="Arial" w:cs="Arial" w:hAnsi="Arial"/>
        </w:rPr>
      </w:pPr>
      <w:r>
        <w:rPr>
          <w:rFonts w:ascii="Arial" w:cs="Arial" w:hAnsi="Arial"/>
        </w:rPr>
        <w:t>Society for Human Resource Management (SHRM), 2023. The importance of employee engagement for organizational success. [online] Available at: https://www.shrm.org/resourcesandtools/hr-topics/employee-relations/pages/employee-engagement.aspx [Accessed 5 July 2025].</w:t>
      </w:r>
    </w:p>
    <w:p>
      <w:pPr>
        <w:pStyle w:val="style179"/>
        <w:numPr>
          <w:ilvl w:val="0"/>
          <w:numId w:val="18"/>
        </w:numPr>
        <w:spacing w:lineRule="auto" w:line="360"/>
        <w:jc w:val="both"/>
        <w:rPr>
          <w:rFonts w:ascii="Arial" w:cs="Arial" w:hAnsi="Arial"/>
        </w:rPr>
      </w:pPr>
      <w:r>
        <w:rPr>
          <w:rFonts w:ascii="Arial" w:cs="Arial" w:hAnsi="Arial"/>
        </w:rPr>
        <w:t xml:space="preserve">Taylor, S. and Bowers, D., 1972. </w:t>
      </w:r>
      <w:r>
        <w:rPr>
          <w:rStyle w:val="style88"/>
          <w:rFonts w:ascii="Arial" w:cs="Arial" w:hAnsi="Arial"/>
        </w:rPr>
        <w:t>Survey of Organizations: A Machine-Scored Standardized Questionnaire Instrument</w:t>
      </w:r>
      <w:r>
        <w:rPr>
          <w:rFonts w:ascii="Arial" w:cs="Arial" w:hAnsi="Arial"/>
        </w:rPr>
        <w:t>. Ann Arbor: Institute for Social Research.</w:t>
      </w:r>
    </w:p>
    <w:p>
      <w:pPr>
        <w:pStyle w:val="style179"/>
        <w:numPr>
          <w:ilvl w:val="0"/>
          <w:numId w:val="18"/>
        </w:numPr>
        <w:spacing w:lineRule="auto" w:line="360"/>
        <w:jc w:val="both"/>
        <w:rPr>
          <w:rFonts w:ascii="Arial" w:cs="Arial" w:hAnsi="Arial"/>
        </w:rPr>
      </w:pPr>
      <w:r>
        <w:rPr>
          <w:rFonts w:ascii="Arial" w:cs="Arial" w:hAnsi="Arial"/>
        </w:rPr>
        <w:t xml:space="preserve">Ulrich, D., 1997. </w:t>
      </w:r>
      <w:r>
        <w:rPr>
          <w:rStyle w:val="style88"/>
          <w:rFonts w:ascii="Arial" w:cs="Arial" w:hAnsi="Arial"/>
        </w:rPr>
        <w:t>Human Resource Champions</w:t>
      </w:r>
      <w:r>
        <w:rPr>
          <w:rFonts w:ascii="Arial" w:cs="Arial" w:hAnsi="Arial"/>
        </w:rPr>
        <w:t>. Boston: Harvard Business School Press.</w:t>
      </w:r>
    </w:p>
    <w:p>
      <w:pPr>
        <w:pStyle w:val="style179"/>
        <w:numPr>
          <w:ilvl w:val="0"/>
          <w:numId w:val="18"/>
        </w:numPr>
        <w:spacing w:lineRule="auto" w:line="360"/>
        <w:jc w:val="both"/>
        <w:rPr>
          <w:rFonts w:ascii="Arial" w:cs="Arial" w:hAnsi="Arial"/>
        </w:rPr>
      </w:pPr>
      <w:r>
        <w:rPr>
          <w:rFonts w:ascii="Arial" w:cs="Arial" w:hAnsi="Arial"/>
        </w:rPr>
        <w:t xml:space="preserve">Van De Voorde, K., Paauwe, J. and Van Veldhoven, M., 2012. Employee well-being and the HRM–organizational performance relationship: A review of quantitative studies. </w:t>
      </w:r>
      <w:r>
        <w:rPr>
          <w:rStyle w:val="style88"/>
          <w:rFonts w:ascii="Arial" w:cs="Arial" w:hAnsi="Arial"/>
        </w:rPr>
        <w:t>International Journal of Management Reviews</w:t>
      </w:r>
      <w:r>
        <w:rPr>
          <w:rFonts w:ascii="Arial" w:cs="Arial" w:hAnsi="Arial"/>
        </w:rPr>
        <w:t>, 14(4), pp.391-407.</w:t>
      </w:r>
    </w:p>
    <w:p>
      <w:pPr>
        <w:pStyle w:val="style179"/>
        <w:numPr>
          <w:ilvl w:val="0"/>
          <w:numId w:val="18"/>
        </w:numPr>
        <w:spacing w:lineRule="auto" w:line="360"/>
        <w:jc w:val="both"/>
        <w:rPr>
          <w:rFonts w:ascii="Arial" w:cs="Arial" w:hAnsi="Arial"/>
        </w:rPr>
      </w:pPr>
      <w:r>
        <w:rPr>
          <w:rFonts w:ascii="Arial" w:cs="Arial" w:hAnsi="Arial"/>
        </w:rPr>
        <w:t>World Economic Forum, 2023. The future of work: Hybrid models and employee wellbeing. [online] Available at: https://www.weforum.org/reports/the-future-of-work-hybrid-models [Accessed 5 July 2025].</w:t>
      </w:r>
    </w:p>
    <w:p>
      <w:pPr>
        <w:pStyle w:val="style179"/>
        <w:numPr>
          <w:ilvl w:val="0"/>
          <w:numId w:val="18"/>
        </w:numPr>
        <w:spacing w:lineRule="auto" w:line="360"/>
        <w:jc w:val="both"/>
        <w:rPr>
          <w:rFonts w:ascii="Arial" w:cs="Arial" w:hAnsi="Arial"/>
        </w:rPr>
      </w:pPr>
      <w:r>
        <w:rPr>
          <w:rFonts w:ascii="Arial" w:cs="Arial" w:hAnsi="Arial"/>
        </w:rPr>
        <w:t xml:space="preserve">Wright, T.A. and </w:t>
      </w:r>
      <w:r>
        <w:rPr>
          <w:rFonts w:ascii="Arial" w:cs="Arial" w:hAnsi="Arial"/>
        </w:rPr>
        <w:t>Cropanzano</w:t>
      </w:r>
      <w:r>
        <w:rPr>
          <w:rFonts w:ascii="Arial" w:cs="Arial" w:hAnsi="Arial"/>
        </w:rPr>
        <w:t xml:space="preserve">, R., 2004. The role of psychological well-being in job performance. </w:t>
      </w:r>
      <w:r>
        <w:rPr>
          <w:rStyle w:val="style88"/>
          <w:rFonts w:ascii="Arial" w:cs="Arial" w:hAnsi="Arial"/>
        </w:rPr>
        <w:t>Organizational Dynamics</w:t>
      </w:r>
      <w:r>
        <w:rPr>
          <w:rFonts w:ascii="Arial" w:cs="Arial" w:hAnsi="Arial"/>
        </w:rPr>
        <w:t>, 33(4), pp.338-351.</w:t>
      </w:r>
    </w:p>
    <w:p>
      <w:pPr>
        <w:pStyle w:val="style179"/>
        <w:numPr>
          <w:ilvl w:val="0"/>
          <w:numId w:val="18"/>
        </w:numPr>
        <w:spacing w:lineRule="auto" w:line="360"/>
        <w:jc w:val="both"/>
        <w:rPr>
          <w:rFonts w:ascii="Arial" w:cs="Arial" w:hAnsi="Arial"/>
        </w:rPr>
      </w:pPr>
      <w:r>
        <w:rPr>
          <w:rFonts w:ascii="Arial" w:cs="Arial" w:hAnsi="Arial"/>
        </w:rPr>
        <w:t xml:space="preserve">Yukl, G., 2013. </w:t>
      </w:r>
      <w:r>
        <w:rPr>
          <w:rStyle w:val="style88"/>
          <w:rFonts w:ascii="Arial" w:cs="Arial" w:hAnsi="Arial"/>
        </w:rPr>
        <w:t>Leadership in Organizations</w:t>
      </w:r>
      <w:r>
        <w:rPr>
          <w:rFonts w:ascii="Arial" w:cs="Arial" w:hAnsi="Arial"/>
        </w:rPr>
        <w:t>. 8th ed. Boston: Pearson.</w:t>
      </w:r>
    </w:p>
    <w:p>
      <w:pPr>
        <w:pStyle w:val="style179"/>
        <w:numPr>
          <w:ilvl w:val="0"/>
          <w:numId w:val="18"/>
        </w:numPr>
        <w:spacing w:lineRule="auto" w:line="360"/>
        <w:jc w:val="both"/>
        <w:rPr>
          <w:rFonts w:ascii="Arial" w:cs="Arial" w:hAnsi="Arial"/>
        </w:rPr>
      </w:pPr>
      <w:r>
        <w:rPr>
          <w:rFonts w:ascii="Arial" w:cs="Arial" w:hAnsi="Arial"/>
        </w:rPr>
        <w:t xml:space="preserve">Zeithaml, V.A., Parasuraman, A. and Berry, L.L., 1990. </w:t>
      </w:r>
      <w:r>
        <w:rPr>
          <w:rStyle w:val="style88"/>
          <w:rFonts w:ascii="Arial" w:cs="Arial" w:hAnsi="Arial"/>
        </w:rPr>
        <w:t>Delivering Quality Service: Balancing Customer Perceptions and Expectations</w:t>
      </w:r>
      <w:r>
        <w:rPr>
          <w:rFonts w:ascii="Arial" w:cs="Arial" w:hAnsi="Arial"/>
        </w:rPr>
        <w:t>. New York: Free Press.</w:t>
      </w:r>
    </w:p>
    <w:p>
      <w:pPr>
        <w:pStyle w:val="style0"/>
        <w:rPr>
          <w:rFonts w:ascii="Arial" w:cs="Arial" w:hAnsi="Arial"/>
        </w:rPr>
      </w:pPr>
    </w:p>
    <w:sectPr>
      <w:footerReference w:type="default" r:id="rId9"/>
      <w:pgSz w:w="12240" w:h="15840" w:orient="portrait"/>
      <w:pgMar w:top="1440" w:right="1440" w:bottom="1440" w:left="1440" w:header="720" w:footer="720" w:gutter="0"/>
      <w:pgBorders w:zOrder="front" w:display="allPages" w:offsetFrom="page">
        <w:top w:val="flowersTiny" w:sz="14" w:space="24" w:color="auto"/>
        <w:left w:val="flowersTiny" w:sz="14" w:space="24" w:color="auto"/>
        <w:bottom w:val="flowersTiny" w:sz="14" w:space="24" w:color="auto"/>
        <w:right w:val="flowersTiny" w:sz="1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altName w:val="Wingdings"/>
    <w:panose1 w:val="05000000000000000000"/>
    <w:charset w:val="02"/>
    <w:family w:val="auto"/>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Symbol">
    <w:altName w:val="Symbol"/>
    <w:panose1 w:val="05050102010007020507"/>
    <w:charset w:val="02"/>
    <w:family w:val="roman"/>
    <w:pitch w:val="variable"/>
    <w:sig w:usb0="00000000" w:usb1="10000000" w:usb2="00000000" w:usb3="00000000" w:csb0="80000000" w:csb1="00000000"/>
  </w:font>
  <w:font w:name="Courier New">
    <w:altName w:val="Courier New"/>
    <w:panose1 w:val="02070309020002020404"/>
    <w:charset w:val="00"/>
    <w:family w:val="modern"/>
    <w:pitch w:val="fixed"/>
    <w:sig w:usb0="E0002EFF" w:usb1="C0007843" w:usb2="00000009" w:usb3="00000000" w:csb0="000001FF" w:csb1="00000000"/>
  </w:font>
  <w:font w:name="Calibri">
    <w:altName w:val="Calibri"/>
    <w:panose1 w:val="020f0502020002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altName w:val="Calibri Light"/>
    <w:panose1 w:val="020f0302020002030204"/>
    <w:charset w:val="00"/>
    <w:family w:val="swiss"/>
    <w:pitch w:val="variable"/>
    <w:sig w:usb0="E4002EFF" w:usb1="C0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center"/>
      <w:rPr/>
    </w:pPr>
    <w:r>
      <w:rPr/>
      <w:fldChar w:fldCharType="begin"/>
    </w:r>
    <w:r>
      <w:instrText xml:space="preserve"> PAGE   \* MERGEFORMAT </w:instrText>
    </w:r>
    <w:r>
      <w:rPr/>
      <w:fldChar w:fldCharType="separate"/>
    </w:r>
    <w:r>
      <w:rPr>
        <w:noProof/>
      </w:rPr>
      <w:t>1</w:t>
    </w:r>
    <w:r>
      <w:rPr>
        <w:noProof/>
      </w:rPr>
      <w:fldChar w:fldCharType="end"/>
    </w:r>
  </w:p>
  <w:p>
    <w:pPr>
      <w:pStyle w:val="style0"/>
      <w:pBdr>
        <w:left w:val="nil"/>
        <w:right w:val="nil"/>
        <w:top w:val="nil"/>
        <w:bottom w:val="nil"/>
        <w:between w:val="nil"/>
      </w:pBdr>
      <w:tabs>
        <w:tab w:val="center" w:leader="none" w:pos="4680"/>
        <w:tab w:val="right" w:leader="none" w:pos="9360"/>
      </w:tabs>
      <w:spacing w:after="0" w:lineRule="auto" w:line="240"/>
      <w:rPr>
        <w:color w:val="000000"/>
      </w:rPr>
    </w:pPr>
  </w:p>
</w:ftr>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center"/>
      <w:rPr/>
    </w:pPr>
    <w:r>
      <w:rPr/>
      <w:fldChar w:fldCharType="begin"/>
    </w:r>
    <w:r>
      <w:instrText xml:space="preserve"> PAGE   \* MERGEFORMAT </w:instrText>
    </w:r>
    <w:r>
      <w:rPr/>
      <w:fldChar w:fldCharType="separate"/>
    </w:r>
    <w:r>
      <w:rPr>
        <w:noProof/>
      </w:rPr>
      <w:t>16</w:t>
    </w:r>
    <w:r>
      <w:rPr>
        <w:noProof/>
      </w:rPr>
      <w:fldChar w:fldCharType="end"/>
    </w:r>
  </w:p>
  <w:p>
    <w:pPr>
      <w:pStyle w:val="style0"/>
      <w:pBdr>
        <w:left w:val="nil"/>
        <w:right w:val="nil"/>
        <w:top w:val="nil"/>
        <w:bottom w:val="nil"/>
        <w:between w:val="nil"/>
      </w:pBdr>
      <w:tabs>
        <w:tab w:val="center" w:leader="none" w:pos="4680"/>
        <w:tab w:val="right" w:leader="none" w:pos="9360"/>
      </w:tabs>
      <w:spacing w:after="0" w:lineRule="auto" w:line="240"/>
      <w:rPr>
        <w:color w:val="000000"/>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B3CE76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0000001"/>
    <w:multiLevelType w:val="hybridMultilevel"/>
    <w:tmpl w:val="53A2E8B8"/>
    <w:lvl w:ilvl="0" w:tplc="08090009">
      <w:start w:val="1"/>
      <w:numFmt w:val="bullet"/>
      <w:lvlText w:val=""/>
      <w:lvlJc w:val="left"/>
      <w:pPr>
        <w:ind w:left="720" w:hanging="360"/>
      </w:pPr>
      <w:rPr>
        <w:rFonts w:ascii="Wingdings" w:hAnsi="Wingdings" w:hint="default"/>
      </w:rPr>
    </w:lvl>
    <w:lvl w:ilvl="1" w:tplc="9EC804DE">
      <w:start w:val="1"/>
      <w:numFmt w:val="bullet"/>
      <w:lvlText w:val=""/>
      <w:lvlJc w:val="left"/>
      <w:pPr>
        <w:ind w:left="1440" w:hanging="360"/>
      </w:pPr>
      <w:rPr>
        <w:rFonts w:ascii="Symbol" w:cs="Times New Roman" w:eastAsia="Times New Roman"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0000002"/>
    <w:multiLevelType w:val="hybridMultilevel"/>
    <w:tmpl w:val="0616FB6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0000003"/>
    <w:multiLevelType w:val="hybridMultilevel"/>
    <w:tmpl w:val="B56CA91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0000004"/>
    <w:multiLevelType w:val="hybridMultilevel"/>
    <w:tmpl w:val="ACCC9A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0000005"/>
    <w:multiLevelType w:val="hybridMultilevel"/>
    <w:tmpl w:val="8FFC1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00000006"/>
    <w:multiLevelType w:val="hybridMultilevel"/>
    <w:tmpl w:val="5120AEC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00000007"/>
    <w:multiLevelType w:val="hybridMultilevel"/>
    <w:tmpl w:val="5EEAB0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00000008"/>
    <w:multiLevelType w:val="hybridMultilevel"/>
    <w:tmpl w:val="420C21B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00000009"/>
    <w:multiLevelType w:val="hybridMultilevel"/>
    <w:tmpl w:val="F24CD7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0000000A"/>
    <w:multiLevelType w:val="hybridMultilevel"/>
    <w:tmpl w:val="AEC4060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0000000B"/>
    <w:multiLevelType w:val="hybridMultilevel"/>
    <w:tmpl w:val="9D5EC2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0000000C"/>
    <w:multiLevelType w:val="hybridMultilevel"/>
    <w:tmpl w:val="6C14B6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0000000D"/>
    <w:multiLevelType w:val="hybridMultilevel"/>
    <w:tmpl w:val="9A22A3A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0000000E"/>
    <w:multiLevelType w:val="hybridMultilevel"/>
    <w:tmpl w:val="CF70A0E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0000000F"/>
    <w:multiLevelType w:val="hybridMultilevel"/>
    <w:tmpl w:val="BE32222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00000010"/>
    <w:multiLevelType w:val="hybridMultilevel"/>
    <w:tmpl w:val="4A82B2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00000011"/>
    <w:multiLevelType w:val="hybridMultilevel"/>
    <w:tmpl w:val="F500A0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6"/>
  </w:num>
  <w:num w:numId="3">
    <w:abstractNumId w:val="0"/>
  </w:num>
  <w:num w:numId="4">
    <w:abstractNumId w:val="17"/>
  </w:num>
  <w:num w:numId="5">
    <w:abstractNumId w:val="6"/>
  </w:num>
  <w:num w:numId="6">
    <w:abstractNumId w:val="15"/>
  </w:num>
  <w:num w:numId="7">
    <w:abstractNumId w:val="3"/>
  </w:num>
  <w:num w:numId="8">
    <w:abstractNumId w:val="13"/>
  </w:num>
  <w:num w:numId="9">
    <w:abstractNumId w:val="8"/>
  </w:num>
  <w:num w:numId="10">
    <w:abstractNumId w:val="14"/>
  </w:num>
  <w:num w:numId="11">
    <w:abstractNumId w:val="4"/>
  </w:num>
  <w:num w:numId="12">
    <w:abstractNumId w:val="9"/>
  </w:num>
  <w:num w:numId="13">
    <w:abstractNumId w:val="7"/>
  </w:num>
  <w:num w:numId="14">
    <w:abstractNumId w:val="11"/>
  </w:num>
  <w:num w:numId="15">
    <w:abstractNumId w:val="1"/>
  </w:num>
  <w:num w:numId="16">
    <w:abstractNumId w:val="10"/>
  </w:num>
  <w:num w:numId="17">
    <w:abstractNumId w:val="2"/>
  </w:num>
  <w:num w:numId="18">
    <w:abstractNumId w:val="12"/>
  </w:num>
</w:numbering>
</file>

<file path=word/settings.xml><?xml version="1.0" encoding="utf-8"?>
<w:settings xmlns:w="http://schemas.openxmlformats.org/wordprocessingml/2006/main" xmlns:r="http://schemas.openxmlformats.org/officeDocument/2006/relationships" xmlns:m="http://schemas.openxmlformats.org/officeDocument/2006/math">
  <w:zoom w:percent="7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Vrinda" w:eastAsia="Calibri" w:hAnsi="Calibri"/>
        <w:sz w:val="22"/>
        <w:szCs w:val="22"/>
        <w:lang w:val="en-US" w:bidi="ar-SA" w:eastAsia="en-US"/>
      </w:rPr>
    </w:rPrDefault>
    <w:pPrDefault>
      <w:pPr>
        <w:spacing w:after="160" w:lineRule="auto" w:line="259"/>
      </w:pPr>
    </w:pPrDefault>
  </w:docDefaults>
  <w:style w:type="paragraph" w:default="1" w:styleId="style0">
    <w:name w:val="Normal"/>
    <w:next w:val="style0"/>
    <w:qFormat/>
    <w:pPr/>
    <w:rPr>
      <w:lang w:val="en-GB"/>
    </w:rPr>
  </w:style>
  <w:style w:type="paragraph" w:styleId="style1">
    <w:name w:val="heading 1"/>
    <w:basedOn w:val="style0"/>
    <w:next w:val="style0"/>
    <w:link w:val="style4097"/>
    <w:qFormat/>
    <w:uiPriority w:val="9"/>
    <w:pPr>
      <w:keepNext/>
      <w:keepLines/>
      <w:spacing w:before="240" w:after="0"/>
      <w:outlineLvl w:val="0"/>
    </w:pPr>
    <w:rPr>
      <w:rFonts w:ascii="Calibri Light" w:cs="Vrinda" w:eastAsia="宋体" w:hAnsi="Calibri Light"/>
      <w:color w:val="2e74b5"/>
      <w:sz w:val="32"/>
      <w:szCs w:val="32"/>
    </w:rPr>
  </w:style>
  <w:style w:type="paragraph" w:styleId="style2">
    <w:name w:val="heading 2"/>
    <w:basedOn w:val="style0"/>
    <w:next w:val="style0"/>
    <w:link w:val="style4098"/>
    <w:qFormat/>
    <w:uiPriority w:val="9"/>
    <w:pPr>
      <w:keepNext/>
      <w:keepLines/>
      <w:spacing w:before="40" w:after="0"/>
      <w:outlineLvl w:val="1"/>
    </w:pPr>
    <w:rPr>
      <w:rFonts w:ascii="Calibri Light" w:cs="Vrinda" w:eastAsia="宋体" w:hAnsi="Calibri Light"/>
      <w:color w:val="2e74b5"/>
      <w:sz w:val="26"/>
      <w:szCs w:val="26"/>
    </w:rPr>
  </w:style>
  <w:style w:type="paragraph" w:styleId="style3">
    <w:name w:val="heading 3"/>
    <w:basedOn w:val="style0"/>
    <w:next w:val="style0"/>
    <w:link w:val="style4101"/>
    <w:qFormat/>
    <w:uiPriority w:val="9"/>
    <w:pPr>
      <w:keepNext/>
      <w:keepLines/>
      <w:spacing w:before="40" w:after="0"/>
      <w:outlineLvl w:val="2"/>
    </w:pPr>
    <w:rPr>
      <w:rFonts w:ascii="Calibri Light" w:cs="Vrinda" w:eastAsia="宋体" w:hAnsi="Calibri Light"/>
      <w:color w:val="1f4d78"/>
      <w:sz w:val="24"/>
      <w:szCs w:val="24"/>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11b1c24f-eea5-4661-b8e9-95c02cf5ef20"/>
    <w:basedOn w:val="style65"/>
    <w:next w:val="style4097"/>
    <w:link w:val="style1"/>
    <w:uiPriority w:val="9"/>
    <w:rPr>
      <w:rFonts w:ascii="Calibri Light" w:cs="Vrinda" w:eastAsia="宋体" w:hAnsi="Calibri Light"/>
      <w:color w:val="2e74b5"/>
      <w:sz w:val="32"/>
      <w:szCs w:val="32"/>
      <w:lang w:val="en-GB"/>
    </w:rPr>
  </w:style>
  <w:style w:type="character" w:customStyle="1" w:styleId="style4098">
    <w:name w:val="Heading 2 Char_ead6daaa-ff20-4a7e-af03-e0690c41351f"/>
    <w:basedOn w:val="style65"/>
    <w:next w:val="style4098"/>
    <w:link w:val="style2"/>
    <w:uiPriority w:val="9"/>
    <w:rPr>
      <w:rFonts w:ascii="Calibri Light" w:cs="Vrinda" w:eastAsia="宋体" w:hAnsi="Calibri Light"/>
      <w:color w:val="2e74b5"/>
      <w:sz w:val="26"/>
      <w:szCs w:val="26"/>
      <w:lang w:val="en-GB"/>
    </w:rPr>
  </w:style>
  <w:style w:type="paragraph" w:styleId="style179">
    <w:name w:val="List Paragraph"/>
    <w:basedOn w:val="style0"/>
    <w:next w:val="style179"/>
    <w:qFormat/>
    <w:uiPriority w:val="34"/>
    <w:pPr>
      <w:ind w:left="720"/>
      <w:contextualSpacing/>
    </w:pPr>
    <w:rPr/>
  </w:style>
  <w:style w:type="paragraph" w:styleId="style94">
    <w:name w:val="Normal (Web)"/>
    <w:basedOn w:val="style0"/>
    <w:next w:val="style94"/>
    <w:uiPriority w:val="99"/>
    <w:pPr>
      <w:spacing w:before="100" w:beforeAutospacing="true" w:after="100" w:afterAutospacing="true" w:lineRule="auto" w:line="240"/>
    </w:pPr>
    <w:rPr>
      <w:rFonts w:ascii="Times New Roman" w:cs="Times New Roman" w:eastAsia="Times New Roman" w:hAnsi="Times New Roman"/>
      <w:sz w:val="24"/>
      <w:szCs w:val="24"/>
      <w:lang w:eastAsia="en-GB"/>
    </w:rPr>
  </w:style>
  <w:style w:type="character" w:styleId="style88">
    <w:name w:val="Emphasis"/>
    <w:basedOn w:val="style65"/>
    <w:next w:val="style88"/>
    <w:qFormat/>
    <w:uiPriority w:val="20"/>
    <w:rPr>
      <w:i/>
      <w:iCs/>
    </w:rPr>
  </w:style>
  <w:style w:type="character" w:styleId="style85">
    <w:name w:val="Hyperlink"/>
    <w:basedOn w:val="style65"/>
    <w:next w:val="style85"/>
    <w:uiPriority w:val="99"/>
    <w:rPr>
      <w:color w:val="0000ff"/>
      <w:u w:val="single"/>
    </w:rPr>
  </w:style>
  <w:style w:type="paragraph" w:styleId="style266">
    <w:name w:val="TOC Heading"/>
    <w:basedOn w:val="style1"/>
    <w:next w:val="style0"/>
    <w:qFormat/>
    <w:uiPriority w:val="39"/>
    <w:pPr>
      <w:outlineLvl w:val="9"/>
    </w:pPr>
    <w:rPr>
      <w:lang w:val="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paragraph" w:styleId="style31">
    <w:name w:val="header"/>
    <w:basedOn w:val="style0"/>
    <w:next w:val="style31"/>
    <w:link w:val="style4099"/>
    <w:uiPriority w:val="99"/>
    <w:pPr>
      <w:tabs>
        <w:tab w:val="center" w:leader="none" w:pos="4513"/>
        <w:tab w:val="right" w:leader="none" w:pos="9026"/>
      </w:tabs>
      <w:spacing w:after="0" w:lineRule="auto" w:line="240"/>
    </w:pPr>
    <w:rPr/>
  </w:style>
  <w:style w:type="character" w:customStyle="1" w:styleId="style4099">
    <w:name w:val="Header Char_a22b9cb8-3fcf-432d-8f3c-1cdb3a684519"/>
    <w:basedOn w:val="style65"/>
    <w:next w:val="style4099"/>
    <w:link w:val="style31"/>
    <w:uiPriority w:val="99"/>
    <w:rPr>
      <w:lang w:val="en-GB"/>
    </w:rPr>
  </w:style>
  <w:style w:type="paragraph" w:styleId="style32">
    <w:name w:val="footer"/>
    <w:basedOn w:val="style0"/>
    <w:next w:val="style32"/>
    <w:link w:val="style4100"/>
    <w:uiPriority w:val="99"/>
    <w:pPr>
      <w:tabs>
        <w:tab w:val="center" w:leader="none" w:pos="4513"/>
        <w:tab w:val="right" w:leader="none" w:pos="9026"/>
      </w:tabs>
      <w:spacing w:after="0" w:lineRule="auto" w:line="240"/>
    </w:pPr>
    <w:rPr/>
  </w:style>
  <w:style w:type="character" w:customStyle="1" w:styleId="style4100">
    <w:name w:val="Footer Char_f7dc2361-ba69-4f1c-8477-8a8d80d588dd"/>
    <w:basedOn w:val="style65"/>
    <w:next w:val="style4100"/>
    <w:link w:val="style32"/>
    <w:uiPriority w:val="99"/>
    <w:rPr>
      <w:lang w:val="en-GB"/>
    </w:r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character" w:customStyle="1" w:styleId="style4101">
    <w:name w:val="Heading 3 Char_116e1ef1-34b7-4ab6-9601-ba10e6dc3879"/>
    <w:basedOn w:val="style65"/>
    <w:next w:val="style4101"/>
    <w:link w:val="style3"/>
    <w:uiPriority w:val="9"/>
    <w:rPr>
      <w:rFonts w:ascii="Calibri Light" w:cs="Vrinda" w:eastAsia="宋体" w:hAnsi="Calibri Light"/>
      <w:color w:val="1f4d78"/>
      <w:sz w:val="24"/>
      <w:szCs w:val="24"/>
      <w:lang w:val="en-GB"/>
    </w:rPr>
  </w:style>
  <w:style w:type="paragraph" w:styleId="style21">
    <w:name w:val="toc 3"/>
    <w:basedOn w:val="style0"/>
    <w:next w:val="style0"/>
    <w:uiPriority w:val="39"/>
    <w:pPr>
      <w:spacing w:after="100"/>
      <w:ind w:left="440"/>
    </w:pPr>
    <w:rPr/>
  </w:style>
  <w:style w:type="paragraph" w:styleId="style34">
    <w:name w:val="caption"/>
    <w:basedOn w:val="style0"/>
    <w:next w:val="style0"/>
    <w:qFormat/>
    <w:uiPriority w:val="35"/>
    <w:pPr>
      <w:spacing w:after="200" w:lineRule="auto" w:line="240"/>
    </w:pPr>
    <w:rPr>
      <w:i/>
      <w:iCs/>
      <w:color w:val="44546a"/>
      <w:sz w:val="18"/>
      <w:szCs w:val="18"/>
    </w:rPr>
  </w:style>
</w:styles>
</file>

<file path=word/_rels/document.xml.rels><?xml version="1.0" encoding="UTF-8"?>
<Relationships xmlns="http://schemas.openxmlformats.org/package/2006/relationships"><Relationship Id="rId11" Type="http://schemas.openxmlformats.org/officeDocument/2006/relationships/fontTable" Target="fontTable.xml"/><Relationship Id="rId10" Type="http://schemas.openxmlformats.org/officeDocument/2006/relationships/styles" Target="styles.xml"/><Relationship Id="rId13" Type="http://schemas.openxmlformats.org/officeDocument/2006/relationships/theme" Target="theme/theme1.xml"/><Relationship Id="rId12" Type="http://schemas.openxmlformats.org/officeDocument/2006/relationships/settings" Target="settings.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footer" Target="footer1.xml"/><Relationship Id="rId9" Type="http://schemas.openxmlformats.org/officeDocument/2006/relationships/footer" Target="footer2.xml"/><Relationship Id="rId15" Type="http://schemas.openxmlformats.org/officeDocument/2006/relationships/customXml" Target="../customXml/item1.xml"/><Relationship Id="rId14" Type="http://schemas.microsoft.com/office/2007/relationships/diagramDrawing" Target="diagrams/drawing1.xml"/><Relationship Id="rId5" Type="http://schemas.openxmlformats.org/officeDocument/2006/relationships/diagramData" Target="diagrams/data1.xml"/><Relationship Id="rId6" Type="http://schemas.openxmlformats.org/officeDocument/2006/relationships/diagramLayout" Target="diagrams/layout1.xml"/><Relationship Id="rId7" Type="http://schemas.openxmlformats.org/officeDocument/2006/relationships/diagramQuickStyle" Target="diagrams/quickStyle1.xml"/><Relationship Id="rId8"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81543C1-FAB0-4E87-951A-748D5A5D1567}"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en-US"/>
        </a:p>
      </dgm:t>
    </dgm:pt>
    <dgm:pt modelId="{831D21AA-8AB9-445D-B89D-7FA03C1C51D1}">
      <dgm:prSet phldrT="[Text]" custT="1"/>
      <dgm:spPr/>
      <dgm:t>
        <a:bodyPr/>
        <a:lstStyle/>
        <a:p>
          <a:r>
            <a:rPr lang="en-US" sz="1000">
              <a:latin typeface="Arial" panose="020B0604020202020204" pitchFamily="34" charset="0"/>
              <a:cs typeface="Arial" panose="020B0604020202020204" pitchFamily="34" charset="0"/>
            </a:rPr>
            <a:t>Supports</a:t>
          </a:r>
        </a:p>
      </dgm:t>
    </dgm:pt>
    <dgm:pt modelId="{46844783-1287-4945-A342-D4D98F898A20}" type="parTrans" cxnId="{51FC84A0-ECB2-49F8-8B17-7B0F207D2B80}">
      <dgm:prSet/>
      <dgm:spPr/>
      <dgm:t>
        <a:bodyPr/>
        <a:lstStyle/>
        <a:p>
          <a:endParaRPr lang="en-US" sz="1000">
            <a:latin typeface="Arial" panose="020B0604020202020204" pitchFamily="34" charset="0"/>
            <a:cs typeface="Arial" panose="020B0604020202020204" pitchFamily="34" charset="0"/>
          </a:endParaRPr>
        </a:p>
      </dgm:t>
    </dgm:pt>
    <dgm:pt modelId="{C56958DB-8561-41A5-8280-4B7A00012A21}" type="sibTrans" cxnId="{51FC84A0-ECB2-49F8-8B17-7B0F207D2B80}">
      <dgm:prSet/>
      <dgm:spPr/>
      <dgm:t>
        <a:bodyPr/>
        <a:lstStyle/>
        <a:p>
          <a:endParaRPr lang="en-US" sz="1000">
            <a:latin typeface="Arial" panose="020B0604020202020204" pitchFamily="34" charset="0"/>
            <a:cs typeface="Arial" panose="020B0604020202020204" pitchFamily="34" charset="0"/>
          </a:endParaRPr>
        </a:p>
      </dgm:t>
    </dgm:pt>
    <dgm:pt modelId="{09F66C8C-CA02-456E-9258-D5A266A88B74}">
      <dgm:prSet custT="1"/>
      <dgm:spPr/>
      <dgm:t>
        <a:bodyPr/>
        <a:lstStyle/>
        <a:p>
          <a:r>
            <a:rPr lang="en-US" sz="1000">
              <a:latin typeface="Arial" panose="020B0604020202020204" pitchFamily="34" charset="0"/>
              <a:cs typeface="Arial" panose="020B0604020202020204" pitchFamily="34" charset="0"/>
            </a:rPr>
            <a:t>Organisational    Culture</a:t>
          </a:r>
        </a:p>
      </dgm:t>
    </dgm:pt>
    <dgm:pt modelId="{98BD7EC0-2331-449D-B75C-D279AB08A80D}" type="parTrans" cxnId="{7D52CD98-CD8B-4AC6-801A-32BEE9E433AF}">
      <dgm:prSet/>
      <dgm:spPr/>
      <dgm:t>
        <a:bodyPr/>
        <a:lstStyle/>
        <a:p>
          <a:endParaRPr lang="en-US" sz="1000">
            <a:latin typeface="Arial" panose="020B0604020202020204" pitchFamily="34" charset="0"/>
            <a:cs typeface="Arial" panose="020B0604020202020204" pitchFamily="34" charset="0"/>
          </a:endParaRPr>
        </a:p>
      </dgm:t>
    </dgm:pt>
    <dgm:pt modelId="{172E47E9-E62D-4FDE-B35E-D10153CD33E2}" type="sibTrans" cxnId="{7D52CD98-CD8B-4AC6-801A-32BEE9E433AF}">
      <dgm:prSet/>
      <dgm:spPr/>
      <dgm:t>
        <a:bodyPr/>
        <a:lstStyle/>
        <a:p>
          <a:endParaRPr lang="en-US" sz="1000">
            <a:latin typeface="Arial" panose="020B0604020202020204" pitchFamily="34" charset="0"/>
            <a:cs typeface="Arial" panose="020B0604020202020204" pitchFamily="34" charset="0"/>
          </a:endParaRPr>
        </a:p>
      </dgm:t>
    </dgm:pt>
    <dgm:pt modelId="{3DA5693C-C623-441D-9B27-52059E128F4F}">
      <dgm:prSet custT="1"/>
      <dgm:spPr/>
      <dgm:t>
        <a:bodyPr/>
        <a:lstStyle/>
        <a:p>
          <a:r>
            <a:rPr lang="en-US" sz="1000">
              <a:latin typeface="Arial" panose="020B0604020202020204" pitchFamily="34" charset="0"/>
              <a:cs typeface="Arial" panose="020B0604020202020204" pitchFamily="34" charset="0"/>
            </a:rPr>
            <a:t>Strategic Goals</a:t>
          </a:r>
        </a:p>
      </dgm:t>
    </dgm:pt>
    <dgm:pt modelId="{F175B332-5D0B-48E1-981D-5001E187A19E}" type="parTrans" cxnId="{666B9C62-4AA3-44FC-9A3E-B3A4B29A5388}">
      <dgm:prSet/>
      <dgm:spPr/>
      <dgm:t>
        <a:bodyPr/>
        <a:lstStyle/>
        <a:p>
          <a:endParaRPr lang="en-US" sz="1000">
            <a:latin typeface="Arial" panose="020B0604020202020204" pitchFamily="34" charset="0"/>
            <a:cs typeface="Arial" panose="020B0604020202020204" pitchFamily="34" charset="0"/>
          </a:endParaRPr>
        </a:p>
      </dgm:t>
    </dgm:pt>
    <dgm:pt modelId="{42AC071F-BA38-46A3-AFDF-BA5245BC4990}" type="sibTrans" cxnId="{666B9C62-4AA3-44FC-9A3E-B3A4B29A5388}">
      <dgm:prSet/>
      <dgm:spPr/>
      <dgm:t>
        <a:bodyPr/>
        <a:lstStyle/>
        <a:p>
          <a:endParaRPr lang="en-US" sz="1000">
            <a:latin typeface="Arial" panose="020B0604020202020204" pitchFamily="34" charset="0"/>
            <a:cs typeface="Arial" panose="020B0604020202020204" pitchFamily="34" charset="0"/>
          </a:endParaRPr>
        </a:p>
      </dgm:t>
    </dgm:pt>
    <dgm:pt modelId="{1DCBEAE6-4CC0-484D-A7FC-65A4D3D2F456}">
      <dgm:prSet custT="1"/>
      <dgm:spPr/>
      <dgm:t>
        <a:bodyPr/>
        <a:lstStyle/>
        <a:p>
          <a:r>
            <a:rPr lang="en-US" sz="1000">
              <a:latin typeface="Arial" panose="020B0604020202020204" pitchFamily="34" charset="0"/>
              <a:cs typeface="Arial" panose="020B0604020202020204" pitchFamily="34" charset="0"/>
            </a:rPr>
            <a:t>Employee Outcomes</a:t>
          </a:r>
        </a:p>
      </dgm:t>
    </dgm:pt>
    <dgm:pt modelId="{17CA89A9-8F3C-497D-A2A4-C9F8BFC2F853}" type="parTrans" cxnId="{286BD602-1B94-4C85-97CF-3E1A665347C1}">
      <dgm:prSet/>
      <dgm:spPr/>
      <dgm:t>
        <a:bodyPr/>
        <a:lstStyle/>
        <a:p>
          <a:endParaRPr lang="en-US" sz="1000">
            <a:latin typeface="Arial" panose="020B0604020202020204" pitchFamily="34" charset="0"/>
            <a:cs typeface="Arial" panose="020B0604020202020204" pitchFamily="34" charset="0"/>
          </a:endParaRPr>
        </a:p>
      </dgm:t>
    </dgm:pt>
    <dgm:pt modelId="{82921510-567E-4618-9200-68C06D6365D3}" type="sibTrans" cxnId="{286BD602-1B94-4C85-97CF-3E1A665347C1}">
      <dgm:prSet/>
      <dgm:spPr/>
      <dgm:t>
        <a:bodyPr/>
        <a:lstStyle/>
        <a:p>
          <a:endParaRPr lang="en-US" sz="1000">
            <a:latin typeface="Arial" panose="020B0604020202020204" pitchFamily="34" charset="0"/>
            <a:cs typeface="Arial" panose="020B0604020202020204" pitchFamily="34" charset="0"/>
          </a:endParaRPr>
        </a:p>
      </dgm:t>
    </dgm:pt>
    <dgm:pt modelId="{9C62B0D0-FE27-481C-B339-DE95194E53C5}">
      <dgm:prSet custT="1"/>
      <dgm:spPr/>
      <dgm:t>
        <a:bodyPr/>
        <a:lstStyle/>
        <a:p>
          <a:r>
            <a:rPr lang="en-US" sz="1000">
              <a:latin typeface="Arial" panose="020B0604020202020204" pitchFamily="34" charset="0"/>
              <a:cs typeface="Arial" panose="020B0604020202020204" pitchFamily="34" charset="0"/>
            </a:rPr>
            <a:t>Working Environment</a:t>
          </a:r>
        </a:p>
      </dgm:t>
    </dgm:pt>
    <dgm:pt modelId="{C5826662-168B-449B-8BB1-09FAF53D920F}" type="parTrans" cxnId="{F47113D2-E1BD-42CB-99E7-23609655A610}">
      <dgm:prSet/>
      <dgm:spPr/>
      <dgm:t>
        <a:bodyPr/>
        <a:lstStyle/>
        <a:p>
          <a:endParaRPr lang="en-US" sz="1000">
            <a:latin typeface="Arial" panose="020B0604020202020204" pitchFamily="34" charset="0"/>
            <a:cs typeface="Arial" panose="020B0604020202020204" pitchFamily="34" charset="0"/>
          </a:endParaRPr>
        </a:p>
      </dgm:t>
    </dgm:pt>
    <dgm:pt modelId="{CF672F20-7847-428B-A383-87F9AF8410AC}" type="sibTrans" cxnId="{F47113D2-E1BD-42CB-99E7-23609655A610}">
      <dgm:prSet/>
      <dgm:spPr/>
      <dgm:t>
        <a:bodyPr/>
        <a:lstStyle/>
        <a:p>
          <a:endParaRPr lang="en-US" sz="1000">
            <a:latin typeface="Arial" panose="020B0604020202020204" pitchFamily="34" charset="0"/>
            <a:cs typeface="Arial" panose="020B0604020202020204" pitchFamily="34" charset="0"/>
          </a:endParaRPr>
        </a:p>
      </dgm:t>
    </dgm:pt>
    <dgm:pt modelId="{CFB13CDE-1430-4304-AB95-8EA7EA0599CA}" type="pres">
      <dgm:prSet presAssocID="{081543C1-FAB0-4E87-951A-748D5A5D1567}" presName="composite" presStyleCnt="0">
        <dgm:presLayoutVars>
          <dgm:chMax val="1"/>
          <dgm:dir/>
          <dgm:resizeHandles val="exact"/>
        </dgm:presLayoutVars>
      </dgm:prSet>
      <dgm:spPr/>
    </dgm:pt>
    <dgm:pt modelId="{9E922413-AD5E-4C4D-8FA4-5D37030B7EB1}" type="pres">
      <dgm:prSet presAssocID="{081543C1-FAB0-4E87-951A-748D5A5D1567}" presName="radial" presStyleCnt="0">
        <dgm:presLayoutVars>
          <dgm:animLvl val="ctr"/>
        </dgm:presLayoutVars>
      </dgm:prSet>
      <dgm:spPr/>
    </dgm:pt>
    <dgm:pt modelId="{D5205583-7CA6-48C8-8D17-3C60819A3199}" type="pres">
      <dgm:prSet presAssocID="{831D21AA-8AB9-445D-B89D-7FA03C1C51D1}" presName="centerShape" presStyleLbl="vennNode1" presStyleIdx="0" presStyleCnt="5"/>
      <dgm:spPr/>
    </dgm:pt>
    <dgm:pt modelId="{CD3A0C5D-87AE-4167-8C77-2412EEE4B942}" type="pres">
      <dgm:prSet presAssocID="{09F66C8C-CA02-456E-9258-D5A266A88B74}" presName="node" presStyleLbl="vennNode1" presStyleIdx="1" presStyleCnt="5">
        <dgm:presLayoutVars>
          <dgm:bulletEnabled val="1"/>
        </dgm:presLayoutVars>
      </dgm:prSet>
      <dgm:spPr/>
    </dgm:pt>
    <dgm:pt modelId="{DD78290C-3ED2-407F-9B79-6AB482705CE0}" type="pres">
      <dgm:prSet presAssocID="{3DA5693C-C623-441D-9B27-52059E128F4F}" presName="node" presStyleLbl="vennNode1" presStyleIdx="2" presStyleCnt="5" custScaleX="136557" custScaleY="124480">
        <dgm:presLayoutVars>
          <dgm:bulletEnabled val="1"/>
        </dgm:presLayoutVars>
      </dgm:prSet>
      <dgm:spPr/>
    </dgm:pt>
    <dgm:pt modelId="{CBE01946-33DC-45D4-96EE-8B806D30D65A}" type="pres">
      <dgm:prSet presAssocID="{1DCBEAE6-4CC0-484D-A7FC-65A4D3D2F456}" presName="node" presStyleLbl="vennNode1" presStyleIdx="3" presStyleCnt="5">
        <dgm:presLayoutVars>
          <dgm:bulletEnabled val="1"/>
        </dgm:presLayoutVars>
      </dgm:prSet>
      <dgm:spPr/>
    </dgm:pt>
    <dgm:pt modelId="{770BC165-E427-4C67-9D82-391F6FC9E240}" type="pres">
      <dgm:prSet presAssocID="{9C62B0D0-FE27-481C-B339-DE95194E53C5}" presName="node" presStyleLbl="vennNode1" presStyleIdx="4" presStyleCnt="5">
        <dgm:presLayoutVars>
          <dgm:bulletEnabled val="1"/>
        </dgm:presLayoutVars>
      </dgm:prSet>
      <dgm:spPr/>
    </dgm:pt>
  </dgm:ptLst>
  <dgm:cxnLst>
    <dgm:cxn modelId="{286BD602-1B94-4C85-97CF-3E1A665347C1}" srcId="{831D21AA-8AB9-445D-B89D-7FA03C1C51D1}" destId="{1DCBEAE6-4CC0-484D-A7FC-65A4D3D2F456}" srcOrd="2" destOrd="0" parTransId="{17CA89A9-8F3C-497D-A2A4-C9F8BFC2F853}" sibTransId="{82921510-567E-4618-9200-68C06D6365D3}"/>
    <dgm:cxn modelId="{1EB8BE13-C4D7-4534-BAD5-A85037A479FE}" type="presOf" srcId="{9C62B0D0-FE27-481C-B339-DE95194E53C5}" destId="{770BC165-E427-4C67-9D82-391F6FC9E240}" srcOrd="0" destOrd="0" presId="urn:microsoft.com/office/officeart/2005/8/layout/radial3"/>
    <dgm:cxn modelId="{F957DB3C-C145-4333-9F20-5E9C00971C36}" type="presOf" srcId="{831D21AA-8AB9-445D-B89D-7FA03C1C51D1}" destId="{D5205583-7CA6-48C8-8D17-3C60819A3199}" srcOrd="0" destOrd="0" presId="urn:microsoft.com/office/officeart/2005/8/layout/radial3"/>
    <dgm:cxn modelId="{666B9C62-4AA3-44FC-9A3E-B3A4B29A5388}" srcId="{831D21AA-8AB9-445D-B89D-7FA03C1C51D1}" destId="{3DA5693C-C623-441D-9B27-52059E128F4F}" srcOrd="1" destOrd="0" parTransId="{F175B332-5D0B-48E1-981D-5001E187A19E}" sibTransId="{42AC071F-BA38-46A3-AFDF-BA5245BC4990}"/>
    <dgm:cxn modelId="{DB5C2891-AC9C-49BB-AA74-2E19E2641C28}" type="presOf" srcId="{1DCBEAE6-4CC0-484D-A7FC-65A4D3D2F456}" destId="{CBE01946-33DC-45D4-96EE-8B806D30D65A}" srcOrd="0" destOrd="0" presId="urn:microsoft.com/office/officeart/2005/8/layout/radial3"/>
    <dgm:cxn modelId="{68B40B95-9A74-4843-9257-7340B3B8BD4F}" type="presOf" srcId="{09F66C8C-CA02-456E-9258-D5A266A88B74}" destId="{CD3A0C5D-87AE-4167-8C77-2412EEE4B942}" srcOrd="0" destOrd="0" presId="urn:microsoft.com/office/officeart/2005/8/layout/radial3"/>
    <dgm:cxn modelId="{7D52CD98-CD8B-4AC6-801A-32BEE9E433AF}" srcId="{831D21AA-8AB9-445D-B89D-7FA03C1C51D1}" destId="{09F66C8C-CA02-456E-9258-D5A266A88B74}" srcOrd="0" destOrd="0" parTransId="{98BD7EC0-2331-449D-B75C-D279AB08A80D}" sibTransId="{172E47E9-E62D-4FDE-B35E-D10153CD33E2}"/>
    <dgm:cxn modelId="{51FC84A0-ECB2-49F8-8B17-7B0F207D2B80}" srcId="{081543C1-FAB0-4E87-951A-748D5A5D1567}" destId="{831D21AA-8AB9-445D-B89D-7FA03C1C51D1}" srcOrd="0" destOrd="0" parTransId="{46844783-1287-4945-A342-D4D98F898A20}" sibTransId="{C56958DB-8561-41A5-8280-4B7A00012A21}"/>
    <dgm:cxn modelId="{F47113D2-E1BD-42CB-99E7-23609655A610}" srcId="{831D21AA-8AB9-445D-B89D-7FA03C1C51D1}" destId="{9C62B0D0-FE27-481C-B339-DE95194E53C5}" srcOrd="3" destOrd="0" parTransId="{C5826662-168B-449B-8BB1-09FAF53D920F}" sibTransId="{CF672F20-7847-428B-A383-87F9AF8410AC}"/>
    <dgm:cxn modelId="{51FB84E9-87FF-4DBC-AD62-4D3DF3818B27}" type="presOf" srcId="{081543C1-FAB0-4E87-951A-748D5A5D1567}" destId="{CFB13CDE-1430-4304-AB95-8EA7EA0599CA}" srcOrd="0" destOrd="0" presId="urn:microsoft.com/office/officeart/2005/8/layout/radial3"/>
    <dgm:cxn modelId="{5F7C7DF4-6F99-4AF5-B324-6718F01B7CF7}" type="presOf" srcId="{3DA5693C-C623-441D-9B27-52059E128F4F}" destId="{DD78290C-3ED2-407F-9B79-6AB482705CE0}" srcOrd="0" destOrd="0" presId="urn:microsoft.com/office/officeart/2005/8/layout/radial3"/>
    <dgm:cxn modelId="{9C617AE9-5A06-460E-A6EF-3270E381D7A1}" type="presParOf" srcId="{CFB13CDE-1430-4304-AB95-8EA7EA0599CA}" destId="{9E922413-AD5E-4C4D-8FA4-5D37030B7EB1}" srcOrd="0" destOrd="0" presId="urn:microsoft.com/office/officeart/2005/8/layout/radial3"/>
    <dgm:cxn modelId="{8D33071D-71CD-401F-96B9-8E47F9D7D762}" type="presParOf" srcId="{9E922413-AD5E-4C4D-8FA4-5D37030B7EB1}" destId="{D5205583-7CA6-48C8-8D17-3C60819A3199}" srcOrd="0" destOrd="0" presId="urn:microsoft.com/office/officeart/2005/8/layout/radial3"/>
    <dgm:cxn modelId="{BF5ED0BE-B999-40CE-AE71-CD831BFFF7B1}" type="presParOf" srcId="{9E922413-AD5E-4C4D-8FA4-5D37030B7EB1}" destId="{CD3A0C5D-87AE-4167-8C77-2412EEE4B942}" srcOrd="1" destOrd="0" presId="urn:microsoft.com/office/officeart/2005/8/layout/radial3"/>
    <dgm:cxn modelId="{4AC52AA4-06F3-491F-B589-79642AAFF3B9}" type="presParOf" srcId="{9E922413-AD5E-4C4D-8FA4-5D37030B7EB1}" destId="{DD78290C-3ED2-407F-9B79-6AB482705CE0}" srcOrd="2" destOrd="0" presId="urn:microsoft.com/office/officeart/2005/8/layout/radial3"/>
    <dgm:cxn modelId="{1B1DFB5B-ED54-49A0-AFC6-ECE8EF102BA4}" type="presParOf" srcId="{9E922413-AD5E-4C4D-8FA4-5D37030B7EB1}" destId="{CBE01946-33DC-45D4-96EE-8B806D30D65A}" srcOrd="3" destOrd="0" presId="urn:microsoft.com/office/officeart/2005/8/layout/radial3"/>
    <dgm:cxn modelId="{E369451C-8454-4CE3-AD8F-D1595CDA5CDD}" type="presParOf" srcId="{9E922413-AD5E-4C4D-8FA4-5D37030B7EB1}" destId="{770BC165-E427-4C67-9D82-391F6FC9E240}" srcOrd="4" destOrd="0" presId="urn:microsoft.com/office/officeart/2005/8/layout/radial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205583-7CA6-48C8-8D17-3C60819A3199}">
      <dsp:nvSpPr>
        <dsp:cNvPr id="0" name=""/>
        <dsp:cNvSpPr/>
      </dsp:nvSpPr>
      <dsp:spPr>
        <a:xfrm>
          <a:off x="1774468" y="712589"/>
          <a:ext cx="1775221" cy="177522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Supports</a:t>
          </a:r>
        </a:p>
      </dsp:txBody>
      <dsp:txXfrm>
        <a:off x="2034443" y="972564"/>
        <a:ext cx="1255271" cy="1255271"/>
      </dsp:txXfrm>
    </dsp:sp>
    <dsp:sp modelId="{CD3A0C5D-87AE-4167-8C77-2412EEE4B942}">
      <dsp:nvSpPr>
        <dsp:cNvPr id="0" name=""/>
        <dsp:cNvSpPr/>
      </dsp:nvSpPr>
      <dsp:spPr>
        <a:xfrm>
          <a:off x="2218273" y="316"/>
          <a:ext cx="887610"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Organisational    Culture</a:t>
          </a:r>
        </a:p>
      </dsp:txBody>
      <dsp:txXfrm>
        <a:off x="2348260" y="130303"/>
        <a:ext cx="627636" cy="627636"/>
      </dsp:txXfrm>
    </dsp:sp>
    <dsp:sp modelId="{DD78290C-3ED2-407F-9B79-6AB482705CE0}">
      <dsp:nvSpPr>
        <dsp:cNvPr id="0" name=""/>
        <dsp:cNvSpPr/>
      </dsp:nvSpPr>
      <dsp:spPr>
        <a:xfrm>
          <a:off x="3212109" y="1047750"/>
          <a:ext cx="1212094" cy="1104898"/>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Strategic Goals</a:t>
          </a:r>
        </a:p>
      </dsp:txBody>
      <dsp:txXfrm>
        <a:off x="3389616" y="1209559"/>
        <a:ext cx="857080" cy="781280"/>
      </dsp:txXfrm>
    </dsp:sp>
    <dsp:sp modelId="{CBE01946-33DC-45D4-96EE-8B806D30D65A}">
      <dsp:nvSpPr>
        <dsp:cNvPr id="0" name=""/>
        <dsp:cNvSpPr/>
      </dsp:nvSpPr>
      <dsp:spPr>
        <a:xfrm>
          <a:off x="2218273" y="2312472"/>
          <a:ext cx="887610"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Employee Outcomes</a:t>
          </a:r>
        </a:p>
      </dsp:txBody>
      <dsp:txXfrm>
        <a:off x="2348260" y="2442459"/>
        <a:ext cx="627636" cy="627636"/>
      </dsp:txXfrm>
    </dsp:sp>
    <dsp:sp modelId="{770BC165-E427-4C67-9D82-391F6FC9E240}">
      <dsp:nvSpPr>
        <dsp:cNvPr id="0" name=""/>
        <dsp:cNvSpPr/>
      </dsp:nvSpPr>
      <dsp:spPr>
        <a:xfrm>
          <a:off x="1062195" y="1156394"/>
          <a:ext cx="887610"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Working Environment</a:t>
          </a:r>
        </a:p>
      </dsp:txBody>
      <dsp:txXfrm>
        <a:off x="1192182" y="1286381"/>
        <a:ext cx="627636" cy="627636"/>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29FE42-0FAB-4923-9156-E4D6055630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TotalTime>
  <Words>3647</Words>
  <Pages>20</Pages>
  <Characters>24411</Characters>
  <Application>WPS Office</Application>
  <DocSecurity>0</DocSecurity>
  <Paragraphs>275</Paragraphs>
  <ScaleCrop>false</ScaleCrop>
  <LinksUpToDate>false</LinksUpToDate>
  <CharactersWithSpaces>27873</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2025-07-06T16:41:00Z</dcterms:created>
  <dc:creator>MD Saifur Rahman</dc:creator>
  <lastModifiedBy>CPH2631</lastModifiedBy>
  <dcterms:modified xsi:type="dcterms:W3CDTF">2025-12-15T14:39:12Z</dcterms:modified>
  <revision>87</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cdfc7f3cb74e44988afdcac184f6bfcc</vt:lpwstr>
  </property>
</Properties>
</file>