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kern w:val="2"/>
          <w:sz w:val="24"/>
          <w:szCs w:val="24"/>
          <w:lang w:val="en-GB" w:eastAsia="zh-CN"/>
          <w14:ligatures w14:val="standardContextual"/>
        </w:rPr>
        <w:id w:val="1485886095"/>
        <w:docPartObj>
          <w:docPartGallery w:val="Cover Pages"/>
          <w:docPartUnique/>
        </w:docPartObj>
      </w:sdtPr>
      <w:sdtEndPr>
        <w:rPr>
          <w:color w:val="0F4761" w:themeColor="accent1" w:themeShade="BF"/>
        </w:rPr>
      </w:sdtEndPr>
      <w:sdtContent>
        <w:p w14:paraId="6B613EAC" w14:textId="5C93A2A4" w:rsidR="00584E9F" w:rsidRPr="00584E9F" w:rsidRDefault="00584E9F" w:rsidP="00584E9F">
          <w:pPr>
            <w:pStyle w:val="NoSpacing"/>
            <w:spacing w:before="1540" w:after="240"/>
            <w:rPr>
              <w:color w:val="156082" w:themeColor="accent1"/>
              <w:sz w:val="28"/>
              <w:szCs w:val="28"/>
            </w:rPr>
          </w:pPr>
          <w:r>
            <w:rPr>
              <w:noProof/>
            </w:rPr>
            <w:drawing>
              <wp:anchor distT="0" distB="0" distL="114300" distR="114300" simplePos="0" relativeHeight="251660288" behindDoc="0" locked="0" layoutInCell="1" allowOverlap="1" wp14:anchorId="3689ED49" wp14:editId="1286A27D">
                <wp:simplePos x="0" y="0"/>
                <wp:positionH relativeFrom="margin">
                  <wp:align>center</wp:align>
                </wp:positionH>
                <wp:positionV relativeFrom="paragraph">
                  <wp:posOffset>152400</wp:posOffset>
                </wp:positionV>
                <wp:extent cx="4981575" cy="2295525"/>
                <wp:effectExtent l="0" t="0" r="9525" b="9525"/>
                <wp:wrapSquare wrapText="bothSides"/>
                <wp:docPr id="313415697" name="Picture 1" descr="University of Wales Trinity Saint David launches post graduate certificate  in Language Policy and Planning - Arsyllfa - Supporting the Welsh rural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post graduate certificate  in Language Policy and Planning - Arsyllfa - Supporting the Welsh rural  economy"/>
                        <pic:cNvPicPr>
                          <a:picLocks noChangeAspect="1" noChangeArrowheads="1"/>
                        </pic:cNvPicPr>
                      </pic:nvPicPr>
                      <pic:blipFill rotWithShape="1">
                        <a:blip r:embed="rId6">
                          <a:extLst>
                            <a:ext uri="{28A0092B-C50C-407E-A947-70E740481C1C}">
                              <a14:useLocalDpi xmlns:a14="http://schemas.microsoft.com/office/drawing/2010/main" val="0"/>
                            </a:ext>
                          </a:extLst>
                        </a:blip>
                        <a:srcRect l="23599" t="26971" r="20563" b="26497"/>
                        <a:stretch/>
                      </pic:blipFill>
                      <pic:spPr bwMode="auto">
                        <a:xfrm>
                          <a:off x="0" y="0"/>
                          <a:ext cx="4981575" cy="2295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002A34" w14:textId="77777777" w:rsidR="00584E9F" w:rsidRPr="00584E9F" w:rsidRDefault="00584E9F" w:rsidP="00584E9F">
          <w:pPr>
            <w:rPr>
              <w:sz w:val="32"/>
              <w:szCs w:val="32"/>
              <w:lang w:val="en-US" w:eastAsia="en-US"/>
            </w:rPr>
          </w:pPr>
        </w:p>
        <w:p w14:paraId="128EF165" w14:textId="77777777" w:rsidR="00584E9F" w:rsidRPr="00584E9F" w:rsidRDefault="00584E9F" w:rsidP="00584E9F">
          <w:pPr>
            <w:rPr>
              <w:color w:val="156082" w:themeColor="accent1"/>
              <w:kern w:val="0"/>
              <w:sz w:val="28"/>
              <w:szCs w:val="28"/>
              <w:lang w:val="en-US" w:eastAsia="en-US"/>
              <w14:ligatures w14:val="none"/>
            </w:rPr>
          </w:pPr>
        </w:p>
        <w:p w14:paraId="7EC03E6E" w14:textId="77777777" w:rsidR="00584E9F" w:rsidRPr="00584E9F" w:rsidRDefault="00584E9F" w:rsidP="00584E9F">
          <w:pPr>
            <w:rPr>
              <w:sz w:val="32"/>
              <w:szCs w:val="32"/>
              <w:lang w:val="en-US" w:eastAsia="en-US"/>
            </w:rPr>
          </w:pPr>
        </w:p>
        <w:p w14:paraId="069ABD08" w14:textId="77777777" w:rsidR="00584E9F" w:rsidRPr="00584E9F" w:rsidRDefault="00584E9F" w:rsidP="00584E9F">
          <w:pPr>
            <w:rPr>
              <w:lang w:val="en-US" w:eastAsia="en-US"/>
            </w:rPr>
          </w:pPr>
        </w:p>
        <w:p w14:paraId="0CAE462C" w14:textId="7FBB2673" w:rsidR="00584E9F" w:rsidRPr="00584E9F" w:rsidRDefault="00584E9F" w:rsidP="00584E9F">
          <w:pPr>
            <w:pStyle w:val="NoSpacing"/>
            <w:pBdr>
              <w:top w:val="single" w:sz="6" w:space="6" w:color="156082" w:themeColor="accent1"/>
              <w:bottom w:val="single" w:sz="6" w:space="15" w:color="156082" w:themeColor="accent1"/>
            </w:pBdr>
            <w:spacing w:after="240"/>
            <w:jc w:val="center"/>
            <w:rPr>
              <w:rFonts w:asciiTheme="majorHAnsi" w:eastAsiaTheme="majorEastAsia" w:hAnsiTheme="majorHAnsi" w:cstheme="majorBidi"/>
              <w:caps/>
              <w:sz w:val="80"/>
              <w:szCs w:val="80"/>
            </w:rPr>
          </w:pPr>
          <w:r w:rsidRPr="00584E9F">
            <w:rPr>
              <w:rFonts w:asciiTheme="majorHAnsi" w:eastAsiaTheme="majorEastAsia" w:hAnsiTheme="majorHAnsi" w:cstheme="majorBidi"/>
              <w:sz w:val="80"/>
              <w:szCs w:val="80"/>
            </w:rPr>
            <w:t xml:space="preserve">Menopause </w:t>
          </w:r>
          <w:r w:rsidR="00562606">
            <w:rPr>
              <w:rFonts w:asciiTheme="majorHAnsi" w:eastAsiaTheme="majorEastAsia" w:hAnsiTheme="majorHAnsi" w:cstheme="majorBidi"/>
              <w:sz w:val="80"/>
              <w:szCs w:val="80"/>
            </w:rPr>
            <w:t>a</w:t>
          </w:r>
          <w:r w:rsidRPr="00584E9F">
            <w:rPr>
              <w:rFonts w:asciiTheme="majorHAnsi" w:eastAsiaTheme="majorEastAsia" w:hAnsiTheme="majorHAnsi" w:cstheme="majorBidi"/>
              <w:sz w:val="80"/>
              <w:szCs w:val="80"/>
            </w:rPr>
            <w:t>t Work</w:t>
          </w:r>
        </w:p>
        <w:p w14:paraId="3B75F290" w14:textId="50A05D8D" w:rsidR="00584E9F" w:rsidRPr="00584E9F" w:rsidRDefault="00584E9F" w:rsidP="00584E9F">
          <w:pPr>
            <w:pStyle w:val="NoSpacing"/>
            <w:pBdr>
              <w:top w:val="single" w:sz="6" w:space="6" w:color="156082" w:themeColor="accent1"/>
              <w:bottom w:val="single" w:sz="6" w:space="15" w:color="156082" w:themeColor="accent1"/>
            </w:pBdr>
            <w:spacing w:after="240"/>
            <w:jc w:val="center"/>
            <w:rPr>
              <w:rFonts w:asciiTheme="majorHAnsi" w:eastAsiaTheme="majorEastAsia" w:hAnsiTheme="majorHAnsi" w:cstheme="majorBidi"/>
              <w:caps/>
              <w:sz w:val="44"/>
              <w:szCs w:val="44"/>
            </w:rPr>
          </w:pPr>
          <w:r w:rsidRPr="00584E9F">
            <w:rPr>
              <w:rFonts w:asciiTheme="majorHAnsi" w:eastAsiaTheme="majorEastAsia" w:hAnsiTheme="majorHAnsi" w:cstheme="majorBidi"/>
              <w:sz w:val="44"/>
              <w:szCs w:val="44"/>
            </w:rPr>
            <w:t xml:space="preserve">Impact </w:t>
          </w:r>
          <w:r w:rsidR="00562606" w:rsidRPr="00584E9F">
            <w:rPr>
              <w:rFonts w:asciiTheme="majorHAnsi" w:eastAsiaTheme="majorEastAsia" w:hAnsiTheme="majorHAnsi" w:cstheme="majorBidi"/>
              <w:sz w:val="44"/>
              <w:szCs w:val="44"/>
            </w:rPr>
            <w:t>o</w:t>
          </w:r>
          <w:r w:rsidRPr="00584E9F">
            <w:rPr>
              <w:rFonts w:asciiTheme="majorHAnsi" w:eastAsiaTheme="majorEastAsia" w:hAnsiTheme="majorHAnsi" w:cstheme="majorBidi"/>
              <w:sz w:val="44"/>
              <w:szCs w:val="44"/>
            </w:rPr>
            <w:t xml:space="preserve">n Performance </w:t>
          </w:r>
          <w:r w:rsidR="00562606" w:rsidRPr="00584E9F">
            <w:rPr>
              <w:rFonts w:asciiTheme="majorHAnsi" w:eastAsiaTheme="majorEastAsia" w:hAnsiTheme="majorHAnsi" w:cstheme="majorBidi"/>
              <w:sz w:val="44"/>
              <w:szCs w:val="44"/>
            </w:rPr>
            <w:t>a</w:t>
          </w:r>
          <w:r w:rsidRPr="00584E9F">
            <w:rPr>
              <w:rFonts w:asciiTheme="majorHAnsi" w:eastAsiaTheme="majorEastAsia" w:hAnsiTheme="majorHAnsi" w:cstheme="majorBidi"/>
              <w:sz w:val="44"/>
              <w:szCs w:val="44"/>
            </w:rPr>
            <w:t>nd Career Progression</w:t>
          </w:r>
        </w:p>
        <w:sdt>
          <w:sdtPr>
            <w:rPr>
              <w:sz w:val="36"/>
              <w:szCs w:val="36"/>
            </w:rPr>
            <w:alias w:val="Subtitle"/>
            <w:tag w:val=""/>
            <w:id w:val="328029620"/>
            <w:placeholder>
              <w:docPart w:val="EA2F322A2B474E179B381AAC13ED0610"/>
            </w:placeholder>
            <w:dataBinding w:prefixMappings="xmlns:ns0='http://purl.org/dc/elements/1.1/' xmlns:ns1='http://schemas.openxmlformats.org/package/2006/metadata/core-properties' " w:xpath="/ns1:coreProperties[1]/ns0:subject[1]" w:storeItemID="{6C3C8BC8-F283-45AE-878A-BAB7291924A1}"/>
            <w:text/>
          </w:sdtPr>
          <w:sdtEndPr/>
          <w:sdtContent>
            <w:p w14:paraId="14C6B8DD" w14:textId="4EE6E3C7" w:rsidR="00584E9F" w:rsidRPr="00584E9F" w:rsidRDefault="00584E9F">
              <w:pPr>
                <w:pStyle w:val="NoSpacing"/>
                <w:jc w:val="center"/>
                <w:rPr>
                  <w:sz w:val="36"/>
                  <w:szCs w:val="36"/>
                </w:rPr>
              </w:pPr>
              <w:r w:rsidRPr="00584E9F">
                <w:rPr>
                  <w:sz w:val="36"/>
                  <w:szCs w:val="36"/>
                </w:rPr>
                <w:t>Dissertation Proposal</w:t>
              </w:r>
            </w:p>
          </w:sdtContent>
        </w:sdt>
        <w:p w14:paraId="26AEB693" w14:textId="3C55F7D0" w:rsidR="00584E9F" w:rsidRPr="00584E9F" w:rsidRDefault="00584E9F" w:rsidP="00584E9F">
          <w:pPr>
            <w:pStyle w:val="NoSpacing"/>
            <w:tabs>
              <w:tab w:val="left" w:pos="4050"/>
            </w:tabs>
            <w:spacing w:before="480"/>
            <w:jc w:val="center"/>
            <w:rPr>
              <w:sz w:val="18"/>
              <w:szCs w:val="18"/>
            </w:rPr>
          </w:pPr>
          <w:r w:rsidRPr="00584E9F">
            <w:rPr>
              <w:sz w:val="28"/>
              <w:szCs w:val="28"/>
            </w:rPr>
            <w:t>BMMB7003</w:t>
          </w:r>
        </w:p>
        <w:p w14:paraId="309D5204" w14:textId="6CA83C46" w:rsidR="00E5595F" w:rsidRPr="00E5595F" w:rsidRDefault="00584E9F" w:rsidP="00E5595F">
          <w:pPr>
            <w:tabs>
              <w:tab w:val="left" w:pos="4050"/>
            </w:tabs>
            <w:jc w:val="center"/>
            <w:rPr>
              <w:kern w:val="0"/>
              <w:sz w:val="16"/>
              <w:szCs w:val="16"/>
              <w:lang w:val="en-US" w:eastAsia="en-US"/>
              <w14:ligatures w14:val="none"/>
            </w:rPr>
          </w:pPr>
          <w:r w:rsidRPr="00584E9F">
            <w:rPr>
              <w:noProof/>
              <w:sz w:val="22"/>
              <w:szCs w:val="22"/>
            </w:rPr>
            <mc:AlternateContent>
              <mc:Choice Requires="wps">
                <w:drawing>
                  <wp:anchor distT="0" distB="0" distL="114300" distR="114300" simplePos="0" relativeHeight="251659264" behindDoc="0" locked="0" layoutInCell="1" allowOverlap="1" wp14:anchorId="4FE97715" wp14:editId="63539DA4">
                    <wp:simplePos x="0" y="0"/>
                    <wp:positionH relativeFrom="margin">
                      <wp:align>right</wp:align>
                    </wp:positionH>
                    <wp:positionV relativeFrom="page">
                      <wp:posOffset>8640445</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C1F47" w14:textId="77777777" w:rsidR="00584E9F" w:rsidRPr="00584E9F" w:rsidRDefault="00596413">
                                <w:pPr>
                                  <w:pStyle w:val="NoSpacing"/>
                                  <w:jc w:val="center"/>
                                  <w:rPr>
                                    <w:caps/>
                                    <w:sz w:val="32"/>
                                    <w:szCs w:val="32"/>
                                  </w:rPr>
                                </w:pPr>
                                <w:sdt>
                                  <w:sdtPr>
                                    <w:rPr>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84E9F" w:rsidRPr="00584E9F">
                                      <w:rPr>
                                        <w:sz w:val="32"/>
                                        <w:szCs w:val="32"/>
                                      </w:rPr>
                                      <w:t>Megan Jones</w:t>
                                    </w:r>
                                  </w:sdtContent>
                                </w:sdt>
                                <w:r w:rsidR="00584E9F" w:rsidRPr="00584E9F">
                                  <w:rPr>
                                    <w:caps/>
                                    <w:sz w:val="32"/>
                                    <w:szCs w:val="32"/>
                                  </w:rPr>
                                  <w:t xml:space="preserve"> </w:t>
                                </w:r>
                              </w:p>
                              <w:p w14:paraId="2C7EB52E" w14:textId="2E0D824C" w:rsidR="00584E9F" w:rsidRPr="00584E9F" w:rsidRDefault="00584E9F">
                                <w:pPr>
                                  <w:pStyle w:val="NoSpacing"/>
                                  <w:jc w:val="center"/>
                                  <w:rPr>
                                    <w:caps/>
                                    <w:sz w:val="32"/>
                                    <w:szCs w:val="32"/>
                                  </w:rPr>
                                </w:pPr>
                                <w:r w:rsidRPr="00584E9F">
                                  <w:rPr>
                                    <w:caps/>
                                    <w:sz w:val="32"/>
                                    <w:szCs w:val="32"/>
                                  </w:rPr>
                                  <w:t>2220031</w:t>
                                </w:r>
                              </w:p>
                              <w:p w14:paraId="17C6FB8A" w14:textId="2D31444B" w:rsidR="00584E9F" w:rsidRPr="00584E9F" w:rsidRDefault="00596413">
                                <w:pPr>
                                  <w:pStyle w:val="NoSpacing"/>
                                  <w:jc w:val="center"/>
                                  <w:rPr>
                                    <w:sz w:val="32"/>
                                    <w:szCs w:val="32"/>
                                  </w:rPr>
                                </w:pPr>
                                <w:sdt>
                                  <w:sdtPr>
                                    <w:rPr>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4E9F" w:rsidRPr="00584E9F">
                                      <w:rPr>
                                        <w:sz w:val="32"/>
                                        <w:szCs w:val="32"/>
                                      </w:rPr>
                                      <w:t>University Of Wales Trinity Saint David</w:t>
                                    </w:r>
                                  </w:sdtContent>
                                </w:sdt>
                              </w:p>
                              <w:p w14:paraId="47AC994D" w14:textId="029980BF" w:rsidR="00584E9F" w:rsidRPr="00E5595F" w:rsidRDefault="00E5595F">
                                <w:pPr>
                                  <w:pStyle w:val="NoSpacing"/>
                                  <w:jc w:val="center"/>
                                  <w:rPr>
                                    <w:sz w:val="24"/>
                                    <w:szCs w:val="24"/>
                                  </w:rPr>
                                </w:pPr>
                                <w:r w:rsidRPr="00E5595F">
                                  <w:rPr>
                                    <w:sz w:val="24"/>
                                    <w:szCs w:val="24"/>
                                  </w:rPr>
                                  <w:t>Word Count: 2</w:t>
                                </w:r>
                                <w:r w:rsidR="008A5184">
                                  <w:rPr>
                                    <w:sz w:val="24"/>
                                    <w:szCs w:val="24"/>
                                  </w:rPr>
                                  <w:t>20</w:t>
                                </w:r>
                                <w:r w:rsidR="00596413">
                                  <w:rPr>
                                    <w:sz w:val="24"/>
                                    <w:szCs w:val="24"/>
                                  </w:rPr>
                                  <w:t>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E97715" id="_x0000_t202" coordsize="21600,21600" o:spt="202" path="m,l,21600r21600,l21600,xe">
                    <v:stroke joinstyle="miter"/>
                    <v:path gradientshapeok="t" o:connecttype="rect"/>
                  </v:shapetype>
                  <v:shape id="Text Box 44" o:spid="_x0000_s1026" type="#_x0000_t202" style="position:absolute;left:0;text-align:left;margin-left:464.8pt;margin-top:680.3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" filled="f" stroked="f" strokeweight=".5pt">
                    <v:textbox style="mso-fit-shape-to-text:t" inset="0,0,0,0">
                      <w:txbxContent>
                        <w:p w14:paraId="0C2C1F47" w14:textId="77777777" w:rsidR="00584E9F" w:rsidRPr="00584E9F" w:rsidRDefault="00596413">
                          <w:pPr>
                            <w:pStyle w:val="NoSpacing"/>
                            <w:jc w:val="center"/>
                            <w:rPr>
                              <w:caps/>
                              <w:sz w:val="32"/>
                              <w:szCs w:val="32"/>
                            </w:rPr>
                          </w:pPr>
                          <w:sdt>
                            <w:sdtPr>
                              <w:rPr>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84E9F" w:rsidRPr="00584E9F">
                                <w:rPr>
                                  <w:sz w:val="32"/>
                                  <w:szCs w:val="32"/>
                                </w:rPr>
                                <w:t>Megan Jones</w:t>
                              </w:r>
                            </w:sdtContent>
                          </w:sdt>
                          <w:r w:rsidR="00584E9F" w:rsidRPr="00584E9F">
                            <w:rPr>
                              <w:caps/>
                              <w:sz w:val="32"/>
                              <w:szCs w:val="32"/>
                            </w:rPr>
                            <w:t xml:space="preserve"> </w:t>
                          </w:r>
                        </w:p>
                        <w:p w14:paraId="2C7EB52E" w14:textId="2E0D824C" w:rsidR="00584E9F" w:rsidRPr="00584E9F" w:rsidRDefault="00584E9F">
                          <w:pPr>
                            <w:pStyle w:val="NoSpacing"/>
                            <w:jc w:val="center"/>
                            <w:rPr>
                              <w:caps/>
                              <w:sz w:val="32"/>
                              <w:szCs w:val="32"/>
                            </w:rPr>
                          </w:pPr>
                          <w:r w:rsidRPr="00584E9F">
                            <w:rPr>
                              <w:caps/>
                              <w:sz w:val="32"/>
                              <w:szCs w:val="32"/>
                            </w:rPr>
                            <w:t>2220031</w:t>
                          </w:r>
                        </w:p>
                        <w:p w14:paraId="17C6FB8A" w14:textId="2D31444B" w:rsidR="00584E9F" w:rsidRPr="00584E9F" w:rsidRDefault="00596413">
                          <w:pPr>
                            <w:pStyle w:val="NoSpacing"/>
                            <w:jc w:val="center"/>
                            <w:rPr>
                              <w:sz w:val="32"/>
                              <w:szCs w:val="32"/>
                            </w:rPr>
                          </w:pPr>
                          <w:sdt>
                            <w:sdtPr>
                              <w:rPr>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4E9F" w:rsidRPr="00584E9F">
                                <w:rPr>
                                  <w:sz w:val="32"/>
                                  <w:szCs w:val="32"/>
                                </w:rPr>
                                <w:t>University Of Wales Trinity Saint David</w:t>
                              </w:r>
                            </w:sdtContent>
                          </w:sdt>
                        </w:p>
                        <w:p w14:paraId="47AC994D" w14:textId="029980BF" w:rsidR="00584E9F" w:rsidRPr="00E5595F" w:rsidRDefault="00E5595F">
                          <w:pPr>
                            <w:pStyle w:val="NoSpacing"/>
                            <w:jc w:val="center"/>
                            <w:rPr>
                              <w:sz w:val="24"/>
                              <w:szCs w:val="24"/>
                            </w:rPr>
                          </w:pPr>
                          <w:r w:rsidRPr="00E5595F">
                            <w:rPr>
                              <w:sz w:val="24"/>
                              <w:szCs w:val="24"/>
                            </w:rPr>
                            <w:t>Word Count: 2</w:t>
                          </w:r>
                          <w:r w:rsidR="008A5184">
                            <w:rPr>
                              <w:sz w:val="24"/>
                              <w:szCs w:val="24"/>
                            </w:rPr>
                            <w:t>20</w:t>
                          </w:r>
                          <w:r w:rsidR="00596413">
                            <w:rPr>
                              <w:sz w:val="24"/>
                              <w:szCs w:val="24"/>
                            </w:rPr>
                            <w:t>2</w:t>
                          </w:r>
                        </w:p>
                      </w:txbxContent>
                    </v:textbox>
                    <w10:wrap anchorx="margin" anchory="page"/>
                  </v:shape>
                </w:pict>
              </mc:Fallback>
            </mc:AlternateContent>
          </w:r>
        </w:p>
        <w:p w14:paraId="6987BB3C" w14:textId="022EDF7D" w:rsidR="00584E9F" w:rsidRDefault="00584E9F" w:rsidP="00E5595F">
          <w:pPr>
            <w:tabs>
              <w:tab w:val="left" w:pos="4050"/>
            </w:tabs>
            <w:rPr>
              <w:color w:val="0F4761" w:themeColor="accent1" w:themeShade="BF"/>
              <w:kern w:val="0"/>
              <w:lang w:val="en-US" w:eastAsia="en-US"/>
              <w14:ligatures w14:val="none"/>
            </w:rPr>
          </w:pPr>
          <w:r w:rsidRPr="00E5595F">
            <w:rPr>
              <w:sz w:val="22"/>
              <w:szCs w:val="22"/>
              <w:lang w:val="en-US" w:eastAsia="en-US"/>
            </w:rPr>
            <w:br w:type="page"/>
          </w:r>
        </w:p>
      </w:sdtContent>
    </w:sdt>
    <w:p w14:paraId="3C2CAAE0" w14:textId="42C6DB7C" w:rsidR="00942DF6" w:rsidRPr="00584D41" w:rsidRDefault="00942DF6" w:rsidP="00641C77">
      <w:pPr>
        <w:rPr>
          <w:rFonts w:ascii="Arial" w:hAnsi="Arial" w:cs="Arial"/>
          <w:b/>
          <w:bCs/>
          <w:u w:val="single"/>
        </w:rPr>
      </w:pPr>
      <w:r w:rsidRPr="00584D41">
        <w:rPr>
          <w:rFonts w:ascii="Arial" w:hAnsi="Arial" w:cs="Arial"/>
          <w:b/>
          <w:bCs/>
          <w:u w:val="single"/>
        </w:rPr>
        <w:lastRenderedPageBreak/>
        <w:t>Tile</w:t>
      </w:r>
    </w:p>
    <w:p w14:paraId="0B55123B" w14:textId="0A587DA0" w:rsidR="00942DF6" w:rsidRPr="00584D41" w:rsidRDefault="00942DF6">
      <w:pPr>
        <w:rPr>
          <w:rFonts w:ascii="Arial" w:hAnsi="Arial" w:cs="Arial"/>
        </w:rPr>
      </w:pPr>
      <w:r w:rsidRPr="00584D41">
        <w:rPr>
          <w:rFonts w:ascii="Arial" w:hAnsi="Arial" w:cs="Arial"/>
        </w:rPr>
        <w:t xml:space="preserve">Balancing hormones and careers: An </w:t>
      </w:r>
      <w:r w:rsidR="007573FC" w:rsidRPr="00584D41">
        <w:rPr>
          <w:rFonts w:ascii="Arial" w:hAnsi="Arial" w:cs="Arial"/>
        </w:rPr>
        <w:t>analysis of</w:t>
      </w:r>
      <w:r w:rsidRPr="00584D41">
        <w:rPr>
          <w:rFonts w:ascii="Arial" w:hAnsi="Arial" w:cs="Arial"/>
          <w:color w:val="FF0000"/>
        </w:rPr>
        <w:t xml:space="preserve"> </w:t>
      </w:r>
      <w:r w:rsidRPr="00584D41">
        <w:rPr>
          <w:rFonts w:ascii="Arial" w:hAnsi="Arial" w:cs="Arial"/>
        </w:rPr>
        <w:t xml:space="preserve">how menopause effects work performance and </w:t>
      </w:r>
      <w:r w:rsidR="004E7447" w:rsidRPr="00584D41">
        <w:rPr>
          <w:rFonts w:ascii="Arial" w:hAnsi="Arial" w:cs="Arial"/>
        </w:rPr>
        <w:t>career development</w:t>
      </w:r>
      <w:r w:rsidRPr="00584D41">
        <w:rPr>
          <w:rFonts w:ascii="Arial" w:hAnsi="Arial" w:cs="Arial"/>
        </w:rPr>
        <w:t xml:space="preserve">. </w:t>
      </w:r>
    </w:p>
    <w:p w14:paraId="708CD66C" w14:textId="6572C949" w:rsidR="00CB021D" w:rsidRPr="00584D41" w:rsidRDefault="00CB021D" w:rsidP="00CB021D">
      <w:pPr>
        <w:rPr>
          <w:rFonts w:ascii="Arial" w:hAnsi="Arial" w:cs="Arial"/>
          <w:color w:val="FF0000"/>
        </w:rPr>
      </w:pPr>
      <w:r w:rsidRPr="00584D41">
        <w:rPr>
          <w:rFonts w:ascii="Arial" w:hAnsi="Arial" w:cs="Arial"/>
          <w:b/>
          <w:bCs/>
          <w:u w:val="single"/>
        </w:rPr>
        <w:t>Background</w:t>
      </w:r>
      <w:r w:rsidR="00B87E91" w:rsidRPr="00584D41">
        <w:rPr>
          <w:rFonts w:ascii="Arial" w:hAnsi="Arial" w:cs="Arial"/>
          <w:b/>
          <w:bCs/>
          <w:u w:val="single"/>
        </w:rPr>
        <w:t xml:space="preserve"> </w:t>
      </w:r>
    </w:p>
    <w:p w14:paraId="660AEA70" w14:textId="7DC74232" w:rsidR="00CB021D" w:rsidRPr="00584D41" w:rsidRDefault="00CB021D" w:rsidP="00CB021D">
      <w:pPr>
        <w:rPr>
          <w:rFonts w:ascii="Arial" w:hAnsi="Arial" w:cs="Arial"/>
        </w:rPr>
      </w:pPr>
      <w:r w:rsidRPr="00584D41">
        <w:rPr>
          <w:rFonts w:ascii="Arial" w:hAnsi="Arial" w:cs="Arial"/>
        </w:rPr>
        <w:t xml:space="preserve">More women than ever are navigating their entire menopause journey while working due to the ever-aging workforce, however </w:t>
      </w:r>
      <w:r w:rsidR="007813E3" w:rsidRPr="00584D41">
        <w:rPr>
          <w:rFonts w:ascii="Arial" w:hAnsi="Arial" w:cs="Arial"/>
        </w:rPr>
        <w:t xml:space="preserve">menopause </w:t>
      </w:r>
      <w:r w:rsidRPr="00584D41">
        <w:rPr>
          <w:rFonts w:ascii="Arial" w:hAnsi="Arial" w:cs="Arial"/>
        </w:rPr>
        <w:t xml:space="preserve">still remains a ‘taboo’ topic (Steffan &amp; Potocnik, 2023). </w:t>
      </w:r>
      <w:r w:rsidR="0059039D" w:rsidRPr="00584D41">
        <w:rPr>
          <w:rFonts w:ascii="Arial" w:hAnsi="Arial" w:cs="Arial"/>
        </w:rPr>
        <w:t xml:space="preserve">While extensive research shows menopausal </w:t>
      </w:r>
      <w:r w:rsidR="00250680" w:rsidRPr="00584D41">
        <w:rPr>
          <w:rFonts w:ascii="Arial" w:hAnsi="Arial" w:cs="Arial"/>
        </w:rPr>
        <w:t>symptoms</w:t>
      </w:r>
      <w:r w:rsidR="0059039D" w:rsidRPr="00584D41">
        <w:rPr>
          <w:rFonts w:ascii="Arial" w:hAnsi="Arial" w:cs="Arial"/>
        </w:rPr>
        <w:t xml:space="preserve"> can negatively affect quality of life and job attendance, few studies specifically examine how symptoms influence work and career development. </w:t>
      </w:r>
      <w:r w:rsidR="007573FC" w:rsidRPr="00584D41">
        <w:rPr>
          <w:rFonts w:ascii="Arial" w:hAnsi="Arial" w:cs="Arial"/>
        </w:rPr>
        <w:t xml:space="preserve">UWTSD currently employ </w:t>
      </w:r>
      <w:r w:rsidR="00B87E91" w:rsidRPr="00584D41">
        <w:rPr>
          <w:rFonts w:ascii="Arial" w:hAnsi="Arial" w:cs="Arial"/>
        </w:rPr>
        <w:t>over 800</w:t>
      </w:r>
      <w:r w:rsidR="007573FC" w:rsidRPr="00584D41">
        <w:rPr>
          <w:rFonts w:ascii="Arial" w:hAnsi="Arial" w:cs="Arial"/>
        </w:rPr>
        <w:t xml:space="preserve"> women, which makes up </w:t>
      </w:r>
      <w:r w:rsidR="00B87E91" w:rsidRPr="00584D41">
        <w:rPr>
          <w:rFonts w:ascii="Arial" w:hAnsi="Arial" w:cs="Arial"/>
        </w:rPr>
        <w:t>51%</w:t>
      </w:r>
      <w:r w:rsidR="007573FC" w:rsidRPr="00584D41">
        <w:rPr>
          <w:rFonts w:ascii="Arial" w:hAnsi="Arial" w:cs="Arial"/>
        </w:rPr>
        <w:t xml:space="preserve"> of the workforce</w:t>
      </w:r>
      <w:r w:rsidR="007F0964" w:rsidRPr="00584D41">
        <w:rPr>
          <w:rFonts w:ascii="Arial" w:hAnsi="Arial" w:cs="Arial"/>
        </w:rPr>
        <w:t xml:space="preserve"> (UWTSD</w:t>
      </w:r>
      <w:r w:rsidR="00053162" w:rsidRPr="00584D41">
        <w:rPr>
          <w:rFonts w:ascii="Arial" w:hAnsi="Arial" w:cs="Arial"/>
        </w:rPr>
        <w:t>, 2024</w:t>
      </w:r>
      <w:r w:rsidR="007F0964" w:rsidRPr="00584D41">
        <w:rPr>
          <w:rFonts w:ascii="Arial" w:hAnsi="Arial" w:cs="Arial"/>
        </w:rPr>
        <w:t>)</w:t>
      </w:r>
      <w:r w:rsidR="007573FC" w:rsidRPr="00584D41">
        <w:rPr>
          <w:rFonts w:ascii="Arial" w:hAnsi="Arial" w:cs="Arial"/>
        </w:rPr>
        <w:t xml:space="preserve">. </w:t>
      </w:r>
      <w:r w:rsidR="00095E92" w:rsidRPr="00584D41">
        <w:rPr>
          <w:rFonts w:ascii="Arial" w:hAnsi="Arial" w:cs="Arial"/>
        </w:rPr>
        <w:t>It is crucial to recognise the consequences of not offering sufficient support to a significant portion of employees, such as reduced morale, decreased productivity, and challenges in retaining staff</w:t>
      </w:r>
      <w:r w:rsidR="007F0964" w:rsidRPr="00584D41">
        <w:rPr>
          <w:rFonts w:ascii="Arial" w:hAnsi="Arial" w:cs="Arial"/>
        </w:rPr>
        <w:t xml:space="preserve"> (</w:t>
      </w:r>
      <w:r w:rsidR="004D7CD7" w:rsidRPr="00584D41">
        <w:rPr>
          <w:rFonts w:ascii="Arial" w:hAnsi="Arial" w:cs="Arial"/>
        </w:rPr>
        <w:t>Foster et al., 2023</w:t>
      </w:r>
      <w:r w:rsidR="007F0964" w:rsidRPr="00584D41">
        <w:rPr>
          <w:rFonts w:ascii="Arial" w:hAnsi="Arial" w:cs="Arial"/>
        </w:rPr>
        <w:t>)</w:t>
      </w:r>
      <w:r w:rsidR="00095E92" w:rsidRPr="00584D41">
        <w:rPr>
          <w:rFonts w:ascii="Arial" w:hAnsi="Arial" w:cs="Arial"/>
        </w:rPr>
        <w:t>. If UWSTD are unable to retain staff, it may hinder the organisation’s ability to achieve strategic goals and objectives</w:t>
      </w:r>
      <w:r w:rsidR="007F0964" w:rsidRPr="00584D41">
        <w:rPr>
          <w:rFonts w:ascii="Arial" w:hAnsi="Arial" w:cs="Arial"/>
        </w:rPr>
        <w:t xml:space="preserve"> (</w:t>
      </w:r>
      <w:r w:rsidR="004D7CD7" w:rsidRPr="00584D41">
        <w:rPr>
          <w:rFonts w:ascii="Arial" w:hAnsi="Arial" w:cs="Arial"/>
        </w:rPr>
        <w:t>Huang et al., 2021</w:t>
      </w:r>
      <w:r w:rsidR="007F0964" w:rsidRPr="00584D41">
        <w:rPr>
          <w:rFonts w:ascii="Arial" w:hAnsi="Arial" w:cs="Arial"/>
        </w:rPr>
        <w:t>)</w:t>
      </w:r>
      <w:r w:rsidR="00095E92" w:rsidRPr="00584D41">
        <w:rPr>
          <w:rFonts w:ascii="Arial" w:hAnsi="Arial" w:cs="Arial"/>
        </w:rPr>
        <w:t>. Additionally, career progression is vital; if a segment of the workforce isn’t advancing professionally, the university risk losing valuable skills and knowledge</w:t>
      </w:r>
      <w:r w:rsidR="007F0964" w:rsidRPr="00584D41">
        <w:rPr>
          <w:rFonts w:ascii="Arial" w:hAnsi="Arial" w:cs="Arial"/>
        </w:rPr>
        <w:t xml:space="preserve"> (</w:t>
      </w:r>
      <w:r w:rsidR="004866DF" w:rsidRPr="00584D41">
        <w:rPr>
          <w:rFonts w:ascii="Arial" w:hAnsi="Arial" w:cs="Arial"/>
        </w:rPr>
        <w:t>Babapour, Hutlberg &amp; Bozic Yams, 2022</w:t>
      </w:r>
      <w:r w:rsidR="00F826C0" w:rsidRPr="00584D41">
        <w:rPr>
          <w:rFonts w:ascii="Arial" w:hAnsi="Arial" w:cs="Arial"/>
        </w:rPr>
        <w:t>) which in turn</w:t>
      </w:r>
      <w:r w:rsidR="00095E92" w:rsidRPr="00584D41">
        <w:rPr>
          <w:rFonts w:ascii="Arial" w:hAnsi="Arial" w:cs="Arial"/>
        </w:rPr>
        <w:t xml:space="preserve"> could necessitate costly external recruitment efforts</w:t>
      </w:r>
      <w:r w:rsidR="007F0964" w:rsidRPr="00584D41">
        <w:rPr>
          <w:rFonts w:ascii="Arial" w:hAnsi="Arial" w:cs="Arial"/>
        </w:rPr>
        <w:t xml:space="preserve"> (</w:t>
      </w:r>
      <w:r w:rsidR="004866DF" w:rsidRPr="00584D41">
        <w:rPr>
          <w:rFonts w:ascii="Arial" w:hAnsi="Arial" w:cs="Arial"/>
        </w:rPr>
        <w:t>Rodrgiguez-Sanchez et al., 2020</w:t>
      </w:r>
      <w:r w:rsidR="007F0964" w:rsidRPr="00584D41">
        <w:rPr>
          <w:rFonts w:ascii="Arial" w:hAnsi="Arial" w:cs="Arial"/>
        </w:rPr>
        <w:t>)</w:t>
      </w:r>
      <w:r w:rsidR="00095E92" w:rsidRPr="00584D41">
        <w:rPr>
          <w:rFonts w:ascii="Arial" w:hAnsi="Arial" w:cs="Arial"/>
        </w:rPr>
        <w:t xml:space="preserve">. </w:t>
      </w:r>
      <w:r w:rsidR="007573FC" w:rsidRPr="00584D41">
        <w:rPr>
          <w:rFonts w:ascii="Arial" w:hAnsi="Arial" w:cs="Arial"/>
        </w:rPr>
        <w:t xml:space="preserve"> </w:t>
      </w:r>
      <w:r w:rsidR="0059039D" w:rsidRPr="00584D41">
        <w:rPr>
          <w:rFonts w:ascii="Arial" w:hAnsi="Arial" w:cs="Arial"/>
        </w:rPr>
        <w:t>UWTSD do not currently have a menopause policy which in itself could cause potential risk</w:t>
      </w:r>
      <w:r w:rsidR="000C754D" w:rsidRPr="00584D41">
        <w:rPr>
          <w:rFonts w:ascii="Arial" w:hAnsi="Arial" w:cs="Arial"/>
        </w:rPr>
        <w:t>s</w:t>
      </w:r>
      <w:r w:rsidR="0059039D" w:rsidRPr="00584D41">
        <w:rPr>
          <w:rFonts w:ascii="Arial" w:hAnsi="Arial" w:cs="Arial"/>
        </w:rPr>
        <w:t xml:space="preserve"> to the University and </w:t>
      </w:r>
      <w:r w:rsidR="00832726" w:rsidRPr="00584D41">
        <w:rPr>
          <w:rFonts w:ascii="Arial" w:hAnsi="Arial" w:cs="Arial"/>
        </w:rPr>
        <w:t>its</w:t>
      </w:r>
      <w:r w:rsidR="0059039D" w:rsidRPr="00584D41">
        <w:rPr>
          <w:rFonts w:ascii="Arial" w:hAnsi="Arial" w:cs="Arial"/>
        </w:rPr>
        <w:t xml:space="preserve"> employees such as higher absenteeism, lower productivity, high turnover, increased stress and anxiety and potential discrimination claims (</w:t>
      </w:r>
      <w:r w:rsidR="004866DF" w:rsidRPr="00584D41">
        <w:rPr>
          <w:rFonts w:ascii="Arial" w:hAnsi="Arial" w:cs="Arial"/>
        </w:rPr>
        <w:t>Verdonk, Bendien &amp; Appelman, 2022</w:t>
      </w:r>
      <w:r w:rsidR="0059039D" w:rsidRPr="00584D41">
        <w:rPr>
          <w:rFonts w:ascii="Arial" w:hAnsi="Arial" w:cs="Arial"/>
        </w:rPr>
        <w:t xml:space="preserve">). Therefore, it is crucial for UWTSD to recognise the implications of not providing adequate support to </w:t>
      </w:r>
      <w:r w:rsidR="00831692">
        <w:rPr>
          <w:rFonts w:ascii="Arial" w:hAnsi="Arial" w:cs="Arial"/>
        </w:rPr>
        <w:t xml:space="preserve">a large portion of its workforce. </w:t>
      </w:r>
      <w:r w:rsidR="0059039D" w:rsidRPr="00584D41">
        <w:rPr>
          <w:rFonts w:ascii="Arial" w:hAnsi="Arial" w:cs="Arial"/>
        </w:rPr>
        <w:t xml:space="preserve"> </w:t>
      </w:r>
    </w:p>
    <w:p w14:paraId="7D401542" w14:textId="0CA934FF" w:rsidR="009B6334" w:rsidRPr="00584D41" w:rsidRDefault="009B6334">
      <w:pPr>
        <w:rPr>
          <w:rFonts w:ascii="Arial" w:hAnsi="Arial" w:cs="Arial"/>
          <w:b/>
          <w:bCs/>
          <w:u w:val="single"/>
        </w:rPr>
      </w:pPr>
      <w:r w:rsidRPr="00584D41">
        <w:rPr>
          <w:rFonts w:ascii="Arial" w:hAnsi="Arial" w:cs="Arial"/>
          <w:b/>
          <w:bCs/>
          <w:u w:val="single"/>
        </w:rPr>
        <w:t>Aim</w:t>
      </w:r>
    </w:p>
    <w:p w14:paraId="331145A4" w14:textId="47F1847B" w:rsidR="009B6334" w:rsidRPr="00584D41" w:rsidRDefault="009B6334">
      <w:pPr>
        <w:rPr>
          <w:rFonts w:ascii="Arial" w:hAnsi="Arial" w:cs="Arial"/>
        </w:rPr>
      </w:pPr>
      <w:r w:rsidRPr="00584D41">
        <w:rPr>
          <w:rFonts w:ascii="Arial" w:hAnsi="Arial" w:cs="Arial"/>
        </w:rPr>
        <w:t xml:space="preserve">To </w:t>
      </w:r>
      <w:r w:rsidR="007573FC" w:rsidRPr="00584D41">
        <w:rPr>
          <w:rFonts w:ascii="Arial" w:hAnsi="Arial" w:cs="Arial"/>
        </w:rPr>
        <w:t>analyse</w:t>
      </w:r>
      <w:r w:rsidR="00F1689F" w:rsidRPr="00584D41">
        <w:rPr>
          <w:rFonts w:ascii="Arial" w:hAnsi="Arial" w:cs="Arial"/>
        </w:rPr>
        <w:t xml:space="preserve"> </w:t>
      </w:r>
      <w:r w:rsidRPr="00584D41">
        <w:rPr>
          <w:rFonts w:ascii="Arial" w:hAnsi="Arial" w:cs="Arial"/>
        </w:rPr>
        <w:t>the impact menopause has on</w:t>
      </w:r>
      <w:r w:rsidR="006C467B" w:rsidRPr="00584D41">
        <w:rPr>
          <w:rFonts w:ascii="Arial" w:hAnsi="Arial" w:cs="Arial"/>
        </w:rPr>
        <w:t xml:space="preserve"> performance and career progression for women at UWTSD.</w:t>
      </w:r>
      <w:r w:rsidRPr="00584D41">
        <w:rPr>
          <w:rFonts w:ascii="Arial" w:hAnsi="Arial" w:cs="Arial"/>
        </w:rPr>
        <w:t xml:space="preserve"> </w:t>
      </w:r>
    </w:p>
    <w:p w14:paraId="2146FE0F" w14:textId="13046DF2" w:rsidR="00CB021D" w:rsidRPr="00584D41" w:rsidRDefault="00CB021D">
      <w:pPr>
        <w:rPr>
          <w:rFonts w:ascii="Arial" w:hAnsi="Arial" w:cs="Arial"/>
          <w:b/>
          <w:bCs/>
          <w:u w:val="single"/>
        </w:rPr>
      </w:pPr>
      <w:r w:rsidRPr="00584D41">
        <w:rPr>
          <w:rFonts w:ascii="Arial" w:hAnsi="Arial" w:cs="Arial"/>
          <w:b/>
          <w:bCs/>
          <w:u w:val="single"/>
        </w:rPr>
        <w:t>Objectives</w:t>
      </w:r>
    </w:p>
    <w:p w14:paraId="49032129" w14:textId="17FC78F7" w:rsidR="00CB021D" w:rsidRPr="00584D41" w:rsidRDefault="007573FC" w:rsidP="00CB021D">
      <w:pPr>
        <w:pStyle w:val="ListParagraph"/>
        <w:numPr>
          <w:ilvl w:val="0"/>
          <w:numId w:val="1"/>
        </w:numPr>
        <w:rPr>
          <w:rFonts w:ascii="Arial" w:hAnsi="Arial" w:cs="Arial"/>
        </w:rPr>
      </w:pPr>
      <w:r w:rsidRPr="00584D41">
        <w:rPr>
          <w:rFonts w:ascii="Arial" w:hAnsi="Arial" w:cs="Arial"/>
        </w:rPr>
        <w:t>Review</w:t>
      </w:r>
      <w:r w:rsidR="00CB021D" w:rsidRPr="00584D41">
        <w:rPr>
          <w:rFonts w:ascii="Arial" w:hAnsi="Arial" w:cs="Arial"/>
        </w:rPr>
        <w:t xml:space="preserve"> symptoms effecting women during the menopause </w:t>
      </w:r>
      <w:r w:rsidR="00F25069" w:rsidRPr="00584D41">
        <w:rPr>
          <w:rFonts w:ascii="Arial" w:hAnsi="Arial" w:cs="Arial"/>
        </w:rPr>
        <w:t>at work</w:t>
      </w:r>
      <w:r w:rsidR="00FE4C20">
        <w:rPr>
          <w:rFonts w:ascii="Arial" w:hAnsi="Arial" w:cs="Arial"/>
        </w:rPr>
        <w:t xml:space="preserve"> </w:t>
      </w:r>
      <w:r w:rsidR="00596413">
        <w:rPr>
          <w:rFonts w:ascii="Arial" w:hAnsi="Arial" w:cs="Arial"/>
        </w:rPr>
        <w:t>(</w:t>
      </w:r>
      <w:r w:rsidR="00FE4C20">
        <w:rPr>
          <w:rFonts w:ascii="Arial" w:hAnsi="Arial" w:cs="Arial"/>
        </w:rPr>
        <w:t>primary and secondary research</w:t>
      </w:r>
      <w:r w:rsidR="00596413">
        <w:rPr>
          <w:rFonts w:ascii="Arial" w:hAnsi="Arial" w:cs="Arial"/>
        </w:rPr>
        <w:t>)</w:t>
      </w:r>
      <w:r w:rsidR="00FE4C20">
        <w:rPr>
          <w:rFonts w:ascii="Arial" w:hAnsi="Arial" w:cs="Arial"/>
        </w:rPr>
        <w:t>.</w:t>
      </w:r>
      <w:r w:rsidR="00CB021D" w:rsidRPr="00584D41">
        <w:rPr>
          <w:rFonts w:ascii="Arial" w:hAnsi="Arial" w:cs="Arial"/>
        </w:rPr>
        <w:t xml:space="preserve"> </w:t>
      </w:r>
    </w:p>
    <w:p w14:paraId="5406281E" w14:textId="413E1AAF" w:rsidR="00CB021D" w:rsidRPr="00584D41" w:rsidRDefault="00CB021D" w:rsidP="00CB021D">
      <w:pPr>
        <w:pStyle w:val="ListParagraph"/>
        <w:numPr>
          <w:ilvl w:val="0"/>
          <w:numId w:val="1"/>
        </w:numPr>
        <w:rPr>
          <w:rFonts w:ascii="Arial" w:hAnsi="Arial" w:cs="Arial"/>
        </w:rPr>
      </w:pPr>
      <w:r w:rsidRPr="00584D41">
        <w:rPr>
          <w:rFonts w:ascii="Arial" w:hAnsi="Arial" w:cs="Arial"/>
        </w:rPr>
        <w:t xml:space="preserve">Critically analyse the </w:t>
      </w:r>
      <w:r w:rsidR="006C467B" w:rsidRPr="00584D41">
        <w:rPr>
          <w:rFonts w:ascii="Arial" w:hAnsi="Arial" w:cs="Arial"/>
        </w:rPr>
        <w:t>possible correlation between menopausal symptoms and work performance and career progression</w:t>
      </w:r>
      <w:r w:rsidR="00FE4C20">
        <w:rPr>
          <w:rFonts w:ascii="Arial" w:hAnsi="Arial" w:cs="Arial"/>
        </w:rPr>
        <w:t xml:space="preserve"> </w:t>
      </w:r>
      <w:r w:rsidR="00596413">
        <w:rPr>
          <w:rFonts w:ascii="Arial" w:hAnsi="Arial" w:cs="Arial"/>
        </w:rPr>
        <w:t>(</w:t>
      </w:r>
      <w:r w:rsidR="00FE4C20">
        <w:rPr>
          <w:rFonts w:ascii="Arial" w:hAnsi="Arial" w:cs="Arial"/>
        </w:rPr>
        <w:t>primary and secondary research</w:t>
      </w:r>
      <w:r w:rsidR="00596413">
        <w:rPr>
          <w:rFonts w:ascii="Arial" w:hAnsi="Arial" w:cs="Arial"/>
        </w:rPr>
        <w:t>)</w:t>
      </w:r>
      <w:r w:rsidR="00FE4C20">
        <w:rPr>
          <w:rFonts w:ascii="Arial" w:hAnsi="Arial" w:cs="Arial"/>
        </w:rPr>
        <w:t>.</w:t>
      </w:r>
    </w:p>
    <w:p w14:paraId="684C3C12" w14:textId="63948999" w:rsidR="004F10C3" w:rsidRPr="009062D2" w:rsidRDefault="00F25069" w:rsidP="00E36215">
      <w:pPr>
        <w:pStyle w:val="ListParagraph"/>
        <w:numPr>
          <w:ilvl w:val="0"/>
          <w:numId w:val="1"/>
        </w:numPr>
        <w:rPr>
          <w:rFonts w:ascii="Arial" w:hAnsi="Arial" w:cs="Arial"/>
          <w:u w:val="single"/>
        </w:rPr>
      </w:pPr>
      <w:r w:rsidRPr="009062D2">
        <w:rPr>
          <w:rFonts w:ascii="Arial" w:hAnsi="Arial" w:cs="Arial"/>
        </w:rPr>
        <w:t xml:space="preserve">Formulate a proposal </w:t>
      </w:r>
      <w:r w:rsidR="006C467B" w:rsidRPr="009062D2">
        <w:rPr>
          <w:rFonts w:ascii="Arial" w:hAnsi="Arial" w:cs="Arial"/>
        </w:rPr>
        <w:t xml:space="preserve">of recommendations </w:t>
      </w:r>
      <w:r w:rsidR="00C11C4F" w:rsidRPr="009062D2">
        <w:rPr>
          <w:rFonts w:ascii="Arial" w:hAnsi="Arial" w:cs="Arial"/>
        </w:rPr>
        <w:t xml:space="preserve">to support women’s careers at work within UWTSD. </w:t>
      </w:r>
    </w:p>
    <w:p w14:paraId="0982F2DC" w14:textId="36CCC271" w:rsidR="00F25069" w:rsidRPr="00584D41" w:rsidRDefault="00F25069" w:rsidP="00F25069">
      <w:pPr>
        <w:rPr>
          <w:rFonts w:ascii="Arial" w:hAnsi="Arial" w:cs="Arial"/>
          <w:b/>
          <w:bCs/>
          <w:u w:val="single"/>
        </w:rPr>
      </w:pPr>
      <w:r w:rsidRPr="00584D41">
        <w:rPr>
          <w:rFonts w:ascii="Arial" w:hAnsi="Arial" w:cs="Arial"/>
          <w:b/>
          <w:bCs/>
          <w:u w:val="single"/>
        </w:rPr>
        <w:t>Theoretical Context</w:t>
      </w:r>
    </w:p>
    <w:p w14:paraId="1AD65ECF" w14:textId="0208F7FE" w:rsidR="00DF7DDF" w:rsidRPr="00584D41" w:rsidRDefault="00B553C7">
      <w:pPr>
        <w:rPr>
          <w:rFonts w:ascii="Arial" w:hAnsi="Arial" w:cs="Arial"/>
        </w:rPr>
      </w:pPr>
      <w:r w:rsidRPr="00584D41">
        <w:rPr>
          <w:rFonts w:ascii="Arial" w:hAnsi="Arial" w:cs="Arial"/>
        </w:rPr>
        <w:t>Women over 50 are among the fastest-growing segments of the workforce (O’Neill, Jone &amp; Reid, 2023), which means a</w:t>
      </w:r>
      <w:r w:rsidR="00F45EDB" w:rsidRPr="00584D41">
        <w:rPr>
          <w:rFonts w:ascii="Arial" w:hAnsi="Arial" w:cs="Arial"/>
        </w:rPr>
        <w:t xml:space="preserve"> greater number of women than ever are now working throughout their entire menopause cycle (Hardy et al., 2018;</w:t>
      </w:r>
      <w:r w:rsidR="004F10C3" w:rsidRPr="00584D41">
        <w:rPr>
          <w:rFonts w:ascii="Arial" w:hAnsi="Arial" w:cs="Arial"/>
        </w:rPr>
        <w:t xml:space="preserve"> Tatum, 2024</w:t>
      </w:r>
      <w:r w:rsidR="00F45EDB" w:rsidRPr="00584D41">
        <w:rPr>
          <w:rFonts w:ascii="Arial" w:hAnsi="Arial" w:cs="Arial"/>
        </w:rPr>
        <w:t xml:space="preserve">). In 2022, NHS England reported eight in 10 menopausal individuals </w:t>
      </w:r>
      <w:r w:rsidR="00AD29D7" w:rsidRPr="00584D41">
        <w:rPr>
          <w:rFonts w:ascii="Arial" w:hAnsi="Arial" w:cs="Arial"/>
        </w:rPr>
        <w:t xml:space="preserve">were </w:t>
      </w:r>
      <w:r w:rsidR="00F45EDB" w:rsidRPr="00584D41">
        <w:rPr>
          <w:rFonts w:ascii="Arial" w:hAnsi="Arial" w:cs="Arial"/>
        </w:rPr>
        <w:t xml:space="preserve">employed (NHS, 2022), and </w:t>
      </w:r>
      <w:r w:rsidR="00AD29D7" w:rsidRPr="00584D41">
        <w:rPr>
          <w:rFonts w:ascii="Arial" w:hAnsi="Arial" w:cs="Arial"/>
        </w:rPr>
        <w:t xml:space="preserve">in 2019, </w:t>
      </w:r>
      <w:r w:rsidR="00F45EDB" w:rsidRPr="00584D41">
        <w:rPr>
          <w:rFonts w:ascii="Arial" w:hAnsi="Arial" w:cs="Arial"/>
        </w:rPr>
        <w:t xml:space="preserve">almost 900,000 </w:t>
      </w:r>
      <w:r w:rsidR="00AD29D7" w:rsidRPr="00584D41">
        <w:rPr>
          <w:rFonts w:ascii="Arial" w:hAnsi="Arial" w:cs="Arial"/>
        </w:rPr>
        <w:t xml:space="preserve">women </w:t>
      </w:r>
      <w:r w:rsidR="00F45EDB" w:rsidRPr="00584D41">
        <w:rPr>
          <w:rFonts w:ascii="Arial" w:hAnsi="Arial" w:cs="Arial"/>
        </w:rPr>
        <w:t xml:space="preserve">left their jobs because of their menopausal </w:t>
      </w:r>
      <w:r w:rsidR="00F45EDB" w:rsidRPr="00584D41">
        <w:rPr>
          <w:rFonts w:ascii="Arial" w:hAnsi="Arial" w:cs="Arial"/>
        </w:rPr>
        <w:lastRenderedPageBreak/>
        <w:t>symptoms (</w:t>
      </w:r>
      <w:r w:rsidR="00AD29D7" w:rsidRPr="00584D41">
        <w:rPr>
          <w:rFonts w:ascii="Arial" w:hAnsi="Arial" w:cs="Arial"/>
        </w:rPr>
        <w:t xml:space="preserve">BUPA, 2021). </w:t>
      </w:r>
      <w:r w:rsidR="00DF7DDF" w:rsidRPr="00584D41">
        <w:rPr>
          <w:rFonts w:ascii="Arial" w:hAnsi="Arial" w:cs="Arial"/>
        </w:rPr>
        <w:t xml:space="preserve">As a result, employer and researcher awareness of </w:t>
      </w:r>
      <w:r w:rsidR="00C11C4F" w:rsidRPr="00584D41">
        <w:rPr>
          <w:rFonts w:ascii="Arial" w:hAnsi="Arial" w:cs="Arial"/>
        </w:rPr>
        <w:t xml:space="preserve">the </w:t>
      </w:r>
      <w:r w:rsidR="00DF7DDF" w:rsidRPr="00584D41">
        <w:rPr>
          <w:rFonts w:ascii="Arial" w:hAnsi="Arial" w:cs="Arial"/>
        </w:rPr>
        <w:t>menopause has increased</w:t>
      </w:r>
      <w:r w:rsidR="00A805F1" w:rsidRPr="00584D41">
        <w:rPr>
          <w:rFonts w:ascii="Arial" w:hAnsi="Arial" w:cs="Arial"/>
        </w:rPr>
        <w:t>. Interest has especially increased due to the rise in tribunal cases related to menopause, highlighting the importance for employer</w:t>
      </w:r>
      <w:r w:rsidR="00D91A3F" w:rsidRPr="00584D41">
        <w:rPr>
          <w:rFonts w:ascii="Arial" w:hAnsi="Arial" w:cs="Arial"/>
        </w:rPr>
        <w:t>s</w:t>
      </w:r>
      <w:r w:rsidR="00A805F1" w:rsidRPr="00584D41">
        <w:rPr>
          <w:rFonts w:ascii="Arial" w:hAnsi="Arial" w:cs="Arial"/>
        </w:rPr>
        <w:t xml:space="preserve"> to address it seriously (Banks &amp; Stalker, 2024). Yet, </w:t>
      </w:r>
      <w:r w:rsidR="00DF7DDF" w:rsidRPr="00584D41">
        <w:rPr>
          <w:rFonts w:ascii="Arial" w:hAnsi="Arial" w:cs="Arial"/>
        </w:rPr>
        <w:t xml:space="preserve">few studies examine the specific impact of individual menopausal symptoms on employees’ work </w:t>
      </w:r>
      <w:r w:rsidR="00D91A3F" w:rsidRPr="00584D41">
        <w:rPr>
          <w:rFonts w:ascii="Arial" w:hAnsi="Arial" w:cs="Arial"/>
        </w:rPr>
        <w:t xml:space="preserve">performance </w:t>
      </w:r>
      <w:r w:rsidR="00DF7DDF" w:rsidRPr="00584D41">
        <w:rPr>
          <w:rFonts w:ascii="Arial" w:hAnsi="Arial" w:cs="Arial"/>
        </w:rPr>
        <w:t>and career progression</w:t>
      </w:r>
      <w:r w:rsidR="005B4E41">
        <w:rPr>
          <w:rFonts w:ascii="Arial" w:hAnsi="Arial" w:cs="Arial"/>
        </w:rPr>
        <w:t xml:space="preserve"> which can both be essential in ensuring organisational success </w:t>
      </w:r>
      <w:r w:rsidR="00FF10FC">
        <w:rPr>
          <w:rFonts w:ascii="Arial" w:hAnsi="Arial" w:cs="Arial"/>
        </w:rPr>
        <w:t xml:space="preserve">(Islam, 2023). </w:t>
      </w:r>
    </w:p>
    <w:p w14:paraId="72F3BE9A" w14:textId="4111B14F" w:rsidR="00DF7DDF" w:rsidRPr="00584D41" w:rsidRDefault="00331508">
      <w:pPr>
        <w:rPr>
          <w:rFonts w:ascii="Arial" w:hAnsi="Arial" w:cs="Arial"/>
        </w:rPr>
      </w:pPr>
      <w:r w:rsidRPr="00584D41">
        <w:rPr>
          <w:rFonts w:ascii="Arial" w:hAnsi="Arial" w:cs="Arial"/>
        </w:rPr>
        <w:t>There are currently between 35-45 known menopausal symptoms, including, depression, chronic fatigue, irritable bowel syndrome, muscle aches and join</w:t>
      </w:r>
      <w:r w:rsidR="004F10C3" w:rsidRPr="00584D41">
        <w:rPr>
          <w:rFonts w:ascii="Arial" w:hAnsi="Arial" w:cs="Arial"/>
        </w:rPr>
        <w:t>t</w:t>
      </w:r>
      <w:r w:rsidRPr="00584D41">
        <w:rPr>
          <w:rFonts w:ascii="Arial" w:hAnsi="Arial" w:cs="Arial"/>
        </w:rPr>
        <w:t xml:space="preserve"> pains, reduced sex drive and brain fog (NHS, 2022). Among other medical professionals, Dr Katherine Kearley-Shiers highlights how “menopause can be really impactful on people’s ability to work” (Phillips, 2024)</w:t>
      </w:r>
      <w:r w:rsidR="004B07BF" w:rsidRPr="00584D41">
        <w:rPr>
          <w:rFonts w:ascii="Arial" w:hAnsi="Arial" w:cs="Arial"/>
        </w:rPr>
        <w:t xml:space="preserve"> and most assert it is often a negative experience for women (BMA, 2020). However, studies have demonstrated experiencing menopausal symptoms at work can be navigated more positively when women are equipped with the necessary tools to manage it (CIPD, 2021). </w:t>
      </w:r>
      <w:r w:rsidR="00A8777B" w:rsidRPr="00584D41">
        <w:rPr>
          <w:rFonts w:ascii="Arial" w:hAnsi="Arial" w:cs="Arial"/>
        </w:rPr>
        <w:t>It is important for UWTSD to ensure adequate support is provided to it’s staff as studies indicate employers are losing female talent at the height of their careers due to negative experiences with menopausal symptoms at work (</w:t>
      </w:r>
      <w:r w:rsidR="00E64515" w:rsidRPr="00584D41">
        <w:rPr>
          <w:rFonts w:ascii="Arial" w:hAnsi="Arial" w:cs="Arial"/>
        </w:rPr>
        <w:t>O, 2023).</w:t>
      </w:r>
      <w:r w:rsidR="004F10C3" w:rsidRPr="00584D41">
        <w:rPr>
          <w:rFonts w:ascii="Arial" w:hAnsi="Arial" w:cs="Arial"/>
        </w:rPr>
        <w:t xml:space="preserve"> Studies have revealed a significant association between menopausal symptoms and women’s performance and career choices (O’Neill, Jone &amp; Reid, 2023)</w:t>
      </w:r>
      <w:r w:rsidR="004E174E" w:rsidRPr="00584D41">
        <w:rPr>
          <w:rFonts w:ascii="Arial" w:hAnsi="Arial" w:cs="Arial"/>
        </w:rPr>
        <w:t xml:space="preserve">, with 67% of women experiencing menopausal symptoms reporting on the negative impact they have on their work, 79% due to reduced concentration and 68% due to heightened stress levels (CIPD, 2023). </w:t>
      </w:r>
      <w:r w:rsidR="000510BB" w:rsidRPr="00584D41">
        <w:rPr>
          <w:rFonts w:ascii="Arial" w:hAnsi="Arial" w:cs="Arial"/>
        </w:rPr>
        <w:t xml:space="preserve">Many researchers have </w:t>
      </w:r>
      <w:r w:rsidR="00A56F2E" w:rsidRPr="00584D41">
        <w:rPr>
          <w:rFonts w:ascii="Arial" w:hAnsi="Arial" w:cs="Arial"/>
        </w:rPr>
        <w:t xml:space="preserve">therefore </w:t>
      </w:r>
      <w:r w:rsidR="000510BB" w:rsidRPr="00584D41">
        <w:rPr>
          <w:rFonts w:ascii="Arial" w:hAnsi="Arial" w:cs="Arial"/>
        </w:rPr>
        <w:t xml:space="preserve">established an employer’s lack of support in the workplace can lead to some individuals leaving their jobs (Stevens &amp; Hallewell-Hoomph, 2024). </w:t>
      </w:r>
      <w:r w:rsidR="00C11C4F" w:rsidRPr="00584D41">
        <w:rPr>
          <w:rFonts w:ascii="Arial" w:hAnsi="Arial" w:cs="Arial"/>
        </w:rPr>
        <w:t>This would have a detrimental effect on an employer such as UWTSD as it would jeopardize the loss of valuable skills and expertise as well as accrue elevated hiring expenses (Massingham, 2018).</w:t>
      </w:r>
    </w:p>
    <w:p w14:paraId="79616719" w14:textId="1E79493C" w:rsidR="00584D41" w:rsidRDefault="001813FC">
      <w:pPr>
        <w:rPr>
          <w:rFonts w:ascii="Arial" w:hAnsi="Arial" w:cs="Arial"/>
        </w:rPr>
      </w:pPr>
      <w:r w:rsidRPr="00584D41">
        <w:rPr>
          <w:rFonts w:ascii="Arial" w:hAnsi="Arial" w:cs="Arial"/>
        </w:rPr>
        <w:t>Aside from an overall decrease in employee morale and performance, UWTSD must also</w:t>
      </w:r>
      <w:r w:rsidR="00E64515" w:rsidRPr="00584D41">
        <w:rPr>
          <w:rFonts w:ascii="Arial" w:hAnsi="Arial" w:cs="Arial"/>
        </w:rPr>
        <w:t xml:space="preserve"> acknowledge that symptoms of </w:t>
      </w:r>
      <w:r w:rsidR="00904D78">
        <w:rPr>
          <w:rFonts w:ascii="Arial" w:hAnsi="Arial" w:cs="Arial"/>
        </w:rPr>
        <w:t xml:space="preserve">the </w:t>
      </w:r>
      <w:r w:rsidR="00E64515" w:rsidRPr="00584D41">
        <w:rPr>
          <w:rFonts w:ascii="Arial" w:hAnsi="Arial" w:cs="Arial"/>
        </w:rPr>
        <w:t>menopause can be considered a disability if they significantly and persistently affect a women’s ability to perform daily activities (EHRC, 2024).</w:t>
      </w:r>
      <w:r w:rsidR="0014758C" w:rsidRPr="00584D41">
        <w:rPr>
          <w:rFonts w:ascii="Arial" w:hAnsi="Arial" w:cs="Arial"/>
        </w:rPr>
        <w:t xml:space="preserve"> </w:t>
      </w:r>
      <w:r w:rsidR="008A5184">
        <w:rPr>
          <w:rFonts w:ascii="Arial" w:hAnsi="Arial" w:cs="Arial"/>
        </w:rPr>
        <w:t>L</w:t>
      </w:r>
      <w:r w:rsidR="0014758C" w:rsidRPr="00584D41">
        <w:rPr>
          <w:rFonts w:ascii="Arial" w:hAnsi="Arial" w:cs="Arial"/>
        </w:rPr>
        <w:t xml:space="preserve">ack of awareness about menopause in the workplace has led many high-performing women to struggle with their symptoms and ultimately decide to leave their jobs due to insufficient support (Wharton, 2024). Employers could therefore be at risk of tribunal claims for disability discrimination </w:t>
      </w:r>
      <w:r w:rsidR="004F4E22" w:rsidRPr="00584D41">
        <w:rPr>
          <w:rFonts w:ascii="Arial" w:hAnsi="Arial" w:cs="Arial"/>
        </w:rPr>
        <w:t xml:space="preserve">if they do not make the required adjustments in the workplace or provide necessary support (Faragher, 2024). </w:t>
      </w:r>
    </w:p>
    <w:p w14:paraId="7C249083" w14:textId="77777777" w:rsidR="003F461B" w:rsidRDefault="003F461B">
      <w:pPr>
        <w:rPr>
          <w:rFonts w:ascii="Arial" w:hAnsi="Arial" w:cs="Arial"/>
          <w:b/>
          <w:bCs/>
          <w:u w:val="single"/>
        </w:rPr>
      </w:pPr>
    </w:p>
    <w:p w14:paraId="6414C35E" w14:textId="3AB63BE5" w:rsidR="00516146" w:rsidRPr="00584D41" w:rsidRDefault="008F1BCE">
      <w:pPr>
        <w:rPr>
          <w:rFonts w:ascii="Arial" w:hAnsi="Arial" w:cs="Arial"/>
          <w:b/>
          <w:bCs/>
          <w:u w:val="single"/>
        </w:rPr>
      </w:pPr>
      <w:r w:rsidRPr="00584D41">
        <w:rPr>
          <w:rFonts w:ascii="Arial" w:hAnsi="Arial" w:cs="Arial"/>
          <w:b/>
          <w:bCs/>
          <w:u w:val="single"/>
        </w:rPr>
        <w:t xml:space="preserve">Methodology </w:t>
      </w:r>
    </w:p>
    <w:p w14:paraId="13FCB777" w14:textId="3F08378F" w:rsidR="00F06205" w:rsidRPr="00584D41" w:rsidRDefault="000557E1" w:rsidP="00F06205">
      <w:pPr>
        <w:rPr>
          <w:rFonts w:ascii="Arial" w:hAnsi="Arial" w:cs="Arial"/>
          <w:u w:val="single"/>
        </w:rPr>
      </w:pPr>
      <w:r w:rsidRPr="00584D41">
        <w:rPr>
          <w:rFonts w:ascii="Arial" w:hAnsi="Arial" w:cs="Arial"/>
          <w:u w:val="single"/>
        </w:rPr>
        <w:t>Philosophy</w:t>
      </w:r>
      <w:r w:rsidR="00F06205" w:rsidRPr="00584D41">
        <w:rPr>
          <w:rFonts w:ascii="Arial" w:hAnsi="Arial" w:cs="Arial"/>
          <w:u w:val="single"/>
        </w:rPr>
        <w:t xml:space="preserve"> &amp; Choice of Methods</w:t>
      </w:r>
      <w:r w:rsidR="008C4A0A" w:rsidRPr="00584D41">
        <w:rPr>
          <w:rFonts w:ascii="Arial" w:hAnsi="Arial" w:cs="Arial"/>
          <w:u w:val="single"/>
        </w:rPr>
        <w:t xml:space="preserve"> &amp; Strategy</w:t>
      </w:r>
    </w:p>
    <w:p w14:paraId="5D35BC2A" w14:textId="74A68AB4" w:rsidR="006C467B" w:rsidRPr="00584D41" w:rsidRDefault="006913AE">
      <w:pPr>
        <w:rPr>
          <w:rFonts w:ascii="Arial" w:hAnsi="Arial" w:cs="Arial"/>
        </w:rPr>
      </w:pPr>
      <w:r w:rsidRPr="00584D41">
        <w:rPr>
          <w:rFonts w:ascii="Arial" w:hAnsi="Arial" w:cs="Arial"/>
        </w:rPr>
        <w:t xml:space="preserve">A </w:t>
      </w:r>
      <w:r w:rsidR="00220F37" w:rsidRPr="00584D41">
        <w:rPr>
          <w:rFonts w:ascii="Arial" w:hAnsi="Arial" w:cs="Arial"/>
          <w:b/>
          <w:bCs/>
        </w:rPr>
        <w:t>mono-method</w:t>
      </w:r>
      <w:r w:rsidR="00220F37" w:rsidRPr="00584D41">
        <w:rPr>
          <w:rFonts w:ascii="Arial" w:hAnsi="Arial" w:cs="Arial"/>
        </w:rPr>
        <w:t xml:space="preserve"> approach using a </w:t>
      </w:r>
      <w:r w:rsidRPr="00584D41">
        <w:rPr>
          <w:rFonts w:ascii="Arial" w:hAnsi="Arial" w:cs="Arial"/>
          <w:b/>
          <w:bCs/>
        </w:rPr>
        <w:t>qualitative</w:t>
      </w:r>
      <w:r w:rsidR="00220F37" w:rsidRPr="00584D41">
        <w:rPr>
          <w:rFonts w:ascii="Arial" w:hAnsi="Arial" w:cs="Arial"/>
        </w:rPr>
        <w:t xml:space="preserve"> research method</w:t>
      </w:r>
      <w:r w:rsidRPr="00584D41">
        <w:rPr>
          <w:rFonts w:ascii="Arial" w:hAnsi="Arial" w:cs="Arial"/>
        </w:rPr>
        <w:t xml:space="preserve"> will be utilised in this study through</w:t>
      </w:r>
      <w:r w:rsidR="004D6F73" w:rsidRPr="00584D41">
        <w:rPr>
          <w:rFonts w:ascii="Arial" w:hAnsi="Arial" w:cs="Arial"/>
        </w:rPr>
        <w:t xml:space="preserve"> </w:t>
      </w:r>
      <w:r w:rsidRPr="00584D41">
        <w:rPr>
          <w:rFonts w:ascii="Arial" w:hAnsi="Arial" w:cs="Arial"/>
          <w:b/>
          <w:bCs/>
        </w:rPr>
        <w:t>semi-structured interviews</w:t>
      </w:r>
      <w:r w:rsidR="00220F37" w:rsidRPr="00584D41">
        <w:rPr>
          <w:rFonts w:ascii="Arial" w:hAnsi="Arial" w:cs="Arial"/>
        </w:rPr>
        <w:t>, suitable for studying a sensitive topic</w:t>
      </w:r>
      <w:r w:rsidR="000C754D" w:rsidRPr="00584D41">
        <w:rPr>
          <w:rFonts w:ascii="Arial" w:hAnsi="Arial" w:cs="Arial"/>
        </w:rPr>
        <w:t xml:space="preserve"> </w:t>
      </w:r>
      <w:r w:rsidR="000C754D" w:rsidRPr="00584D41">
        <w:rPr>
          <w:rFonts w:ascii="Arial" w:hAnsi="Arial" w:cs="Arial"/>
        </w:rPr>
        <w:lastRenderedPageBreak/>
        <w:t>(</w:t>
      </w:r>
      <w:r w:rsidR="00832726" w:rsidRPr="00584D41">
        <w:rPr>
          <w:rFonts w:ascii="Arial" w:hAnsi="Arial" w:cs="Arial"/>
        </w:rPr>
        <w:t>Silverio et al., 2022)</w:t>
      </w:r>
      <w:r w:rsidR="00E5027E" w:rsidRPr="00584D41">
        <w:rPr>
          <w:rFonts w:ascii="Arial" w:hAnsi="Arial" w:cs="Arial"/>
        </w:rPr>
        <w:t>.</w:t>
      </w:r>
      <w:r w:rsidR="005D3C39" w:rsidRPr="00584D41">
        <w:rPr>
          <w:rFonts w:ascii="Arial" w:hAnsi="Arial" w:cs="Arial"/>
        </w:rPr>
        <w:t xml:space="preserve"> An online qualitative survey was initially considered as a research method due to its </w:t>
      </w:r>
      <w:r w:rsidR="00063563">
        <w:rPr>
          <w:rFonts w:ascii="Arial" w:hAnsi="Arial" w:cs="Arial"/>
        </w:rPr>
        <w:t>ability at</w:t>
      </w:r>
      <w:r w:rsidR="005D3C39" w:rsidRPr="00584D41">
        <w:rPr>
          <w:rFonts w:ascii="Arial" w:hAnsi="Arial" w:cs="Arial"/>
        </w:rPr>
        <w:t xml:space="preserve"> reaching a larger sample size </w:t>
      </w:r>
      <w:r w:rsidR="007108BB" w:rsidRPr="00584D41">
        <w:rPr>
          <w:rFonts w:ascii="Arial" w:hAnsi="Arial" w:cs="Arial"/>
        </w:rPr>
        <w:t>which would offer the potential to capture a range of perspectives and experiences (Braun et al., 20</w:t>
      </w:r>
      <w:r w:rsidR="0094117E" w:rsidRPr="00584D41">
        <w:rPr>
          <w:rFonts w:ascii="Arial" w:hAnsi="Arial" w:cs="Arial"/>
        </w:rPr>
        <w:t>21</w:t>
      </w:r>
      <w:r w:rsidR="007108BB" w:rsidRPr="00584D41">
        <w:rPr>
          <w:rFonts w:ascii="Arial" w:hAnsi="Arial" w:cs="Arial"/>
        </w:rPr>
        <w:t xml:space="preserve">). However, </w:t>
      </w:r>
      <w:r w:rsidR="005B4E41">
        <w:rPr>
          <w:rFonts w:ascii="Arial" w:hAnsi="Arial" w:cs="Arial"/>
        </w:rPr>
        <w:t xml:space="preserve">studies have proven when researching a sensitive topic such as menopause </w:t>
      </w:r>
      <w:r w:rsidR="0061304E">
        <w:rPr>
          <w:rFonts w:ascii="Arial" w:hAnsi="Arial" w:cs="Arial"/>
        </w:rPr>
        <w:t xml:space="preserve">(Ishak, 2021) </w:t>
      </w:r>
      <w:r w:rsidR="007108BB" w:rsidRPr="00584D41">
        <w:rPr>
          <w:rFonts w:ascii="Arial" w:hAnsi="Arial" w:cs="Arial"/>
        </w:rPr>
        <w:t xml:space="preserve">interviews </w:t>
      </w:r>
      <w:r w:rsidR="005B4E41">
        <w:rPr>
          <w:rFonts w:ascii="Arial" w:hAnsi="Arial" w:cs="Arial"/>
        </w:rPr>
        <w:t xml:space="preserve">can </w:t>
      </w:r>
      <w:r w:rsidR="007108BB" w:rsidRPr="00584D41">
        <w:rPr>
          <w:rFonts w:ascii="Arial" w:hAnsi="Arial" w:cs="Arial"/>
        </w:rPr>
        <w:t>provide deeper insight</w:t>
      </w:r>
      <w:r w:rsidR="00EF6A17" w:rsidRPr="00584D41">
        <w:rPr>
          <w:rFonts w:ascii="Arial" w:hAnsi="Arial" w:cs="Arial"/>
        </w:rPr>
        <w:t>s</w:t>
      </w:r>
      <w:r w:rsidR="007108BB" w:rsidRPr="00584D41">
        <w:rPr>
          <w:rFonts w:ascii="Arial" w:hAnsi="Arial" w:cs="Arial"/>
        </w:rPr>
        <w:t xml:space="preserve"> and facilitate more detailed and nuanced responses (</w:t>
      </w:r>
      <w:r w:rsidR="00EF6A17" w:rsidRPr="00584D41">
        <w:rPr>
          <w:rFonts w:ascii="Arial" w:hAnsi="Arial" w:cs="Arial"/>
        </w:rPr>
        <w:t>Portigal, 2023</w:t>
      </w:r>
      <w:r w:rsidR="007108BB" w:rsidRPr="00584D41">
        <w:rPr>
          <w:rFonts w:ascii="Arial" w:hAnsi="Arial" w:cs="Arial"/>
        </w:rPr>
        <w:t xml:space="preserve">). </w:t>
      </w:r>
      <w:r w:rsidR="00E5027E" w:rsidRPr="00584D41">
        <w:rPr>
          <w:rFonts w:ascii="Arial" w:hAnsi="Arial" w:cs="Arial"/>
        </w:rPr>
        <w:t>The interviews will consist of pre-set, open-ended questions derived from literature, allowing additional questions to emerge from discussion</w:t>
      </w:r>
      <w:r w:rsidR="008A5184">
        <w:rPr>
          <w:rFonts w:ascii="Arial" w:hAnsi="Arial" w:cs="Arial"/>
        </w:rPr>
        <w:t>s</w:t>
      </w:r>
      <w:r w:rsidR="00E5027E" w:rsidRPr="00584D41">
        <w:rPr>
          <w:rFonts w:ascii="Arial" w:hAnsi="Arial" w:cs="Arial"/>
        </w:rPr>
        <w:t xml:space="preserve"> (Denny &amp; Weckesser, 2022). </w:t>
      </w:r>
      <w:r w:rsidR="00290E5F" w:rsidRPr="00584D41">
        <w:rPr>
          <w:rFonts w:ascii="Arial" w:hAnsi="Arial" w:cs="Arial"/>
        </w:rPr>
        <w:t>Employing this</w:t>
      </w:r>
      <w:r w:rsidR="00E5027E" w:rsidRPr="00584D41">
        <w:rPr>
          <w:rFonts w:ascii="Arial" w:hAnsi="Arial" w:cs="Arial"/>
        </w:rPr>
        <w:t xml:space="preserve"> method will allow me to </w:t>
      </w:r>
      <w:r w:rsidRPr="00584D41">
        <w:rPr>
          <w:rFonts w:ascii="Arial" w:hAnsi="Arial" w:cs="Arial"/>
        </w:rPr>
        <w:t xml:space="preserve">“explore [the] subject in as real a manner as is possible” (Saunders, Lewis &amp; Thornhill, 2016).  </w:t>
      </w:r>
      <w:r w:rsidR="00290E5F" w:rsidRPr="00584D41">
        <w:rPr>
          <w:rFonts w:ascii="Arial" w:hAnsi="Arial" w:cs="Arial"/>
        </w:rPr>
        <w:t>Given the topic of menopause is highly personal to each individual, t</w:t>
      </w:r>
      <w:r w:rsidR="00755278" w:rsidRPr="00584D41">
        <w:rPr>
          <w:rFonts w:ascii="Arial" w:hAnsi="Arial" w:cs="Arial"/>
        </w:rPr>
        <w:t xml:space="preserve">he research will take an </w:t>
      </w:r>
      <w:r w:rsidR="00755278" w:rsidRPr="00584D41">
        <w:rPr>
          <w:rFonts w:ascii="Arial" w:hAnsi="Arial" w:cs="Arial"/>
          <w:b/>
          <w:bCs/>
        </w:rPr>
        <w:t>interpretivist</w:t>
      </w:r>
      <w:r w:rsidR="00755278" w:rsidRPr="00584D41">
        <w:rPr>
          <w:rFonts w:ascii="Arial" w:hAnsi="Arial" w:cs="Arial"/>
        </w:rPr>
        <w:t xml:space="preserve"> approach and will rely </w:t>
      </w:r>
      <w:r w:rsidR="00290E5F" w:rsidRPr="00584D41">
        <w:rPr>
          <w:rFonts w:ascii="Arial" w:hAnsi="Arial" w:cs="Arial"/>
        </w:rPr>
        <w:t>on the interaction between the researcher, and the respondents (Irshaidat, 2022).</w:t>
      </w:r>
      <w:r w:rsidR="00BB2C5F" w:rsidRPr="00584D41">
        <w:rPr>
          <w:rFonts w:ascii="Arial" w:hAnsi="Arial" w:cs="Arial"/>
        </w:rPr>
        <w:t xml:space="preserve"> </w:t>
      </w:r>
      <w:r w:rsidR="009323FC" w:rsidRPr="00584D41">
        <w:rPr>
          <w:rFonts w:ascii="Arial" w:hAnsi="Arial" w:cs="Arial"/>
        </w:rPr>
        <w:t xml:space="preserve">This would imply the study is </w:t>
      </w:r>
      <w:r w:rsidR="009323FC" w:rsidRPr="00584D41">
        <w:rPr>
          <w:rFonts w:ascii="Arial" w:hAnsi="Arial" w:cs="Arial"/>
          <w:b/>
          <w:bCs/>
        </w:rPr>
        <w:t>subjective</w:t>
      </w:r>
      <w:r w:rsidR="000C754D" w:rsidRPr="00584D41">
        <w:rPr>
          <w:rFonts w:ascii="Arial" w:hAnsi="Arial" w:cs="Arial"/>
          <w:b/>
          <w:bCs/>
        </w:rPr>
        <w:t>,</w:t>
      </w:r>
      <w:r w:rsidR="009323FC" w:rsidRPr="00584D41">
        <w:rPr>
          <w:rFonts w:ascii="Arial" w:hAnsi="Arial" w:cs="Arial"/>
        </w:rPr>
        <w:t xml:space="preserve"> therefore</w:t>
      </w:r>
      <w:r w:rsidR="00063563">
        <w:rPr>
          <w:rFonts w:ascii="Arial" w:hAnsi="Arial" w:cs="Arial"/>
        </w:rPr>
        <w:t>,</w:t>
      </w:r>
      <w:r w:rsidR="009323FC" w:rsidRPr="00584D41">
        <w:rPr>
          <w:rFonts w:ascii="Arial" w:hAnsi="Arial" w:cs="Arial"/>
        </w:rPr>
        <w:t xml:space="preserve"> t</w:t>
      </w:r>
      <w:r w:rsidR="000557E1" w:rsidRPr="00584D41">
        <w:rPr>
          <w:rFonts w:ascii="Arial" w:hAnsi="Arial" w:cs="Arial"/>
        </w:rPr>
        <w:t xml:space="preserve">hrough the use of an </w:t>
      </w:r>
      <w:r w:rsidR="000557E1" w:rsidRPr="00584D41">
        <w:rPr>
          <w:rFonts w:ascii="Arial" w:hAnsi="Arial" w:cs="Arial"/>
          <w:b/>
          <w:bCs/>
        </w:rPr>
        <w:t>inductive</w:t>
      </w:r>
      <w:r w:rsidR="000557E1" w:rsidRPr="00584D41">
        <w:rPr>
          <w:rFonts w:ascii="Arial" w:hAnsi="Arial" w:cs="Arial"/>
        </w:rPr>
        <w:t xml:space="preserve"> design approach, the data derived from the interviews will be analysed to identify patterns and key themes to allow insights to emerge organically from the data rather than imposing preconceive</w:t>
      </w:r>
      <w:r w:rsidR="00063563">
        <w:rPr>
          <w:rFonts w:ascii="Arial" w:hAnsi="Arial" w:cs="Arial"/>
        </w:rPr>
        <w:t>d</w:t>
      </w:r>
      <w:r w:rsidR="000557E1" w:rsidRPr="00584D41">
        <w:rPr>
          <w:rFonts w:ascii="Arial" w:hAnsi="Arial" w:cs="Arial"/>
        </w:rPr>
        <w:t xml:space="preserve"> notions (Locsin &amp; Schoenhofer, 2024). </w:t>
      </w:r>
      <w:r w:rsidR="00C85739" w:rsidRPr="00584D41">
        <w:rPr>
          <w:rFonts w:ascii="Arial" w:hAnsi="Arial" w:cs="Arial"/>
        </w:rPr>
        <w:t xml:space="preserve">An advantage </w:t>
      </w:r>
      <w:r w:rsidR="009323FC" w:rsidRPr="00584D41">
        <w:rPr>
          <w:rFonts w:ascii="Arial" w:hAnsi="Arial" w:cs="Arial"/>
        </w:rPr>
        <w:t xml:space="preserve">of adopting an </w:t>
      </w:r>
      <w:r w:rsidR="009323FC" w:rsidRPr="00584D41">
        <w:rPr>
          <w:rFonts w:ascii="Arial" w:hAnsi="Arial" w:cs="Arial"/>
          <w:b/>
          <w:bCs/>
        </w:rPr>
        <w:t>interpretivist</w:t>
      </w:r>
      <w:r w:rsidR="009323FC" w:rsidRPr="00584D41">
        <w:rPr>
          <w:rFonts w:ascii="Arial" w:hAnsi="Arial" w:cs="Arial"/>
        </w:rPr>
        <w:t xml:space="preserve"> paradigm </w:t>
      </w:r>
      <w:r w:rsidR="00C85739" w:rsidRPr="00584D41">
        <w:rPr>
          <w:rFonts w:ascii="Arial" w:hAnsi="Arial" w:cs="Arial"/>
        </w:rPr>
        <w:t xml:space="preserve">is it enables the researcher to develop “a critical eye” (Dobson, 2009), however it is important to acknowledge this approach risks researcher bias based on personal and previous experiences and the exclusion of broader perspectives (Alborough &amp; Hansen, 2023). </w:t>
      </w:r>
      <w:r w:rsidR="008037F6" w:rsidRPr="00584D41">
        <w:rPr>
          <w:rFonts w:ascii="Arial" w:hAnsi="Arial" w:cs="Arial"/>
        </w:rPr>
        <w:t xml:space="preserve">Although, the familiarity can facilitate a deeper understanding of participants’ perceptions and interpretations of their lived experiences (Berger, 2015), </w:t>
      </w:r>
      <w:r w:rsidR="00C85739" w:rsidRPr="00584D41">
        <w:rPr>
          <w:rFonts w:ascii="Arial" w:hAnsi="Arial" w:cs="Arial"/>
        </w:rPr>
        <w:t>having observed family members experiences in the past, the researcher risks unconsciously placing extra emphasis on aspects they personally resonate with</w:t>
      </w:r>
      <w:r w:rsidR="000C754D" w:rsidRPr="00584D41">
        <w:rPr>
          <w:rFonts w:ascii="Arial" w:hAnsi="Arial" w:cs="Arial"/>
        </w:rPr>
        <w:t xml:space="preserve"> (</w:t>
      </w:r>
      <w:r w:rsidR="004866DF" w:rsidRPr="00584D41">
        <w:rPr>
          <w:rFonts w:ascii="Arial" w:hAnsi="Arial" w:cs="Arial"/>
        </w:rPr>
        <w:t>Johnson, Adkins &amp; Chauvin, 2020</w:t>
      </w:r>
      <w:r w:rsidR="000C754D" w:rsidRPr="00584D41">
        <w:rPr>
          <w:rFonts w:ascii="Arial" w:hAnsi="Arial" w:cs="Arial"/>
        </w:rPr>
        <w:t>)</w:t>
      </w:r>
      <w:r w:rsidR="00511B7F" w:rsidRPr="00584D41">
        <w:rPr>
          <w:rFonts w:ascii="Arial" w:hAnsi="Arial" w:cs="Arial"/>
        </w:rPr>
        <w:t xml:space="preserve">. </w:t>
      </w:r>
      <w:r w:rsidR="00B21C07">
        <w:rPr>
          <w:rFonts w:ascii="Arial" w:hAnsi="Arial" w:cs="Arial"/>
        </w:rPr>
        <w:t>T</w:t>
      </w:r>
      <w:r w:rsidR="00C61EAA" w:rsidRPr="00584D41">
        <w:rPr>
          <w:rFonts w:ascii="Arial" w:hAnsi="Arial" w:cs="Arial"/>
        </w:rPr>
        <w:t>o overcome this, it is crucial for the researcher to undertake extensive research and gather diverse viewpoints to ensure the data presented is balanced and accurate, avoiding any bias influenced by the researcher’s personal experiences and background (</w:t>
      </w:r>
      <w:r w:rsidR="008037F6" w:rsidRPr="00584D41">
        <w:rPr>
          <w:rFonts w:ascii="Arial" w:hAnsi="Arial" w:cs="Arial"/>
        </w:rPr>
        <w:t xml:space="preserve">Lietz, Langer &amp; Fruman, 2006). </w:t>
      </w:r>
    </w:p>
    <w:p w14:paraId="32F28EAE" w14:textId="68FE015D" w:rsidR="008F1BCE" w:rsidRPr="00584D41" w:rsidRDefault="000E3B19">
      <w:pPr>
        <w:rPr>
          <w:rFonts w:ascii="Arial" w:hAnsi="Arial" w:cs="Arial"/>
        </w:rPr>
      </w:pPr>
      <w:r w:rsidRPr="00584D41">
        <w:rPr>
          <w:rFonts w:ascii="Arial" w:hAnsi="Arial" w:cs="Arial"/>
        </w:rPr>
        <w:t xml:space="preserve">Through the use of </w:t>
      </w:r>
      <w:r w:rsidRPr="00584D41">
        <w:rPr>
          <w:rFonts w:ascii="Arial" w:hAnsi="Arial" w:cs="Arial"/>
          <w:b/>
          <w:bCs/>
        </w:rPr>
        <w:t>hermeneutic phenomenology</w:t>
      </w:r>
      <w:r w:rsidRPr="00584D41">
        <w:rPr>
          <w:rFonts w:ascii="Arial" w:hAnsi="Arial" w:cs="Arial"/>
        </w:rPr>
        <w:t>, the study will gather personal narratives and insights through exploring and interpreting lived experiences in relation to the research topic</w:t>
      </w:r>
      <w:r w:rsidR="006B17B4">
        <w:rPr>
          <w:rFonts w:ascii="Arial" w:hAnsi="Arial" w:cs="Arial"/>
        </w:rPr>
        <w:t>, which will aid in providing more accurate data</w:t>
      </w:r>
      <w:r w:rsidRPr="00584D41">
        <w:rPr>
          <w:rFonts w:ascii="Arial" w:hAnsi="Arial" w:cs="Arial"/>
        </w:rPr>
        <w:t xml:space="preserve"> (Sloan &amp; Bowe, 2014). </w:t>
      </w:r>
    </w:p>
    <w:p w14:paraId="7ED0493C" w14:textId="7B1EFF10" w:rsidR="00EC0F1E" w:rsidRPr="00584D41" w:rsidRDefault="00EC0F1E" w:rsidP="00EC0F1E">
      <w:pPr>
        <w:rPr>
          <w:rFonts w:ascii="Arial" w:hAnsi="Arial" w:cs="Arial"/>
        </w:rPr>
      </w:pPr>
      <w:r w:rsidRPr="00584D41">
        <w:rPr>
          <w:rFonts w:ascii="Arial" w:hAnsi="Arial" w:cs="Arial"/>
        </w:rPr>
        <w:t xml:space="preserve">Through employing a </w:t>
      </w:r>
      <w:r w:rsidRPr="00584D41">
        <w:rPr>
          <w:rFonts w:ascii="Arial" w:hAnsi="Arial" w:cs="Arial"/>
          <w:b/>
          <w:bCs/>
        </w:rPr>
        <w:t>cross-sectional</w:t>
      </w:r>
      <w:r w:rsidRPr="00584D41">
        <w:rPr>
          <w:rFonts w:ascii="Arial" w:hAnsi="Arial" w:cs="Arial"/>
        </w:rPr>
        <w:t xml:space="preserve"> research strategy and collecting data at a single point in time, the study will collect a diverse array of data within a short timeframe, allowing for prompt analysis and interpretation (Saunders, Lewis &amp; Thornhill, 2016).  </w:t>
      </w:r>
      <w:r w:rsidR="006B17B4">
        <w:rPr>
          <w:rFonts w:ascii="Arial" w:hAnsi="Arial" w:cs="Arial"/>
        </w:rPr>
        <w:t xml:space="preserve">Due to the time restraints of the study, this method s most suited. </w:t>
      </w:r>
    </w:p>
    <w:p w14:paraId="17968E64" w14:textId="247CB413" w:rsidR="00EC0F1E" w:rsidRPr="00584D41" w:rsidRDefault="00EC0F1E" w:rsidP="00EC0F1E">
      <w:pPr>
        <w:rPr>
          <w:rFonts w:ascii="Arial" w:hAnsi="Arial" w:cs="Arial"/>
          <w:u w:val="single"/>
        </w:rPr>
      </w:pPr>
      <w:r w:rsidRPr="00584D41">
        <w:rPr>
          <w:rFonts w:ascii="Arial" w:hAnsi="Arial" w:cs="Arial"/>
          <w:u w:val="single"/>
        </w:rPr>
        <w:t xml:space="preserve">Data Collection </w:t>
      </w:r>
    </w:p>
    <w:p w14:paraId="19EC9D87" w14:textId="063293B8" w:rsidR="00AF20B7" w:rsidRPr="00584D41" w:rsidRDefault="00AF20B7" w:rsidP="00EC0F1E">
      <w:pPr>
        <w:rPr>
          <w:rFonts w:ascii="Arial" w:hAnsi="Arial" w:cs="Arial"/>
          <w:i/>
          <w:iCs/>
        </w:rPr>
      </w:pPr>
      <w:r w:rsidRPr="00584D41">
        <w:rPr>
          <w:rFonts w:ascii="Arial" w:hAnsi="Arial" w:cs="Arial"/>
          <w:i/>
          <w:iCs/>
        </w:rPr>
        <w:t xml:space="preserve">Data Collection Technique </w:t>
      </w:r>
    </w:p>
    <w:p w14:paraId="1BEDF32D" w14:textId="5277AEAD" w:rsidR="00511B7F" w:rsidRPr="00584D41" w:rsidRDefault="00511B7F" w:rsidP="00EC0F1E">
      <w:pPr>
        <w:rPr>
          <w:rFonts w:ascii="Arial" w:hAnsi="Arial" w:cs="Arial"/>
        </w:rPr>
      </w:pPr>
      <w:r w:rsidRPr="00584D41">
        <w:rPr>
          <w:rFonts w:ascii="Arial" w:hAnsi="Arial" w:cs="Arial"/>
        </w:rPr>
        <w:t xml:space="preserve">Semi-structured interviews </w:t>
      </w:r>
      <w:r w:rsidR="00AF20B7" w:rsidRPr="00584D41">
        <w:rPr>
          <w:rFonts w:ascii="Arial" w:hAnsi="Arial" w:cs="Arial"/>
        </w:rPr>
        <w:t xml:space="preserve">will be employed to collect the data for this study, aligning with the interpretivist paradigm. The interviews will be conducted on UWTSD premises and will be carried out in English only, due to time and cost restrictions in arranging a translator. </w:t>
      </w:r>
      <w:r w:rsidR="004736A7">
        <w:rPr>
          <w:rFonts w:ascii="Arial" w:hAnsi="Arial" w:cs="Arial"/>
        </w:rPr>
        <w:t xml:space="preserve">In adopting an interpretivist paradigm, the researcher must consider potential </w:t>
      </w:r>
      <w:r w:rsidR="004736A7">
        <w:rPr>
          <w:rFonts w:ascii="Arial" w:hAnsi="Arial" w:cs="Arial"/>
        </w:rPr>
        <w:lastRenderedPageBreak/>
        <w:t xml:space="preserve">biases and focus less on objectivity, but aiming instead to capture the participants’ live experiences </w:t>
      </w:r>
      <w:r w:rsidR="0061304E">
        <w:rPr>
          <w:rFonts w:ascii="Arial" w:hAnsi="Arial" w:cs="Arial"/>
        </w:rPr>
        <w:t xml:space="preserve">(Lim, 2024). </w:t>
      </w:r>
    </w:p>
    <w:p w14:paraId="551B6E91" w14:textId="26800D0B" w:rsidR="00290E5F" w:rsidRPr="00584D41" w:rsidRDefault="00290E5F">
      <w:pPr>
        <w:rPr>
          <w:rFonts w:ascii="Arial" w:hAnsi="Arial" w:cs="Arial"/>
          <w:i/>
          <w:iCs/>
        </w:rPr>
      </w:pPr>
      <w:r w:rsidRPr="00584D41">
        <w:rPr>
          <w:rFonts w:ascii="Arial" w:hAnsi="Arial" w:cs="Arial"/>
          <w:i/>
          <w:iCs/>
        </w:rPr>
        <w:t xml:space="preserve">Sample Size </w:t>
      </w:r>
    </w:p>
    <w:p w14:paraId="420F1889" w14:textId="280F9ADE" w:rsidR="00E5027E" w:rsidRPr="00584D41" w:rsidRDefault="004D6F73">
      <w:pPr>
        <w:rPr>
          <w:rFonts w:ascii="Arial" w:hAnsi="Arial" w:cs="Arial"/>
        </w:rPr>
      </w:pPr>
      <w:r w:rsidRPr="00584D41">
        <w:rPr>
          <w:rFonts w:ascii="Arial" w:hAnsi="Arial" w:cs="Arial"/>
        </w:rPr>
        <w:t xml:space="preserve">There is considerable research and debate regarding the appropriate sample size in qualitative research, however many authors </w:t>
      </w:r>
      <w:r w:rsidR="003C3F19" w:rsidRPr="00584D41">
        <w:rPr>
          <w:rFonts w:ascii="Arial" w:hAnsi="Arial" w:cs="Arial"/>
        </w:rPr>
        <w:t xml:space="preserve">continue to </w:t>
      </w:r>
      <w:r w:rsidRPr="00584D41">
        <w:rPr>
          <w:rFonts w:ascii="Arial" w:hAnsi="Arial" w:cs="Arial"/>
        </w:rPr>
        <w:t>adopt Glaser and Strauss</w:t>
      </w:r>
      <w:r w:rsidR="003C3F19" w:rsidRPr="00584D41">
        <w:rPr>
          <w:rFonts w:ascii="Arial" w:hAnsi="Arial" w:cs="Arial"/>
        </w:rPr>
        <w:t>’</w:t>
      </w:r>
      <w:r w:rsidRPr="00584D41">
        <w:rPr>
          <w:rFonts w:ascii="Arial" w:hAnsi="Arial" w:cs="Arial"/>
        </w:rPr>
        <w:t xml:space="preserve"> (1999) concept </w:t>
      </w:r>
      <w:r w:rsidR="00C1110E">
        <w:rPr>
          <w:rFonts w:ascii="Arial" w:hAnsi="Arial" w:cs="Arial"/>
        </w:rPr>
        <w:t xml:space="preserve">(O’Reilly &amp; Parker, 2012) </w:t>
      </w:r>
      <w:r w:rsidRPr="00584D41">
        <w:rPr>
          <w:rFonts w:ascii="Arial" w:hAnsi="Arial" w:cs="Arial"/>
        </w:rPr>
        <w:t>and assert</w:t>
      </w:r>
      <w:r w:rsidR="008A5184">
        <w:rPr>
          <w:rFonts w:ascii="Arial" w:hAnsi="Arial" w:cs="Arial"/>
        </w:rPr>
        <w:t xml:space="preserve"> </w:t>
      </w:r>
      <w:r w:rsidRPr="00584D41">
        <w:rPr>
          <w:rFonts w:ascii="Arial" w:hAnsi="Arial" w:cs="Arial"/>
        </w:rPr>
        <w:t xml:space="preserve">saturation has been reached, suggesting adding more participants </w:t>
      </w:r>
      <w:r w:rsidR="00063563">
        <w:rPr>
          <w:rFonts w:ascii="Arial" w:hAnsi="Arial" w:cs="Arial"/>
        </w:rPr>
        <w:t>would</w:t>
      </w:r>
      <w:r w:rsidRPr="00584D41">
        <w:rPr>
          <w:rFonts w:ascii="Arial" w:hAnsi="Arial" w:cs="Arial"/>
        </w:rPr>
        <w:t xml:space="preserve"> not contribute further to the analysis. </w:t>
      </w:r>
      <w:r w:rsidR="00C1110E">
        <w:rPr>
          <w:rFonts w:ascii="Arial" w:hAnsi="Arial" w:cs="Arial"/>
        </w:rPr>
        <w:t xml:space="preserve">Morse (2015, p.587) states saturation is “the most frequently touted guarantee of qualitative rigor offered by authors”. On the other hand, some explore possible issues such as insufficient guidance (Guest, Bunce &amp; Johnson, 2006) and the fact researchers have subsequently misled readers regarding the saturation process (Mason, 2010). </w:t>
      </w:r>
    </w:p>
    <w:p w14:paraId="61376297" w14:textId="68CD5345" w:rsidR="007A1048" w:rsidRPr="00584D41" w:rsidRDefault="003C3F19">
      <w:pPr>
        <w:rPr>
          <w:rFonts w:ascii="Arial" w:hAnsi="Arial" w:cs="Arial"/>
        </w:rPr>
      </w:pPr>
      <w:r w:rsidRPr="00584D41">
        <w:rPr>
          <w:rFonts w:ascii="Arial" w:hAnsi="Arial" w:cs="Arial"/>
        </w:rPr>
        <w:t xml:space="preserve">This research will initially recruit </w:t>
      </w:r>
      <w:r w:rsidR="00A618A3" w:rsidRPr="00584D41">
        <w:rPr>
          <w:rFonts w:ascii="Arial" w:hAnsi="Arial" w:cs="Arial"/>
        </w:rPr>
        <w:t>10</w:t>
      </w:r>
      <w:r w:rsidRPr="00584D41">
        <w:rPr>
          <w:rFonts w:ascii="Arial" w:hAnsi="Arial" w:cs="Arial"/>
        </w:rPr>
        <w:t xml:space="preserve"> participants to be interviewed </w:t>
      </w:r>
      <w:r w:rsidR="00A618A3" w:rsidRPr="00584D41">
        <w:rPr>
          <w:rFonts w:ascii="Arial" w:hAnsi="Arial" w:cs="Arial"/>
        </w:rPr>
        <w:t xml:space="preserve">through a </w:t>
      </w:r>
      <w:r w:rsidR="007573FC" w:rsidRPr="00584D41">
        <w:rPr>
          <w:rFonts w:ascii="Arial" w:hAnsi="Arial" w:cs="Arial"/>
          <w:b/>
          <w:bCs/>
        </w:rPr>
        <w:t xml:space="preserve">non-probability </w:t>
      </w:r>
      <w:r w:rsidR="007573FC" w:rsidRPr="00584D41">
        <w:rPr>
          <w:rFonts w:ascii="Arial" w:hAnsi="Arial" w:cs="Arial"/>
        </w:rPr>
        <w:t xml:space="preserve">sampling </w:t>
      </w:r>
      <w:r w:rsidR="00A618A3" w:rsidRPr="00584D41">
        <w:rPr>
          <w:rFonts w:ascii="Arial" w:hAnsi="Arial" w:cs="Arial"/>
        </w:rPr>
        <w:t>method</w:t>
      </w:r>
      <w:r w:rsidR="007A1048" w:rsidRPr="00584D41">
        <w:rPr>
          <w:rFonts w:ascii="Arial" w:hAnsi="Arial" w:cs="Arial"/>
        </w:rPr>
        <w:t>, but</w:t>
      </w:r>
      <w:r w:rsidRPr="00584D41">
        <w:rPr>
          <w:rFonts w:ascii="Arial" w:hAnsi="Arial" w:cs="Arial"/>
        </w:rPr>
        <w:t xml:space="preserve"> will continue conducting interviews until </w:t>
      </w:r>
      <w:r w:rsidRPr="00584D41">
        <w:rPr>
          <w:rFonts w:ascii="Arial" w:hAnsi="Arial" w:cs="Arial"/>
          <w:b/>
          <w:bCs/>
        </w:rPr>
        <w:t>saturation</w:t>
      </w:r>
      <w:r w:rsidRPr="00584D41">
        <w:rPr>
          <w:rFonts w:ascii="Arial" w:hAnsi="Arial" w:cs="Arial"/>
        </w:rPr>
        <w:t xml:space="preserve"> is achieved. </w:t>
      </w:r>
      <w:r w:rsidR="00C1110E">
        <w:rPr>
          <w:rFonts w:ascii="Arial" w:hAnsi="Arial" w:cs="Arial"/>
        </w:rPr>
        <w:t>Saturation will be measured through the tracking of repetition in themes and answers (</w:t>
      </w:r>
      <w:r w:rsidR="00D3542E">
        <w:rPr>
          <w:rFonts w:ascii="Arial" w:hAnsi="Arial" w:cs="Arial"/>
        </w:rPr>
        <w:t xml:space="preserve">Alam, 2021). </w:t>
      </w:r>
      <w:r w:rsidR="00CB5EBA" w:rsidRPr="00584D41">
        <w:rPr>
          <w:rFonts w:ascii="Arial" w:hAnsi="Arial" w:cs="Arial"/>
        </w:rPr>
        <w:t>Due to the time restraints of this study, t</w:t>
      </w:r>
      <w:r w:rsidR="00A618A3" w:rsidRPr="00584D41">
        <w:rPr>
          <w:rFonts w:ascii="Arial" w:hAnsi="Arial" w:cs="Arial"/>
        </w:rPr>
        <w:t>h</w:t>
      </w:r>
      <w:r w:rsidR="00CB5EBA" w:rsidRPr="00584D41">
        <w:rPr>
          <w:rFonts w:ascii="Arial" w:hAnsi="Arial" w:cs="Arial"/>
        </w:rPr>
        <w:t>e convenience and simplicity of non-probability</w:t>
      </w:r>
      <w:r w:rsidR="00A618A3" w:rsidRPr="00584D41">
        <w:rPr>
          <w:rFonts w:ascii="Arial" w:hAnsi="Arial" w:cs="Arial"/>
        </w:rPr>
        <w:t xml:space="preserve"> sampling </w:t>
      </w:r>
      <w:r w:rsidR="00CB5EBA" w:rsidRPr="00584D41">
        <w:rPr>
          <w:rFonts w:ascii="Arial" w:hAnsi="Arial" w:cs="Arial"/>
        </w:rPr>
        <w:t>is beneficial as it will lead to quicker data collection and will avoid extensive preparatory steps such as setting up randomisation (</w:t>
      </w:r>
      <w:r w:rsidR="00832726" w:rsidRPr="00584D41">
        <w:rPr>
          <w:rFonts w:ascii="Arial" w:hAnsi="Arial" w:cs="Arial"/>
        </w:rPr>
        <w:t>Adeoye, 2023</w:t>
      </w:r>
      <w:r w:rsidR="00CB5EBA" w:rsidRPr="00584D41">
        <w:rPr>
          <w:rFonts w:ascii="Arial" w:hAnsi="Arial" w:cs="Arial"/>
        </w:rPr>
        <w:t xml:space="preserve">). </w:t>
      </w:r>
      <w:r w:rsidR="007A1048" w:rsidRPr="00584D41">
        <w:rPr>
          <w:rFonts w:ascii="Arial" w:hAnsi="Arial" w:cs="Arial"/>
        </w:rPr>
        <w:t xml:space="preserve">However, it must be acknowledged there </w:t>
      </w:r>
      <w:r w:rsidR="00063563">
        <w:rPr>
          <w:rFonts w:ascii="Arial" w:hAnsi="Arial" w:cs="Arial"/>
        </w:rPr>
        <w:t xml:space="preserve">are </w:t>
      </w:r>
      <w:r w:rsidR="007A1048" w:rsidRPr="00584D41">
        <w:rPr>
          <w:rFonts w:ascii="Arial" w:hAnsi="Arial" w:cs="Arial"/>
        </w:rPr>
        <w:t>limitation</w:t>
      </w:r>
      <w:r w:rsidR="00063563">
        <w:rPr>
          <w:rFonts w:ascii="Arial" w:hAnsi="Arial" w:cs="Arial"/>
        </w:rPr>
        <w:t>s</w:t>
      </w:r>
      <w:r w:rsidR="007A1048" w:rsidRPr="00584D41">
        <w:rPr>
          <w:rFonts w:ascii="Arial" w:hAnsi="Arial" w:cs="Arial"/>
        </w:rPr>
        <w:t xml:space="preserve"> in using this </w:t>
      </w:r>
      <w:r w:rsidR="007A1048" w:rsidRPr="00584D41">
        <w:rPr>
          <w:rFonts w:ascii="Arial" w:hAnsi="Arial" w:cs="Arial"/>
          <w:b/>
          <w:bCs/>
        </w:rPr>
        <w:t>convenient non-probability</w:t>
      </w:r>
      <w:r w:rsidR="007A1048" w:rsidRPr="00584D41">
        <w:rPr>
          <w:rFonts w:ascii="Arial" w:hAnsi="Arial" w:cs="Arial"/>
        </w:rPr>
        <w:t xml:space="preserve"> sampling method as the finding</w:t>
      </w:r>
      <w:r w:rsidR="000C754D" w:rsidRPr="00584D41">
        <w:rPr>
          <w:rFonts w:ascii="Arial" w:hAnsi="Arial" w:cs="Arial"/>
        </w:rPr>
        <w:t>s</w:t>
      </w:r>
      <w:r w:rsidR="007A1048" w:rsidRPr="00584D41">
        <w:rPr>
          <w:rFonts w:ascii="Arial" w:hAnsi="Arial" w:cs="Arial"/>
        </w:rPr>
        <w:t xml:space="preserve"> will be generalizable only to the sample, and could risk failing to be a true representation of all women in UWTSD’s workforce (Novosel, 2023). There will also be a sense of </w:t>
      </w:r>
      <w:r w:rsidR="007A1048" w:rsidRPr="00584D41">
        <w:rPr>
          <w:rFonts w:ascii="Arial" w:hAnsi="Arial" w:cs="Arial"/>
          <w:b/>
          <w:bCs/>
        </w:rPr>
        <w:t xml:space="preserve">snowball sampling </w:t>
      </w:r>
      <w:r w:rsidR="007A1048" w:rsidRPr="00584D41">
        <w:rPr>
          <w:rFonts w:ascii="Arial" w:hAnsi="Arial" w:cs="Arial"/>
        </w:rPr>
        <w:t>as participants recommend other potential recruits for the study or invite other via word-of-mouth (</w:t>
      </w:r>
      <w:r w:rsidR="00AE0E0A" w:rsidRPr="00584D41">
        <w:rPr>
          <w:rFonts w:ascii="Arial" w:hAnsi="Arial" w:cs="Arial"/>
        </w:rPr>
        <w:t>Emerson, 2015</w:t>
      </w:r>
      <w:r w:rsidR="007A1048" w:rsidRPr="00584D41">
        <w:rPr>
          <w:rFonts w:ascii="Arial" w:hAnsi="Arial" w:cs="Arial"/>
        </w:rPr>
        <w:t xml:space="preserve">). </w:t>
      </w:r>
    </w:p>
    <w:p w14:paraId="6C03C949" w14:textId="7135E417" w:rsidR="000C754D" w:rsidRPr="00584D41" w:rsidRDefault="009323FC">
      <w:pPr>
        <w:rPr>
          <w:rFonts w:ascii="Arial" w:hAnsi="Arial" w:cs="Arial"/>
          <w:i/>
          <w:iCs/>
        </w:rPr>
      </w:pPr>
      <w:r w:rsidRPr="00584D41">
        <w:rPr>
          <w:rFonts w:ascii="Arial" w:hAnsi="Arial" w:cs="Arial"/>
        </w:rPr>
        <w:t xml:space="preserve">The sample </w:t>
      </w:r>
      <w:r w:rsidR="00AF20B7" w:rsidRPr="00584D41">
        <w:rPr>
          <w:rFonts w:ascii="Arial" w:hAnsi="Arial" w:cs="Arial"/>
        </w:rPr>
        <w:t xml:space="preserve">will consist of women </w:t>
      </w:r>
      <w:r w:rsidR="00525757" w:rsidRPr="00584D41">
        <w:rPr>
          <w:rFonts w:ascii="Arial" w:hAnsi="Arial" w:cs="Arial"/>
        </w:rPr>
        <w:t xml:space="preserve">who have </w:t>
      </w:r>
      <w:r w:rsidR="00063563">
        <w:rPr>
          <w:rFonts w:ascii="Arial" w:hAnsi="Arial" w:cs="Arial"/>
        </w:rPr>
        <w:t xml:space="preserve">previously </w:t>
      </w:r>
      <w:r w:rsidR="00525757" w:rsidRPr="00584D41">
        <w:rPr>
          <w:rFonts w:ascii="Arial" w:hAnsi="Arial" w:cs="Arial"/>
        </w:rPr>
        <w:t xml:space="preserve">experienced or are </w:t>
      </w:r>
      <w:r w:rsidR="00063563">
        <w:rPr>
          <w:rFonts w:ascii="Arial" w:hAnsi="Arial" w:cs="Arial"/>
        </w:rPr>
        <w:t xml:space="preserve">currently </w:t>
      </w:r>
      <w:r w:rsidR="00525757" w:rsidRPr="00584D41">
        <w:rPr>
          <w:rFonts w:ascii="Arial" w:hAnsi="Arial" w:cs="Arial"/>
        </w:rPr>
        <w:t>experiencing menopaus</w:t>
      </w:r>
      <w:r w:rsidR="00063563">
        <w:rPr>
          <w:rFonts w:ascii="Arial" w:hAnsi="Arial" w:cs="Arial"/>
        </w:rPr>
        <w:t xml:space="preserve">al symptoms </w:t>
      </w:r>
      <w:r w:rsidR="00525757" w:rsidRPr="00584D41">
        <w:rPr>
          <w:rFonts w:ascii="Arial" w:hAnsi="Arial" w:cs="Arial"/>
        </w:rPr>
        <w:t xml:space="preserve">at work. </w:t>
      </w:r>
    </w:p>
    <w:p w14:paraId="0E26D57B" w14:textId="36336057" w:rsidR="00126202" w:rsidRPr="00584D41" w:rsidRDefault="00126202">
      <w:pPr>
        <w:rPr>
          <w:rFonts w:ascii="Arial" w:hAnsi="Arial" w:cs="Arial"/>
          <w:i/>
          <w:iCs/>
        </w:rPr>
      </w:pPr>
      <w:r w:rsidRPr="00584D41">
        <w:rPr>
          <w:rFonts w:ascii="Arial" w:hAnsi="Arial" w:cs="Arial"/>
          <w:i/>
          <w:iCs/>
        </w:rPr>
        <w:t>Data Analysis</w:t>
      </w:r>
    </w:p>
    <w:p w14:paraId="4DBC6F52" w14:textId="0568A86D" w:rsidR="00126202" w:rsidRPr="00584D41" w:rsidRDefault="00126202">
      <w:pPr>
        <w:rPr>
          <w:rFonts w:ascii="Arial" w:hAnsi="Arial" w:cs="Arial"/>
        </w:rPr>
      </w:pPr>
      <w:r w:rsidRPr="00584D41">
        <w:rPr>
          <w:rFonts w:ascii="Arial" w:hAnsi="Arial" w:cs="Arial"/>
        </w:rPr>
        <w:t>A qualitative data analysis technique will be use</w:t>
      </w:r>
      <w:r w:rsidR="000C754D" w:rsidRPr="00584D41">
        <w:rPr>
          <w:rFonts w:ascii="Arial" w:hAnsi="Arial" w:cs="Arial"/>
        </w:rPr>
        <w:t>d</w:t>
      </w:r>
      <w:r w:rsidRPr="00584D41">
        <w:rPr>
          <w:rFonts w:ascii="Arial" w:hAnsi="Arial" w:cs="Arial"/>
        </w:rPr>
        <w:t xml:space="preserve"> to analyse the data derived from the interviews. </w:t>
      </w:r>
      <w:r w:rsidR="00943D9D" w:rsidRPr="00584D41">
        <w:rPr>
          <w:rFonts w:ascii="Arial" w:hAnsi="Arial" w:cs="Arial"/>
        </w:rPr>
        <w:t xml:space="preserve"> NVIVO will be utilised to organise, group and analyse the data</w:t>
      </w:r>
      <w:r w:rsidR="00585086" w:rsidRPr="00584D41">
        <w:rPr>
          <w:rFonts w:ascii="Arial" w:hAnsi="Arial" w:cs="Arial"/>
        </w:rPr>
        <w:t>. As a software,</w:t>
      </w:r>
      <w:r w:rsidR="00943D9D" w:rsidRPr="00584D41">
        <w:rPr>
          <w:rFonts w:ascii="Arial" w:hAnsi="Arial" w:cs="Arial"/>
        </w:rPr>
        <w:t xml:space="preserve"> it enables the researcher to identify underlying themes in an easy and effective way </w:t>
      </w:r>
      <w:r w:rsidR="00585086" w:rsidRPr="00584D41">
        <w:rPr>
          <w:rFonts w:ascii="Arial" w:hAnsi="Arial" w:cs="Arial"/>
        </w:rPr>
        <w:t>which will be essential for this study</w:t>
      </w:r>
      <w:r w:rsidR="000C754D" w:rsidRPr="00584D41">
        <w:rPr>
          <w:rFonts w:ascii="Arial" w:hAnsi="Arial" w:cs="Arial"/>
        </w:rPr>
        <w:t xml:space="preserve"> (</w:t>
      </w:r>
      <w:r w:rsidR="00AE0E0A" w:rsidRPr="00584D41">
        <w:rPr>
          <w:rFonts w:ascii="Arial" w:hAnsi="Arial" w:cs="Arial"/>
        </w:rPr>
        <w:t>Zamawe, 2015</w:t>
      </w:r>
      <w:r w:rsidR="000C754D" w:rsidRPr="00584D41">
        <w:rPr>
          <w:rFonts w:ascii="Arial" w:hAnsi="Arial" w:cs="Arial"/>
        </w:rPr>
        <w:t>)</w:t>
      </w:r>
      <w:r w:rsidR="00585086" w:rsidRPr="00584D41">
        <w:rPr>
          <w:rFonts w:ascii="Arial" w:hAnsi="Arial" w:cs="Arial"/>
        </w:rPr>
        <w:t xml:space="preserve">. </w:t>
      </w:r>
      <w:r w:rsidR="00D3542E">
        <w:rPr>
          <w:rFonts w:ascii="Arial" w:hAnsi="Arial" w:cs="Arial"/>
        </w:rPr>
        <w:t xml:space="preserve">It is important the researcher considers </w:t>
      </w:r>
      <w:r w:rsidR="00742D0D">
        <w:rPr>
          <w:rFonts w:ascii="Arial" w:hAnsi="Arial" w:cs="Arial"/>
        </w:rPr>
        <w:t>accuracy when inputting data to NVIVO, and also avoid</w:t>
      </w:r>
      <w:r w:rsidR="002C1588">
        <w:rPr>
          <w:rFonts w:ascii="Arial" w:hAnsi="Arial" w:cs="Arial"/>
        </w:rPr>
        <w:t xml:space="preserve">s </w:t>
      </w:r>
      <w:r w:rsidR="00742D0D">
        <w:rPr>
          <w:rFonts w:ascii="Arial" w:hAnsi="Arial" w:cs="Arial"/>
        </w:rPr>
        <w:t xml:space="preserve">any potential biases when interpreting the responses from the interviewees </w:t>
      </w:r>
      <w:r w:rsidR="00090778">
        <w:rPr>
          <w:rFonts w:ascii="Arial" w:hAnsi="Arial" w:cs="Arial"/>
        </w:rPr>
        <w:t xml:space="preserve">(Allsop et al., 2022). </w:t>
      </w:r>
    </w:p>
    <w:p w14:paraId="18071AEB" w14:textId="2C003C2B" w:rsidR="00743311" w:rsidRPr="00584D41" w:rsidRDefault="00743311">
      <w:pPr>
        <w:rPr>
          <w:rFonts w:ascii="Arial" w:hAnsi="Arial" w:cs="Arial"/>
          <w:i/>
          <w:iCs/>
        </w:rPr>
      </w:pPr>
      <w:r w:rsidRPr="00584D41">
        <w:rPr>
          <w:rFonts w:ascii="Arial" w:hAnsi="Arial" w:cs="Arial"/>
          <w:i/>
          <w:iCs/>
        </w:rPr>
        <w:t xml:space="preserve">Reliability and Validity </w:t>
      </w:r>
    </w:p>
    <w:p w14:paraId="5E54B995" w14:textId="4E4C492B" w:rsidR="002059D7" w:rsidRPr="00584D41" w:rsidRDefault="002D56D0">
      <w:pPr>
        <w:rPr>
          <w:rFonts w:ascii="Arial" w:hAnsi="Arial" w:cs="Arial"/>
        </w:rPr>
      </w:pPr>
      <w:r w:rsidRPr="00584D41">
        <w:rPr>
          <w:rFonts w:ascii="Arial" w:hAnsi="Arial" w:cs="Arial"/>
        </w:rPr>
        <w:t>Reliability refers to the rigor of a research study, focusing on whether the chosen methods are appropriate and correctly applied in qualitative research</w:t>
      </w:r>
      <w:r w:rsidR="00BB7AB3" w:rsidRPr="00584D41">
        <w:rPr>
          <w:rFonts w:ascii="Arial" w:hAnsi="Arial" w:cs="Arial"/>
        </w:rPr>
        <w:t xml:space="preserve"> (</w:t>
      </w:r>
      <w:r w:rsidR="00305C62">
        <w:rPr>
          <w:rFonts w:ascii="Arial" w:hAnsi="Arial" w:cs="Arial"/>
        </w:rPr>
        <w:t>Rose &amp; Johnson, 2020</w:t>
      </w:r>
      <w:r w:rsidR="00BB7AB3" w:rsidRPr="00584D41">
        <w:rPr>
          <w:rFonts w:ascii="Arial" w:hAnsi="Arial" w:cs="Arial"/>
        </w:rPr>
        <w:t>)</w:t>
      </w:r>
      <w:r w:rsidRPr="00584D41">
        <w:rPr>
          <w:rFonts w:ascii="Arial" w:hAnsi="Arial" w:cs="Arial"/>
        </w:rPr>
        <w:t>. It prompts the researcher to measure the consistency of the methodological process, ideally ensuring it remains relatively stable over ti</w:t>
      </w:r>
      <w:r w:rsidR="00BB7AB3" w:rsidRPr="00584D41">
        <w:rPr>
          <w:rFonts w:ascii="Arial" w:hAnsi="Arial" w:cs="Arial"/>
        </w:rPr>
        <w:t>m</w:t>
      </w:r>
      <w:r w:rsidRPr="00584D41">
        <w:rPr>
          <w:rFonts w:ascii="Arial" w:hAnsi="Arial" w:cs="Arial"/>
        </w:rPr>
        <w:t>e an</w:t>
      </w:r>
      <w:r w:rsidR="00BB7AB3" w:rsidRPr="00584D41">
        <w:rPr>
          <w:rFonts w:ascii="Arial" w:hAnsi="Arial" w:cs="Arial"/>
        </w:rPr>
        <w:t>d</w:t>
      </w:r>
      <w:r w:rsidRPr="00584D41">
        <w:rPr>
          <w:rFonts w:ascii="Arial" w:hAnsi="Arial" w:cs="Arial"/>
        </w:rPr>
        <w:t xml:space="preserve"> across different researchers or methodologies used (Miles, Huberman &amp; Saldana, 2014). </w:t>
      </w:r>
      <w:r w:rsidR="00BB7AB3" w:rsidRPr="00584D41">
        <w:rPr>
          <w:rFonts w:ascii="Arial" w:hAnsi="Arial" w:cs="Arial"/>
        </w:rPr>
        <w:t>By j</w:t>
      </w:r>
      <w:r w:rsidRPr="00584D41">
        <w:rPr>
          <w:rFonts w:ascii="Arial" w:hAnsi="Arial" w:cs="Arial"/>
        </w:rPr>
        <w:t xml:space="preserve">ustifying </w:t>
      </w:r>
      <w:r w:rsidRPr="00584D41">
        <w:rPr>
          <w:rFonts w:ascii="Arial" w:hAnsi="Arial" w:cs="Arial"/>
        </w:rPr>
        <w:lastRenderedPageBreak/>
        <w:t>the methods used</w:t>
      </w:r>
      <w:r w:rsidR="00BB7AB3" w:rsidRPr="00584D41">
        <w:rPr>
          <w:rFonts w:ascii="Arial" w:hAnsi="Arial" w:cs="Arial"/>
        </w:rPr>
        <w:t xml:space="preserve"> above</w:t>
      </w:r>
      <w:r w:rsidRPr="00584D41">
        <w:rPr>
          <w:rFonts w:ascii="Arial" w:hAnsi="Arial" w:cs="Arial"/>
        </w:rPr>
        <w:t xml:space="preserve"> and providing clarity in the analytical procedures</w:t>
      </w:r>
      <w:r w:rsidR="00BB7AB3" w:rsidRPr="00584D41">
        <w:rPr>
          <w:rFonts w:ascii="Arial" w:hAnsi="Arial" w:cs="Arial"/>
        </w:rPr>
        <w:t>, the researcher has</w:t>
      </w:r>
      <w:r w:rsidRPr="00584D41">
        <w:rPr>
          <w:rFonts w:ascii="Arial" w:hAnsi="Arial" w:cs="Arial"/>
        </w:rPr>
        <w:t xml:space="preserve"> enhance</w:t>
      </w:r>
      <w:r w:rsidR="00BB7AB3" w:rsidRPr="00584D41">
        <w:rPr>
          <w:rFonts w:ascii="Arial" w:hAnsi="Arial" w:cs="Arial"/>
        </w:rPr>
        <w:t>d</w:t>
      </w:r>
      <w:r w:rsidRPr="00584D41">
        <w:rPr>
          <w:rFonts w:ascii="Arial" w:hAnsi="Arial" w:cs="Arial"/>
        </w:rPr>
        <w:t xml:space="preserve"> the perceived reliability of </w:t>
      </w:r>
      <w:r w:rsidR="00BB7AB3" w:rsidRPr="00584D41">
        <w:rPr>
          <w:rFonts w:ascii="Arial" w:hAnsi="Arial" w:cs="Arial"/>
        </w:rPr>
        <w:t>the</w:t>
      </w:r>
      <w:r w:rsidRPr="00584D41">
        <w:rPr>
          <w:rFonts w:ascii="Arial" w:hAnsi="Arial" w:cs="Arial"/>
        </w:rPr>
        <w:t xml:space="preserve"> study (</w:t>
      </w:r>
      <w:r w:rsidR="00B406AD" w:rsidRPr="00584D41">
        <w:rPr>
          <w:rFonts w:ascii="Arial" w:hAnsi="Arial" w:cs="Arial"/>
        </w:rPr>
        <w:t>Singh et al., 2021</w:t>
      </w:r>
      <w:r w:rsidRPr="00584D41">
        <w:rPr>
          <w:rFonts w:ascii="Arial" w:hAnsi="Arial" w:cs="Arial"/>
        </w:rPr>
        <w:t>).</w:t>
      </w:r>
      <w:r w:rsidR="00B809D9" w:rsidRPr="00584D41">
        <w:rPr>
          <w:rFonts w:ascii="Arial" w:hAnsi="Arial" w:cs="Arial"/>
        </w:rPr>
        <w:t xml:space="preserve"> </w:t>
      </w:r>
    </w:p>
    <w:p w14:paraId="4FD82336" w14:textId="7303BDC2" w:rsidR="00B809D9" w:rsidRPr="00584D41" w:rsidRDefault="00B809D9">
      <w:pPr>
        <w:rPr>
          <w:rFonts w:ascii="Arial" w:hAnsi="Arial" w:cs="Arial"/>
        </w:rPr>
      </w:pPr>
      <w:r w:rsidRPr="00584D41">
        <w:rPr>
          <w:rFonts w:ascii="Arial" w:hAnsi="Arial" w:cs="Arial"/>
        </w:rPr>
        <w:t>Validity refers to the integrity and execution of the methods used, as well as the accuracy with which the finding</w:t>
      </w:r>
      <w:r w:rsidR="00BB7AB3" w:rsidRPr="00584D41">
        <w:rPr>
          <w:rFonts w:ascii="Arial" w:hAnsi="Arial" w:cs="Arial"/>
        </w:rPr>
        <w:t>s</w:t>
      </w:r>
      <w:r w:rsidRPr="00584D41">
        <w:rPr>
          <w:rFonts w:ascii="Arial" w:hAnsi="Arial" w:cs="Arial"/>
        </w:rPr>
        <w:t xml:space="preserve"> represent the data (Noble &amp; Smith, 2015). </w:t>
      </w:r>
      <w:r w:rsidR="00BB7AB3" w:rsidRPr="00584D41">
        <w:rPr>
          <w:rFonts w:ascii="Arial" w:hAnsi="Arial" w:cs="Arial"/>
        </w:rPr>
        <w:t xml:space="preserve">This will need to be taken into consideration when undertaking the research. </w:t>
      </w:r>
    </w:p>
    <w:p w14:paraId="4C26A12D" w14:textId="281173F1" w:rsidR="002059D7" w:rsidRPr="00584D41" w:rsidRDefault="002059D7">
      <w:pPr>
        <w:rPr>
          <w:rFonts w:ascii="Arial" w:hAnsi="Arial" w:cs="Arial"/>
          <w:b/>
          <w:bCs/>
          <w:u w:val="single"/>
        </w:rPr>
      </w:pPr>
      <w:r w:rsidRPr="00584D41">
        <w:rPr>
          <w:rFonts w:ascii="Arial" w:hAnsi="Arial" w:cs="Arial"/>
          <w:b/>
          <w:bCs/>
          <w:u w:val="single"/>
        </w:rPr>
        <w:t>Ethical Issues</w:t>
      </w:r>
    </w:p>
    <w:p w14:paraId="606CCA93" w14:textId="489C07EA" w:rsidR="002059D7" w:rsidRPr="00584D41" w:rsidRDefault="00AF3D60">
      <w:pPr>
        <w:rPr>
          <w:rFonts w:ascii="Arial" w:hAnsi="Arial" w:cs="Arial"/>
        </w:rPr>
      </w:pPr>
      <w:r w:rsidRPr="00584D41">
        <w:rPr>
          <w:rFonts w:ascii="Arial" w:hAnsi="Arial" w:cs="Arial"/>
        </w:rPr>
        <w:t>When conducting research, it is important to consider the possible ethical risks and issues to all involved in the study (</w:t>
      </w:r>
      <w:r w:rsidR="00B406AD" w:rsidRPr="00584D41">
        <w:rPr>
          <w:rFonts w:ascii="Arial" w:hAnsi="Arial" w:cs="Arial"/>
        </w:rPr>
        <w:t>Miller, 2012</w:t>
      </w:r>
      <w:r w:rsidRPr="00584D41">
        <w:rPr>
          <w:rFonts w:ascii="Arial" w:hAnsi="Arial" w:cs="Arial"/>
        </w:rPr>
        <w:t xml:space="preserve">). </w:t>
      </w:r>
    </w:p>
    <w:p w14:paraId="3E3DAAD0" w14:textId="56F29750" w:rsidR="00AF3D60" w:rsidRPr="00584D41" w:rsidRDefault="00AF3D60">
      <w:pPr>
        <w:rPr>
          <w:rFonts w:ascii="Arial" w:hAnsi="Arial" w:cs="Arial"/>
          <w:u w:val="single"/>
        </w:rPr>
      </w:pPr>
      <w:r w:rsidRPr="00584D41">
        <w:rPr>
          <w:rFonts w:ascii="Arial" w:hAnsi="Arial" w:cs="Arial"/>
          <w:u w:val="single"/>
        </w:rPr>
        <w:t xml:space="preserve">Risks to the </w:t>
      </w:r>
      <w:r w:rsidR="00BC7D4D">
        <w:rPr>
          <w:rFonts w:ascii="Arial" w:hAnsi="Arial" w:cs="Arial"/>
          <w:u w:val="single"/>
        </w:rPr>
        <w:t>R</w:t>
      </w:r>
      <w:r w:rsidRPr="00584D41">
        <w:rPr>
          <w:rFonts w:ascii="Arial" w:hAnsi="Arial" w:cs="Arial"/>
          <w:u w:val="single"/>
        </w:rPr>
        <w:t>esearcher</w:t>
      </w:r>
    </w:p>
    <w:p w14:paraId="2DF15144" w14:textId="1FED9A1E" w:rsidR="00AF3D60" w:rsidRPr="00584D41" w:rsidRDefault="00AF3D60">
      <w:pPr>
        <w:rPr>
          <w:rFonts w:ascii="Arial" w:hAnsi="Arial" w:cs="Arial"/>
        </w:rPr>
      </w:pPr>
      <w:r w:rsidRPr="00584D41">
        <w:rPr>
          <w:rFonts w:ascii="Arial" w:hAnsi="Arial" w:cs="Arial"/>
        </w:rPr>
        <w:t xml:space="preserve">All data must be securely stored to prevent unauthorised access, ensuring the privacy and confidentiality of the information gathered. </w:t>
      </w:r>
      <w:r w:rsidR="00742D0D">
        <w:rPr>
          <w:rFonts w:ascii="Arial" w:hAnsi="Arial" w:cs="Arial"/>
        </w:rPr>
        <w:t xml:space="preserve">All documents containing responses will be </w:t>
      </w:r>
      <w:r w:rsidR="004C017A">
        <w:rPr>
          <w:rFonts w:ascii="Arial" w:hAnsi="Arial" w:cs="Arial"/>
        </w:rPr>
        <w:t xml:space="preserve">anonymised and </w:t>
      </w:r>
      <w:r w:rsidR="00742D0D">
        <w:rPr>
          <w:rFonts w:ascii="Arial" w:hAnsi="Arial" w:cs="Arial"/>
        </w:rPr>
        <w:t xml:space="preserve">password protected and stored on the UWTSD Shared Drive, which is protected with a firewall. </w:t>
      </w:r>
    </w:p>
    <w:p w14:paraId="24A2045B" w14:textId="445A3CBB" w:rsidR="00AF3D60" w:rsidRPr="00584D41" w:rsidRDefault="00AF3D60">
      <w:pPr>
        <w:rPr>
          <w:rFonts w:ascii="Arial" w:hAnsi="Arial" w:cs="Arial"/>
          <w:u w:val="single"/>
        </w:rPr>
      </w:pPr>
      <w:r w:rsidRPr="00584D41">
        <w:rPr>
          <w:rFonts w:ascii="Arial" w:hAnsi="Arial" w:cs="Arial"/>
          <w:u w:val="single"/>
        </w:rPr>
        <w:t>Risks to the Participants</w:t>
      </w:r>
    </w:p>
    <w:p w14:paraId="163468C3" w14:textId="7BC526E2" w:rsidR="00AF3D60" w:rsidRPr="00584D41" w:rsidRDefault="00AF3D60">
      <w:pPr>
        <w:rPr>
          <w:rFonts w:ascii="Arial" w:hAnsi="Arial" w:cs="Arial"/>
        </w:rPr>
      </w:pPr>
      <w:r w:rsidRPr="00584D41">
        <w:rPr>
          <w:rFonts w:ascii="Arial" w:hAnsi="Arial" w:cs="Arial"/>
        </w:rPr>
        <w:t>It is important to carefully select interview locations to ensure a safe environment for both the researcher and the participants. For example, the topic of menopause could be very sensitive and personal to the participant</w:t>
      </w:r>
      <w:r w:rsidR="00B21C07">
        <w:rPr>
          <w:rFonts w:ascii="Arial" w:hAnsi="Arial" w:cs="Arial"/>
        </w:rPr>
        <w:t xml:space="preserve">, </w:t>
      </w:r>
      <w:r w:rsidRPr="00584D41">
        <w:rPr>
          <w:rFonts w:ascii="Arial" w:hAnsi="Arial" w:cs="Arial"/>
        </w:rPr>
        <w:t>therefore ensuring a location which allows for the maintenance of confidentiality is essential. Considerations such a</w:t>
      </w:r>
      <w:r w:rsidR="00BC7D4D">
        <w:rPr>
          <w:rFonts w:ascii="Arial" w:hAnsi="Arial" w:cs="Arial"/>
        </w:rPr>
        <w:t>s</w:t>
      </w:r>
      <w:r w:rsidRPr="00584D41">
        <w:rPr>
          <w:rFonts w:ascii="Arial" w:hAnsi="Arial" w:cs="Arial"/>
        </w:rPr>
        <w:t xml:space="preserve"> room temperature and adequate access to water are important factors, given many of the participants </w:t>
      </w:r>
      <w:r w:rsidR="00BC7D4D">
        <w:rPr>
          <w:rFonts w:ascii="Arial" w:hAnsi="Arial" w:cs="Arial"/>
        </w:rPr>
        <w:t xml:space="preserve">could </w:t>
      </w:r>
      <w:r w:rsidRPr="00584D41">
        <w:rPr>
          <w:rFonts w:ascii="Arial" w:hAnsi="Arial" w:cs="Arial"/>
        </w:rPr>
        <w:t>be experiencing menopausal symptoms at the time of the study. Participants may also have concerns about the potential harm to their personal or professional reputations.</w:t>
      </w:r>
      <w:r w:rsidR="00BC7D4D">
        <w:rPr>
          <w:rFonts w:ascii="Arial" w:hAnsi="Arial" w:cs="Arial"/>
        </w:rPr>
        <w:t xml:space="preserve"> The researcher must provide re-assurance to the participants that any data collected and published will be kept anonymous and confidential</w:t>
      </w:r>
      <w:r w:rsidR="00B21C07">
        <w:rPr>
          <w:rFonts w:ascii="Arial" w:hAnsi="Arial" w:cs="Arial"/>
        </w:rPr>
        <w:t>,</w:t>
      </w:r>
      <w:r w:rsidR="00BC7D4D">
        <w:rPr>
          <w:rFonts w:ascii="Arial" w:hAnsi="Arial" w:cs="Arial"/>
        </w:rPr>
        <w:t xml:space="preserve"> therefore will not pose a risk on their personal or professional reputations.</w:t>
      </w:r>
      <w:r w:rsidRPr="00584D41">
        <w:rPr>
          <w:rFonts w:ascii="Arial" w:hAnsi="Arial" w:cs="Arial"/>
        </w:rPr>
        <w:t xml:space="preserve"> Some may also experience anxiety or distress, particularly if sensitive topics are discussed. To mitigate this, the researcher should provide the participants with support resources</w:t>
      </w:r>
      <w:r w:rsidR="00A02E37">
        <w:rPr>
          <w:rFonts w:ascii="Arial" w:hAnsi="Arial" w:cs="Arial"/>
        </w:rPr>
        <w:t>. At the beginning of the interviews, the researcher will offer additional support to the interviewees should they want it,</w:t>
      </w:r>
      <w:r w:rsidRPr="00584D41">
        <w:rPr>
          <w:rFonts w:ascii="Arial" w:hAnsi="Arial" w:cs="Arial"/>
        </w:rPr>
        <w:t xml:space="preserve"> such as university counselling services or direct them to external me</w:t>
      </w:r>
      <w:r w:rsidR="00A02E37">
        <w:rPr>
          <w:rFonts w:ascii="Arial" w:hAnsi="Arial" w:cs="Arial"/>
        </w:rPr>
        <w:t>n</w:t>
      </w:r>
      <w:r w:rsidRPr="00584D41">
        <w:rPr>
          <w:rFonts w:ascii="Arial" w:hAnsi="Arial" w:cs="Arial"/>
        </w:rPr>
        <w:t xml:space="preserve">tal health support providers such as Mind. </w:t>
      </w:r>
    </w:p>
    <w:p w14:paraId="1CAC7552" w14:textId="70FC2DBA" w:rsidR="00AF3D60" w:rsidRPr="00584D41" w:rsidRDefault="00AF3D60">
      <w:pPr>
        <w:rPr>
          <w:rFonts w:ascii="Arial" w:hAnsi="Arial" w:cs="Arial"/>
          <w:u w:val="single"/>
        </w:rPr>
      </w:pPr>
      <w:r w:rsidRPr="00584D41">
        <w:rPr>
          <w:rFonts w:ascii="Arial" w:hAnsi="Arial" w:cs="Arial"/>
          <w:u w:val="single"/>
        </w:rPr>
        <w:t>Risks to the University</w:t>
      </w:r>
    </w:p>
    <w:p w14:paraId="7EF72573" w14:textId="143AB426" w:rsidR="00AF3D60" w:rsidRPr="00584D41" w:rsidRDefault="00AF3D60">
      <w:pPr>
        <w:rPr>
          <w:rFonts w:ascii="Arial" w:hAnsi="Arial" w:cs="Arial"/>
        </w:rPr>
      </w:pPr>
      <w:r w:rsidRPr="00584D41">
        <w:rPr>
          <w:rFonts w:ascii="Arial" w:hAnsi="Arial" w:cs="Arial"/>
        </w:rPr>
        <w:t>Poor quality research or mishandling of sensitive topics could harm the university’s reputation. It’s important to uphold high standards and ethical practices to av</w:t>
      </w:r>
      <w:r w:rsidR="006E71EB">
        <w:rPr>
          <w:rFonts w:ascii="Arial" w:hAnsi="Arial" w:cs="Arial"/>
        </w:rPr>
        <w:t>o</w:t>
      </w:r>
      <w:r w:rsidRPr="00584D41">
        <w:rPr>
          <w:rFonts w:ascii="Arial" w:hAnsi="Arial" w:cs="Arial"/>
        </w:rPr>
        <w:t xml:space="preserve">id reputational damage. </w:t>
      </w:r>
    </w:p>
    <w:p w14:paraId="628BDDFC" w14:textId="12D10FFD" w:rsidR="002059D7" w:rsidRPr="00584D41" w:rsidRDefault="002059D7">
      <w:pPr>
        <w:rPr>
          <w:rFonts w:ascii="Arial" w:hAnsi="Arial" w:cs="Arial"/>
          <w:b/>
          <w:bCs/>
          <w:u w:val="single"/>
        </w:rPr>
      </w:pPr>
      <w:r w:rsidRPr="00584D41">
        <w:rPr>
          <w:rFonts w:ascii="Arial" w:hAnsi="Arial" w:cs="Arial"/>
          <w:b/>
          <w:bCs/>
          <w:u w:val="single"/>
        </w:rPr>
        <w:t>Access Issues</w:t>
      </w:r>
    </w:p>
    <w:p w14:paraId="6BCC7ABA" w14:textId="650797E7" w:rsidR="002059D7" w:rsidRPr="00584D41" w:rsidRDefault="00AF3D60">
      <w:pPr>
        <w:rPr>
          <w:rFonts w:ascii="Arial" w:hAnsi="Arial" w:cs="Arial"/>
        </w:rPr>
      </w:pPr>
      <w:r w:rsidRPr="00584D41">
        <w:rPr>
          <w:rFonts w:ascii="Arial" w:hAnsi="Arial" w:cs="Arial"/>
        </w:rPr>
        <w:t>Considerations into access constraints must be made. Since the study involves conducting interviews, logistical challenges</w:t>
      </w:r>
      <w:r w:rsidR="006E71EB">
        <w:rPr>
          <w:rFonts w:ascii="Arial" w:hAnsi="Arial" w:cs="Arial"/>
        </w:rPr>
        <w:t xml:space="preserve"> may occur</w:t>
      </w:r>
      <w:r w:rsidRPr="00584D41">
        <w:rPr>
          <w:rFonts w:ascii="Arial" w:hAnsi="Arial" w:cs="Arial"/>
        </w:rPr>
        <w:t xml:space="preserve">, such as coordinating times that work within participants’ busy schedules. Additionally, as the participants will be located across different campuses, travel could pose accessibility issues. To address this, </w:t>
      </w:r>
      <w:r w:rsidRPr="00584D41">
        <w:rPr>
          <w:rFonts w:ascii="Arial" w:hAnsi="Arial" w:cs="Arial"/>
        </w:rPr>
        <w:lastRenderedPageBreak/>
        <w:t xml:space="preserve">conducting interviews via Teams to ensure flexibility and inclusivity for all participants may need to be considered. </w:t>
      </w:r>
    </w:p>
    <w:p w14:paraId="24BC244E" w14:textId="6A9E34C4" w:rsidR="002059D7" w:rsidRPr="00584D41" w:rsidRDefault="002059D7">
      <w:pPr>
        <w:rPr>
          <w:rFonts w:ascii="Arial" w:hAnsi="Arial" w:cs="Arial"/>
          <w:b/>
          <w:bCs/>
          <w:u w:val="single"/>
        </w:rPr>
      </w:pPr>
      <w:r w:rsidRPr="00584D41">
        <w:rPr>
          <w:rFonts w:ascii="Arial" w:hAnsi="Arial" w:cs="Arial"/>
          <w:b/>
          <w:bCs/>
          <w:u w:val="single"/>
        </w:rPr>
        <w:t>Timescales</w:t>
      </w:r>
    </w:p>
    <w:p w14:paraId="21BC6CF7" w14:textId="61A8BBCE" w:rsidR="002059D7" w:rsidRPr="00584D41" w:rsidRDefault="00AF3D60">
      <w:pPr>
        <w:rPr>
          <w:rFonts w:ascii="Arial" w:hAnsi="Arial" w:cs="Arial"/>
        </w:rPr>
      </w:pPr>
      <w:r w:rsidRPr="00584D41">
        <w:rPr>
          <w:rFonts w:ascii="Arial" w:hAnsi="Arial" w:cs="Arial"/>
        </w:rPr>
        <w:t>Due to time restraints of the research, careful consideration around the timeline for the study is essential</w:t>
      </w:r>
      <w:r w:rsidR="008A1ED0" w:rsidRPr="00584D41">
        <w:rPr>
          <w:rFonts w:ascii="Arial" w:hAnsi="Arial" w:cs="Arial"/>
        </w:rPr>
        <w:t xml:space="preserve"> as it could pose as one of the researchers primary challenges. The researcher must complete the study </w:t>
      </w:r>
      <w:r w:rsidR="00607140" w:rsidRPr="00584D41">
        <w:rPr>
          <w:rFonts w:ascii="Arial" w:hAnsi="Arial" w:cs="Arial"/>
        </w:rPr>
        <w:t>alongside</w:t>
      </w:r>
      <w:r w:rsidR="008A1ED0" w:rsidRPr="00584D41">
        <w:rPr>
          <w:rFonts w:ascii="Arial" w:hAnsi="Arial" w:cs="Arial"/>
        </w:rPr>
        <w:t xml:space="preserve"> full-time employment and personal commitments such as renovating a home. It is important the researcher </w:t>
      </w:r>
      <w:r w:rsidR="008A5184">
        <w:rPr>
          <w:rFonts w:ascii="Arial" w:hAnsi="Arial" w:cs="Arial"/>
        </w:rPr>
        <w:t>maintains</w:t>
      </w:r>
      <w:r w:rsidR="008A1ED0" w:rsidRPr="00584D41">
        <w:rPr>
          <w:rFonts w:ascii="Arial" w:hAnsi="Arial" w:cs="Arial"/>
        </w:rPr>
        <w:t xml:space="preserve"> a positive work-life balance to avoid burnout, to ensure the quality of the research study remains high. </w:t>
      </w:r>
    </w:p>
    <w:p w14:paraId="0C03AB49" w14:textId="77777777" w:rsidR="00607140" w:rsidRPr="00584D41" w:rsidRDefault="00607140">
      <w:pPr>
        <w:rPr>
          <w:rFonts w:ascii="Arial" w:hAnsi="Arial" w:cs="Arial"/>
          <w:b/>
          <w:bCs/>
          <w:sz w:val="20"/>
          <w:szCs w:val="20"/>
          <w:u w:val="single"/>
        </w:rPr>
      </w:pPr>
    </w:p>
    <w:tbl>
      <w:tblPr>
        <w:tblW w:w="10415" w:type="dxa"/>
        <w:tblInd w:w="-692" w:type="dxa"/>
        <w:tblLook w:val="04A0" w:firstRow="1" w:lastRow="0" w:firstColumn="1" w:lastColumn="0" w:noHBand="0" w:noVBand="1"/>
      </w:tblPr>
      <w:tblGrid>
        <w:gridCol w:w="3460"/>
        <w:gridCol w:w="1195"/>
        <w:gridCol w:w="1184"/>
        <w:gridCol w:w="984"/>
        <w:gridCol w:w="1072"/>
        <w:gridCol w:w="960"/>
        <w:gridCol w:w="960"/>
        <w:gridCol w:w="960"/>
      </w:tblGrid>
      <w:tr w:rsidR="009D3E0C" w:rsidRPr="00584D41" w14:paraId="3FCB9CF1" w14:textId="77777777" w:rsidTr="009D3E0C">
        <w:trPr>
          <w:trHeight w:val="300"/>
        </w:trPr>
        <w:tc>
          <w:tcPr>
            <w:tcW w:w="3460" w:type="dxa"/>
            <w:tcBorders>
              <w:top w:val="nil"/>
              <w:left w:val="nil"/>
              <w:bottom w:val="nil"/>
              <w:right w:val="nil"/>
            </w:tcBorders>
            <w:shd w:val="clear" w:color="auto" w:fill="auto"/>
            <w:noWrap/>
            <w:vAlign w:val="bottom"/>
            <w:hideMark/>
          </w:tcPr>
          <w:p w14:paraId="262DB082" w14:textId="77777777" w:rsidR="009D3E0C" w:rsidRPr="00584D41" w:rsidRDefault="009D3E0C" w:rsidP="009D3E0C">
            <w:pPr>
              <w:spacing w:after="0" w:line="240" w:lineRule="auto"/>
              <w:rPr>
                <w:rFonts w:ascii="Arial" w:eastAsia="Times New Roman" w:hAnsi="Arial" w:cs="Arial"/>
                <w:kern w:val="0"/>
                <w:sz w:val="20"/>
                <w:szCs w:val="20"/>
                <w14:ligatures w14:val="none"/>
              </w:rPr>
            </w:pP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921D9"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 xml:space="preserve">November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41F46BA2"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December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8D1EB9C"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January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8489DA3"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February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D42126"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March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9088BB7"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April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E4CE50" w14:textId="77777777" w:rsidR="009D3E0C" w:rsidRPr="00584D41" w:rsidRDefault="009D3E0C" w:rsidP="009D3E0C">
            <w:pPr>
              <w:spacing w:after="0" w:line="240" w:lineRule="auto"/>
              <w:rPr>
                <w:rFonts w:ascii="Arial" w:eastAsia="Times New Roman" w:hAnsi="Arial" w:cs="Arial"/>
                <w:b/>
                <w:bCs/>
                <w:color w:val="000000"/>
                <w:kern w:val="0"/>
                <w:sz w:val="20"/>
                <w:szCs w:val="20"/>
                <w14:ligatures w14:val="none"/>
              </w:rPr>
            </w:pPr>
            <w:r w:rsidRPr="00584D41">
              <w:rPr>
                <w:rFonts w:ascii="Arial" w:eastAsia="Times New Roman" w:hAnsi="Arial" w:cs="Arial"/>
                <w:b/>
                <w:bCs/>
                <w:color w:val="000000"/>
                <w:kern w:val="0"/>
                <w:sz w:val="20"/>
                <w:szCs w:val="20"/>
                <w14:ligatures w14:val="none"/>
              </w:rPr>
              <w:t>May</w:t>
            </w:r>
          </w:p>
        </w:tc>
      </w:tr>
      <w:tr w:rsidR="009D3E0C" w:rsidRPr="00584D41" w14:paraId="4BCDFBA1" w14:textId="77777777" w:rsidTr="009D3E0C">
        <w:trPr>
          <w:trHeight w:val="300"/>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0A72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Proposal &amp; Ethics form approved</w:t>
            </w:r>
          </w:p>
        </w:tc>
        <w:tc>
          <w:tcPr>
            <w:tcW w:w="1075" w:type="dxa"/>
            <w:tcBorders>
              <w:top w:val="nil"/>
              <w:left w:val="nil"/>
              <w:bottom w:val="single" w:sz="4" w:space="0" w:color="auto"/>
              <w:right w:val="single" w:sz="4" w:space="0" w:color="auto"/>
            </w:tcBorders>
            <w:shd w:val="clear" w:color="000000" w:fill="F1A983"/>
            <w:noWrap/>
            <w:vAlign w:val="bottom"/>
            <w:hideMark/>
          </w:tcPr>
          <w:p w14:paraId="0E28BE89"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auto" w:fill="auto"/>
            <w:noWrap/>
            <w:vAlign w:val="bottom"/>
            <w:hideMark/>
          </w:tcPr>
          <w:p w14:paraId="4C2258EC"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CBA423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08A3BE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228C83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194A6FC"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ED711AD"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5B9AC902"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83B2AFA"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Introduction</w:t>
            </w:r>
          </w:p>
        </w:tc>
        <w:tc>
          <w:tcPr>
            <w:tcW w:w="1075" w:type="dxa"/>
            <w:tcBorders>
              <w:top w:val="nil"/>
              <w:left w:val="nil"/>
              <w:bottom w:val="single" w:sz="4" w:space="0" w:color="auto"/>
              <w:right w:val="single" w:sz="4" w:space="0" w:color="auto"/>
            </w:tcBorders>
            <w:shd w:val="clear" w:color="000000" w:fill="A6C9EC"/>
            <w:noWrap/>
            <w:vAlign w:val="bottom"/>
            <w:hideMark/>
          </w:tcPr>
          <w:p w14:paraId="50EC8A57"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A6C9EC"/>
            <w:noWrap/>
            <w:vAlign w:val="bottom"/>
            <w:hideMark/>
          </w:tcPr>
          <w:p w14:paraId="1D841D6D"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0698EB3"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C945A6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25CA7CA"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79DB4B8"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82AC380"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1F1ADBDB"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C1E44D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Literature Review</w:t>
            </w:r>
          </w:p>
        </w:tc>
        <w:tc>
          <w:tcPr>
            <w:tcW w:w="1075" w:type="dxa"/>
            <w:tcBorders>
              <w:top w:val="nil"/>
              <w:left w:val="nil"/>
              <w:bottom w:val="single" w:sz="4" w:space="0" w:color="auto"/>
              <w:right w:val="single" w:sz="4" w:space="0" w:color="auto"/>
            </w:tcBorders>
            <w:shd w:val="clear" w:color="000000" w:fill="E49EDD"/>
            <w:noWrap/>
            <w:vAlign w:val="bottom"/>
            <w:hideMark/>
          </w:tcPr>
          <w:p w14:paraId="1042DFC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E49EDD"/>
            <w:noWrap/>
            <w:vAlign w:val="bottom"/>
            <w:hideMark/>
          </w:tcPr>
          <w:p w14:paraId="708F33DF"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E49EDD"/>
            <w:noWrap/>
            <w:vAlign w:val="bottom"/>
            <w:hideMark/>
          </w:tcPr>
          <w:p w14:paraId="40C5F1C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4D8BA82"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977B99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1177759"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C4A7298"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49E52F4F"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64712198"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Methodology &amp; Conduct Primary Research</w:t>
            </w:r>
          </w:p>
        </w:tc>
        <w:tc>
          <w:tcPr>
            <w:tcW w:w="1075" w:type="dxa"/>
            <w:tcBorders>
              <w:top w:val="nil"/>
              <w:left w:val="nil"/>
              <w:bottom w:val="single" w:sz="4" w:space="0" w:color="auto"/>
              <w:right w:val="single" w:sz="4" w:space="0" w:color="auto"/>
            </w:tcBorders>
            <w:shd w:val="clear" w:color="000000" w:fill="ADADAD"/>
            <w:noWrap/>
            <w:vAlign w:val="bottom"/>
            <w:hideMark/>
          </w:tcPr>
          <w:p w14:paraId="6322B788"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ADADAD"/>
            <w:noWrap/>
            <w:vAlign w:val="bottom"/>
            <w:hideMark/>
          </w:tcPr>
          <w:p w14:paraId="45E7CB2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ADADAD"/>
            <w:noWrap/>
            <w:vAlign w:val="bottom"/>
            <w:hideMark/>
          </w:tcPr>
          <w:p w14:paraId="68695C79"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ADADAD"/>
            <w:noWrap/>
            <w:vAlign w:val="bottom"/>
            <w:hideMark/>
          </w:tcPr>
          <w:p w14:paraId="2D0D8ED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C2D6B6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57E291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3FADC6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29EFE806"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7854BAC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Analysis of Results</w:t>
            </w:r>
          </w:p>
        </w:tc>
        <w:tc>
          <w:tcPr>
            <w:tcW w:w="1075" w:type="dxa"/>
            <w:tcBorders>
              <w:top w:val="nil"/>
              <w:left w:val="nil"/>
              <w:bottom w:val="single" w:sz="4" w:space="0" w:color="auto"/>
              <w:right w:val="single" w:sz="4" w:space="0" w:color="auto"/>
            </w:tcBorders>
            <w:shd w:val="clear" w:color="000000" w:fill="B5E6A2"/>
            <w:noWrap/>
            <w:vAlign w:val="bottom"/>
            <w:hideMark/>
          </w:tcPr>
          <w:p w14:paraId="658E05EF"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B5E6A2"/>
            <w:noWrap/>
            <w:vAlign w:val="bottom"/>
            <w:hideMark/>
          </w:tcPr>
          <w:p w14:paraId="14869119"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B5E6A2"/>
            <w:noWrap/>
            <w:vAlign w:val="bottom"/>
            <w:hideMark/>
          </w:tcPr>
          <w:p w14:paraId="09791572"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B5E6A2"/>
            <w:noWrap/>
            <w:vAlign w:val="bottom"/>
            <w:hideMark/>
          </w:tcPr>
          <w:p w14:paraId="0538741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B5E6A2"/>
            <w:noWrap/>
            <w:vAlign w:val="bottom"/>
            <w:hideMark/>
          </w:tcPr>
          <w:p w14:paraId="61CA0FE9"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FD1460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A7808A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401FFFC2"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73A4F85B"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Conclusion and Recommendations</w:t>
            </w:r>
          </w:p>
        </w:tc>
        <w:tc>
          <w:tcPr>
            <w:tcW w:w="1075" w:type="dxa"/>
            <w:tcBorders>
              <w:top w:val="nil"/>
              <w:left w:val="nil"/>
              <w:bottom w:val="single" w:sz="4" w:space="0" w:color="auto"/>
              <w:right w:val="single" w:sz="4" w:space="0" w:color="auto"/>
            </w:tcBorders>
            <w:shd w:val="clear" w:color="000000" w:fill="F7C7AC"/>
            <w:noWrap/>
            <w:vAlign w:val="bottom"/>
            <w:hideMark/>
          </w:tcPr>
          <w:p w14:paraId="1AD8B48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F7C7AC"/>
            <w:noWrap/>
            <w:vAlign w:val="bottom"/>
            <w:hideMark/>
          </w:tcPr>
          <w:p w14:paraId="069216BB"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7C7AC"/>
            <w:noWrap/>
            <w:vAlign w:val="bottom"/>
            <w:hideMark/>
          </w:tcPr>
          <w:p w14:paraId="2D7EB13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7C7AC"/>
            <w:noWrap/>
            <w:vAlign w:val="bottom"/>
            <w:hideMark/>
          </w:tcPr>
          <w:p w14:paraId="7060738C"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7C7AC"/>
            <w:noWrap/>
            <w:vAlign w:val="bottom"/>
            <w:hideMark/>
          </w:tcPr>
          <w:p w14:paraId="3F3DBE6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7C7AC"/>
            <w:noWrap/>
            <w:vAlign w:val="bottom"/>
            <w:hideMark/>
          </w:tcPr>
          <w:p w14:paraId="3EBDD7F9"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413368A"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42BAE29D"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26A39516" w14:textId="51983881"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xml:space="preserve">Submission of </w:t>
            </w:r>
            <w:r w:rsidR="00942C0A" w:rsidRPr="00584D41">
              <w:rPr>
                <w:rFonts w:ascii="Arial" w:eastAsia="Times New Roman" w:hAnsi="Arial" w:cs="Arial"/>
                <w:color w:val="000000"/>
                <w:kern w:val="0"/>
                <w:sz w:val="20"/>
                <w:szCs w:val="20"/>
                <w14:ligatures w14:val="none"/>
              </w:rPr>
              <w:t>Dissertation</w:t>
            </w:r>
            <w:r w:rsidRPr="00584D41">
              <w:rPr>
                <w:rFonts w:ascii="Arial" w:eastAsia="Times New Roman" w:hAnsi="Arial" w:cs="Arial"/>
                <w:color w:val="000000"/>
                <w:kern w:val="0"/>
                <w:sz w:val="20"/>
                <w:szCs w:val="20"/>
                <w14:ligatures w14:val="none"/>
              </w:rPr>
              <w:t xml:space="preserve"> Draft</w:t>
            </w:r>
          </w:p>
        </w:tc>
        <w:tc>
          <w:tcPr>
            <w:tcW w:w="1075" w:type="dxa"/>
            <w:tcBorders>
              <w:top w:val="nil"/>
              <w:left w:val="nil"/>
              <w:bottom w:val="single" w:sz="4" w:space="0" w:color="auto"/>
              <w:right w:val="single" w:sz="4" w:space="0" w:color="auto"/>
            </w:tcBorders>
            <w:shd w:val="clear" w:color="000000" w:fill="FFFF99"/>
            <w:noWrap/>
            <w:vAlign w:val="bottom"/>
            <w:hideMark/>
          </w:tcPr>
          <w:p w14:paraId="6C9B3E23"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FFFF99"/>
            <w:noWrap/>
            <w:vAlign w:val="bottom"/>
            <w:hideMark/>
          </w:tcPr>
          <w:p w14:paraId="1AABBA0E"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FF99"/>
            <w:noWrap/>
            <w:vAlign w:val="bottom"/>
            <w:hideMark/>
          </w:tcPr>
          <w:p w14:paraId="490D6FF2"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FF99"/>
            <w:noWrap/>
            <w:vAlign w:val="bottom"/>
            <w:hideMark/>
          </w:tcPr>
          <w:p w14:paraId="238C6DFC"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FF99"/>
            <w:noWrap/>
            <w:vAlign w:val="bottom"/>
            <w:hideMark/>
          </w:tcPr>
          <w:p w14:paraId="5D641292"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FF99"/>
            <w:noWrap/>
            <w:vAlign w:val="bottom"/>
            <w:hideMark/>
          </w:tcPr>
          <w:p w14:paraId="6329437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10D9FDE"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r w:rsidR="009D3E0C" w:rsidRPr="00584D41" w14:paraId="764381B6" w14:textId="77777777" w:rsidTr="009D3E0C">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1694682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Submission of Dissertation</w:t>
            </w:r>
          </w:p>
        </w:tc>
        <w:tc>
          <w:tcPr>
            <w:tcW w:w="1075" w:type="dxa"/>
            <w:tcBorders>
              <w:top w:val="nil"/>
              <w:left w:val="nil"/>
              <w:bottom w:val="single" w:sz="4" w:space="0" w:color="auto"/>
              <w:right w:val="single" w:sz="4" w:space="0" w:color="auto"/>
            </w:tcBorders>
            <w:shd w:val="clear" w:color="000000" w:fill="FF7C80"/>
            <w:noWrap/>
            <w:vAlign w:val="bottom"/>
            <w:hideMark/>
          </w:tcPr>
          <w:p w14:paraId="566C1561"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1080" w:type="dxa"/>
            <w:tcBorders>
              <w:top w:val="nil"/>
              <w:left w:val="nil"/>
              <w:bottom w:val="single" w:sz="4" w:space="0" w:color="auto"/>
              <w:right w:val="single" w:sz="4" w:space="0" w:color="auto"/>
            </w:tcBorders>
            <w:shd w:val="clear" w:color="000000" w:fill="FF7C80"/>
            <w:noWrap/>
            <w:vAlign w:val="bottom"/>
            <w:hideMark/>
          </w:tcPr>
          <w:p w14:paraId="0B7CFE16"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7C80"/>
            <w:noWrap/>
            <w:vAlign w:val="bottom"/>
            <w:hideMark/>
          </w:tcPr>
          <w:p w14:paraId="552C4F48"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7C80"/>
            <w:noWrap/>
            <w:vAlign w:val="bottom"/>
            <w:hideMark/>
          </w:tcPr>
          <w:p w14:paraId="1FEA6D5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7C80"/>
            <w:noWrap/>
            <w:vAlign w:val="bottom"/>
            <w:hideMark/>
          </w:tcPr>
          <w:p w14:paraId="7F70DFC4"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7C80"/>
            <w:noWrap/>
            <w:vAlign w:val="bottom"/>
            <w:hideMark/>
          </w:tcPr>
          <w:p w14:paraId="28456182"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c>
          <w:tcPr>
            <w:tcW w:w="960" w:type="dxa"/>
            <w:tcBorders>
              <w:top w:val="nil"/>
              <w:left w:val="nil"/>
              <w:bottom w:val="single" w:sz="4" w:space="0" w:color="auto"/>
              <w:right w:val="single" w:sz="4" w:space="0" w:color="auto"/>
            </w:tcBorders>
            <w:shd w:val="clear" w:color="000000" w:fill="FF7C80"/>
            <w:noWrap/>
            <w:vAlign w:val="bottom"/>
            <w:hideMark/>
          </w:tcPr>
          <w:p w14:paraId="08BA8315" w14:textId="77777777" w:rsidR="009D3E0C" w:rsidRPr="00584D41" w:rsidRDefault="009D3E0C" w:rsidP="009D3E0C">
            <w:pPr>
              <w:spacing w:after="0" w:line="240" w:lineRule="auto"/>
              <w:rPr>
                <w:rFonts w:ascii="Arial" w:eastAsia="Times New Roman" w:hAnsi="Arial" w:cs="Arial"/>
                <w:color w:val="000000"/>
                <w:kern w:val="0"/>
                <w:sz w:val="20"/>
                <w:szCs w:val="20"/>
                <w14:ligatures w14:val="none"/>
              </w:rPr>
            </w:pPr>
            <w:r w:rsidRPr="00584D41">
              <w:rPr>
                <w:rFonts w:ascii="Arial" w:eastAsia="Times New Roman" w:hAnsi="Arial" w:cs="Arial"/>
                <w:color w:val="000000"/>
                <w:kern w:val="0"/>
                <w:sz w:val="20"/>
                <w:szCs w:val="20"/>
                <w14:ligatures w14:val="none"/>
              </w:rPr>
              <w:t> </w:t>
            </w:r>
          </w:p>
        </w:tc>
      </w:tr>
    </w:tbl>
    <w:p w14:paraId="06A5112A" w14:textId="77777777" w:rsidR="00607140" w:rsidRPr="00584D41" w:rsidRDefault="00607140">
      <w:pPr>
        <w:rPr>
          <w:rFonts w:ascii="Arial" w:hAnsi="Arial" w:cs="Arial"/>
          <w:b/>
          <w:bCs/>
          <w:sz w:val="20"/>
          <w:szCs w:val="20"/>
          <w:u w:val="single"/>
        </w:rPr>
      </w:pPr>
    </w:p>
    <w:p w14:paraId="5FCBB188" w14:textId="77777777" w:rsidR="00BA6EF0" w:rsidRPr="00584D41" w:rsidRDefault="00BA6EF0">
      <w:pPr>
        <w:rPr>
          <w:rFonts w:ascii="Arial" w:hAnsi="Arial" w:cs="Arial"/>
          <w:b/>
          <w:bCs/>
          <w:u w:val="single"/>
        </w:rPr>
      </w:pPr>
    </w:p>
    <w:p w14:paraId="0138650A" w14:textId="77777777" w:rsidR="00BA6EF0" w:rsidRPr="00584D41" w:rsidRDefault="00BA6EF0">
      <w:pPr>
        <w:rPr>
          <w:rFonts w:ascii="Arial" w:hAnsi="Arial" w:cs="Arial"/>
          <w:b/>
          <w:bCs/>
          <w:u w:val="single"/>
        </w:rPr>
      </w:pPr>
    </w:p>
    <w:p w14:paraId="74BF6834" w14:textId="77777777" w:rsidR="00BA6EF0" w:rsidRDefault="00BA6EF0">
      <w:pPr>
        <w:rPr>
          <w:rFonts w:ascii="Arial" w:hAnsi="Arial" w:cs="Arial"/>
          <w:b/>
          <w:bCs/>
          <w:u w:val="single"/>
        </w:rPr>
      </w:pPr>
    </w:p>
    <w:p w14:paraId="0A2729F5" w14:textId="77777777" w:rsidR="00596413" w:rsidRDefault="00596413">
      <w:pPr>
        <w:rPr>
          <w:rFonts w:ascii="Arial" w:hAnsi="Arial" w:cs="Arial"/>
          <w:b/>
          <w:bCs/>
          <w:u w:val="single"/>
        </w:rPr>
      </w:pPr>
    </w:p>
    <w:p w14:paraId="4DD27C54" w14:textId="77777777" w:rsidR="00596413" w:rsidRPr="00584D41" w:rsidRDefault="00596413">
      <w:pPr>
        <w:rPr>
          <w:rFonts w:ascii="Arial" w:hAnsi="Arial" w:cs="Arial"/>
          <w:b/>
          <w:bCs/>
          <w:u w:val="single"/>
        </w:rPr>
      </w:pPr>
    </w:p>
    <w:p w14:paraId="21E40271" w14:textId="77777777" w:rsidR="00A74F22" w:rsidRDefault="00A74F22">
      <w:pPr>
        <w:rPr>
          <w:rFonts w:ascii="Arial" w:hAnsi="Arial" w:cs="Arial"/>
          <w:b/>
          <w:bCs/>
          <w:u w:val="single"/>
        </w:rPr>
      </w:pPr>
    </w:p>
    <w:p w14:paraId="001B9FEE" w14:textId="77777777" w:rsidR="00090778" w:rsidRDefault="00090778">
      <w:pPr>
        <w:rPr>
          <w:rFonts w:ascii="Arial" w:hAnsi="Arial" w:cs="Arial"/>
          <w:b/>
          <w:bCs/>
          <w:u w:val="single"/>
        </w:rPr>
      </w:pPr>
    </w:p>
    <w:p w14:paraId="239E4233" w14:textId="77777777" w:rsidR="00596413" w:rsidRDefault="00596413">
      <w:pPr>
        <w:rPr>
          <w:rFonts w:ascii="Arial" w:hAnsi="Arial" w:cs="Arial"/>
          <w:b/>
          <w:bCs/>
          <w:u w:val="single"/>
        </w:rPr>
      </w:pPr>
    </w:p>
    <w:p w14:paraId="3352DD1E" w14:textId="77777777" w:rsidR="003F461B" w:rsidRDefault="003F461B">
      <w:pPr>
        <w:rPr>
          <w:rFonts w:ascii="Arial" w:hAnsi="Arial" w:cs="Arial"/>
          <w:b/>
          <w:bCs/>
          <w:u w:val="single"/>
        </w:rPr>
      </w:pPr>
    </w:p>
    <w:p w14:paraId="5DAAD941" w14:textId="77777777" w:rsidR="003F461B" w:rsidRDefault="003F461B">
      <w:pPr>
        <w:rPr>
          <w:rFonts w:ascii="Arial" w:hAnsi="Arial" w:cs="Arial"/>
          <w:b/>
          <w:bCs/>
          <w:u w:val="single"/>
        </w:rPr>
      </w:pPr>
    </w:p>
    <w:p w14:paraId="4CD00328" w14:textId="77777777" w:rsidR="003F461B" w:rsidRDefault="003F461B">
      <w:pPr>
        <w:rPr>
          <w:rFonts w:ascii="Arial" w:hAnsi="Arial" w:cs="Arial"/>
          <w:b/>
          <w:bCs/>
          <w:u w:val="single"/>
        </w:rPr>
      </w:pPr>
    </w:p>
    <w:p w14:paraId="4341D8C5" w14:textId="77777777" w:rsidR="00090778" w:rsidRDefault="00090778">
      <w:pPr>
        <w:rPr>
          <w:rFonts w:ascii="Arial" w:hAnsi="Arial" w:cs="Arial"/>
          <w:b/>
          <w:bCs/>
          <w:u w:val="single"/>
        </w:rPr>
      </w:pPr>
    </w:p>
    <w:p w14:paraId="163BB4A2" w14:textId="77777777" w:rsidR="00090778" w:rsidRDefault="00090778">
      <w:pPr>
        <w:rPr>
          <w:rFonts w:ascii="Arial" w:hAnsi="Arial" w:cs="Arial"/>
          <w:b/>
          <w:bCs/>
          <w:u w:val="single"/>
        </w:rPr>
      </w:pPr>
    </w:p>
    <w:p w14:paraId="1F68F5BF" w14:textId="77777777" w:rsidR="008A5184" w:rsidRDefault="008A5184">
      <w:pPr>
        <w:rPr>
          <w:rFonts w:ascii="Arial" w:hAnsi="Arial" w:cs="Arial"/>
          <w:b/>
          <w:bCs/>
          <w:u w:val="single"/>
        </w:rPr>
      </w:pPr>
    </w:p>
    <w:p w14:paraId="6688584C" w14:textId="12FA282D" w:rsidR="00E5027E" w:rsidRPr="00584D41" w:rsidRDefault="00C85739">
      <w:pPr>
        <w:rPr>
          <w:rFonts w:ascii="Arial" w:hAnsi="Arial" w:cs="Arial"/>
          <w:b/>
          <w:bCs/>
        </w:rPr>
      </w:pPr>
      <w:r w:rsidRPr="00584D41">
        <w:rPr>
          <w:rFonts w:ascii="Arial" w:hAnsi="Arial" w:cs="Arial"/>
          <w:b/>
          <w:bCs/>
          <w:u w:val="single"/>
        </w:rPr>
        <w:lastRenderedPageBreak/>
        <w:t>R</w:t>
      </w:r>
      <w:r w:rsidR="00355289" w:rsidRPr="00584D41">
        <w:rPr>
          <w:rFonts w:ascii="Arial" w:hAnsi="Arial" w:cs="Arial"/>
          <w:b/>
          <w:bCs/>
          <w:u w:val="single"/>
        </w:rPr>
        <w:t>eferences</w:t>
      </w:r>
    </w:p>
    <w:p w14:paraId="5C847158" w14:textId="77777777" w:rsidR="00090778" w:rsidRPr="00090778" w:rsidRDefault="00090778" w:rsidP="005F2D50">
      <w:pPr>
        <w:rPr>
          <w:rFonts w:ascii="Arial" w:hAnsi="Arial" w:cs="Arial"/>
        </w:rPr>
      </w:pPr>
      <w:r w:rsidRPr="00090778">
        <w:rPr>
          <w:rFonts w:ascii="Arial" w:hAnsi="Arial" w:cs="Arial"/>
        </w:rPr>
        <w:t>Adeoye, M.A. (2023) ‘Review of sampling techniques for education’, </w:t>
      </w:r>
      <w:r w:rsidRPr="00090778">
        <w:rPr>
          <w:rFonts w:ascii="Arial" w:hAnsi="Arial" w:cs="Arial"/>
          <w:i/>
          <w:iCs/>
        </w:rPr>
        <w:t>ASEAN Journal for Science Education</w:t>
      </w:r>
      <w:r w:rsidRPr="00090778">
        <w:rPr>
          <w:rFonts w:ascii="Arial" w:hAnsi="Arial" w:cs="Arial"/>
        </w:rPr>
        <w:t xml:space="preserve">, 2(2), pp.87-94. Available at: </w:t>
      </w:r>
      <w:hyperlink r:id="rId7" w:history="1">
        <w:r w:rsidRPr="00090778">
          <w:rPr>
            <w:rStyle w:val="Hyperlink"/>
            <w:rFonts w:ascii="Arial" w:hAnsi="Arial" w:cs="Arial"/>
            <w:color w:val="auto"/>
          </w:rPr>
          <w:t>https://scholar.google.com/scholar?hl=en&amp;as_sdt=0%2C5&amp;q=Review+of+sampling+techniques+for+education&amp;btnG=</w:t>
        </w:r>
      </w:hyperlink>
      <w:r w:rsidRPr="00090778">
        <w:rPr>
          <w:rFonts w:ascii="Arial" w:hAnsi="Arial" w:cs="Arial"/>
        </w:rPr>
        <w:t xml:space="preserve"> (Accessed: 31 October 2024). </w:t>
      </w:r>
    </w:p>
    <w:p w14:paraId="5FFD35C0" w14:textId="77777777" w:rsidR="00090778" w:rsidRPr="00090778" w:rsidRDefault="00090778" w:rsidP="005F2D50">
      <w:pPr>
        <w:rPr>
          <w:rFonts w:ascii="Arial" w:hAnsi="Arial" w:cs="Arial"/>
        </w:rPr>
      </w:pPr>
      <w:r w:rsidRPr="00090778">
        <w:rPr>
          <w:rFonts w:ascii="Arial" w:hAnsi="Arial" w:cs="Arial"/>
        </w:rPr>
        <w:t>Alam, Md.K. (2021) ‘A systematic qualitative case study: questions, data collection, NVivo analysis and saturation’, </w:t>
      </w:r>
      <w:r w:rsidRPr="00090778">
        <w:rPr>
          <w:rFonts w:ascii="Arial" w:hAnsi="Arial" w:cs="Arial"/>
          <w:i/>
          <w:iCs/>
        </w:rPr>
        <w:t>Qualitative Research in Organizations and Management, </w:t>
      </w:r>
      <w:r w:rsidRPr="00090778">
        <w:rPr>
          <w:rFonts w:ascii="Arial" w:hAnsi="Arial" w:cs="Arial"/>
        </w:rPr>
        <w:t xml:space="preserve">16(1), pp. 1-31. Available at: DOI:10.1108/QROM-09-2019-1825 (Accessed: 12 November 2024). </w:t>
      </w:r>
    </w:p>
    <w:p w14:paraId="1003FF76" w14:textId="77777777" w:rsidR="00090778" w:rsidRPr="00090778" w:rsidRDefault="00090778" w:rsidP="005F2D50">
      <w:pPr>
        <w:rPr>
          <w:rFonts w:ascii="Arial" w:hAnsi="Arial" w:cs="Arial"/>
        </w:rPr>
      </w:pPr>
      <w:r w:rsidRPr="00090778">
        <w:rPr>
          <w:rFonts w:ascii="Arial" w:hAnsi="Arial" w:cs="Arial"/>
        </w:rPr>
        <w:t>Alborough, L. and Hansen, R.K. (2023) ‘Reframing fundraising research: The challenges and opportunities of interpretivist research practices and practitioner researchers in fundraising studies’, </w:t>
      </w:r>
      <w:r w:rsidRPr="00090778">
        <w:rPr>
          <w:rFonts w:ascii="Arial" w:hAnsi="Arial" w:cs="Arial"/>
          <w:i/>
          <w:iCs/>
        </w:rPr>
        <w:t>International journal of nonprofit and voluntary sector marketing</w:t>
      </w:r>
      <w:r w:rsidRPr="00090778">
        <w:rPr>
          <w:rFonts w:ascii="Arial" w:hAnsi="Arial" w:cs="Arial"/>
        </w:rPr>
        <w:t xml:space="preserve">, 28(1). Available at: </w:t>
      </w:r>
      <w:hyperlink r:id="rId8" w:history="1">
        <w:r w:rsidRPr="00090778">
          <w:rPr>
            <w:rStyle w:val="Hyperlink"/>
            <w:rFonts w:ascii="Arial" w:hAnsi="Arial" w:cs="Arial"/>
            <w:color w:val="auto"/>
          </w:rPr>
          <w:t>https://doi.org/10.1002/nvsm.1775</w:t>
        </w:r>
      </w:hyperlink>
      <w:r w:rsidRPr="00090778">
        <w:rPr>
          <w:rFonts w:ascii="Arial" w:hAnsi="Arial" w:cs="Arial"/>
        </w:rPr>
        <w:t xml:space="preserve"> Accessed: 20 October 2024).</w:t>
      </w:r>
    </w:p>
    <w:p w14:paraId="046C1D40" w14:textId="77777777" w:rsidR="00090778" w:rsidRPr="00090778" w:rsidRDefault="00090778" w:rsidP="005F2D50">
      <w:pPr>
        <w:rPr>
          <w:rFonts w:ascii="Arial" w:hAnsi="Arial" w:cs="Arial"/>
        </w:rPr>
      </w:pPr>
      <w:r w:rsidRPr="00090778">
        <w:rPr>
          <w:rFonts w:ascii="Arial" w:hAnsi="Arial" w:cs="Arial"/>
        </w:rPr>
        <w:t>Allsop, D.B., Chelladurai, J.M, Kimball, E.R., Marks, L.D. &amp; Hendricks, J.J. (2022) ‘Qualitative Methods with Nvivo Software: A Practical Guide for Analyzing Qualitative Data’, </w:t>
      </w:r>
      <w:r w:rsidRPr="00090778">
        <w:rPr>
          <w:rFonts w:ascii="Arial" w:hAnsi="Arial" w:cs="Arial"/>
          <w:i/>
          <w:iCs/>
        </w:rPr>
        <w:t>Psych</w:t>
      </w:r>
      <w:r w:rsidRPr="00090778">
        <w:rPr>
          <w:rFonts w:ascii="Arial" w:hAnsi="Arial" w:cs="Arial"/>
        </w:rPr>
        <w:t xml:space="preserve">, 4(2), pp. 142–159. Available at: </w:t>
      </w:r>
      <w:hyperlink r:id="rId9" w:history="1">
        <w:r w:rsidRPr="00090778">
          <w:rPr>
            <w:rStyle w:val="Hyperlink"/>
            <w:rFonts w:ascii="Arial" w:hAnsi="Arial" w:cs="Arial"/>
            <w:color w:val="auto"/>
          </w:rPr>
          <w:t>https://doi.org/10.3390/psych4020013</w:t>
        </w:r>
      </w:hyperlink>
      <w:r w:rsidRPr="00090778">
        <w:rPr>
          <w:rFonts w:ascii="Arial" w:hAnsi="Arial" w:cs="Arial"/>
        </w:rPr>
        <w:t xml:space="preserve"> (Accessed 12 November). </w:t>
      </w:r>
    </w:p>
    <w:p w14:paraId="42AAC963" w14:textId="77777777" w:rsidR="00090778" w:rsidRPr="00090778" w:rsidRDefault="00090778" w:rsidP="005F2D50">
      <w:pPr>
        <w:rPr>
          <w:rFonts w:ascii="Arial" w:hAnsi="Arial" w:cs="Arial"/>
        </w:rPr>
      </w:pPr>
      <w:r w:rsidRPr="00090778">
        <w:rPr>
          <w:rFonts w:ascii="Arial" w:hAnsi="Arial" w:cs="Arial"/>
        </w:rPr>
        <w:t xml:space="preserve">Banks, K. &amp; Stalker, F. (2024) </w:t>
      </w:r>
      <w:r w:rsidRPr="00090778">
        <w:rPr>
          <w:rFonts w:ascii="Arial" w:hAnsi="Arial" w:cs="Arial"/>
          <w:i/>
          <w:iCs/>
        </w:rPr>
        <w:t>Menopause must be treated fairly for women at work</w:t>
      </w:r>
      <w:r w:rsidRPr="00090778">
        <w:rPr>
          <w:rFonts w:ascii="Arial" w:hAnsi="Arial" w:cs="Arial"/>
        </w:rPr>
        <w:t xml:space="preserve">. Available at:  </w:t>
      </w:r>
      <w:hyperlink r:id="rId10" w:history="1">
        <w:r w:rsidRPr="00090778">
          <w:rPr>
            <w:rStyle w:val="Hyperlink"/>
            <w:rFonts w:ascii="Arial" w:hAnsi="Arial" w:cs="Arial"/>
            <w:color w:val="auto"/>
          </w:rPr>
          <w:t>https://www.bbc.co.uk/news/articles/crglpn7pjjzo</w:t>
        </w:r>
      </w:hyperlink>
      <w:r w:rsidRPr="00090778">
        <w:rPr>
          <w:rFonts w:ascii="Arial" w:hAnsi="Arial" w:cs="Arial"/>
        </w:rPr>
        <w:t xml:space="preserve"> (Accessed: 30 October 2024). </w:t>
      </w:r>
    </w:p>
    <w:p w14:paraId="2CFCAA17" w14:textId="77777777" w:rsidR="00090778" w:rsidRPr="00090778" w:rsidRDefault="00090778" w:rsidP="005F2D50">
      <w:pPr>
        <w:rPr>
          <w:rFonts w:ascii="Arial" w:hAnsi="Arial" w:cs="Arial"/>
        </w:rPr>
      </w:pPr>
      <w:r w:rsidRPr="00090778">
        <w:rPr>
          <w:rFonts w:ascii="Arial" w:hAnsi="Arial" w:cs="Arial"/>
        </w:rPr>
        <w:t>Braun, V., Clarke, V., Boulton, E., Davey, L. &amp; McEvoy, C</w:t>
      </w:r>
      <w:r w:rsidRPr="00090778">
        <w:rPr>
          <w:rFonts w:ascii="Arial" w:hAnsi="Arial" w:cs="Arial"/>
          <w:i/>
          <w:iCs/>
        </w:rPr>
        <w:t>.</w:t>
      </w:r>
      <w:r w:rsidRPr="00090778">
        <w:rPr>
          <w:rFonts w:ascii="Arial" w:hAnsi="Arial" w:cs="Arial"/>
        </w:rPr>
        <w:t> (2021) ‘The online survey as a qualitative research tool’, </w:t>
      </w:r>
      <w:r w:rsidRPr="00090778">
        <w:rPr>
          <w:rFonts w:ascii="Arial" w:hAnsi="Arial" w:cs="Arial"/>
          <w:i/>
          <w:iCs/>
        </w:rPr>
        <w:t>International journal of social research methodology</w:t>
      </w:r>
      <w:r w:rsidRPr="00090778">
        <w:rPr>
          <w:rFonts w:ascii="Arial" w:hAnsi="Arial" w:cs="Arial"/>
        </w:rPr>
        <w:t xml:space="preserve">, 24(6), pp. 641–654. Available at: </w:t>
      </w:r>
      <w:hyperlink r:id="rId11" w:history="1">
        <w:r w:rsidRPr="00090778">
          <w:rPr>
            <w:rStyle w:val="Hyperlink"/>
            <w:rFonts w:ascii="Arial" w:hAnsi="Arial" w:cs="Arial"/>
            <w:color w:val="auto"/>
          </w:rPr>
          <w:t>https://doi.org/10.1080/13645579.2020.1805550</w:t>
        </w:r>
      </w:hyperlink>
      <w:r w:rsidRPr="00090778">
        <w:rPr>
          <w:rFonts w:ascii="Arial" w:hAnsi="Arial" w:cs="Arial"/>
        </w:rPr>
        <w:t xml:space="preserve"> (Accessed: 2 November 2024). </w:t>
      </w:r>
    </w:p>
    <w:p w14:paraId="74160700" w14:textId="77777777" w:rsidR="00090778" w:rsidRPr="00090778" w:rsidRDefault="00090778" w:rsidP="005F2D50">
      <w:pPr>
        <w:rPr>
          <w:rFonts w:ascii="Arial" w:hAnsi="Arial" w:cs="Arial"/>
        </w:rPr>
      </w:pPr>
      <w:r w:rsidRPr="00090778">
        <w:rPr>
          <w:rFonts w:ascii="Arial" w:hAnsi="Arial" w:cs="Arial"/>
        </w:rPr>
        <w:t xml:space="preserve">BUPA (2021) ‘Written Evidence from Bupa’, </w:t>
      </w:r>
      <w:r w:rsidRPr="00090778">
        <w:rPr>
          <w:rFonts w:ascii="Arial" w:hAnsi="Arial" w:cs="Arial"/>
          <w:i/>
          <w:iCs/>
        </w:rPr>
        <w:t xml:space="preserve">MEW0046. </w:t>
      </w:r>
      <w:r w:rsidRPr="00090778">
        <w:rPr>
          <w:rFonts w:ascii="Arial" w:hAnsi="Arial" w:cs="Arial"/>
        </w:rPr>
        <w:t xml:space="preserve">Available at: </w:t>
      </w:r>
      <w:hyperlink r:id="rId12" w:history="1">
        <w:r w:rsidRPr="00090778">
          <w:rPr>
            <w:rStyle w:val="Hyperlink"/>
            <w:rFonts w:ascii="Arial" w:hAnsi="Arial" w:cs="Arial"/>
            <w:color w:val="auto"/>
          </w:rPr>
          <w:t>https://committees.parliament.uk/writtenevidence/39244/html/</w:t>
        </w:r>
      </w:hyperlink>
      <w:r w:rsidRPr="00090778">
        <w:rPr>
          <w:rFonts w:ascii="Arial" w:hAnsi="Arial" w:cs="Arial"/>
        </w:rPr>
        <w:t xml:space="preserve"> (Accessed: 1 November 2024).</w:t>
      </w:r>
    </w:p>
    <w:p w14:paraId="0C177241" w14:textId="77777777" w:rsidR="00090778" w:rsidRPr="00090778" w:rsidRDefault="00090778" w:rsidP="005F2D50">
      <w:pPr>
        <w:rPr>
          <w:rFonts w:ascii="Arial" w:hAnsi="Arial" w:cs="Arial"/>
        </w:rPr>
      </w:pPr>
      <w:r w:rsidRPr="00090778">
        <w:rPr>
          <w:rFonts w:ascii="Arial" w:hAnsi="Arial" w:cs="Arial"/>
        </w:rPr>
        <w:t>Chafi, M. B., Hultberg, A. &amp; Yams, N. B. (2022) ‘Post-Pandemic Office Work: Perceived Challenges and Opportunities for a Sustainable Work Environment’, </w:t>
      </w:r>
      <w:r w:rsidRPr="00090778">
        <w:rPr>
          <w:rFonts w:ascii="Arial" w:hAnsi="Arial" w:cs="Arial"/>
          <w:i/>
          <w:iCs/>
        </w:rPr>
        <w:t>Sustainability</w:t>
      </w:r>
      <w:r w:rsidRPr="00090778">
        <w:rPr>
          <w:rFonts w:ascii="Arial" w:hAnsi="Arial" w:cs="Arial"/>
        </w:rPr>
        <w:t xml:space="preserve">, 14(1), pp. 294. Available at: </w:t>
      </w:r>
      <w:hyperlink r:id="rId13" w:history="1">
        <w:r w:rsidRPr="00090778">
          <w:rPr>
            <w:rStyle w:val="Hyperlink"/>
            <w:rFonts w:ascii="Arial" w:hAnsi="Arial" w:cs="Arial"/>
            <w:color w:val="auto"/>
          </w:rPr>
          <w:t>https://doi.org/10.3390/su14010294</w:t>
        </w:r>
      </w:hyperlink>
      <w:r w:rsidRPr="00090778">
        <w:rPr>
          <w:rFonts w:ascii="Arial" w:hAnsi="Arial" w:cs="Arial"/>
        </w:rPr>
        <w:t xml:space="preserve"> (Accessed: 27 October 2024). </w:t>
      </w:r>
    </w:p>
    <w:p w14:paraId="7A86E6C6" w14:textId="77777777" w:rsidR="00090778" w:rsidRPr="00090778" w:rsidRDefault="00090778" w:rsidP="005F2D50">
      <w:pPr>
        <w:rPr>
          <w:rFonts w:ascii="Arial" w:hAnsi="Arial" w:cs="Arial"/>
          <w:i/>
          <w:iCs/>
        </w:rPr>
      </w:pPr>
      <w:r w:rsidRPr="00090778">
        <w:rPr>
          <w:rFonts w:ascii="Arial" w:hAnsi="Arial" w:cs="Arial"/>
        </w:rPr>
        <w:t>CIPD (2021)</w:t>
      </w:r>
      <w:r w:rsidRPr="00090778">
        <w:rPr>
          <w:rFonts w:ascii="Arial" w:hAnsi="Arial" w:cs="Arial"/>
          <w:i/>
          <w:iCs/>
        </w:rPr>
        <w:t xml:space="preserve"> The menopause at work: guidance for line managers. </w:t>
      </w:r>
      <w:r w:rsidRPr="00090778">
        <w:rPr>
          <w:rFonts w:ascii="Arial" w:hAnsi="Arial" w:cs="Arial"/>
        </w:rPr>
        <w:t>Available at</w:t>
      </w:r>
      <w:r w:rsidRPr="00090778">
        <w:rPr>
          <w:rFonts w:ascii="Arial" w:hAnsi="Arial" w:cs="Arial"/>
          <w:i/>
          <w:iCs/>
        </w:rPr>
        <w:t>: </w:t>
      </w:r>
      <w:hyperlink r:id="rId14" w:anchor=":~:text=Businesses%20should%20be%20able%20to,they%20need%20guidance%20and%20advice" w:history="1">
        <w:r w:rsidRPr="00090778">
          <w:rPr>
            <w:rStyle w:val="Hyperlink"/>
            <w:rFonts w:ascii="Arial" w:hAnsi="Arial" w:cs="Arial"/>
            <w:color w:val="auto"/>
          </w:rPr>
          <w:t>https://www.cipd.org/uk/knowledge/guides/menopause-people-manager-guidance/#:~:text=Businesses%20should%20be%20able%20to,they%20need%20guidance%20and%20advice</w:t>
        </w:r>
      </w:hyperlink>
      <w:r w:rsidRPr="00090778">
        <w:rPr>
          <w:rFonts w:ascii="Arial" w:hAnsi="Arial" w:cs="Arial"/>
          <w:i/>
          <w:iCs/>
        </w:rPr>
        <w:t> </w:t>
      </w:r>
      <w:r w:rsidRPr="00090778">
        <w:rPr>
          <w:rFonts w:ascii="Arial" w:hAnsi="Arial" w:cs="Arial"/>
        </w:rPr>
        <w:t xml:space="preserve">(Accessed: 30 October 2024). </w:t>
      </w:r>
    </w:p>
    <w:p w14:paraId="24503EDB" w14:textId="77777777" w:rsidR="00090778" w:rsidRPr="00090778" w:rsidRDefault="00090778" w:rsidP="005F2D50">
      <w:pPr>
        <w:rPr>
          <w:rFonts w:ascii="Arial" w:hAnsi="Arial" w:cs="Arial"/>
        </w:rPr>
      </w:pPr>
      <w:r w:rsidRPr="00090778">
        <w:rPr>
          <w:rFonts w:ascii="Arial" w:hAnsi="Arial" w:cs="Arial"/>
        </w:rPr>
        <w:t xml:space="preserve">CIPD (2023) </w:t>
      </w:r>
      <w:r w:rsidRPr="00090778">
        <w:rPr>
          <w:rFonts w:ascii="Arial" w:hAnsi="Arial" w:cs="Arial"/>
          <w:i/>
          <w:iCs/>
        </w:rPr>
        <w:t>Over a quarter of women say menopause has had a negative impact on their career progression, new CIPD research finds.</w:t>
      </w:r>
      <w:r w:rsidRPr="00090778">
        <w:rPr>
          <w:rFonts w:ascii="Arial" w:hAnsi="Arial" w:cs="Arial"/>
        </w:rPr>
        <w:t xml:space="preserve"> Available at: </w:t>
      </w:r>
      <w:hyperlink r:id="rId15" w:history="1">
        <w:r w:rsidRPr="00090778">
          <w:rPr>
            <w:rStyle w:val="Hyperlink"/>
            <w:rFonts w:ascii="Arial" w:hAnsi="Arial" w:cs="Arial"/>
            <w:color w:val="auto"/>
          </w:rPr>
          <w:t>https://www.cipd.org/uk/about/press-releases/quarter-of-women-menopause-negative-impact-on-career/</w:t>
        </w:r>
      </w:hyperlink>
      <w:r w:rsidRPr="00090778">
        <w:rPr>
          <w:rFonts w:ascii="Arial" w:hAnsi="Arial" w:cs="Arial"/>
        </w:rPr>
        <w:t xml:space="preserve"> (Accessed: 2 November 2024). </w:t>
      </w:r>
    </w:p>
    <w:p w14:paraId="35881407" w14:textId="77777777" w:rsidR="00090778" w:rsidRPr="00090778" w:rsidRDefault="00090778" w:rsidP="005F2D50">
      <w:pPr>
        <w:rPr>
          <w:rFonts w:ascii="Arial" w:hAnsi="Arial" w:cs="Arial"/>
        </w:rPr>
      </w:pPr>
      <w:r w:rsidRPr="00090778">
        <w:rPr>
          <w:rFonts w:ascii="Arial" w:hAnsi="Arial" w:cs="Arial"/>
        </w:rPr>
        <w:t>Denny, E. and Weckesser, A. (2022) ‘How to do qualitative research?: Qualitative research methods’, </w:t>
      </w:r>
      <w:r w:rsidRPr="00090778">
        <w:rPr>
          <w:rFonts w:ascii="Arial" w:hAnsi="Arial" w:cs="Arial"/>
          <w:i/>
          <w:iCs/>
        </w:rPr>
        <w:t>BJOG : an international journal of obstetrics and gynaecology</w:t>
      </w:r>
      <w:r w:rsidRPr="00090778">
        <w:rPr>
          <w:rFonts w:ascii="Arial" w:hAnsi="Arial" w:cs="Arial"/>
        </w:rPr>
        <w:t xml:space="preserve">, 129(7), pp.1166–1167. Available at: </w:t>
      </w:r>
      <w:hyperlink r:id="rId16" w:history="1">
        <w:r w:rsidRPr="00090778">
          <w:rPr>
            <w:rStyle w:val="Hyperlink"/>
            <w:rFonts w:ascii="Arial" w:hAnsi="Arial" w:cs="Arial"/>
            <w:color w:val="auto"/>
          </w:rPr>
          <w:t>https://doi.org/10.1111/1471-0528.17150</w:t>
        </w:r>
      </w:hyperlink>
      <w:r w:rsidRPr="00090778">
        <w:rPr>
          <w:rFonts w:ascii="Arial" w:hAnsi="Arial" w:cs="Arial"/>
        </w:rPr>
        <w:t xml:space="preserve"> (Accessed 22 October 2024)</w:t>
      </w:r>
    </w:p>
    <w:p w14:paraId="40751A6C" w14:textId="77777777" w:rsidR="00090778" w:rsidRPr="00090778" w:rsidRDefault="00090778" w:rsidP="005F2D50">
      <w:pPr>
        <w:rPr>
          <w:rFonts w:ascii="Arial" w:hAnsi="Arial" w:cs="Arial"/>
        </w:rPr>
      </w:pPr>
      <w:r w:rsidRPr="00090778">
        <w:rPr>
          <w:rFonts w:ascii="Arial" w:hAnsi="Arial" w:cs="Arial"/>
        </w:rPr>
        <w:t>Dobson, R. (2009) “insiderness”, “involvement” and emotions; impacts for methods, “knowledge” and social research’, </w:t>
      </w:r>
      <w:r w:rsidRPr="00090778">
        <w:rPr>
          <w:rFonts w:ascii="Arial" w:hAnsi="Arial" w:cs="Arial"/>
          <w:i/>
          <w:iCs/>
        </w:rPr>
        <w:t>People, place &amp; policy online</w:t>
      </w:r>
      <w:r w:rsidRPr="00090778">
        <w:rPr>
          <w:rFonts w:ascii="Arial" w:hAnsi="Arial" w:cs="Arial"/>
        </w:rPr>
        <w:t xml:space="preserve">, 3(3), pp. 183–195. Available at: </w:t>
      </w:r>
      <w:hyperlink r:id="rId17" w:history="1">
        <w:r w:rsidRPr="00090778">
          <w:rPr>
            <w:rStyle w:val="Hyperlink"/>
            <w:rFonts w:ascii="Arial" w:hAnsi="Arial" w:cs="Arial"/>
            <w:color w:val="auto"/>
          </w:rPr>
          <w:t>https://doi.org/10.3351/ppp.0003.0003.0005</w:t>
        </w:r>
      </w:hyperlink>
      <w:r w:rsidRPr="00090778">
        <w:rPr>
          <w:rFonts w:ascii="Arial" w:hAnsi="Arial" w:cs="Arial"/>
        </w:rPr>
        <w:t xml:space="preserve"> (Accessed: 21 October 2024). </w:t>
      </w:r>
    </w:p>
    <w:p w14:paraId="67837ED1" w14:textId="77777777" w:rsidR="00090778" w:rsidRPr="00090778" w:rsidRDefault="00090778" w:rsidP="005F2D50">
      <w:pPr>
        <w:rPr>
          <w:rFonts w:ascii="Arial" w:hAnsi="Arial" w:cs="Arial"/>
        </w:rPr>
      </w:pPr>
      <w:r w:rsidRPr="00090778">
        <w:rPr>
          <w:rFonts w:ascii="Arial" w:hAnsi="Arial" w:cs="Arial"/>
        </w:rPr>
        <w:t xml:space="preserve">EHRC (2024) </w:t>
      </w:r>
      <w:r w:rsidRPr="00090778">
        <w:rPr>
          <w:rFonts w:ascii="Arial" w:hAnsi="Arial" w:cs="Arial"/>
          <w:i/>
          <w:iCs/>
        </w:rPr>
        <w:t>Menopause in the workplace: Guidance for employers</w:t>
      </w:r>
      <w:r w:rsidRPr="00090778">
        <w:rPr>
          <w:rFonts w:ascii="Arial" w:hAnsi="Arial" w:cs="Arial"/>
        </w:rPr>
        <w:t xml:space="preserve">. Available at: </w:t>
      </w:r>
      <w:hyperlink r:id="rId18" w:history="1">
        <w:r w:rsidRPr="00090778">
          <w:rPr>
            <w:rStyle w:val="Hyperlink"/>
            <w:rFonts w:ascii="Arial" w:hAnsi="Arial" w:cs="Arial"/>
            <w:color w:val="auto"/>
          </w:rPr>
          <w:t>https://www.equalityhumanrights.com/guidance/menopause-workplace-guidance-employers</w:t>
        </w:r>
      </w:hyperlink>
      <w:r w:rsidRPr="00090778">
        <w:rPr>
          <w:rFonts w:ascii="Arial" w:hAnsi="Arial" w:cs="Arial"/>
        </w:rPr>
        <w:t xml:space="preserve"> (Accessed: 2 November 2024). </w:t>
      </w:r>
    </w:p>
    <w:p w14:paraId="3AA5131C" w14:textId="77777777" w:rsidR="00090778" w:rsidRPr="00090778" w:rsidRDefault="00090778" w:rsidP="005F2D50">
      <w:pPr>
        <w:rPr>
          <w:rFonts w:ascii="Arial" w:hAnsi="Arial" w:cs="Arial"/>
        </w:rPr>
      </w:pPr>
      <w:r w:rsidRPr="00090778">
        <w:rPr>
          <w:rFonts w:ascii="Arial" w:hAnsi="Arial" w:cs="Arial"/>
        </w:rPr>
        <w:t>Emerson, R.W. (2015) ‘Convenience Sampling, Random Sampling, and Snowball Sampling: How Does Sampling Affect the Validity of Research?’, </w:t>
      </w:r>
      <w:r w:rsidRPr="00090778">
        <w:rPr>
          <w:rFonts w:ascii="Arial" w:hAnsi="Arial" w:cs="Arial"/>
          <w:i/>
          <w:iCs/>
        </w:rPr>
        <w:t>Journal of visual impairment &amp; blindness</w:t>
      </w:r>
      <w:r w:rsidRPr="00090778">
        <w:rPr>
          <w:rFonts w:ascii="Arial" w:hAnsi="Arial" w:cs="Arial"/>
        </w:rPr>
        <w:t xml:space="preserve">, 109(2), pp. 164–168. Available at: </w:t>
      </w:r>
      <w:hyperlink r:id="rId19" w:history="1">
        <w:r w:rsidRPr="00090778">
          <w:rPr>
            <w:rStyle w:val="Hyperlink"/>
            <w:rFonts w:ascii="Arial" w:hAnsi="Arial" w:cs="Arial"/>
            <w:color w:val="auto"/>
          </w:rPr>
          <w:t>https://doi.org/10.1177/0145482X1510900215</w:t>
        </w:r>
      </w:hyperlink>
      <w:r w:rsidRPr="00090778">
        <w:rPr>
          <w:rFonts w:ascii="Arial" w:hAnsi="Arial" w:cs="Arial"/>
        </w:rPr>
        <w:t xml:space="preserve"> (Accessed: 28 October 2024).</w:t>
      </w:r>
    </w:p>
    <w:p w14:paraId="69DAE453" w14:textId="77777777" w:rsidR="00090778" w:rsidRPr="00090778" w:rsidRDefault="00090778" w:rsidP="005F2D50">
      <w:pPr>
        <w:rPr>
          <w:rFonts w:ascii="Arial" w:hAnsi="Arial" w:cs="Arial"/>
        </w:rPr>
      </w:pPr>
      <w:r w:rsidRPr="00090778">
        <w:rPr>
          <w:rFonts w:ascii="Arial" w:hAnsi="Arial" w:cs="Arial"/>
        </w:rPr>
        <w:t xml:space="preserve">Faragher, J. (2024) </w:t>
      </w:r>
      <w:r w:rsidRPr="00090778">
        <w:rPr>
          <w:rFonts w:ascii="Arial" w:hAnsi="Arial" w:cs="Arial"/>
          <w:i/>
          <w:iCs/>
        </w:rPr>
        <w:t xml:space="preserve">Menopause as disability: helpful or a hindrance? </w:t>
      </w:r>
      <w:r w:rsidRPr="00090778">
        <w:rPr>
          <w:rFonts w:ascii="Arial" w:hAnsi="Arial" w:cs="Arial"/>
        </w:rPr>
        <w:t xml:space="preserve">Available at: </w:t>
      </w:r>
      <w:hyperlink r:id="rId20" w:anchor=":~:text=From%20a%20legal%20perspective%2C%20this,t%20make%20the%20advised%20accommodations" w:history="1">
        <w:r w:rsidRPr="00090778">
          <w:rPr>
            <w:rStyle w:val="Hyperlink"/>
            <w:rFonts w:ascii="Arial" w:hAnsi="Arial" w:cs="Arial"/>
            <w:color w:val="auto"/>
          </w:rPr>
          <w:t>https://dileaders.com/blog/menopause-as-disability-helpful-or-a-hindrance/#:~:text=From%20a%20legal%20perspective%2C%20this,t%20make%20the%20advised%20accommodations</w:t>
        </w:r>
      </w:hyperlink>
      <w:r w:rsidRPr="00090778">
        <w:rPr>
          <w:rFonts w:ascii="Arial" w:hAnsi="Arial" w:cs="Arial"/>
        </w:rPr>
        <w:t xml:space="preserve"> (Accessed: 2 November 2024). </w:t>
      </w:r>
    </w:p>
    <w:p w14:paraId="0D76251D" w14:textId="77777777" w:rsidR="00090778" w:rsidRPr="00090778" w:rsidRDefault="00090778" w:rsidP="005F2D50">
      <w:pPr>
        <w:rPr>
          <w:rFonts w:ascii="Arial" w:hAnsi="Arial" w:cs="Arial"/>
        </w:rPr>
      </w:pPr>
      <w:r w:rsidRPr="00090778">
        <w:rPr>
          <w:rFonts w:ascii="Arial" w:hAnsi="Arial" w:cs="Arial"/>
        </w:rPr>
        <w:t>Foster, T., Prothero, L., Noakes, T., Brown, S</w:t>
      </w:r>
      <w:r w:rsidRPr="00090778">
        <w:rPr>
          <w:rFonts w:ascii="Arial" w:hAnsi="Arial" w:cs="Arial"/>
          <w:i/>
          <w:iCs/>
        </w:rPr>
        <w:t>.</w:t>
      </w:r>
      <w:r w:rsidRPr="00090778">
        <w:rPr>
          <w:rFonts w:ascii="Arial" w:hAnsi="Arial" w:cs="Arial"/>
        </w:rPr>
        <w:t> (2023) ‘PP23 An in-depth qualitative interview study of female ambulance staff experiences of the menopause transition (CESSATION – phase 3)’, </w:t>
      </w:r>
      <w:r w:rsidRPr="00090778">
        <w:rPr>
          <w:rFonts w:ascii="Arial" w:hAnsi="Arial" w:cs="Arial"/>
          <w:i/>
          <w:iCs/>
        </w:rPr>
        <w:t>Emergency medicine journal,</w:t>
      </w:r>
      <w:r w:rsidRPr="00090778">
        <w:rPr>
          <w:rFonts w:ascii="Arial" w:hAnsi="Arial" w:cs="Arial"/>
        </w:rPr>
        <w:t xml:space="preserve"> 40, pp. 10. Available at: </w:t>
      </w:r>
      <w:hyperlink r:id="rId21" w:history="1">
        <w:r w:rsidRPr="00090778">
          <w:rPr>
            <w:rStyle w:val="Hyperlink"/>
            <w:rFonts w:ascii="Arial" w:hAnsi="Arial" w:cs="Arial"/>
            <w:color w:val="auto"/>
          </w:rPr>
          <w:t>https://doi.org/10.1136/emermed-2023-999.22</w:t>
        </w:r>
      </w:hyperlink>
      <w:r w:rsidRPr="00090778">
        <w:rPr>
          <w:rFonts w:ascii="Arial" w:hAnsi="Arial" w:cs="Arial"/>
        </w:rPr>
        <w:t xml:space="preserve"> (Accessed: 30 October 2024). </w:t>
      </w:r>
    </w:p>
    <w:p w14:paraId="087A7EAA" w14:textId="77777777" w:rsidR="00090778" w:rsidRPr="00090778" w:rsidRDefault="00090778" w:rsidP="005F2D50">
      <w:pPr>
        <w:rPr>
          <w:rFonts w:ascii="Arial" w:hAnsi="Arial" w:cs="Arial"/>
        </w:rPr>
      </w:pPr>
      <w:r w:rsidRPr="00090778">
        <w:rPr>
          <w:rFonts w:ascii="Arial" w:hAnsi="Arial" w:cs="Arial"/>
        </w:rPr>
        <w:t>Glaser, B. &amp; Strauss, A. (1999) </w:t>
      </w:r>
      <w:r w:rsidRPr="00090778">
        <w:rPr>
          <w:rFonts w:ascii="Arial" w:hAnsi="Arial" w:cs="Arial"/>
          <w:i/>
          <w:iCs/>
        </w:rPr>
        <w:t>The discovery of grounded theory : strategies for qualitative research</w:t>
      </w:r>
      <w:r w:rsidRPr="00090778">
        <w:rPr>
          <w:rFonts w:ascii="Arial" w:hAnsi="Arial" w:cs="Arial"/>
        </w:rPr>
        <w:t xml:space="preserve">. Abingdon, Oxon: Routledge. </w:t>
      </w:r>
    </w:p>
    <w:p w14:paraId="5E59EAEA" w14:textId="77777777" w:rsidR="00090778" w:rsidRPr="00090778" w:rsidRDefault="00090778" w:rsidP="00090778">
      <w:pPr>
        <w:rPr>
          <w:rFonts w:ascii="Arial" w:hAnsi="Arial" w:cs="Arial"/>
        </w:rPr>
      </w:pPr>
      <w:r w:rsidRPr="00090778">
        <w:rPr>
          <w:rFonts w:ascii="Arial" w:hAnsi="Arial" w:cs="Arial"/>
        </w:rPr>
        <w:t>Guest, G., Bunce, A. and Johnson, L. (2006) ‘How Many Interviews Are Enough?: An Experiment with Data Saturation and Variability’, </w:t>
      </w:r>
      <w:r w:rsidRPr="00090778">
        <w:rPr>
          <w:rFonts w:ascii="Arial" w:hAnsi="Arial" w:cs="Arial"/>
          <w:i/>
          <w:iCs/>
        </w:rPr>
        <w:t>Field methods</w:t>
      </w:r>
      <w:r w:rsidRPr="00090778">
        <w:rPr>
          <w:rFonts w:ascii="Arial" w:hAnsi="Arial" w:cs="Arial"/>
        </w:rPr>
        <w:t xml:space="preserve">, 18(1), pp. 59–82. Available at: </w:t>
      </w:r>
      <w:hyperlink r:id="rId22" w:history="1">
        <w:r w:rsidRPr="00090778">
          <w:rPr>
            <w:rStyle w:val="Hyperlink"/>
            <w:rFonts w:ascii="Arial" w:hAnsi="Arial" w:cs="Arial"/>
            <w:color w:val="auto"/>
          </w:rPr>
          <w:t>https://doi.org/10.1177/1525822X05279903</w:t>
        </w:r>
      </w:hyperlink>
      <w:r w:rsidRPr="00090778">
        <w:rPr>
          <w:rFonts w:ascii="Arial" w:hAnsi="Arial" w:cs="Arial"/>
        </w:rPr>
        <w:t xml:space="preserve"> (Accessed: 12 November 2024). </w:t>
      </w:r>
    </w:p>
    <w:p w14:paraId="3A9604D3" w14:textId="77777777" w:rsidR="00090778" w:rsidRPr="00090778" w:rsidRDefault="00090778" w:rsidP="005F2D50">
      <w:pPr>
        <w:rPr>
          <w:rFonts w:ascii="Arial" w:hAnsi="Arial" w:cs="Arial"/>
        </w:rPr>
      </w:pPr>
      <w:r w:rsidRPr="00090778">
        <w:rPr>
          <w:rFonts w:ascii="Arial" w:hAnsi="Arial" w:cs="Arial"/>
        </w:rPr>
        <w:t>Huang, I.-C., Du, P-L., Wu, L-F., Achyldurdyyeva, J., Wu, L-C &amp; Lin, C.S. (2021) ‘Leader–member exchange, employee turnover intention and presenteeism: the mediating role of perceived organizational support’, </w:t>
      </w:r>
      <w:r w:rsidRPr="00090778">
        <w:rPr>
          <w:rFonts w:ascii="Arial" w:hAnsi="Arial" w:cs="Arial"/>
          <w:i/>
          <w:iCs/>
        </w:rPr>
        <w:t>Leadership &amp; organization development journal</w:t>
      </w:r>
      <w:r w:rsidRPr="00090778">
        <w:rPr>
          <w:rFonts w:ascii="Arial" w:hAnsi="Arial" w:cs="Arial"/>
        </w:rPr>
        <w:t xml:space="preserve">, 42(2), pp. 249–264. Available at: </w:t>
      </w:r>
      <w:hyperlink r:id="rId23" w:history="1">
        <w:r w:rsidRPr="00090778">
          <w:rPr>
            <w:rStyle w:val="Hyperlink"/>
            <w:rFonts w:ascii="Arial" w:hAnsi="Arial" w:cs="Arial"/>
            <w:color w:val="auto"/>
          </w:rPr>
          <w:t>https://doi.org/10.1108/LODJ-03-2020-0094</w:t>
        </w:r>
      </w:hyperlink>
      <w:r w:rsidRPr="00090778">
        <w:rPr>
          <w:rFonts w:ascii="Arial" w:hAnsi="Arial" w:cs="Arial"/>
        </w:rPr>
        <w:t xml:space="preserve"> (Accessed: 29 October 2024). </w:t>
      </w:r>
    </w:p>
    <w:p w14:paraId="2843E91F" w14:textId="77777777" w:rsidR="00090778" w:rsidRPr="00090778" w:rsidRDefault="00090778" w:rsidP="005F2D50">
      <w:pPr>
        <w:rPr>
          <w:rFonts w:ascii="Arial" w:hAnsi="Arial" w:cs="Arial"/>
        </w:rPr>
      </w:pPr>
      <w:r w:rsidRPr="00090778">
        <w:rPr>
          <w:rFonts w:ascii="Arial" w:hAnsi="Arial" w:cs="Arial"/>
        </w:rPr>
        <w:t>Irshaidat, R. (2022) ‘Interpretivism vs. Positivism in Political Marketing Research’, </w:t>
      </w:r>
      <w:r w:rsidRPr="00090778">
        <w:rPr>
          <w:rFonts w:ascii="Arial" w:hAnsi="Arial" w:cs="Arial"/>
          <w:i/>
          <w:iCs/>
        </w:rPr>
        <w:t>Journal of political marketing</w:t>
      </w:r>
      <w:r w:rsidRPr="00090778">
        <w:rPr>
          <w:rFonts w:ascii="Arial" w:hAnsi="Arial" w:cs="Arial"/>
        </w:rPr>
        <w:t xml:space="preserve">, 21(2), pp.126–160. Available at: </w:t>
      </w:r>
      <w:hyperlink r:id="rId24" w:history="1">
        <w:r w:rsidRPr="00090778">
          <w:rPr>
            <w:rStyle w:val="Hyperlink"/>
            <w:rFonts w:ascii="Arial" w:hAnsi="Arial" w:cs="Arial"/>
            <w:color w:val="auto"/>
          </w:rPr>
          <w:t>https://doi.org/10.1080/15377857.2019.1624286</w:t>
        </w:r>
      </w:hyperlink>
      <w:r w:rsidRPr="00090778">
        <w:rPr>
          <w:rFonts w:ascii="Arial" w:hAnsi="Arial" w:cs="Arial"/>
        </w:rPr>
        <w:t xml:space="preserve"> (Accessed: 22 October 2024)</w:t>
      </w:r>
    </w:p>
    <w:p w14:paraId="50531544" w14:textId="77777777" w:rsidR="00090778" w:rsidRPr="00090778" w:rsidRDefault="00090778" w:rsidP="005F2D50">
      <w:pPr>
        <w:rPr>
          <w:rFonts w:ascii="Arial" w:hAnsi="Arial" w:cs="Arial"/>
        </w:rPr>
      </w:pPr>
      <w:r w:rsidRPr="00090778">
        <w:rPr>
          <w:rFonts w:ascii="Arial" w:hAnsi="Arial" w:cs="Arial"/>
        </w:rPr>
        <w:lastRenderedPageBreak/>
        <w:t>Ishak, N. N. M., Jamani, N. A., Arifin, S. R.M., Hadi, A.A., &amp; Aziz, K. H.A., (2021) ‘Exploring women's perceptions and experiences of menopause among East Coast Malaysian women’, </w:t>
      </w:r>
      <w:r w:rsidRPr="00090778">
        <w:rPr>
          <w:rFonts w:ascii="Arial" w:hAnsi="Arial" w:cs="Arial"/>
          <w:i/>
          <w:iCs/>
        </w:rPr>
        <w:t>Malaysian family physician : the official journal of the Academy of Family Physicians of Malaysia</w:t>
      </w:r>
      <w:r w:rsidRPr="00090778">
        <w:rPr>
          <w:rFonts w:ascii="Arial" w:hAnsi="Arial" w:cs="Arial"/>
        </w:rPr>
        <w:t xml:space="preserve">, 16(1), 84–92. Available at: </w:t>
      </w:r>
      <w:hyperlink r:id="rId25" w:history="1">
        <w:r w:rsidRPr="00090778">
          <w:rPr>
            <w:rStyle w:val="Hyperlink"/>
            <w:rFonts w:ascii="Arial" w:hAnsi="Arial" w:cs="Arial"/>
            <w:color w:val="auto"/>
          </w:rPr>
          <w:t>https://doi.org/10.51866/oa1098</w:t>
        </w:r>
      </w:hyperlink>
      <w:r w:rsidRPr="00090778">
        <w:rPr>
          <w:rFonts w:ascii="Arial" w:hAnsi="Arial" w:cs="Arial"/>
        </w:rPr>
        <w:t xml:space="preserve"> (Accessed: 12 November 2024). </w:t>
      </w:r>
    </w:p>
    <w:p w14:paraId="1E63A4BA" w14:textId="77777777" w:rsidR="00090778" w:rsidRPr="00090778" w:rsidRDefault="00090778" w:rsidP="005F2D50">
      <w:pPr>
        <w:rPr>
          <w:rFonts w:ascii="Arial" w:hAnsi="Arial" w:cs="Arial"/>
        </w:rPr>
      </w:pPr>
      <w:r w:rsidRPr="00090778">
        <w:rPr>
          <w:rFonts w:ascii="Arial" w:hAnsi="Arial" w:cs="Arial"/>
        </w:rPr>
        <w:t xml:space="preserve">Islam, M.D.A. (2023) </w:t>
      </w:r>
      <w:r w:rsidRPr="00090778">
        <w:rPr>
          <w:rFonts w:ascii="Arial" w:hAnsi="Arial" w:cs="Arial"/>
          <w:i/>
          <w:iCs/>
        </w:rPr>
        <w:t xml:space="preserve">Unleashing the Power of Employee Performance: Strategies for Success. </w:t>
      </w:r>
      <w:r w:rsidRPr="00090778">
        <w:rPr>
          <w:rFonts w:ascii="Arial" w:hAnsi="Arial" w:cs="Arial"/>
        </w:rPr>
        <w:t xml:space="preserve">Available at: </w:t>
      </w:r>
      <w:hyperlink r:id="rId26" w:history="1">
        <w:r w:rsidRPr="00090778">
          <w:rPr>
            <w:rStyle w:val="Hyperlink"/>
            <w:rFonts w:ascii="Arial" w:hAnsi="Arial" w:cs="Arial"/>
            <w:color w:val="auto"/>
          </w:rPr>
          <w:t>https://www.linkedin.com/pulse/unleashing-power-employee-performance-azharul-islam-w1orc</w:t>
        </w:r>
      </w:hyperlink>
      <w:r w:rsidRPr="00090778">
        <w:rPr>
          <w:rFonts w:ascii="Arial" w:hAnsi="Arial" w:cs="Arial"/>
        </w:rPr>
        <w:t xml:space="preserve"> (Accessed: 12 November 2024). </w:t>
      </w:r>
    </w:p>
    <w:p w14:paraId="6FB330EF" w14:textId="77777777" w:rsidR="00090778" w:rsidRPr="00090778" w:rsidRDefault="00090778" w:rsidP="005F2D50">
      <w:pPr>
        <w:rPr>
          <w:rFonts w:ascii="Arial" w:hAnsi="Arial" w:cs="Arial"/>
        </w:rPr>
      </w:pPr>
      <w:r w:rsidRPr="00090778">
        <w:rPr>
          <w:rFonts w:ascii="Arial" w:hAnsi="Arial" w:cs="Arial"/>
        </w:rPr>
        <w:t>Johnson, J.L., Adkins, D. &amp; Chauvin, S. (2020) ‘A Review of the Quality Indicators of Rigor in Qualitative Research’, </w:t>
      </w:r>
      <w:r w:rsidRPr="00090778">
        <w:rPr>
          <w:rFonts w:ascii="Arial" w:hAnsi="Arial" w:cs="Arial"/>
          <w:i/>
          <w:iCs/>
        </w:rPr>
        <w:t>American journal of pharmaceutical education</w:t>
      </w:r>
      <w:r w:rsidRPr="00090778">
        <w:rPr>
          <w:rFonts w:ascii="Arial" w:hAnsi="Arial" w:cs="Arial"/>
        </w:rPr>
        <w:t xml:space="preserve">, 84(1), pp. 7120–146. Available at: </w:t>
      </w:r>
      <w:hyperlink r:id="rId27" w:history="1">
        <w:r w:rsidRPr="00090778">
          <w:rPr>
            <w:rStyle w:val="Hyperlink"/>
            <w:rFonts w:ascii="Arial" w:hAnsi="Arial" w:cs="Arial"/>
            <w:color w:val="auto"/>
          </w:rPr>
          <w:t>https://doi.org/10.5688/ajpe7120</w:t>
        </w:r>
      </w:hyperlink>
      <w:r w:rsidRPr="00090778">
        <w:rPr>
          <w:rFonts w:ascii="Arial" w:hAnsi="Arial" w:cs="Arial"/>
        </w:rPr>
        <w:t xml:space="preserve"> (Accessed: 29 October 2024). </w:t>
      </w:r>
    </w:p>
    <w:p w14:paraId="486937F6" w14:textId="77777777" w:rsidR="00090778" w:rsidRPr="00090778" w:rsidRDefault="00090778" w:rsidP="005F2D50">
      <w:pPr>
        <w:rPr>
          <w:rFonts w:ascii="Arial" w:hAnsi="Arial" w:cs="Arial"/>
        </w:rPr>
      </w:pPr>
      <w:r w:rsidRPr="00090778">
        <w:rPr>
          <w:rFonts w:ascii="Arial" w:hAnsi="Arial" w:cs="Arial"/>
        </w:rPr>
        <w:t xml:space="preserve">Lietz, C.A., Langer, C.L. &amp; Furman, R. (2006) ‘Establishing trustworthiness in qualitative research in social work: implications from a study regarding spirituality’, </w:t>
      </w:r>
      <w:r w:rsidRPr="00090778">
        <w:rPr>
          <w:rFonts w:ascii="Arial" w:hAnsi="Arial" w:cs="Arial"/>
          <w:i/>
          <w:iCs/>
        </w:rPr>
        <w:t>Qualitative Social Work,</w:t>
      </w:r>
      <w:r w:rsidRPr="00090778">
        <w:rPr>
          <w:rFonts w:ascii="Arial" w:hAnsi="Arial" w:cs="Arial"/>
        </w:rPr>
        <w:t xml:space="preserve"> 5, pp. 441–458. Available at: </w:t>
      </w:r>
      <w:hyperlink r:id="rId28" w:history="1">
        <w:r w:rsidRPr="00090778">
          <w:rPr>
            <w:rStyle w:val="Hyperlink"/>
            <w:rFonts w:ascii="Arial" w:hAnsi="Arial" w:cs="Arial"/>
            <w:color w:val="auto"/>
          </w:rPr>
          <w:t>https://journals.sagepub.com/doi/pdf/10.1177/1473325006070288</w:t>
        </w:r>
      </w:hyperlink>
      <w:r w:rsidRPr="00090778">
        <w:rPr>
          <w:rFonts w:ascii="Arial" w:hAnsi="Arial" w:cs="Arial"/>
        </w:rPr>
        <w:t xml:space="preserve"> (Accessed: 26 October 2024). </w:t>
      </w:r>
    </w:p>
    <w:p w14:paraId="0794AB04" w14:textId="77777777" w:rsidR="00090778" w:rsidRPr="00090778" w:rsidRDefault="00090778" w:rsidP="0061304E">
      <w:pPr>
        <w:rPr>
          <w:rFonts w:ascii="Arial" w:hAnsi="Arial" w:cs="Arial"/>
        </w:rPr>
      </w:pPr>
      <w:r w:rsidRPr="00090778">
        <w:rPr>
          <w:rFonts w:ascii="Arial" w:hAnsi="Arial" w:cs="Arial"/>
        </w:rPr>
        <w:t>Lim, W.M. (2024) ‘What Is Qualitative Research? An Overview and Guidelines’, </w:t>
      </w:r>
      <w:r w:rsidRPr="00090778">
        <w:rPr>
          <w:rFonts w:ascii="Arial" w:hAnsi="Arial" w:cs="Arial"/>
          <w:i/>
          <w:iCs/>
        </w:rPr>
        <w:t>Australasian marketing journal</w:t>
      </w:r>
      <w:r w:rsidRPr="00090778">
        <w:rPr>
          <w:rFonts w:ascii="Arial" w:hAnsi="Arial" w:cs="Arial"/>
        </w:rPr>
        <w:t xml:space="preserve">. Available at: </w:t>
      </w:r>
      <w:hyperlink r:id="rId29" w:history="1">
        <w:r w:rsidRPr="00090778">
          <w:rPr>
            <w:rStyle w:val="Hyperlink"/>
            <w:rFonts w:ascii="Arial" w:hAnsi="Arial" w:cs="Arial"/>
            <w:color w:val="auto"/>
          </w:rPr>
          <w:t>https://doi.org/10.1177/14413582241264619</w:t>
        </w:r>
      </w:hyperlink>
      <w:r w:rsidRPr="00090778">
        <w:rPr>
          <w:rFonts w:ascii="Arial" w:hAnsi="Arial" w:cs="Arial"/>
        </w:rPr>
        <w:t xml:space="preserve"> (Accessed: 12 November 2024). </w:t>
      </w:r>
    </w:p>
    <w:p w14:paraId="6D717957" w14:textId="77777777" w:rsidR="00090778" w:rsidRPr="00090778" w:rsidRDefault="00090778" w:rsidP="005F2D50">
      <w:pPr>
        <w:rPr>
          <w:rFonts w:ascii="Arial" w:hAnsi="Arial" w:cs="Arial"/>
        </w:rPr>
      </w:pPr>
      <w:r w:rsidRPr="00090778">
        <w:rPr>
          <w:rFonts w:ascii="Arial" w:hAnsi="Arial" w:cs="Arial"/>
        </w:rPr>
        <w:t>Locsin, R.C. and Schoenhofer, S.O. (2024) ‘Qualitative research methods, inductive and deductive: Valuable approaches to nursing knowledge development for practice’, </w:t>
      </w:r>
      <w:r w:rsidRPr="00090778">
        <w:rPr>
          <w:rFonts w:ascii="Arial" w:hAnsi="Arial" w:cs="Arial"/>
          <w:i/>
          <w:iCs/>
        </w:rPr>
        <w:t>Nursing &amp; health sciences</w:t>
      </w:r>
      <w:r w:rsidRPr="00090778">
        <w:rPr>
          <w:rFonts w:ascii="Arial" w:hAnsi="Arial" w:cs="Arial"/>
        </w:rPr>
        <w:t xml:space="preserve">, 26(2), pp. e13128-n/a. Available at: </w:t>
      </w:r>
      <w:hyperlink r:id="rId30" w:history="1">
        <w:r w:rsidRPr="00090778">
          <w:rPr>
            <w:rStyle w:val="Hyperlink"/>
            <w:rFonts w:ascii="Arial" w:hAnsi="Arial" w:cs="Arial"/>
            <w:color w:val="auto"/>
          </w:rPr>
          <w:t>https://doi.org/10.1111/nhs.13128</w:t>
        </w:r>
      </w:hyperlink>
      <w:r w:rsidRPr="00090778">
        <w:rPr>
          <w:rFonts w:ascii="Arial" w:hAnsi="Arial" w:cs="Arial"/>
        </w:rPr>
        <w:t xml:space="preserve"> (Accessed: 22 October 2024)</w:t>
      </w:r>
    </w:p>
    <w:p w14:paraId="3548E3FC" w14:textId="77777777" w:rsidR="00090778" w:rsidRPr="00090778" w:rsidRDefault="00090778" w:rsidP="005F2D50">
      <w:pPr>
        <w:rPr>
          <w:rFonts w:ascii="Arial" w:hAnsi="Arial" w:cs="Arial"/>
        </w:rPr>
      </w:pPr>
      <w:r w:rsidRPr="00090778">
        <w:rPr>
          <w:rFonts w:ascii="Arial" w:hAnsi="Arial" w:cs="Arial"/>
        </w:rPr>
        <w:t>Mason, M. (2010) ‘Sample size and saturation in PhD studies using qualitative interviews’, </w:t>
      </w:r>
      <w:r w:rsidRPr="00090778">
        <w:rPr>
          <w:rFonts w:ascii="Arial" w:hAnsi="Arial" w:cs="Arial"/>
          <w:i/>
          <w:iCs/>
        </w:rPr>
        <w:t>Forum, qualitative social research</w:t>
      </w:r>
      <w:r w:rsidRPr="00090778">
        <w:rPr>
          <w:rFonts w:ascii="Arial" w:hAnsi="Arial" w:cs="Arial"/>
        </w:rPr>
        <w:t xml:space="preserve">, 11(3), pp. 19–11:3&lt;19. Available at: </w:t>
      </w:r>
      <w:hyperlink r:id="rId31" w:history="1">
        <w:r w:rsidRPr="00090778">
          <w:rPr>
            <w:rStyle w:val="Hyperlink"/>
            <w:rFonts w:ascii="Arial" w:hAnsi="Arial" w:cs="Arial"/>
            <w:color w:val="auto"/>
          </w:rPr>
          <w:t>https://www.proquest.com/docview/869912466?pq-origsite=primo&amp;accountid=130472&amp;sourcetype=Scholarly%20Journals</w:t>
        </w:r>
      </w:hyperlink>
      <w:r w:rsidRPr="00090778">
        <w:rPr>
          <w:rFonts w:ascii="Arial" w:hAnsi="Arial" w:cs="Arial"/>
        </w:rPr>
        <w:t xml:space="preserve"> (Accessed: 12 November 2024). </w:t>
      </w:r>
    </w:p>
    <w:p w14:paraId="485F0B3F" w14:textId="77777777" w:rsidR="00090778" w:rsidRPr="00090778" w:rsidRDefault="00090778" w:rsidP="005F2D50">
      <w:pPr>
        <w:rPr>
          <w:rFonts w:ascii="Arial" w:hAnsi="Arial" w:cs="Arial"/>
        </w:rPr>
      </w:pPr>
      <w:r w:rsidRPr="00090778">
        <w:rPr>
          <w:rFonts w:ascii="Arial" w:hAnsi="Arial" w:cs="Arial"/>
        </w:rPr>
        <w:t>Massingham, P.R. (2018) ‘Measuring the impact of knowledge loss: a longitudinal study’, </w:t>
      </w:r>
      <w:r w:rsidRPr="00090778">
        <w:rPr>
          <w:rFonts w:ascii="Arial" w:hAnsi="Arial" w:cs="Arial"/>
          <w:i/>
          <w:iCs/>
        </w:rPr>
        <w:t>Journal of knowledge management</w:t>
      </w:r>
      <w:r w:rsidRPr="00090778">
        <w:rPr>
          <w:rFonts w:ascii="Arial" w:hAnsi="Arial" w:cs="Arial"/>
        </w:rPr>
        <w:t xml:space="preserve">, 22(4), pp. 721–758. Available at: </w:t>
      </w:r>
      <w:hyperlink r:id="rId32" w:history="1">
        <w:r w:rsidRPr="00090778">
          <w:rPr>
            <w:rStyle w:val="Hyperlink"/>
            <w:rFonts w:ascii="Arial" w:hAnsi="Arial" w:cs="Arial"/>
            <w:color w:val="auto"/>
          </w:rPr>
          <w:t>https://doi.org/10.1108/JKM-08-2016-0338</w:t>
        </w:r>
      </w:hyperlink>
      <w:r w:rsidRPr="00090778">
        <w:rPr>
          <w:rFonts w:ascii="Arial" w:hAnsi="Arial" w:cs="Arial"/>
        </w:rPr>
        <w:t xml:space="preserve"> (Accessed: 2 November 2024). </w:t>
      </w:r>
    </w:p>
    <w:p w14:paraId="013F3B6B" w14:textId="77777777" w:rsidR="00090778" w:rsidRPr="00090778" w:rsidRDefault="00090778" w:rsidP="005F2D50">
      <w:pPr>
        <w:rPr>
          <w:rFonts w:ascii="Arial" w:hAnsi="Arial" w:cs="Arial"/>
        </w:rPr>
      </w:pPr>
      <w:r w:rsidRPr="00090778">
        <w:rPr>
          <w:rFonts w:ascii="Arial" w:hAnsi="Arial" w:cs="Arial"/>
        </w:rPr>
        <w:t xml:space="preserve">Miles, M., Huberman, A. M., &amp; Saldana, J. (2014). </w:t>
      </w:r>
      <w:r w:rsidRPr="00090778">
        <w:rPr>
          <w:rFonts w:ascii="Arial" w:hAnsi="Arial" w:cs="Arial"/>
          <w:i/>
          <w:iCs/>
        </w:rPr>
        <w:t>Qualitative data analysis: A methods sourcebook</w:t>
      </w:r>
      <w:r w:rsidRPr="00090778">
        <w:rPr>
          <w:rFonts w:ascii="Arial" w:hAnsi="Arial" w:cs="Arial"/>
        </w:rPr>
        <w:t xml:space="preserve">. 3rd edn. Los Angeles: SAG. </w:t>
      </w:r>
    </w:p>
    <w:p w14:paraId="71D72EF1" w14:textId="77777777" w:rsidR="00090778" w:rsidRPr="00090778" w:rsidRDefault="00090778" w:rsidP="005F2D50">
      <w:pPr>
        <w:rPr>
          <w:rFonts w:ascii="Arial" w:hAnsi="Arial" w:cs="Arial"/>
        </w:rPr>
      </w:pPr>
      <w:r w:rsidRPr="00090778">
        <w:rPr>
          <w:rFonts w:ascii="Arial" w:hAnsi="Arial" w:cs="Arial"/>
        </w:rPr>
        <w:t>Miller, T. (2012) </w:t>
      </w:r>
      <w:r w:rsidRPr="00090778">
        <w:rPr>
          <w:rFonts w:ascii="Arial" w:hAnsi="Arial" w:cs="Arial"/>
          <w:i/>
          <w:iCs/>
        </w:rPr>
        <w:t>Ethics in qualitative research</w:t>
      </w:r>
      <w:r w:rsidRPr="00090778">
        <w:rPr>
          <w:rFonts w:ascii="Arial" w:hAnsi="Arial" w:cs="Arial"/>
        </w:rPr>
        <w:t>. 2nd ed. London: SAGE.</w:t>
      </w:r>
    </w:p>
    <w:p w14:paraId="6730C0CC" w14:textId="77777777" w:rsidR="00090778" w:rsidRPr="00090778" w:rsidRDefault="00090778" w:rsidP="00090778">
      <w:pPr>
        <w:rPr>
          <w:rFonts w:ascii="Arial" w:hAnsi="Arial" w:cs="Arial"/>
        </w:rPr>
      </w:pPr>
      <w:r w:rsidRPr="00090778">
        <w:rPr>
          <w:rFonts w:ascii="Arial" w:hAnsi="Arial" w:cs="Arial"/>
        </w:rPr>
        <w:t>Morse, J.M. (2015) ‘Data Were Saturated . . .’, </w:t>
      </w:r>
      <w:r w:rsidRPr="00090778">
        <w:rPr>
          <w:rFonts w:ascii="Arial" w:hAnsi="Arial" w:cs="Arial"/>
          <w:i/>
          <w:iCs/>
        </w:rPr>
        <w:t>Qualitative health research</w:t>
      </w:r>
      <w:r w:rsidRPr="00090778">
        <w:rPr>
          <w:rFonts w:ascii="Arial" w:hAnsi="Arial" w:cs="Arial"/>
        </w:rPr>
        <w:t xml:space="preserve">, 25(5), pp. 587–588. Available at: </w:t>
      </w:r>
      <w:hyperlink r:id="rId33" w:history="1">
        <w:r w:rsidRPr="00090778">
          <w:rPr>
            <w:rStyle w:val="Hyperlink"/>
            <w:rFonts w:ascii="Arial" w:hAnsi="Arial" w:cs="Arial"/>
            <w:color w:val="auto"/>
          </w:rPr>
          <w:t>https://doi.org/10.1177/1049732315576699</w:t>
        </w:r>
      </w:hyperlink>
      <w:r w:rsidRPr="00090778">
        <w:rPr>
          <w:rFonts w:ascii="Arial" w:hAnsi="Arial" w:cs="Arial"/>
        </w:rPr>
        <w:t xml:space="preserve"> (Accessed: 12 November 2024). </w:t>
      </w:r>
    </w:p>
    <w:p w14:paraId="5461310B" w14:textId="77777777" w:rsidR="00090778" w:rsidRPr="00090778" w:rsidRDefault="00090778" w:rsidP="005F2D50">
      <w:pPr>
        <w:rPr>
          <w:rFonts w:ascii="Arial" w:hAnsi="Arial" w:cs="Arial"/>
        </w:rPr>
      </w:pPr>
      <w:r w:rsidRPr="00090778">
        <w:rPr>
          <w:rFonts w:ascii="Arial" w:hAnsi="Arial" w:cs="Arial"/>
        </w:rPr>
        <w:lastRenderedPageBreak/>
        <w:t xml:space="preserve">NHS (2022) </w:t>
      </w:r>
      <w:r w:rsidRPr="00090778">
        <w:rPr>
          <w:rFonts w:ascii="Arial" w:hAnsi="Arial" w:cs="Arial"/>
          <w:i/>
          <w:iCs/>
        </w:rPr>
        <w:t>Symptoms</w:t>
      </w:r>
      <w:r w:rsidRPr="00090778">
        <w:rPr>
          <w:rFonts w:ascii="Arial" w:hAnsi="Arial" w:cs="Arial"/>
        </w:rPr>
        <w:t xml:space="preserve">: </w:t>
      </w:r>
      <w:r w:rsidRPr="00090778">
        <w:rPr>
          <w:rFonts w:ascii="Arial" w:hAnsi="Arial" w:cs="Arial"/>
          <w:i/>
          <w:iCs/>
        </w:rPr>
        <w:t>Menopause</w:t>
      </w:r>
      <w:r w:rsidRPr="00090778">
        <w:rPr>
          <w:rFonts w:ascii="Arial" w:hAnsi="Arial" w:cs="Arial"/>
        </w:rPr>
        <w:t xml:space="preserve">. Available at: </w:t>
      </w:r>
      <w:hyperlink r:id="rId34" w:history="1">
        <w:r w:rsidRPr="00090778">
          <w:rPr>
            <w:rStyle w:val="Hyperlink"/>
            <w:rFonts w:ascii="Arial" w:hAnsi="Arial" w:cs="Arial"/>
            <w:color w:val="auto"/>
          </w:rPr>
          <w:t>https://www.nhs.uk/conditions/menopause/symptoms/</w:t>
        </w:r>
      </w:hyperlink>
      <w:r w:rsidRPr="00090778">
        <w:rPr>
          <w:rFonts w:ascii="Arial" w:hAnsi="Arial" w:cs="Arial"/>
        </w:rPr>
        <w:t xml:space="preserve"> (Accessed: 28 October 2024). </w:t>
      </w:r>
    </w:p>
    <w:p w14:paraId="2FA35228" w14:textId="77777777" w:rsidR="00090778" w:rsidRPr="00090778" w:rsidRDefault="00090778" w:rsidP="005F2D50">
      <w:pPr>
        <w:rPr>
          <w:rFonts w:ascii="Arial" w:hAnsi="Arial" w:cs="Arial"/>
        </w:rPr>
      </w:pPr>
      <w:r w:rsidRPr="00090778">
        <w:rPr>
          <w:rFonts w:ascii="Arial" w:hAnsi="Arial" w:cs="Arial"/>
        </w:rPr>
        <w:t xml:space="preserve">NHS England (2022) </w:t>
      </w:r>
      <w:r w:rsidRPr="00090778">
        <w:rPr>
          <w:rFonts w:ascii="Arial" w:hAnsi="Arial" w:cs="Arial"/>
          <w:i/>
          <w:iCs/>
        </w:rPr>
        <w:t xml:space="preserve">Menopause in the workplace. </w:t>
      </w:r>
      <w:r w:rsidRPr="00090778">
        <w:rPr>
          <w:rFonts w:ascii="Arial" w:hAnsi="Arial" w:cs="Arial"/>
        </w:rPr>
        <w:t xml:space="preserve">Available at: </w:t>
      </w:r>
      <w:hyperlink r:id="rId35" w:anchor=":~:text=According%20to%20the%20faculty%20of,average%20age%20is%2051%20years" w:history="1">
        <w:r w:rsidRPr="00090778">
          <w:rPr>
            <w:rStyle w:val="Hyperlink"/>
            <w:rFonts w:ascii="Arial" w:hAnsi="Arial" w:cs="Arial"/>
            <w:color w:val="auto"/>
          </w:rPr>
          <w:t>https://www.engage.england.nhs.uk/safety-and-innovation/menopause-in-the-workplace/#:~:text=According%20to%20the%20faculty%20of,average%20age%20is%2051%20years</w:t>
        </w:r>
      </w:hyperlink>
      <w:r w:rsidRPr="00090778">
        <w:rPr>
          <w:rFonts w:ascii="Arial" w:hAnsi="Arial" w:cs="Arial"/>
        </w:rPr>
        <w:t xml:space="preserve"> (Accessed: 29 October 2024). </w:t>
      </w:r>
    </w:p>
    <w:p w14:paraId="2793963C" w14:textId="77777777" w:rsidR="00090778" w:rsidRPr="00090778" w:rsidRDefault="00090778" w:rsidP="005F2D50">
      <w:pPr>
        <w:rPr>
          <w:rFonts w:ascii="Arial" w:hAnsi="Arial" w:cs="Arial"/>
        </w:rPr>
      </w:pPr>
      <w:r w:rsidRPr="00090778">
        <w:rPr>
          <w:rFonts w:ascii="Arial" w:hAnsi="Arial" w:cs="Arial"/>
        </w:rPr>
        <w:t>Noble, H. and Smith, J. (2015) ‘Issues of validity and reliability in qualitative research’, </w:t>
      </w:r>
      <w:r w:rsidRPr="00090778">
        <w:rPr>
          <w:rFonts w:ascii="Arial" w:hAnsi="Arial" w:cs="Arial"/>
          <w:i/>
          <w:iCs/>
        </w:rPr>
        <w:t>Evidence-based nursing</w:t>
      </w:r>
      <w:r w:rsidRPr="00090778">
        <w:rPr>
          <w:rFonts w:ascii="Arial" w:hAnsi="Arial" w:cs="Arial"/>
        </w:rPr>
        <w:t xml:space="preserve">, 18(2), pp. 34–35. Available at: </w:t>
      </w:r>
      <w:hyperlink r:id="rId36" w:history="1">
        <w:r w:rsidRPr="00090778">
          <w:rPr>
            <w:rStyle w:val="Hyperlink"/>
            <w:rFonts w:ascii="Arial" w:hAnsi="Arial" w:cs="Arial"/>
            <w:color w:val="auto"/>
          </w:rPr>
          <w:t>https://doi.org/10.1136/eb-2015-102054</w:t>
        </w:r>
      </w:hyperlink>
      <w:r w:rsidRPr="00090778">
        <w:rPr>
          <w:rFonts w:ascii="Arial" w:hAnsi="Arial" w:cs="Arial"/>
        </w:rPr>
        <w:t xml:space="preserve"> (Accessed: 1 November 2024). </w:t>
      </w:r>
    </w:p>
    <w:p w14:paraId="63F73D22" w14:textId="77777777" w:rsidR="00090778" w:rsidRPr="00090778" w:rsidRDefault="00090778" w:rsidP="005F2D50">
      <w:pPr>
        <w:rPr>
          <w:rFonts w:ascii="Arial" w:hAnsi="Arial" w:cs="Arial"/>
        </w:rPr>
      </w:pPr>
      <w:r w:rsidRPr="00090778">
        <w:rPr>
          <w:rFonts w:ascii="Arial" w:hAnsi="Arial" w:cs="Arial"/>
        </w:rPr>
        <w:t>Novosel, L.M. (2023) ‘Understanding the Evidence: Non-Probability (Non-Random) Sampling Designs’, </w:t>
      </w:r>
      <w:r w:rsidRPr="00090778">
        <w:rPr>
          <w:rFonts w:ascii="Arial" w:hAnsi="Arial" w:cs="Arial"/>
          <w:i/>
          <w:iCs/>
        </w:rPr>
        <w:t>Urologic nursing</w:t>
      </w:r>
      <w:r w:rsidRPr="00090778">
        <w:rPr>
          <w:rFonts w:ascii="Arial" w:hAnsi="Arial" w:cs="Arial"/>
        </w:rPr>
        <w:t xml:space="preserve">, 43(5), pp. 245-. Available at: </w:t>
      </w:r>
      <w:hyperlink r:id="rId37" w:history="1">
        <w:r w:rsidRPr="00090778">
          <w:rPr>
            <w:rStyle w:val="Hyperlink"/>
            <w:rFonts w:ascii="Arial" w:hAnsi="Arial" w:cs="Arial"/>
            <w:color w:val="auto"/>
          </w:rPr>
          <w:t>https://doi.org/10.7257/2168-4626.2023.43.5.245</w:t>
        </w:r>
      </w:hyperlink>
      <w:r w:rsidRPr="00090778">
        <w:rPr>
          <w:rFonts w:ascii="Arial" w:hAnsi="Arial" w:cs="Arial"/>
        </w:rPr>
        <w:t xml:space="preserve"> (Accessed: 23 October 2024). </w:t>
      </w:r>
    </w:p>
    <w:p w14:paraId="1EF12A2E" w14:textId="77777777" w:rsidR="00090778" w:rsidRPr="00090778" w:rsidRDefault="00090778" w:rsidP="005F2D50">
      <w:pPr>
        <w:rPr>
          <w:rFonts w:ascii="Arial" w:hAnsi="Arial" w:cs="Arial"/>
        </w:rPr>
      </w:pPr>
      <w:r w:rsidRPr="00090778">
        <w:rPr>
          <w:rFonts w:ascii="Arial" w:hAnsi="Arial" w:cs="Arial"/>
        </w:rPr>
        <w:t xml:space="preserve">O, J. (2023) </w:t>
      </w:r>
      <w:r w:rsidRPr="00090778">
        <w:rPr>
          <w:rFonts w:ascii="Arial" w:hAnsi="Arial" w:cs="Arial"/>
          <w:i/>
          <w:iCs/>
        </w:rPr>
        <w:t>Menopause at Work: The Silent Career Killer Employers Can’t Ignore</w:t>
      </w:r>
      <w:r w:rsidRPr="00090778">
        <w:rPr>
          <w:rFonts w:ascii="Arial" w:hAnsi="Arial" w:cs="Arial"/>
        </w:rPr>
        <w:t xml:space="preserve">. Available at: </w:t>
      </w:r>
      <w:hyperlink r:id="rId38" w:history="1">
        <w:r w:rsidRPr="00090778">
          <w:rPr>
            <w:rStyle w:val="Hyperlink"/>
            <w:rFonts w:ascii="Arial" w:hAnsi="Arial" w:cs="Arial"/>
            <w:color w:val="auto"/>
          </w:rPr>
          <w:t>https://www.linkedin.com/pulse/menopause-work-silent-career-killer-employers-cant-oliveira-cella</w:t>
        </w:r>
      </w:hyperlink>
      <w:r w:rsidRPr="00090778">
        <w:rPr>
          <w:rFonts w:ascii="Arial" w:hAnsi="Arial" w:cs="Arial"/>
        </w:rPr>
        <w:t xml:space="preserve"> (Accessed: 2 November 2024).</w:t>
      </w:r>
    </w:p>
    <w:p w14:paraId="24EBDE9C" w14:textId="77777777" w:rsidR="00090778" w:rsidRPr="00090778" w:rsidRDefault="00090778" w:rsidP="005F2D50">
      <w:pPr>
        <w:rPr>
          <w:rFonts w:ascii="Arial" w:hAnsi="Arial" w:cs="Arial"/>
        </w:rPr>
      </w:pPr>
      <w:r w:rsidRPr="00090778">
        <w:rPr>
          <w:rFonts w:ascii="Arial" w:hAnsi="Arial" w:cs="Arial"/>
        </w:rPr>
        <w:t xml:space="preserve">O’Neill, M.T., Jones, V. &amp; Reid, A. (2023) ‘Impact of menopausal symptoms on work and careers: a cross-sectional study’ </w:t>
      </w:r>
      <w:r w:rsidRPr="00090778">
        <w:rPr>
          <w:rFonts w:ascii="Arial" w:hAnsi="Arial" w:cs="Arial"/>
          <w:i/>
          <w:iCs/>
        </w:rPr>
        <w:t xml:space="preserve">Occupational Medicine, </w:t>
      </w:r>
      <w:r w:rsidRPr="00090778">
        <w:rPr>
          <w:rFonts w:ascii="Arial" w:hAnsi="Arial" w:cs="Arial"/>
        </w:rPr>
        <w:t xml:space="preserve">73(6), pp. 332-338. Available at: </w:t>
      </w:r>
      <w:hyperlink r:id="rId39" w:history="1">
        <w:r w:rsidRPr="00090778">
          <w:rPr>
            <w:rStyle w:val="Hyperlink"/>
            <w:rFonts w:ascii="Arial" w:hAnsi="Arial" w:cs="Arial"/>
            <w:color w:val="auto"/>
          </w:rPr>
          <w:t>https://doi.org/10.1093/occmed/kqad078</w:t>
        </w:r>
      </w:hyperlink>
      <w:r w:rsidRPr="00090778">
        <w:rPr>
          <w:rFonts w:ascii="Arial" w:hAnsi="Arial" w:cs="Arial"/>
        </w:rPr>
        <w:t xml:space="preserve"> (Accessed: 2 November 2024). </w:t>
      </w:r>
    </w:p>
    <w:p w14:paraId="07C7CD7C" w14:textId="77777777" w:rsidR="00090778" w:rsidRPr="00090778" w:rsidRDefault="00090778" w:rsidP="005F2D50">
      <w:pPr>
        <w:rPr>
          <w:rFonts w:ascii="Arial" w:hAnsi="Arial" w:cs="Arial"/>
        </w:rPr>
      </w:pPr>
      <w:r w:rsidRPr="00090778">
        <w:rPr>
          <w:rFonts w:ascii="Arial" w:hAnsi="Arial" w:cs="Arial"/>
        </w:rPr>
        <w:t xml:space="preserve">O’Neill, M.T., Jones, V., &amp; Reid, A. (2023) ‘Impact of menopausal symptoms on work and careers@ a cross-sectional study’, </w:t>
      </w:r>
      <w:r w:rsidRPr="00090778">
        <w:rPr>
          <w:rFonts w:ascii="Arial" w:hAnsi="Arial" w:cs="Arial"/>
          <w:i/>
          <w:iCs/>
        </w:rPr>
        <w:t xml:space="preserve">Occupational Medicine, </w:t>
      </w:r>
      <w:r w:rsidRPr="00090778">
        <w:rPr>
          <w:rFonts w:ascii="Arial" w:hAnsi="Arial" w:cs="Arial"/>
        </w:rPr>
        <w:t xml:space="preserve">6, pp. 332-338. Available at: </w:t>
      </w:r>
      <w:hyperlink r:id="rId40" w:history="1">
        <w:r w:rsidRPr="00090778">
          <w:rPr>
            <w:rStyle w:val="Hyperlink"/>
            <w:rFonts w:ascii="Arial" w:hAnsi="Arial" w:cs="Arial"/>
            <w:color w:val="auto"/>
          </w:rPr>
          <w:t>https://doi.org/10.1093/occmed/kqad078</w:t>
        </w:r>
      </w:hyperlink>
      <w:r w:rsidRPr="00090778">
        <w:rPr>
          <w:rFonts w:ascii="Arial" w:hAnsi="Arial" w:cs="Arial"/>
        </w:rPr>
        <w:t xml:space="preserve"> (Accessed: 31 October 2024). </w:t>
      </w:r>
    </w:p>
    <w:p w14:paraId="1722B41D" w14:textId="77777777" w:rsidR="00090778" w:rsidRPr="00090778" w:rsidRDefault="00090778" w:rsidP="00090778">
      <w:pPr>
        <w:rPr>
          <w:rFonts w:ascii="Arial" w:hAnsi="Arial" w:cs="Arial"/>
        </w:rPr>
      </w:pPr>
      <w:r w:rsidRPr="00090778">
        <w:rPr>
          <w:rFonts w:ascii="Arial" w:hAnsi="Arial" w:cs="Arial"/>
        </w:rPr>
        <w:t>O’Reilly, M. and Parker, N. (2013) ‘“Unsatisfactory Saturation”: a critical exploration of the notion of saturated sample sizes in qualitative research’, </w:t>
      </w:r>
      <w:r w:rsidRPr="00090778">
        <w:rPr>
          <w:rFonts w:ascii="Arial" w:hAnsi="Arial" w:cs="Arial"/>
          <w:i/>
          <w:iCs/>
        </w:rPr>
        <w:t>Qualitative research : QR</w:t>
      </w:r>
      <w:r w:rsidRPr="00090778">
        <w:rPr>
          <w:rFonts w:ascii="Arial" w:hAnsi="Arial" w:cs="Arial"/>
        </w:rPr>
        <w:t xml:space="preserve">, 13(2), pp. 190–197. Available at: </w:t>
      </w:r>
      <w:hyperlink r:id="rId41" w:history="1">
        <w:r w:rsidRPr="00090778">
          <w:rPr>
            <w:rStyle w:val="Hyperlink"/>
            <w:rFonts w:ascii="Arial" w:hAnsi="Arial" w:cs="Arial"/>
            <w:color w:val="auto"/>
          </w:rPr>
          <w:t>https://doi.org/10.1177/1468794112446106</w:t>
        </w:r>
      </w:hyperlink>
      <w:r w:rsidRPr="00090778">
        <w:rPr>
          <w:rFonts w:ascii="Arial" w:hAnsi="Arial" w:cs="Arial"/>
        </w:rPr>
        <w:t xml:space="preserve"> (Accessed: 12 November 2024). </w:t>
      </w:r>
    </w:p>
    <w:p w14:paraId="29647A81" w14:textId="77777777" w:rsidR="00090778" w:rsidRPr="00090778" w:rsidRDefault="00090778" w:rsidP="005F2D50">
      <w:pPr>
        <w:rPr>
          <w:rFonts w:ascii="Arial" w:hAnsi="Arial" w:cs="Arial"/>
          <w:i/>
          <w:iCs/>
        </w:rPr>
      </w:pPr>
      <w:r w:rsidRPr="00090778">
        <w:rPr>
          <w:rFonts w:ascii="Arial" w:hAnsi="Arial" w:cs="Arial"/>
        </w:rPr>
        <w:t>Phillips, S. (2024) ‘</w:t>
      </w:r>
      <w:r w:rsidRPr="00090778">
        <w:rPr>
          <w:rFonts w:ascii="Arial" w:hAnsi="Arial" w:cs="Arial"/>
          <w:i/>
          <w:iCs/>
        </w:rPr>
        <w:t xml:space="preserve">I felt like I was losing my mind’: how to keep your career on track during menopause. </w:t>
      </w:r>
      <w:r w:rsidRPr="00090778">
        <w:rPr>
          <w:rFonts w:ascii="Arial" w:hAnsi="Arial" w:cs="Arial"/>
        </w:rPr>
        <w:t xml:space="preserve">Available at: </w:t>
      </w:r>
      <w:hyperlink r:id="rId42" w:history="1">
        <w:r w:rsidRPr="00090778">
          <w:rPr>
            <w:rStyle w:val="Hyperlink"/>
            <w:rFonts w:ascii="Arial" w:hAnsi="Arial" w:cs="Arial"/>
            <w:color w:val="auto"/>
          </w:rPr>
          <w:t>https://www.theguardian.com/lifeandstyle/article/2024/may/14/i-felt-like-i-was-losing-my-mind-how-to-keep-your-career-on-track-during-menopause</w:t>
        </w:r>
      </w:hyperlink>
      <w:r w:rsidRPr="00090778">
        <w:rPr>
          <w:rFonts w:ascii="Arial" w:hAnsi="Arial" w:cs="Arial"/>
          <w:i/>
          <w:iCs/>
        </w:rPr>
        <w:t xml:space="preserve"> </w:t>
      </w:r>
      <w:r w:rsidRPr="00090778">
        <w:rPr>
          <w:rFonts w:ascii="Arial" w:hAnsi="Arial" w:cs="Arial"/>
        </w:rPr>
        <w:t xml:space="preserve">(Accessed: 31 October 2024). </w:t>
      </w:r>
      <w:r w:rsidRPr="00090778">
        <w:rPr>
          <w:rFonts w:ascii="Arial" w:hAnsi="Arial" w:cs="Arial"/>
          <w:i/>
          <w:iCs/>
        </w:rPr>
        <w:t xml:space="preserve"> </w:t>
      </w:r>
    </w:p>
    <w:p w14:paraId="0EBC62A9" w14:textId="77777777" w:rsidR="00090778" w:rsidRPr="00090778" w:rsidRDefault="00090778" w:rsidP="005F2D50">
      <w:pPr>
        <w:rPr>
          <w:rFonts w:ascii="Arial" w:hAnsi="Arial" w:cs="Arial"/>
        </w:rPr>
      </w:pPr>
      <w:r w:rsidRPr="00090778">
        <w:rPr>
          <w:rFonts w:ascii="Arial" w:hAnsi="Arial" w:cs="Arial"/>
        </w:rPr>
        <w:t>Portigal, S. (2023) </w:t>
      </w:r>
      <w:r w:rsidRPr="00090778">
        <w:rPr>
          <w:rFonts w:ascii="Arial" w:hAnsi="Arial" w:cs="Arial"/>
          <w:i/>
          <w:iCs/>
        </w:rPr>
        <w:t>Interviewing users: how to uncover compelling insights</w:t>
      </w:r>
      <w:r w:rsidRPr="00090778">
        <w:rPr>
          <w:rFonts w:ascii="Arial" w:hAnsi="Arial" w:cs="Arial"/>
        </w:rPr>
        <w:t>. 2</w:t>
      </w:r>
      <w:r w:rsidRPr="00090778">
        <w:rPr>
          <w:rFonts w:ascii="Arial" w:hAnsi="Arial" w:cs="Arial"/>
          <w:vertAlign w:val="superscript"/>
        </w:rPr>
        <w:t>nd</w:t>
      </w:r>
      <w:r w:rsidRPr="00090778">
        <w:rPr>
          <w:rFonts w:ascii="Arial" w:hAnsi="Arial" w:cs="Arial"/>
        </w:rPr>
        <w:t xml:space="preserve"> edn. New York: Rosenfeld Media. Available at: </w:t>
      </w:r>
      <w:hyperlink r:id="rId43" w:anchor="v=onepage&amp;q&amp;f=false" w:history="1">
        <w:r w:rsidRPr="00090778">
          <w:rPr>
            <w:rStyle w:val="Hyperlink"/>
            <w:rFonts w:ascii="Arial" w:hAnsi="Arial" w:cs="Arial"/>
            <w:color w:val="auto"/>
          </w:rPr>
          <w:t>https://books.google.co.uk/books?hl=en&amp;lr=&amp;id=ej7VEAAAQBAJ&amp;oi=fnd&amp;pg=PT12&amp;dq=interviews+would+provide+a+deeper+insight+and+facilitate+more+detailed+and+nuanced+responses&amp;ots=sPujyk3XlP&amp;sig=h2UhqkQ9kVoMoAIFgw6WndVNIJw&amp;redir_esc=y#v=onepage&amp;q&amp;f=false</w:t>
        </w:r>
      </w:hyperlink>
      <w:r w:rsidRPr="00090778">
        <w:rPr>
          <w:rFonts w:ascii="Arial" w:hAnsi="Arial" w:cs="Arial"/>
        </w:rPr>
        <w:t xml:space="preserve"> (Accessed: 24 October 2024). </w:t>
      </w:r>
    </w:p>
    <w:p w14:paraId="6C219EEB" w14:textId="77777777" w:rsidR="00090778" w:rsidRPr="00090778" w:rsidRDefault="00090778" w:rsidP="005F2D50">
      <w:pPr>
        <w:rPr>
          <w:rFonts w:ascii="Arial" w:hAnsi="Arial" w:cs="Arial"/>
        </w:rPr>
      </w:pPr>
      <w:r w:rsidRPr="00090778">
        <w:rPr>
          <w:rFonts w:ascii="Arial" w:hAnsi="Arial" w:cs="Arial"/>
          <w:lang w:val="es-ES"/>
        </w:rPr>
        <w:t xml:space="preserve">Rodríguez-Sánchez, J.-L., Gonzalez-Torres, T., Montero-Navarro, A., &amp; Gallego-Losada, R.  </w:t>
      </w:r>
      <w:r w:rsidRPr="00090778">
        <w:rPr>
          <w:rFonts w:ascii="Arial" w:hAnsi="Arial" w:cs="Arial"/>
        </w:rPr>
        <w:t xml:space="preserve">(2020) ‘Investing Time and Resources for Work-Life Balance: The Effect on </w:t>
      </w:r>
      <w:r w:rsidRPr="00090778">
        <w:rPr>
          <w:rFonts w:ascii="Arial" w:hAnsi="Arial" w:cs="Arial"/>
        </w:rPr>
        <w:lastRenderedPageBreak/>
        <w:t>Talent Retention’, </w:t>
      </w:r>
      <w:r w:rsidRPr="00090778">
        <w:rPr>
          <w:rFonts w:ascii="Arial" w:hAnsi="Arial" w:cs="Arial"/>
          <w:i/>
          <w:iCs/>
        </w:rPr>
        <w:t>International journal of environmental research and public health</w:t>
      </w:r>
      <w:r w:rsidRPr="00090778">
        <w:rPr>
          <w:rFonts w:ascii="Arial" w:hAnsi="Arial" w:cs="Arial"/>
        </w:rPr>
        <w:t xml:space="preserve">, 17(6), pp. 1920. Available at: </w:t>
      </w:r>
      <w:hyperlink r:id="rId44" w:history="1">
        <w:r w:rsidRPr="00090778">
          <w:rPr>
            <w:rStyle w:val="Hyperlink"/>
            <w:rFonts w:ascii="Arial" w:hAnsi="Arial" w:cs="Arial"/>
            <w:color w:val="auto"/>
          </w:rPr>
          <w:t>https://doi.org/10.3390/ijerph17061920</w:t>
        </w:r>
      </w:hyperlink>
      <w:r w:rsidRPr="00090778">
        <w:rPr>
          <w:rFonts w:ascii="Arial" w:hAnsi="Arial" w:cs="Arial"/>
        </w:rPr>
        <w:t xml:space="preserve"> (Accessed: 25 October 2024). </w:t>
      </w:r>
    </w:p>
    <w:p w14:paraId="60DAA00B" w14:textId="77777777" w:rsidR="00090778" w:rsidRPr="00090778" w:rsidRDefault="00090778" w:rsidP="005F2D50">
      <w:pPr>
        <w:rPr>
          <w:rFonts w:ascii="Arial" w:hAnsi="Arial" w:cs="Arial"/>
        </w:rPr>
      </w:pPr>
      <w:r w:rsidRPr="00090778">
        <w:rPr>
          <w:rFonts w:ascii="Arial" w:hAnsi="Arial" w:cs="Arial"/>
        </w:rPr>
        <w:t>Rose, J. &amp; Johnson, C.W. (2020) ‘Contextualizing reliability and validity in qualitative research: toward more rigorous and trustworthy qualitative social science in leisure research’, </w:t>
      </w:r>
      <w:r w:rsidRPr="00090778">
        <w:rPr>
          <w:rFonts w:ascii="Arial" w:hAnsi="Arial" w:cs="Arial"/>
          <w:i/>
          <w:iCs/>
        </w:rPr>
        <w:t>Journal of leisure research</w:t>
      </w:r>
      <w:r w:rsidRPr="00090778">
        <w:rPr>
          <w:rFonts w:ascii="Arial" w:hAnsi="Arial" w:cs="Arial"/>
        </w:rPr>
        <w:t xml:space="preserve">, 51(4), pp. 432–451. Available at: </w:t>
      </w:r>
      <w:hyperlink r:id="rId45" w:history="1">
        <w:r w:rsidRPr="00090778">
          <w:rPr>
            <w:rStyle w:val="Hyperlink"/>
            <w:rFonts w:ascii="Arial" w:hAnsi="Arial" w:cs="Arial"/>
            <w:color w:val="auto"/>
          </w:rPr>
          <w:t>https://doi.org/10.1080/00222216.2020.1722042</w:t>
        </w:r>
      </w:hyperlink>
      <w:r w:rsidRPr="00090778">
        <w:rPr>
          <w:rFonts w:ascii="Arial" w:hAnsi="Arial" w:cs="Arial"/>
        </w:rPr>
        <w:t xml:space="preserve"> (Accessed: 2 November 2024). </w:t>
      </w:r>
    </w:p>
    <w:p w14:paraId="3E3ABDCF" w14:textId="77777777" w:rsidR="00090778" w:rsidRPr="00090778" w:rsidRDefault="00090778" w:rsidP="005F2D50">
      <w:pPr>
        <w:rPr>
          <w:rFonts w:ascii="Arial" w:hAnsi="Arial" w:cs="Arial"/>
        </w:rPr>
      </w:pPr>
      <w:r w:rsidRPr="00090778">
        <w:rPr>
          <w:rFonts w:ascii="Arial" w:hAnsi="Arial" w:cs="Arial"/>
        </w:rPr>
        <w:t xml:space="preserve">Saunders, Lewis &amp; Thornhill (2016) </w:t>
      </w:r>
      <w:r w:rsidRPr="00090778">
        <w:rPr>
          <w:rFonts w:ascii="Arial" w:hAnsi="Arial" w:cs="Arial"/>
          <w:i/>
          <w:iCs/>
        </w:rPr>
        <w:t xml:space="preserve">Research Methods For Business Students. </w:t>
      </w:r>
      <w:r w:rsidRPr="00090778">
        <w:rPr>
          <w:rFonts w:ascii="Arial" w:hAnsi="Arial" w:cs="Arial"/>
        </w:rPr>
        <w:t>7</w:t>
      </w:r>
      <w:r w:rsidRPr="00090778">
        <w:rPr>
          <w:rFonts w:ascii="Arial" w:hAnsi="Arial" w:cs="Arial"/>
          <w:vertAlign w:val="superscript"/>
        </w:rPr>
        <w:t>th</w:t>
      </w:r>
      <w:r w:rsidRPr="00090778">
        <w:rPr>
          <w:rFonts w:ascii="Arial" w:hAnsi="Arial" w:cs="Arial"/>
        </w:rPr>
        <w:t xml:space="preserve"> edn. Essex: Pearson, Harlow.    </w:t>
      </w:r>
    </w:p>
    <w:p w14:paraId="6E9072AE" w14:textId="77777777" w:rsidR="00090778" w:rsidRPr="00090778" w:rsidRDefault="00090778" w:rsidP="005F2D50">
      <w:pPr>
        <w:rPr>
          <w:rFonts w:ascii="Arial" w:hAnsi="Arial" w:cs="Arial"/>
        </w:rPr>
      </w:pPr>
      <w:r w:rsidRPr="00090778">
        <w:rPr>
          <w:rFonts w:ascii="Arial" w:hAnsi="Arial" w:cs="Arial"/>
        </w:rPr>
        <w:t>Silverio, S.A., Sheen, K.S. &amp; Sandall, J. (2022) ‘Sensitive, Challenging, and Difficult Topics: Experiences and Practical Considerations for Qualitative Researchers’, </w:t>
      </w:r>
      <w:r w:rsidRPr="00090778">
        <w:rPr>
          <w:rFonts w:ascii="Arial" w:hAnsi="Arial" w:cs="Arial"/>
          <w:i/>
          <w:iCs/>
        </w:rPr>
        <w:t>International journal of qualitative methods</w:t>
      </w:r>
      <w:r w:rsidRPr="00090778">
        <w:rPr>
          <w:rFonts w:ascii="Arial" w:hAnsi="Arial" w:cs="Arial"/>
        </w:rPr>
        <w:t xml:space="preserve">, 21. Available at: </w:t>
      </w:r>
      <w:hyperlink r:id="rId46" w:history="1">
        <w:r w:rsidRPr="00090778">
          <w:rPr>
            <w:rStyle w:val="Hyperlink"/>
            <w:rFonts w:ascii="Arial" w:hAnsi="Arial" w:cs="Arial"/>
            <w:color w:val="auto"/>
          </w:rPr>
          <w:t>https://doi.org/10.1177/16094069221124739</w:t>
        </w:r>
      </w:hyperlink>
      <w:r w:rsidRPr="00090778">
        <w:rPr>
          <w:rFonts w:ascii="Arial" w:hAnsi="Arial" w:cs="Arial"/>
        </w:rPr>
        <w:t xml:space="preserve"> (Accessed: 31 October 2024). </w:t>
      </w:r>
    </w:p>
    <w:p w14:paraId="368C7E2A" w14:textId="77777777" w:rsidR="00090778" w:rsidRPr="00090778" w:rsidRDefault="00090778" w:rsidP="005F2D50">
      <w:pPr>
        <w:rPr>
          <w:rFonts w:ascii="Arial" w:hAnsi="Arial" w:cs="Arial"/>
        </w:rPr>
      </w:pPr>
      <w:r w:rsidRPr="00090778">
        <w:rPr>
          <w:rFonts w:ascii="Arial" w:hAnsi="Arial" w:cs="Arial"/>
        </w:rPr>
        <w:t>Singh, N., Benmamoun, M., Meyr, E., Arikan, R.H. (2021) ‘Verifying rigor: analyzing qualitative research in international marketing’, </w:t>
      </w:r>
      <w:r w:rsidRPr="00090778">
        <w:rPr>
          <w:rFonts w:ascii="Arial" w:hAnsi="Arial" w:cs="Arial"/>
          <w:i/>
          <w:iCs/>
        </w:rPr>
        <w:t>International marketing review</w:t>
      </w:r>
      <w:r w:rsidRPr="00090778">
        <w:rPr>
          <w:rFonts w:ascii="Arial" w:hAnsi="Arial" w:cs="Arial"/>
        </w:rPr>
        <w:t xml:space="preserve">, 38(6), pp.1289–1307. Available at: </w:t>
      </w:r>
      <w:hyperlink r:id="rId47" w:history="1">
        <w:r w:rsidRPr="00090778">
          <w:rPr>
            <w:rStyle w:val="Hyperlink"/>
            <w:rFonts w:ascii="Arial" w:hAnsi="Arial" w:cs="Arial"/>
            <w:color w:val="auto"/>
          </w:rPr>
          <w:t>https://doi.org/10.1108/IMR-03-2020-0040</w:t>
        </w:r>
      </w:hyperlink>
      <w:r w:rsidRPr="00090778">
        <w:rPr>
          <w:rFonts w:ascii="Arial" w:hAnsi="Arial" w:cs="Arial"/>
        </w:rPr>
        <w:t xml:space="preserve"> (Accessed: 31 October 2024). </w:t>
      </w:r>
    </w:p>
    <w:p w14:paraId="46D0DBF6" w14:textId="77777777" w:rsidR="00090778" w:rsidRPr="00090778" w:rsidRDefault="00090778" w:rsidP="005F2D50">
      <w:pPr>
        <w:rPr>
          <w:rFonts w:ascii="Arial" w:hAnsi="Arial" w:cs="Arial"/>
        </w:rPr>
      </w:pPr>
      <w:r w:rsidRPr="00090778">
        <w:rPr>
          <w:rFonts w:ascii="Arial" w:hAnsi="Arial" w:cs="Arial"/>
        </w:rPr>
        <w:t>Sloan, A. and Bowe, B. (2014) ‘Phenomenology and hermeneutic phenomenology: the philosophy, the methodologies, and using hermeneutic phenomenology to investigate lecturers’ experiences of curriculum design’, </w:t>
      </w:r>
      <w:r w:rsidRPr="00090778">
        <w:rPr>
          <w:rFonts w:ascii="Arial" w:hAnsi="Arial" w:cs="Arial"/>
          <w:i/>
          <w:iCs/>
        </w:rPr>
        <w:t>Quality &amp; quantity</w:t>
      </w:r>
      <w:r w:rsidRPr="00090778">
        <w:rPr>
          <w:rFonts w:ascii="Arial" w:hAnsi="Arial" w:cs="Arial"/>
        </w:rPr>
        <w:t xml:space="preserve">, 48(3), pp. 1291–1303. Available at: </w:t>
      </w:r>
      <w:hyperlink r:id="rId48" w:history="1">
        <w:r w:rsidRPr="00090778">
          <w:rPr>
            <w:rStyle w:val="Hyperlink"/>
            <w:rFonts w:ascii="Arial" w:hAnsi="Arial" w:cs="Arial"/>
            <w:color w:val="auto"/>
          </w:rPr>
          <w:t>https://doi.org/10.1007/s11135-013-9835-3</w:t>
        </w:r>
      </w:hyperlink>
      <w:r w:rsidRPr="00090778">
        <w:rPr>
          <w:rFonts w:ascii="Arial" w:hAnsi="Arial" w:cs="Arial"/>
        </w:rPr>
        <w:t xml:space="preserve"> (Accessed: 22 October 2024). </w:t>
      </w:r>
    </w:p>
    <w:p w14:paraId="559349E0" w14:textId="77777777" w:rsidR="00090778" w:rsidRPr="00090778" w:rsidRDefault="00090778" w:rsidP="005F2D50">
      <w:pPr>
        <w:rPr>
          <w:rFonts w:ascii="Arial" w:hAnsi="Arial" w:cs="Arial"/>
        </w:rPr>
      </w:pPr>
      <w:r w:rsidRPr="00090778">
        <w:rPr>
          <w:rFonts w:ascii="Arial" w:hAnsi="Arial" w:cs="Arial"/>
        </w:rPr>
        <w:t>Steffan, B., &amp; Potočnik, K. (2023) ‘Thinking outside Pandora’s box: Revealing differential effects of coping with physical and psychological menopause symptoms at work’, </w:t>
      </w:r>
      <w:r w:rsidRPr="00090778">
        <w:rPr>
          <w:rFonts w:ascii="Arial" w:hAnsi="Arial" w:cs="Arial"/>
          <w:i/>
          <w:iCs/>
        </w:rPr>
        <w:t>Human Relations</w:t>
      </w:r>
      <w:r w:rsidRPr="00090778">
        <w:rPr>
          <w:rFonts w:ascii="Arial" w:hAnsi="Arial" w:cs="Arial"/>
        </w:rPr>
        <w:t>, </w:t>
      </w:r>
      <w:r w:rsidRPr="00090778">
        <w:rPr>
          <w:rFonts w:ascii="Arial" w:hAnsi="Arial" w:cs="Arial"/>
          <w:i/>
          <w:iCs/>
        </w:rPr>
        <w:t>76</w:t>
      </w:r>
      <w:r w:rsidRPr="00090778">
        <w:rPr>
          <w:rFonts w:ascii="Arial" w:hAnsi="Arial" w:cs="Arial"/>
        </w:rPr>
        <w:t xml:space="preserve">(8), pp.1191-1225. Available at: </w:t>
      </w:r>
      <w:hyperlink r:id="rId49" w:history="1">
        <w:r w:rsidRPr="00090778">
          <w:rPr>
            <w:rStyle w:val="Hyperlink"/>
            <w:rFonts w:ascii="Arial" w:hAnsi="Arial" w:cs="Arial"/>
            <w:color w:val="auto"/>
          </w:rPr>
          <w:t>https://doi-org.ezproxy.uwtsd.ac.uk/10.1177/00187267221089469</w:t>
        </w:r>
      </w:hyperlink>
      <w:r w:rsidRPr="00090778">
        <w:rPr>
          <w:rStyle w:val="Hyperlink"/>
          <w:rFonts w:ascii="Arial" w:hAnsi="Arial" w:cs="Arial"/>
          <w:color w:val="auto"/>
          <w:u w:val="none"/>
        </w:rPr>
        <w:t xml:space="preserve"> (Accessed: 22 October 2024).</w:t>
      </w:r>
      <w:r w:rsidRPr="00090778">
        <w:rPr>
          <w:rFonts w:ascii="Arial" w:hAnsi="Arial" w:cs="Arial"/>
        </w:rPr>
        <w:t xml:space="preserve"> </w:t>
      </w:r>
    </w:p>
    <w:p w14:paraId="0E860A98" w14:textId="77777777" w:rsidR="00090778" w:rsidRPr="00090778" w:rsidRDefault="00090778" w:rsidP="005F2D50">
      <w:pPr>
        <w:rPr>
          <w:rFonts w:ascii="Arial" w:hAnsi="Arial" w:cs="Arial"/>
        </w:rPr>
      </w:pPr>
      <w:r w:rsidRPr="00090778">
        <w:rPr>
          <w:rFonts w:ascii="Arial" w:hAnsi="Arial" w:cs="Arial"/>
        </w:rPr>
        <w:t xml:space="preserve">Stevens, S. &amp; Hallewell-Hoomph, L. (2024) </w:t>
      </w:r>
      <w:r w:rsidRPr="00090778">
        <w:rPr>
          <w:rFonts w:ascii="Arial" w:hAnsi="Arial" w:cs="Arial"/>
          <w:i/>
          <w:iCs/>
        </w:rPr>
        <w:t>One in 10 menopausal women consider quitting work due to lack of employer support</w:t>
      </w:r>
      <w:r w:rsidRPr="00090778">
        <w:rPr>
          <w:rFonts w:ascii="Arial" w:hAnsi="Arial" w:cs="Arial"/>
        </w:rPr>
        <w:t xml:space="preserve">. Available at: </w:t>
      </w:r>
      <w:hyperlink r:id="rId50" w:history="1">
        <w:r w:rsidRPr="00090778">
          <w:rPr>
            <w:rStyle w:val="Hyperlink"/>
            <w:rFonts w:ascii="Arial" w:hAnsi="Arial" w:cs="Arial"/>
            <w:color w:val="auto"/>
          </w:rPr>
          <w:t>https://www.thehrdirector.com/business-news/health-and-wellbeing/one-10-menopausal-women-consider-quitting-work-due-lack-employer-support/</w:t>
        </w:r>
      </w:hyperlink>
      <w:r w:rsidRPr="00090778">
        <w:rPr>
          <w:rFonts w:ascii="Arial" w:hAnsi="Arial" w:cs="Arial"/>
        </w:rPr>
        <w:t xml:space="preserve"> (Accessed: 2 November 2024). </w:t>
      </w:r>
    </w:p>
    <w:p w14:paraId="47511221" w14:textId="77777777" w:rsidR="00090778" w:rsidRPr="00090778" w:rsidRDefault="00090778" w:rsidP="005F2D50">
      <w:pPr>
        <w:rPr>
          <w:rFonts w:ascii="Arial" w:hAnsi="Arial" w:cs="Arial"/>
        </w:rPr>
      </w:pPr>
      <w:r w:rsidRPr="00090778">
        <w:rPr>
          <w:rFonts w:ascii="Arial" w:hAnsi="Arial" w:cs="Arial"/>
        </w:rPr>
        <w:t xml:space="preserve">Tatum, M. (2024) </w:t>
      </w:r>
      <w:r w:rsidRPr="00090778">
        <w:rPr>
          <w:rFonts w:ascii="Arial" w:hAnsi="Arial" w:cs="Arial"/>
          <w:i/>
          <w:iCs/>
        </w:rPr>
        <w:t>Without support, many menopausal workers are quitting their jobs</w:t>
      </w:r>
      <w:r w:rsidRPr="00090778">
        <w:rPr>
          <w:rFonts w:ascii="Arial" w:hAnsi="Arial" w:cs="Arial"/>
        </w:rPr>
        <w:t xml:space="preserve">. Available at: </w:t>
      </w:r>
      <w:hyperlink r:id="rId51" w:history="1">
        <w:r w:rsidRPr="00090778">
          <w:rPr>
            <w:rStyle w:val="Hyperlink"/>
            <w:rFonts w:ascii="Arial" w:hAnsi="Arial" w:cs="Arial"/>
            <w:color w:val="auto"/>
          </w:rPr>
          <w:t>https://www.bbc.com/worklife/article/20240408-menopause-women-job-quits</w:t>
        </w:r>
      </w:hyperlink>
      <w:r w:rsidRPr="00090778">
        <w:rPr>
          <w:rFonts w:ascii="Arial" w:hAnsi="Arial" w:cs="Arial"/>
        </w:rPr>
        <w:t xml:space="preserve"> (Accessed: 2 November 2024). </w:t>
      </w:r>
    </w:p>
    <w:p w14:paraId="0C315C93" w14:textId="77777777" w:rsidR="00090778" w:rsidRPr="00090778" w:rsidRDefault="00090778" w:rsidP="005F2D50">
      <w:pPr>
        <w:rPr>
          <w:rFonts w:ascii="Arial" w:hAnsi="Arial" w:cs="Arial"/>
        </w:rPr>
      </w:pPr>
      <w:r w:rsidRPr="00090778">
        <w:rPr>
          <w:rFonts w:ascii="Arial" w:hAnsi="Arial" w:cs="Arial"/>
        </w:rPr>
        <w:t xml:space="preserve">UWTSD (2024) </w:t>
      </w:r>
      <w:r w:rsidRPr="00090778">
        <w:rPr>
          <w:rFonts w:ascii="Arial" w:hAnsi="Arial" w:cs="Arial"/>
          <w:i/>
          <w:iCs/>
        </w:rPr>
        <w:t>All Staff Report</w:t>
      </w:r>
      <w:r w:rsidRPr="00090778">
        <w:rPr>
          <w:rFonts w:ascii="Arial" w:hAnsi="Arial" w:cs="Arial"/>
        </w:rPr>
        <w:t xml:space="preserve">. UWTSD. Unpublished. </w:t>
      </w:r>
    </w:p>
    <w:p w14:paraId="5CB92C0C" w14:textId="77777777" w:rsidR="00090778" w:rsidRPr="00090778" w:rsidRDefault="00090778" w:rsidP="005F2D50">
      <w:pPr>
        <w:rPr>
          <w:rFonts w:ascii="Arial" w:hAnsi="Arial" w:cs="Arial"/>
        </w:rPr>
      </w:pPr>
      <w:r w:rsidRPr="00090778">
        <w:rPr>
          <w:rFonts w:ascii="Arial" w:hAnsi="Arial" w:cs="Arial"/>
        </w:rPr>
        <w:t>Verdonk, P., Bendien, E. &amp; Appelman, Y. (2022) ‘Menopause and work: A narrative literature review about menopause, work and health’, </w:t>
      </w:r>
      <w:r w:rsidRPr="00090778">
        <w:rPr>
          <w:rFonts w:ascii="Arial" w:hAnsi="Arial" w:cs="Arial"/>
          <w:i/>
          <w:iCs/>
        </w:rPr>
        <w:t>WORK</w:t>
      </w:r>
      <w:r w:rsidRPr="00090778">
        <w:rPr>
          <w:rFonts w:ascii="Arial" w:hAnsi="Arial" w:cs="Arial"/>
        </w:rPr>
        <w:t xml:space="preserve">, 72(2), pp. 483–496. Available at: </w:t>
      </w:r>
      <w:hyperlink r:id="rId52" w:history="1">
        <w:r w:rsidRPr="00090778">
          <w:rPr>
            <w:rStyle w:val="Hyperlink"/>
            <w:rFonts w:ascii="Arial" w:hAnsi="Arial" w:cs="Arial"/>
            <w:color w:val="auto"/>
          </w:rPr>
          <w:t>https://doi.org/10.3233/WOR-205214</w:t>
        </w:r>
      </w:hyperlink>
      <w:r w:rsidRPr="00090778">
        <w:rPr>
          <w:rFonts w:ascii="Arial" w:hAnsi="Arial" w:cs="Arial"/>
        </w:rPr>
        <w:t xml:space="preserve"> (Accessed: 27 October 2024).</w:t>
      </w:r>
    </w:p>
    <w:p w14:paraId="46DBAE7D" w14:textId="77777777" w:rsidR="00090778" w:rsidRPr="00090778" w:rsidRDefault="00090778" w:rsidP="005F2D50">
      <w:pPr>
        <w:rPr>
          <w:rFonts w:ascii="Arial" w:hAnsi="Arial" w:cs="Arial"/>
        </w:rPr>
      </w:pPr>
      <w:r w:rsidRPr="00090778">
        <w:rPr>
          <w:rFonts w:ascii="Arial" w:hAnsi="Arial" w:cs="Arial"/>
        </w:rPr>
        <w:lastRenderedPageBreak/>
        <w:t xml:space="preserve">Wharton, L. (2024) </w:t>
      </w:r>
      <w:r w:rsidRPr="00090778">
        <w:rPr>
          <w:rFonts w:ascii="Arial" w:hAnsi="Arial" w:cs="Arial"/>
          <w:i/>
          <w:iCs/>
        </w:rPr>
        <w:t>Managing menopause at work helps retain top talent in your business</w:t>
      </w:r>
      <w:r w:rsidRPr="00090778">
        <w:rPr>
          <w:rFonts w:ascii="Arial" w:hAnsi="Arial" w:cs="Arial"/>
        </w:rPr>
        <w:t xml:space="preserve">. Available at: </w:t>
      </w:r>
      <w:hyperlink r:id="rId53" w:history="1">
        <w:r w:rsidRPr="00090778">
          <w:rPr>
            <w:rStyle w:val="Hyperlink"/>
            <w:rFonts w:ascii="Arial" w:hAnsi="Arial" w:cs="Arial"/>
            <w:color w:val="auto"/>
          </w:rPr>
          <w:t>https://www.insidermedia.com/blogs/north-west/managing-menopause-at-work-helps-retain-top-talent-in-your-business</w:t>
        </w:r>
      </w:hyperlink>
      <w:r w:rsidRPr="00090778">
        <w:rPr>
          <w:rFonts w:ascii="Arial" w:hAnsi="Arial" w:cs="Arial"/>
        </w:rPr>
        <w:t xml:space="preserve"> (Accessed: 2 November 2024). </w:t>
      </w:r>
    </w:p>
    <w:p w14:paraId="74C1BAFD" w14:textId="77777777" w:rsidR="00090778" w:rsidRPr="00090778" w:rsidRDefault="00090778" w:rsidP="005F2D50">
      <w:pPr>
        <w:rPr>
          <w:rFonts w:ascii="Arial" w:hAnsi="Arial" w:cs="Arial"/>
        </w:rPr>
      </w:pPr>
      <w:r w:rsidRPr="00090778">
        <w:rPr>
          <w:rFonts w:ascii="Arial" w:hAnsi="Arial" w:cs="Arial"/>
        </w:rPr>
        <w:t xml:space="preserve">Zamawe, F.C. (2015) ‘The Implication of Using NVivo Software in Qualitative Data Analysis: Evidence-Based Reflections’, </w:t>
      </w:r>
      <w:r w:rsidRPr="00090778">
        <w:rPr>
          <w:rFonts w:ascii="Arial" w:hAnsi="Arial" w:cs="Arial"/>
          <w:i/>
          <w:iCs/>
        </w:rPr>
        <w:t xml:space="preserve">Malawi Medical Journal, </w:t>
      </w:r>
      <w:r w:rsidRPr="00090778">
        <w:rPr>
          <w:rFonts w:ascii="Arial" w:hAnsi="Arial" w:cs="Arial"/>
        </w:rPr>
        <w:t>27(1), pp. 13-15. Available at: doi: </w:t>
      </w:r>
      <w:hyperlink r:id="rId54" w:tgtFrame="_blank" w:history="1">
        <w:r w:rsidRPr="00090778">
          <w:rPr>
            <w:rStyle w:val="Hyperlink"/>
            <w:rFonts w:ascii="Arial" w:hAnsi="Arial" w:cs="Arial"/>
            <w:color w:val="auto"/>
          </w:rPr>
          <w:t>10.4314/mmj.v27i1.4</w:t>
        </w:r>
      </w:hyperlink>
      <w:r w:rsidRPr="00090778">
        <w:rPr>
          <w:rFonts w:ascii="Arial" w:hAnsi="Arial" w:cs="Arial"/>
        </w:rPr>
        <w:t xml:space="preserve"> (Accessed: 31 October 2024). </w:t>
      </w:r>
    </w:p>
    <w:sectPr w:rsidR="00090778" w:rsidRPr="00090778" w:rsidSect="0061304E">
      <w:pgSz w:w="11906" w:h="16838"/>
      <w:pgMar w:top="1440" w:right="1133"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3056B"/>
    <w:multiLevelType w:val="hybridMultilevel"/>
    <w:tmpl w:val="091A8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F53579"/>
    <w:multiLevelType w:val="multilevel"/>
    <w:tmpl w:val="365A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9A15C3"/>
    <w:multiLevelType w:val="hybridMultilevel"/>
    <w:tmpl w:val="4A6C618C"/>
    <w:lvl w:ilvl="0" w:tplc="4CE202C2">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C371D"/>
    <w:multiLevelType w:val="hybridMultilevel"/>
    <w:tmpl w:val="F29AAB92"/>
    <w:lvl w:ilvl="0" w:tplc="2188BDD4">
      <w:start w:val="1"/>
      <w:numFmt w:val="bullet"/>
      <w:lvlText w:val="-"/>
      <w:lvlJc w:val="left"/>
      <w:pPr>
        <w:ind w:left="720" w:hanging="360"/>
      </w:pPr>
      <w:rPr>
        <w:rFonts w:ascii="Aptos" w:eastAsiaTheme="minorEastAsia" w:hAnsi="Aptos" w:cstheme="minorBid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A260B3"/>
    <w:multiLevelType w:val="hybridMultilevel"/>
    <w:tmpl w:val="997A4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402231">
    <w:abstractNumId w:val="4"/>
  </w:num>
  <w:num w:numId="2" w16cid:durableId="12389627">
    <w:abstractNumId w:val="2"/>
  </w:num>
  <w:num w:numId="3" w16cid:durableId="1141118663">
    <w:abstractNumId w:val="3"/>
  </w:num>
  <w:num w:numId="4" w16cid:durableId="685330027">
    <w:abstractNumId w:val="0"/>
  </w:num>
  <w:num w:numId="5" w16cid:durableId="619607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BCE"/>
    <w:rsid w:val="000063AB"/>
    <w:rsid w:val="000510BB"/>
    <w:rsid w:val="00053162"/>
    <w:rsid w:val="000557E1"/>
    <w:rsid w:val="00063563"/>
    <w:rsid w:val="00090778"/>
    <w:rsid w:val="00093747"/>
    <w:rsid w:val="00095E92"/>
    <w:rsid w:val="000A0A55"/>
    <w:rsid w:val="000C754D"/>
    <w:rsid w:val="000D1688"/>
    <w:rsid w:val="000E3B19"/>
    <w:rsid w:val="00126202"/>
    <w:rsid w:val="0014758C"/>
    <w:rsid w:val="00157B80"/>
    <w:rsid w:val="001813FC"/>
    <w:rsid w:val="001814EE"/>
    <w:rsid w:val="001D5399"/>
    <w:rsid w:val="002059D7"/>
    <w:rsid w:val="00220F37"/>
    <w:rsid w:val="002212C4"/>
    <w:rsid w:val="00236CF8"/>
    <w:rsid w:val="00244618"/>
    <w:rsid w:val="00250680"/>
    <w:rsid w:val="00290E5F"/>
    <w:rsid w:val="00297073"/>
    <w:rsid w:val="002C1588"/>
    <w:rsid w:val="002D56D0"/>
    <w:rsid w:val="002E6EA9"/>
    <w:rsid w:val="00305C62"/>
    <w:rsid w:val="00331508"/>
    <w:rsid w:val="00355289"/>
    <w:rsid w:val="003A1F7A"/>
    <w:rsid w:val="003C3F19"/>
    <w:rsid w:val="003D4034"/>
    <w:rsid w:val="003E1DBE"/>
    <w:rsid w:val="003F461B"/>
    <w:rsid w:val="00446E8D"/>
    <w:rsid w:val="00455A76"/>
    <w:rsid w:val="004736A7"/>
    <w:rsid w:val="004866DF"/>
    <w:rsid w:val="004A29D5"/>
    <w:rsid w:val="004B07BF"/>
    <w:rsid w:val="004C017A"/>
    <w:rsid w:val="004D6F73"/>
    <w:rsid w:val="004D7CD7"/>
    <w:rsid w:val="004E174E"/>
    <w:rsid w:val="004E7447"/>
    <w:rsid w:val="004F10C3"/>
    <w:rsid w:val="004F4DB6"/>
    <w:rsid w:val="004F4E22"/>
    <w:rsid w:val="004F62A2"/>
    <w:rsid w:val="005078FD"/>
    <w:rsid w:val="00511B7F"/>
    <w:rsid w:val="00516146"/>
    <w:rsid w:val="00525757"/>
    <w:rsid w:val="00562606"/>
    <w:rsid w:val="00576417"/>
    <w:rsid w:val="00584D41"/>
    <w:rsid w:val="00584E9F"/>
    <w:rsid w:val="00585086"/>
    <w:rsid w:val="0059039D"/>
    <w:rsid w:val="00596413"/>
    <w:rsid w:val="005B171D"/>
    <w:rsid w:val="005B4E41"/>
    <w:rsid w:val="005B618E"/>
    <w:rsid w:val="005B6509"/>
    <w:rsid w:val="005D3C39"/>
    <w:rsid w:val="005F2D50"/>
    <w:rsid w:val="00607140"/>
    <w:rsid w:val="0061304E"/>
    <w:rsid w:val="00641C77"/>
    <w:rsid w:val="0068703C"/>
    <w:rsid w:val="006913AE"/>
    <w:rsid w:val="006B17B4"/>
    <w:rsid w:val="006C467B"/>
    <w:rsid w:val="006D4DBE"/>
    <w:rsid w:val="006E71EB"/>
    <w:rsid w:val="007108BB"/>
    <w:rsid w:val="007227B3"/>
    <w:rsid w:val="00742D0D"/>
    <w:rsid w:val="00743311"/>
    <w:rsid w:val="00755278"/>
    <w:rsid w:val="007573FC"/>
    <w:rsid w:val="007813E3"/>
    <w:rsid w:val="00784482"/>
    <w:rsid w:val="007A1048"/>
    <w:rsid w:val="007B01AB"/>
    <w:rsid w:val="007D370F"/>
    <w:rsid w:val="007E79FB"/>
    <w:rsid w:val="007E7CF5"/>
    <w:rsid w:val="007F0964"/>
    <w:rsid w:val="008037F6"/>
    <w:rsid w:val="00831692"/>
    <w:rsid w:val="00832726"/>
    <w:rsid w:val="00833F8F"/>
    <w:rsid w:val="008A1ED0"/>
    <w:rsid w:val="008A5184"/>
    <w:rsid w:val="008C4A0A"/>
    <w:rsid w:val="008F1BCE"/>
    <w:rsid w:val="00904D78"/>
    <w:rsid w:val="00905653"/>
    <w:rsid w:val="009062D2"/>
    <w:rsid w:val="009252A2"/>
    <w:rsid w:val="009323FC"/>
    <w:rsid w:val="0094117E"/>
    <w:rsid w:val="00942C0A"/>
    <w:rsid w:val="00942DF6"/>
    <w:rsid w:val="00943D9D"/>
    <w:rsid w:val="00974A8B"/>
    <w:rsid w:val="009A5526"/>
    <w:rsid w:val="009B6334"/>
    <w:rsid w:val="009D3E0C"/>
    <w:rsid w:val="00A02E37"/>
    <w:rsid w:val="00A33C1F"/>
    <w:rsid w:val="00A56F2E"/>
    <w:rsid w:val="00A618A3"/>
    <w:rsid w:val="00A74F22"/>
    <w:rsid w:val="00A805F1"/>
    <w:rsid w:val="00A8777B"/>
    <w:rsid w:val="00AB0398"/>
    <w:rsid w:val="00AD29D7"/>
    <w:rsid w:val="00AD4818"/>
    <w:rsid w:val="00AD50B6"/>
    <w:rsid w:val="00AE0E0A"/>
    <w:rsid w:val="00AF20B7"/>
    <w:rsid w:val="00AF3D60"/>
    <w:rsid w:val="00B03E6F"/>
    <w:rsid w:val="00B175C1"/>
    <w:rsid w:val="00B21C07"/>
    <w:rsid w:val="00B406AD"/>
    <w:rsid w:val="00B553C7"/>
    <w:rsid w:val="00B809D9"/>
    <w:rsid w:val="00B83991"/>
    <w:rsid w:val="00B86135"/>
    <w:rsid w:val="00B87E91"/>
    <w:rsid w:val="00BA6EF0"/>
    <w:rsid w:val="00BB2C5F"/>
    <w:rsid w:val="00BB7AB3"/>
    <w:rsid w:val="00BC7D4D"/>
    <w:rsid w:val="00BE72F5"/>
    <w:rsid w:val="00C02306"/>
    <w:rsid w:val="00C1110E"/>
    <w:rsid w:val="00C11C4F"/>
    <w:rsid w:val="00C32DA2"/>
    <w:rsid w:val="00C43BA4"/>
    <w:rsid w:val="00C536B2"/>
    <w:rsid w:val="00C5405C"/>
    <w:rsid w:val="00C563E4"/>
    <w:rsid w:val="00C61EAA"/>
    <w:rsid w:val="00C85739"/>
    <w:rsid w:val="00CA1300"/>
    <w:rsid w:val="00CB021D"/>
    <w:rsid w:val="00CB5EBA"/>
    <w:rsid w:val="00D3542E"/>
    <w:rsid w:val="00D6679A"/>
    <w:rsid w:val="00D91A3F"/>
    <w:rsid w:val="00DB5312"/>
    <w:rsid w:val="00DF7DDF"/>
    <w:rsid w:val="00E00A01"/>
    <w:rsid w:val="00E4666C"/>
    <w:rsid w:val="00E5027E"/>
    <w:rsid w:val="00E5595F"/>
    <w:rsid w:val="00E64515"/>
    <w:rsid w:val="00EC0F1E"/>
    <w:rsid w:val="00EF07C3"/>
    <w:rsid w:val="00EF6A17"/>
    <w:rsid w:val="00F06205"/>
    <w:rsid w:val="00F13CF6"/>
    <w:rsid w:val="00F1689F"/>
    <w:rsid w:val="00F25069"/>
    <w:rsid w:val="00F3232C"/>
    <w:rsid w:val="00F45EDB"/>
    <w:rsid w:val="00F60247"/>
    <w:rsid w:val="00F647E6"/>
    <w:rsid w:val="00F826C0"/>
    <w:rsid w:val="00FB7F00"/>
    <w:rsid w:val="00FD280D"/>
    <w:rsid w:val="00FD2879"/>
    <w:rsid w:val="00FE4C20"/>
    <w:rsid w:val="00FF10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75F38"/>
  <w15:chartTrackingRefBased/>
  <w15:docId w15:val="{F5107792-8A54-414E-A09D-B73C3496E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1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BCE"/>
    <w:rPr>
      <w:rFonts w:eastAsiaTheme="majorEastAsia" w:cstheme="majorBidi"/>
      <w:color w:val="272727" w:themeColor="text1" w:themeTint="D8"/>
    </w:rPr>
  </w:style>
  <w:style w:type="paragraph" w:styleId="Title">
    <w:name w:val="Title"/>
    <w:basedOn w:val="Normal"/>
    <w:next w:val="Normal"/>
    <w:link w:val="TitleChar"/>
    <w:uiPriority w:val="10"/>
    <w:qFormat/>
    <w:rsid w:val="008F1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BCE"/>
    <w:pPr>
      <w:spacing w:before="160"/>
      <w:jc w:val="center"/>
    </w:pPr>
    <w:rPr>
      <w:i/>
      <w:iCs/>
      <w:color w:val="404040" w:themeColor="text1" w:themeTint="BF"/>
    </w:rPr>
  </w:style>
  <w:style w:type="character" w:customStyle="1" w:styleId="QuoteChar">
    <w:name w:val="Quote Char"/>
    <w:basedOn w:val="DefaultParagraphFont"/>
    <w:link w:val="Quote"/>
    <w:uiPriority w:val="29"/>
    <w:rsid w:val="008F1BCE"/>
    <w:rPr>
      <w:i/>
      <w:iCs/>
      <w:color w:val="404040" w:themeColor="text1" w:themeTint="BF"/>
    </w:rPr>
  </w:style>
  <w:style w:type="paragraph" w:styleId="ListParagraph">
    <w:name w:val="List Paragraph"/>
    <w:basedOn w:val="Normal"/>
    <w:uiPriority w:val="34"/>
    <w:qFormat/>
    <w:rsid w:val="008F1BCE"/>
    <w:pPr>
      <w:ind w:left="720"/>
      <w:contextualSpacing/>
    </w:pPr>
  </w:style>
  <w:style w:type="character" w:styleId="IntenseEmphasis">
    <w:name w:val="Intense Emphasis"/>
    <w:basedOn w:val="DefaultParagraphFont"/>
    <w:uiPriority w:val="21"/>
    <w:qFormat/>
    <w:rsid w:val="008F1BCE"/>
    <w:rPr>
      <w:i/>
      <w:iCs/>
      <w:color w:val="0F4761" w:themeColor="accent1" w:themeShade="BF"/>
    </w:rPr>
  </w:style>
  <w:style w:type="paragraph" w:styleId="IntenseQuote">
    <w:name w:val="Intense Quote"/>
    <w:basedOn w:val="Normal"/>
    <w:next w:val="Normal"/>
    <w:link w:val="IntenseQuoteChar"/>
    <w:uiPriority w:val="30"/>
    <w:qFormat/>
    <w:rsid w:val="008F1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BCE"/>
    <w:rPr>
      <w:i/>
      <w:iCs/>
      <w:color w:val="0F4761" w:themeColor="accent1" w:themeShade="BF"/>
    </w:rPr>
  </w:style>
  <w:style w:type="character" w:styleId="IntenseReference">
    <w:name w:val="Intense Reference"/>
    <w:basedOn w:val="DefaultParagraphFont"/>
    <w:uiPriority w:val="32"/>
    <w:qFormat/>
    <w:rsid w:val="008F1BCE"/>
    <w:rPr>
      <w:b/>
      <w:bCs/>
      <w:smallCaps/>
      <w:color w:val="0F4761" w:themeColor="accent1" w:themeShade="BF"/>
      <w:spacing w:val="5"/>
    </w:rPr>
  </w:style>
  <w:style w:type="character" w:styleId="Hyperlink">
    <w:name w:val="Hyperlink"/>
    <w:basedOn w:val="DefaultParagraphFont"/>
    <w:uiPriority w:val="99"/>
    <w:unhideWhenUsed/>
    <w:rsid w:val="00E5027E"/>
    <w:rPr>
      <w:color w:val="467886" w:themeColor="hyperlink"/>
      <w:u w:val="single"/>
    </w:rPr>
  </w:style>
  <w:style w:type="character" w:styleId="UnresolvedMention">
    <w:name w:val="Unresolved Mention"/>
    <w:basedOn w:val="DefaultParagraphFont"/>
    <w:uiPriority w:val="99"/>
    <w:semiHidden/>
    <w:unhideWhenUsed/>
    <w:rsid w:val="00E5027E"/>
    <w:rPr>
      <w:color w:val="605E5C"/>
      <w:shd w:val="clear" w:color="auto" w:fill="E1DFDD"/>
    </w:rPr>
  </w:style>
  <w:style w:type="paragraph" w:styleId="NoSpacing">
    <w:name w:val="No Spacing"/>
    <w:link w:val="NoSpacingChar"/>
    <w:uiPriority w:val="1"/>
    <w:qFormat/>
    <w:rsid w:val="00584E9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84E9F"/>
    <w:rPr>
      <w:kern w:val="0"/>
      <w:sz w:val="22"/>
      <w:szCs w:val="22"/>
      <w:lang w:val="en-US" w:eastAsia="en-US"/>
      <w14:ligatures w14:val="none"/>
    </w:rPr>
  </w:style>
  <w:style w:type="character" w:styleId="FollowedHyperlink">
    <w:name w:val="FollowedHyperlink"/>
    <w:basedOn w:val="DefaultParagraphFont"/>
    <w:uiPriority w:val="99"/>
    <w:semiHidden/>
    <w:unhideWhenUsed/>
    <w:rsid w:val="00AD29D7"/>
    <w:rPr>
      <w:color w:val="96607D" w:themeColor="followedHyperlink"/>
      <w:u w:val="single"/>
    </w:rPr>
  </w:style>
  <w:style w:type="character" w:styleId="CommentReference">
    <w:name w:val="annotation reference"/>
    <w:basedOn w:val="DefaultParagraphFont"/>
    <w:uiPriority w:val="99"/>
    <w:semiHidden/>
    <w:unhideWhenUsed/>
    <w:rsid w:val="00157B80"/>
    <w:rPr>
      <w:sz w:val="16"/>
      <w:szCs w:val="16"/>
    </w:rPr>
  </w:style>
  <w:style w:type="paragraph" w:styleId="CommentText">
    <w:name w:val="annotation text"/>
    <w:basedOn w:val="Normal"/>
    <w:link w:val="CommentTextChar"/>
    <w:uiPriority w:val="99"/>
    <w:unhideWhenUsed/>
    <w:rsid w:val="00157B80"/>
    <w:pPr>
      <w:spacing w:line="240" w:lineRule="auto"/>
    </w:pPr>
    <w:rPr>
      <w:sz w:val="20"/>
      <w:szCs w:val="20"/>
    </w:rPr>
  </w:style>
  <w:style w:type="character" w:customStyle="1" w:styleId="CommentTextChar">
    <w:name w:val="Comment Text Char"/>
    <w:basedOn w:val="DefaultParagraphFont"/>
    <w:link w:val="CommentText"/>
    <w:uiPriority w:val="99"/>
    <w:rsid w:val="00157B80"/>
    <w:rPr>
      <w:sz w:val="20"/>
      <w:szCs w:val="20"/>
    </w:rPr>
  </w:style>
  <w:style w:type="paragraph" w:styleId="CommentSubject">
    <w:name w:val="annotation subject"/>
    <w:basedOn w:val="CommentText"/>
    <w:next w:val="CommentText"/>
    <w:link w:val="CommentSubjectChar"/>
    <w:uiPriority w:val="99"/>
    <w:semiHidden/>
    <w:unhideWhenUsed/>
    <w:rsid w:val="00157B80"/>
    <w:rPr>
      <w:b/>
      <w:bCs/>
    </w:rPr>
  </w:style>
  <w:style w:type="character" w:customStyle="1" w:styleId="CommentSubjectChar">
    <w:name w:val="Comment Subject Char"/>
    <w:basedOn w:val="CommentTextChar"/>
    <w:link w:val="CommentSubject"/>
    <w:uiPriority w:val="99"/>
    <w:semiHidden/>
    <w:rsid w:val="00157B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95974">
      <w:bodyDiv w:val="1"/>
      <w:marLeft w:val="0"/>
      <w:marRight w:val="0"/>
      <w:marTop w:val="0"/>
      <w:marBottom w:val="0"/>
      <w:divBdr>
        <w:top w:val="none" w:sz="0" w:space="0" w:color="auto"/>
        <w:left w:val="none" w:sz="0" w:space="0" w:color="auto"/>
        <w:bottom w:val="none" w:sz="0" w:space="0" w:color="auto"/>
        <w:right w:val="none" w:sz="0" w:space="0" w:color="auto"/>
      </w:divBdr>
    </w:div>
    <w:div w:id="748383313">
      <w:bodyDiv w:val="1"/>
      <w:marLeft w:val="0"/>
      <w:marRight w:val="0"/>
      <w:marTop w:val="0"/>
      <w:marBottom w:val="0"/>
      <w:divBdr>
        <w:top w:val="none" w:sz="0" w:space="0" w:color="auto"/>
        <w:left w:val="none" w:sz="0" w:space="0" w:color="auto"/>
        <w:bottom w:val="none" w:sz="0" w:space="0" w:color="auto"/>
        <w:right w:val="none" w:sz="0" w:space="0" w:color="auto"/>
      </w:divBdr>
    </w:div>
    <w:div w:id="1452239645">
      <w:bodyDiv w:val="1"/>
      <w:marLeft w:val="0"/>
      <w:marRight w:val="0"/>
      <w:marTop w:val="0"/>
      <w:marBottom w:val="0"/>
      <w:divBdr>
        <w:top w:val="none" w:sz="0" w:space="0" w:color="auto"/>
        <w:left w:val="none" w:sz="0" w:space="0" w:color="auto"/>
        <w:bottom w:val="none" w:sz="0" w:space="0" w:color="auto"/>
        <w:right w:val="none" w:sz="0" w:space="0" w:color="auto"/>
      </w:divBdr>
    </w:div>
    <w:div w:id="204794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4010294" TargetMode="External"/><Relationship Id="rId18" Type="http://schemas.openxmlformats.org/officeDocument/2006/relationships/hyperlink" Target="https://www.equalityhumanrights.com/guidance/menopause-workplace-guidance-employers" TargetMode="External"/><Relationship Id="rId26" Type="http://schemas.openxmlformats.org/officeDocument/2006/relationships/hyperlink" Target="https://www.linkedin.com/pulse/unleashing-power-employee-performance-azharul-islam-w1orc" TargetMode="External"/><Relationship Id="rId39" Type="http://schemas.openxmlformats.org/officeDocument/2006/relationships/hyperlink" Target="https://doi.org/10.1093/occmed/kqad078" TargetMode="External"/><Relationship Id="rId21" Type="http://schemas.openxmlformats.org/officeDocument/2006/relationships/hyperlink" Target="https://doi.org/10.1136/emermed-2023-999.22" TargetMode="External"/><Relationship Id="rId34" Type="http://schemas.openxmlformats.org/officeDocument/2006/relationships/hyperlink" Target="https://www.nhs.uk/conditions/menopause/symptoms/" TargetMode="External"/><Relationship Id="rId42" Type="http://schemas.openxmlformats.org/officeDocument/2006/relationships/hyperlink" Target="https://www.theguardian.com/lifeandstyle/article/2024/may/14/i-felt-like-i-was-losing-my-mind-how-to-keep-your-career-on-track-during-menopause" TargetMode="External"/><Relationship Id="rId47" Type="http://schemas.openxmlformats.org/officeDocument/2006/relationships/hyperlink" Target="https://doi.org/10.1108/IMR-03-2020-0040" TargetMode="External"/><Relationship Id="rId50" Type="http://schemas.openxmlformats.org/officeDocument/2006/relationships/hyperlink" Target="https://www.thehrdirector.com/business-news/health-and-wellbeing/one-10-menopausal-women-consider-quitting-work-due-lack-employer-support/" TargetMode="External"/><Relationship Id="rId55" Type="http://schemas.openxmlformats.org/officeDocument/2006/relationships/fontTable" Target="fontTable.xml"/><Relationship Id="rId7" Type="http://schemas.openxmlformats.org/officeDocument/2006/relationships/hyperlink" Target="https://scholar.google.com/scholar?hl=en&amp;as_sdt=0%2C5&amp;q=Review+of+sampling+techniques+for+education&amp;btnG=" TargetMode="External"/><Relationship Id="rId2" Type="http://schemas.openxmlformats.org/officeDocument/2006/relationships/numbering" Target="numbering.xml"/><Relationship Id="rId16" Type="http://schemas.openxmlformats.org/officeDocument/2006/relationships/hyperlink" Target="https://doi.org/10.1111/1471-0528.17150" TargetMode="External"/><Relationship Id="rId29" Type="http://schemas.openxmlformats.org/officeDocument/2006/relationships/hyperlink" Target="https://doi.org/10.1177/14413582241264619" TargetMode="External"/><Relationship Id="rId11" Type="http://schemas.openxmlformats.org/officeDocument/2006/relationships/hyperlink" Target="https://doi.org/10.1080/13645579.2020.1805550" TargetMode="External"/><Relationship Id="rId24" Type="http://schemas.openxmlformats.org/officeDocument/2006/relationships/hyperlink" Target="https://doi.org/10.1080/15377857.2019.1624286" TargetMode="External"/><Relationship Id="rId32" Type="http://schemas.openxmlformats.org/officeDocument/2006/relationships/hyperlink" Target="https://doi.org/10.1108/JKM-08-2016-0338" TargetMode="External"/><Relationship Id="rId37" Type="http://schemas.openxmlformats.org/officeDocument/2006/relationships/hyperlink" Target="https://doi.org/10.7257/2168-4626.2023.43.5.245" TargetMode="External"/><Relationship Id="rId40" Type="http://schemas.openxmlformats.org/officeDocument/2006/relationships/hyperlink" Target="https://doi.org/10.1093/occmed/kqad078" TargetMode="External"/><Relationship Id="rId45" Type="http://schemas.openxmlformats.org/officeDocument/2006/relationships/hyperlink" Target="https://doi.org/10.1080/00222216.2020.1722042" TargetMode="External"/><Relationship Id="rId53" Type="http://schemas.openxmlformats.org/officeDocument/2006/relationships/hyperlink" Target="https://www.insidermedia.com/blogs/north-west/managing-menopause-at-work-helps-retain-top-talent-in-your-business" TargetMode="External"/><Relationship Id="rId5" Type="http://schemas.openxmlformats.org/officeDocument/2006/relationships/webSettings" Target="webSettings.xml"/><Relationship Id="rId19" Type="http://schemas.openxmlformats.org/officeDocument/2006/relationships/hyperlink" Target="https://doi.org/10.1177/0145482X1510900215" TargetMode="External"/><Relationship Id="rId4" Type="http://schemas.openxmlformats.org/officeDocument/2006/relationships/settings" Target="settings.xml"/><Relationship Id="rId9" Type="http://schemas.openxmlformats.org/officeDocument/2006/relationships/hyperlink" Target="https://doi.org/10.3390/psych4020013" TargetMode="External"/><Relationship Id="rId14" Type="http://schemas.openxmlformats.org/officeDocument/2006/relationships/hyperlink" Target="https://www.cipd.org/uk/knowledge/guides/menopause-people-manager-guidance/" TargetMode="External"/><Relationship Id="rId22" Type="http://schemas.openxmlformats.org/officeDocument/2006/relationships/hyperlink" Target="https://doi.org/10.1177/1525822X05279903" TargetMode="External"/><Relationship Id="rId27" Type="http://schemas.openxmlformats.org/officeDocument/2006/relationships/hyperlink" Target="https://doi.org/10.5688/ajpe7120" TargetMode="External"/><Relationship Id="rId30" Type="http://schemas.openxmlformats.org/officeDocument/2006/relationships/hyperlink" Target="https://doi.org/10.1111/nhs.13128" TargetMode="External"/><Relationship Id="rId35" Type="http://schemas.openxmlformats.org/officeDocument/2006/relationships/hyperlink" Target="https://www.engage.england.nhs.uk/safety-and-innovation/menopause-in-the-workplace/" TargetMode="External"/><Relationship Id="rId43" Type="http://schemas.openxmlformats.org/officeDocument/2006/relationships/hyperlink" Target="https://books.google.co.uk/books?hl=en&amp;lr=&amp;id=ej7VEAAAQBAJ&amp;oi=fnd&amp;pg=PT12&amp;dq=interviews+would+provide+a+deeper+insight+and+facilitate+more+detailed+and+nuanced+responses&amp;ots=sPujyk3XlP&amp;sig=h2UhqkQ9kVoMoAIFgw6WndVNIJw&amp;redir_esc=y" TargetMode="External"/><Relationship Id="rId48" Type="http://schemas.openxmlformats.org/officeDocument/2006/relationships/hyperlink" Target="https://doi.org/10.1007/s11135-013-9835-3" TargetMode="External"/><Relationship Id="rId56" Type="http://schemas.openxmlformats.org/officeDocument/2006/relationships/glossaryDocument" Target="glossary/document.xml"/><Relationship Id="rId8" Type="http://schemas.openxmlformats.org/officeDocument/2006/relationships/hyperlink" Target="https://doi.org/10.1002/nvsm.1775" TargetMode="External"/><Relationship Id="rId51" Type="http://schemas.openxmlformats.org/officeDocument/2006/relationships/hyperlink" Target="https://www.bbc.com/worklife/article/20240408-menopause-women-job-quits" TargetMode="External"/><Relationship Id="rId3" Type="http://schemas.openxmlformats.org/officeDocument/2006/relationships/styles" Target="styles.xml"/><Relationship Id="rId12" Type="http://schemas.openxmlformats.org/officeDocument/2006/relationships/hyperlink" Target="https://committees.parliament.uk/writtenevidence/39244/html/" TargetMode="External"/><Relationship Id="rId17" Type="http://schemas.openxmlformats.org/officeDocument/2006/relationships/hyperlink" Target="https://doi.org/10.3351/ppp.0003.0003.0005" TargetMode="External"/><Relationship Id="rId25" Type="http://schemas.openxmlformats.org/officeDocument/2006/relationships/hyperlink" Target="https://doi.org/10.51866/oa1098" TargetMode="External"/><Relationship Id="rId33" Type="http://schemas.openxmlformats.org/officeDocument/2006/relationships/hyperlink" Target="https://doi.org/10.1177/1049732315576699" TargetMode="External"/><Relationship Id="rId38" Type="http://schemas.openxmlformats.org/officeDocument/2006/relationships/hyperlink" Target="https://www.linkedin.com/pulse/menopause-work-silent-career-killer-employers-cant-oliveira-cella" TargetMode="External"/><Relationship Id="rId46" Type="http://schemas.openxmlformats.org/officeDocument/2006/relationships/hyperlink" Target="https://doi.org/10.1177/16094069221124739" TargetMode="External"/><Relationship Id="rId20" Type="http://schemas.openxmlformats.org/officeDocument/2006/relationships/hyperlink" Target="https://dileaders.com/blog/menopause-as-disability-helpful-or-a-hindrance/" TargetMode="External"/><Relationship Id="rId41" Type="http://schemas.openxmlformats.org/officeDocument/2006/relationships/hyperlink" Target="https://doi.org/10.1177/1468794112446106" TargetMode="External"/><Relationship Id="rId54" Type="http://schemas.openxmlformats.org/officeDocument/2006/relationships/hyperlink" Target="https://doi.org/10.4314/mmj.v27i1.4"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www.cipd.org/uk/about/press-releases/quarter-of-women-menopause-negative-impact-on-career/" TargetMode="External"/><Relationship Id="rId23" Type="http://schemas.openxmlformats.org/officeDocument/2006/relationships/hyperlink" Target="https://doi.org/10.1108/LODJ-03-2020-0094" TargetMode="External"/><Relationship Id="rId28" Type="http://schemas.openxmlformats.org/officeDocument/2006/relationships/hyperlink" Target="https://journals.sagepub.com/doi/pdf/10.1177/1473325006070288" TargetMode="External"/><Relationship Id="rId36" Type="http://schemas.openxmlformats.org/officeDocument/2006/relationships/hyperlink" Target="https://doi.org/10.1136/eb-2015-102054" TargetMode="External"/><Relationship Id="rId49" Type="http://schemas.openxmlformats.org/officeDocument/2006/relationships/hyperlink" Target="https://doi-org.ezproxy.uwtsd.ac.uk/10.1177/00187267221089469" TargetMode="External"/><Relationship Id="rId57" Type="http://schemas.openxmlformats.org/officeDocument/2006/relationships/theme" Target="theme/theme1.xml"/><Relationship Id="rId10" Type="http://schemas.openxmlformats.org/officeDocument/2006/relationships/hyperlink" Target="https://www.bbc.co.uk/news/articles/crglpn7pjjzo" TargetMode="External"/><Relationship Id="rId31" Type="http://schemas.openxmlformats.org/officeDocument/2006/relationships/hyperlink" Target="https://www.proquest.com/docview/869912466?pq-origsite=primo&amp;accountid=130472&amp;sourcetype=Scholarly%20Journals" TargetMode="External"/><Relationship Id="rId44" Type="http://schemas.openxmlformats.org/officeDocument/2006/relationships/hyperlink" Target="https://doi.org/10.3390/ijerph17061920" TargetMode="External"/><Relationship Id="rId52" Type="http://schemas.openxmlformats.org/officeDocument/2006/relationships/hyperlink" Target="https://doi.org/10.3233/WOR-20521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2F322A2B474E179B381AAC13ED0610"/>
        <w:category>
          <w:name w:val="General"/>
          <w:gallery w:val="placeholder"/>
        </w:category>
        <w:types>
          <w:type w:val="bbPlcHdr"/>
        </w:types>
        <w:behaviors>
          <w:behavior w:val="content"/>
        </w:behaviors>
        <w:guid w:val="{AE20C014-D40B-4922-9116-E52C80937AC3}"/>
      </w:docPartPr>
      <w:docPartBody>
        <w:p w:rsidR="00984E79" w:rsidRDefault="00984E79" w:rsidP="00984E79">
          <w:pPr>
            <w:pStyle w:val="EA2F322A2B474E179B381AAC13ED061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E79"/>
    <w:rsid w:val="000063AB"/>
    <w:rsid w:val="0004560A"/>
    <w:rsid w:val="000A0A55"/>
    <w:rsid w:val="004F4DB6"/>
    <w:rsid w:val="007227B3"/>
    <w:rsid w:val="007D370F"/>
    <w:rsid w:val="007E79FB"/>
    <w:rsid w:val="00870FFD"/>
    <w:rsid w:val="00974A8B"/>
    <w:rsid w:val="00984E79"/>
    <w:rsid w:val="00AD50B6"/>
    <w:rsid w:val="00D6679A"/>
    <w:rsid w:val="00E00A01"/>
    <w:rsid w:val="00F602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2F322A2B474E179B381AAC13ED0610">
    <w:name w:val="EA2F322A2B474E179B381AAC13ED0610"/>
    <w:rsid w:val="00984E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Megan Jones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4915</Words>
  <Characters>28018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Menopause At Work</vt:lpstr>
    </vt:vector>
  </TitlesOfParts>
  <Company>University Of Wales Trinity Saint David</Company>
  <LinksUpToDate>false</LinksUpToDate>
  <CharactersWithSpaces>32868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Menopause At Work</dc:title>
  <dc:subject>Dissertation Proposal</dc:subject>
  <dc:creator>Megan Jones</dc:creator>
  <cp:keywords/>
  <dc:description/>
  <cp:lastModifiedBy>Megan Jones</cp:lastModifiedBy>
  <cp:revision>14</cp:revision>
  <dcterms:created xsi:type="dcterms:W3CDTF">2024-11-12T17:40:00Z</dcterms:created>
  <dcterms:modified xsi:type="dcterms:W3CDTF">2024-11-15T12:52:00Z</dcterms:modified>
</cp:coreProperties>
</file>