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587FD39A" w:rsidR="00763CB3" w:rsidRPr="00876921" w:rsidRDefault="003123FD"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Awen Lewis </w:t>
            </w:r>
          </w:p>
        </w:tc>
        <w:tc>
          <w:tcPr>
            <w:tcW w:w="2268" w:type="dxa"/>
            <w:shd w:val="clear" w:color="auto" w:fill="D9D9D9" w:themeFill="background1" w:themeFillShade="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21BA8BAD" w:rsidR="00763CB3" w:rsidRPr="00876921" w:rsidRDefault="0054395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1910668</w:t>
            </w:r>
            <w:bookmarkStart w:id="0" w:name="_GoBack"/>
            <w:bookmarkEnd w:id="0"/>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026A590A" w:rsidR="00763CB3" w:rsidRPr="00876921" w:rsidRDefault="0054395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02 19</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4D75AF1" w:rsidR="00763CB3" w:rsidRPr="00876921" w:rsidRDefault="003123FD"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15/02/2021</w:t>
            </w:r>
          </w:p>
        </w:tc>
        <w:tc>
          <w:tcPr>
            <w:tcW w:w="2268" w:type="dxa"/>
            <w:shd w:val="clear"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5945ED5" w14:textId="327EDF87" w:rsidR="00F84916" w:rsidRPr="00461E0B" w:rsidRDefault="00810ADD" w:rsidP="0B4505FB">
            <w:pPr>
              <w:pStyle w:val="ListParagraph"/>
              <w:numPr>
                <w:ilvl w:val="0"/>
                <w:numId w:val="4"/>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Compare professional standards requirements within the police service to similar professional organisations</w:t>
            </w:r>
            <w:r w:rsidR="002C3B45" w:rsidRPr="0B4505FB">
              <w:rPr>
                <w:rFonts w:ascii="Arial" w:eastAsia="Times New Roman" w:hAnsi="Arial" w:cs="Arial"/>
                <w:lang w:eastAsia="en-GB"/>
              </w:rPr>
              <w:t xml:space="preserve"> and a</w:t>
            </w:r>
            <w:r w:rsidRPr="0B4505FB">
              <w:rPr>
                <w:rFonts w:ascii="Arial" w:eastAsia="Times New Roman" w:hAnsi="Arial" w:cs="Arial"/>
                <w:lang w:eastAsia="en-GB"/>
              </w:rPr>
              <w:t>nalyse how the police have developed policies and procedures to reduce the possibility of professional malpractice and increase community</w:t>
            </w:r>
            <w:r w:rsidR="25628269" w:rsidRPr="0B4505FB">
              <w:rPr>
                <w:rFonts w:ascii="Arial" w:eastAsia="Times New Roman" w:hAnsi="Arial" w:cs="Arial"/>
                <w:lang w:eastAsia="en-GB"/>
              </w:rPr>
              <w:t xml:space="preserve">. </w:t>
            </w:r>
          </w:p>
          <w:p w14:paraId="6DE588F1" w14:textId="3C77E20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the role that independent bodies such as the IPCC or HMICFRS play in holding the police accountable to the public</w:t>
            </w:r>
            <w:r w:rsidR="34A624EB" w:rsidRPr="0B4505FB">
              <w:rPr>
                <w:rFonts w:ascii="Arial" w:eastAsia="Times New Roman" w:hAnsi="Arial" w:cs="Arial"/>
                <w:lang w:eastAsia="en-GB"/>
              </w:rPr>
              <w:t>.</w:t>
            </w:r>
          </w:p>
          <w:p w14:paraId="42AC5F8C" w14:textId="4E779D7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why people in positions of respect or authority may fail to comply with policies, procedures, protocols or legislation, and commit criminal offence</w:t>
            </w:r>
            <w:r w:rsidR="679A4339" w:rsidRPr="0B4505FB">
              <w:rPr>
                <w:rFonts w:ascii="Arial" w:eastAsia="Times New Roman" w:hAnsi="Arial" w:cs="Arial"/>
                <w:lang w:eastAsia="en-GB"/>
              </w:rPr>
              <w:t>.</w:t>
            </w:r>
          </w:p>
          <w:p w14:paraId="300E0B73" w14:textId="3206C9F4"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Review how previous instances of misconduct/malpractice can influence future professional policing</w:t>
            </w:r>
            <w:r w:rsidR="00EF24FE" w:rsidRPr="0B4505FB">
              <w:rPr>
                <w:rFonts w:ascii="Arial" w:eastAsia="Times New Roman" w:hAnsi="Arial" w:cs="Arial"/>
                <w:lang w:eastAsia="en-GB"/>
              </w:rPr>
              <w:t xml:space="preserve"> and r</w:t>
            </w:r>
            <w:r w:rsidRPr="0B4505FB">
              <w:rPr>
                <w:rFonts w:ascii="Arial" w:eastAsia="Times New Roman" w:hAnsi="Arial" w:cs="Arial"/>
                <w:lang w:eastAsia="en-GB"/>
              </w:rPr>
              <w:t>eview the progress being made within the police service to improve professional standards</w:t>
            </w:r>
            <w:r w:rsidR="479AE75F" w:rsidRPr="0B4505FB">
              <w:rPr>
                <w:rFonts w:ascii="Arial" w:eastAsia="Times New Roman" w:hAnsi="Arial" w:cs="Arial"/>
                <w:lang w:eastAsia="en-GB"/>
              </w:rPr>
              <w:t>.</w:t>
            </w:r>
          </w:p>
          <w:p w14:paraId="7644FC64" w14:textId="6E6723B1" w:rsidR="00F84916" w:rsidRPr="00461E0B" w:rsidRDefault="00BB18E4"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Evaluate </w:t>
            </w:r>
            <w:r w:rsidR="00763CB3" w:rsidRPr="0B4505FB">
              <w:rPr>
                <w:rFonts w:ascii="Arial" w:eastAsia="Times New Roman" w:hAnsi="Arial" w:cs="Arial"/>
                <w:lang w:eastAsia="en-GB"/>
              </w:rPr>
              <w:t xml:space="preserve">partnership collaboration </w:t>
            </w:r>
            <w:r w:rsidR="002C458D" w:rsidRPr="0B4505FB">
              <w:rPr>
                <w:rFonts w:ascii="Arial" w:eastAsia="Times New Roman" w:hAnsi="Arial" w:cs="Arial"/>
                <w:lang w:eastAsia="en-GB"/>
              </w:rPr>
              <w:t>in</w:t>
            </w:r>
            <w:r w:rsidR="00763CB3" w:rsidRPr="0B4505FB">
              <w:rPr>
                <w:rFonts w:ascii="Arial" w:eastAsia="Times New Roman" w:hAnsi="Arial" w:cs="Arial"/>
                <w:lang w:eastAsia="en-GB"/>
              </w:rPr>
              <w:t xml:space="preserve"> respect </w:t>
            </w:r>
            <w:r w:rsidR="002C458D" w:rsidRPr="0B4505FB">
              <w:rPr>
                <w:rFonts w:ascii="Arial" w:eastAsia="Times New Roman" w:hAnsi="Arial" w:cs="Arial"/>
                <w:lang w:eastAsia="en-GB"/>
              </w:rPr>
              <w:t>of</w:t>
            </w:r>
            <w:r w:rsidR="00763CB3" w:rsidRPr="0B4505FB">
              <w:rPr>
                <w:rFonts w:ascii="Arial" w:eastAsia="Times New Roman" w:hAnsi="Arial" w:cs="Arial"/>
                <w:lang w:eastAsia="en-GB"/>
              </w:rPr>
              <w:t xml:space="preserve"> offender rehabilitation</w:t>
            </w:r>
            <w:r w:rsidR="002C458D" w:rsidRPr="0B4505FB">
              <w:rPr>
                <w:rFonts w:ascii="Arial" w:eastAsia="Times New Roman" w:hAnsi="Arial" w:cs="Arial"/>
                <w:lang w:eastAsia="en-GB"/>
              </w:rPr>
              <w:t xml:space="preserve"> and consider how </w:t>
            </w:r>
            <w:r w:rsidR="00763CB3" w:rsidRPr="0B4505FB">
              <w:rPr>
                <w:rFonts w:ascii="Arial" w:eastAsia="Times New Roman" w:hAnsi="Arial" w:cs="Arial"/>
                <w:lang w:eastAsia="en-GB"/>
              </w:rPr>
              <w:t>the diversity of individuals and society impact on the criminal justice system</w:t>
            </w:r>
            <w:r w:rsidR="12E78548" w:rsidRPr="0B4505FB">
              <w:rPr>
                <w:rFonts w:ascii="Arial" w:eastAsia="Times New Roman" w:hAnsi="Arial" w:cs="Arial"/>
                <w:lang w:eastAsia="en-GB"/>
              </w:rPr>
              <w:t>.</w:t>
            </w:r>
          </w:p>
          <w:p w14:paraId="2D51A83F" w14:textId="7B6E8D58"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Critically evaluate the impact upon policing of differing values, ethics and norms within diverse communities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nalyse theories and concepts linked to ethics</w:t>
            </w:r>
            <w:r w:rsidR="73B97DD5" w:rsidRPr="0B4505FB">
              <w:rPr>
                <w:rFonts w:ascii="Arial" w:eastAsia="Times New Roman" w:hAnsi="Arial" w:cs="Arial"/>
                <w:lang w:eastAsia="en-GB"/>
              </w:rPr>
              <w:t xml:space="preserve">. </w:t>
            </w:r>
          </w:p>
          <w:p w14:paraId="01A50FEB" w14:textId="7E1FC357"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instances where law enforcement personnel have misused their position of authority and police powers to commit sexual offences</w:t>
            </w:r>
            <w:r w:rsidR="58FD3AD2" w:rsidRPr="0B4505FB">
              <w:rPr>
                <w:rFonts w:ascii="Arial" w:eastAsia="Times New Roman" w:hAnsi="Arial" w:cs="Arial"/>
                <w:lang w:eastAsia="en-GB"/>
              </w:rPr>
              <w:t xml:space="preserve">. </w:t>
            </w:r>
          </w:p>
          <w:p w14:paraId="593E11AC" w14:textId="69CECF91"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potential links between serious and organised crime and public protection issues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ssess the role and impact of MAPPA and the use of community intelligence in managing offenders</w:t>
            </w:r>
            <w:r w:rsidR="39B54C77" w:rsidRPr="0B4505FB">
              <w:rPr>
                <w:rFonts w:ascii="Arial" w:eastAsia="Times New Roman" w:hAnsi="Arial" w:cs="Arial"/>
                <w:lang w:eastAsia="en-GB"/>
              </w:rPr>
              <w:t xml:space="preserve">. </w:t>
            </w:r>
          </w:p>
          <w:p w14:paraId="225AFA33" w14:textId="7381C26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Explain how personal attitudes, values and biases can impact on a public protection investigation</w:t>
            </w:r>
            <w:r w:rsidR="002C458D" w:rsidRPr="0B4505FB">
              <w:rPr>
                <w:rFonts w:ascii="Arial" w:eastAsia="Times New Roman" w:hAnsi="Arial" w:cs="Arial"/>
                <w:lang w:eastAsia="en-GB"/>
              </w:rPr>
              <w:t xml:space="preserve"> and the psychological impact of abuse on victims</w:t>
            </w:r>
            <w:r w:rsidR="51E7D854" w:rsidRPr="0B4505FB">
              <w:rPr>
                <w:rFonts w:ascii="Arial" w:eastAsia="Times New Roman" w:hAnsi="Arial" w:cs="Arial"/>
                <w:lang w:eastAsia="en-GB"/>
              </w:rPr>
              <w:t xml:space="preserve">. </w:t>
            </w:r>
          </w:p>
          <w:p w14:paraId="1DA6E66F" w14:textId="0538FA2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Evaluate the effectiveness of current public protection practices in investigating public protection incidents</w:t>
            </w:r>
            <w:r w:rsidR="002C458D" w:rsidRPr="0B4505FB">
              <w:rPr>
                <w:rFonts w:ascii="Arial" w:eastAsia="Times New Roman" w:hAnsi="Arial" w:cs="Arial"/>
                <w:lang w:eastAsia="en-GB"/>
              </w:rPr>
              <w:t xml:space="preserve"> and the effect of media coverage on public protection policing strategy</w:t>
            </w:r>
            <w:r w:rsidR="607A97F1" w:rsidRPr="0B4505FB">
              <w:rPr>
                <w:rFonts w:ascii="Arial" w:eastAsia="Times New Roman" w:hAnsi="Arial" w:cs="Arial"/>
                <w:lang w:eastAsia="en-GB"/>
              </w:rPr>
              <w:t xml:space="preserve">. </w:t>
            </w:r>
          </w:p>
          <w:p w14:paraId="17789FA0" w14:textId="257BB675" w:rsidR="00461E0B" w:rsidRDefault="00F84916" w:rsidP="0B4505FB">
            <w:pPr>
              <w:pStyle w:val="ListParagraph"/>
              <w:numPr>
                <w:ilvl w:val="0"/>
                <w:numId w:val="3"/>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Analyse the developing issue of youth gangs targeting vulnerable people, or people at risk of harm</w:t>
            </w:r>
            <w:r w:rsidR="00846F01" w:rsidRPr="0B4505FB">
              <w:rPr>
                <w:rFonts w:ascii="Arial" w:eastAsia="Times New Roman" w:hAnsi="Arial" w:cs="Arial"/>
                <w:lang w:eastAsia="en-GB"/>
              </w:rPr>
              <w:t xml:space="preserve"> and the theories of how a person becomes a victim</w:t>
            </w:r>
            <w:r w:rsidR="5C4DC925" w:rsidRPr="0B4505FB">
              <w:rPr>
                <w:rFonts w:ascii="Arial" w:eastAsia="Times New Roman" w:hAnsi="Arial" w:cs="Arial"/>
                <w:lang w:eastAsia="en-GB"/>
              </w:rPr>
              <w:t xml:space="preserve">. </w:t>
            </w:r>
          </w:p>
          <w:p w14:paraId="2D39D2C2" w14:textId="1CD551DD" w:rsidR="00461E0B" w:rsidRDefault="002C458D"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Understand the</w:t>
            </w:r>
            <w:r w:rsidR="00F84916" w:rsidRPr="0B4505FB">
              <w:rPr>
                <w:rFonts w:ascii="Arial" w:eastAsia="Times New Roman" w:hAnsi="Arial" w:cs="Arial"/>
                <w:lang w:eastAsia="en-GB"/>
              </w:rPr>
              <w:t xml:space="preserve"> impact upon the offending curve of early intervention</w:t>
            </w:r>
            <w:r w:rsidR="00846F01" w:rsidRPr="0B4505FB">
              <w:rPr>
                <w:rFonts w:ascii="Arial" w:eastAsia="Times New Roman" w:hAnsi="Arial" w:cs="Arial"/>
                <w:lang w:eastAsia="en-GB"/>
              </w:rPr>
              <w:t xml:space="preserve"> and </w:t>
            </w:r>
            <w:r w:rsidR="00F84916" w:rsidRPr="0B4505FB">
              <w:rPr>
                <w:rFonts w:ascii="Arial" w:eastAsia="Times New Roman" w:hAnsi="Arial" w:cs="Arial"/>
                <w:lang w:eastAsia="en-GB"/>
              </w:rPr>
              <w:t>theories about the onset of offending</w:t>
            </w:r>
            <w:r w:rsidR="230DF93C" w:rsidRPr="0B4505FB">
              <w:rPr>
                <w:rFonts w:ascii="Arial" w:eastAsia="Times New Roman" w:hAnsi="Arial" w:cs="Arial"/>
                <w:lang w:eastAsia="en-GB"/>
              </w:rPr>
              <w:t xml:space="preserve">. </w:t>
            </w:r>
          </w:p>
          <w:p w14:paraId="6FA83C2D" w14:textId="37A31313" w:rsidR="00461E0B" w:rsidRDefault="00BB18E4"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Evaluate and apply a range of theories and practices associated with communication</w:t>
            </w:r>
            <w:r w:rsidR="4297C0EA" w:rsidRPr="0B4505FB">
              <w:rPr>
                <w:rFonts w:ascii="Arial" w:eastAsia="Times New Roman" w:hAnsi="Arial" w:cs="Arial"/>
                <w:lang w:eastAsia="en-GB"/>
              </w:rPr>
              <w:t>.</w:t>
            </w: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5933FF64" w14:textId="5E9F5AED" w:rsidR="0B4505FB" w:rsidRDefault="0B4505FB" w:rsidP="0B4505FB">
      <w:pPr>
        <w:spacing w:after="0" w:line="240" w:lineRule="auto"/>
        <w:rPr>
          <w:rFonts w:ascii="Arial" w:eastAsia="Times New Roman" w:hAnsi="Arial" w:cs="Arial"/>
          <w:b/>
          <w:bCs/>
          <w:sz w:val="20"/>
          <w:szCs w:val="20"/>
          <w:lang w:eastAsia="en-GB"/>
        </w:rPr>
      </w:pPr>
    </w:p>
    <w:p w14:paraId="548B54C7" w14:textId="519E613D" w:rsidR="0B4505FB" w:rsidRDefault="0B4505FB" w:rsidP="0B4505FB">
      <w:pPr>
        <w:spacing w:after="0" w:line="240" w:lineRule="auto"/>
        <w:rPr>
          <w:rFonts w:ascii="Arial" w:eastAsia="Times New Roman" w:hAnsi="Arial" w:cs="Arial"/>
          <w:b/>
          <w:bCs/>
          <w:sz w:val="20"/>
          <w:szCs w:val="20"/>
          <w:lang w:eastAsia="en-GB"/>
        </w:rPr>
      </w:pPr>
    </w:p>
    <w:p w14:paraId="778FD67D" w14:textId="13C09C23" w:rsidR="0B4505FB" w:rsidRDefault="0B4505FB" w:rsidP="0B4505FB">
      <w:pPr>
        <w:spacing w:after="0" w:line="240" w:lineRule="auto"/>
        <w:rPr>
          <w:rFonts w:ascii="Arial" w:eastAsia="Times New Roman" w:hAnsi="Arial" w:cs="Arial"/>
          <w:b/>
          <w:bCs/>
          <w:sz w:val="20"/>
          <w:szCs w:val="20"/>
          <w:lang w:eastAsia="en-GB"/>
        </w:rPr>
      </w:pPr>
    </w:p>
    <w:p w14:paraId="3D6747DE" w14:textId="4C920325" w:rsidR="0B4505FB" w:rsidRDefault="0B4505FB" w:rsidP="0B4505FB">
      <w:pPr>
        <w:spacing w:after="0" w:line="240" w:lineRule="auto"/>
        <w:rPr>
          <w:rFonts w:ascii="Arial" w:eastAsia="Times New Roman" w:hAnsi="Arial" w:cs="Arial"/>
          <w:b/>
          <w:bCs/>
          <w:sz w:val="20"/>
          <w:szCs w:val="20"/>
          <w:lang w:eastAsia="en-GB"/>
        </w:rPr>
      </w:pPr>
    </w:p>
    <w:p w14:paraId="1EDBB264" w14:textId="3F7AC715" w:rsidR="0B4505FB" w:rsidRDefault="0B4505FB" w:rsidP="0B4505FB">
      <w:pPr>
        <w:spacing w:after="0" w:line="240" w:lineRule="auto"/>
        <w:rPr>
          <w:rFonts w:ascii="Arial" w:eastAsia="Times New Roman" w:hAnsi="Arial" w:cs="Arial"/>
          <w:b/>
          <w:bCs/>
          <w:sz w:val="20"/>
          <w:szCs w:val="20"/>
          <w:lang w:eastAsia="en-GB"/>
        </w:rPr>
      </w:pPr>
    </w:p>
    <w:p w14:paraId="4354B134" w14:textId="2434B1A4" w:rsidR="0B4505FB" w:rsidRDefault="0B4505FB" w:rsidP="0B4505FB">
      <w:pPr>
        <w:spacing w:after="0" w:line="240" w:lineRule="auto"/>
        <w:rPr>
          <w:rFonts w:ascii="Arial" w:eastAsia="Times New Roman" w:hAnsi="Arial" w:cs="Arial"/>
          <w:b/>
          <w:bCs/>
          <w:sz w:val="20"/>
          <w:szCs w:val="20"/>
          <w:lang w:eastAsia="en-GB"/>
        </w:rPr>
      </w:pPr>
    </w:p>
    <w:p w14:paraId="35E6CFC1" w14:textId="6D2D884F" w:rsidR="0B4505FB" w:rsidRDefault="0B4505FB" w:rsidP="0B4505FB">
      <w:pPr>
        <w:spacing w:after="0" w:line="240" w:lineRule="auto"/>
        <w:rPr>
          <w:rFonts w:ascii="Arial" w:eastAsia="Times New Roman" w:hAnsi="Arial" w:cs="Arial"/>
          <w:b/>
          <w:bCs/>
          <w:sz w:val="20"/>
          <w:szCs w:val="20"/>
          <w:lang w:eastAsia="en-GB"/>
        </w:rPr>
      </w:pPr>
    </w:p>
    <w:p w14:paraId="7D61AD7E" w14:textId="32CF96B9" w:rsidR="0B4505FB" w:rsidRDefault="0B4505FB" w:rsidP="0B4505FB">
      <w:pPr>
        <w:spacing w:after="0" w:line="240" w:lineRule="auto"/>
        <w:rPr>
          <w:rFonts w:ascii="Arial" w:eastAsia="Times New Roman" w:hAnsi="Arial" w:cs="Arial"/>
          <w:b/>
          <w:bCs/>
          <w:sz w:val="20"/>
          <w:szCs w:val="20"/>
          <w:lang w:eastAsia="en-GB"/>
        </w:rPr>
      </w:pPr>
    </w:p>
    <w:p w14:paraId="553922FA" w14:textId="382D18A7" w:rsidR="0B4505FB" w:rsidRDefault="0B4505FB" w:rsidP="0B4505FB">
      <w:pPr>
        <w:spacing w:after="0" w:line="240" w:lineRule="auto"/>
        <w:rPr>
          <w:rFonts w:ascii="Arial" w:eastAsia="Times New Roman" w:hAnsi="Arial" w:cs="Arial"/>
          <w:b/>
          <w:bCs/>
          <w:sz w:val="20"/>
          <w:szCs w:val="20"/>
          <w:lang w:eastAsia="en-GB"/>
        </w:rPr>
      </w:pPr>
    </w:p>
    <w:p w14:paraId="447361E7" w14:textId="44D4228A" w:rsidR="0B4505FB" w:rsidRDefault="0B4505FB" w:rsidP="0B4505FB">
      <w:pPr>
        <w:spacing w:after="0" w:line="240" w:lineRule="auto"/>
        <w:rPr>
          <w:rFonts w:ascii="Arial" w:eastAsia="Times New Roman" w:hAnsi="Arial" w:cs="Arial"/>
          <w:b/>
          <w:bCs/>
          <w:sz w:val="20"/>
          <w:szCs w:val="20"/>
          <w:lang w:eastAsia="en-GB"/>
        </w:rPr>
      </w:pPr>
    </w:p>
    <w:p w14:paraId="21C3FEF9" w14:textId="2C4413F6" w:rsidR="0B4505FB" w:rsidRDefault="0B4505FB" w:rsidP="0B4505FB">
      <w:pPr>
        <w:spacing w:after="0" w:line="240" w:lineRule="auto"/>
        <w:rPr>
          <w:rFonts w:ascii="Arial" w:eastAsia="Times New Roman" w:hAnsi="Arial" w:cs="Arial"/>
          <w:b/>
          <w:bCs/>
          <w:sz w:val="20"/>
          <w:szCs w:val="20"/>
          <w:lang w:eastAsia="en-GB"/>
        </w:rPr>
      </w:pPr>
    </w:p>
    <w:p w14:paraId="1F48C0E3" w14:textId="0D0EC756" w:rsidR="0B4505FB" w:rsidRDefault="0B4505FB" w:rsidP="0B4505FB">
      <w:pPr>
        <w:spacing w:after="0" w:line="240" w:lineRule="auto"/>
        <w:rPr>
          <w:rFonts w:ascii="Arial" w:eastAsia="Times New Roman" w:hAnsi="Arial" w:cs="Arial"/>
          <w:b/>
          <w:bCs/>
          <w:sz w:val="20"/>
          <w:szCs w:val="20"/>
          <w:lang w:eastAsia="en-GB"/>
        </w:rPr>
      </w:pPr>
    </w:p>
    <w:p w14:paraId="1AF4FD02" w14:textId="3AAB601B" w:rsidR="0B4505FB" w:rsidRDefault="0B4505FB" w:rsidP="0B4505FB">
      <w:pPr>
        <w:spacing w:after="0" w:line="240" w:lineRule="auto"/>
        <w:rPr>
          <w:rFonts w:ascii="Arial" w:eastAsia="Times New Roman" w:hAnsi="Arial" w:cs="Arial"/>
          <w:b/>
          <w:bCs/>
          <w:sz w:val="20"/>
          <w:szCs w:val="20"/>
          <w:lang w:eastAsia="en-GB"/>
        </w:rPr>
      </w:pPr>
    </w:p>
    <w:p w14:paraId="7D8E1C66" w14:textId="44E0BA73" w:rsidR="0B4505FB" w:rsidRDefault="0B4505FB" w:rsidP="0B4505FB">
      <w:pPr>
        <w:spacing w:after="0" w:line="240" w:lineRule="auto"/>
        <w:rPr>
          <w:rFonts w:ascii="Arial" w:eastAsia="Times New Roman" w:hAnsi="Arial" w:cs="Arial"/>
          <w:b/>
          <w:bCs/>
          <w:sz w:val="20"/>
          <w:szCs w:val="20"/>
          <w:lang w:eastAsia="en-GB"/>
        </w:rPr>
      </w:pPr>
    </w:p>
    <w:p w14:paraId="7ACD64D6" w14:textId="3206B1F6" w:rsidR="0B4505FB" w:rsidRDefault="0B4505FB"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4ADD6153" w14:textId="6BF40EC0" w:rsidR="00BB18E4" w:rsidRPr="007C06EC" w:rsidRDefault="2ED03A9B" w:rsidP="0B4505FB">
      <w:pPr>
        <w:spacing w:after="0" w:line="24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 a 1000-word essay under each of the following titles:</w:t>
      </w:r>
      <w:r w:rsidRPr="0B4505FB">
        <w:rPr>
          <w:rFonts w:ascii="Arial" w:eastAsia="Times New Roman" w:hAnsi="Arial" w:cs="Arial"/>
          <w:i/>
          <w:iCs/>
          <w:lang w:eastAsia="en-GB"/>
        </w:rPr>
        <w:t xml:space="preserve"> </w:t>
      </w:r>
    </w:p>
    <w:p w14:paraId="680B1760" w14:textId="0192ACCA" w:rsidR="00BB18E4" w:rsidRPr="007C06EC" w:rsidRDefault="00BB18E4" w:rsidP="0B4505FB">
      <w:pPr>
        <w:spacing w:after="0" w:line="240" w:lineRule="auto"/>
        <w:ind w:left="426"/>
        <w:rPr>
          <w:rFonts w:ascii="Arial" w:eastAsia="Times New Roman" w:hAnsi="Arial" w:cs="Arial"/>
          <w:i/>
          <w:iCs/>
          <w:lang w:eastAsia="en-GB"/>
        </w:rPr>
      </w:pPr>
    </w:p>
    <w:p w14:paraId="57DFAA10" w14:textId="18DFEBEF" w:rsidR="00BB18E4" w:rsidRPr="007C06EC" w:rsidRDefault="00157265" w:rsidP="0B4505FB">
      <w:pPr>
        <w:spacing w:after="0" w:line="240" w:lineRule="auto"/>
        <w:ind w:left="426"/>
        <w:jc w:val="both"/>
        <w:rPr>
          <w:rFonts w:ascii="Arial" w:eastAsia="Times New Roman" w:hAnsi="Arial" w:cs="Arial"/>
          <w:i/>
          <w:iCs/>
          <w:lang w:eastAsia="en-GB"/>
        </w:rPr>
      </w:pPr>
      <w:r w:rsidRPr="0B4505FB">
        <w:rPr>
          <w:rFonts w:ascii="Arial" w:eastAsia="Times New Roman" w:hAnsi="Arial" w:cs="Arial"/>
          <w:i/>
          <w:iCs/>
          <w:lang w:eastAsia="en-GB"/>
        </w:rPr>
        <w:t>Policing responsibilities in the 21</w:t>
      </w:r>
      <w:r w:rsidRPr="0B4505FB">
        <w:rPr>
          <w:rFonts w:ascii="Arial" w:eastAsia="Times New Roman" w:hAnsi="Arial" w:cs="Arial"/>
          <w:i/>
          <w:iCs/>
          <w:vertAlign w:val="superscript"/>
          <w:lang w:eastAsia="en-GB"/>
        </w:rPr>
        <w:t>st</w:t>
      </w:r>
      <w:r w:rsidRPr="0B4505FB">
        <w:rPr>
          <w:rFonts w:ascii="Arial" w:eastAsia="Times New Roman" w:hAnsi="Arial" w:cs="Arial"/>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Default="002161A0" w:rsidP="002161A0">
      <w:pPr>
        <w:spacing w:after="0" w:line="240" w:lineRule="auto"/>
        <w:ind w:left="426"/>
        <w:rPr>
          <w:rFonts w:ascii="Arial" w:eastAsia="Times New Roman" w:hAnsi="Arial" w:cs="Arial"/>
          <w:sz w:val="24"/>
          <w:szCs w:val="24"/>
          <w:lang w:eastAsia="en-GB"/>
        </w:rPr>
      </w:pP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4EB028AD" w14:textId="0CABC010" w:rsidR="002161A0" w:rsidRDefault="7737B8CD"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1: </w:t>
      </w:r>
      <w:r w:rsidR="00157265" w:rsidRPr="0B4505FB">
        <w:rPr>
          <w:rFonts w:ascii="Arial" w:eastAsia="Times New Roman" w:hAnsi="Arial" w:cs="Arial"/>
          <w:lang w:eastAsia="en-GB"/>
        </w:rPr>
        <w:t>Analyse potential links between serious and organised crime and public protection issues and assess the role and impact of MAPPA</w:t>
      </w:r>
      <w:r w:rsidR="002161A0" w:rsidRPr="0B4505FB">
        <w:rPr>
          <w:rFonts w:ascii="Arial" w:eastAsia="Times New Roman" w:hAnsi="Arial" w:cs="Arial"/>
          <w:lang w:eastAsia="en-GB"/>
        </w:rPr>
        <w:t>. Consider</w:t>
      </w:r>
      <w:r w:rsidR="00157265" w:rsidRPr="0B4505FB">
        <w:rPr>
          <w:rFonts w:ascii="Arial" w:eastAsia="Times New Roman" w:hAnsi="Arial" w:cs="Arial"/>
          <w:lang w:eastAsia="en-GB"/>
        </w:rPr>
        <w:t xml:space="preserve"> the use of community intelligence in managing offenders</w:t>
      </w:r>
      <w:r w:rsidR="002161A0" w:rsidRPr="0B4505FB">
        <w:rPr>
          <w:rFonts w:ascii="Arial" w:eastAsia="Times New Roman" w:hAnsi="Arial" w:cs="Arial"/>
          <w:lang w:eastAsia="en-GB"/>
        </w:rPr>
        <w:t xml:space="preserve"> and evaluate the effectiveness of current public protection practices in investigating public protection incidents and the effect of media coverage on public protection policing strategy</w:t>
      </w:r>
      <w:r w:rsidR="00BF4C98" w:rsidRPr="0B4505FB">
        <w:rPr>
          <w:rFonts w:ascii="Arial" w:eastAsia="Times New Roman" w:hAnsi="Arial" w:cs="Arial"/>
          <w:lang w:eastAsia="en-GB"/>
        </w:rPr>
        <w:t>.</w:t>
      </w:r>
    </w:p>
    <w:p w14:paraId="193DDD05"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 xml:space="preserve">This essay is going to discuss the role of MAPPA and the link and effect it has on organised crime. The essay will discuss public protection issues and the use of community intelligence in managing offenders and it will evaluate the effectiveness of current public protection practices in investigating public protection incidents and the effect of media coverage on public protection strategy. </w:t>
      </w:r>
    </w:p>
    <w:p w14:paraId="7554B6BF"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 xml:space="preserve">MAPPA stands for multi- agency public protection arrangements. The arrangements that MAPPA stands for are designed to protect the public, protect victims of crime from serious harm, sexual or violent and dangerous offenders. The responsible authorities involved in MAPPA are the police, Her Majesty’s prison and probation service. The responsible authority has the duty to assess the risk posed by the qualifying offender and to manage this risk. </w:t>
      </w:r>
    </w:p>
    <w:p w14:paraId="4DF3A47D"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The college of policing states, “the RA responsible for the management of the offender is also considered the ‘lead agency’ for MAPPA. This management will involve appropriate information sharing in order to properly identify risk. The lead agency will have primary responsibility for referring the offender to level 2 or 3 MAPPA management or for continuing management at level 1”. (Multi-agency public protection arrangements (MAPPA), 2021).</w:t>
      </w:r>
    </w:p>
    <w:p w14:paraId="16FA26DB"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An offender under MAPPA management will then be put into one of the three categories. Category one is a registered sexual offender, who will be required to comply with notification requirements under part two of the sexual offence act 2003. Category 2 is an offender who has been convicted of one of the offences under Schedule 15 of the CJA 2003. An example of these offences are, manslaughter and false imprisonment. Category 3 is a dangerous offender who have been cautioned or convicted of an offence and this indicates they may be capable of causing serious harm and require MAPPA management.</w:t>
      </w:r>
    </w:p>
    <w:p w14:paraId="15B15210"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 xml:space="preserve">An offender that is under MAPPA management at some point will be reintroduced back into the community. The reintroduction of an offender into the community can cause tension and can cause members of the community to feel uneasy. The police will be fully aware that an offender has been reintroduced back into the local community, police may require the attention of the local neighbourhood policing team, and shift supervisor. The NPT team can engage with senior officers in order to have the appropriate level of management. Dependant on the situation in the community, the </w:t>
      </w:r>
      <w:r w:rsidRPr="00355B6A">
        <w:rPr>
          <w:rFonts w:ascii="Arial" w:eastAsia="Times New Roman" w:hAnsi="Arial" w:cs="Arial"/>
          <w:lang w:eastAsia="en-GB"/>
        </w:rPr>
        <w:lastRenderedPageBreak/>
        <w:t xml:space="preserve">situation can be low level, or can be at a more serious level, and this will require a different type of management. A strategy meeting might be held, with NPT, the MOSOVO unit and other policing departments involved. The meeting would speak about the targeted individual and would consider safety considerations for the individual and their family, this might include alternative accommodation. This meeting would discuss how NPT would manage the situation in the area, and also the use of the media. The decision maker at the meeting must decide whether to confirm or deny if the person is a MOSOVO subject, the decision must be made to protect the community but also to protect the individual. </w:t>
      </w:r>
    </w:p>
    <w:p w14:paraId="4EA5F39F"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College of policing states “all police forces should have arrangements to manage any impact public protection or offender management has on a community. NPTs are central to these arrangements. The identification of high-risk offenders’ residences by the media or anyone else can provoke anxiety in the community, particularly where that risk is associated with children. Managing risks posed by the offender and any threat from vigilantes can be a complex task and require rapid response by agencies, particularly the police. A community impact assessment is necessary in complex or high risk situations”. (Communication and media considerations 2021).</w:t>
      </w:r>
    </w:p>
    <w:p w14:paraId="4F80035C"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 xml:space="preserve">Uniformed officers especially NPT who engage with the community on a regular basis and have a better rapport with individuals within the community can be critical in obtaining community led intelligence regarding individuals who are subject to MAPPA. The NPT officers are at the heart of the community and are more able to understand the impact the presence of these offenders are having on the community. The NPT officers are able to listen to the knowledge the community has on the offender and are able to manage any false information regarding the offender which can prevent community tension regarding the false information.  It is important for uniformed officers to build a rapport with the community in order for members of the community to have trust in the police to be able to come forward with any relevant information regarding offenders to contribute towards building intelligence. </w:t>
      </w:r>
    </w:p>
    <w:p w14:paraId="7D0DD023"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Furthermore cuckooing, is a form of crime in which drug dealers take over a home of a vulnerable person, in order to use it as a base for county line drug trafficking. Cuckooing creates a multitude of public protection issues. The vulnerable person or victim of cuckooing would require immediate safeguarding, and this also goes out to the community as there may be others at risk of exploitation. The use of MAPPA is critical in protecting these individuals, by using shared information across partner agencies in order to offer support and protection.</w:t>
      </w:r>
    </w:p>
    <w:p w14:paraId="15F6C840"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College of policing states that when a member of the public provides the police with information, staff must be aware of the risk of harm and the police duty of care to that person and others who may be affected by the information. This duty may arise because of:</w:t>
      </w:r>
    </w:p>
    <w:p w14:paraId="376D0AB4"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•the nature of the information</w:t>
      </w:r>
    </w:p>
    <w:p w14:paraId="6D4071DB"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•how the information was obtained</w:t>
      </w:r>
    </w:p>
    <w:p w14:paraId="5C5CCFEC"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•the circumstances of the person providing the information which may require the information to be treated in a sensitive and confidential manner (they have a relationship with the person to whom the information relates)</w:t>
      </w:r>
    </w:p>
    <w:p w14:paraId="6FA18A31"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•the frequency of contact between an individual and the police, indicating they may be maintaining a relationship in order to obtain that information. (Managing information, 2017)</w:t>
      </w:r>
    </w:p>
    <w:p w14:paraId="233F6480"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355B6A">
        <w:rPr>
          <w:rFonts w:ascii="Arial" w:eastAsia="Times New Roman" w:hAnsi="Arial" w:cs="Arial"/>
          <w:lang w:eastAsia="en-GB"/>
        </w:rPr>
        <w:t xml:space="preserve">Without community led intelligence the police would have to rely only on information from the offender and what is shared via the partner agencies, and this may cause intelligence to be missed or to be obtained much later on. </w:t>
      </w:r>
    </w:p>
    <w:p w14:paraId="51FF4F27" w14:textId="77777777" w:rsidR="00355B6A" w:rsidRPr="00355B6A" w:rsidRDefault="00355B6A" w:rsidP="00355B6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3F3D7A4" w14:textId="77777777" w:rsidR="00355B6A" w:rsidRPr="002161A0" w:rsidRDefault="00355B6A"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18F1CEA" w14:textId="27069C83"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B4505FB">
        <w:rPr>
          <w:rFonts w:ascii="Arial" w:eastAsia="Times New Roman" w:hAnsi="Arial" w:cs="Arial"/>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6401B76" w14:textId="646A2A4C" w:rsidR="00BB18E4" w:rsidRDefault="00BB18E4" w:rsidP="00157265">
      <w:pPr>
        <w:spacing w:after="0" w:line="240" w:lineRule="auto"/>
        <w:ind w:left="426"/>
        <w:rPr>
          <w:rFonts w:ascii="Arial" w:eastAsia="Times New Roman" w:hAnsi="Arial" w:cs="Arial"/>
          <w:b/>
          <w:sz w:val="24"/>
          <w:szCs w:val="24"/>
          <w:lang w:eastAsia="en-GB"/>
        </w:rPr>
      </w:pPr>
    </w:p>
    <w:p w14:paraId="7D9EBAC3" w14:textId="13C4BE37" w:rsidR="00BF4C98" w:rsidRDefault="2D4F8166"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2: </w:t>
      </w:r>
      <w:r w:rsidR="00BF4C98" w:rsidRPr="0B4505FB">
        <w:rPr>
          <w:rFonts w:ascii="Arial" w:eastAsia="Times New Roman" w:hAnsi="Arial" w:cs="Arial"/>
          <w:lang w:eastAsia="en-GB"/>
        </w:rPr>
        <w:t>Analyse the role of professional standards and independent bodies such as the IOPC or HMICFRS in holding the police accountable to the public and the impact of ma</w:t>
      </w:r>
      <w:r w:rsidR="00180632" w:rsidRPr="0B4505FB">
        <w:rPr>
          <w:rFonts w:ascii="Arial" w:eastAsia="Times New Roman" w:hAnsi="Arial" w:cs="Arial"/>
          <w:lang w:eastAsia="en-GB"/>
        </w:rPr>
        <w:t>l</w:t>
      </w:r>
      <w:r w:rsidR="00BF4C98" w:rsidRPr="0B4505FB">
        <w:rPr>
          <w:rFonts w:ascii="Arial" w:eastAsia="Times New Roman" w:hAnsi="Arial" w:cs="Arial"/>
          <w:lang w:eastAsia="en-GB"/>
        </w:rPr>
        <w:t>practice and corruption on policing using examples to support your argument.</w:t>
      </w:r>
    </w:p>
    <w:p w14:paraId="49B13283"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033A01D9" w14:textId="57469439"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14:paraId="1840686B"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In this essay I am going to discuss the role of independent bodies in holding the police accountable to the public and the impact of malpractice and corruption on policing using examples to support it.  </w:t>
      </w:r>
    </w:p>
    <w:p w14:paraId="79F28C36"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Police Forces have their own department called professional standards who oversee complaints against police. This department is called the professional standards department (PSD). Although by law certain matters must be referred to the IOPC. The IOPC stands for The Independent Office for Police Conduct (IOPC) and exists to increase public confidence in the police complaints system in England and Wales. It also investigates serious complaints and allegations of misconduct against the police and handles appeals. (Independent office for police conduct 2019). The matters referred to the IOPC will include, complaints made which involve an allegation of serious assault or serious police corruption. Any indications that police officers have committed serious misconduct such as committing a criminal offence or causing a serious injury. Additionally the IOPC will also investigate if someone has had indirect or direct contact with the police when, or shortly before they were seriously injured or died. In this type of case forces only need to refer cases where the contact may have caused or contributed to the death or injury. </w:t>
      </w:r>
    </w:p>
    <w:p w14:paraId="68F9EE6C"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The IOPC will receive a referral from a police force and then the referral will be assessed with the information provided by an assessment unit. The IOPC will then decide if the matter requires an investigation. The IOPC have three different types of investigation. The first type of investigation will be independent, this is where the IOPC will investigate the matter using their own investigators. The second type of investigation is directed, this is where the IOPC direct and control the investigation using police resources. The final type of investigation is local, where police professional standards investigates and the IOPC do not have any involvement. </w:t>
      </w:r>
    </w:p>
    <w:p w14:paraId="573C9A59"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The IOPC will investigate the matter by gathering evidence to establish what has happened. This will include a procedure of obtaining witness statements, interviewing police officers or police staff. This may also include analysing CCTV footage including officer’s bodyworn video. The IOPC will obtain any documents or records that are relevant and analyse them. The IOPC will then review any policies that’s relevant to what’s happened. At the end of the investigation the IOPC will produce a report that outlines what happened, what and how the IOPC investigated and what evidence the investigators found. The report will include analysis of the evidence. The police force will then receive the report the IOPC will also decide what happens to the individuals involved, this might include, further training, a misconduct meeting or a gross misconduct meeting. The IOPS publish findings publically, which is important in holding the police accountable for any malpractice. </w:t>
      </w:r>
    </w:p>
    <w:p w14:paraId="4AFA1E80"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The IOPC state the respective police force can then provide its representations about what should happen. While the IOPC will consider those views, and will ultimately make the final decision on what happens as a result of the investigation. It is the respective police force that carries out any disciplinary action. They can hold disciplinary hearings (for gross misconduct) or meetings (for misconduct).The </w:t>
      </w:r>
      <w:r w:rsidRPr="001572C1">
        <w:rPr>
          <w:rFonts w:ascii="Arial" w:eastAsia="Times New Roman" w:hAnsi="Arial" w:cs="Arial"/>
          <w:i/>
          <w:iCs/>
          <w:lang w:eastAsia="en-GB"/>
        </w:rPr>
        <w:lastRenderedPageBreak/>
        <w:t xml:space="preserve">possible disciplinary actions that the police force can carry out include, written warning, final written warning, reduction on rank or dismissal without notice. The force can also take non-disciplinary actions for low-level matters of misconduct or performance, such as ‘practice requiring improvement’. Supervising officers may also offer informal advice to their staff, identify any training needs and arrange for these to be met.  (What we investigate and next steps | Independent Office for Police Conduct, 2021) </w:t>
      </w:r>
    </w:p>
    <w:p w14:paraId="7870E9FD"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Another independent body are the HMICFRS, Her Majesty’s Inspectorate of Constabulary and Fire rescue services. The role of the HMICFRS is to independently assess the effectiveness and efficiency of police forces and fire &amp; rescue services in the public interest. </w:t>
      </w:r>
    </w:p>
    <w:p w14:paraId="1ECD98C8"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A prime example of the impact that police malpractice and corruption has is the Stephen Lawrence case. Stephen Lawrence was a black British teenager from Plumstead in South East London. Stephen Lawrence was murdered on the evening of the 22nd of April 1993 in a racially motivated attack. The investigation into the murder of Lawrence drew massive controversy due to the mishandling of the case by the police. Between the 7th of May and 23rd of June 1993 five Suspects were arrested and two were charged, and on the 29th of July 1993 the charges were dropped. The CPS dropped the persecution as they said the ID evidence from Dwayne Brooks was unreliable. In 1997 the home secretary instructed that a public inquiry should be carried out. Home Secretary Jack Straw said there was to be a judicial inquiry into the killing and subsequent investigation, to identify lessons for police in dealing with racially motivated crimes. The inquiry was conducted by Sir William Macpherson a retired High Court judge, who later in 1999 published a report known as the Macpherson report. The report “found that the police investigation into Stephen’s murder was marred by a combination of professional incompetence, institutional racism and a failure of leadership by senior officers”. (The Stephen Lawrence inquiry 1999). </w:t>
      </w:r>
    </w:p>
    <w:p w14:paraId="506AEC86"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01572C1">
        <w:rPr>
          <w:rFonts w:ascii="Arial" w:eastAsia="Times New Roman" w:hAnsi="Arial" w:cs="Arial"/>
          <w:i/>
          <w:iCs/>
          <w:lang w:eastAsia="en-GB"/>
        </w:rPr>
        <w:t xml:space="preserve">A total of 70 recommendations designed to show “zero tolerance” for racism in society were made. They included measures not just to transform the attitude of the police towards race relations and improve accountability but also to get the civil service, NHS, judiciary and other public bodies to respond and change. Some 67 of the report’s recommendations led to specific changes in practice or the law within two years of its publication. They included the introduction of detailed targets for the recruitment, retention and promotion of black and Asian officers, as well as the creation of the Independent Police Complaints Commission with the power to appoint its own investigators. (Quinn, 2021).  Macpherson says the report allowed police to take a step in the right direction, but adds: "There's obviously a great deal more to be done." (What has really happened since Macpherson’s report, 2021). </w:t>
      </w:r>
    </w:p>
    <w:p w14:paraId="3100AF8A"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025B1954"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BE756F9"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50075C8"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2DB37D02" w14:textId="77777777" w:rsidR="001572C1" w:rsidRPr="001572C1" w:rsidRDefault="001572C1" w:rsidP="001572C1">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533EB128" w14:textId="77777777"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E41DC71" w14:textId="7FBA8450" w:rsidR="00F43C4D" w:rsidRDefault="681A8323"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3: </w:t>
      </w:r>
      <w:r w:rsidR="00F43C4D" w:rsidRPr="0B4505FB">
        <w:rPr>
          <w:rFonts w:ascii="Arial" w:eastAsia="Times New Roman" w:hAnsi="Arial" w:cs="Arial"/>
          <w:lang w:eastAsia="en-GB"/>
        </w:rPr>
        <w:t xml:space="preserve">Analyse the developing issues of youth gangs, and why people are drawn into becoming part of a gang culture. </w:t>
      </w:r>
    </w:p>
    <w:p w14:paraId="5F9E1E49" w14:textId="7E25109A"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14:paraId="7FB1F02F"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 xml:space="preserve">In this essay I am going to analyse the developing issues of youth gangs and why people are drawn into becoming part of a gang culture. In this essay I am going to consider how gangs target vulnerable </w:t>
      </w:r>
      <w:r w:rsidRPr="006558CA">
        <w:rPr>
          <w:rFonts w:ascii="Arial" w:eastAsia="Times New Roman" w:hAnsi="Arial" w:cs="Arial"/>
          <w:lang w:eastAsia="en-GB"/>
        </w:rPr>
        <w:lastRenderedPageBreak/>
        <w:t xml:space="preserve">people, people at risk of harm and the theories of victimology. Gangs. When most people think of gangs they stereotype and think of teenage boys in grey hoody’s, that cause a nuisance in the local town or city. In the present day gangs are much more than that. Gangs are more than often involved in crime. Individuals who join youth gangs tend to have similar personal characteristics that draw them into being a member of a gang. </w:t>
      </w:r>
    </w:p>
    <w:p w14:paraId="68584670"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There are many factors that lead to why youths join gangs, many of these are simple factors like an individual having a friend that’s in a gang causing them to then want to join the same gang. Other factors include to earn money, making friends and gain status with many young male youths chasing status on a pathway to adulthood. Being involved in a gang can also be an outcome of peer pressure. Being a member of a gang can make people feel included and feel a part of something. Another impacting factor of why individuals join is drill music. Drill music came from Brixton, South London in 2012 and has become popular with all generations especially younger people. UK drill music is related to road rap, and a British style of gangsta rap. Artists who create this type of music often rap about their criminal and violent lifestyle. Most people who make drill music are associated with gangs and use they’re music that includes violet language and slang to deliver messages to rival gangs. The gangs rely on internet platforms like YouTube to share their music and to get thousands of views. Drill music is a form of grooming for young people to make them believe that it is a good lifestyle to have, it highlights the luxuries like nice cars and expensive clothes but in fact this is not the true fact.</w:t>
      </w:r>
    </w:p>
    <w:p w14:paraId="1D933133"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According to the NSPCC the word gang can have a different meaning. Peer group which is a relatively small and transient social grouping which may or may not describe themselves as a gang depending on the context. Street gang which are “Groups of young people who see themselves (and are seen by others) as a discernible group for whom crime and violence is integral to the group's identity.” Organised criminal gangs are a group of individuals for whom involvement in crime is for personal gain (financial or otherwise). For most crime is their 'occupation.” (Criminal exploitation and gangs, 2021)</w:t>
      </w:r>
    </w:p>
    <w:p w14:paraId="32D32454"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 xml:space="preserve">Teenagers and young people are particularly vulnerable to gang membership. Teenagers who join youth gangs can often become a part of county lines. County line supply involves the exploitation of vulnerable adults and children by gangs. Individuals in youth gangs can be used to move or deal the drugs on the streets on behalf of the individuals involved higher up in the chain. Gangs target vulnerable people in many ways, an example of this is county lines. Gangs target vulnerable people in order to move drugs, keep drugs or money or to even sell drugs for them. </w:t>
      </w:r>
    </w:p>
    <w:p w14:paraId="69258A32"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The college of policing states a person is vulnerable if, as a result of their situation or circumstances, they are unable to take care of or protect themselves or others from harm or exploitation. Some of the factors that heighten someone’s vulnerability include, having prior experience of neglect, physical and/or sexual abuse, lack of a safe/stable home environment, now or in the past (domestic violence or parental substance misuse, mental health issues or criminality, social isolation or social difficulties, economic vulnerability, having a physical or learning disability, having mental health or substance misuse. (Vulnerability- College of policing, 2021)</w:t>
      </w:r>
    </w:p>
    <w:p w14:paraId="60339EA4"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 xml:space="preserve">The above factors make individuals more vulnerable to becoming victim of being exploited by gangs who exploit these individuals in order to assist them with county lines. A form of gangs exploiting a vulnerable person is known as cuckooing. Cuckooing is a crime, in which drug dealers involved in county lines take over a vulnerable persons home and use that home as a base, they take over the home completely for county line drug trafficking. The vulnerable person does not benefit from this. Very often if the vulnerable person has a drug dependency, the gang members will fund they’re habit in order to keep them quiet, and to continue using the vulnerable person’s home. </w:t>
      </w:r>
    </w:p>
    <w:p w14:paraId="3759EACC"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 xml:space="preserve">In accordance with the theories of victimology, two theories can apply. These theories are the lifestyle theory and the deviant place theory. The lifestyle theory explains that certain people may become a victim of crime because of their lifestyle choice. If someone is vulnerable and has mental health issues causing them to get involved in drug use, this might make them susceptible to being a victim by gang members. Additionally this may apply for the reasoning of why youths join gangs, because being a </w:t>
      </w:r>
      <w:r w:rsidRPr="006558CA">
        <w:rPr>
          <w:rFonts w:ascii="Arial" w:eastAsia="Times New Roman" w:hAnsi="Arial" w:cs="Arial"/>
          <w:lang w:eastAsia="en-GB"/>
        </w:rPr>
        <w:lastRenderedPageBreak/>
        <w:t xml:space="preserve">part of a gang would mean protection against the local gang, therefore potentially reducing the risk of them becoming a victim, and this might act as the reason why the individual joins the gang.  </w:t>
      </w:r>
    </w:p>
    <w:p w14:paraId="0F915932"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6558CA">
        <w:rPr>
          <w:rFonts w:ascii="Arial" w:eastAsia="Times New Roman" w:hAnsi="Arial" w:cs="Arial"/>
          <w:lang w:eastAsia="en-GB"/>
        </w:rPr>
        <w:t xml:space="preserve">The deviant place theory states that an individual is more likely to become a victim when they are exposed to dangerous areas. An example of this, if a youth grows up in a deprived, low income area where crime and violent behaviour is more common, there is more risk of the youth becoming a victim. There is a link between the deviant place theory as to why individuals join gangs. Low income households are more likely to be located in a dangerous town or city, and due to their financial background it makes it harder for these individuals to leave the area and move away. Some individuals with adapt into joining a gang in order to fit in and not become a victimized by a gang. </w:t>
      </w:r>
    </w:p>
    <w:p w14:paraId="561798C5"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24CB3F4"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3A0712E" w14:textId="77777777" w:rsidR="006558CA" w:rsidRPr="006558CA" w:rsidRDefault="006558CA" w:rsidP="006558C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EFAD95B" w14:textId="77777777" w:rsidR="006558CA" w:rsidRDefault="006558CA"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934B6EA" w14:textId="37838137"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B00F917" w14:textId="773A454C"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3EAF6386" w14:textId="77777777"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6A68562E" w14:textId="15F0F7EA" w:rsidR="00F43C4D" w:rsidRDefault="3F863814"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4: </w:t>
      </w:r>
      <w:r w:rsidR="00F43C4D" w:rsidRPr="0B4505FB">
        <w:rPr>
          <w:rFonts w:ascii="Arial" w:eastAsia="Times New Roman" w:hAnsi="Arial" w:cs="Arial"/>
          <w:lang w:eastAsia="en-GB"/>
        </w:rPr>
        <w:t xml:space="preserve">Critically evaluate the impact upon policing of differing values, ethics and norms within diverse communities and the importance of effective communication </w:t>
      </w:r>
      <w:r w:rsidR="006E22FC" w:rsidRPr="0B4505FB">
        <w:rPr>
          <w:rFonts w:ascii="Arial" w:eastAsia="Times New Roman" w:hAnsi="Arial" w:cs="Arial"/>
          <w:lang w:eastAsia="en-GB"/>
        </w:rPr>
        <w:t>when working within these communities.</w:t>
      </w:r>
    </w:p>
    <w:p w14:paraId="66EC2B38"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In this essay I am going to write about policing diverse communities that include people from different ethics and norms within the diverse community. </w:t>
      </w:r>
    </w:p>
    <w:p w14:paraId="5BE3C673" w14:textId="1978A425" w:rsidR="003123FD" w:rsidRPr="003123FD" w:rsidRDefault="003123FD" w:rsidP="001572C1">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A diverse community is a community which has people living in the community who are of different race, ethnicity, religious beliefs, language, gender, sexual orientation, these individuals bring knowledge, experie</w:t>
      </w:r>
      <w:r w:rsidR="001572C1">
        <w:rPr>
          <w:rFonts w:ascii="Arial" w:eastAsia="Times New Roman" w:hAnsi="Arial" w:cs="Arial"/>
          <w:lang w:eastAsia="en-GB"/>
        </w:rPr>
        <w:t xml:space="preserve">nce and benefit the community. </w:t>
      </w:r>
      <w:r w:rsidRPr="003123FD">
        <w:rPr>
          <w:rFonts w:ascii="Arial" w:eastAsia="Times New Roman" w:hAnsi="Arial" w:cs="Arial"/>
          <w:lang w:eastAsia="en-GB"/>
        </w:rPr>
        <w:t xml:space="preserve">The police have responsibility to be able to police the diverse community and understand the individuals living in the community and they’re beliefs and needs. The police have the responsibility of engaging with the community in order to build a rapport with members of the public, and in time this will develop trust and will allow the public to have a better all-round perception of the police force. </w:t>
      </w:r>
    </w:p>
    <w:p w14:paraId="4C410351"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Community engagement through neighbourhood policing is critical in getting to know the community and manage needs and expectations of the public. In order to police a diverse community it is important to have a high level of neighbourhood policing, this includes going out into the community, engaging in community meetings and forums, door knocking, attendance at local schools and groups, this is all to develop a knowledge of the community, also this builds trust with members of the public and respect. Once members of the public respect and trust the police force this increases knowledge and builds cooperation and communication from members of the public. In order to police a diverse community we have to be a diverse police force. </w:t>
      </w:r>
    </w:p>
    <w:p w14:paraId="75291696"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College of policing states that they “work with forces to support their delivery of effective and responsive policing to diverse communities. We assist forces to secure a workplace culture that is inclusive and based on equity and respect, helping to give everyone in the workforce a positive work environment where they can fulfil their potential.” (Equality and Diversity College of policing, 2021.) This reflects that the college of policing are assisting forces in bettering they’re approach to policing diverse communities by making they’re workplace a place full of respect and inclusiveness for people </w:t>
      </w:r>
      <w:r w:rsidRPr="003123FD">
        <w:rPr>
          <w:rFonts w:ascii="Arial" w:eastAsia="Times New Roman" w:hAnsi="Arial" w:cs="Arial"/>
          <w:lang w:eastAsia="en-GB"/>
        </w:rPr>
        <w:lastRenderedPageBreak/>
        <w:t xml:space="preserve">of different backgrounds and this will allow more people to work together in a positive environment in order to engage and support policing diverse communities. </w:t>
      </w:r>
    </w:p>
    <w:p w14:paraId="4454625E"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South Wales Police agree that “in order to provide a high level of service, we encourage applications from under-represented groups and we are proud to pursue a policy of ‘positive action’ in an attempt to achieve this.  We are particularly under-represented by people from Black &amp; Minority Ethnic (BME) backgrounds and we are encouraging BME people to apply during our recruitment processes if they feel they have what it takes.  We are also looking to encourage more women to become police officers and are working on an action plan to promote female recruitment and promotion internally”. (Encouraging diversity into South Wales Police, 2021) </w:t>
      </w:r>
    </w:p>
    <w:p w14:paraId="744E7CF2"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Neighbourhood policing allows officers to go out into the community and speak to members of the public, this allows officers to gather knowledge of who is living in the community to build a rapport with these individuals, and this also helps the police to gather intelligence from within the community. College of policing states that “neighbourhood policing has shown that public confidence improves when local people are involved in decisions about the issues that most concern them”. (Definition of neighbourhood policing – college of policing, 2021.) It is the police is responsibility to listen to the community’s issue, despite the issue being big or small, having the police engaging in doing this, will raise the public perception of the police force. </w:t>
      </w:r>
    </w:p>
    <w:p w14:paraId="021C5717"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Officers going into local shops and café’s will allow people to feel safe and feel confident with the police presence. College of policing states “people who perceive the police to be fair are more likely to see the police as legitimate and, as a result, report crime and suspicious activity, provide information and not break the law”. (Promoting the right culture, college of policing, 2021) </w:t>
      </w:r>
    </w:p>
    <w:p w14:paraId="1445B48C"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 Police out and engaging with the community will allow us to build a knowledge of people with different religions, ethnic background, and race living within the community. After an understanding of this, police forces can assist in getting plans in place to assist these people, for example, a group once a week for people who are new to the area who speak minimal English, so they have an opportunity to meet new people, and have some assistance with settling in to the community. Neighbourhood police officers attending schools will assist in the younger generations becoming more comfortable in talking to the police and hopefully allow the police to engage with the younger generation to prevent involvement in crime. College of policing states that “police efforts to increase informal contact with young people can have a positive impact on their willingness to help the police”. (Promoting the right culture, college of policing, 2021)</w:t>
      </w:r>
    </w:p>
    <w:p w14:paraId="512C1243"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Without the cooperation of members of the public the police would not be able to do their job. The police, police by consent which requires public support for policing activity at every level. </w:t>
      </w:r>
    </w:p>
    <w:p w14:paraId="22C5760C"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Community engagement can go a long way to members of the public, foot patrol can increase public confidence massively, especially in the older generations, improving their sense of safety.  Community engagement like planning events, open forums can sometimes be more effective than planning meetings. Sending out newsletters regarding community policing can also have a positive effect on the public’s confidence in the police force, this is a more effective way to engage with the older generation who maybe can’t access the internet to view the online information.</w:t>
      </w:r>
    </w:p>
    <w:p w14:paraId="0C4E7ECF"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College of policing states that essential elements of community engagement will include regular formal and informal contact with communities, working with partners (eg, by identifying communities and sharing arrangements for engagement) and making available information about local crime and policing issues to communities. (Engaging communities | College of Policing, 2021).</w:t>
      </w:r>
    </w:p>
    <w:p w14:paraId="3A637383" w14:textId="77777777" w:rsidR="003123FD" w:rsidRP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3123FD">
        <w:rPr>
          <w:rFonts w:ascii="Arial" w:eastAsia="Times New Roman" w:hAnsi="Arial" w:cs="Arial"/>
          <w:lang w:eastAsia="en-GB"/>
        </w:rPr>
        <w:t xml:space="preserve">By concluding this essay I agree that I have discussed policing diverse communities and the key elements that allow police to be successful at engaging and policing diverse communities. </w:t>
      </w:r>
    </w:p>
    <w:p w14:paraId="145337CB" w14:textId="4FC2E12B" w:rsidR="003123FD" w:rsidRDefault="003123FD" w:rsidP="003123F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1DE7C1FD" w14:textId="77777777" w:rsid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Bibliography </w:t>
      </w:r>
    </w:p>
    <w:p w14:paraId="3F0F2922" w14:textId="61F20CF3"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lastRenderedPageBreak/>
        <w:t>Task 1</w:t>
      </w:r>
    </w:p>
    <w:p w14:paraId="43A9C4D5"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App.college.police.uk. 2017. Communication and media considerations. [online] Available at: &lt;https://www.app.college.police.uk/app-content/major-investigation-and-public-protection/managing-sexual-offenders-and-violent-offenders/communication-and-media-considerations/&gt; [Accessed 10 February 2021].</w:t>
      </w:r>
    </w:p>
    <w:p w14:paraId="62F10428"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App.college.police.uk. 2017. Managing information. [online] Available at: &lt;https://www.app.college.police.uk/app-content/major-investigation-and-public-protection/managing-sexual-offenders-and-violent-offenders/managing-information/#specific-considerations-regarding-tasking-member-of-the-public&gt; [Accessed 10 February 2021].</w:t>
      </w:r>
    </w:p>
    <w:p w14:paraId="53395822"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App.college.police.uk. 2017. Multi- agency public protection arrangements (MAPPA). [online] Available at: https://www.app.college.police.uk/app-content/major-investigation-and-public-protection/managing-sexual-offencders-and-violent-offenders/mappa/ [Accessed 10 February 2021].</w:t>
      </w:r>
    </w:p>
    <w:p w14:paraId="59F6F5E1"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 xml:space="preserve">App.college.police.uk. 2021. Managing sexual offenders and violent offenders. [online] Available at: &lt;https://www.app.college.police.uk/app-content/major-investigation-and-public-protection/managing-sexual-offenders-and-violent-offenders/#protecting-the-public&gt; [Accessed 14 February 2021]. </w:t>
      </w:r>
    </w:p>
    <w:p w14:paraId="7243974C"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610214B"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3D9F643"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Task 2</w:t>
      </w:r>
    </w:p>
    <w:p w14:paraId="6BC95522"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Quinn, B., 2021. Macpherson report: what was it and what impact did it have?. [online] the Guardian. Available at: &lt;https://www.google.co.uk/amp/s/amp.theguardian.com/uk-news/2019/feb/22/macpherson-report-what-was-it-and-what-impact-did-it-have&gt; [Accessed 13 February 2021].</w:t>
      </w:r>
    </w:p>
    <w:p w14:paraId="25D3EFAA"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BBC News. 2021. What has really happened since Macpherson's report. [online] Available at: &lt;https://www.google.co.uk/amp/s/www.bbc.co.uk/news/amp/uk-47300343&gt; [Accessed 13 February 2021].</w:t>
      </w:r>
    </w:p>
    <w:p w14:paraId="4E9E1F67"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BBC News. 2021. What has really happened since Macpherson's report. [online] Available at: &lt;https://www.google.co.uk/amp/s/www.bbc.co.uk/news/amp/uk-47300343&gt; [Accessed 13 February 2021].</w:t>
      </w:r>
    </w:p>
    <w:p w14:paraId="232799AC"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Policeconduct.gov.uk. 2021. What we investigate and next steps | Independent Office for Police Conduct. [online] Available at: &lt;https://policeconduct.gov.uk/investigations/what-we-investigate-and-next-steps&gt; [Accessed 11 February 2021].</w:t>
      </w:r>
    </w:p>
    <w:p w14:paraId="413F1A80"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Publications.parliament.uk. 2021. [online] Available at: &lt;https://publications.parliament.uk/pa/cm200809/cmselect/cmhaff/427/427.pdf&gt; [Accessed 13 February 2021].</w:t>
      </w:r>
    </w:p>
    <w:p w14:paraId="2CE87120"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Quinn, B., 2021. Macpherson report: what was it and what impact did it have?. [online] the Guardian. Available at: &lt;https://www.google.co.uk/amp/s/amp.theguardian.com/uk-news/2019/feb/22/macpherson-report-what-was-it-and-what-impact-did-it-have&gt; [Accessed 13 February 2021].</w:t>
      </w:r>
    </w:p>
    <w:p w14:paraId="6C489D2F"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38C2F5A2"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Task 3</w:t>
      </w:r>
    </w:p>
    <w:p w14:paraId="2A560E83"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lastRenderedPageBreak/>
        <w:t>NSPCC. 2021. Criminal exploitation and gangs. [online] Available at: &lt;https://www.nspcc.org.uk/what-is-child-abuse/types-of-abuse/gangs-criminal-exploitation/&gt; [Accessed 13 February 2021].</w:t>
      </w:r>
    </w:p>
    <w:p w14:paraId="42777615"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7BF9C9D5"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College.police.uk. 2021. Vulnerability | College of Policing. [online] Available at: &lt;https://www.college.police.uk/What-we-do/Development/Vulnerability/Pages/Vulnerability.aspx&gt; [Accessed 13 February 2021].</w:t>
      </w:r>
    </w:p>
    <w:p w14:paraId="38C0F826"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DFCA8BD"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 xml:space="preserve">Task 4 </w:t>
      </w:r>
    </w:p>
    <w:p w14:paraId="40E239D2"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College.police.uk. 2021. Definition of neighbourhood policing | College of Policing. [online] Available at: &lt;https://www.college.police.uk/What-we-do/Standards/Guidelines/Neighbourhood-Policing/Pages/definition-of-neighbourhood-policing.aspx&gt; [Accessed 12 February 2021].</w:t>
      </w:r>
    </w:p>
    <w:p w14:paraId="41D0FAFD"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College.police.uk. 2021. Engaging communities | College of Policing. [online] Available at: &lt;https://www.college.police.uk/What-we-do/Standards/Guidelines/Neighbourhood-Policing/Pages/engaging-communities.aspx&gt; [Accessed 14 February 2021].</w:t>
      </w:r>
    </w:p>
    <w:p w14:paraId="0939A39D"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College.police.uk. 2021. Equality and diversity | College of Policing. [online] Available at: &lt;https://www.college.police.uk/What-we-do/Support/Equality&gt; [Accessed 12 February 2021].</w:t>
      </w:r>
    </w:p>
    <w:p w14:paraId="03468080"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College.police.uk. 2021. Promoting the right culture | College of Policing. [online] Available at: &lt;https://www.college.police.uk/What-we-do/Standards/Guidelines/Neighbourhood-Policing/Pages/promoting-the-right-culture.aspx&gt; [Accessed 12 February 2021].</w:t>
      </w:r>
    </w:p>
    <w:p w14:paraId="42BC6666" w14:textId="77777777" w:rsidR="000C4F17" w:rsidRPr="000C4F17"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College.police.uk. 2021. Promoting the right culture | College of Policing. [online] Available at: &lt;https://www.college.police.uk/What-we-do/Standards/Guidelines/Neighbourhood-Policing/Pages/promoting-the-right-culture.aspx&gt; [Accessed 12 February 2021].</w:t>
      </w:r>
    </w:p>
    <w:p w14:paraId="024506D1" w14:textId="50B11DDD" w:rsidR="000C4F17" w:rsidRPr="003123FD" w:rsidRDefault="000C4F17" w:rsidP="000C4F17">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0C4F17">
        <w:rPr>
          <w:rFonts w:ascii="Arial" w:eastAsia="Times New Roman" w:hAnsi="Arial" w:cs="Arial"/>
          <w:lang w:eastAsia="en-GB"/>
        </w:rPr>
        <w:t>Southwalescommissioner.org.uk. 2021. Encouraging Diversity into South Wales Police. [online] Available at: &lt;https://www.southwalescommissioner.org.uk/en/our-work/equality-inclusion/encouraging-diversity-into-south-wales-police/&gt; [Accessed 12 February 2021].</w:t>
      </w:r>
    </w:p>
    <w:p w14:paraId="005B09A5" w14:textId="46A7B753" w:rsidR="003123FD" w:rsidRPr="00F43C4D" w:rsidRDefault="003123FD"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B4505FB">
      <w:pPr>
        <w:spacing w:after="0" w:line="240" w:lineRule="auto"/>
        <w:rPr>
          <w:rFonts w:ascii="Arial" w:eastAsia="Times New Roman" w:hAnsi="Arial" w:cs="Arial"/>
          <w:b/>
          <w:bCs/>
          <w:sz w:val="24"/>
          <w:szCs w:val="24"/>
          <w:lang w:eastAsia="en-GB"/>
        </w:rPr>
      </w:pPr>
    </w:p>
    <w:p w14:paraId="491818D8" w14:textId="7DBEE5E6" w:rsidR="0B4505FB" w:rsidRDefault="0B4505FB"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w:t>
      </w:r>
      <w:r w:rsidRPr="00876921">
        <w:rPr>
          <w:rFonts w:ascii="Arial" w:eastAsia="Times New Roman" w:hAnsi="Arial" w:cs="Arial"/>
          <w:sz w:val="24"/>
          <w:szCs w:val="24"/>
          <w:lang w:eastAsia="en-GB"/>
        </w:rPr>
        <w:lastRenderedPageBreak/>
        <w:t>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0C4F17">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0C4F17">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0C4F17">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0C4F17">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DE2D5D" w:rsidRDefault="00AD68C8">
      <w:pPr>
        <w:spacing w:after="0" w:line="240" w:lineRule="auto"/>
      </w:pPr>
      <w:r>
        <w:separator/>
      </w:r>
    </w:p>
  </w:endnote>
  <w:endnote w:type="continuationSeparator" w:id="0">
    <w:p w14:paraId="0D55CABB" w14:textId="77777777" w:rsidR="00DE2D5D" w:rsidRDefault="00AD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0265CE" w14:textId="78767D27" w:rsidR="000C4F17" w:rsidRDefault="00543953" w:rsidP="00543953">
    <w:pPr>
      <w:pStyle w:val="Footer"/>
      <w:rPr>
        <w:color w:val="000000"/>
        <w:sz w:val="17"/>
      </w:rPr>
    </w:pPr>
    <w:bookmarkStart w:id="3" w:name="TITUS1FooterEvenPages"/>
    <w:r>
      <w:rPr>
        <w:color w:val="000000"/>
        <w:sz w:val="17"/>
      </w:rPr>
      <w:t> </w:t>
    </w:r>
  </w:p>
  <w:bookmarkEnd w:id="3"/>
  <w:p w14:paraId="66201B9E" w14:textId="4446892B" w:rsidR="000C4F17" w:rsidRDefault="000C4F17" w:rsidP="000C4F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395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3953">
      <w:rPr>
        <w:b/>
        <w:noProof/>
      </w:rPr>
      <w:t>20</w:t>
    </w:r>
    <w:r>
      <w:rPr>
        <w:b/>
        <w:sz w:val="24"/>
        <w:szCs w:val="24"/>
      </w:rPr>
      <w:fldChar w:fldCharType="end"/>
    </w:r>
  </w:p>
  <w:p w14:paraId="78D0576F" w14:textId="77777777" w:rsidR="000C4F17" w:rsidRDefault="000C4F17" w:rsidP="000C4F17">
    <w:pPr>
      <w:pStyle w:val="Footer"/>
      <w:jc w:val="right"/>
      <w:rPr>
        <w:sz w:val="16"/>
      </w:rPr>
    </w:pPr>
  </w:p>
  <w:p w14:paraId="091CA570" w14:textId="77777777" w:rsidR="000C4F17" w:rsidRDefault="000C4F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9CF0EE" w14:textId="1458FEC9" w:rsidR="000C4F17" w:rsidRDefault="00543953" w:rsidP="00543953">
    <w:pPr>
      <w:pStyle w:val="Footer"/>
      <w:rPr>
        <w:color w:val="000000"/>
        <w:sz w:val="17"/>
      </w:rPr>
    </w:pPr>
    <w:bookmarkStart w:id="4" w:name="TITUS1FooterPrimary"/>
    <w:r>
      <w:rPr>
        <w:color w:val="000000"/>
        <w:sz w:val="17"/>
      </w:rPr>
      <w:t> </w:t>
    </w:r>
  </w:p>
  <w:bookmarkEnd w:id="4"/>
  <w:p w14:paraId="74CEE6CC" w14:textId="7D77C846"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395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3953">
      <w:rPr>
        <w:b/>
        <w:noProof/>
      </w:rPr>
      <w:t>20</w:t>
    </w:r>
    <w:r>
      <w:rPr>
        <w:b/>
        <w:sz w:val="24"/>
        <w:szCs w:val="24"/>
      </w:rPr>
      <w:fldChar w:fldCharType="end"/>
    </w:r>
  </w:p>
  <w:p w14:paraId="40790BA2" w14:textId="77777777" w:rsidR="00152E9D" w:rsidRDefault="0054395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E34B2" w14:textId="42E258EE" w:rsidR="000C4F17" w:rsidRDefault="00543953" w:rsidP="00543953">
    <w:pPr>
      <w:pStyle w:val="Footer"/>
      <w:rPr>
        <w:color w:val="000000"/>
        <w:sz w:val="17"/>
      </w:rPr>
    </w:pPr>
    <w:bookmarkStart w:id="6" w:name="TITUS1FooterFirstPage"/>
    <w:r>
      <w:rPr>
        <w:color w:val="000000"/>
        <w:sz w:val="17"/>
      </w:rPr>
      <w:t> </w:t>
    </w:r>
  </w:p>
  <w:bookmarkEnd w:id="6"/>
  <w:p w14:paraId="650F6C69" w14:textId="1844D4B7" w:rsidR="000C4F17" w:rsidRDefault="000C4F17" w:rsidP="000C4F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395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3953">
      <w:rPr>
        <w:b/>
        <w:noProof/>
      </w:rPr>
      <w:t>20</w:t>
    </w:r>
    <w:r>
      <w:rPr>
        <w:b/>
        <w:sz w:val="24"/>
        <w:szCs w:val="24"/>
      </w:rPr>
      <w:fldChar w:fldCharType="end"/>
    </w:r>
  </w:p>
  <w:p w14:paraId="1BBEF3EE" w14:textId="77777777" w:rsidR="000C4F17" w:rsidRDefault="000C4F17" w:rsidP="000C4F17">
    <w:pPr>
      <w:pStyle w:val="Footer"/>
      <w:jc w:val="right"/>
      <w:rPr>
        <w:sz w:val="16"/>
      </w:rPr>
    </w:pPr>
  </w:p>
  <w:p w14:paraId="12D36A29" w14:textId="77777777" w:rsidR="000C4F17" w:rsidRDefault="000C4F1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A79D3" w14:textId="0D287C88" w:rsidR="000C4F17" w:rsidRDefault="00543953" w:rsidP="00543953">
    <w:pPr>
      <w:pStyle w:val="Footer"/>
      <w:rPr>
        <w:color w:val="000000"/>
        <w:sz w:val="17"/>
      </w:rPr>
    </w:pPr>
    <w:bookmarkStart w:id="9" w:name="TITUS2FooterEvenPages"/>
    <w:r>
      <w:rPr>
        <w:color w:val="000000"/>
        <w:sz w:val="17"/>
      </w:rPr>
      <w:t> </w:t>
    </w:r>
  </w:p>
  <w:bookmarkEnd w:id="9"/>
  <w:p w14:paraId="0311FEA0" w14:textId="77777777" w:rsidR="000C4F17" w:rsidRDefault="000C4F17" w:rsidP="000C4F17">
    <w:pPr>
      <w:pStyle w:val="Footer"/>
      <w:jc w:val="center"/>
    </w:pPr>
  </w:p>
  <w:p w14:paraId="5A807C40" w14:textId="77777777" w:rsidR="000C4F17" w:rsidRDefault="000C4F17" w:rsidP="000C4F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0E2B92F9" w14:textId="77777777" w:rsidR="000C4F17" w:rsidRDefault="000C4F17" w:rsidP="000C4F17">
    <w:pPr>
      <w:pStyle w:val="Footer"/>
      <w:jc w:val="right"/>
      <w:rPr>
        <w:sz w:val="16"/>
      </w:rPr>
    </w:pPr>
  </w:p>
  <w:p w14:paraId="38B20744" w14:textId="77777777" w:rsidR="000C4F17" w:rsidRDefault="000C4F1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321245D2" w:rsidR="00152E9D" w:rsidRDefault="00543953" w:rsidP="00543953">
    <w:pPr>
      <w:pStyle w:val="Footer"/>
      <w:rPr>
        <w:color w:val="000000"/>
        <w:sz w:val="17"/>
      </w:rPr>
    </w:pPr>
    <w:bookmarkStart w:id="10" w:name="TITUS2FooterPrimary"/>
    <w:r>
      <w:rPr>
        <w:color w:val="000000"/>
        <w:sz w:val="17"/>
      </w:rPr>
      <w:t> </w:t>
    </w:r>
  </w:p>
  <w:bookmarkEnd w:id="10"/>
  <w:p w14:paraId="03F428BF" w14:textId="77777777" w:rsidR="000C4F17" w:rsidRDefault="000C4F17">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A90F8" w14:textId="36DF50F1" w:rsidR="000C4F17" w:rsidRDefault="00543953" w:rsidP="00543953">
    <w:pPr>
      <w:pStyle w:val="Footer"/>
      <w:rPr>
        <w:color w:val="000000"/>
        <w:sz w:val="17"/>
      </w:rPr>
    </w:pPr>
    <w:bookmarkStart w:id="12" w:name="TITUS2FooterFirstPage"/>
    <w:r>
      <w:rPr>
        <w:color w:val="000000"/>
        <w:sz w:val="17"/>
      </w:rPr>
      <w:t> </w:t>
    </w:r>
  </w:p>
  <w:bookmarkEnd w:id="12"/>
  <w:p w14:paraId="1CF36AD0" w14:textId="77777777" w:rsidR="000C4F17" w:rsidRDefault="000C4F1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D0673B" w14:textId="2AC1D74A" w:rsidR="000C4F17" w:rsidRDefault="00543953" w:rsidP="00543953">
    <w:pPr>
      <w:pStyle w:val="Footer"/>
      <w:rPr>
        <w:color w:val="000000"/>
        <w:sz w:val="17"/>
      </w:rPr>
    </w:pPr>
    <w:bookmarkStart w:id="15" w:name="TITUS3FooterEvenPages"/>
    <w:r>
      <w:rPr>
        <w:color w:val="000000"/>
        <w:sz w:val="17"/>
      </w:rPr>
      <w:t> </w:t>
    </w:r>
  </w:p>
  <w:bookmarkEnd w:id="15"/>
  <w:p w14:paraId="2CCC58E7" w14:textId="77777777" w:rsidR="000C4F17" w:rsidRDefault="000C4F17" w:rsidP="000C4F17">
    <w:pPr>
      <w:pStyle w:val="Footer"/>
      <w:jc w:val="center"/>
    </w:pPr>
  </w:p>
  <w:p w14:paraId="4F152184" w14:textId="77777777" w:rsidR="000C4F17" w:rsidRDefault="000C4F17" w:rsidP="000C4F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78B3B20C" w14:textId="77777777" w:rsidR="000C4F17" w:rsidRDefault="000C4F17" w:rsidP="000C4F17">
    <w:pPr>
      <w:pStyle w:val="Footer"/>
      <w:jc w:val="right"/>
      <w:rPr>
        <w:sz w:val="16"/>
      </w:rPr>
    </w:pPr>
  </w:p>
  <w:p w14:paraId="20C2622F" w14:textId="77777777" w:rsidR="000C4F17" w:rsidRDefault="000C4F1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D6D40" w14:textId="5B925884" w:rsidR="000C4F17" w:rsidRDefault="00543953" w:rsidP="00543953">
    <w:pPr>
      <w:pStyle w:val="Footer"/>
      <w:rPr>
        <w:color w:val="000000"/>
        <w:sz w:val="17"/>
      </w:rPr>
    </w:pPr>
    <w:bookmarkStart w:id="16" w:name="TITUS3FooterPrimary"/>
    <w:r>
      <w:rPr>
        <w:color w:val="000000"/>
        <w:sz w:val="17"/>
      </w:rPr>
      <w:t> </w:t>
    </w:r>
  </w:p>
  <w:bookmarkEnd w:id="16"/>
  <w:p w14:paraId="660F88EA" w14:textId="77777777" w:rsidR="000C4F17" w:rsidRDefault="000C4F17">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E194A" w14:textId="64AE6C40" w:rsidR="000C4F17" w:rsidRDefault="00543953" w:rsidP="00543953">
    <w:pPr>
      <w:pStyle w:val="Footer"/>
      <w:rPr>
        <w:color w:val="000000"/>
        <w:sz w:val="17"/>
      </w:rPr>
    </w:pPr>
    <w:bookmarkStart w:id="18" w:name="TITUS3FooterFirstPage"/>
    <w:r>
      <w:rPr>
        <w:color w:val="000000"/>
        <w:sz w:val="17"/>
      </w:rPr>
      <w:t> </w:t>
    </w:r>
  </w:p>
  <w:bookmarkEnd w:id="18"/>
  <w:p w14:paraId="35BDD6B4" w14:textId="77777777" w:rsidR="000C4F17" w:rsidRDefault="000C4F17" w:rsidP="000C4F17">
    <w:pPr>
      <w:pStyle w:val="Footer"/>
      <w:jc w:val="right"/>
      <w:rPr>
        <w:sz w:val="16"/>
      </w:rPr>
    </w:pPr>
  </w:p>
  <w:p w14:paraId="6A6FE1EC" w14:textId="77777777" w:rsidR="000C4F17" w:rsidRDefault="000C4F1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5B4D8" w14:textId="1F69A36E" w:rsidR="000C4F17" w:rsidRDefault="00543953" w:rsidP="00543953">
    <w:pPr>
      <w:pStyle w:val="Footer"/>
      <w:rPr>
        <w:color w:val="000000"/>
        <w:sz w:val="17"/>
      </w:rPr>
    </w:pPr>
    <w:bookmarkStart w:id="21" w:name="TITUS4FooterEvenPages"/>
    <w:r>
      <w:rPr>
        <w:color w:val="000000"/>
        <w:sz w:val="17"/>
      </w:rPr>
      <w:t> </w:t>
    </w:r>
  </w:p>
  <w:bookmarkEnd w:id="21"/>
  <w:p w14:paraId="5514486E" w14:textId="77777777" w:rsidR="000C4F17" w:rsidRDefault="000C4F17" w:rsidP="000C4F17">
    <w:pPr>
      <w:pStyle w:val="Footer"/>
      <w:jc w:val="center"/>
    </w:pPr>
  </w:p>
  <w:p w14:paraId="42B79AA9" w14:textId="77777777" w:rsidR="000C4F17" w:rsidRDefault="000C4F17" w:rsidP="000C4F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18B5259B" w14:textId="77777777" w:rsidR="000C4F17" w:rsidRDefault="000C4F17" w:rsidP="000C4F17">
    <w:pPr>
      <w:pStyle w:val="Footer"/>
      <w:jc w:val="right"/>
      <w:rPr>
        <w:sz w:val="16"/>
      </w:rPr>
    </w:pPr>
  </w:p>
  <w:p w14:paraId="78706779" w14:textId="77777777" w:rsidR="000C4F17" w:rsidRDefault="000C4F1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579A5" w14:textId="01C82CC4" w:rsidR="000C4F17" w:rsidRDefault="00543953" w:rsidP="00543953">
    <w:pPr>
      <w:pStyle w:val="Footer"/>
      <w:rPr>
        <w:color w:val="000000"/>
        <w:sz w:val="17"/>
      </w:rPr>
    </w:pPr>
    <w:bookmarkStart w:id="22" w:name="TITUS4FooterPrimary"/>
    <w:r>
      <w:rPr>
        <w:color w:val="000000"/>
        <w:sz w:val="17"/>
      </w:rPr>
      <w:t> </w:t>
    </w:r>
  </w:p>
  <w:bookmarkEnd w:id="22"/>
  <w:p w14:paraId="5BA0C2B9" w14:textId="77777777" w:rsidR="000C4F17" w:rsidRDefault="000C4F17">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7B641" w14:textId="037CA544" w:rsidR="000C4F17" w:rsidRDefault="00543953" w:rsidP="00543953">
    <w:pPr>
      <w:pStyle w:val="Footer"/>
      <w:rPr>
        <w:color w:val="000000"/>
        <w:sz w:val="17"/>
      </w:rPr>
    </w:pPr>
    <w:bookmarkStart w:id="24" w:name="TITUS4FooterFirstPage"/>
    <w:r>
      <w:rPr>
        <w:color w:val="000000"/>
        <w:sz w:val="17"/>
      </w:rPr>
      <w:t> </w:t>
    </w:r>
  </w:p>
  <w:bookmarkEnd w:id="24"/>
  <w:p w14:paraId="4D3296E5" w14:textId="77777777" w:rsidR="000C4F17" w:rsidRDefault="000C4F17" w:rsidP="000C4F17">
    <w:pPr>
      <w:pStyle w:val="Footer"/>
      <w:jc w:val="right"/>
      <w:rPr>
        <w:sz w:val="16"/>
      </w:rPr>
    </w:pPr>
  </w:p>
  <w:p w14:paraId="13A3F9D7" w14:textId="77777777" w:rsidR="000C4F17" w:rsidRDefault="000C4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DE2D5D" w:rsidRDefault="00AD68C8">
      <w:pPr>
        <w:spacing w:after="0" w:line="240" w:lineRule="auto"/>
      </w:pPr>
      <w:r>
        <w:separator/>
      </w:r>
    </w:p>
  </w:footnote>
  <w:footnote w:type="continuationSeparator" w:id="0">
    <w:p w14:paraId="68E41288" w14:textId="77777777" w:rsidR="00DE2D5D" w:rsidRDefault="00AD68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B49AF" w14:textId="01C58157" w:rsidR="00543953" w:rsidRDefault="00543953" w:rsidP="00543953">
    <w:pPr>
      <w:pStyle w:val="Header"/>
      <w:rPr>
        <w:color w:val="000000"/>
        <w:sz w:val="17"/>
      </w:rPr>
    </w:pPr>
    <w:bookmarkStart w:id="1" w:name="TITUS1HeaderEvenPages"/>
    <w:r w:rsidRPr="00543953">
      <w:rPr>
        <w:color w:val="000000"/>
        <w:sz w:val="17"/>
      </w:rPr>
      <w:t> </w:t>
    </w:r>
  </w:p>
  <w:bookmarkEnd w:id="1"/>
  <w:p w14:paraId="6FDE8BFD" w14:textId="77777777" w:rsidR="00543953" w:rsidRDefault="00543953" w:rsidP="00543953">
    <w:pPr>
      <w:pStyle w:val="Header"/>
    </w:pPr>
  </w:p>
  <w:p w14:paraId="7E481BBF" w14:textId="77777777" w:rsidR="000C4F17" w:rsidRDefault="000C4F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2974E" w14:textId="7BB27E89" w:rsidR="000C4F17" w:rsidRDefault="00543953" w:rsidP="00543953">
    <w:pPr>
      <w:pStyle w:val="Header"/>
      <w:rPr>
        <w:color w:val="000000"/>
        <w:sz w:val="17"/>
      </w:rPr>
    </w:pPr>
    <w:bookmarkStart w:id="2" w:name="TITUS1HeaderPrimary"/>
    <w:r>
      <w:rPr>
        <w:color w:val="000000"/>
        <w:sz w:val="17"/>
      </w:rPr>
      <w:t> </w:t>
    </w:r>
  </w:p>
  <w:bookmarkEnd w:id="2"/>
  <w:p w14:paraId="65733202" w14:textId="77777777" w:rsidR="000C4F17" w:rsidRDefault="000C4F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6EA237" w14:textId="54999988" w:rsidR="000C4F17" w:rsidRDefault="00543953" w:rsidP="00543953">
    <w:pPr>
      <w:pStyle w:val="Header"/>
      <w:rPr>
        <w:color w:val="000000"/>
        <w:sz w:val="17"/>
      </w:rPr>
    </w:pPr>
    <w:bookmarkStart w:id="5" w:name="TITUS1HeaderFirstPage"/>
    <w:r>
      <w:rPr>
        <w:color w:val="000000"/>
        <w:sz w:val="17"/>
      </w:rPr>
      <w:t> </w:t>
    </w:r>
  </w:p>
  <w:bookmarkEnd w:id="5"/>
  <w:p w14:paraId="3998AF4A" w14:textId="77777777" w:rsidR="000C4F17" w:rsidRDefault="000C4F1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24BBA" w14:textId="7D68121A" w:rsidR="000C4F17" w:rsidRDefault="00543953" w:rsidP="00543953">
    <w:pPr>
      <w:pStyle w:val="Header"/>
      <w:rPr>
        <w:color w:val="000000"/>
        <w:sz w:val="17"/>
      </w:rPr>
    </w:pPr>
    <w:bookmarkStart w:id="7" w:name="TITUS2HeaderEvenPages"/>
    <w:r>
      <w:rPr>
        <w:color w:val="000000"/>
        <w:sz w:val="17"/>
      </w:rPr>
      <w:t> </w:t>
    </w:r>
  </w:p>
  <w:bookmarkEnd w:id="7"/>
  <w:p w14:paraId="2184992F" w14:textId="77777777" w:rsidR="000C4F17" w:rsidRDefault="000C4F17" w:rsidP="000C4F17">
    <w:pPr>
      <w:pStyle w:val="Header"/>
    </w:pPr>
  </w:p>
  <w:p w14:paraId="46361A7D" w14:textId="77777777" w:rsidR="000C4F17" w:rsidRDefault="000C4F1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D0885" w14:textId="6A675A07" w:rsidR="000C4F17" w:rsidRDefault="00543953" w:rsidP="00543953">
    <w:pPr>
      <w:pStyle w:val="Header"/>
      <w:rPr>
        <w:color w:val="000000"/>
        <w:sz w:val="17"/>
      </w:rPr>
    </w:pPr>
    <w:bookmarkStart w:id="8" w:name="TITUS2HeaderPrimary"/>
    <w:r>
      <w:rPr>
        <w:color w:val="000000"/>
        <w:sz w:val="17"/>
      </w:rPr>
      <w:t> </w:t>
    </w:r>
  </w:p>
  <w:bookmarkEnd w:id="8"/>
  <w:p w14:paraId="27053A55" w14:textId="77777777" w:rsidR="000C4F17" w:rsidRDefault="000C4F1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ECA445" w14:textId="2E5A6464" w:rsidR="000C4F17" w:rsidRDefault="00543953" w:rsidP="00543953">
    <w:pPr>
      <w:pStyle w:val="Header"/>
      <w:rPr>
        <w:color w:val="000000"/>
        <w:sz w:val="17"/>
      </w:rPr>
    </w:pPr>
    <w:bookmarkStart w:id="11" w:name="TITUS2HeaderFirstPage"/>
    <w:r>
      <w:rPr>
        <w:color w:val="000000"/>
        <w:sz w:val="17"/>
      </w:rPr>
      <w:t> </w:t>
    </w:r>
  </w:p>
  <w:bookmarkEnd w:id="11"/>
  <w:p w14:paraId="3EA1223A" w14:textId="77777777" w:rsidR="000C4F17" w:rsidRDefault="000C4F17" w:rsidP="000C4F17">
    <w:pPr>
      <w:pStyle w:val="Header"/>
    </w:pPr>
  </w:p>
  <w:p w14:paraId="01B7D409" w14:textId="77777777" w:rsidR="000C4F17" w:rsidRDefault="000C4F1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1903B5" w14:textId="5D50539E" w:rsidR="000C4F17" w:rsidRDefault="00543953" w:rsidP="00543953">
    <w:pPr>
      <w:pStyle w:val="Header"/>
      <w:rPr>
        <w:color w:val="000000"/>
        <w:sz w:val="17"/>
      </w:rPr>
    </w:pPr>
    <w:bookmarkStart w:id="13" w:name="TITUS3HeaderEvenPages"/>
    <w:r>
      <w:rPr>
        <w:color w:val="000000"/>
        <w:sz w:val="17"/>
      </w:rPr>
      <w:t> </w:t>
    </w:r>
  </w:p>
  <w:bookmarkEnd w:id="13"/>
  <w:p w14:paraId="3AAE518C" w14:textId="77777777" w:rsidR="000C4F17" w:rsidRDefault="000C4F17" w:rsidP="000C4F17">
    <w:pPr>
      <w:pStyle w:val="Header"/>
    </w:pPr>
  </w:p>
  <w:p w14:paraId="00B02BF2" w14:textId="77777777" w:rsidR="000C4F17" w:rsidRDefault="000C4F1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B18F51" w14:textId="043A0F6F" w:rsidR="000C4F17" w:rsidRDefault="00543953" w:rsidP="00543953">
    <w:pPr>
      <w:pStyle w:val="Header"/>
      <w:rPr>
        <w:color w:val="000000"/>
        <w:sz w:val="17"/>
      </w:rPr>
    </w:pPr>
    <w:bookmarkStart w:id="14" w:name="TITUS3HeaderPrimary"/>
    <w:r>
      <w:rPr>
        <w:color w:val="000000"/>
        <w:sz w:val="17"/>
      </w:rPr>
      <w:t> </w:t>
    </w:r>
  </w:p>
  <w:bookmarkEnd w:id="14"/>
  <w:p w14:paraId="3A4FB534" w14:textId="77777777" w:rsidR="000C4F17" w:rsidRDefault="000C4F1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00BD80" w14:textId="5B7B472E" w:rsidR="000C4F17" w:rsidRDefault="00543953" w:rsidP="00543953">
    <w:pPr>
      <w:pStyle w:val="Header"/>
      <w:rPr>
        <w:color w:val="000000"/>
        <w:sz w:val="17"/>
      </w:rPr>
    </w:pPr>
    <w:bookmarkStart w:id="17" w:name="TITUS3HeaderFirstPage"/>
    <w:r>
      <w:rPr>
        <w:color w:val="000000"/>
        <w:sz w:val="17"/>
      </w:rPr>
      <w:t> </w:t>
    </w:r>
  </w:p>
  <w:bookmarkEnd w:id="17"/>
  <w:p w14:paraId="2F328619" w14:textId="77777777" w:rsidR="000C4F17" w:rsidRDefault="000C4F17" w:rsidP="000C4F17">
    <w:pPr>
      <w:pStyle w:val="Header"/>
    </w:pPr>
  </w:p>
  <w:p w14:paraId="18B1D519" w14:textId="77777777" w:rsidR="000C4F17" w:rsidRDefault="000C4F1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30C3D" w14:textId="1636848D" w:rsidR="000C4F17" w:rsidRDefault="00543953" w:rsidP="00543953">
    <w:pPr>
      <w:pStyle w:val="Header"/>
      <w:rPr>
        <w:color w:val="000000"/>
        <w:sz w:val="17"/>
      </w:rPr>
    </w:pPr>
    <w:bookmarkStart w:id="19" w:name="TITUS4HeaderEvenPages"/>
    <w:r>
      <w:rPr>
        <w:color w:val="000000"/>
        <w:sz w:val="17"/>
      </w:rPr>
      <w:t> </w:t>
    </w:r>
  </w:p>
  <w:bookmarkEnd w:id="19"/>
  <w:p w14:paraId="78E85927" w14:textId="77777777" w:rsidR="000C4F17" w:rsidRDefault="000C4F17" w:rsidP="000C4F17">
    <w:pPr>
      <w:pStyle w:val="Header"/>
    </w:pPr>
  </w:p>
  <w:p w14:paraId="5499526E" w14:textId="77777777" w:rsidR="000C4F17" w:rsidRDefault="000C4F1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77735" w14:textId="11FE8722" w:rsidR="000C4F17" w:rsidRDefault="00543953" w:rsidP="00543953">
    <w:pPr>
      <w:pStyle w:val="Header"/>
      <w:rPr>
        <w:color w:val="000000"/>
        <w:sz w:val="17"/>
      </w:rPr>
    </w:pPr>
    <w:bookmarkStart w:id="20" w:name="TITUS4HeaderPrimary"/>
    <w:r>
      <w:rPr>
        <w:color w:val="000000"/>
        <w:sz w:val="17"/>
      </w:rPr>
      <w:t> </w:t>
    </w:r>
  </w:p>
  <w:bookmarkEnd w:id="20"/>
  <w:p w14:paraId="55722E4F" w14:textId="77777777" w:rsidR="000C4F17" w:rsidRDefault="000C4F1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6EF24" w14:textId="4E3747E9" w:rsidR="000C4F17" w:rsidRDefault="00543953" w:rsidP="00543953">
    <w:pPr>
      <w:pStyle w:val="Header"/>
      <w:rPr>
        <w:color w:val="000000"/>
        <w:sz w:val="17"/>
      </w:rPr>
    </w:pPr>
    <w:bookmarkStart w:id="23" w:name="TITUS4HeaderFirstPage"/>
    <w:r>
      <w:rPr>
        <w:color w:val="000000"/>
        <w:sz w:val="17"/>
      </w:rPr>
      <w:t> </w:t>
    </w:r>
  </w:p>
  <w:bookmarkEnd w:id="23"/>
  <w:p w14:paraId="1D42FA88" w14:textId="77777777" w:rsidR="000C4F17" w:rsidRDefault="000C4F17" w:rsidP="000C4F17">
    <w:pPr>
      <w:pStyle w:val="Header"/>
    </w:pPr>
  </w:p>
  <w:p w14:paraId="19DA20A6" w14:textId="77777777" w:rsidR="000C4F17" w:rsidRDefault="000C4F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C4F17"/>
    <w:rsid w:val="00157265"/>
    <w:rsid w:val="001572C1"/>
    <w:rsid w:val="00180632"/>
    <w:rsid w:val="002161A0"/>
    <w:rsid w:val="002C3B45"/>
    <w:rsid w:val="002C458D"/>
    <w:rsid w:val="002F3C23"/>
    <w:rsid w:val="002F76B0"/>
    <w:rsid w:val="003123FD"/>
    <w:rsid w:val="00355B6A"/>
    <w:rsid w:val="00461E0B"/>
    <w:rsid w:val="00536896"/>
    <w:rsid w:val="00543953"/>
    <w:rsid w:val="005D6A0C"/>
    <w:rsid w:val="006558CA"/>
    <w:rsid w:val="006A60A5"/>
    <w:rsid w:val="006E22FC"/>
    <w:rsid w:val="007029F2"/>
    <w:rsid w:val="007162C5"/>
    <w:rsid w:val="00763CB3"/>
    <w:rsid w:val="00795C11"/>
    <w:rsid w:val="007C06EC"/>
    <w:rsid w:val="008035CF"/>
    <w:rsid w:val="00810ADD"/>
    <w:rsid w:val="00846F01"/>
    <w:rsid w:val="00881959"/>
    <w:rsid w:val="009E2D96"/>
    <w:rsid w:val="00AD68C8"/>
    <w:rsid w:val="00BB18E4"/>
    <w:rsid w:val="00BE5412"/>
    <w:rsid w:val="00BF4C98"/>
    <w:rsid w:val="00BF5574"/>
    <w:rsid w:val="00CF7B26"/>
    <w:rsid w:val="00DB65E1"/>
    <w:rsid w:val="00DE2D5D"/>
    <w:rsid w:val="00E36969"/>
    <w:rsid w:val="00E57026"/>
    <w:rsid w:val="00EF24FE"/>
    <w:rsid w:val="00F43C4D"/>
    <w:rsid w:val="00F84916"/>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0C4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20</Pages>
  <Words>8344</Words>
  <Characters>47564</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Lewis,Awen swp6560</cp:lastModifiedBy>
  <cp:revision>4</cp:revision>
  <cp:lastPrinted>2020-03-18T12:27:00Z</cp:lastPrinted>
  <dcterms:created xsi:type="dcterms:W3CDTF">2021-02-14T10:53:00Z</dcterms:created>
  <dcterms:modified xsi:type="dcterms:W3CDTF">2021-02-14T11:32:00Z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b9d2a854-6227-4d10-8df4-595022885eaa</vt:lpwstr>
  </property>
  <property fmtid="{D5CDD505-2E9C-101B-9397-08002B2CF9AE}" pid="4" name="Classification">
    <vt:lpwstr>OFFICIAL</vt:lpwstr>
  </property>
  <property fmtid="{D5CDD505-2E9C-101B-9397-08002B2CF9AE}" pid="5" name="Visibility">
    <vt:lpwstr>NOT VISIBLE</vt:lpwstr>
  </property>
</Properties>
</file>