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73CF0F" w14:textId="77777777" w:rsidR="00A3555B" w:rsidRDefault="00A3555B" w:rsidP="00A3555B">
      <w:r>
        <w:t>Section 2: Share Price Performance Analysis of Snapchat</w:t>
      </w:r>
    </w:p>
    <w:p w14:paraId="1FDB53EF" w14:textId="77777777" w:rsidR="00A3555B" w:rsidRDefault="00A3555B" w:rsidP="00A3555B">
      <w:r>
        <w:t>2.1 Descriptive Statistics and Visual Aids</w:t>
      </w:r>
    </w:p>
    <w:p w14:paraId="3C2FB75D" w14:textId="77777777" w:rsidR="00A3555B" w:rsidRDefault="00A3555B" w:rsidP="00A3555B">
      <w:r>
        <w:t>To analyse Snapchat's share price performance from its Initial Public Offering (IPO) in March 2017 through December 31, 2023, we employ descriptive statistics and visual aids. Key metrics such as the opening price, closing price, highs, lows, and volume traded provide a comprehensive view of the stock's behaviour over time. Graphical representations, including line charts for the share price evolution and bar charts for trading volume, offer intuitive insights into trends, volatility, and investor interest in Snapchat during the specified period.</w:t>
      </w:r>
    </w:p>
    <w:p w14:paraId="0D9A45D4" w14:textId="77777777" w:rsidR="00A3555B" w:rsidRDefault="00A3555B" w:rsidP="00A3555B">
      <w:r>
        <w:t xml:space="preserve"> </w:t>
      </w:r>
    </w:p>
    <w:p w14:paraId="72757DBA" w14:textId="77777777" w:rsidR="00A3555B" w:rsidRDefault="00A3555B" w:rsidP="00A3555B">
      <w:r>
        <w:t>The analysis reveals periods of significant volatility, notably around product launches and earnings reports, reflecting investor sentiment and market reaction to the company's operational performance and strategic decisions. Additionally, comparing Snapchat's share price trend with broader market movements indicates how external factors, such as economic conditions and industry trends, have influenced its stock performance.</w:t>
      </w:r>
    </w:p>
    <w:p w14:paraId="20652CC0" w14:textId="77777777" w:rsidR="00A3555B" w:rsidRDefault="00A3555B" w:rsidP="00A3555B">
      <w:r>
        <w:t xml:space="preserve"> </w:t>
      </w:r>
    </w:p>
    <w:p w14:paraId="6472960B" w14:textId="77777777" w:rsidR="00A3555B" w:rsidRDefault="00A3555B" w:rsidP="00A3555B">
      <w:r>
        <w:t>2.2 CAGR Calculation and Comparison</w:t>
      </w:r>
    </w:p>
    <w:p w14:paraId="1AF30B1A" w14:textId="77777777" w:rsidR="00A3555B" w:rsidRDefault="00A3555B" w:rsidP="00A3555B">
      <w:r>
        <w:t>The Compound Annual Growth Rate (CAGR) is a useful metric to assess the average annual growth rate of an investment over a specified time frame. To calculate Snapchat's CAGR from its IPO to December 31, 2023, the formula used is:</w:t>
      </w:r>
    </w:p>
    <w:p w14:paraId="78FD9585" w14:textId="77777777" w:rsidR="00A3555B" w:rsidRDefault="00A3555B" w:rsidP="00A3555B">
      <w:r>
        <w:t xml:space="preserve"> </w:t>
      </w:r>
    </w:p>
    <w:p w14:paraId="335E0E8C" w14:textId="77777777" w:rsidR="00A3555B" w:rsidRDefault="00A3555B" w:rsidP="00A3555B">
      <w:r>
        <w:t>CAGR= (Ending Value / Beginning Value</w:t>
      </w:r>
      <w:r>
        <w:rPr>
          <w:rFonts w:ascii="Arial" w:hAnsi="Arial" w:cs="Arial"/>
        </w:rPr>
        <w:t>​</w:t>
      </w:r>
      <w:r>
        <w:t>) n1</w:t>
      </w:r>
      <w:r>
        <w:rPr>
          <w:rFonts w:ascii="Arial" w:hAnsi="Arial" w:cs="Arial"/>
        </w:rPr>
        <w:t>​</w:t>
      </w:r>
      <w:r>
        <w:t>−1</w:t>
      </w:r>
    </w:p>
    <w:p w14:paraId="3A60D4AC" w14:textId="77777777" w:rsidR="00A3555B" w:rsidRDefault="00A3555B" w:rsidP="00A3555B">
      <w:r>
        <w:t>where "Ending Value" is the share price on December 31, 2023, "Beginning Value" is the IPO share price, and "n" is the number of years from the IPO to 2023.</w:t>
      </w:r>
    </w:p>
    <w:p w14:paraId="2FCB8CB9" w14:textId="77777777" w:rsidR="00A3555B" w:rsidRDefault="00A3555B" w:rsidP="00A3555B">
      <w:r>
        <w:t xml:space="preserve"> </w:t>
      </w:r>
    </w:p>
    <w:p w14:paraId="2EE25E90" w14:textId="77777777" w:rsidR="00A3555B" w:rsidRDefault="00A3555B" w:rsidP="00A3555B">
      <w:r>
        <w:t>Comparing Snapchat's CAGR with that of a relevant index, such as the NASDAQ or S&amp;P 500, provides context for its performance relative to the broader market. This comparison helps determine whether Snapchat has outperformed, matched, or underperformed the market, taking into consideration the volatility and trends specific to the tech sector and the overall economy.</w:t>
      </w:r>
    </w:p>
    <w:p w14:paraId="3D528D7C" w14:textId="77777777" w:rsidR="00A3555B" w:rsidRDefault="00A3555B" w:rsidP="00A3555B">
      <w:r>
        <w:t xml:space="preserve"> </w:t>
      </w:r>
    </w:p>
    <w:p w14:paraId="230A995A" w14:textId="77777777" w:rsidR="00A3555B" w:rsidRDefault="00A3555B" w:rsidP="00A3555B">
      <w:r>
        <w:t xml:space="preserve">2.3 Sharpe and </w:t>
      </w:r>
      <w:proofErr w:type="spellStart"/>
      <w:r>
        <w:t>Treynor</w:t>
      </w:r>
      <w:proofErr w:type="spellEnd"/>
      <w:r>
        <w:t xml:space="preserve"> Ratios Analysis</w:t>
      </w:r>
    </w:p>
    <w:p w14:paraId="68A9DA39" w14:textId="77777777" w:rsidR="00A3555B" w:rsidRDefault="00A3555B" w:rsidP="00A3555B">
      <w:r>
        <w:t xml:space="preserve">The Sharpe and </w:t>
      </w:r>
      <w:proofErr w:type="spellStart"/>
      <w:r>
        <w:t>Treynor</w:t>
      </w:r>
      <w:proofErr w:type="spellEnd"/>
      <w:r>
        <w:t xml:space="preserve"> ratios are essential for evaluating the risk-adjusted returns of an investment. The Sharpe ratio is calculated as:</w:t>
      </w:r>
    </w:p>
    <w:p w14:paraId="5725B651" w14:textId="77777777" w:rsidR="00A3555B" w:rsidRDefault="00A3555B" w:rsidP="00A3555B">
      <w:r>
        <w:t xml:space="preserve"> </w:t>
      </w:r>
    </w:p>
    <w:p w14:paraId="5CD013B2" w14:textId="77777777" w:rsidR="00A3555B" w:rsidRDefault="00A3555B" w:rsidP="00A3555B">
      <w:r>
        <w:t>Sharpe Ratio = Return of the Portfolio−Risk-Free Rate</w:t>
      </w:r>
      <w:r>
        <w:rPr>
          <w:rFonts w:ascii="Arial" w:hAnsi="Arial" w:cs="Arial"/>
        </w:rPr>
        <w:t>​</w:t>
      </w:r>
    </w:p>
    <w:p w14:paraId="35907E70" w14:textId="77777777" w:rsidR="00A3555B" w:rsidRDefault="00A3555B" w:rsidP="00A3555B">
      <w:r>
        <w:t xml:space="preserve">                            Standard Deviation of the Portfolio</w:t>
      </w:r>
    </w:p>
    <w:p w14:paraId="034F6250" w14:textId="77777777" w:rsidR="00A3555B" w:rsidRDefault="00A3555B" w:rsidP="00A3555B">
      <w:r>
        <w:t xml:space="preserve"> </w:t>
      </w:r>
    </w:p>
    <w:p w14:paraId="177B3F74" w14:textId="77777777" w:rsidR="00A3555B" w:rsidRDefault="00A3555B" w:rsidP="00A3555B">
      <w:r>
        <w:t xml:space="preserve">The </w:t>
      </w:r>
      <w:proofErr w:type="spellStart"/>
      <w:r>
        <w:t>Treynor</w:t>
      </w:r>
      <w:proofErr w:type="spellEnd"/>
      <w:r>
        <w:t xml:space="preserve"> ratio uses a similar approach but adjusts returns for systematic risk as measured by beta:</w:t>
      </w:r>
    </w:p>
    <w:p w14:paraId="6E3DF4F2" w14:textId="77777777" w:rsidR="00A3555B" w:rsidRDefault="00A3555B" w:rsidP="00A3555B">
      <w:r>
        <w:t xml:space="preserve"> </w:t>
      </w:r>
    </w:p>
    <w:p w14:paraId="59EAD469" w14:textId="77777777" w:rsidR="00A3555B" w:rsidRDefault="00A3555B" w:rsidP="00A3555B">
      <w:proofErr w:type="spellStart"/>
      <w:r>
        <w:t>Treynor</w:t>
      </w:r>
      <w:proofErr w:type="spellEnd"/>
      <w:r>
        <w:t xml:space="preserve"> Ratio = Return of the Portfolio−Risk-Free Rate</w:t>
      </w:r>
    </w:p>
    <w:p w14:paraId="20E39A96" w14:textId="77777777" w:rsidR="00A3555B" w:rsidRDefault="00A3555B" w:rsidP="00A3555B">
      <w:r>
        <w:rPr>
          <w:rFonts w:ascii="Arial" w:hAnsi="Arial" w:cs="Arial"/>
        </w:rPr>
        <w:t>​</w:t>
      </w:r>
      <w:r>
        <w:t xml:space="preserve">                                   Beta of the Portfolio</w:t>
      </w:r>
    </w:p>
    <w:p w14:paraId="56AE292F" w14:textId="77777777" w:rsidR="00A3555B" w:rsidRDefault="00A3555B" w:rsidP="00A3555B">
      <w:r>
        <w:t xml:space="preserve"> </w:t>
      </w:r>
    </w:p>
    <w:p w14:paraId="726ECEDB" w14:textId="77777777" w:rsidR="00A3555B" w:rsidRDefault="00A3555B" w:rsidP="00A3555B">
      <w:r>
        <w:t>Calculating these ratios for two distinct one-year periods within the timeframe from Snapchat's IPO to December 31, 2023, allows for an analysis of how efficiently Snapchat's stock has translated risk into return. Periods of higher volatility and market fluctuations, such as product launches or shifts in social media consumption trends, may impact these ratios significantly.</w:t>
      </w:r>
    </w:p>
    <w:p w14:paraId="20029F25" w14:textId="77777777" w:rsidR="00A3555B" w:rsidRDefault="00A3555B" w:rsidP="00A3555B">
      <w:r>
        <w:t xml:space="preserve"> </w:t>
      </w:r>
    </w:p>
    <w:p w14:paraId="1FA02463" w14:textId="77777777" w:rsidR="00A3555B" w:rsidRDefault="00A3555B" w:rsidP="00A3555B">
      <w:r>
        <w:t xml:space="preserve">By assessing the Sharpe and </w:t>
      </w:r>
      <w:proofErr w:type="spellStart"/>
      <w:r>
        <w:t>Treynor</w:t>
      </w:r>
      <w:proofErr w:type="spellEnd"/>
      <w:r>
        <w:t xml:space="preserve"> ratios, investors and analysts can gauge Snapchat's investment performance relative to the risk involved. A higher ratio indicates a more favourable risk-adjusted return, suggesting that Snapchat has effectively managed market risks to deliver value to its shareholders.</w:t>
      </w:r>
    </w:p>
    <w:p w14:paraId="5DA0AA8D" w14:textId="77777777" w:rsidR="00A3555B" w:rsidRDefault="00A3555B" w:rsidP="00A3555B">
      <w:r>
        <w:t xml:space="preserve"> </w:t>
      </w:r>
    </w:p>
    <w:p w14:paraId="39B85102" w14:textId="77BBD316" w:rsidR="00A3555B" w:rsidRDefault="00A3555B">
      <w:r>
        <w:t>This detailed analysis of Snapchat's share price performance, supported by descriptive statistics, CAGR, and risk-adjusted return ratios, offers a comprehensive view of its investment potential and market behaviour over the analysed period.</w:t>
      </w:r>
    </w:p>
    <w:sectPr w:rsidR="00A355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55B"/>
    <w:rsid w:val="0064399B"/>
    <w:rsid w:val="00A229B9"/>
    <w:rsid w:val="00A355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51F0F8"/>
  <w15:chartTrackingRefBased/>
  <w15:docId w15:val="{DB0F1F8A-A2CD-D646-BE51-55881DC82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55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55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55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55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55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55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55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55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55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55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55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55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55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55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55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55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55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555B"/>
    <w:rPr>
      <w:rFonts w:eastAsiaTheme="majorEastAsia" w:cstheme="majorBidi"/>
      <w:color w:val="272727" w:themeColor="text1" w:themeTint="D8"/>
    </w:rPr>
  </w:style>
  <w:style w:type="paragraph" w:styleId="Title">
    <w:name w:val="Title"/>
    <w:basedOn w:val="Normal"/>
    <w:next w:val="Normal"/>
    <w:link w:val="TitleChar"/>
    <w:uiPriority w:val="10"/>
    <w:qFormat/>
    <w:rsid w:val="00A355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55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55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55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555B"/>
    <w:pPr>
      <w:spacing w:before="160"/>
      <w:jc w:val="center"/>
    </w:pPr>
    <w:rPr>
      <w:i/>
      <w:iCs/>
      <w:color w:val="404040" w:themeColor="text1" w:themeTint="BF"/>
    </w:rPr>
  </w:style>
  <w:style w:type="character" w:customStyle="1" w:styleId="QuoteChar">
    <w:name w:val="Quote Char"/>
    <w:basedOn w:val="DefaultParagraphFont"/>
    <w:link w:val="Quote"/>
    <w:uiPriority w:val="29"/>
    <w:rsid w:val="00A3555B"/>
    <w:rPr>
      <w:i/>
      <w:iCs/>
      <w:color w:val="404040" w:themeColor="text1" w:themeTint="BF"/>
    </w:rPr>
  </w:style>
  <w:style w:type="paragraph" w:styleId="ListParagraph">
    <w:name w:val="List Paragraph"/>
    <w:basedOn w:val="Normal"/>
    <w:uiPriority w:val="34"/>
    <w:qFormat/>
    <w:rsid w:val="00A3555B"/>
    <w:pPr>
      <w:ind w:left="720"/>
      <w:contextualSpacing/>
    </w:pPr>
  </w:style>
  <w:style w:type="character" w:styleId="IntenseEmphasis">
    <w:name w:val="Intense Emphasis"/>
    <w:basedOn w:val="DefaultParagraphFont"/>
    <w:uiPriority w:val="21"/>
    <w:qFormat/>
    <w:rsid w:val="00A3555B"/>
    <w:rPr>
      <w:i/>
      <w:iCs/>
      <w:color w:val="0F4761" w:themeColor="accent1" w:themeShade="BF"/>
    </w:rPr>
  </w:style>
  <w:style w:type="paragraph" w:styleId="IntenseQuote">
    <w:name w:val="Intense Quote"/>
    <w:basedOn w:val="Normal"/>
    <w:next w:val="Normal"/>
    <w:link w:val="IntenseQuoteChar"/>
    <w:uiPriority w:val="30"/>
    <w:qFormat/>
    <w:rsid w:val="00A355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555B"/>
    <w:rPr>
      <w:i/>
      <w:iCs/>
      <w:color w:val="0F4761" w:themeColor="accent1" w:themeShade="BF"/>
    </w:rPr>
  </w:style>
  <w:style w:type="character" w:styleId="IntenseReference">
    <w:name w:val="Intense Reference"/>
    <w:basedOn w:val="DefaultParagraphFont"/>
    <w:uiPriority w:val="32"/>
    <w:qFormat/>
    <w:rsid w:val="00A3555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1923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504</Words>
  <Characters>2874</Characters>
  <Application>Microsoft Office Word</Application>
  <DocSecurity>0</DocSecurity>
  <Lines>23</Lines>
  <Paragraphs>6</Paragraphs>
  <ScaleCrop>false</ScaleCrop>
  <Company/>
  <LinksUpToDate>false</LinksUpToDate>
  <CharactersWithSpaces>3372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Sachin Khatik (2315380)</dc:creator>
  <cp:keywords/>
  <dc:description/>
  <cp:lastModifiedBy>Sachin Khatik (2315380)</cp:lastModifiedBy>
  <cp:revision>2</cp:revision>
  <dcterms:created xsi:type="dcterms:W3CDTF">2024-04-10T11:42:00Z</dcterms:created>
  <dcterms:modified xsi:type="dcterms:W3CDTF">2024-04-10T11:42:00Z</dcterms:modified>
</cp:coreProperties>
</file>