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7E7B4" w14:textId="77777777" w:rsidR="0060717B" w:rsidRDefault="00000000">
      <w:pPr>
        <w:spacing w:after="217" w:line="259" w:lineRule="auto"/>
        <w:ind w:left="0" w:right="0" w:firstLine="0"/>
        <w:jc w:val="left"/>
      </w:pPr>
      <w:r>
        <w:t xml:space="preserve"> </w:t>
      </w:r>
    </w:p>
    <w:p w14:paraId="23D0A5BB" w14:textId="77777777" w:rsidR="0060717B" w:rsidRDefault="00000000">
      <w:pPr>
        <w:spacing w:after="220" w:line="259" w:lineRule="auto"/>
        <w:ind w:left="0" w:right="2321" w:firstLine="0"/>
        <w:jc w:val="right"/>
      </w:pPr>
      <w:r>
        <w:rPr>
          <w:noProof/>
        </w:rPr>
        <w:drawing>
          <wp:inline distT="0" distB="0" distL="0" distR="0" wp14:anchorId="6EF5C497" wp14:editId="6583D6C7">
            <wp:extent cx="2789555" cy="795020"/>
            <wp:effectExtent l="0" t="0" r="0" b="0"/>
            <wp:docPr id="41" name="Picture 4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4"/>
                    <a:stretch>
                      <a:fillRect/>
                    </a:stretch>
                  </pic:blipFill>
                  <pic:spPr>
                    <a:xfrm>
                      <a:off x="0" y="0"/>
                      <a:ext cx="2789555" cy="795020"/>
                    </a:xfrm>
                    <a:prstGeom prst="rect">
                      <a:avLst/>
                    </a:prstGeom>
                  </pic:spPr>
                </pic:pic>
              </a:graphicData>
            </a:graphic>
          </wp:inline>
        </w:drawing>
      </w:r>
      <w:r>
        <w:t xml:space="preserve"> </w:t>
      </w:r>
    </w:p>
    <w:p w14:paraId="1672B966" w14:textId="77777777" w:rsidR="0060717B" w:rsidRDefault="00000000">
      <w:pPr>
        <w:spacing w:after="359" w:line="259" w:lineRule="auto"/>
        <w:ind w:left="0" w:right="5" w:firstLine="0"/>
        <w:jc w:val="center"/>
      </w:pPr>
      <w:r>
        <w:t xml:space="preserve"> </w:t>
      </w:r>
    </w:p>
    <w:p w14:paraId="4A3F35F3" w14:textId="77777777" w:rsidR="0060717B" w:rsidRDefault="00000000">
      <w:pPr>
        <w:spacing w:after="314" w:line="259" w:lineRule="auto"/>
        <w:ind w:left="27" w:right="0" w:firstLine="0"/>
        <w:jc w:val="center"/>
      </w:pPr>
      <w:r>
        <w:rPr>
          <w:b/>
          <w:sz w:val="32"/>
        </w:rPr>
        <w:t xml:space="preserve"> </w:t>
      </w:r>
    </w:p>
    <w:p w14:paraId="76059872" w14:textId="77777777" w:rsidR="0060717B" w:rsidRDefault="00000000">
      <w:pPr>
        <w:spacing w:after="240" w:line="259" w:lineRule="auto"/>
        <w:ind w:left="1750" w:right="0" w:firstLine="0"/>
        <w:jc w:val="left"/>
      </w:pPr>
      <w:r>
        <w:rPr>
          <w:b/>
          <w:sz w:val="32"/>
        </w:rPr>
        <w:t>GENDER AND HEALTH INEQUALITY</w:t>
      </w:r>
      <w:r>
        <w:rPr>
          <w:sz w:val="32"/>
        </w:rPr>
        <w:t xml:space="preserve"> </w:t>
      </w:r>
    </w:p>
    <w:p w14:paraId="4FB64034" w14:textId="77777777" w:rsidR="0060717B" w:rsidRDefault="00000000">
      <w:pPr>
        <w:spacing w:after="259" w:line="259" w:lineRule="auto"/>
        <w:ind w:left="2663" w:right="0"/>
        <w:jc w:val="left"/>
      </w:pPr>
      <w:r>
        <w:rPr>
          <w:b/>
          <w:sz w:val="24"/>
        </w:rPr>
        <w:t>Component 2</w:t>
      </w:r>
      <w:r>
        <w:rPr>
          <w:sz w:val="24"/>
        </w:rPr>
        <w:t xml:space="preserve"> - </w:t>
      </w:r>
      <w:r>
        <w:rPr>
          <w:b/>
          <w:sz w:val="24"/>
        </w:rPr>
        <w:t xml:space="preserve">Analytical Report </w:t>
      </w:r>
    </w:p>
    <w:p w14:paraId="1DC9EF39" w14:textId="77777777" w:rsidR="0060717B" w:rsidRDefault="00000000">
      <w:pPr>
        <w:spacing w:after="283" w:line="259" w:lineRule="auto"/>
        <w:ind w:left="0" w:right="5" w:firstLine="0"/>
        <w:jc w:val="center"/>
      </w:pPr>
      <w:r>
        <w:t xml:space="preserve"> </w:t>
      </w:r>
    </w:p>
    <w:p w14:paraId="66EB197F" w14:textId="77777777" w:rsidR="0060717B" w:rsidRDefault="00000000">
      <w:pPr>
        <w:spacing w:after="276" w:line="259" w:lineRule="auto"/>
        <w:ind w:right="68"/>
        <w:jc w:val="center"/>
      </w:pPr>
      <w:r>
        <w:rPr>
          <w:sz w:val="24"/>
        </w:rPr>
        <w:t xml:space="preserve">Author: Harika Devarai </w:t>
      </w:r>
    </w:p>
    <w:p w14:paraId="643E1B64" w14:textId="77777777" w:rsidR="0060717B" w:rsidRDefault="00000000">
      <w:pPr>
        <w:spacing w:after="276" w:line="259" w:lineRule="auto"/>
        <w:ind w:right="64"/>
        <w:jc w:val="center"/>
      </w:pPr>
      <w:r>
        <w:rPr>
          <w:sz w:val="24"/>
        </w:rPr>
        <w:t xml:space="preserve">ID: 2542507 </w:t>
      </w:r>
    </w:p>
    <w:p w14:paraId="3DADA7A4" w14:textId="77777777" w:rsidR="0060717B" w:rsidRDefault="00000000">
      <w:pPr>
        <w:spacing w:after="276" w:line="259" w:lineRule="auto"/>
        <w:ind w:left="0" w:right="1326" w:firstLine="0"/>
        <w:jc w:val="right"/>
      </w:pPr>
      <w:r>
        <w:rPr>
          <w:sz w:val="24"/>
        </w:rPr>
        <w:t xml:space="preserve">Module: Social Epidemiology and Public Health Development </w:t>
      </w:r>
    </w:p>
    <w:p w14:paraId="4A051006" w14:textId="77777777" w:rsidR="0060717B" w:rsidRDefault="00000000">
      <w:pPr>
        <w:spacing w:after="238" w:line="259" w:lineRule="auto"/>
        <w:ind w:right="64"/>
        <w:jc w:val="center"/>
      </w:pPr>
      <w:r>
        <w:rPr>
          <w:sz w:val="24"/>
        </w:rPr>
        <w:t xml:space="preserve">Module code: LCHS7000 </w:t>
      </w:r>
    </w:p>
    <w:p w14:paraId="3F44A107" w14:textId="77777777" w:rsidR="0060717B" w:rsidRDefault="00000000">
      <w:pPr>
        <w:spacing w:after="218" w:line="259" w:lineRule="auto"/>
        <w:ind w:left="2732" w:right="0" w:firstLine="0"/>
        <w:jc w:val="left"/>
      </w:pPr>
      <w:r>
        <w:rPr>
          <w:sz w:val="24"/>
        </w:rPr>
        <w:t xml:space="preserve">Lecturer Name: Muhammad Aliyu </w:t>
      </w:r>
    </w:p>
    <w:p w14:paraId="46E26422" w14:textId="77777777" w:rsidR="0060717B" w:rsidRDefault="00000000">
      <w:pPr>
        <w:spacing w:after="266" w:line="259" w:lineRule="auto"/>
        <w:ind w:left="0" w:right="0" w:firstLine="0"/>
        <w:jc w:val="left"/>
      </w:pPr>
      <w:r>
        <w:t xml:space="preserve"> </w:t>
      </w:r>
    </w:p>
    <w:p w14:paraId="762836FA" w14:textId="77777777" w:rsidR="0060717B" w:rsidRDefault="00000000">
      <w:pPr>
        <w:spacing w:after="266" w:line="259" w:lineRule="auto"/>
        <w:ind w:left="0" w:right="0" w:firstLine="0"/>
        <w:jc w:val="left"/>
      </w:pPr>
      <w:r>
        <w:t xml:space="preserve"> </w:t>
      </w:r>
    </w:p>
    <w:p w14:paraId="7FD211B9" w14:textId="77777777" w:rsidR="0060717B" w:rsidRDefault="00000000">
      <w:pPr>
        <w:spacing w:after="266" w:line="259" w:lineRule="auto"/>
        <w:ind w:left="0" w:right="0" w:firstLine="0"/>
        <w:jc w:val="left"/>
      </w:pPr>
      <w:r>
        <w:t xml:space="preserve"> </w:t>
      </w:r>
    </w:p>
    <w:p w14:paraId="38FEDE9E" w14:textId="77777777" w:rsidR="0060717B" w:rsidRDefault="00000000">
      <w:pPr>
        <w:spacing w:after="285" w:line="259" w:lineRule="auto"/>
        <w:ind w:left="0" w:right="0" w:firstLine="0"/>
        <w:jc w:val="left"/>
      </w:pPr>
      <w:r>
        <w:t xml:space="preserve"> </w:t>
      </w:r>
    </w:p>
    <w:p w14:paraId="24AF2958" w14:textId="77777777" w:rsidR="0060717B" w:rsidRDefault="00000000">
      <w:pPr>
        <w:spacing w:after="0" w:line="259" w:lineRule="auto"/>
        <w:ind w:left="0" w:right="0" w:firstLine="0"/>
        <w:jc w:val="left"/>
      </w:pPr>
      <w:r>
        <w:t xml:space="preserve"> </w:t>
      </w:r>
      <w:r>
        <w:tab/>
        <w:t xml:space="preserve"> </w:t>
      </w:r>
    </w:p>
    <w:sdt>
      <w:sdtPr>
        <w:id w:val="-1507047788"/>
        <w:docPartObj>
          <w:docPartGallery w:val="Table of Contents"/>
        </w:docPartObj>
      </w:sdtPr>
      <w:sdtContent>
        <w:p w14:paraId="0EBC65D2" w14:textId="77777777" w:rsidR="00FB1141" w:rsidRDefault="00FB1141">
          <w:pPr>
            <w:spacing w:after="0" w:line="259" w:lineRule="auto"/>
            <w:ind w:left="0" w:right="69" w:firstLine="0"/>
            <w:jc w:val="center"/>
          </w:pPr>
        </w:p>
        <w:p w14:paraId="0D8F8BCF" w14:textId="77777777" w:rsidR="00FB1141" w:rsidRDefault="00FB1141">
          <w:pPr>
            <w:spacing w:after="0" w:line="259" w:lineRule="auto"/>
            <w:ind w:left="0" w:right="69" w:firstLine="0"/>
            <w:jc w:val="center"/>
          </w:pPr>
        </w:p>
        <w:p w14:paraId="4A97C5EF" w14:textId="77777777" w:rsidR="00FB1141" w:rsidRDefault="00FB1141">
          <w:pPr>
            <w:spacing w:after="0" w:line="259" w:lineRule="auto"/>
            <w:ind w:left="0" w:right="69" w:firstLine="0"/>
            <w:jc w:val="center"/>
          </w:pPr>
        </w:p>
        <w:p w14:paraId="4F656683" w14:textId="77777777" w:rsidR="00FB1141" w:rsidRDefault="00FB1141">
          <w:pPr>
            <w:spacing w:after="0" w:line="259" w:lineRule="auto"/>
            <w:ind w:left="0" w:right="69" w:firstLine="0"/>
            <w:jc w:val="center"/>
          </w:pPr>
        </w:p>
        <w:p w14:paraId="17A67526" w14:textId="77777777" w:rsidR="00FB1141" w:rsidRDefault="00FB1141">
          <w:pPr>
            <w:spacing w:after="0" w:line="259" w:lineRule="auto"/>
            <w:ind w:left="0" w:right="69" w:firstLine="0"/>
            <w:jc w:val="center"/>
          </w:pPr>
        </w:p>
        <w:p w14:paraId="6FB15758" w14:textId="77777777" w:rsidR="00FB1141" w:rsidRDefault="00FB1141">
          <w:pPr>
            <w:spacing w:after="0" w:line="259" w:lineRule="auto"/>
            <w:ind w:left="0" w:right="69" w:firstLine="0"/>
            <w:jc w:val="center"/>
          </w:pPr>
        </w:p>
        <w:p w14:paraId="5DF01703" w14:textId="77777777" w:rsidR="00FB1141" w:rsidRDefault="00FB1141">
          <w:pPr>
            <w:spacing w:after="0" w:line="259" w:lineRule="auto"/>
            <w:ind w:left="0" w:right="69" w:firstLine="0"/>
            <w:jc w:val="center"/>
          </w:pPr>
        </w:p>
        <w:p w14:paraId="1348D86B" w14:textId="77777777" w:rsidR="00FB1141" w:rsidRDefault="00FB1141">
          <w:pPr>
            <w:spacing w:after="0" w:line="259" w:lineRule="auto"/>
            <w:ind w:left="0" w:right="69" w:firstLine="0"/>
            <w:jc w:val="center"/>
          </w:pPr>
        </w:p>
        <w:p w14:paraId="4FA2A365" w14:textId="77777777" w:rsidR="00FB1141" w:rsidRDefault="00FB1141">
          <w:pPr>
            <w:spacing w:after="0" w:line="259" w:lineRule="auto"/>
            <w:ind w:left="0" w:right="69" w:firstLine="0"/>
            <w:jc w:val="center"/>
          </w:pPr>
        </w:p>
        <w:p w14:paraId="53382902" w14:textId="77777777" w:rsidR="00FB1141" w:rsidRDefault="00FB1141">
          <w:pPr>
            <w:spacing w:after="0" w:line="259" w:lineRule="auto"/>
            <w:ind w:left="0" w:right="69" w:firstLine="0"/>
            <w:jc w:val="center"/>
          </w:pPr>
        </w:p>
        <w:p w14:paraId="45D0D806" w14:textId="77777777" w:rsidR="00FB1141" w:rsidRDefault="00FB1141">
          <w:pPr>
            <w:spacing w:after="0" w:line="259" w:lineRule="auto"/>
            <w:ind w:left="0" w:right="69" w:firstLine="0"/>
            <w:jc w:val="center"/>
          </w:pPr>
        </w:p>
        <w:p w14:paraId="1F350990" w14:textId="77777777" w:rsidR="00FB1141" w:rsidRDefault="00FB1141">
          <w:pPr>
            <w:spacing w:after="0" w:line="259" w:lineRule="auto"/>
            <w:ind w:left="0" w:right="69" w:firstLine="0"/>
            <w:jc w:val="center"/>
          </w:pPr>
        </w:p>
        <w:p w14:paraId="70154927" w14:textId="77777777" w:rsidR="00FB1141" w:rsidRDefault="00FB1141">
          <w:pPr>
            <w:spacing w:after="0" w:line="259" w:lineRule="auto"/>
            <w:ind w:left="0" w:right="69" w:firstLine="0"/>
            <w:jc w:val="center"/>
          </w:pPr>
        </w:p>
        <w:p w14:paraId="6ED1D58E" w14:textId="50BCA510" w:rsidR="0060717B" w:rsidRDefault="00000000">
          <w:pPr>
            <w:spacing w:after="0" w:line="259" w:lineRule="auto"/>
            <w:ind w:left="0" w:right="69" w:firstLine="0"/>
            <w:jc w:val="center"/>
            <w:rPr>
              <w:b/>
              <w:color w:val="2F5496"/>
              <w:sz w:val="32"/>
            </w:rPr>
          </w:pPr>
          <w:r>
            <w:rPr>
              <w:b/>
              <w:color w:val="2F5496"/>
              <w:sz w:val="32"/>
            </w:rPr>
            <w:lastRenderedPageBreak/>
            <w:t xml:space="preserve">Contents </w:t>
          </w:r>
        </w:p>
        <w:p w14:paraId="66ED4D51" w14:textId="77777777" w:rsidR="00FB1141" w:rsidRDefault="00FB1141">
          <w:pPr>
            <w:spacing w:after="0" w:line="259" w:lineRule="auto"/>
            <w:ind w:left="0" w:right="69" w:firstLine="0"/>
            <w:jc w:val="center"/>
          </w:pPr>
        </w:p>
        <w:p w14:paraId="02FA9875" w14:textId="77777777" w:rsidR="0060717B" w:rsidRDefault="00000000">
          <w:pPr>
            <w:pStyle w:val="TOC2"/>
            <w:tabs>
              <w:tab w:val="right" w:leader="dot" w:pos="9092"/>
            </w:tabs>
          </w:pPr>
          <w:r>
            <w:fldChar w:fldCharType="begin"/>
          </w:r>
          <w:r>
            <w:instrText xml:space="preserve"> TOC \o "1-3" \h \z \u </w:instrText>
          </w:r>
          <w:r>
            <w:fldChar w:fldCharType="separate"/>
          </w:r>
          <w:hyperlink w:anchor="_Toc15301">
            <w:r>
              <w:rPr>
                <w:rFonts w:ascii="Arial" w:eastAsia="Arial" w:hAnsi="Arial" w:cs="Arial"/>
                <w:b/>
              </w:rPr>
              <w:t>TASK 1</w:t>
            </w:r>
            <w:r>
              <w:tab/>
            </w:r>
            <w:r>
              <w:fldChar w:fldCharType="begin"/>
            </w:r>
            <w:r>
              <w:instrText>PAGEREF _Toc15301 \h</w:instrText>
            </w:r>
            <w:r>
              <w:fldChar w:fldCharType="separate"/>
            </w:r>
            <w:r>
              <w:t xml:space="preserve">3 </w:t>
            </w:r>
            <w:r>
              <w:fldChar w:fldCharType="end"/>
            </w:r>
          </w:hyperlink>
        </w:p>
        <w:p w14:paraId="62B77B52" w14:textId="77777777" w:rsidR="0060717B" w:rsidRDefault="00000000">
          <w:pPr>
            <w:pStyle w:val="TOC2"/>
            <w:tabs>
              <w:tab w:val="right" w:leader="dot" w:pos="9092"/>
            </w:tabs>
          </w:pPr>
          <w:hyperlink w:anchor="_Toc15302">
            <w:r>
              <w:rPr>
                <w:rFonts w:ascii="Arial" w:eastAsia="Arial" w:hAnsi="Arial" w:cs="Arial"/>
                <w:b/>
              </w:rPr>
              <w:t>SOCIAL EPIDEMIOLOGICAL ANALYSIS</w:t>
            </w:r>
            <w:r>
              <w:tab/>
            </w:r>
            <w:r>
              <w:fldChar w:fldCharType="begin"/>
            </w:r>
            <w:r>
              <w:instrText>PAGEREF _Toc15302 \h</w:instrText>
            </w:r>
            <w:r>
              <w:fldChar w:fldCharType="separate"/>
            </w:r>
            <w:r>
              <w:t xml:space="preserve">3 </w:t>
            </w:r>
            <w:r>
              <w:fldChar w:fldCharType="end"/>
            </w:r>
          </w:hyperlink>
        </w:p>
        <w:p w14:paraId="3402E92F" w14:textId="77777777" w:rsidR="0060717B" w:rsidRDefault="00000000">
          <w:pPr>
            <w:pStyle w:val="TOC3"/>
            <w:tabs>
              <w:tab w:val="right" w:leader="dot" w:pos="9092"/>
            </w:tabs>
          </w:pPr>
          <w:hyperlink w:anchor="_Toc15303">
            <w:r>
              <w:rPr>
                <w:rFonts w:ascii="Arial" w:eastAsia="Arial" w:hAnsi="Arial" w:cs="Arial"/>
                <w:b/>
              </w:rPr>
              <w:t>GENDER AND HEALTH INEQUALITY IN THE UK</w:t>
            </w:r>
            <w:r>
              <w:tab/>
            </w:r>
            <w:r>
              <w:fldChar w:fldCharType="begin"/>
            </w:r>
            <w:r>
              <w:instrText>PAGEREF _Toc15303 \h</w:instrText>
            </w:r>
            <w:r>
              <w:fldChar w:fldCharType="separate"/>
            </w:r>
            <w:r>
              <w:t xml:space="preserve">3 </w:t>
            </w:r>
            <w:r>
              <w:fldChar w:fldCharType="end"/>
            </w:r>
          </w:hyperlink>
        </w:p>
        <w:p w14:paraId="6EB88C3C" w14:textId="77777777" w:rsidR="0060717B" w:rsidRDefault="00000000">
          <w:pPr>
            <w:pStyle w:val="TOC2"/>
            <w:tabs>
              <w:tab w:val="right" w:leader="dot" w:pos="9092"/>
            </w:tabs>
          </w:pPr>
          <w:hyperlink w:anchor="_Toc15304">
            <w:r>
              <w:rPr>
                <w:rFonts w:ascii="Arial" w:eastAsia="Arial" w:hAnsi="Arial" w:cs="Arial"/>
                <w:b/>
              </w:rPr>
              <w:t>INTRODUCTION</w:t>
            </w:r>
            <w:r>
              <w:tab/>
            </w:r>
            <w:r>
              <w:fldChar w:fldCharType="begin"/>
            </w:r>
            <w:r>
              <w:instrText>PAGEREF _Toc15304 \h</w:instrText>
            </w:r>
            <w:r>
              <w:fldChar w:fldCharType="separate"/>
            </w:r>
            <w:r>
              <w:t xml:space="preserve">3 </w:t>
            </w:r>
            <w:r>
              <w:fldChar w:fldCharType="end"/>
            </w:r>
          </w:hyperlink>
        </w:p>
        <w:p w14:paraId="38E8C3AC" w14:textId="77777777" w:rsidR="0060717B" w:rsidRDefault="00000000">
          <w:pPr>
            <w:pStyle w:val="TOC2"/>
            <w:tabs>
              <w:tab w:val="right" w:leader="dot" w:pos="9092"/>
            </w:tabs>
          </w:pPr>
          <w:hyperlink w:anchor="_Toc15305">
            <w:r>
              <w:rPr>
                <w:rFonts w:ascii="Arial" w:eastAsia="Arial" w:hAnsi="Arial" w:cs="Arial"/>
                <w:b/>
              </w:rPr>
              <w:t>CONTEXTUAL BACKGROUND AND UNDERLYING FACTORS</w:t>
            </w:r>
            <w:r>
              <w:tab/>
            </w:r>
            <w:r>
              <w:fldChar w:fldCharType="begin"/>
            </w:r>
            <w:r>
              <w:instrText>PAGEREF _Toc15305 \h</w:instrText>
            </w:r>
            <w:r>
              <w:fldChar w:fldCharType="separate"/>
            </w:r>
            <w:r>
              <w:t xml:space="preserve">3 </w:t>
            </w:r>
            <w:r>
              <w:fldChar w:fldCharType="end"/>
            </w:r>
          </w:hyperlink>
        </w:p>
        <w:p w14:paraId="54A76A49" w14:textId="77777777" w:rsidR="0060717B" w:rsidRDefault="00000000">
          <w:pPr>
            <w:pStyle w:val="TOC3"/>
            <w:tabs>
              <w:tab w:val="right" w:leader="dot" w:pos="9092"/>
            </w:tabs>
          </w:pPr>
          <w:hyperlink w:anchor="_Toc15306">
            <w:r>
              <w:rPr>
                <w:rFonts w:ascii="Arial" w:eastAsia="Arial" w:hAnsi="Arial" w:cs="Arial"/>
                <w:b/>
              </w:rPr>
              <w:t>Higher rates of CVD mortality among women</w:t>
            </w:r>
            <w:r>
              <w:tab/>
            </w:r>
            <w:r>
              <w:fldChar w:fldCharType="begin"/>
            </w:r>
            <w:r>
              <w:instrText>PAGEREF _Toc15306 \h</w:instrText>
            </w:r>
            <w:r>
              <w:fldChar w:fldCharType="separate"/>
            </w:r>
            <w:r>
              <w:t xml:space="preserve">3 </w:t>
            </w:r>
            <w:r>
              <w:fldChar w:fldCharType="end"/>
            </w:r>
          </w:hyperlink>
        </w:p>
        <w:p w14:paraId="35A55354" w14:textId="77777777" w:rsidR="0060717B" w:rsidRDefault="00000000">
          <w:pPr>
            <w:pStyle w:val="TOC3"/>
            <w:tabs>
              <w:tab w:val="right" w:leader="dot" w:pos="9092"/>
            </w:tabs>
          </w:pPr>
          <w:hyperlink w:anchor="_Toc15307">
            <w:r>
              <w:rPr>
                <w:rFonts w:ascii="Arial" w:eastAsia="Arial" w:hAnsi="Arial" w:cs="Arial"/>
                <w:b/>
              </w:rPr>
              <w:t>Higher Prevalence of Mental illness among women</w:t>
            </w:r>
            <w:r>
              <w:tab/>
            </w:r>
            <w:r>
              <w:fldChar w:fldCharType="begin"/>
            </w:r>
            <w:r>
              <w:instrText>PAGEREF _Toc15307 \h</w:instrText>
            </w:r>
            <w:r>
              <w:fldChar w:fldCharType="separate"/>
            </w:r>
            <w:r>
              <w:t xml:space="preserve">3 </w:t>
            </w:r>
            <w:r>
              <w:fldChar w:fldCharType="end"/>
            </w:r>
          </w:hyperlink>
        </w:p>
        <w:p w14:paraId="227A8B12" w14:textId="77777777" w:rsidR="0060717B" w:rsidRDefault="00000000">
          <w:pPr>
            <w:pStyle w:val="TOC3"/>
            <w:tabs>
              <w:tab w:val="right" w:leader="dot" w:pos="9092"/>
            </w:tabs>
          </w:pPr>
          <w:hyperlink w:anchor="_Toc15308">
            <w:r>
              <w:rPr>
                <w:rFonts w:ascii="Arial" w:eastAsia="Arial" w:hAnsi="Arial" w:cs="Arial"/>
                <w:b/>
              </w:rPr>
              <w:t>Increasing Maternal Mortality rates among women</w:t>
            </w:r>
            <w:r>
              <w:tab/>
            </w:r>
            <w:r>
              <w:fldChar w:fldCharType="begin"/>
            </w:r>
            <w:r>
              <w:instrText>PAGEREF _Toc15308 \h</w:instrText>
            </w:r>
            <w:r>
              <w:fldChar w:fldCharType="separate"/>
            </w:r>
            <w:r>
              <w:t xml:space="preserve">4 </w:t>
            </w:r>
            <w:r>
              <w:fldChar w:fldCharType="end"/>
            </w:r>
          </w:hyperlink>
        </w:p>
        <w:p w14:paraId="5235E4F0" w14:textId="77777777" w:rsidR="0060717B" w:rsidRDefault="00000000">
          <w:pPr>
            <w:pStyle w:val="TOC3"/>
            <w:tabs>
              <w:tab w:val="right" w:leader="dot" w:pos="9092"/>
            </w:tabs>
          </w:pPr>
          <w:hyperlink w:anchor="_Toc15309">
            <w:r>
              <w:rPr>
                <w:rFonts w:ascii="Arial" w:eastAsia="Arial" w:hAnsi="Arial" w:cs="Arial"/>
                <w:b/>
              </w:rPr>
              <w:t>Domestic Violence and Abuse Against Women</w:t>
            </w:r>
            <w:r>
              <w:tab/>
            </w:r>
            <w:r>
              <w:fldChar w:fldCharType="begin"/>
            </w:r>
            <w:r>
              <w:instrText>PAGEREF _Toc15309 \h</w:instrText>
            </w:r>
            <w:r>
              <w:fldChar w:fldCharType="separate"/>
            </w:r>
            <w:r>
              <w:t xml:space="preserve">4 </w:t>
            </w:r>
            <w:r>
              <w:fldChar w:fldCharType="end"/>
            </w:r>
          </w:hyperlink>
        </w:p>
        <w:p w14:paraId="789CBC40" w14:textId="77777777" w:rsidR="0060717B" w:rsidRDefault="00000000">
          <w:pPr>
            <w:pStyle w:val="TOC3"/>
            <w:tabs>
              <w:tab w:val="right" w:leader="dot" w:pos="9092"/>
            </w:tabs>
          </w:pPr>
          <w:hyperlink w:anchor="_Toc15310">
            <w:r>
              <w:rPr>
                <w:rFonts w:ascii="Arial" w:eastAsia="Arial" w:hAnsi="Arial" w:cs="Arial"/>
                <w:b/>
              </w:rPr>
              <w:t>Gender pay gap and economic disadvantage</w:t>
            </w:r>
            <w:r>
              <w:tab/>
            </w:r>
            <w:r>
              <w:fldChar w:fldCharType="begin"/>
            </w:r>
            <w:r>
              <w:instrText>PAGEREF _Toc15310 \h</w:instrText>
            </w:r>
            <w:r>
              <w:fldChar w:fldCharType="separate"/>
            </w:r>
            <w:r>
              <w:t xml:space="preserve">4 </w:t>
            </w:r>
            <w:r>
              <w:fldChar w:fldCharType="end"/>
            </w:r>
          </w:hyperlink>
        </w:p>
        <w:p w14:paraId="2FEEE720" w14:textId="77777777" w:rsidR="0060717B" w:rsidRDefault="00000000">
          <w:pPr>
            <w:pStyle w:val="TOC3"/>
            <w:tabs>
              <w:tab w:val="right" w:leader="dot" w:pos="9092"/>
            </w:tabs>
          </w:pPr>
          <w:hyperlink w:anchor="_Toc15311">
            <w:r>
              <w:rPr>
                <w:rFonts w:ascii="Arial" w:eastAsia="Arial" w:hAnsi="Arial" w:cs="Arial"/>
                <w:b/>
              </w:rPr>
              <w:t>Gender bias in medical research and healthcare access</w:t>
            </w:r>
            <w:r>
              <w:tab/>
            </w:r>
            <w:r>
              <w:fldChar w:fldCharType="begin"/>
            </w:r>
            <w:r>
              <w:instrText>PAGEREF _Toc15311 \h</w:instrText>
            </w:r>
            <w:r>
              <w:fldChar w:fldCharType="separate"/>
            </w:r>
            <w:r>
              <w:t xml:space="preserve">5 </w:t>
            </w:r>
            <w:r>
              <w:fldChar w:fldCharType="end"/>
            </w:r>
          </w:hyperlink>
        </w:p>
        <w:p w14:paraId="7B258479" w14:textId="77777777" w:rsidR="0060717B" w:rsidRDefault="00000000">
          <w:pPr>
            <w:pStyle w:val="TOC2"/>
            <w:tabs>
              <w:tab w:val="right" w:leader="dot" w:pos="9092"/>
            </w:tabs>
          </w:pPr>
          <w:hyperlink w:anchor="_Toc15312">
            <w:r>
              <w:rPr>
                <w:rFonts w:ascii="Arial" w:eastAsia="Arial" w:hAnsi="Arial" w:cs="Arial"/>
                <w:b/>
              </w:rPr>
              <w:t>NATIONAL RESPONSE TO REDUCE HEALTH INEQUALITIES IN WOMEN</w:t>
            </w:r>
            <w:r>
              <w:tab/>
            </w:r>
            <w:r>
              <w:fldChar w:fldCharType="begin"/>
            </w:r>
            <w:r>
              <w:instrText>PAGEREF _Toc15312 \h</w:instrText>
            </w:r>
            <w:r>
              <w:fldChar w:fldCharType="separate"/>
            </w:r>
            <w:r>
              <w:t xml:space="preserve">5 </w:t>
            </w:r>
            <w:r>
              <w:fldChar w:fldCharType="end"/>
            </w:r>
          </w:hyperlink>
        </w:p>
        <w:p w14:paraId="69580B98" w14:textId="77777777" w:rsidR="0060717B" w:rsidRDefault="00000000">
          <w:pPr>
            <w:pStyle w:val="TOC2"/>
            <w:tabs>
              <w:tab w:val="right" w:leader="dot" w:pos="9092"/>
            </w:tabs>
          </w:pPr>
          <w:hyperlink w:anchor="_Toc15313">
            <w:r>
              <w:rPr>
                <w:rFonts w:ascii="Arial" w:eastAsia="Arial" w:hAnsi="Arial" w:cs="Arial"/>
                <w:b/>
              </w:rPr>
              <w:t>ORGANISATIONS THAT SUPPORT THE CHOSEN GROUP</w:t>
            </w:r>
            <w:r>
              <w:tab/>
            </w:r>
            <w:r>
              <w:fldChar w:fldCharType="begin"/>
            </w:r>
            <w:r>
              <w:instrText>PAGEREF _Toc15313 \h</w:instrText>
            </w:r>
            <w:r>
              <w:fldChar w:fldCharType="separate"/>
            </w:r>
            <w:r>
              <w:t xml:space="preserve">6 </w:t>
            </w:r>
            <w:r>
              <w:fldChar w:fldCharType="end"/>
            </w:r>
          </w:hyperlink>
        </w:p>
        <w:p w14:paraId="71C1A6F3" w14:textId="77777777" w:rsidR="0060717B" w:rsidRDefault="00000000">
          <w:pPr>
            <w:pStyle w:val="TOC2"/>
            <w:tabs>
              <w:tab w:val="right" w:leader="dot" w:pos="9092"/>
            </w:tabs>
          </w:pPr>
          <w:hyperlink w:anchor="_Toc15314">
            <w:r>
              <w:rPr>
                <w:rFonts w:ascii="Arial" w:eastAsia="Arial" w:hAnsi="Arial" w:cs="Arial"/>
                <w:b/>
              </w:rPr>
              <w:t>CONCLUSION</w:t>
            </w:r>
            <w:r>
              <w:tab/>
            </w:r>
            <w:r>
              <w:fldChar w:fldCharType="begin"/>
            </w:r>
            <w:r>
              <w:instrText>PAGEREF _Toc15314 \h</w:instrText>
            </w:r>
            <w:r>
              <w:fldChar w:fldCharType="separate"/>
            </w:r>
            <w:r>
              <w:t xml:space="preserve">6 </w:t>
            </w:r>
            <w:r>
              <w:fldChar w:fldCharType="end"/>
            </w:r>
          </w:hyperlink>
        </w:p>
        <w:p w14:paraId="2D2EA539" w14:textId="77777777" w:rsidR="0060717B" w:rsidRDefault="00000000">
          <w:pPr>
            <w:pStyle w:val="TOC1"/>
            <w:tabs>
              <w:tab w:val="right" w:leader="dot" w:pos="9092"/>
            </w:tabs>
          </w:pPr>
          <w:hyperlink w:anchor="_Toc15315">
            <w:r>
              <w:rPr>
                <w:rFonts w:ascii="Arial" w:eastAsia="Arial" w:hAnsi="Arial" w:cs="Arial"/>
                <w:b/>
              </w:rPr>
              <w:t>TASK 2</w:t>
            </w:r>
            <w:r>
              <w:tab/>
            </w:r>
            <w:r>
              <w:fldChar w:fldCharType="begin"/>
            </w:r>
            <w:r>
              <w:instrText>PAGEREF _Toc15315 \h</w:instrText>
            </w:r>
            <w:r>
              <w:fldChar w:fldCharType="separate"/>
            </w:r>
            <w:r>
              <w:t xml:space="preserve">7 </w:t>
            </w:r>
            <w:r>
              <w:fldChar w:fldCharType="end"/>
            </w:r>
          </w:hyperlink>
        </w:p>
        <w:p w14:paraId="718559BD" w14:textId="77777777" w:rsidR="0060717B" w:rsidRDefault="00000000">
          <w:pPr>
            <w:pStyle w:val="TOC1"/>
            <w:tabs>
              <w:tab w:val="right" w:leader="dot" w:pos="9092"/>
            </w:tabs>
          </w:pPr>
          <w:hyperlink w:anchor="_Toc15316">
            <w:r>
              <w:rPr>
                <w:rFonts w:ascii="Arial" w:eastAsia="Arial" w:hAnsi="Arial" w:cs="Arial"/>
                <w:b/>
              </w:rPr>
              <w:t xml:space="preserve">EPIDEMIOLOGICAL ANALYSISBREAST CANCER IN WOMEN IN THE LONDON BOROUGH OF TOWER </w:t>
            </w:r>
            <w:r>
              <w:tab/>
            </w:r>
            <w:r>
              <w:fldChar w:fldCharType="begin"/>
            </w:r>
            <w:r>
              <w:instrText>PAGEREF _Toc15316 \h</w:instrText>
            </w:r>
            <w:r>
              <w:fldChar w:fldCharType="separate"/>
            </w:r>
            <w:r>
              <w:t xml:space="preserve">7 </w:t>
            </w:r>
            <w:r>
              <w:fldChar w:fldCharType="end"/>
            </w:r>
          </w:hyperlink>
        </w:p>
        <w:p w14:paraId="23D0A64B" w14:textId="77777777" w:rsidR="0060717B" w:rsidRDefault="00000000">
          <w:pPr>
            <w:pStyle w:val="TOC1"/>
            <w:tabs>
              <w:tab w:val="right" w:leader="dot" w:pos="9092"/>
            </w:tabs>
          </w:pPr>
          <w:hyperlink w:anchor="_Toc15317">
            <w:r>
              <w:rPr>
                <w:rFonts w:ascii="Arial" w:eastAsia="Arial" w:hAnsi="Arial" w:cs="Arial"/>
                <w:b/>
              </w:rPr>
              <w:t>HAMLETS: AN EPIDEMIOLOGICAL REPORT</w:t>
            </w:r>
            <w:r>
              <w:tab/>
            </w:r>
            <w:r>
              <w:fldChar w:fldCharType="begin"/>
            </w:r>
            <w:r>
              <w:instrText>PAGEREF _Toc15317 \h</w:instrText>
            </w:r>
            <w:r>
              <w:fldChar w:fldCharType="separate"/>
            </w:r>
            <w:r>
              <w:t xml:space="preserve">7 </w:t>
            </w:r>
            <w:r>
              <w:fldChar w:fldCharType="end"/>
            </w:r>
          </w:hyperlink>
        </w:p>
        <w:p w14:paraId="16883DD3" w14:textId="77777777" w:rsidR="0060717B" w:rsidRDefault="00000000">
          <w:pPr>
            <w:pStyle w:val="TOC2"/>
            <w:tabs>
              <w:tab w:val="right" w:leader="dot" w:pos="9092"/>
            </w:tabs>
          </w:pPr>
          <w:hyperlink w:anchor="_Toc15318">
            <w:r>
              <w:rPr>
                <w:rFonts w:ascii="Arial" w:eastAsia="Arial" w:hAnsi="Arial" w:cs="Arial"/>
                <w:b/>
              </w:rPr>
              <w:t>INTRODUCTION</w:t>
            </w:r>
            <w:r>
              <w:tab/>
            </w:r>
            <w:r>
              <w:fldChar w:fldCharType="begin"/>
            </w:r>
            <w:r>
              <w:instrText>PAGEREF _Toc15318 \h</w:instrText>
            </w:r>
            <w:r>
              <w:fldChar w:fldCharType="separate"/>
            </w:r>
            <w:r>
              <w:t xml:space="preserve">7 </w:t>
            </w:r>
            <w:r>
              <w:fldChar w:fldCharType="end"/>
            </w:r>
          </w:hyperlink>
        </w:p>
        <w:p w14:paraId="03B8926F" w14:textId="77777777" w:rsidR="0060717B" w:rsidRDefault="00000000">
          <w:pPr>
            <w:pStyle w:val="TOC2"/>
            <w:tabs>
              <w:tab w:val="right" w:leader="dot" w:pos="9092"/>
            </w:tabs>
          </w:pPr>
          <w:hyperlink w:anchor="_Toc15319">
            <w:r>
              <w:rPr>
                <w:rFonts w:ascii="Arial" w:eastAsia="Arial" w:hAnsi="Arial" w:cs="Arial"/>
                <w:b/>
              </w:rPr>
              <w:t>MAIN BODY</w:t>
            </w:r>
            <w:r>
              <w:tab/>
            </w:r>
            <w:r>
              <w:fldChar w:fldCharType="begin"/>
            </w:r>
            <w:r>
              <w:instrText>PAGEREF _Toc15319 \h</w:instrText>
            </w:r>
            <w:r>
              <w:fldChar w:fldCharType="separate"/>
            </w:r>
            <w:r>
              <w:t xml:space="preserve">8 </w:t>
            </w:r>
            <w:r>
              <w:fldChar w:fldCharType="end"/>
            </w:r>
          </w:hyperlink>
        </w:p>
        <w:p w14:paraId="5AD66A70" w14:textId="77777777" w:rsidR="0060717B" w:rsidRDefault="00000000">
          <w:pPr>
            <w:pStyle w:val="TOC3"/>
            <w:tabs>
              <w:tab w:val="right" w:leader="dot" w:pos="9092"/>
            </w:tabs>
          </w:pPr>
          <w:hyperlink w:anchor="_Toc15320">
            <w:r>
              <w:rPr>
                <w:rFonts w:ascii="Arial" w:eastAsia="Arial" w:hAnsi="Arial" w:cs="Arial"/>
                <w:b/>
              </w:rPr>
              <w:t>Public Health Measure: The 3p’s</w:t>
            </w:r>
            <w:r>
              <w:tab/>
            </w:r>
            <w:r>
              <w:fldChar w:fldCharType="begin"/>
            </w:r>
            <w:r>
              <w:instrText>PAGEREF _Toc15320 \h</w:instrText>
            </w:r>
            <w:r>
              <w:fldChar w:fldCharType="separate"/>
            </w:r>
            <w:r>
              <w:t xml:space="preserve">8 </w:t>
            </w:r>
            <w:r>
              <w:fldChar w:fldCharType="end"/>
            </w:r>
          </w:hyperlink>
        </w:p>
        <w:p w14:paraId="6EBE3AC7" w14:textId="77777777" w:rsidR="0060717B" w:rsidRDefault="00000000">
          <w:pPr>
            <w:pStyle w:val="TOC3"/>
            <w:tabs>
              <w:tab w:val="right" w:leader="dot" w:pos="9092"/>
            </w:tabs>
          </w:pPr>
          <w:hyperlink w:anchor="_Toc15321">
            <w:r>
              <w:rPr>
                <w:rFonts w:ascii="Arial" w:eastAsia="Arial" w:hAnsi="Arial" w:cs="Arial"/>
                <w:b/>
              </w:rPr>
              <w:t>Key determinants and risk factors</w:t>
            </w:r>
            <w:r>
              <w:tab/>
            </w:r>
            <w:r>
              <w:fldChar w:fldCharType="begin"/>
            </w:r>
            <w:r>
              <w:instrText>PAGEREF _Toc15321 \h</w:instrText>
            </w:r>
            <w:r>
              <w:fldChar w:fldCharType="separate"/>
            </w:r>
            <w:r>
              <w:t xml:space="preserve">8 </w:t>
            </w:r>
            <w:r>
              <w:fldChar w:fldCharType="end"/>
            </w:r>
          </w:hyperlink>
        </w:p>
        <w:p w14:paraId="12E1DA4F" w14:textId="77777777" w:rsidR="0060717B" w:rsidRDefault="00000000">
          <w:pPr>
            <w:pStyle w:val="TOC3"/>
            <w:tabs>
              <w:tab w:val="right" w:leader="dot" w:pos="9092"/>
            </w:tabs>
          </w:pPr>
          <w:hyperlink w:anchor="_Toc15322">
            <w:r>
              <w:rPr>
                <w:rFonts w:ascii="Arial" w:eastAsia="Arial" w:hAnsi="Arial" w:cs="Arial"/>
                <w:b/>
              </w:rPr>
              <w:t>Health needs assessment and identifying affected populations</w:t>
            </w:r>
            <w:r>
              <w:tab/>
            </w:r>
            <w:r>
              <w:fldChar w:fldCharType="begin"/>
            </w:r>
            <w:r>
              <w:instrText>PAGEREF _Toc15322 \h</w:instrText>
            </w:r>
            <w:r>
              <w:fldChar w:fldCharType="separate"/>
            </w:r>
            <w:r>
              <w:t xml:space="preserve">9 </w:t>
            </w:r>
            <w:r>
              <w:fldChar w:fldCharType="end"/>
            </w:r>
          </w:hyperlink>
        </w:p>
        <w:p w14:paraId="7D80BF78" w14:textId="77777777" w:rsidR="0060717B" w:rsidRDefault="00000000">
          <w:pPr>
            <w:pStyle w:val="TOC3"/>
            <w:tabs>
              <w:tab w:val="right" w:leader="dot" w:pos="9092"/>
            </w:tabs>
          </w:pPr>
          <w:hyperlink w:anchor="_Toc15323">
            <w:r>
              <w:rPr>
                <w:rFonts w:ascii="Arial" w:eastAsia="Arial" w:hAnsi="Arial" w:cs="Arial"/>
                <w:b/>
              </w:rPr>
              <w:t>Monitoring and surveillance systems</w:t>
            </w:r>
            <w:r>
              <w:tab/>
            </w:r>
            <w:r>
              <w:fldChar w:fldCharType="begin"/>
            </w:r>
            <w:r>
              <w:instrText>PAGEREF _Toc15323 \h</w:instrText>
            </w:r>
            <w:r>
              <w:fldChar w:fldCharType="separate"/>
            </w:r>
            <w:r>
              <w:t xml:space="preserve">10 </w:t>
            </w:r>
            <w:r>
              <w:fldChar w:fldCharType="end"/>
            </w:r>
          </w:hyperlink>
        </w:p>
        <w:p w14:paraId="4F3E5654" w14:textId="77777777" w:rsidR="0060717B" w:rsidRDefault="00000000">
          <w:pPr>
            <w:pStyle w:val="TOC3"/>
            <w:tabs>
              <w:tab w:val="right" w:leader="dot" w:pos="9092"/>
            </w:tabs>
          </w:pPr>
          <w:hyperlink w:anchor="_Toc15324">
            <w:r>
              <w:rPr>
                <w:rFonts w:ascii="Arial" w:eastAsia="Arial" w:hAnsi="Arial" w:cs="Arial"/>
                <w:b/>
              </w:rPr>
              <w:t>Public health impact: short- and long-term consequences</w:t>
            </w:r>
            <w:r>
              <w:tab/>
            </w:r>
            <w:r>
              <w:fldChar w:fldCharType="begin"/>
            </w:r>
            <w:r>
              <w:instrText>PAGEREF _Toc15324 \h</w:instrText>
            </w:r>
            <w:r>
              <w:fldChar w:fldCharType="separate"/>
            </w:r>
            <w:r>
              <w:t xml:space="preserve">11 </w:t>
            </w:r>
            <w:r>
              <w:fldChar w:fldCharType="end"/>
            </w:r>
          </w:hyperlink>
        </w:p>
        <w:p w14:paraId="2582B88C" w14:textId="77777777" w:rsidR="0060717B" w:rsidRDefault="00000000">
          <w:pPr>
            <w:pStyle w:val="TOC2"/>
            <w:tabs>
              <w:tab w:val="right" w:leader="dot" w:pos="9092"/>
            </w:tabs>
          </w:pPr>
          <w:hyperlink w:anchor="_Toc15325">
            <w:r>
              <w:rPr>
                <w:rFonts w:ascii="Arial" w:eastAsia="Arial" w:hAnsi="Arial" w:cs="Arial"/>
                <w:b/>
              </w:rPr>
              <w:t>METHOD OF EVALUATION</w:t>
            </w:r>
            <w:r>
              <w:tab/>
            </w:r>
            <w:r>
              <w:fldChar w:fldCharType="begin"/>
            </w:r>
            <w:r>
              <w:instrText>PAGEREF _Toc15325 \h</w:instrText>
            </w:r>
            <w:r>
              <w:fldChar w:fldCharType="separate"/>
            </w:r>
            <w:r>
              <w:t xml:space="preserve">12 </w:t>
            </w:r>
            <w:r>
              <w:fldChar w:fldCharType="end"/>
            </w:r>
          </w:hyperlink>
        </w:p>
        <w:p w14:paraId="22EE9925" w14:textId="77777777" w:rsidR="0060717B" w:rsidRDefault="00000000">
          <w:pPr>
            <w:pStyle w:val="TOC2"/>
            <w:tabs>
              <w:tab w:val="right" w:leader="dot" w:pos="9092"/>
            </w:tabs>
          </w:pPr>
          <w:hyperlink w:anchor="_Toc15326">
            <w:r>
              <w:rPr>
                <w:rFonts w:ascii="Arial" w:eastAsia="Arial" w:hAnsi="Arial" w:cs="Arial"/>
                <w:b/>
              </w:rPr>
              <w:t>STRENGTHS AND WEAKNESSES OF THE EPIDEMIOLOGICAL APPROACH</w:t>
            </w:r>
            <w:r>
              <w:tab/>
            </w:r>
            <w:r>
              <w:fldChar w:fldCharType="begin"/>
            </w:r>
            <w:r>
              <w:instrText>PAGEREF _Toc15326 \h</w:instrText>
            </w:r>
            <w:r>
              <w:fldChar w:fldCharType="separate"/>
            </w:r>
            <w:r>
              <w:t xml:space="preserve">12 </w:t>
            </w:r>
            <w:r>
              <w:fldChar w:fldCharType="end"/>
            </w:r>
          </w:hyperlink>
        </w:p>
        <w:p w14:paraId="3675E274" w14:textId="77777777" w:rsidR="0060717B" w:rsidRDefault="00000000">
          <w:pPr>
            <w:pStyle w:val="TOC2"/>
            <w:tabs>
              <w:tab w:val="right" w:leader="dot" w:pos="9092"/>
            </w:tabs>
          </w:pPr>
          <w:hyperlink w:anchor="_Toc15327">
            <w:r>
              <w:rPr>
                <w:rFonts w:ascii="Arial" w:eastAsia="Arial" w:hAnsi="Arial" w:cs="Arial"/>
                <w:b/>
              </w:rPr>
              <w:t>REFERENCES</w:t>
            </w:r>
            <w:r>
              <w:tab/>
            </w:r>
            <w:r>
              <w:fldChar w:fldCharType="begin"/>
            </w:r>
            <w:r>
              <w:instrText>PAGEREF _Toc15327 \h</w:instrText>
            </w:r>
            <w:r>
              <w:fldChar w:fldCharType="separate"/>
            </w:r>
            <w:r>
              <w:t xml:space="preserve">13 </w:t>
            </w:r>
            <w:r>
              <w:fldChar w:fldCharType="end"/>
            </w:r>
          </w:hyperlink>
        </w:p>
        <w:p w14:paraId="637D56F4" w14:textId="77777777" w:rsidR="0060717B" w:rsidRDefault="00000000">
          <w:r>
            <w:fldChar w:fldCharType="end"/>
          </w:r>
        </w:p>
      </w:sdtContent>
    </w:sdt>
    <w:p w14:paraId="5A7DAE2C" w14:textId="7AE351DD" w:rsidR="0060717B" w:rsidRDefault="00000000" w:rsidP="00C4414A">
      <w:pPr>
        <w:pStyle w:val="Heading2"/>
        <w:spacing w:after="276"/>
        <w:ind w:left="235"/>
        <w:jc w:val="center"/>
      </w:pPr>
      <w:bookmarkStart w:id="0" w:name="_Toc15301"/>
      <w:r>
        <w:rPr>
          <w:sz w:val="24"/>
        </w:rPr>
        <w:lastRenderedPageBreak/>
        <w:t>TASK 1</w:t>
      </w:r>
      <w:bookmarkEnd w:id="0"/>
    </w:p>
    <w:p w14:paraId="228FBE87" w14:textId="77777777" w:rsidR="0060717B" w:rsidRDefault="00000000">
      <w:pPr>
        <w:pStyle w:val="Heading2"/>
        <w:spacing w:after="270" w:line="265" w:lineRule="auto"/>
        <w:ind w:right="70"/>
        <w:jc w:val="center"/>
      </w:pPr>
      <w:bookmarkStart w:id="1" w:name="_Toc15302"/>
      <w:r>
        <w:rPr>
          <w:sz w:val="24"/>
        </w:rPr>
        <w:t xml:space="preserve">SOCIAL EPIDEMIOLOGICAL ANALYSIS </w:t>
      </w:r>
      <w:bookmarkEnd w:id="1"/>
    </w:p>
    <w:p w14:paraId="7F8D1423" w14:textId="77777777" w:rsidR="0060717B" w:rsidRDefault="00000000">
      <w:pPr>
        <w:pStyle w:val="Heading3"/>
        <w:spacing w:after="193" w:line="265" w:lineRule="auto"/>
        <w:ind w:right="66"/>
        <w:jc w:val="center"/>
      </w:pPr>
      <w:bookmarkStart w:id="2" w:name="_Toc15303"/>
      <w:r>
        <w:rPr>
          <w:sz w:val="24"/>
        </w:rPr>
        <w:t xml:space="preserve">GENDER AND HEALTH INEQUALITY IN THE UK </w:t>
      </w:r>
      <w:bookmarkEnd w:id="2"/>
    </w:p>
    <w:p w14:paraId="624A6D69" w14:textId="77777777" w:rsidR="0060717B" w:rsidRDefault="00000000">
      <w:pPr>
        <w:spacing w:after="161" w:line="259" w:lineRule="auto"/>
        <w:ind w:left="0" w:right="0" w:firstLine="0"/>
        <w:jc w:val="left"/>
      </w:pPr>
      <w:r>
        <w:rPr>
          <w:rFonts w:ascii="Calibri" w:eastAsia="Calibri" w:hAnsi="Calibri" w:cs="Calibri"/>
          <w:sz w:val="24"/>
        </w:rPr>
        <w:t xml:space="preserve"> </w:t>
      </w:r>
    </w:p>
    <w:p w14:paraId="5C544828" w14:textId="77777777" w:rsidR="0060717B" w:rsidRDefault="00000000">
      <w:pPr>
        <w:pStyle w:val="Heading2"/>
        <w:spacing w:after="187"/>
        <w:ind w:left="-5"/>
      </w:pPr>
      <w:bookmarkStart w:id="3" w:name="_Toc15304"/>
      <w:r>
        <w:t xml:space="preserve">INTRODUCTION </w:t>
      </w:r>
      <w:bookmarkEnd w:id="3"/>
    </w:p>
    <w:p w14:paraId="28611FC4" w14:textId="77777777" w:rsidR="0060717B" w:rsidRDefault="00000000">
      <w:pPr>
        <w:ind w:left="-5" w:right="51"/>
      </w:pPr>
      <w:r>
        <w:t xml:space="preserve">Gender- based health inequalities are systemic disparities in health outcomes, healthcare access, and treatment associated with </w:t>
      </w:r>
      <w:proofErr w:type="gramStart"/>
      <w:r>
        <w:t>gender(</w:t>
      </w:r>
      <w:proofErr w:type="gramEnd"/>
      <w:r>
        <w:t>(Bambra, Albani and Franklin, 2021). In the UK, women experience substantial health inequalities, despite living longer than men. Women outlive men by approximately four years, but spend a greater proportion of their lives in poor health (</w:t>
      </w:r>
      <w:proofErr w:type="spellStart"/>
      <w:r>
        <w:t>Allel</w:t>
      </w:r>
      <w:proofErr w:type="spellEnd"/>
      <w:r>
        <w:t xml:space="preserve"> et al., 2021; Di Lego, Nepomuceno and Turra, 2025). The UK possess the largest female health gap among all G20 countries and ranks 12</w:t>
      </w:r>
      <w:r>
        <w:rPr>
          <w:vertAlign w:val="superscript"/>
        </w:rPr>
        <w:t>th</w:t>
      </w:r>
      <w:r>
        <w:t xml:space="preserve"> globally for gender health disparity (Benenden Health, 2024; Jeffrey, 2025). These inequalities reflect biological sex differences, gender roles, systemic biases within medical research, and socio-economic factors (Cooper and Tabana, 2021; </w:t>
      </w:r>
      <w:proofErr w:type="spellStart"/>
      <w:r>
        <w:t>Goberna</w:t>
      </w:r>
      <w:proofErr w:type="spellEnd"/>
      <w:r>
        <w:t xml:space="preserve">-Tricas, 2024). </w:t>
      </w:r>
    </w:p>
    <w:p w14:paraId="145DDE20" w14:textId="77777777" w:rsidR="00C4414A" w:rsidRDefault="00C4414A">
      <w:pPr>
        <w:pStyle w:val="Heading2"/>
        <w:ind w:left="-5"/>
      </w:pPr>
      <w:bookmarkStart w:id="4" w:name="_Toc15305"/>
    </w:p>
    <w:p w14:paraId="310C77FF" w14:textId="7C4C40C6" w:rsidR="0060717B" w:rsidRDefault="00000000">
      <w:pPr>
        <w:pStyle w:val="Heading2"/>
        <w:ind w:left="-5"/>
      </w:pPr>
      <w:r>
        <w:t xml:space="preserve">CONTEXTUAL BACKGROUND AND UNDERLYING FACTORS </w:t>
      </w:r>
      <w:bookmarkEnd w:id="4"/>
    </w:p>
    <w:p w14:paraId="46644AA7" w14:textId="77777777" w:rsidR="0060717B" w:rsidRDefault="00000000">
      <w:pPr>
        <w:pStyle w:val="Heading3"/>
        <w:spacing w:after="185"/>
        <w:ind w:left="-5"/>
      </w:pPr>
      <w:bookmarkStart w:id="5" w:name="_Toc15306"/>
      <w:r>
        <w:t xml:space="preserve">Higher rates of CVD mortality among women </w:t>
      </w:r>
      <w:bookmarkEnd w:id="5"/>
    </w:p>
    <w:p w14:paraId="1090BA6B" w14:textId="77777777" w:rsidR="0060717B" w:rsidRDefault="00000000">
      <w:pPr>
        <w:ind w:left="-5" w:right="51"/>
      </w:pPr>
      <w:r>
        <w:t xml:space="preserve">Cardiovascular disease (CVD) remains the leading cause of morbidity and mortality among women in the UK, yet women are systematically underdiagnosed and undertreated compared to men (Tayal et al., 2024). Women constitute less than 30% of participants in cardiovascular clinical trials, participants, limiting applicability to female patients (Bosomworth and Khan, 2023). Psychosocial risk factors and socioeconomic deprivation also affect women’s cardiovascular health, and significant regional variations in age-standardised mortality rates persist even within the NHS (Tayal et al., 2024). Women with CVD symptoms are more likely to experience diagnostic delays, with a typical symptom presentation frequently misattributed to non-cardiac causes. Solutions include developing sex-specific guidance, increasing female research representation, and clinical training reduce these inequalities (Bosomworth and Khan, 2023; </w:t>
      </w:r>
      <w:proofErr w:type="spellStart"/>
      <w:r>
        <w:t>Kunadian</w:t>
      </w:r>
      <w:proofErr w:type="spellEnd"/>
      <w:r>
        <w:t xml:space="preserve"> et al., 2025). </w:t>
      </w:r>
    </w:p>
    <w:p w14:paraId="1B4C54DE" w14:textId="77777777" w:rsidR="0060717B" w:rsidRDefault="00000000">
      <w:pPr>
        <w:pStyle w:val="Heading3"/>
        <w:spacing w:after="187"/>
        <w:ind w:left="-5"/>
      </w:pPr>
      <w:bookmarkStart w:id="6" w:name="_Toc15307"/>
      <w:r>
        <w:rPr>
          <w:b w:val="0"/>
        </w:rPr>
        <w:t xml:space="preserve"> </w:t>
      </w:r>
      <w:r>
        <w:t>Higher Prevalence of Mental illness among women</w:t>
      </w:r>
      <w:r>
        <w:rPr>
          <w:b w:val="0"/>
        </w:rPr>
        <w:t xml:space="preserve"> </w:t>
      </w:r>
      <w:bookmarkEnd w:id="6"/>
    </w:p>
    <w:p w14:paraId="5A6092C0" w14:textId="77777777" w:rsidR="0060717B" w:rsidRDefault="00000000">
      <w:pPr>
        <w:spacing w:after="0"/>
        <w:ind w:left="-5" w:right="51"/>
      </w:pPr>
      <w:r>
        <w:t xml:space="preserve">Women in the UK experience higher prevalence of common mental health problems (CMHPs) than men, with gender disparities evident across 11 of 20 industries (Chen and Wang, 2023). In some sectors, women are over 6 times more likely to screen positive for mental health difficulties, with the widest disparity found in arts, entertainment, and recreation (adjusted OR= </w:t>
      </w:r>
    </w:p>
    <w:p w14:paraId="45EAC23E" w14:textId="77777777" w:rsidR="0060717B" w:rsidRDefault="00000000">
      <w:pPr>
        <w:ind w:left="-5" w:right="51"/>
      </w:pPr>
      <w:r>
        <w:lastRenderedPageBreak/>
        <w:t xml:space="preserve">6.19) (Chen and Wang, 2023). The COVIS-19 pandemic exacerbated these inequalities, for mothers managing domestic work, home schooling, and employment (Ellison, 2023; Chen, 2024). Intimated partner violence (IPV) further compounds the mental health burden, with anxiety and major depressive disorder among the leading causes of IPV- attributed disability- adjusted life years among women (Lancet, 2026). Solutions include expanding women’s health hubs, integrated mental support into routine care, and implementing workplace reforms that address the gendered distribution of unpaid care work (Jeffrey, 2025).  </w:t>
      </w:r>
    </w:p>
    <w:p w14:paraId="5A2A8CFA" w14:textId="77777777" w:rsidR="0060717B" w:rsidRDefault="00000000">
      <w:pPr>
        <w:pStyle w:val="Heading3"/>
        <w:spacing w:after="187"/>
        <w:ind w:left="-5"/>
      </w:pPr>
      <w:bookmarkStart w:id="7" w:name="_Toc15308"/>
      <w:r>
        <w:t xml:space="preserve">Increasing Maternal Mortality rates among women  </w:t>
      </w:r>
      <w:bookmarkEnd w:id="7"/>
    </w:p>
    <w:p w14:paraId="2D6F4576" w14:textId="77777777" w:rsidR="0060717B" w:rsidRDefault="00000000">
      <w:pPr>
        <w:ind w:left="-5" w:right="51"/>
      </w:pPr>
      <w:r>
        <w:t xml:space="preserve">Maternal mortality has increase in the UK. MBRRACE-UK reported 53% increase in maternal deaths during 2020-2022 compared to the previous three-year reporting period, reaching 13.56/100,000 maternities (MBRRACE-UK, 2024). Black women are 4 times more likely to die during pregnancy and childbirth, demonstrating the intersection of gender and racial inequality (The Women's Organisation, 2026). Maternal mortality rate in 2022-2024 was 20% higher than in 2009- 2011 (MBRRACE-UK, 2024). Solutions include addressing structural racism, improving postnatal competent care (Connolly and Regan, 2022). </w:t>
      </w:r>
    </w:p>
    <w:p w14:paraId="20C89643" w14:textId="77777777" w:rsidR="0060717B" w:rsidRDefault="00000000">
      <w:pPr>
        <w:pStyle w:val="Heading3"/>
        <w:spacing w:after="187"/>
        <w:ind w:left="-5"/>
      </w:pPr>
      <w:bookmarkStart w:id="8" w:name="_Toc15309"/>
      <w:r>
        <w:t xml:space="preserve">Domestic Violence and Abuse Against Women  </w:t>
      </w:r>
      <w:bookmarkEnd w:id="8"/>
    </w:p>
    <w:p w14:paraId="4A394C60" w14:textId="77777777" w:rsidR="0060717B" w:rsidRDefault="00000000">
      <w:pPr>
        <w:ind w:left="-5" w:right="51"/>
      </w:pPr>
      <w:r>
        <w:t xml:space="preserve">Domestic abuse disproportionately affects women in the UK. In the year ending March 2025, an estimated 2.2 million females (9.1%) experienced domestic abuse compared to 1.5 million males (6.5%) (ONS, 2025). One in four women will experience domestic abuse during their lifetime, while one in three pregnant women experiences escalation or onset of abuse during pregnancy (NCDV, 2022). Consequences extend beyond physical injury to mental health disorders, substance misuse, and chronic disease (Lancet, 2026). Investment in refuges, specialist services, and trauma-informed healthcare provision is required alongside implementation of domestic abuse act 2021.  </w:t>
      </w:r>
    </w:p>
    <w:p w14:paraId="1333D605" w14:textId="77777777" w:rsidR="0060717B" w:rsidRDefault="00000000">
      <w:pPr>
        <w:pStyle w:val="Heading3"/>
        <w:spacing w:after="187"/>
        <w:ind w:left="-5"/>
      </w:pPr>
      <w:bookmarkStart w:id="9" w:name="_Toc15310"/>
      <w:r>
        <w:t xml:space="preserve">Gender </w:t>
      </w:r>
      <w:proofErr w:type="gramStart"/>
      <w:r>
        <w:t>pay</w:t>
      </w:r>
      <w:proofErr w:type="gramEnd"/>
      <w:r>
        <w:t xml:space="preserve"> gap and economic disadvantage </w:t>
      </w:r>
      <w:bookmarkEnd w:id="9"/>
    </w:p>
    <w:p w14:paraId="46A63ACF" w14:textId="77777777" w:rsidR="0060717B" w:rsidRDefault="00000000">
      <w:pPr>
        <w:ind w:left="-5" w:right="51"/>
      </w:pPr>
      <w:r>
        <w:t xml:space="preserve">Economic inequality fundamentally undermines women’s health by restricting access to resources, services, and decision-making power. The UK gender pay gap was 7.7% among </w:t>
      </w:r>
      <w:proofErr w:type="gramStart"/>
      <w:r>
        <w:t>full time</w:t>
      </w:r>
      <w:proofErr w:type="gramEnd"/>
      <w:r>
        <w:t xml:space="preserve"> employees in 2024 (Statista, 2025). Menopause costs the UK economy approximately £10 billion annually, with one in ten women leave employment due to symptoms (The Women's Organisation, 2026). Women take on average nine days of annual leave to manage health concerns, and more than a third experience workplace anxiety related to their health (Benenden Health, 2024). Solutions include mandating workplace menopause policies, enforcing flexible working arrangements, and implementing targeted financial support for women with chronic health conditions that reduce economic participation. </w:t>
      </w:r>
    </w:p>
    <w:p w14:paraId="722AEB7E" w14:textId="77777777" w:rsidR="0060717B" w:rsidRDefault="00000000">
      <w:pPr>
        <w:pStyle w:val="Heading3"/>
        <w:spacing w:after="185"/>
        <w:ind w:left="-5"/>
      </w:pPr>
      <w:bookmarkStart w:id="10" w:name="_Toc15311"/>
      <w:r>
        <w:lastRenderedPageBreak/>
        <w:t xml:space="preserve">Gender bias in medical research and healthcare access </w:t>
      </w:r>
      <w:bookmarkEnd w:id="10"/>
    </w:p>
    <w:p w14:paraId="739927DF" w14:textId="77777777" w:rsidR="0060717B" w:rsidRDefault="00000000">
      <w:pPr>
        <w:ind w:left="-5" w:right="51"/>
      </w:pPr>
      <w:r>
        <w:t>Male-centred medical research has contributed to diagnostic and treatment biases against women. Research on erectile dysfunction (affecting 19% of men) is conducted five times more frequently than research on premenstrual syndrome despite the later affecting 90% of women (The Women's Organisation, 2026). Women with endometriosis take an average of 8years to receive a diagnosis while 80% of women report that medical professionals have not listened to or believed them (The Women's Organisation, 2026, Benenden Health, 2024). Sex and gender- disaggregated reporting, women’s health hubs and gender-awareness training could improve healthcare responsiveness (</w:t>
      </w:r>
      <w:proofErr w:type="spellStart"/>
      <w:r>
        <w:t>Goberna</w:t>
      </w:r>
      <w:proofErr w:type="spellEnd"/>
      <w:r>
        <w:t xml:space="preserve">-Tricas, 2024; Jeffrey, 2025). </w:t>
      </w:r>
    </w:p>
    <w:p w14:paraId="559B93D1" w14:textId="77777777" w:rsidR="0060717B" w:rsidRDefault="00000000">
      <w:pPr>
        <w:spacing w:after="59" w:line="259" w:lineRule="auto"/>
        <w:ind w:left="0" w:right="0" w:firstLine="0"/>
        <w:jc w:val="left"/>
      </w:pPr>
      <w:r>
        <w:t xml:space="preserve"> </w:t>
      </w:r>
    </w:p>
    <w:p w14:paraId="4C8291DD" w14:textId="77777777" w:rsidR="0060717B" w:rsidRDefault="00000000">
      <w:pPr>
        <w:spacing w:after="218" w:line="259" w:lineRule="auto"/>
        <w:ind w:left="0" w:right="0" w:firstLine="0"/>
        <w:jc w:val="right"/>
      </w:pPr>
      <w:r>
        <w:rPr>
          <w:noProof/>
        </w:rPr>
        <w:drawing>
          <wp:inline distT="0" distB="0" distL="0" distR="0" wp14:anchorId="0DD38F4D" wp14:editId="082D2BE2">
            <wp:extent cx="5731510" cy="3253105"/>
            <wp:effectExtent l="0" t="0" r="0" b="0"/>
            <wp:docPr id="681" name="Picture 681"/>
            <wp:cNvGraphicFramePr/>
            <a:graphic xmlns:a="http://schemas.openxmlformats.org/drawingml/2006/main">
              <a:graphicData uri="http://schemas.openxmlformats.org/drawingml/2006/picture">
                <pic:pic xmlns:pic="http://schemas.openxmlformats.org/drawingml/2006/picture">
                  <pic:nvPicPr>
                    <pic:cNvPr id="681" name="Picture 681"/>
                    <pic:cNvPicPr/>
                  </pic:nvPicPr>
                  <pic:blipFill>
                    <a:blip r:embed="rId5"/>
                    <a:stretch>
                      <a:fillRect/>
                    </a:stretch>
                  </pic:blipFill>
                  <pic:spPr>
                    <a:xfrm>
                      <a:off x="0" y="0"/>
                      <a:ext cx="5731510" cy="3253105"/>
                    </a:xfrm>
                    <a:prstGeom prst="rect">
                      <a:avLst/>
                    </a:prstGeom>
                  </pic:spPr>
                </pic:pic>
              </a:graphicData>
            </a:graphic>
          </wp:inline>
        </w:drawing>
      </w:r>
      <w:r>
        <w:t xml:space="preserve"> </w:t>
      </w:r>
    </w:p>
    <w:p w14:paraId="4822BC6D" w14:textId="77777777" w:rsidR="0060717B" w:rsidRDefault="00000000">
      <w:pPr>
        <w:spacing w:after="156" w:line="361" w:lineRule="auto"/>
        <w:ind w:left="-5" w:right="0"/>
        <w:jc w:val="left"/>
      </w:pPr>
      <w:r>
        <w:t>Fig 1 illustrates the key gender health inequality statistics (2024-2025)</w:t>
      </w:r>
      <w:r>
        <w:rPr>
          <w:i/>
        </w:rPr>
        <w:t xml:space="preserve"> Benenden Health (2024); MBRRACE-UK (2024); ONS (2025); The Women's Organisation (2026). </w:t>
      </w:r>
    </w:p>
    <w:p w14:paraId="77A38613" w14:textId="77777777" w:rsidR="0060717B" w:rsidRDefault="00000000">
      <w:pPr>
        <w:spacing w:after="266" w:line="259" w:lineRule="auto"/>
        <w:ind w:left="0" w:right="0" w:firstLine="0"/>
        <w:jc w:val="left"/>
      </w:pPr>
      <w:r>
        <w:rPr>
          <w:b/>
        </w:rPr>
        <w:t xml:space="preserve"> </w:t>
      </w:r>
    </w:p>
    <w:p w14:paraId="575B76FE" w14:textId="77777777" w:rsidR="0060717B" w:rsidRDefault="00000000">
      <w:pPr>
        <w:pStyle w:val="Heading2"/>
        <w:spacing w:after="184"/>
        <w:ind w:left="-5"/>
      </w:pPr>
      <w:bookmarkStart w:id="11" w:name="_Toc15312"/>
      <w:r>
        <w:t xml:space="preserve">NATIONAL RESPONSE TO REDUCE HEALTH INEQUALITIES IN WOMEN  </w:t>
      </w:r>
      <w:bookmarkEnd w:id="11"/>
    </w:p>
    <w:p w14:paraId="6AF0E448" w14:textId="77777777" w:rsidR="0060717B" w:rsidRDefault="00000000">
      <w:pPr>
        <w:ind w:left="-5" w:right="51"/>
      </w:pPr>
      <w:r>
        <w:t xml:space="preserve">First Women’s health strategy for England, initially published in 2022 and renewed in April 2026, represents a 10- year framework for improving women’s health and healthcare (DHSC, 2022; DHSC, 2026). The strategy commits to expanding women’s health hubs, improving access to contraception, and addressing the gender data gap in medical research.  </w:t>
      </w:r>
    </w:p>
    <w:p w14:paraId="3672A195" w14:textId="77777777" w:rsidR="0060717B" w:rsidRDefault="00000000">
      <w:pPr>
        <w:ind w:left="-5" w:right="51"/>
      </w:pPr>
      <w:r>
        <w:t xml:space="preserve">Second, the domestic abuse act 2021 represents landmark legislation that created a legal framework recognising domestic abuse as a public health issue. The act established a </w:t>
      </w:r>
      <w:r>
        <w:lastRenderedPageBreak/>
        <w:t xml:space="preserve">statutory definition of domestic abuse that includes economic abuse and recognises children as victims in their own right (Home Office, 2022). Together, these policy interventions signal a national recognition that gender health inequalities require systemic, legislative, and cultural change.  </w:t>
      </w:r>
    </w:p>
    <w:p w14:paraId="66AD9BAE" w14:textId="77777777" w:rsidR="0060717B" w:rsidRDefault="00000000">
      <w:pPr>
        <w:spacing w:after="268" w:line="259" w:lineRule="auto"/>
        <w:ind w:left="0" w:right="0" w:firstLine="0"/>
        <w:jc w:val="left"/>
      </w:pPr>
      <w:r>
        <w:rPr>
          <w:b/>
        </w:rPr>
        <w:t xml:space="preserve"> </w:t>
      </w:r>
    </w:p>
    <w:p w14:paraId="2D3A5826" w14:textId="77777777" w:rsidR="0060717B" w:rsidRDefault="00000000">
      <w:pPr>
        <w:pStyle w:val="Heading2"/>
        <w:spacing w:after="182"/>
        <w:ind w:left="-5"/>
      </w:pPr>
      <w:bookmarkStart w:id="12" w:name="_Toc15313"/>
      <w:r>
        <w:t xml:space="preserve">ORGANISATIONS THAT SUPPORT THE CHOSEN GROUP  </w:t>
      </w:r>
      <w:bookmarkEnd w:id="12"/>
    </w:p>
    <w:p w14:paraId="32547FE6" w14:textId="77777777" w:rsidR="0060717B" w:rsidRDefault="00000000">
      <w:pPr>
        <w:ind w:left="-5" w:right="51"/>
      </w:pPr>
      <w:r>
        <w:t xml:space="preserve">The Fawcett society campaigns for gender equality and women’s rights. It raises awareness through research on the gender pay gap, menopause rights and race-gender health intersections (Fawcett Society, 2024). Their goals include legal and policy change that removes structural barriers to women’s health and economic equality, producing authoritative research on the scale of gender-based inequalities, and campaigning for equitable treatment commitment to translating research evidence into actionable public health recommendations that address both the symptoms and root causes of gender health inequality (Benenden Health, 2024). </w:t>
      </w:r>
    </w:p>
    <w:p w14:paraId="6EBB6914" w14:textId="77777777" w:rsidR="0060717B" w:rsidRDefault="00000000">
      <w:pPr>
        <w:spacing w:after="266" w:line="259" w:lineRule="auto"/>
        <w:ind w:left="0" w:right="0" w:firstLine="0"/>
        <w:jc w:val="left"/>
      </w:pPr>
      <w:r>
        <w:rPr>
          <w:b/>
        </w:rPr>
        <w:t xml:space="preserve"> </w:t>
      </w:r>
    </w:p>
    <w:p w14:paraId="26BB0BE5" w14:textId="77777777" w:rsidR="0060717B" w:rsidRDefault="00000000">
      <w:pPr>
        <w:pStyle w:val="Heading2"/>
        <w:spacing w:after="184"/>
        <w:ind w:left="-5"/>
      </w:pPr>
      <w:bookmarkStart w:id="13" w:name="_Toc15314"/>
      <w:r>
        <w:t xml:space="preserve">CONCLUSION </w:t>
      </w:r>
      <w:bookmarkEnd w:id="13"/>
    </w:p>
    <w:p w14:paraId="70C40BC2" w14:textId="77777777" w:rsidR="0060717B" w:rsidRDefault="00000000">
      <w:pPr>
        <w:ind w:left="-5" w:right="51"/>
      </w:pPr>
      <w:r>
        <w:t xml:space="preserve">This analysis demonstrates that women in the UK experience interconnected inequalities involving cardiovascular diseases, rising mental health burden, maternal mortality, and social injustices including domestic violence and economic violence and disadvantage. These disparities are compounded by systemic gender bias in medical research and healthcare delivery that leaves women chronically misunderstood, mistreated, and misdiagnosed. National policy responses, notably the women’s health strategy for England and the domestic act 2021, represent important steps forward but must be accompanied by sustained investment, cultural change within healthcare, and intersectional approaches that acknowledge the compounding effects of race and deprivation. Gender health equity therefore requires healthcare reform alongside wider social and economic change.  </w:t>
      </w:r>
    </w:p>
    <w:p w14:paraId="2C03FAD4" w14:textId="77777777" w:rsidR="0060717B" w:rsidRDefault="00000000">
      <w:pPr>
        <w:spacing w:after="285" w:line="259" w:lineRule="auto"/>
        <w:ind w:left="0" w:right="0" w:firstLine="0"/>
        <w:jc w:val="left"/>
      </w:pPr>
      <w:r>
        <w:t xml:space="preserve"> </w:t>
      </w:r>
    </w:p>
    <w:p w14:paraId="2FBA597A" w14:textId="77777777" w:rsidR="0060717B" w:rsidRDefault="00000000">
      <w:pPr>
        <w:spacing w:after="0" w:line="259" w:lineRule="auto"/>
        <w:ind w:left="0" w:right="0" w:firstLine="0"/>
        <w:jc w:val="left"/>
      </w:pPr>
      <w:r>
        <w:t xml:space="preserve"> </w:t>
      </w:r>
      <w:r>
        <w:tab/>
        <w:t xml:space="preserve"> </w:t>
      </w:r>
    </w:p>
    <w:p w14:paraId="1B077B95" w14:textId="77777777" w:rsidR="0060717B" w:rsidRDefault="00000000">
      <w:pPr>
        <w:pStyle w:val="Heading1"/>
        <w:ind w:left="10" w:right="65"/>
      </w:pPr>
      <w:bookmarkStart w:id="14" w:name="_Toc15315"/>
      <w:r>
        <w:lastRenderedPageBreak/>
        <w:t xml:space="preserve">TASK 2 </w:t>
      </w:r>
      <w:bookmarkEnd w:id="14"/>
    </w:p>
    <w:p w14:paraId="091CC9F1" w14:textId="77777777" w:rsidR="0060717B" w:rsidRDefault="00000000">
      <w:pPr>
        <w:pStyle w:val="Heading1"/>
        <w:ind w:left="10" w:right="65"/>
      </w:pPr>
      <w:bookmarkStart w:id="15" w:name="_Toc15316"/>
      <w:r>
        <w:t xml:space="preserve">EPIDEMIOLOGICAL ANALYSIS BREAST CANCER IN WOMEN IN THE LONDON BOROUGH OF TOWER </w:t>
      </w:r>
      <w:bookmarkEnd w:id="15"/>
    </w:p>
    <w:p w14:paraId="307BC89E" w14:textId="77777777" w:rsidR="0060717B" w:rsidRDefault="00000000">
      <w:pPr>
        <w:pStyle w:val="Heading1"/>
        <w:spacing w:after="65" w:line="359" w:lineRule="auto"/>
        <w:ind w:left="10"/>
      </w:pPr>
      <w:bookmarkStart w:id="16" w:name="_Toc15317"/>
      <w:r>
        <w:t xml:space="preserve">HAMLETS: AN EPIDEMIOLOGICAL REPORT </w:t>
      </w:r>
      <w:bookmarkEnd w:id="16"/>
    </w:p>
    <w:p w14:paraId="17CC135E" w14:textId="77777777" w:rsidR="0060717B" w:rsidRDefault="00000000">
      <w:pPr>
        <w:spacing w:after="263" w:line="259" w:lineRule="auto"/>
        <w:ind w:left="0" w:right="0" w:firstLine="0"/>
        <w:jc w:val="left"/>
      </w:pPr>
      <w:r>
        <w:rPr>
          <w:i/>
        </w:rPr>
        <w:t xml:space="preserve"> </w:t>
      </w:r>
    </w:p>
    <w:p w14:paraId="0B0FB8F2" w14:textId="77777777" w:rsidR="0060717B" w:rsidRDefault="00000000">
      <w:pPr>
        <w:pStyle w:val="Heading2"/>
        <w:spacing w:after="184"/>
        <w:ind w:left="-5"/>
      </w:pPr>
      <w:bookmarkStart w:id="17" w:name="_Toc15318"/>
      <w:r>
        <w:t xml:space="preserve">INTRODUCTION </w:t>
      </w:r>
      <w:bookmarkEnd w:id="17"/>
    </w:p>
    <w:p w14:paraId="7536CD70" w14:textId="77777777" w:rsidR="0060717B" w:rsidRDefault="00000000">
      <w:pPr>
        <w:spacing w:after="107"/>
        <w:ind w:left="-5" w:right="51"/>
      </w:pPr>
      <w:r>
        <w:t xml:space="preserve">Breast cancer is the most common cancer diagnosed in women globally, characterised by the uncontrolled proliferation of abnormal cells within breast tissue, primarily originating in the ducts or lobules (Katsura et al., 2022). The disease carriers substantial social, cultural and health consequences: it can profoundly affect the body image, intimate relationships, mental health, and economic productivity. Breast cancer costed the UK economy approximately £3.2 billion in 2025, with wellbeing costs estimated at £20.2 billion (Breast Cancer Now, 2025). Worldwide, there were an estimated 2.30million new cases and 764,000 deaths among females in 2023 (Lancet Oncology, 2026). In the UK, breast cancer accounts for 30% of all new female cancer cases, with approximately 56,400 women diagnosed annually at a European age-standardised incidence rate of 169.9/100,000 (Cancer Research UK, 2023). Crude prevalence in 2021 was 2.1% for UK females, and survival probability at one, five, and ten years was 95.1%, 80.2% and 68.4% respectively (Barclay et al., 2024). The London borough of tower hamlets, with its high levels of deprivation and </w:t>
      </w:r>
      <w:proofErr w:type="spellStart"/>
      <w:r>
        <w:t>ethically</w:t>
      </w:r>
      <w:proofErr w:type="spellEnd"/>
      <w:r>
        <w:t xml:space="preserve"> diverse population, provides an appropriate defined population for epidemiological analysis, as it presents both significant breast cancer burden and persistent health inequalities.  </w:t>
      </w:r>
    </w:p>
    <w:p w14:paraId="5274445D" w14:textId="77777777" w:rsidR="0060717B" w:rsidRDefault="00000000">
      <w:pPr>
        <w:spacing w:after="218" w:line="259" w:lineRule="auto"/>
        <w:ind w:left="0" w:right="2206" w:firstLine="0"/>
        <w:jc w:val="center"/>
      </w:pPr>
      <w:r>
        <w:rPr>
          <w:noProof/>
        </w:rPr>
        <w:drawing>
          <wp:inline distT="0" distB="0" distL="0" distR="0" wp14:anchorId="47F92557" wp14:editId="41C5B1BC">
            <wp:extent cx="5494020" cy="2849645"/>
            <wp:effectExtent l="0" t="0" r="0" b="8255"/>
            <wp:docPr id="838" name="Picture 838"/>
            <wp:cNvGraphicFramePr/>
            <a:graphic xmlns:a="http://schemas.openxmlformats.org/drawingml/2006/main">
              <a:graphicData uri="http://schemas.openxmlformats.org/drawingml/2006/picture">
                <pic:pic xmlns:pic="http://schemas.openxmlformats.org/drawingml/2006/picture">
                  <pic:nvPicPr>
                    <pic:cNvPr id="838" name="Picture 838"/>
                    <pic:cNvPicPr/>
                  </pic:nvPicPr>
                  <pic:blipFill>
                    <a:blip r:embed="rId6"/>
                    <a:stretch>
                      <a:fillRect/>
                    </a:stretch>
                  </pic:blipFill>
                  <pic:spPr>
                    <a:xfrm>
                      <a:off x="0" y="0"/>
                      <a:ext cx="5626023" cy="2918113"/>
                    </a:xfrm>
                    <a:prstGeom prst="rect">
                      <a:avLst/>
                    </a:prstGeom>
                  </pic:spPr>
                </pic:pic>
              </a:graphicData>
            </a:graphic>
          </wp:inline>
        </w:drawing>
      </w:r>
      <w:r>
        <w:t xml:space="preserve"> </w:t>
      </w:r>
    </w:p>
    <w:p w14:paraId="516F753B" w14:textId="77777777" w:rsidR="0060717B" w:rsidRDefault="00000000">
      <w:pPr>
        <w:ind w:left="-5" w:right="51"/>
      </w:pPr>
      <w:r>
        <w:lastRenderedPageBreak/>
        <w:t>Fig 2 illustrates the breast cancer incidence rates of UK (European age-standardised rates per 100,000, females 2017-2019) (</w:t>
      </w:r>
      <w:r>
        <w:rPr>
          <w:i/>
        </w:rPr>
        <w:t xml:space="preserve">Cancer Research UK (2023). </w:t>
      </w:r>
    </w:p>
    <w:p w14:paraId="3BF14348" w14:textId="77777777" w:rsidR="0060717B" w:rsidRDefault="00000000">
      <w:pPr>
        <w:spacing w:after="266" w:line="259" w:lineRule="auto"/>
        <w:ind w:left="0" w:right="5" w:firstLine="0"/>
        <w:jc w:val="center"/>
      </w:pPr>
      <w:r>
        <w:rPr>
          <w:b/>
        </w:rPr>
        <w:t xml:space="preserve"> </w:t>
      </w:r>
    </w:p>
    <w:p w14:paraId="31AEFBBF" w14:textId="77777777" w:rsidR="0060717B" w:rsidRDefault="00000000">
      <w:pPr>
        <w:pStyle w:val="Heading2"/>
        <w:spacing w:after="266"/>
        <w:ind w:left="0" w:right="64" w:firstLine="0"/>
        <w:jc w:val="center"/>
      </w:pPr>
      <w:bookmarkStart w:id="18" w:name="_Toc15319"/>
      <w:r>
        <w:t xml:space="preserve">MAIN BODY </w:t>
      </w:r>
      <w:bookmarkEnd w:id="18"/>
    </w:p>
    <w:p w14:paraId="20FC9904" w14:textId="77777777" w:rsidR="0060717B" w:rsidRDefault="00000000">
      <w:pPr>
        <w:pStyle w:val="Heading3"/>
        <w:spacing w:after="187"/>
        <w:ind w:left="-5"/>
      </w:pPr>
      <w:bookmarkStart w:id="19" w:name="_Toc15320"/>
      <w:r>
        <w:t xml:space="preserve">Public Health Measure: The 3p’s </w:t>
      </w:r>
      <w:bookmarkEnd w:id="19"/>
    </w:p>
    <w:p w14:paraId="15870500" w14:textId="77777777" w:rsidR="0060717B" w:rsidRDefault="00000000">
      <w:pPr>
        <w:pStyle w:val="Heading4"/>
        <w:ind w:left="-5"/>
      </w:pPr>
      <w:r>
        <w:t xml:space="preserve">Method </w:t>
      </w:r>
    </w:p>
    <w:p w14:paraId="77D77C9B" w14:textId="77777777" w:rsidR="0060717B" w:rsidRDefault="00000000">
      <w:pPr>
        <w:ind w:left="-5" w:right="51"/>
      </w:pPr>
      <w:r>
        <w:t xml:space="preserve">Public health approaches to breast cancer can be understood through the framework of the 3P’s: prevention, promotion and protection.  </w:t>
      </w:r>
    </w:p>
    <w:p w14:paraId="20D43B93" w14:textId="77777777" w:rsidR="0060717B" w:rsidRDefault="00000000">
      <w:pPr>
        <w:pStyle w:val="Heading4"/>
        <w:ind w:left="-5"/>
      </w:pPr>
      <w:r>
        <w:t xml:space="preserve">Issue/Problem </w:t>
      </w:r>
    </w:p>
    <w:p w14:paraId="08FE3439" w14:textId="77777777" w:rsidR="0060717B" w:rsidRDefault="00000000">
      <w:pPr>
        <w:ind w:left="-5" w:right="51"/>
      </w:pPr>
      <w:r>
        <w:t xml:space="preserve">Breast cancer is associated with several modifiable factors, including overweight, obesity, physical inactivity, alcohol consumption and dietary patterns.  Evidence indicates that a proportion of breast cancers can be attributed to modifiable life styles factors (Goon, Kim and Giovannucci, 2021; Harvie, 2026). Another important problem is non-attendance for screening, particularly among groups experiencing socioeconomic or access barriers. </w:t>
      </w:r>
    </w:p>
    <w:p w14:paraId="1B261C91" w14:textId="77777777" w:rsidR="0060717B" w:rsidRDefault="00000000">
      <w:pPr>
        <w:pStyle w:val="Heading4"/>
        <w:ind w:left="-5"/>
      </w:pPr>
      <w:r>
        <w:t xml:space="preserve">Solution </w:t>
      </w:r>
    </w:p>
    <w:p w14:paraId="2022A073" w14:textId="77777777" w:rsidR="0060717B" w:rsidRDefault="00000000">
      <w:pPr>
        <w:ind w:left="-5" w:right="51"/>
      </w:pPr>
      <w:r>
        <w:t xml:space="preserve">Prevention should focus on reducing exposure to modifiable risk factors through healthier lifestyles and appropriate public health interventions. Promotion should increase knowledge of breast cancer symptoms and encourage screening participation. Protection is provided through the NHS breast screening programme, which invites women aged 50-71 for mammographic screening every 3 years and has been estimated to prevent 1300 deaths from breast cancer annually (Breast Cancer Now, 2025; Dibden et al., 2026). </w:t>
      </w:r>
    </w:p>
    <w:p w14:paraId="6B7210F9" w14:textId="77777777" w:rsidR="0060717B" w:rsidRDefault="00000000">
      <w:pPr>
        <w:spacing w:after="266" w:line="259" w:lineRule="auto"/>
        <w:ind w:left="0" w:right="0" w:firstLine="0"/>
        <w:jc w:val="left"/>
      </w:pPr>
      <w:r>
        <w:t xml:space="preserve"> </w:t>
      </w:r>
    </w:p>
    <w:p w14:paraId="12021F50" w14:textId="77777777" w:rsidR="0060717B" w:rsidRDefault="00000000">
      <w:pPr>
        <w:pStyle w:val="Heading3"/>
        <w:spacing w:after="187"/>
        <w:ind w:left="-5"/>
      </w:pPr>
      <w:bookmarkStart w:id="20" w:name="_Toc15321"/>
      <w:r>
        <w:t xml:space="preserve">Key determinants and risk factors </w:t>
      </w:r>
      <w:bookmarkEnd w:id="20"/>
    </w:p>
    <w:p w14:paraId="76780777" w14:textId="77777777" w:rsidR="0060717B" w:rsidRDefault="00000000">
      <w:pPr>
        <w:pStyle w:val="Heading4"/>
        <w:ind w:left="-5"/>
      </w:pPr>
      <w:r>
        <w:t xml:space="preserve">Method </w:t>
      </w:r>
    </w:p>
    <w:p w14:paraId="75C36467" w14:textId="77777777" w:rsidR="0060717B" w:rsidRDefault="00000000">
      <w:pPr>
        <w:spacing w:after="159" w:line="359" w:lineRule="auto"/>
        <w:ind w:left="-5" w:right="8"/>
        <w:jc w:val="left"/>
      </w:pPr>
      <w:r>
        <w:t xml:space="preserve">Epidemiological assessment requires identification of both non-modifiable and modifiable determinants. This allows populations at increased risk to be identified and provides a basis for developing targeted prevention strategies. </w:t>
      </w:r>
    </w:p>
    <w:p w14:paraId="63EFAD24" w14:textId="77777777" w:rsidR="0060717B" w:rsidRDefault="00000000">
      <w:pPr>
        <w:pStyle w:val="Heading4"/>
        <w:ind w:left="-5"/>
      </w:pPr>
      <w:r>
        <w:t xml:space="preserve">Issue/Problem  </w:t>
      </w:r>
    </w:p>
    <w:p w14:paraId="7CD2234E" w14:textId="77777777" w:rsidR="0060717B" w:rsidRDefault="00000000">
      <w:pPr>
        <w:ind w:left="-5" w:right="51"/>
      </w:pPr>
      <w:r>
        <w:t xml:space="preserve">Sex and age, with 80% of occurrence in women over 50 (Breast Cancer Now, 2025). Genetic predisposition accounts for 5-10% of cases while physical inactivity, alcohol consumption, overweight, and dietary factors are modifiable risks (Stordal et al., 2024). Family history, BMI </w:t>
      </w:r>
      <w:r>
        <w:lastRenderedPageBreak/>
        <w:t xml:space="preserve">and previous breast surgery may also influence risk, although associations can very according to how cancer is detected (Barnes et al. 2024). In Tower Hamlets, these factors may </w:t>
      </w:r>
      <w:proofErr w:type="spellStart"/>
      <w:r>
        <w:t>intereact</w:t>
      </w:r>
      <w:proofErr w:type="spellEnd"/>
      <w:r>
        <w:t xml:space="preserve"> with socioeconomic circumstances and ethnicity. Risk cannot be solely understood </w:t>
      </w:r>
      <w:proofErr w:type="spellStart"/>
      <w:r>
        <w:t>thorugh</w:t>
      </w:r>
      <w:proofErr w:type="spellEnd"/>
      <w:r>
        <w:t xml:space="preserve"> individual behaviour Kelly et al., 2026). </w:t>
      </w:r>
    </w:p>
    <w:p w14:paraId="24A15063" w14:textId="77777777" w:rsidR="0060717B" w:rsidRDefault="00000000">
      <w:pPr>
        <w:spacing w:after="217" w:line="259" w:lineRule="auto"/>
        <w:ind w:left="0" w:right="0" w:firstLine="0"/>
        <w:jc w:val="left"/>
      </w:pPr>
      <w:r>
        <w:t xml:space="preserve"> </w:t>
      </w:r>
    </w:p>
    <w:p w14:paraId="5B95B2EA" w14:textId="77777777" w:rsidR="0060717B" w:rsidRDefault="00000000">
      <w:pPr>
        <w:spacing w:after="218" w:line="259" w:lineRule="auto"/>
        <w:ind w:left="0" w:right="1066" w:firstLine="0"/>
        <w:jc w:val="right"/>
      </w:pPr>
      <w:r>
        <w:rPr>
          <w:noProof/>
        </w:rPr>
        <w:drawing>
          <wp:inline distT="0" distB="0" distL="0" distR="0" wp14:anchorId="5682E97A" wp14:editId="7743D013">
            <wp:extent cx="5057394" cy="2444115"/>
            <wp:effectExtent l="0" t="0" r="0" b="0"/>
            <wp:docPr id="1033" name="Picture 1033"/>
            <wp:cNvGraphicFramePr/>
            <a:graphic xmlns:a="http://schemas.openxmlformats.org/drawingml/2006/main">
              <a:graphicData uri="http://schemas.openxmlformats.org/drawingml/2006/picture">
                <pic:pic xmlns:pic="http://schemas.openxmlformats.org/drawingml/2006/picture">
                  <pic:nvPicPr>
                    <pic:cNvPr id="1033" name="Picture 1033"/>
                    <pic:cNvPicPr/>
                  </pic:nvPicPr>
                  <pic:blipFill>
                    <a:blip r:embed="rId7"/>
                    <a:stretch>
                      <a:fillRect/>
                    </a:stretch>
                  </pic:blipFill>
                  <pic:spPr>
                    <a:xfrm>
                      <a:off x="0" y="0"/>
                      <a:ext cx="5057394" cy="2444115"/>
                    </a:xfrm>
                    <a:prstGeom prst="rect">
                      <a:avLst/>
                    </a:prstGeom>
                  </pic:spPr>
                </pic:pic>
              </a:graphicData>
            </a:graphic>
          </wp:inline>
        </w:drawing>
      </w:r>
      <w:r>
        <w:t xml:space="preserve"> </w:t>
      </w:r>
    </w:p>
    <w:p w14:paraId="18FDA9C1" w14:textId="77777777" w:rsidR="0060717B" w:rsidRDefault="00000000">
      <w:pPr>
        <w:ind w:left="-5" w:right="51"/>
      </w:pPr>
      <w:r>
        <w:t xml:space="preserve">Fig3 shows the modifiable risk factors for breast cancer in the UK: Population attributable risk (PAR) </w:t>
      </w:r>
      <w:r>
        <w:rPr>
          <w:i/>
        </w:rPr>
        <w:t xml:space="preserve">Goon, Kim and Giovannucci (2021). </w:t>
      </w:r>
    </w:p>
    <w:p w14:paraId="347D9183" w14:textId="77777777" w:rsidR="00C4414A" w:rsidRDefault="00C4414A">
      <w:pPr>
        <w:pStyle w:val="Heading4"/>
        <w:ind w:left="-5"/>
      </w:pPr>
    </w:p>
    <w:p w14:paraId="5666166C" w14:textId="58404400" w:rsidR="0060717B" w:rsidRDefault="00000000">
      <w:pPr>
        <w:pStyle w:val="Heading4"/>
        <w:ind w:left="-5"/>
      </w:pPr>
      <w:r>
        <w:t xml:space="preserve">Solution  </w:t>
      </w:r>
    </w:p>
    <w:p w14:paraId="257707C0" w14:textId="77777777" w:rsidR="0060717B" w:rsidRDefault="00000000">
      <w:pPr>
        <w:ind w:left="-5" w:right="51"/>
      </w:pPr>
      <w:r>
        <w:t xml:space="preserve">An appropriate epidemiological response should therefore consider both individual and wider social determinants. Interventions should be adapted to the characteristics of groups experiencing greater risk or barriers rather than assuming that a single approach will be equally effective across the population. </w:t>
      </w:r>
    </w:p>
    <w:p w14:paraId="62711469" w14:textId="77777777" w:rsidR="0060717B" w:rsidRDefault="00000000">
      <w:pPr>
        <w:spacing w:after="266" w:line="259" w:lineRule="auto"/>
        <w:ind w:left="0" w:right="0" w:firstLine="0"/>
        <w:jc w:val="left"/>
      </w:pPr>
      <w:r>
        <w:rPr>
          <w:b/>
        </w:rPr>
        <w:t xml:space="preserve"> </w:t>
      </w:r>
    </w:p>
    <w:p w14:paraId="2728DACF" w14:textId="77777777" w:rsidR="0060717B" w:rsidRDefault="00000000">
      <w:pPr>
        <w:pStyle w:val="Heading3"/>
        <w:spacing w:after="187"/>
        <w:ind w:left="-5"/>
      </w:pPr>
      <w:bookmarkStart w:id="21" w:name="_Toc15322"/>
      <w:r>
        <w:t xml:space="preserve">Health needs assessment and identifying affected populations </w:t>
      </w:r>
      <w:bookmarkEnd w:id="21"/>
    </w:p>
    <w:p w14:paraId="655F08CB" w14:textId="77777777" w:rsidR="0060717B" w:rsidRDefault="00000000">
      <w:pPr>
        <w:pStyle w:val="Heading4"/>
        <w:ind w:left="-5"/>
      </w:pPr>
      <w:r>
        <w:t xml:space="preserve">Method </w:t>
      </w:r>
    </w:p>
    <w:p w14:paraId="09E14C89" w14:textId="77777777" w:rsidR="0060717B" w:rsidRDefault="00000000">
      <w:pPr>
        <w:spacing w:after="159" w:line="359" w:lineRule="auto"/>
        <w:ind w:left="-5" w:right="8"/>
        <w:jc w:val="left"/>
      </w:pPr>
      <w:r>
        <w:t>A health needs assessment should combine several sources of epidemiological information. Relevant sources include national disease registration data, cancer research UK information and GP- level information from the clinical practice research datalink (CPRD) (</w:t>
      </w:r>
      <w:proofErr w:type="spellStart"/>
      <w:r>
        <w:t>Gutacker</w:t>
      </w:r>
      <w:proofErr w:type="spellEnd"/>
      <w:r>
        <w:t xml:space="preserve"> et al., 2025). Evidence from the million women study and UK biobank can also be contribute information concerning risk-factor distribution and cancer incidence (Khan et al., 2025; Reeves et al., 2026). </w:t>
      </w:r>
    </w:p>
    <w:p w14:paraId="2341CFC1" w14:textId="77777777" w:rsidR="0060717B" w:rsidRDefault="00000000">
      <w:pPr>
        <w:pStyle w:val="Heading4"/>
        <w:ind w:left="-5"/>
      </w:pPr>
      <w:r>
        <w:lastRenderedPageBreak/>
        <w:t xml:space="preserve">Issue/ Problem  </w:t>
      </w:r>
    </w:p>
    <w:p w14:paraId="2ECBEA7E" w14:textId="77777777" w:rsidR="0060717B" w:rsidRDefault="00000000">
      <w:pPr>
        <w:spacing w:after="159" w:line="359" w:lineRule="auto"/>
        <w:ind w:left="-5" w:right="8"/>
        <w:jc w:val="left"/>
      </w:pPr>
      <w:r>
        <w:t xml:space="preserve">Health need is not equally distributed, Socioeconomic deprivation is associated with a greater burden of long-term conditions, while minority ethnic women may experience additional barriers to breast careening and may present later because of cultural or </w:t>
      </w:r>
      <w:proofErr w:type="spellStart"/>
      <w:r>
        <w:t>accessrelated</w:t>
      </w:r>
      <w:proofErr w:type="spellEnd"/>
      <w:r>
        <w:t xml:space="preserve"> factors (</w:t>
      </w:r>
      <w:proofErr w:type="spellStart"/>
      <w:r>
        <w:t>Gutacker</w:t>
      </w:r>
      <w:proofErr w:type="spellEnd"/>
      <w:r>
        <w:t xml:space="preserve"> et al., 2025; Adhav et al., 2024).  </w:t>
      </w:r>
    </w:p>
    <w:p w14:paraId="5FEFB345" w14:textId="77777777" w:rsidR="0060717B" w:rsidRDefault="00000000">
      <w:pPr>
        <w:pStyle w:val="Heading4"/>
        <w:ind w:left="-5"/>
      </w:pPr>
      <w:r>
        <w:t xml:space="preserve">Solution </w:t>
      </w:r>
    </w:p>
    <w:p w14:paraId="09BD538F" w14:textId="77777777" w:rsidR="0060717B" w:rsidRDefault="00000000">
      <w:pPr>
        <w:spacing w:after="159" w:line="359" w:lineRule="auto"/>
        <w:ind w:left="-5" w:right="8"/>
        <w:jc w:val="left"/>
      </w:pPr>
      <w:r>
        <w:t xml:space="preserve">Using multiple datasets allows epidemiologists to identify groups that may be hidden within overall population statistics. Local demographic, socioeconomic and ethnic information should therefore be considered alongside disease and screening data when determining priorities for Tower Hamlets. </w:t>
      </w:r>
    </w:p>
    <w:p w14:paraId="3F3B413B" w14:textId="77777777" w:rsidR="0060717B" w:rsidRDefault="00000000">
      <w:pPr>
        <w:spacing w:after="264" w:line="259" w:lineRule="auto"/>
        <w:ind w:left="0" w:right="0" w:firstLine="0"/>
        <w:jc w:val="left"/>
      </w:pPr>
      <w:r>
        <w:t xml:space="preserve"> </w:t>
      </w:r>
    </w:p>
    <w:p w14:paraId="5F425BAF" w14:textId="77777777" w:rsidR="0060717B" w:rsidRDefault="00000000">
      <w:pPr>
        <w:pStyle w:val="Heading3"/>
        <w:spacing w:after="187"/>
        <w:ind w:left="-5"/>
      </w:pPr>
      <w:bookmarkStart w:id="22" w:name="_Toc15323"/>
      <w:r>
        <w:t xml:space="preserve">Monitoring and surveillance systems </w:t>
      </w:r>
      <w:bookmarkEnd w:id="22"/>
    </w:p>
    <w:p w14:paraId="0FC42DF5" w14:textId="77777777" w:rsidR="0060717B" w:rsidRDefault="00000000">
      <w:pPr>
        <w:pStyle w:val="Heading4"/>
        <w:ind w:left="-5"/>
      </w:pPr>
      <w:r>
        <w:t xml:space="preserve">Method </w:t>
      </w:r>
    </w:p>
    <w:p w14:paraId="7423BA43" w14:textId="77777777" w:rsidR="0060717B" w:rsidRDefault="00000000">
      <w:pPr>
        <w:ind w:left="-5" w:right="51"/>
      </w:pPr>
      <w:r>
        <w:t xml:space="preserve">Continuous surveillance is necessary to monitor breast cancer incidence, screening participation, diagnosis and outcomes. The NHSBSP collects data on invitation, attendance, and screening outcomes for all 79 English breast screening centres (Brettschneider et al., 2023). Cancer registry data from the national; cancer analysis service provides incidence and survival statistics. The UKHSA surveillance systems monitor population-level health trends, while the WHO global health observatory and GBD study provide international comparative data (Lancet Oncology, 2026). At local level, public health fingertips can assist with monitoring indicators such as screening uptake, late-stage presentation and mortality. </w:t>
      </w:r>
    </w:p>
    <w:p w14:paraId="19AD8744" w14:textId="77777777" w:rsidR="0060717B" w:rsidRDefault="00000000">
      <w:pPr>
        <w:pStyle w:val="Heading4"/>
        <w:ind w:left="-5"/>
      </w:pPr>
      <w:r>
        <w:t xml:space="preserve">Issue/problem </w:t>
      </w:r>
    </w:p>
    <w:p w14:paraId="312AF6F9" w14:textId="77777777" w:rsidR="0060717B" w:rsidRDefault="00000000">
      <w:pPr>
        <w:ind w:left="-5" w:right="51"/>
      </w:pPr>
      <w:r>
        <w:t xml:space="preserve">Surveillance does not automatically guarantee complete representation. Women who experience barriers to healthcare may be less likely to attend screening and therefore may be less visible within screening datasets. This creates a risk that observed patterns do not fully reflect </w:t>
      </w:r>
      <w:proofErr w:type="spellStart"/>
      <w:r>
        <w:t>tha</w:t>
      </w:r>
      <w:proofErr w:type="spellEnd"/>
      <w:r>
        <w:t xml:space="preserve"> needs of underserved populations </w:t>
      </w:r>
    </w:p>
    <w:p w14:paraId="58517BEF" w14:textId="77777777" w:rsidR="0060717B" w:rsidRDefault="00000000">
      <w:pPr>
        <w:pStyle w:val="Heading4"/>
        <w:ind w:left="-5"/>
      </w:pPr>
      <w:r>
        <w:t xml:space="preserve">Solution </w:t>
      </w:r>
    </w:p>
    <w:p w14:paraId="490C529F" w14:textId="77777777" w:rsidR="0060717B" w:rsidRDefault="00000000">
      <w:pPr>
        <w:ind w:left="-5" w:right="51"/>
      </w:pPr>
      <w:r>
        <w:t xml:space="preserve">The use of multiple surveillance systems can strengthen the assessment by allowing local findings to be compared with national and international evidence. Monitoring should specifically access and outcomes between population groups. </w:t>
      </w:r>
    </w:p>
    <w:p w14:paraId="78CA6C95" w14:textId="77777777" w:rsidR="0060717B" w:rsidRDefault="00000000">
      <w:pPr>
        <w:spacing w:after="0" w:line="259" w:lineRule="auto"/>
        <w:ind w:left="0" w:right="0" w:firstLine="0"/>
        <w:jc w:val="left"/>
      </w:pPr>
      <w:r>
        <w:t xml:space="preserve"> </w:t>
      </w:r>
    </w:p>
    <w:p w14:paraId="08B493A2" w14:textId="77777777" w:rsidR="0060717B" w:rsidRDefault="00000000">
      <w:pPr>
        <w:spacing w:after="266" w:line="259" w:lineRule="auto"/>
        <w:ind w:left="0" w:right="0" w:firstLine="0"/>
        <w:jc w:val="left"/>
      </w:pPr>
      <w:r>
        <w:rPr>
          <w:b/>
        </w:rPr>
        <w:t xml:space="preserve"> </w:t>
      </w:r>
    </w:p>
    <w:p w14:paraId="129058F0" w14:textId="50441C71" w:rsidR="0060717B" w:rsidRDefault="00000000">
      <w:pPr>
        <w:spacing w:after="266" w:line="259" w:lineRule="auto"/>
        <w:ind w:left="0" w:right="0" w:firstLine="0"/>
        <w:jc w:val="left"/>
      </w:pPr>
      <w:r>
        <w:rPr>
          <w:b/>
        </w:rPr>
        <w:lastRenderedPageBreak/>
        <w:t xml:space="preserve"> </w:t>
      </w:r>
    </w:p>
    <w:p w14:paraId="46B0B3AC" w14:textId="50441C71" w:rsidR="0060717B" w:rsidRDefault="00000000" w:rsidP="00C4414A">
      <w:pPr>
        <w:pStyle w:val="Heading3"/>
        <w:spacing w:after="187"/>
        <w:ind w:left="0" w:firstLine="0"/>
      </w:pPr>
      <w:bookmarkStart w:id="23" w:name="_Toc15324"/>
      <w:r>
        <w:t xml:space="preserve">Public health impact: short- and long-term consequences </w:t>
      </w:r>
      <w:bookmarkEnd w:id="23"/>
    </w:p>
    <w:p w14:paraId="03E9A814" w14:textId="77777777" w:rsidR="0060717B" w:rsidRDefault="00000000">
      <w:pPr>
        <w:pStyle w:val="Heading4"/>
        <w:ind w:left="-5"/>
      </w:pPr>
      <w:r>
        <w:t xml:space="preserve">Method </w:t>
      </w:r>
    </w:p>
    <w:p w14:paraId="35E1AB88" w14:textId="77777777" w:rsidR="0060717B" w:rsidRDefault="00000000">
      <w:pPr>
        <w:ind w:left="-5" w:right="51"/>
      </w:pPr>
      <w:r>
        <w:t xml:space="preserve">The impact of breast cancer should be assessed through physical, psychological, social and economic outcomes rather than incidence and mortality alone. </w:t>
      </w:r>
    </w:p>
    <w:p w14:paraId="2D7E56F3" w14:textId="77777777" w:rsidR="0060717B" w:rsidRDefault="00000000">
      <w:pPr>
        <w:pStyle w:val="Heading4"/>
        <w:ind w:left="-5"/>
      </w:pPr>
      <w:r>
        <w:t xml:space="preserve">Issue/problem </w:t>
      </w:r>
    </w:p>
    <w:p w14:paraId="62DA7A3F" w14:textId="77777777" w:rsidR="0060717B" w:rsidRDefault="00000000">
      <w:pPr>
        <w:ind w:left="-5" w:right="51"/>
      </w:pPr>
      <w:r>
        <w:t xml:space="preserve">Short term consequences include fatigue, lymphoedema, psychological distress and disruption to employment and family life (Breast Cancer Now, 2025). Longer-term include recurrence, treatment- related morbidity, and reduced quality of life. Women with metastatic breast cancer, may experience particularly physical and emotional effects. The economic burden also extends beyond healthcare expenditure through lost productivity, with projected costs projected to rise to £3.9 – 4.3 billion by 2050 (Breast Cancer Now, 2025).  </w:t>
      </w:r>
    </w:p>
    <w:p w14:paraId="7290B826" w14:textId="77777777" w:rsidR="0060717B" w:rsidRDefault="00000000">
      <w:pPr>
        <w:pStyle w:val="Heading4"/>
        <w:ind w:left="-5"/>
      </w:pPr>
      <w:r>
        <w:t xml:space="preserve">Solution </w:t>
      </w:r>
    </w:p>
    <w:p w14:paraId="34F56DE9" w14:textId="77777777" w:rsidR="0060717B" w:rsidRDefault="00000000">
      <w:pPr>
        <w:ind w:left="-5" w:right="51"/>
      </w:pPr>
      <w:r>
        <w:t xml:space="preserve">Public health planning should therefore incorporate early diagnosis, appropriate treatment, psychological support and survivorship care. Measuring wider quality-of-life and socioeconomic consequences provides a more complete assessment of the disease burden. </w:t>
      </w:r>
    </w:p>
    <w:p w14:paraId="468650E5" w14:textId="77777777" w:rsidR="0060717B" w:rsidRDefault="00000000">
      <w:pPr>
        <w:spacing w:after="263" w:line="259" w:lineRule="auto"/>
        <w:ind w:left="0" w:right="0" w:firstLine="0"/>
        <w:jc w:val="left"/>
      </w:pPr>
      <w:r>
        <w:t xml:space="preserve"> </w:t>
      </w:r>
    </w:p>
    <w:p w14:paraId="29DA4572" w14:textId="77777777" w:rsidR="0060717B" w:rsidRDefault="00000000">
      <w:pPr>
        <w:spacing w:after="165" w:line="259" w:lineRule="auto"/>
        <w:ind w:left="-5" w:right="0"/>
        <w:jc w:val="left"/>
      </w:pPr>
      <w:r>
        <w:rPr>
          <w:b/>
        </w:rPr>
        <w:t xml:space="preserve">Health intervention programme and evaluation </w:t>
      </w:r>
    </w:p>
    <w:p w14:paraId="35A7019A" w14:textId="77777777" w:rsidR="0060717B" w:rsidRDefault="00000000">
      <w:pPr>
        <w:pStyle w:val="Heading4"/>
        <w:spacing w:after="161"/>
        <w:ind w:left="0" w:firstLine="0"/>
      </w:pPr>
      <w:r>
        <w:rPr>
          <w:rFonts w:ascii="Calibri" w:eastAsia="Calibri" w:hAnsi="Calibri" w:cs="Calibri"/>
          <w:sz w:val="24"/>
        </w:rPr>
        <w:t xml:space="preserve">Method  </w:t>
      </w:r>
    </w:p>
    <w:p w14:paraId="62F54CF5" w14:textId="77777777" w:rsidR="0060717B" w:rsidRDefault="00000000">
      <w:pPr>
        <w:ind w:left="-5" w:right="51"/>
      </w:pPr>
      <w:r>
        <w:t xml:space="preserve">A proposed health intervention programme for tower hamlets, modelled on successful community-based approaches, would comprise 3 components: </w:t>
      </w:r>
      <w:r>
        <w:rPr>
          <w:i/>
        </w:rPr>
        <w:t>Targeted outreach</w:t>
      </w:r>
      <w:r>
        <w:t>,</w:t>
      </w:r>
      <w:r>
        <w:rPr>
          <w:i/>
        </w:rPr>
        <w:t xml:space="preserve"> enhanced screening access</w:t>
      </w:r>
      <w:r>
        <w:t xml:space="preserve">, </w:t>
      </w:r>
      <w:r>
        <w:rPr>
          <w:i/>
        </w:rPr>
        <w:t>Risk-stratified screening</w:t>
      </w:r>
      <w:r>
        <w:t xml:space="preserve">. </w:t>
      </w:r>
    </w:p>
    <w:p w14:paraId="77962EF0" w14:textId="77777777" w:rsidR="0060717B" w:rsidRDefault="00000000">
      <w:pPr>
        <w:pStyle w:val="Heading5"/>
        <w:ind w:left="-5"/>
      </w:pPr>
      <w:r>
        <w:t xml:space="preserve">Issue/problem  </w:t>
      </w:r>
    </w:p>
    <w:p w14:paraId="5793A885" w14:textId="77777777" w:rsidR="0060717B" w:rsidRDefault="00000000">
      <w:pPr>
        <w:ind w:left="-5" w:right="51"/>
      </w:pPr>
      <w:r>
        <w:t xml:space="preserve">Some South Asian and Somali women may experience barriers to breast cancer awareness and screening. Conventional healthcare communication may therefore fail to reach women who could benefit from earlier detection.  </w:t>
      </w:r>
    </w:p>
    <w:p w14:paraId="56B4CF8E" w14:textId="77777777" w:rsidR="0060717B" w:rsidRDefault="00000000">
      <w:pPr>
        <w:pStyle w:val="Heading5"/>
        <w:ind w:left="-5"/>
      </w:pPr>
      <w:r>
        <w:t xml:space="preserve">Solution </w:t>
      </w:r>
    </w:p>
    <w:p w14:paraId="718B613C" w14:textId="77777777" w:rsidR="0060717B" w:rsidRDefault="00000000">
      <w:pPr>
        <w:spacing w:after="0"/>
        <w:ind w:left="-5" w:right="51"/>
      </w:pPr>
      <w:r>
        <w:t xml:space="preserve">Multilingual awareness activities could be delivered through trusted community settings such as hairdressing and beauty salons, faith centres, community organisations, drawing on the </w:t>
      </w:r>
    </w:p>
    <w:p w14:paraId="0B1E3529" w14:textId="77777777" w:rsidR="0060717B" w:rsidRDefault="00000000">
      <w:pPr>
        <w:ind w:left="-5" w:right="51"/>
      </w:pPr>
      <w:r>
        <w:t xml:space="preserve">BELONG study approach (Adhav et al., 2024). Screening access could be improved through GP- linked telephone consultations, self- booking systems and mobile screening services, </w:t>
      </w:r>
      <w:r>
        <w:lastRenderedPageBreak/>
        <w:t>based on evidence from community interventions (</w:t>
      </w:r>
      <w:proofErr w:type="spellStart"/>
      <w:r>
        <w:t>Onyedum</w:t>
      </w:r>
      <w:proofErr w:type="spellEnd"/>
      <w:r>
        <w:t xml:space="preserve"> et al., 2025). Risk stratified screening using BC-predict could also be considered because of its reported </w:t>
      </w:r>
      <w:proofErr w:type="spellStart"/>
      <w:r>
        <w:t>costeffectiveness</w:t>
      </w:r>
      <w:proofErr w:type="spellEnd"/>
      <w:r>
        <w:t xml:space="preserve"> (French et al., 2025).  </w:t>
      </w:r>
    </w:p>
    <w:p w14:paraId="20EA0AD6" w14:textId="77777777" w:rsidR="0060717B" w:rsidRDefault="00000000">
      <w:pPr>
        <w:spacing w:after="182" w:line="259" w:lineRule="auto"/>
        <w:ind w:left="0" w:right="0" w:firstLine="0"/>
        <w:jc w:val="left"/>
      </w:pPr>
      <w:r>
        <w:rPr>
          <w:b/>
        </w:rPr>
        <w:t xml:space="preserve"> </w:t>
      </w:r>
    </w:p>
    <w:p w14:paraId="4DAE7C46" w14:textId="77777777" w:rsidR="0060717B" w:rsidRDefault="00000000">
      <w:pPr>
        <w:pStyle w:val="Heading2"/>
        <w:spacing w:after="95"/>
        <w:ind w:left="-5"/>
      </w:pPr>
      <w:bookmarkStart w:id="24" w:name="_Toc15325"/>
      <w:r>
        <w:t xml:space="preserve">METHOD OF EVALUATION </w:t>
      </w:r>
      <w:bookmarkEnd w:id="24"/>
    </w:p>
    <w:p w14:paraId="39E25CAD" w14:textId="77777777" w:rsidR="0060717B" w:rsidRDefault="00000000">
      <w:pPr>
        <w:ind w:left="-5" w:right="51"/>
      </w:pPr>
      <w:r>
        <w:t xml:space="preserve">The intervention should be evaluated rather than assuming that implementation will be successful. A quasi-experimental design could compare screening uptake, stage at diagnosis and 5-year survival before and after implementation. Process evaluation should assess reach, acceptability and patient experience. Screening uptake, stage 1 diagnosis and </w:t>
      </w:r>
      <w:proofErr w:type="spellStart"/>
      <w:r>
        <w:t>patientreported</w:t>
      </w:r>
      <w:proofErr w:type="spellEnd"/>
      <w:r>
        <w:t xml:space="preserve"> experience could be used a </w:t>
      </w:r>
      <w:proofErr w:type="gramStart"/>
      <w:r>
        <w:t>key indicators</w:t>
      </w:r>
      <w:proofErr w:type="gramEnd"/>
      <w:r>
        <w:t xml:space="preserve">.  </w:t>
      </w:r>
    </w:p>
    <w:p w14:paraId="3C0A2B1F" w14:textId="77777777" w:rsidR="0060717B" w:rsidRDefault="00000000">
      <w:pPr>
        <w:spacing w:after="179" w:line="259" w:lineRule="auto"/>
        <w:ind w:left="0" w:right="0" w:firstLine="0"/>
        <w:jc w:val="left"/>
      </w:pPr>
      <w:r>
        <w:rPr>
          <w:b/>
          <w:i/>
        </w:rPr>
        <w:t xml:space="preserve"> </w:t>
      </w:r>
    </w:p>
    <w:p w14:paraId="6D2508AB" w14:textId="77777777" w:rsidR="0060717B" w:rsidRDefault="00000000">
      <w:pPr>
        <w:pStyle w:val="Heading2"/>
        <w:spacing w:after="98"/>
        <w:ind w:left="-5"/>
      </w:pPr>
      <w:bookmarkStart w:id="25" w:name="_Toc15326"/>
      <w:r>
        <w:t xml:space="preserve">STRENGTHS AND WEAKNESSES OF THE EPIDEMIOLOGICAL APPROACH </w:t>
      </w:r>
      <w:bookmarkEnd w:id="25"/>
    </w:p>
    <w:p w14:paraId="40CA821B" w14:textId="77777777" w:rsidR="0060717B" w:rsidRDefault="00000000">
      <w:pPr>
        <w:ind w:left="-5" w:right="51"/>
      </w:pPr>
      <w:r>
        <w:t xml:space="preserve">This approach demonstrates several strengths. The availability of large-scale </w:t>
      </w:r>
      <w:proofErr w:type="gramStart"/>
      <w:r>
        <w:t>population based</w:t>
      </w:r>
      <w:proofErr w:type="gramEnd"/>
      <w:r>
        <w:t xml:space="preserve"> data sets, including CPRD and NHSBSP linked data, provides robust evidence on incidence, survival, and risk factor distributions (Barclay et al., 2024; Brettschneider et al., 2023). The 33-year follow-up data on screening effectiveness offer strong evidence for long term public health benefits, with attendance associated with a 33% reduction in breast cancer mortality (Dibden et al., 2026). However, significant weaknesses persist. The COVID-19 pandemic disrupted screening programmes and research activities, potentially biasing recent data on uptake and outcomes (French et al., 2025). Surveillance systems may underrepresent minority ethnic and socioeconomic groups, as women from these populations are less likely to attend screening (</w:t>
      </w:r>
      <w:proofErr w:type="spellStart"/>
      <w:r>
        <w:t>Onyedum</w:t>
      </w:r>
      <w:proofErr w:type="spellEnd"/>
      <w:r>
        <w:t xml:space="preserve"> et al., 2025). Overdiagnosis remains a recognised limitation of mammographic screening; </w:t>
      </w:r>
      <w:proofErr w:type="spellStart"/>
      <w:r>
        <w:t>Autier</w:t>
      </w:r>
      <w:proofErr w:type="spellEnd"/>
      <w:r>
        <w:t xml:space="preserve"> (2024) estimated that 18-19% of cancers diagnosed among women invited screening represent overdiagnosis. Furthermore, ecological and observational study designs cannot establish causation for risk factor associations, and the applicability of UK biobank data to Tower Hamlets is limited by the volunteer bias inherent in the cohort (Kelly et al., 2026). Finally, the proposed intervention programme requires formal evaluation through randomised or cluster-randomised trails before wide-scale implementation can be recommended with full epidemiological confidence. </w:t>
      </w:r>
    </w:p>
    <w:p w14:paraId="33EE148F" w14:textId="77777777" w:rsidR="0060717B" w:rsidRDefault="00000000">
      <w:pPr>
        <w:spacing w:after="0" w:line="259" w:lineRule="auto"/>
        <w:ind w:left="0" w:right="0" w:firstLine="0"/>
        <w:jc w:val="left"/>
      </w:pPr>
      <w:r>
        <w:t xml:space="preserve"> </w:t>
      </w:r>
    </w:p>
    <w:p w14:paraId="4F97881E" w14:textId="77777777" w:rsidR="0060717B" w:rsidRDefault="00000000">
      <w:pPr>
        <w:spacing w:after="266" w:line="259" w:lineRule="auto"/>
        <w:ind w:left="0" w:right="0" w:firstLine="0"/>
        <w:jc w:val="left"/>
      </w:pPr>
      <w:r>
        <w:rPr>
          <w:b/>
        </w:rPr>
        <w:t xml:space="preserve"> </w:t>
      </w:r>
    </w:p>
    <w:p w14:paraId="3DC87A88" w14:textId="77777777" w:rsidR="00C4414A" w:rsidRDefault="00C4414A">
      <w:pPr>
        <w:pStyle w:val="Heading2"/>
        <w:spacing w:after="184"/>
        <w:ind w:left="-5"/>
      </w:pPr>
      <w:bookmarkStart w:id="26" w:name="_Toc15327"/>
    </w:p>
    <w:p w14:paraId="034DBC65" w14:textId="43520CF9" w:rsidR="0060717B" w:rsidRDefault="00000000">
      <w:pPr>
        <w:pStyle w:val="Heading2"/>
        <w:spacing w:after="184"/>
        <w:ind w:left="-5"/>
      </w:pPr>
      <w:r>
        <w:t xml:space="preserve">REFERENCES  </w:t>
      </w:r>
      <w:bookmarkEnd w:id="26"/>
    </w:p>
    <w:p w14:paraId="58412BD5" w14:textId="77777777" w:rsidR="0060717B" w:rsidRDefault="00000000">
      <w:pPr>
        <w:ind w:left="-5" w:right="51"/>
      </w:pPr>
      <w:r>
        <w:t xml:space="preserve">Adhav, S., Lima de Vale, M., Zaman, M., Coultas, C. and Goff, L. (2024) 'Co-development of breast cancer health promotion educational materials for ethnically diverse women working with hairdressing and beauty salons: BELONG study', </w:t>
      </w:r>
      <w:r>
        <w:rPr>
          <w:i/>
        </w:rPr>
        <w:t>British Journal of General Practice</w:t>
      </w:r>
      <w:r>
        <w:t xml:space="preserve">, 74(742), pp. 470-471. </w:t>
      </w:r>
    </w:p>
    <w:p w14:paraId="573B6C9C" w14:textId="77777777" w:rsidR="0060717B" w:rsidRDefault="00000000">
      <w:pPr>
        <w:ind w:left="-5" w:right="51"/>
      </w:pPr>
      <w:proofErr w:type="spellStart"/>
      <w:r>
        <w:t>Allel</w:t>
      </w:r>
      <w:proofErr w:type="spellEnd"/>
      <w:r>
        <w:t xml:space="preserve">, K., </w:t>
      </w:r>
      <w:proofErr w:type="spellStart"/>
      <w:r>
        <w:t>Salustri</w:t>
      </w:r>
      <w:proofErr w:type="spellEnd"/>
      <w:r>
        <w:t xml:space="preserve">, F., </w:t>
      </w:r>
      <w:proofErr w:type="spellStart"/>
      <w:r>
        <w:t>Haghparast</w:t>
      </w:r>
      <w:proofErr w:type="spellEnd"/>
      <w:r>
        <w:t xml:space="preserve">-Bidgoli, H. and Kiadaliri, A. (2021) 'The contributions of public health policies and healthcare quality to gender gap and country differences in life expectancy in the UK', </w:t>
      </w:r>
      <w:r>
        <w:rPr>
          <w:i/>
        </w:rPr>
        <w:t>Population Health Metrics</w:t>
      </w:r>
      <w:r>
        <w:t xml:space="preserve">, 19(1), pp. 1-15. </w:t>
      </w:r>
    </w:p>
    <w:p w14:paraId="1DC29289" w14:textId="77777777" w:rsidR="0060717B" w:rsidRDefault="00000000">
      <w:pPr>
        <w:ind w:left="-5" w:right="51"/>
      </w:pPr>
      <w:proofErr w:type="spellStart"/>
      <w:r>
        <w:t>Autier</w:t>
      </w:r>
      <w:proofErr w:type="spellEnd"/>
      <w:r>
        <w:t xml:space="preserve">, P., Ould Ammar, R. and Bota, M. (2024) 'The influence of breast screening on breast cancer incidence in England: observational study based on cancer registries and bulletins of the NHS Breast Screening Programme', </w:t>
      </w:r>
      <w:r>
        <w:rPr>
          <w:i/>
        </w:rPr>
        <w:t>European Journal of Public Health</w:t>
      </w:r>
      <w:r>
        <w:t xml:space="preserve">, 34(4), pp. 812818. </w:t>
      </w:r>
    </w:p>
    <w:p w14:paraId="4C7C60E5" w14:textId="77777777" w:rsidR="0060717B" w:rsidRDefault="00000000">
      <w:pPr>
        <w:ind w:left="-5" w:right="51"/>
      </w:pPr>
      <w:r>
        <w:t xml:space="preserve">Bambra, C., Albani, V. and Franklin, P. (2021) 'COVID-19 and the gender health paradox', </w:t>
      </w:r>
      <w:r>
        <w:rPr>
          <w:i/>
        </w:rPr>
        <w:t>Scandinavian Journal of Public Health</w:t>
      </w:r>
      <w:r>
        <w:t xml:space="preserve">, 49(1), pp. 1-7. </w:t>
      </w:r>
    </w:p>
    <w:p w14:paraId="5A9E03D6" w14:textId="77777777" w:rsidR="0060717B" w:rsidRDefault="00000000">
      <w:pPr>
        <w:ind w:left="-5" w:right="51"/>
      </w:pPr>
      <w:r>
        <w:t xml:space="preserve">Barclay, N.L., Burn, E., </w:t>
      </w:r>
      <w:proofErr w:type="spellStart"/>
      <w:r>
        <w:t>Delmestri</w:t>
      </w:r>
      <w:proofErr w:type="spellEnd"/>
      <w:r>
        <w:t xml:space="preserve">, A., Duarte-Salles, T. and </w:t>
      </w:r>
      <w:proofErr w:type="spellStart"/>
      <w:r>
        <w:t>Golozar</w:t>
      </w:r>
      <w:proofErr w:type="spellEnd"/>
      <w:r>
        <w:t xml:space="preserve">, A. (2024) 'Trends in incidence, prevalence, and survival of breast cancer in the United Kingdom from 2000 to 2021', </w:t>
      </w:r>
      <w:r>
        <w:rPr>
          <w:i/>
        </w:rPr>
        <w:t>Scientific Reports</w:t>
      </w:r>
      <w:r>
        <w:t xml:space="preserve">, 14, 18973. </w:t>
      </w:r>
    </w:p>
    <w:p w14:paraId="7B060FFD" w14:textId="77777777" w:rsidR="0060717B" w:rsidRDefault="00000000">
      <w:pPr>
        <w:ind w:left="-5" w:right="51"/>
      </w:pPr>
      <w:r>
        <w:t>Barnes, I., García-</w:t>
      </w:r>
      <w:proofErr w:type="spellStart"/>
      <w:r>
        <w:t>Closas</w:t>
      </w:r>
      <w:proofErr w:type="spellEnd"/>
      <w:r>
        <w:t xml:space="preserve">, M., </w:t>
      </w:r>
      <w:proofErr w:type="spellStart"/>
      <w:r>
        <w:t>Gathani</w:t>
      </w:r>
      <w:proofErr w:type="spellEnd"/>
      <w:r>
        <w:t xml:space="preserve">, T., Sweetland, S. and Floud, S. (2024) 'A comparative analysis of risk factor associations with interval and screen-detected breast cancers: a large UK prospective study', </w:t>
      </w:r>
      <w:r>
        <w:rPr>
          <w:i/>
        </w:rPr>
        <w:t>International Journal of Cancer</w:t>
      </w:r>
      <w:r>
        <w:t xml:space="preserve">, 154(9), pp. 1601-1614. </w:t>
      </w:r>
    </w:p>
    <w:p w14:paraId="32A068A7" w14:textId="77777777" w:rsidR="0060717B" w:rsidRDefault="00000000">
      <w:pPr>
        <w:ind w:left="-5" w:right="51"/>
      </w:pPr>
      <w:r>
        <w:t xml:space="preserve">Benenden </w:t>
      </w:r>
      <w:r>
        <w:tab/>
        <w:t xml:space="preserve">Health </w:t>
      </w:r>
      <w:r>
        <w:tab/>
        <w:t xml:space="preserve">(2024) </w:t>
      </w:r>
      <w:r>
        <w:tab/>
      </w:r>
      <w:r>
        <w:rPr>
          <w:i/>
        </w:rPr>
        <w:t xml:space="preserve">Gender </w:t>
      </w:r>
      <w:r>
        <w:rPr>
          <w:i/>
        </w:rPr>
        <w:tab/>
        <w:t xml:space="preserve">Health </w:t>
      </w:r>
      <w:r>
        <w:rPr>
          <w:i/>
        </w:rPr>
        <w:tab/>
        <w:t xml:space="preserve">Gap </w:t>
      </w:r>
      <w:r>
        <w:rPr>
          <w:i/>
        </w:rPr>
        <w:tab/>
        <w:t xml:space="preserve">Report </w:t>
      </w:r>
      <w:r>
        <w:rPr>
          <w:i/>
        </w:rPr>
        <w:tab/>
        <w:t>2024</w:t>
      </w:r>
      <w:r>
        <w:t xml:space="preserve">. </w:t>
      </w:r>
      <w:r>
        <w:tab/>
        <w:t xml:space="preserve">Available </w:t>
      </w:r>
      <w:r>
        <w:tab/>
        <w:t xml:space="preserve">at: https://www.benenden.co.uk/gender-health-gap-2024/ (Accessed: 18 August 2026). </w:t>
      </w:r>
    </w:p>
    <w:p w14:paraId="4EDB9F5D" w14:textId="77777777" w:rsidR="0060717B" w:rsidRDefault="00000000">
      <w:pPr>
        <w:ind w:left="-5" w:right="51"/>
      </w:pPr>
      <w:r>
        <w:t xml:space="preserve">Bosomworth, J. and Khan, Z. (2023) 'Analysis of gender-based inequality in cardiovascular health: An umbrella review', </w:t>
      </w:r>
      <w:proofErr w:type="spellStart"/>
      <w:r>
        <w:rPr>
          <w:i/>
        </w:rPr>
        <w:t>Cureus</w:t>
      </w:r>
      <w:proofErr w:type="spellEnd"/>
      <w:r>
        <w:t xml:space="preserve">, 15(8), e43514. </w:t>
      </w:r>
    </w:p>
    <w:p w14:paraId="5A7DA4AD" w14:textId="77777777" w:rsidR="0060717B" w:rsidRDefault="00000000">
      <w:pPr>
        <w:spacing w:after="263" w:line="259" w:lineRule="auto"/>
        <w:ind w:left="-5" w:right="51"/>
      </w:pPr>
      <w:r>
        <w:t xml:space="preserve">Breast Cancer Now (2025) </w:t>
      </w:r>
      <w:r>
        <w:rPr>
          <w:i/>
        </w:rPr>
        <w:t>Breast Cancer in the UK 2025</w:t>
      </w:r>
      <w:r>
        <w:t xml:space="preserve">. London: Breast Cancer Now. </w:t>
      </w:r>
    </w:p>
    <w:p w14:paraId="21235E49" w14:textId="77777777" w:rsidR="0060717B" w:rsidRDefault="00000000">
      <w:pPr>
        <w:ind w:left="-5" w:right="51"/>
      </w:pPr>
      <w:r>
        <w:t xml:space="preserve">Brettschneider, J., Morrison, B., Jenkinson, D., Freeman, K. and Walton, J. (2023) 'Development and quality appraisal of a new English breast screening linked data set', </w:t>
      </w:r>
      <w:r>
        <w:rPr>
          <w:i/>
        </w:rPr>
        <w:t>British Journal of Radiology</w:t>
      </w:r>
      <w:r>
        <w:t xml:space="preserve">, 97(1153), pp. 98-112. </w:t>
      </w:r>
    </w:p>
    <w:p w14:paraId="64E4DD66" w14:textId="77777777" w:rsidR="0060717B" w:rsidRDefault="00000000">
      <w:pPr>
        <w:ind w:left="-5" w:right="51"/>
      </w:pPr>
      <w:r>
        <w:t xml:space="preserve">Cancer Research UK (2023) </w:t>
      </w:r>
      <w:r>
        <w:rPr>
          <w:i/>
        </w:rPr>
        <w:t>Breast Cancer Incidence (Invasive) Statistics</w:t>
      </w:r>
      <w:r>
        <w:t xml:space="preserve">. Available at: https://www.cancerresearchuk.org/health-professional/cancer-statistics/statistics-by-cancertype/breast-cancer/incidence-invasive (Accessed: 18 August 2026). </w:t>
      </w:r>
    </w:p>
    <w:p w14:paraId="3B0E8BD0" w14:textId="77777777" w:rsidR="0060717B" w:rsidRDefault="00000000">
      <w:pPr>
        <w:ind w:left="-5" w:right="51"/>
      </w:pPr>
      <w:r>
        <w:lastRenderedPageBreak/>
        <w:t xml:space="preserve">Chen, Q. (2024) 'Female versus viral: Understanding the UK gender health inequalities during the Covid-19 pandemic using e-archives', </w:t>
      </w:r>
      <w:r>
        <w:rPr>
          <w:i/>
        </w:rPr>
        <w:t>Social Science &amp; Medicine</w:t>
      </w:r>
      <w:r>
        <w:t xml:space="preserve">, 362, 117215. </w:t>
      </w:r>
    </w:p>
    <w:p w14:paraId="38168AC5" w14:textId="77777777" w:rsidR="0060717B" w:rsidRDefault="00000000">
      <w:pPr>
        <w:ind w:left="-5" w:right="51"/>
      </w:pPr>
      <w:r>
        <w:t xml:space="preserve">Chen, S. and Wang, Y. (2023) 'Industry-specific prevalence and gender disparity of common mental health problems in the UK', </w:t>
      </w:r>
      <w:r>
        <w:rPr>
          <w:i/>
        </w:rPr>
        <w:t>Frontiers in Public Health</w:t>
      </w:r>
      <w:r>
        <w:t xml:space="preserve">, 11, 1054964. </w:t>
      </w:r>
    </w:p>
    <w:p w14:paraId="53D68A19" w14:textId="77777777" w:rsidR="0060717B" w:rsidRDefault="00000000">
      <w:pPr>
        <w:ind w:left="-5" w:right="51"/>
      </w:pPr>
      <w:r>
        <w:t xml:space="preserve">Connolly, A. and Regan, L. (2022) 'Women's health matters', </w:t>
      </w:r>
      <w:r>
        <w:rPr>
          <w:i/>
        </w:rPr>
        <w:t>British Journal of General Practice</w:t>
      </w:r>
      <w:r>
        <w:t xml:space="preserve">, 72(725), pp. 570-571. </w:t>
      </w:r>
    </w:p>
    <w:p w14:paraId="687CB573" w14:textId="77777777" w:rsidR="0060717B" w:rsidRDefault="00000000">
      <w:pPr>
        <w:ind w:left="-5" w:right="51"/>
      </w:pPr>
      <w:r>
        <w:t xml:space="preserve">Cooper, D. and Tabana, H. (2021) 'Women, men, and health', in </w:t>
      </w:r>
      <w:r>
        <w:rPr>
          <w:i/>
        </w:rPr>
        <w:t>Oxford Textbook of Global Health</w:t>
      </w:r>
      <w:r>
        <w:t xml:space="preserve">. Oxford: Oxford University Press, pp. 1-18. </w:t>
      </w:r>
    </w:p>
    <w:p w14:paraId="1349EADA" w14:textId="77777777" w:rsidR="0060717B" w:rsidRDefault="00000000">
      <w:pPr>
        <w:spacing w:after="107" w:line="259" w:lineRule="auto"/>
        <w:ind w:left="-5" w:right="51"/>
      </w:pPr>
      <w:r>
        <w:t xml:space="preserve">Department of Health and Social Care (2022) </w:t>
      </w:r>
      <w:r>
        <w:rPr>
          <w:i/>
        </w:rPr>
        <w:t>Women's Health Strategy for England</w:t>
      </w:r>
      <w:r>
        <w:t xml:space="preserve">. London: </w:t>
      </w:r>
    </w:p>
    <w:p w14:paraId="15C35A28" w14:textId="77777777" w:rsidR="0060717B" w:rsidRDefault="00000000">
      <w:pPr>
        <w:spacing w:after="261" w:line="259" w:lineRule="auto"/>
        <w:ind w:left="-5" w:right="51"/>
      </w:pPr>
      <w:r>
        <w:t xml:space="preserve">DHSC. </w:t>
      </w:r>
    </w:p>
    <w:p w14:paraId="02666369" w14:textId="77777777" w:rsidR="0060717B" w:rsidRDefault="00000000">
      <w:pPr>
        <w:ind w:left="-5" w:right="51"/>
      </w:pPr>
      <w:r>
        <w:t xml:space="preserve">Department of Health and Social Care (2026) </w:t>
      </w:r>
      <w:r>
        <w:rPr>
          <w:i/>
        </w:rPr>
        <w:t>Renewed Women's Health Strategy for England</w:t>
      </w:r>
      <w:r>
        <w:t xml:space="preserve">. London: DHSC. </w:t>
      </w:r>
    </w:p>
    <w:p w14:paraId="2D00736F" w14:textId="77777777" w:rsidR="0060717B" w:rsidRDefault="00000000">
      <w:pPr>
        <w:ind w:left="-5" w:right="51"/>
      </w:pPr>
      <w:r>
        <w:t xml:space="preserve">Di Lego, V., Nepomuceno, M.R. and Turra, C.M. (2025) 'Gender gaps in healthy life expectancy as indicators of inequality for disability and chronic disease', </w:t>
      </w:r>
      <w:r>
        <w:rPr>
          <w:i/>
        </w:rPr>
        <w:t>BMJ Open</w:t>
      </w:r>
      <w:r>
        <w:t xml:space="preserve">, 15(11), e096968. </w:t>
      </w:r>
    </w:p>
    <w:p w14:paraId="05593D53" w14:textId="77777777" w:rsidR="0060717B" w:rsidRDefault="00000000">
      <w:pPr>
        <w:ind w:left="-5" w:right="51"/>
      </w:pPr>
      <w:r>
        <w:t xml:space="preserve">Dibden, A., Parmar, D., Gabe, R., Smith, R.A. and Moss, S.M. (2026) 'Long-term effectiveness and overdiagnosis in the NHS breast screening programme', </w:t>
      </w:r>
      <w:r>
        <w:rPr>
          <w:i/>
        </w:rPr>
        <w:t>British Journal of Cancer</w:t>
      </w:r>
      <w:r>
        <w:t xml:space="preserve">, 134, pp. 1-9. </w:t>
      </w:r>
    </w:p>
    <w:p w14:paraId="4B925505" w14:textId="77777777" w:rsidR="0060717B" w:rsidRDefault="00000000">
      <w:pPr>
        <w:ind w:left="-5" w:right="51"/>
      </w:pPr>
      <w:r>
        <w:t xml:space="preserve">Ellison, M. (2023) 'The gender-differentiated impacts of the COVID-19 pandemic on health and social inequalities in the UK', </w:t>
      </w:r>
      <w:r>
        <w:rPr>
          <w:i/>
        </w:rPr>
        <w:t xml:space="preserve">Lingue Culture </w:t>
      </w:r>
      <w:proofErr w:type="spellStart"/>
      <w:r>
        <w:rPr>
          <w:i/>
        </w:rPr>
        <w:t>Mediazioni</w:t>
      </w:r>
      <w:proofErr w:type="spellEnd"/>
      <w:r>
        <w:t xml:space="preserve">, 10(2), pp. 141-160. </w:t>
      </w:r>
    </w:p>
    <w:p w14:paraId="47D47FAD" w14:textId="77777777" w:rsidR="0060717B" w:rsidRDefault="00000000">
      <w:pPr>
        <w:ind w:left="-5" w:right="51"/>
      </w:pPr>
      <w:r>
        <w:t xml:space="preserve">Fawcett Society (2024) </w:t>
      </w:r>
      <w:r>
        <w:rPr>
          <w:i/>
        </w:rPr>
        <w:t>About the Fawcett Society</w:t>
      </w:r>
      <w:r>
        <w:t xml:space="preserve">. Available at: https://www.fawcettsociety.org.uk/ (Accessed: 18 August 2026). </w:t>
      </w:r>
    </w:p>
    <w:p w14:paraId="3E32E80A" w14:textId="77777777" w:rsidR="0060717B" w:rsidRDefault="00000000">
      <w:pPr>
        <w:ind w:left="-5" w:right="51"/>
      </w:pPr>
      <w:r>
        <w:t xml:space="preserve">French, D., McWilliams, L., Payne, K., Woof, V.G. and Harrison, F. (2025) 'The feasibility of risk-stratified screening as routine practice in the NHS Breast Screening Programme in England: the PROCAS2 research programme', </w:t>
      </w:r>
      <w:r>
        <w:rPr>
          <w:i/>
        </w:rPr>
        <w:t>Programme Grants for Applied Research</w:t>
      </w:r>
      <w:r>
        <w:t xml:space="preserve">, 13(13), pp. 1-164. </w:t>
      </w:r>
    </w:p>
    <w:p w14:paraId="41FC9974" w14:textId="77777777" w:rsidR="0060717B" w:rsidRDefault="00000000">
      <w:pPr>
        <w:ind w:left="-5" w:right="51"/>
      </w:pPr>
      <w:proofErr w:type="spellStart"/>
      <w:r>
        <w:t>Goberna</w:t>
      </w:r>
      <w:proofErr w:type="spellEnd"/>
      <w:r>
        <w:t xml:space="preserve">-Tricas, J. (2024) 'Women, inequality, and health', </w:t>
      </w:r>
      <w:proofErr w:type="spellStart"/>
      <w:r>
        <w:rPr>
          <w:i/>
        </w:rPr>
        <w:t>Enfermería</w:t>
      </w:r>
      <w:proofErr w:type="spellEnd"/>
      <w:r>
        <w:rPr>
          <w:i/>
        </w:rPr>
        <w:t xml:space="preserve"> Global</w:t>
      </w:r>
      <w:r>
        <w:t xml:space="preserve">, 23(3), pp. 285296. </w:t>
      </w:r>
    </w:p>
    <w:p w14:paraId="1297DE78" w14:textId="77777777" w:rsidR="0060717B" w:rsidRDefault="00000000">
      <w:pPr>
        <w:ind w:left="-5" w:right="51"/>
      </w:pPr>
      <w:r>
        <w:t xml:space="preserve">Goon, S., Kim, H. and Giovannucci, E.L. (2021) 'Population attributable risk for colorectal and breast cancer in England, Wales, Scotland, Northern Ireland, and the United Kingdom', </w:t>
      </w:r>
      <w:r>
        <w:rPr>
          <w:i/>
        </w:rPr>
        <w:t>AMRC Open Research</w:t>
      </w:r>
      <w:r>
        <w:t xml:space="preserve">, 3(11), pp. 1-15. </w:t>
      </w:r>
    </w:p>
    <w:p w14:paraId="673E6793" w14:textId="77777777" w:rsidR="0060717B" w:rsidRDefault="00000000">
      <w:pPr>
        <w:ind w:left="-5" w:right="51"/>
      </w:pPr>
      <w:r>
        <w:lastRenderedPageBreak/>
        <w:t xml:space="preserve">Gutacker, N., Glynn, D., Mason, A., Walker, S. and Siciliani, L. (2025) 'Socioeconomic inequalities in disease prevalence by age and sex for 17 common long-term conditions in England', </w:t>
      </w:r>
      <w:r>
        <w:rPr>
          <w:i/>
        </w:rPr>
        <w:t>Journal of Epidemiology &amp; Community Health</w:t>
      </w:r>
      <w:r>
        <w:t xml:space="preserve">, 79(8), pp. 1-9. </w:t>
      </w:r>
    </w:p>
    <w:p w14:paraId="60186544" w14:textId="77777777" w:rsidR="0060717B" w:rsidRDefault="00000000">
      <w:pPr>
        <w:ind w:left="-5" w:right="51"/>
      </w:pPr>
      <w:r>
        <w:t xml:space="preserve">Harvie, M. (2026) 'Breast cancer (including prevention strategies)', in </w:t>
      </w:r>
      <w:r>
        <w:rPr>
          <w:i/>
        </w:rPr>
        <w:t>Dietary Management of Cancer</w:t>
      </w:r>
      <w:r>
        <w:t xml:space="preserve">. Chichester: Wiley, pp. 1-20. </w:t>
      </w:r>
    </w:p>
    <w:p w14:paraId="22F1CD01" w14:textId="77777777" w:rsidR="0060717B" w:rsidRDefault="00000000">
      <w:pPr>
        <w:ind w:left="-5" w:right="51"/>
      </w:pPr>
      <w:r>
        <w:t xml:space="preserve">Hill, H., Kearns, B., Pashayan, N., </w:t>
      </w:r>
      <w:proofErr w:type="spellStart"/>
      <w:r>
        <w:t>Roadevin</w:t>
      </w:r>
      <w:proofErr w:type="spellEnd"/>
      <w:r>
        <w:t xml:space="preserve">, C. and </w:t>
      </w:r>
      <w:proofErr w:type="spellStart"/>
      <w:r>
        <w:t>Sasieni</w:t>
      </w:r>
      <w:proofErr w:type="spellEnd"/>
      <w:r>
        <w:t xml:space="preserve">, P. (2023) 'The cost-effectiveness of risk-stratified breast cancer screening in the UK', </w:t>
      </w:r>
      <w:r>
        <w:rPr>
          <w:i/>
        </w:rPr>
        <w:t>British Journal of Cancer</w:t>
      </w:r>
      <w:r>
        <w:t xml:space="preserve">, 129, pp. 12451254. </w:t>
      </w:r>
    </w:p>
    <w:p w14:paraId="31525709" w14:textId="77777777" w:rsidR="0060717B" w:rsidRDefault="00000000">
      <w:pPr>
        <w:spacing w:after="264" w:line="259" w:lineRule="auto"/>
        <w:ind w:left="-5" w:right="0"/>
        <w:jc w:val="left"/>
      </w:pPr>
      <w:r>
        <w:t xml:space="preserve">Home Office (2022) </w:t>
      </w:r>
      <w:r>
        <w:rPr>
          <w:i/>
        </w:rPr>
        <w:t>Domestic Abuse Act 2021: Statutory Guidance</w:t>
      </w:r>
      <w:r>
        <w:t xml:space="preserve">. London: Home Office. </w:t>
      </w:r>
    </w:p>
    <w:p w14:paraId="3EE1CC89" w14:textId="77777777" w:rsidR="0060717B" w:rsidRDefault="00000000">
      <w:pPr>
        <w:ind w:left="-5" w:right="51"/>
      </w:pPr>
      <w:r>
        <w:t xml:space="preserve">Jeffrey, G. (2025) 'Barriers to women in accessing healthcare in the UK – a review', </w:t>
      </w:r>
      <w:r>
        <w:rPr>
          <w:i/>
        </w:rPr>
        <w:t>LSE Public Policy Review</w:t>
      </w:r>
      <w:r>
        <w:t xml:space="preserve">, 4(1), pp. 1-15. </w:t>
      </w:r>
    </w:p>
    <w:p w14:paraId="77707C8E" w14:textId="77777777" w:rsidR="0060717B" w:rsidRDefault="00000000">
      <w:pPr>
        <w:ind w:left="-5" w:right="51"/>
      </w:pPr>
      <w:r>
        <w:t xml:space="preserve">Katsura, C., </w:t>
      </w:r>
      <w:proofErr w:type="spellStart"/>
      <w:r>
        <w:t>Ogunmwonyi</w:t>
      </w:r>
      <w:proofErr w:type="spellEnd"/>
      <w:r>
        <w:t xml:space="preserve">, I., Kankam, H. and Saha, S. (2022) 'Breast cancer: presentation, investigation and management', </w:t>
      </w:r>
      <w:r>
        <w:rPr>
          <w:i/>
        </w:rPr>
        <w:t>British Journal of Hospital Medicine</w:t>
      </w:r>
      <w:r>
        <w:t xml:space="preserve">, 83(2), pp. 1-7. </w:t>
      </w:r>
    </w:p>
    <w:p w14:paraId="31675D28" w14:textId="77777777" w:rsidR="0060717B" w:rsidRDefault="00000000">
      <w:pPr>
        <w:ind w:left="-5" w:right="51"/>
      </w:pPr>
      <w:r>
        <w:t xml:space="preserve">Kelly, R.K., Harris, K., Muntner, P. and Woodward, M. (2026) 'Socioeconomic differences in the prevalence, treatment and control of major cardiometabolic risk factors by sex', </w:t>
      </w:r>
      <w:r>
        <w:rPr>
          <w:i/>
        </w:rPr>
        <w:t>BMJ Public Health</w:t>
      </w:r>
      <w:r>
        <w:t xml:space="preserve">, 4, e002961. </w:t>
      </w:r>
    </w:p>
    <w:p w14:paraId="656D8DE3" w14:textId="77777777" w:rsidR="0060717B" w:rsidRDefault="00000000">
      <w:pPr>
        <w:ind w:left="-5" w:right="51"/>
      </w:pPr>
      <w:r>
        <w:t xml:space="preserve">Khan, M.R., Papier, K., Pirie, K., Key, T.J. and Atkins, J. (2025) 'Sex differences in cancer incidence: prospective analyses in the UK Biobank', </w:t>
      </w:r>
      <w:r>
        <w:rPr>
          <w:i/>
        </w:rPr>
        <w:t>British Journal of Cancer</w:t>
      </w:r>
      <w:r>
        <w:t xml:space="preserve">, 132, pp. 567576. </w:t>
      </w:r>
    </w:p>
    <w:p w14:paraId="36E92CCF" w14:textId="77777777" w:rsidR="0060717B" w:rsidRDefault="00000000">
      <w:pPr>
        <w:ind w:left="-5" w:right="51"/>
      </w:pPr>
      <w:r>
        <w:t xml:space="preserve">Lancet (2026) 'Disease burden attributable to intimate partner violence against females and sexual violence against children in 204 countries and territories, 1990-2023', </w:t>
      </w:r>
      <w:r>
        <w:rPr>
          <w:i/>
        </w:rPr>
        <w:t>The Lancet</w:t>
      </w:r>
      <w:r>
        <w:t xml:space="preserve">, 405, pp. 1-15. </w:t>
      </w:r>
    </w:p>
    <w:p w14:paraId="2A68D7E5" w14:textId="77777777" w:rsidR="0060717B" w:rsidRDefault="00000000">
      <w:pPr>
        <w:ind w:left="-5" w:right="51"/>
      </w:pPr>
      <w:r>
        <w:t xml:space="preserve">Lancet Oncology (2026) 'Global, regional, and national burden of breast cancer among females, 1990-2023, with forecasts to 2050', </w:t>
      </w:r>
      <w:r>
        <w:rPr>
          <w:i/>
        </w:rPr>
        <w:t>The Lancet Oncology</w:t>
      </w:r>
      <w:r>
        <w:t xml:space="preserve">, 27(3), pp. 1-14. </w:t>
      </w:r>
    </w:p>
    <w:p w14:paraId="132F25BD" w14:textId="77777777" w:rsidR="0060717B" w:rsidRDefault="00000000">
      <w:pPr>
        <w:spacing w:after="156" w:line="361" w:lineRule="auto"/>
        <w:ind w:left="-5" w:right="0"/>
        <w:jc w:val="left"/>
      </w:pPr>
      <w:r>
        <w:t xml:space="preserve">MBRRACE-UK (2024) </w:t>
      </w:r>
      <w:r>
        <w:rPr>
          <w:i/>
        </w:rPr>
        <w:t>Saving Lives, Improving Mothers' Care – Lessons Learned to Inform Maternity Care from the UK and Ireland</w:t>
      </w:r>
      <w:r>
        <w:t xml:space="preserve">. Oxford: National Perinatal Epidemiology Unit. </w:t>
      </w:r>
    </w:p>
    <w:p w14:paraId="12C78A52" w14:textId="77777777" w:rsidR="0060717B" w:rsidRDefault="00000000">
      <w:pPr>
        <w:ind w:left="-5" w:right="51"/>
      </w:pPr>
      <w:r>
        <w:t xml:space="preserve">National Centre for Domestic Violence (2022) </w:t>
      </w:r>
      <w:r>
        <w:rPr>
          <w:i/>
        </w:rPr>
        <w:t>Domestic Abuse Statistics UK</w:t>
      </w:r>
      <w:r>
        <w:t xml:space="preserve">. Available at: https://www.ncdv.org.uk/domestic-abuse-statistics-uk/ (Accessed: 18 August 2026). </w:t>
      </w:r>
    </w:p>
    <w:p w14:paraId="0C122A48" w14:textId="77777777" w:rsidR="0060717B" w:rsidRDefault="00000000">
      <w:pPr>
        <w:ind w:left="-5" w:right="51"/>
      </w:pPr>
      <w:r>
        <w:t xml:space="preserve">Nature Communications (2025) 'Characterising acute and chronic care needs: insights from the Global Burden of Disease Study 2019', </w:t>
      </w:r>
      <w:r>
        <w:rPr>
          <w:i/>
        </w:rPr>
        <w:t>Nature Communications</w:t>
      </w:r>
      <w:r>
        <w:t xml:space="preserve">, 16, 56910. </w:t>
      </w:r>
    </w:p>
    <w:p w14:paraId="2FECD25E" w14:textId="77777777" w:rsidR="0060717B" w:rsidRDefault="00000000">
      <w:pPr>
        <w:spacing w:after="156" w:line="361" w:lineRule="auto"/>
        <w:ind w:left="-5" w:right="0"/>
        <w:jc w:val="left"/>
      </w:pPr>
      <w:r>
        <w:lastRenderedPageBreak/>
        <w:t xml:space="preserve">Office for National Statistics (2025) </w:t>
      </w:r>
      <w:r>
        <w:rPr>
          <w:i/>
        </w:rPr>
        <w:t>Domestic Abuse in England and Wales Overview: November 2025</w:t>
      </w:r>
      <w:r>
        <w:t xml:space="preserve">. Newport: ONS. </w:t>
      </w:r>
    </w:p>
    <w:p w14:paraId="2B4F1B32" w14:textId="77777777" w:rsidR="0060717B" w:rsidRDefault="00000000">
      <w:pPr>
        <w:ind w:left="-5" w:right="51"/>
      </w:pPr>
      <w:proofErr w:type="spellStart"/>
      <w:r>
        <w:t>Onyedum</w:t>
      </w:r>
      <w:proofErr w:type="spellEnd"/>
      <w:r>
        <w:t xml:space="preserve">, O., Singh, P., Tan, T.K., Kannan, A. and </w:t>
      </w:r>
      <w:proofErr w:type="spellStart"/>
      <w:r>
        <w:t>Reehana</w:t>
      </w:r>
      <w:proofErr w:type="spellEnd"/>
      <w:r>
        <w:t xml:space="preserve">, S. (2025) 'Enhancing breast cancer screening uptake: a community-based intervention in Southeast Wolverhampton, UK', </w:t>
      </w:r>
      <w:proofErr w:type="spellStart"/>
      <w:r>
        <w:rPr>
          <w:i/>
        </w:rPr>
        <w:t>Cureus</w:t>
      </w:r>
      <w:proofErr w:type="spellEnd"/>
      <w:r>
        <w:t xml:space="preserve">, 17(7), e83514. </w:t>
      </w:r>
    </w:p>
    <w:p w14:paraId="14D305BD" w14:textId="77777777" w:rsidR="0060717B" w:rsidRDefault="00000000">
      <w:pPr>
        <w:ind w:left="-5" w:right="51"/>
      </w:pPr>
      <w:r>
        <w:t xml:space="preserve">Ramsay, D.A., Bunn, S. and Hadley, R. (2023) </w:t>
      </w:r>
      <w:proofErr w:type="spellStart"/>
      <w:r>
        <w:rPr>
          <w:i/>
        </w:rPr>
        <w:t>POSTbrief</w:t>
      </w:r>
      <w:proofErr w:type="spellEnd"/>
      <w:r>
        <w:rPr>
          <w:i/>
        </w:rPr>
        <w:t xml:space="preserve"> 56: Men's Health</w:t>
      </w:r>
      <w:r>
        <w:t xml:space="preserve">. London: Parliamentary Office of Science and Technology. </w:t>
      </w:r>
    </w:p>
    <w:p w14:paraId="7E8FDC74" w14:textId="77777777" w:rsidR="0060717B" w:rsidRDefault="00000000">
      <w:pPr>
        <w:ind w:left="-5" w:right="51"/>
      </w:pPr>
      <w:r>
        <w:t xml:space="preserve">Reeves, G., Pirie, K., Floud, S., Black, J. and Baker, K. (2026) 'The aetiology of breast cancer subtypes: results from the Million Women Study', </w:t>
      </w:r>
      <w:proofErr w:type="spellStart"/>
      <w:r>
        <w:rPr>
          <w:i/>
        </w:rPr>
        <w:t>Figshare</w:t>
      </w:r>
      <w:proofErr w:type="spellEnd"/>
      <w:r>
        <w:t xml:space="preserve">. Available at: https://springernature.figshare.com/collections/8275275 (Accessed: 18 August 2026). </w:t>
      </w:r>
    </w:p>
    <w:p w14:paraId="70094234" w14:textId="77777777" w:rsidR="0060717B" w:rsidRDefault="00000000">
      <w:pPr>
        <w:ind w:left="-5" w:right="51"/>
      </w:pPr>
      <w:r>
        <w:t xml:space="preserve">Statista (2025) </w:t>
      </w:r>
      <w:r>
        <w:rPr>
          <w:i/>
        </w:rPr>
        <w:t>Gender Inequality in the UK – Statistics and Facts</w:t>
      </w:r>
      <w:r>
        <w:t xml:space="preserve">. Available at: https://www.statista.com/topics/5273/gender-inequality-in-the-uk/ (Accessed: 18 August 2026). </w:t>
      </w:r>
    </w:p>
    <w:p w14:paraId="2E3DACAB" w14:textId="77777777" w:rsidR="0060717B" w:rsidRDefault="00000000">
      <w:pPr>
        <w:ind w:left="-5" w:right="51"/>
      </w:pPr>
      <w:r>
        <w:t xml:space="preserve">Stordal, B., Harvie, M., Antoniou, M., Bellingham, M. and Chan, D.S.M. (2024) 'Breast cancer risk and prevention in 2024', </w:t>
      </w:r>
      <w:r>
        <w:rPr>
          <w:i/>
        </w:rPr>
        <w:t>Cancer Medicine</w:t>
      </w:r>
      <w:r>
        <w:t xml:space="preserve">, 13(9), e70255. </w:t>
      </w:r>
    </w:p>
    <w:p w14:paraId="0F15E5A1" w14:textId="77777777" w:rsidR="0060717B" w:rsidRDefault="00000000">
      <w:pPr>
        <w:ind w:left="-5" w:right="51"/>
      </w:pPr>
      <w:r>
        <w:t xml:space="preserve">Tayal, U., Pompei, G., Wilkinson, I.B., Adamson, D. and Sinha, A. (2024) 'Advancing the access to cardiovascular diagnosis and treatment among women with cardiovascular disease', </w:t>
      </w:r>
      <w:r>
        <w:rPr>
          <w:i/>
        </w:rPr>
        <w:t>Heart</w:t>
      </w:r>
      <w:r>
        <w:t xml:space="preserve">, 110(20), pp. 1-12. </w:t>
      </w:r>
    </w:p>
    <w:p w14:paraId="56170C3B" w14:textId="77777777" w:rsidR="0060717B" w:rsidRDefault="00000000">
      <w:pPr>
        <w:ind w:left="-5" w:right="51"/>
      </w:pPr>
      <w:r>
        <w:t xml:space="preserve">The Women's Organisation (2026) </w:t>
      </w:r>
      <w:r>
        <w:rPr>
          <w:i/>
        </w:rPr>
        <w:t xml:space="preserve">The Gender Health Gap: Shocking Statistics You Need </w:t>
      </w:r>
      <w:proofErr w:type="gramStart"/>
      <w:r>
        <w:rPr>
          <w:i/>
        </w:rPr>
        <w:t>To</w:t>
      </w:r>
      <w:proofErr w:type="gramEnd"/>
      <w:r>
        <w:rPr>
          <w:i/>
        </w:rPr>
        <w:t xml:space="preserve"> Know</w:t>
      </w:r>
      <w:r>
        <w:t xml:space="preserve">. Available at: https://www.thewomensorganisation.org.uk/the-gender-health-gapshocking-statistics-you-need-to-know/ (Accessed: 18 August 2026). </w:t>
      </w:r>
    </w:p>
    <w:p w14:paraId="4D3D1CDB" w14:textId="77777777" w:rsidR="0060717B" w:rsidRDefault="00000000">
      <w:pPr>
        <w:ind w:left="-5" w:right="51"/>
      </w:pPr>
      <w:r>
        <w:t xml:space="preserve">Usher-Smith, J.A., Hindmarch, S., French, D., </w:t>
      </w:r>
      <w:proofErr w:type="spellStart"/>
      <w:r>
        <w:t>Tischkowitz</w:t>
      </w:r>
      <w:proofErr w:type="spellEnd"/>
      <w:r>
        <w:t xml:space="preserve">, M. and </w:t>
      </w:r>
      <w:proofErr w:type="spellStart"/>
      <w:r>
        <w:t>Moorthie</w:t>
      </w:r>
      <w:proofErr w:type="spellEnd"/>
      <w:r>
        <w:t xml:space="preserve">, S. (2023) 'Proactive breast cancer risk assessment in primary care', </w:t>
      </w:r>
      <w:r>
        <w:rPr>
          <w:i/>
        </w:rPr>
        <w:t>British Journal of Cancer</w:t>
      </w:r>
      <w:r>
        <w:t xml:space="preserve">, 128, pp. 913-924. </w:t>
      </w:r>
    </w:p>
    <w:p w14:paraId="3C88ED34" w14:textId="77777777" w:rsidR="0060717B" w:rsidRDefault="00000000">
      <w:pPr>
        <w:ind w:left="-5" w:right="51"/>
      </w:pPr>
      <w:r>
        <w:t xml:space="preserve">White, A. and Tod, M. (2022) 'The need for a strategy on men's health', </w:t>
      </w:r>
      <w:r>
        <w:rPr>
          <w:i/>
        </w:rPr>
        <w:t>Trends in Urology &amp; Men's Health</w:t>
      </w:r>
      <w:r>
        <w:t xml:space="preserve">, 13(2), pp. 1-3. </w:t>
      </w:r>
    </w:p>
    <w:p w14:paraId="6C00B017" w14:textId="77777777" w:rsidR="0060717B" w:rsidRDefault="00000000">
      <w:pPr>
        <w:ind w:left="-5" w:right="51"/>
      </w:pPr>
      <w:r>
        <w:t xml:space="preserve">Womersley, K. and Norton, R. (2023) 'UK medical research funders must do more to support sex and gender equity', </w:t>
      </w:r>
      <w:r>
        <w:rPr>
          <w:i/>
        </w:rPr>
        <w:t>BMJ</w:t>
      </w:r>
      <w:r>
        <w:t xml:space="preserve">, 382, p1809. </w:t>
      </w:r>
    </w:p>
    <w:p w14:paraId="71705824" w14:textId="77777777" w:rsidR="0060717B" w:rsidRDefault="00000000">
      <w:pPr>
        <w:spacing w:after="110" w:line="259" w:lineRule="auto"/>
        <w:ind w:left="-5" w:right="0"/>
        <w:jc w:val="left"/>
      </w:pPr>
      <w:r>
        <w:t xml:space="preserve">World Health Organization (2023) </w:t>
      </w:r>
      <w:r>
        <w:rPr>
          <w:i/>
        </w:rPr>
        <w:t>Global Breast Cancer Initiative Implementation Framework</w:t>
      </w:r>
      <w:r>
        <w:t xml:space="preserve">. </w:t>
      </w:r>
    </w:p>
    <w:p w14:paraId="7DF24B98" w14:textId="77777777" w:rsidR="0060717B" w:rsidRDefault="00000000">
      <w:pPr>
        <w:spacing w:after="263" w:line="259" w:lineRule="auto"/>
        <w:ind w:left="-5" w:right="51"/>
      </w:pPr>
      <w:r>
        <w:t xml:space="preserve">Geneva: WHO. </w:t>
      </w:r>
    </w:p>
    <w:p w14:paraId="534B036C" w14:textId="77777777" w:rsidR="0060717B" w:rsidRDefault="00000000">
      <w:pPr>
        <w:spacing w:after="0" w:line="259" w:lineRule="auto"/>
        <w:ind w:left="0" w:right="0" w:firstLine="0"/>
        <w:jc w:val="left"/>
      </w:pPr>
      <w:r>
        <w:t xml:space="preserve"> </w:t>
      </w:r>
    </w:p>
    <w:p w14:paraId="7FCF3427" w14:textId="77777777" w:rsidR="0060717B" w:rsidRDefault="00000000">
      <w:pPr>
        <w:spacing w:after="266" w:line="259" w:lineRule="auto"/>
        <w:ind w:left="0" w:right="0" w:firstLine="0"/>
      </w:pPr>
      <w:r>
        <w:t xml:space="preserve"> </w:t>
      </w:r>
    </w:p>
    <w:p w14:paraId="4B10A7EA" w14:textId="77777777" w:rsidR="0060717B" w:rsidRDefault="00000000">
      <w:pPr>
        <w:spacing w:after="266" w:line="259" w:lineRule="auto"/>
        <w:ind w:left="0" w:right="0" w:firstLine="0"/>
      </w:pPr>
      <w:r>
        <w:lastRenderedPageBreak/>
        <w:t xml:space="preserve">  </w:t>
      </w:r>
    </w:p>
    <w:p w14:paraId="59069DA3" w14:textId="77777777" w:rsidR="0060717B" w:rsidRDefault="00000000">
      <w:pPr>
        <w:spacing w:after="263" w:line="259" w:lineRule="auto"/>
        <w:ind w:left="0" w:right="0" w:firstLine="0"/>
      </w:pPr>
      <w:r>
        <w:t xml:space="preserve"> </w:t>
      </w:r>
    </w:p>
    <w:p w14:paraId="6DDA6A0D" w14:textId="77777777" w:rsidR="0060717B" w:rsidRDefault="00000000">
      <w:pPr>
        <w:spacing w:after="266" w:line="259" w:lineRule="auto"/>
        <w:ind w:left="0" w:right="0" w:firstLine="0"/>
      </w:pPr>
      <w:r>
        <w:t xml:space="preserve"> </w:t>
      </w:r>
    </w:p>
    <w:p w14:paraId="6F236DE1" w14:textId="77777777" w:rsidR="0060717B" w:rsidRDefault="00000000">
      <w:pPr>
        <w:spacing w:after="266" w:line="259" w:lineRule="auto"/>
        <w:ind w:left="0" w:right="0" w:firstLine="0"/>
      </w:pPr>
      <w:r>
        <w:t xml:space="preserve"> </w:t>
      </w:r>
    </w:p>
    <w:p w14:paraId="3D3B4600" w14:textId="77777777" w:rsidR="0060717B" w:rsidRDefault="00000000">
      <w:pPr>
        <w:spacing w:after="266" w:line="259" w:lineRule="auto"/>
        <w:ind w:left="0" w:right="0" w:firstLine="0"/>
      </w:pPr>
      <w:r>
        <w:t xml:space="preserve"> </w:t>
      </w:r>
    </w:p>
    <w:p w14:paraId="25F9522E" w14:textId="77777777" w:rsidR="0060717B" w:rsidRDefault="00000000">
      <w:pPr>
        <w:spacing w:after="264" w:line="259" w:lineRule="auto"/>
        <w:ind w:left="0" w:right="0" w:firstLine="0"/>
      </w:pPr>
      <w:r>
        <w:t xml:space="preserve"> </w:t>
      </w:r>
    </w:p>
    <w:p w14:paraId="68D282EE" w14:textId="77777777" w:rsidR="0060717B" w:rsidRDefault="00000000">
      <w:pPr>
        <w:spacing w:after="0" w:line="259" w:lineRule="auto"/>
        <w:ind w:left="0" w:right="0" w:firstLine="0"/>
      </w:pPr>
      <w:r>
        <w:t xml:space="preserve"> </w:t>
      </w:r>
    </w:p>
    <w:sectPr w:rsidR="0060717B">
      <w:pgSz w:w="11906" w:h="16838"/>
      <w:pgMar w:top="1486" w:right="1374" w:bottom="143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17B"/>
    <w:rsid w:val="004F349C"/>
    <w:rsid w:val="0060717B"/>
    <w:rsid w:val="00C4414A"/>
    <w:rsid w:val="00FB11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8CCD8"/>
  <w15:docId w15:val="{BDFF6BE8-C777-4646-904B-FD3BED964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I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4" w:line="363" w:lineRule="auto"/>
      <w:ind w:left="10" w:right="61"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470" w:line="265" w:lineRule="auto"/>
      <w:ind w:left="2663" w:hanging="10"/>
      <w:jc w:val="center"/>
      <w:outlineLvl w:val="0"/>
    </w:pPr>
    <w:rPr>
      <w:rFonts w:ascii="Arial" w:eastAsia="Arial" w:hAnsi="Arial" w:cs="Arial"/>
      <w:b/>
      <w:color w:val="000000"/>
    </w:rPr>
  </w:style>
  <w:style w:type="paragraph" w:styleId="Heading2">
    <w:name w:val="heading 2"/>
    <w:next w:val="Normal"/>
    <w:link w:val="Heading2Char"/>
    <w:uiPriority w:val="9"/>
    <w:unhideWhenUsed/>
    <w:qFormat/>
    <w:pPr>
      <w:keepNext/>
      <w:keepLines/>
      <w:spacing w:after="265" w:line="259" w:lineRule="auto"/>
      <w:ind w:left="10" w:hanging="10"/>
      <w:outlineLvl w:val="1"/>
    </w:pPr>
    <w:rPr>
      <w:rFonts w:ascii="Arial" w:eastAsia="Arial" w:hAnsi="Arial" w:cs="Arial"/>
      <w:b/>
      <w:color w:val="000000"/>
      <w:sz w:val="22"/>
    </w:rPr>
  </w:style>
  <w:style w:type="paragraph" w:styleId="Heading3">
    <w:name w:val="heading 3"/>
    <w:next w:val="Normal"/>
    <w:link w:val="Heading3Char"/>
    <w:uiPriority w:val="9"/>
    <w:unhideWhenUsed/>
    <w:qFormat/>
    <w:pPr>
      <w:keepNext/>
      <w:keepLines/>
      <w:spacing w:after="265" w:line="259" w:lineRule="auto"/>
      <w:ind w:left="10" w:hanging="10"/>
      <w:outlineLvl w:val="2"/>
    </w:pPr>
    <w:rPr>
      <w:rFonts w:ascii="Arial" w:eastAsia="Arial" w:hAnsi="Arial" w:cs="Arial"/>
      <w:b/>
      <w:color w:val="000000"/>
      <w:sz w:val="22"/>
    </w:rPr>
  </w:style>
  <w:style w:type="paragraph" w:styleId="Heading4">
    <w:name w:val="heading 4"/>
    <w:next w:val="Normal"/>
    <w:link w:val="Heading4Char"/>
    <w:uiPriority w:val="9"/>
    <w:unhideWhenUsed/>
    <w:qFormat/>
    <w:pPr>
      <w:keepNext/>
      <w:keepLines/>
      <w:spacing w:after="265" w:line="259" w:lineRule="auto"/>
      <w:ind w:left="10" w:hanging="10"/>
      <w:outlineLvl w:val="3"/>
    </w:pPr>
    <w:rPr>
      <w:rFonts w:ascii="Arial" w:eastAsia="Arial" w:hAnsi="Arial" w:cs="Arial"/>
      <w:b/>
      <w:color w:val="000000"/>
      <w:sz w:val="22"/>
    </w:rPr>
  </w:style>
  <w:style w:type="paragraph" w:styleId="Heading5">
    <w:name w:val="heading 5"/>
    <w:next w:val="Normal"/>
    <w:link w:val="Heading5Char"/>
    <w:uiPriority w:val="9"/>
    <w:unhideWhenUsed/>
    <w:qFormat/>
    <w:pPr>
      <w:keepNext/>
      <w:keepLines/>
      <w:spacing w:after="265" w:line="259" w:lineRule="auto"/>
      <w:ind w:left="10" w:hanging="10"/>
      <w:outlineLvl w:val="4"/>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Arial" w:eastAsia="Arial" w:hAnsi="Arial" w:cs="Arial"/>
      <w:b/>
      <w:color w:val="000000"/>
      <w:sz w:val="22"/>
    </w:rPr>
  </w:style>
  <w:style w:type="character" w:customStyle="1" w:styleId="Heading5Char">
    <w:name w:val="Heading 5 Char"/>
    <w:link w:val="Heading5"/>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24"/>
    </w:rPr>
  </w:style>
  <w:style w:type="character" w:customStyle="1" w:styleId="Heading2Char">
    <w:name w:val="Heading 2 Char"/>
    <w:link w:val="Heading2"/>
    <w:rPr>
      <w:rFonts w:ascii="Arial" w:eastAsia="Arial" w:hAnsi="Arial" w:cs="Arial"/>
      <w:b/>
      <w:color w:val="000000"/>
      <w:sz w:val="22"/>
    </w:rPr>
  </w:style>
  <w:style w:type="character" w:customStyle="1" w:styleId="Heading3Char">
    <w:name w:val="Heading 3 Char"/>
    <w:link w:val="Heading3"/>
    <w:rPr>
      <w:rFonts w:ascii="Arial" w:eastAsia="Arial" w:hAnsi="Arial" w:cs="Arial"/>
      <w:b/>
      <w:color w:val="000000"/>
      <w:sz w:val="22"/>
    </w:rPr>
  </w:style>
  <w:style w:type="paragraph" w:styleId="TOC1">
    <w:name w:val="toc 1"/>
    <w:hidden/>
    <w:pPr>
      <w:spacing w:after="130" w:line="259" w:lineRule="auto"/>
      <w:ind w:left="25" w:right="72" w:hanging="10"/>
    </w:pPr>
    <w:rPr>
      <w:rFonts w:ascii="Calibri" w:eastAsia="Calibri" w:hAnsi="Calibri" w:cs="Calibri"/>
      <w:color w:val="000000"/>
    </w:rPr>
  </w:style>
  <w:style w:type="paragraph" w:styleId="TOC2">
    <w:name w:val="toc 2"/>
    <w:hidden/>
    <w:pPr>
      <w:spacing w:after="130" w:line="259" w:lineRule="auto"/>
      <w:ind w:left="265" w:right="72" w:hanging="10"/>
    </w:pPr>
    <w:rPr>
      <w:rFonts w:ascii="Calibri" w:eastAsia="Calibri" w:hAnsi="Calibri" w:cs="Calibri"/>
      <w:color w:val="000000"/>
    </w:rPr>
  </w:style>
  <w:style w:type="paragraph" w:styleId="TOC3">
    <w:name w:val="toc 3"/>
    <w:hidden/>
    <w:pPr>
      <w:spacing w:after="130" w:line="259" w:lineRule="auto"/>
      <w:ind w:left="505" w:right="72" w:hanging="10"/>
    </w:pPr>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17</Pages>
  <Words>4593</Words>
  <Characters>26186</Characters>
  <Application>Microsoft Office Word</Application>
  <DocSecurity>0</DocSecurity>
  <Lines>218</Lines>
  <Paragraphs>61</Paragraphs>
  <ScaleCrop>false</ScaleCrop>
  <Company/>
  <LinksUpToDate>false</LinksUpToDate>
  <CharactersWithSpaces>30718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Harika Devarai</dc:creator>
  <cp:keywords/>
  <cp:lastModifiedBy>Harika Devarai</cp:lastModifiedBy>
  <cp:revision>3</cp:revision>
  <dcterms:created xsi:type="dcterms:W3CDTF">2026-08-19T11:16:00Z</dcterms:created>
  <dcterms:modified xsi:type="dcterms:W3CDTF">2026-08-19T11:18:00Z</dcterms:modified>
</cp:coreProperties>
</file>