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F9EC1F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41100">
              <w:rPr>
                <w:rFonts w:ascii="Times New Roman" w:hAnsi="Times New Roman" w:cs="Times New Roman"/>
                <w:b/>
                <w:color w:val="auto"/>
                <w:sz w:val="48"/>
              </w:rPr>
              <w:t>Kerry Vaughan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5A3476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41100">
              <w:rPr>
                <w:rFonts w:ascii="Times New Roman" w:hAnsi="Times New Roman" w:cs="Times New Roman"/>
                <w:b/>
                <w:color w:val="auto"/>
                <w:sz w:val="48"/>
              </w:rPr>
              <w:t>2518219@student.uwtsd.ac.uk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339F130" w14:textId="5F5BE62A" w:rsidR="00041100" w:rsidRPr="005D3F07" w:rsidRDefault="0004110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2518219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56BAD79D" w14:textId="77777777" w:rsidR="008A5002"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1508692C" w14:textId="77777777" w:rsidR="008A5002" w:rsidRDefault="008A5002" w:rsidP="00FF7EBB">
            <w:pPr>
              <w:jc w:val="both"/>
              <w:rPr>
                <w:sz w:val="24"/>
                <w:szCs w:val="24"/>
              </w:rPr>
            </w:pPr>
          </w:p>
          <w:p w14:paraId="7B009D26" w14:textId="77777777" w:rsidR="008A5002" w:rsidRDefault="008A5002" w:rsidP="008A500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4F1BDD2B" w14:textId="77777777" w:rsidR="008A5002" w:rsidRDefault="008A5002" w:rsidP="00FF7EBB">
            <w:pPr>
              <w:jc w:val="both"/>
              <w:rPr>
                <w:sz w:val="24"/>
                <w:szCs w:val="24"/>
              </w:rPr>
            </w:pPr>
          </w:p>
          <w:p w14:paraId="17A49383" w14:textId="58EE756E"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23BE0B0"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As children's services is my main area of practice, adult safeguarding represents an alternative area of social work. Adult safeguarding focuses on protecting adults who are experiencing, or are at risk of, abuse or neglect whilst promoting their wellbeing, rights and independence.</w:t>
            </w:r>
          </w:p>
          <w:p w14:paraId="4E27803A"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 xml:space="preserve">The primary legislation governing adult safeguarding in Wales is the </w:t>
            </w:r>
            <w:r w:rsidRPr="00041100">
              <w:rPr>
                <w:rFonts w:ascii="Segoe UI" w:hAnsi="Segoe UI" w:cs="Segoe UI"/>
                <w:i/>
                <w:iCs/>
                <w:color w:val="auto"/>
                <w:sz w:val="21"/>
                <w:szCs w:val="21"/>
              </w:rPr>
              <w:t>Social Services and Well-being (Wales) Act 2014</w:t>
            </w:r>
            <w:r w:rsidRPr="00041100">
              <w:rPr>
                <w:rFonts w:ascii="Segoe UI" w:hAnsi="Segoe UI" w:cs="Segoe UI"/>
                <w:color w:val="auto"/>
                <w:sz w:val="21"/>
                <w:szCs w:val="21"/>
              </w:rPr>
              <w:t xml:space="preserve"> (Welsh Government, 2014). Section 126 defines an adult at risk as a person who has care and support needs, is experiencing or at risk of abuse or neglect, and is unable to protect themselves because of those needs. The Act places duties on Local Authorities to make enquiries where concerns exist and promotes wellbeing, voice, choice and control. The Act also places a duty on relevant partners of a Local Authority to report adults at risk where there is reasonable cause to suspect abuse or neglect. This duty, outlined in Section 128, supports the early identification of safeguarding concerns and appropriate intervention (Welsh Government, 2014).</w:t>
            </w:r>
          </w:p>
          <w:p w14:paraId="5C6F0511"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 xml:space="preserve">Nationally, safeguarding practice is guided by the </w:t>
            </w:r>
            <w:r w:rsidRPr="00041100">
              <w:rPr>
                <w:rFonts w:ascii="Segoe UI" w:hAnsi="Segoe UI" w:cs="Segoe UI"/>
                <w:i/>
                <w:iCs/>
                <w:color w:val="auto"/>
                <w:sz w:val="21"/>
                <w:szCs w:val="21"/>
              </w:rPr>
              <w:t>Wales Safeguarding Procedures</w:t>
            </w:r>
            <w:r w:rsidRPr="00041100">
              <w:rPr>
                <w:rFonts w:ascii="Segoe UI" w:hAnsi="Segoe UI" w:cs="Segoe UI"/>
                <w:color w:val="auto"/>
                <w:sz w:val="21"/>
                <w:szCs w:val="21"/>
              </w:rPr>
              <w:t>, which provide a framework for identifying abuse, making referrals and undertaking safeguarding enquiries. The procedures emphasise prevention, partnership working and person-centred practice, ensuring that adults remain involved in decisions affecting their lives (Wales Safeguarding Procedures Project Board, 2019).</w:t>
            </w:r>
          </w:p>
          <w:p w14:paraId="2A223F69"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 xml:space="preserve">Additional legislation supports safeguarding. The </w:t>
            </w:r>
            <w:r w:rsidRPr="00041100">
              <w:rPr>
                <w:rFonts w:ascii="Segoe UI" w:hAnsi="Segoe UI" w:cs="Segoe UI"/>
                <w:i/>
                <w:iCs/>
                <w:color w:val="auto"/>
                <w:sz w:val="21"/>
                <w:szCs w:val="21"/>
              </w:rPr>
              <w:t>Mental Capacity Act 2005</w:t>
            </w:r>
            <w:r w:rsidRPr="00041100">
              <w:rPr>
                <w:rFonts w:ascii="Segoe UI" w:hAnsi="Segoe UI" w:cs="Segoe UI"/>
                <w:color w:val="auto"/>
                <w:sz w:val="21"/>
                <w:szCs w:val="21"/>
              </w:rPr>
              <w:t xml:space="preserve"> (UK Government, 2005) provides a framework for decision-making where adults may lack capacity, while the </w:t>
            </w:r>
            <w:r w:rsidRPr="00041100">
              <w:rPr>
                <w:rFonts w:ascii="Segoe UI" w:hAnsi="Segoe UI" w:cs="Segoe UI"/>
                <w:i/>
                <w:iCs/>
                <w:color w:val="auto"/>
                <w:sz w:val="21"/>
                <w:szCs w:val="21"/>
              </w:rPr>
              <w:t>Human Rights Act 1998</w:t>
            </w:r>
            <w:r w:rsidRPr="00041100">
              <w:rPr>
                <w:rFonts w:ascii="Segoe UI" w:hAnsi="Segoe UI" w:cs="Segoe UI"/>
                <w:color w:val="auto"/>
                <w:sz w:val="21"/>
                <w:szCs w:val="21"/>
              </w:rPr>
              <w:t xml:space="preserve"> (UK Government, 1998) ensures interventions uphold rights including dignity, privacy and liberty. The </w:t>
            </w:r>
            <w:r w:rsidRPr="00041100">
              <w:rPr>
                <w:rFonts w:ascii="Segoe UI" w:hAnsi="Segoe UI" w:cs="Segoe UI"/>
                <w:i/>
                <w:iCs/>
                <w:color w:val="auto"/>
                <w:sz w:val="21"/>
                <w:szCs w:val="21"/>
              </w:rPr>
              <w:t>Violence against Women, Domestic Abuse and Sexual Violence (Wales) Act 2015</w:t>
            </w:r>
            <w:r w:rsidRPr="00041100">
              <w:rPr>
                <w:rFonts w:ascii="Segoe UI" w:hAnsi="Segoe UI" w:cs="Segoe UI"/>
                <w:color w:val="auto"/>
                <w:sz w:val="21"/>
                <w:szCs w:val="21"/>
              </w:rPr>
              <w:t xml:space="preserve"> (Welsh Government, 2015) </w:t>
            </w:r>
            <w:r w:rsidRPr="00041100">
              <w:rPr>
                <w:rFonts w:ascii="Segoe UI" w:hAnsi="Segoe UI" w:cs="Segoe UI"/>
                <w:color w:val="auto"/>
                <w:sz w:val="21"/>
                <w:szCs w:val="21"/>
              </w:rPr>
              <w:lastRenderedPageBreak/>
              <w:t xml:space="preserve">and </w:t>
            </w:r>
            <w:r w:rsidRPr="00041100">
              <w:rPr>
                <w:rFonts w:ascii="Segoe UI" w:hAnsi="Segoe UI" w:cs="Segoe UI"/>
                <w:i/>
                <w:iCs/>
                <w:color w:val="auto"/>
                <w:sz w:val="21"/>
                <w:szCs w:val="21"/>
              </w:rPr>
              <w:t>Modern Slavery Act 2015</w:t>
            </w:r>
            <w:r w:rsidRPr="00041100">
              <w:rPr>
                <w:rFonts w:ascii="Segoe UI" w:hAnsi="Segoe UI" w:cs="Segoe UI"/>
                <w:color w:val="auto"/>
                <w:sz w:val="21"/>
                <w:szCs w:val="21"/>
              </w:rPr>
              <w:t xml:space="preserve"> (UK Government, 2015) provide protection for adults experiencing specific forms of abuse and exploitation.</w:t>
            </w:r>
          </w:p>
          <w:p w14:paraId="7EE757A3"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The Mental Capacity Act 2005 is particularly important within adult safeguarding as it provides a framework for balancing protection and autonomy. The Act establishes five statutory principles, including the presumption of capacity and the requirement to support individuals to make their own decisions wherever possible. These principles help ensure that safeguarding interventions remain proportionate and rights-based, even where concerns regarding risk or vulnerability are present (UK Government, 2005).</w:t>
            </w:r>
          </w:p>
          <w:p w14:paraId="0C1A06C6"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Safeguarding is underpinned by the principles of prevention, empowerment, protection, partnership and accountability. These principles require practitioners to balance protection from harm with respect for autonomy, choice and independence.</w:t>
            </w:r>
          </w:p>
          <w:p w14:paraId="5D828576"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At a local level, Regional Safeguarding Boards oversee multi-agency safeguarding arrangements, monitor effectiveness and support implementation of the Wales Safeguarding Procedures across partner organisations. Within Local Authorities, safeguarding policies outline responsibilities for recognising, recording and responding to concerns. These include referral pathways, risk assessments, information-sharing protocols, escalation procedures and safeguarding enquiries. Organisational policies also provide guidance on whistleblowing, professional accountability and record keeping (Wales Safeguarding Procedures Project Board, 2019).</w:t>
            </w:r>
          </w:p>
          <w:p w14:paraId="7346EE29"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Adult safeguarding requires effective information sharing between agencies to identify risk. Practitioners must balance confidentiality with safeguarding responsibilities, ensuring information is shared lawfully and proportionately.</w:t>
            </w:r>
          </w:p>
          <w:p w14:paraId="032B8320" w14:textId="77777777" w:rsid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 xml:space="preserve">Social workers are required to follow the </w:t>
            </w:r>
            <w:r w:rsidRPr="00041100">
              <w:rPr>
                <w:rFonts w:ascii="Segoe UI" w:hAnsi="Segoe UI" w:cs="Segoe UI"/>
                <w:i/>
                <w:iCs/>
                <w:color w:val="auto"/>
                <w:sz w:val="21"/>
                <w:szCs w:val="21"/>
              </w:rPr>
              <w:t>Code of Professional Practice for Social Care</w:t>
            </w:r>
            <w:r w:rsidRPr="00041100">
              <w:rPr>
                <w:rFonts w:ascii="Segoe UI" w:hAnsi="Segoe UI" w:cs="Segoe UI"/>
                <w:color w:val="auto"/>
                <w:sz w:val="21"/>
                <w:szCs w:val="21"/>
              </w:rPr>
              <w:t>, which emphasises safeguarding, accountability, partnership working and wellbeing (Social Care Wales, 2017). Together, legislation, guidance and local procedures provide a framework balancing protection of adults at risk with respect for their rights, wishes and independence.</w:t>
            </w:r>
          </w:p>
          <w:p w14:paraId="5F8EB862" w14:textId="77777777" w:rsidR="008A5002" w:rsidRDefault="008A5002"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p>
          <w:p w14:paraId="3A493BF8" w14:textId="0A8441C8" w:rsidR="008A5002" w:rsidRPr="00041100" w:rsidRDefault="008A5002"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Pr>
                <w:rFonts w:ascii="Segoe UI" w:hAnsi="Segoe UI" w:cs="Segoe UI"/>
                <w:color w:val="auto"/>
                <w:sz w:val="21"/>
                <w:szCs w:val="21"/>
              </w:rPr>
              <w:t>Word Count 526</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8A5002">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79569E1" w14:textId="77777777" w:rsidR="00267A8A" w:rsidRDefault="00267A8A" w:rsidP="00FC0334">
            <w:pPr>
              <w:jc w:val="both"/>
              <w:rPr>
                <w:sz w:val="24"/>
                <w:szCs w:val="24"/>
              </w:rPr>
            </w:pPr>
          </w:p>
          <w:p w14:paraId="736D03C7" w14:textId="77777777" w:rsidR="00267A8A" w:rsidRDefault="00267A8A" w:rsidP="00FC0334">
            <w:pPr>
              <w:jc w:val="both"/>
              <w:rPr>
                <w:sz w:val="24"/>
                <w:szCs w:val="24"/>
              </w:rPr>
            </w:pPr>
          </w:p>
          <w:p w14:paraId="4CABE426" w14:textId="62825590" w:rsidR="00FC0334" w:rsidRDefault="00267A8A" w:rsidP="00FC0334">
            <w:pPr>
              <w:jc w:val="both"/>
              <w:rPr>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54A53B56"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Whilst adult and children’s safeguarding share the aim of protecting individuals from abuse and neglect, they differ in their legislative frameworks, principles and approaches to intervention. Reflecting on these differences highlights the competing responsibilities practitioners face when balancing protection, rights and autonomy.</w:t>
            </w:r>
          </w:p>
          <w:p w14:paraId="61E23FEF"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In Wales, both adult and children’s safeguarding are underpinned by the Social Services and Well-being (Wales) Act 2014 (Welsh Government, 2014). However, adult safeguarding is guided by the principles of wellbeing, choice, control and empowerment. Section 126 defines an adult at risk as a person who has care and support needs, is experiencing or at risk of abuse or neglect, and is unable to protect themselves because of those needs. This framework recognises adults as autonomous individuals and requires practitioners to balance safeguarding responsibilities with respect for self-determination (Braye, Orr and Preston-Shoot, 2015).</w:t>
            </w:r>
          </w:p>
          <w:p w14:paraId="3FBBB108"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In contrast, children’s safeguarding prioritises the welfare of the child as the paramount consideration (Parton, 2014). Children are recognised as vulnerable due to their dependence on adults, meaning practitioners may intervene without consent where concerns about significant harm exist. Consequently, children’s safeguarding is more interventionist, reflecting society’s responsibility to protect children. Although children and young people should be involved in decisions affecting them, practitioners must ensure their welfare remains central to assessment and intervention.</w:t>
            </w:r>
          </w:p>
          <w:p w14:paraId="1E834764"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 xml:space="preserve">A key distinction relates to decision-making and acceptable risk. Adult safeguarding practice is heavily influenced by the Mental Capacity Act 2005 (UK Government, 2005), which establishes a presumption of capacity and recognises an adult’s right to make unwise decisions. This can create ethical tensions where professionals identify serious </w:t>
            </w:r>
            <w:proofErr w:type="gramStart"/>
            <w:r w:rsidRPr="00041100">
              <w:rPr>
                <w:rFonts w:ascii="Segoe UI" w:hAnsi="Segoe UI" w:cs="Segoe UI"/>
                <w:color w:val="auto"/>
                <w:sz w:val="21"/>
                <w:szCs w:val="21"/>
              </w:rPr>
              <w:t>risks</w:t>
            </w:r>
            <w:proofErr w:type="gramEnd"/>
            <w:r w:rsidRPr="00041100">
              <w:rPr>
                <w:rFonts w:ascii="Segoe UI" w:hAnsi="Segoe UI" w:cs="Segoe UI"/>
                <w:color w:val="auto"/>
                <w:sz w:val="21"/>
                <w:szCs w:val="21"/>
              </w:rPr>
              <w:t xml:space="preserve"> but individuals choose not to engage with intervention. In children’s safeguarding, professional judgement focuses on the impact of risk on the child, meaning protective action may be taken regardless of parental wishes where welfare concerns are identified. Practitioners must also consider Gillick competence, recognising that some children may possess sufficient maturity and understanding to participate meaningfully in decisions affecting them. Adult safeguarding seeks to balance protection with individual rights, wellbeing and autonomy (Penhale et al., 2017).</w:t>
            </w:r>
          </w:p>
          <w:p w14:paraId="2D5685BF" w14:textId="77777777" w:rsidR="00041100" w:rsidRPr="00041100" w:rsidRDefault="00041100" w:rsidP="00041100">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t xml:space="preserve">Partnership working is central to both areas and supported by multi-agency arrangements. However, adult safeguarding often emphasises enabling individuals to manage risk, whereas children’s safeguarding focuses on reducing risk through assessment, intervention and monitoring. </w:t>
            </w:r>
            <w:proofErr w:type="spellStart"/>
            <w:r w:rsidRPr="00041100">
              <w:rPr>
                <w:rFonts w:ascii="Segoe UI" w:hAnsi="Segoe UI" w:cs="Segoe UI"/>
                <w:color w:val="auto"/>
                <w:sz w:val="21"/>
                <w:szCs w:val="21"/>
              </w:rPr>
              <w:t>Kemshall</w:t>
            </w:r>
            <w:proofErr w:type="spellEnd"/>
            <w:r w:rsidRPr="00041100">
              <w:rPr>
                <w:rFonts w:ascii="Segoe UI" w:hAnsi="Segoe UI" w:cs="Segoe UI"/>
                <w:color w:val="auto"/>
                <w:sz w:val="21"/>
                <w:szCs w:val="21"/>
              </w:rPr>
              <w:t xml:space="preserve"> (2002) suggests that risk management requires practitioners to balance professional judgement with ethical, legal and organisational responsibilities.</w:t>
            </w:r>
          </w:p>
          <w:p w14:paraId="438BF787" w14:textId="602496B5" w:rsidR="00FC0334" w:rsidRDefault="00041100" w:rsidP="00267A8A">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041100">
              <w:rPr>
                <w:rFonts w:ascii="Segoe UI" w:hAnsi="Segoe UI" w:cs="Segoe UI"/>
                <w:color w:val="auto"/>
                <w:sz w:val="21"/>
                <w:szCs w:val="21"/>
              </w:rPr>
              <w:lastRenderedPageBreak/>
              <w:t>Reflecting on these differences demonstrates that safeguarding is not a uniform process. Rather, it requires practitioners to apply legislative principles, ethical values and professional judgement differently depending on whether the primary focus is empowering adults or protecting children. Effective safeguarding therefore depends upon balancing rights, wellbeing and protection in a lawful, proportionate and person-centred manner.</w:t>
            </w:r>
          </w:p>
          <w:p w14:paraId="557AC153" w14:textId="77777777" w:rsidR="00267A8A" w:rsidRDefault="00267A8A" w:rsidP="00267A8A">
            <w:pPr>
              <w:overflowPunct/>
              <w:autoSpaceDE/>
              <w:autoSpaceDN/>
              <w:adjustRightInd/>
              <w:spacing w:before="100" w:beforeAutospacing="1" w:after="100" w:afterAutospacing="1" w:line="300" w:lineRule="atLeast"/>
              <w:textAlignment w:val="auto"/>
              <w:rPr>
                <w:rFonts w:ascii="Segoe UI" w:hAnsi="Segoe UI" w:cs="Segoe UI"/>
                <w:sz w:val="21"/>
                <w:szCs w:val="21"/>
              </w:rPr>
            </w:pPr>
          </w:p>
          <w:p w14:paraId="7105B0B8" w14:textId="29D9DA07" w:rsidR="00267A8A" w:rsidRPr="006108C9" w:rsidRDefault="00267A8A" w:rsidP="00267A8A">
            <w:pPr>
              <w:overflowPunct/>
              <w:autoSpaceDE/>
              <w:autoSpaceDN/>
              <w:adjustRightInd/>
              <w:spacing w:before="100" w:beforeAutospacing="1" w:after="100" w:afterAutospacing="1" w:line="300" w:lineRule="atLeast"/>
              <w:textAlignment w:val="auto"/>
              <w:rPr>
                <w:sz w:val="24"/>
                <w:szCs w:val="24"/>
              </w:rPr>
            </w:pPr>
            <w:r>
              <w:rPr>
                <w:rFonts w:ascii="Segoe UI" w:hAnsi="Segoe UI" w:cs="Segoe UI"/>
                <w:sz w:val="21"/>
                <w:szCs w:val="21"/>
              </w:rPr>
              <w:t>Word Count 441</w:t>
            </w:r>
          </w:p>
          <w:p w14:paraId="6BA3DD84" w14:textId="531A0983" w:rsidR="00FC0334" w:rsidRDefault="00FC0334"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7CCA8" w14:textId="77777777" w:rsidR="00852B6A" w:rsidRDefault="00852B6A">
      <w:r>
        <w:separator/>
      </w:r>
    </w:p>
  </w:endnote>
  <w:endnote w:type="continuationSeparator" w:id="0">
    <w:p w14:paraId="613DB1A3" w14:textId="77777777" w:rsidR="00852B6A" w:rsidRDefault="00852B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7F388" w14:textId="77777777" w:rsidR="00852B6A" w:rsidRDefault="00852B6A">
      <w:r>
        <w:separator/>
      </w:r>
    </w:p>
  </w:footnote>
  <w:footnote w:type="continuationSeparator" w:id="0">
    <w:p w14:paraId="7CCCC832" w14:textId="77777777" w:rsidR="00852B6A" w:rsidRDefault="00852B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1100"/>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7F8D"/>
    <w:rsid w:val="002019EB"/>
    <w:rsid w:val="00204B58"/>
    <w:rsid w:val="00205051"/>
    <w:rsid w:val="00211F65"/>
    <w:rsid w:val="00214047"/>
    <w:rsid w:val="00216563"/>
    <w:rsid w:val="0021792F"/>
    <w:rsid w:val="00220D06"/>
    <w:rsid w:val="00223F23"/>
    <w:rsid w:val="002246A0"/>
    <w:rsid w:val="00230439"/>
    <w:rsid w:val="00232A09"/>
    <w:rsid w:val="00235176"/>
    <w:rsid w:val="00236061"/>
    <w:rsid w:val="0024100E"/>
    <w:rsid w:val="00241C1B"/>
    <w:rsid w:val="0024288B"/>
    <w:rsid w:val="00243DB0"/>
    <w:rsid w:val="00247265"/>
    <w:rsid w:val="00260663"/>
    <w:rsid w:val="002657E9"/>
    <w:rsid w:val="0026665E"/>
    <w:rsid w:val="00267A8A"/>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3D1E"/>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7FD7"/>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2B6A"/>
    <w:rsid w:val="008550A1"/>
    <w:rsid w:val="00861038"/>
    <w:rsid w:val="00863D75"/>
    <w:rsid w:val="00865B58"/>
    <w:rsid w:val="00866B50"/>
    <w:rsid w:val="00867A63"/>
    <w:rsid w:val="008708F1"/>
    <w:rsid w:val="00871960"/>
    <w:rsid w:val="0087369F"/>
    <w:rsid w:val="00880539"/>
    <w:rsid w:val="00880DF4"/>
    <w:rsid w:val="008859E8"/>
    <w:rsid w:val="0088737B"/>
    <w:rsid w:val="00891078"/>
    <w:rsid w:val="00892716"/>
    <w:rsid w:val="00893067"/>
    <w:rsid w:val="008933DE"/>
    <w:rsid w:val="00895FCE"/>
    <w:rsid w:val="00897F3E"/>
    <w:rsid w:val="008A21B4"/>
    <w:rsid w:val="008A5002"/>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04110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04110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04110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41100"/>
    <w:rPr>
      <w:b/>
      <w:bCs/>
    </w:rPr>
  </w:style>
  <w:style w:type="character" w:styleId="Emphasis">
    <w:name w:val="Emphasis"/>
    <w:basedOn w:val="DefaultParagraphFont"/>
    <w:uiPriority w:val="20"/>
    <w:qFormat/>
    <w:rsid w:val="000411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1297</Words>
  <Characters>7396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Kerry Vaughan</cp:lastModifiedBy>
  <cp:revision>2</cp:revision>
  <cp:lastPrinted>2020-02-11T19:20:00Z</cp:lastPrinted>
  <dcterms:created xsi:type="dcterms:W3CDTF">2026-10-07T07:26:00Z</dcterms:created>
  <dcterms:modified xsi:type="dcterms:W3CDTF">2026-10-07T07:26:00Z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