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lang w:val="en-GB"/>
        </w:rPr>
        <w:id w:val="328113088"/>
        <w:docPartObj>
          <w:docPartGallery w:val="Cover Pages"/>
          <w:docPartUnique/>
        </w:docPartObj>
      </w:sdtPr>
      <w:sdtEndPr>
        <w:rPr>
          <w:rFonts w:ascii="Arial" w:eastAsiaTheme="minorHAnsi" w:hAnsi="Arial" w:cs="Arial"/>
          <w:sz w:val="24"/>
          <w:szCs w:val="24"/>
        </w:rPr>
      </w:sdtEndPr>
      <w:sdtContent>
        <w:tbl>
          <w:tblPr>
            <w:tblpPr w:leftFromText="187" w:rightFromText="187" w:horzAnchor="margin" w:tblpXSpec="center" w:tblpY="2881"/>
            <w:tblW w:w="4000" w:type="pct"/>
            <w:tblBorders>
              <w:left w:val="single" w:sz="18" w:space="0" w:color="4472C4" w:themeColor="accent1"/>
            </w:tblBorders>
            <w:tblLook w:val="04A0" w:firstRow="1" w:lastRow="0" w:firstColumn="1" w:lastColumn="0" w:noHBand="0" w:noVBand="1"/>
          </w:tblPr>
          <w:tblGrid>
            <w:gridCol w:w="7405"/>
          </w:tblGrid>
          <w:tr w:rsidR="00FE04F0" w14:paraId="669244D2" w14:textId="77777777">
            <w:sdt>
              <w:sdtPr>
                <w:rPr>
                  <w:rFonts w:asciiTheme="majorHAnsi" w:eastAsiaTheme="majorEastAsia" w:hAnsiTheme="majorHAnsi" w:cstheme="majorBidi"/>
                  <w:lang w:val="en-GB"/>
                </w:rPr>
                <w:alias w:val="Company"/>
                <w:id w:val="13406915"/>
                <w:placeholder>
                  <w:docPart w:val="7F8130EE95D9473A8413ACC57B0B7ECC"/>
                </w:placeholder>
                <w:dataBinding w:prefixMappings="xmlns:ns0='http://schemas.openxmlformats.org/officeDocument/2006/extended-properties'" w:xpath="/ns0:Properties[1]/ns0:Company[1]" w:storeItemID="{6668398D-A668-4E3E-A5EB-62B293D839F1}"/>
                <w:text/>
              </w:sdtPr>
              <w:sdtEndPr>
                <w:rPr>
                  <w:lang w:val="en-US"/>
                </w:rPr>
              </w:sdtEndPr>
              <w:sdtContent>
                <w:tc>
                  <w:tcPr>
                    <w:tcW w:w="7672" w:type="dxa"/>
                    <w:tcMar>
                      <w:top w:w="216" w:type="dxa"/>
                      <w:left w:w="115" w:type="dxa"/>
                      <w:bottom w:w="216" w:type="dxa"/>
                      <w:right w:w="115" w:type="dxa"/>
                    </w:tcMar>
                  </w:tcPr>
                  <w:p w14:paraId="7A60971E" w14:textId="77777777" w:rsidR="00FE04F0" w:rsidRDefault="00375F53" w:rsidP="00375F53">
                    <w:pPr>
                      <w:pStyle w:val="NoSpacing"/>
                      <w:rPr>
                        <w:rFonts w:asciiTheme="majorHAnsi" w:eastAsiaTheme="majorEastAsia" w:hAnsiTheme="majorHAnsi" w:cstheme="majorBidi"/>
                      </w:rPr>
                    </w:pPr>
                    <w:r>
                      <w:rPr>
                        <w:rFonts w:asciiTheme="majorHAnsi" w:eastAsiaTheme="majorEastAsia" w:hAnsiTheme="majorHAnsi" w:cstheme="majorBidi"/>
                      </w:rPr>
                      <w:t xml:space="preserve">   </w:t>
                    </w:r>
                  </w:p>
                </w:tc>
              </w:sdtContent>
            </w:sdt>
          </w:tr>
          <w:tr w:rsidR="00FE04F0" w:rsidRPr="00095FF6" w14:paraId="508DE436" w14:textId="77777777">
            <w:tc>
              <w:tcPr>
                <w:tcW w:w="7672" w:type="dxa"/>
              </w:tcPr>
              <w:sdt>
                <w:sdtPr>
                  <w:rPr>
                    <w:rFonts w:cstheme="minorHAnsi"/>
                    <w:b/>
                    <w:bCs/>
                    <w:i/>
                    <w:iCs/>
                    <w:color w:val="222222"/>
                    <w:sz w:val="40"/>
                    <w:szCs w:val="40"/>
                    <w:shd w:val="clear" w:color="auto" w:fill="FFFFFF"/>
                  </w:rPr>
                  <w:alias w:val="Title"/>
                  <w:id w:val="13406919"/>
                  <w:placeholder>
                    <w:docPart w:val="CB48B357CAB244FB81768477DC3DFB79"/>
                  </w:placeholder>
                  <w:dataBinding w:prefixMappings="xmlns:ns0='http://schemas.openxmlformats.org/package/2006/metadata/core-properties' xmlns:ns1='http://purl.org/dc/elements/1.1/'" w:xpath="/ns0:coreProperties[1]/ns1:title[1]" w:storeItemID="{6C3C8BC8-F283-45AE-878A-BAB7291924A1}"/>
                  <w:text/>
                </w:sdtPr>
                <w:sdtContent>
                  <w:p w14:paraId="14670DEC" w14:textId="77777777" w:rsidR="00FE04F0" w:rsidRPr="00095FF6" w:rsidRDefault="00FE04F0">
                    <w:pPr>
                      <w:pStyle w:val="NoSpacing"/>
                      <w:rPr>
                        <w:rFonts w:eastAsiaTheme="majorEastAsia" w:cstheme="minorHAnsi"/>
                        <w:color w:val="4472C4" w:themeColor="accent1"/>
                        <w:sz w:val="80"/>
                        <w:szCs w:val="80"/>
                      </w:rPr>
                    </w:pPr>
                    <w:r w:rsidRPr="00095FF6">
                      <w:rPr>
                        <w:rFonts w:cstheme="minorHAnsi"/>
                        <w:b/>
                        <w:bCs/>
                        <w:i/>
                        <w:iCs/>
                        <w:color w:val="222222"/>
                        <w:sz w:val="40"/>
                        <w:szCs w:val="40"/>
                        <w:shd w:val="clear" w:color="auto" w:fill="FFFFFF"/>
                      </w:rPr>
                      <w:t xml:space="preserve"> A comparison of the marketing methods of two multinational hotel brands </w:t>
                    </w:r>
                  </w:p>
                </w:sdtContent>
              </w:sdt>
            </w:tc>
          </w:tr>
          <w:tr w:rsidR="00FE04F0" w:rsidRPr="00095FF6" w14:paraId="292DB756" w14:textId="77777777">
            <w:sdt>
              <w:sdtPr>
                <w:rPr>
                  <w:rFonts w:cstheme="minorHAnsi"/>
                  <w:b/>
                  <w:bCs/>
                  <w:i/>
                  <w:iCs/>
                  <w:color w:val="222222"/>
                  <w:sz w:val="24"/>
                  <w:szCs w:val="24"/>
                  <w:shd w:val="clear" w:color="auto" w:fill="FFFFFF"/>
                </w:rPr>
                <w:alias w:val="Subtitle"/>
                <w:id w:val="13406923"/>
                <w:placeholder>
                  <w:docPart w:val="BC72258048F34B768A0B33300256D27A"/>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6E78BE69" w14:textId="77777777" w:rsidR="00FE04F0" w:rsidRPr="00095FF6" w:rsidRDefault="00095FF6">
                    <w:pPr>
                      <w:pStyle w:val="NoSpacing"/>
                      <w:rPr>
                        <w:rFonts w:eastAsiaTheme="majorEastAsia" w:cstheme="minorHAnsi"/>
                      </w:rPr>
                    </w:pPr>
                    <w:r w:rsidRPr="00095FF6">
                      <w:rPr>
                        <w:rFonts w:cstheme="minorHAnsi"/>
                        <w:b/>
                        <w:bCs/>
                        <w:i/>
                        <w:iCs/>
                        <w:color w:val="222222"/>
                        <w:sz w:val="24"/>
                        <w:szCs w:val="24"/>
                        <w:shd w:val="clear" w:color="auto" w:fill="FFFFFF"/>
                      </w:rPr>
                      <w:t xml:space="preserve">Marketing Essentials BMIH4005                                     </w:t>
                    </w:r>
                  </w:p>
                </w:tc>
              </w:sdtContent>
            </w:sdt>
          </w:tr>
        </w:tbl>
        <w:p w14:paraId="59DF1503" w14:textId="77777777" w:rsidR="00FE04F0" w:rsidRPr="00095FF6" w:rsidRDefault="00FE04F0">
          <w:pPr>
            <w:rPr>
              <w:rFonts w:cstheme="minorHAnsi"/>
            </w:rPr>
          </w:pPr>
        </w:p>
        <w:p w14:paraId="5E360BD3" w14:textId="77777777" w:rsidR="00FE04F0" w:rsidRPr="00095FF6" w:rsidRDefault="00FE04F0">
          <w:pPr>
            <w:rPr>
              <w:rFonts w:cstheme="minorHAnsi"/>
            </w:rPr>
          </w:pPr>
        </w:p>
        <w:tbl>
          <w:tblPr>
            <w:tblpPr w:leftFromText="187" w:rightFromText="187" w:horzAnchor="margin" w:tblpXSpec="center" w:tblpYSpec="bottom"/>
            <w:tblW w:w="4000" w:type="pct"/>
            <w:tblLook w:val="04A0" w:firstRow="1" w:lastRow="0" w:firstColumn="1" w:lastColumn="0" w:noHBand="0" w:noVBand="1"/>
          </w:tblPr>
          <w:tblGrid>
            <w:gridCol w:w="7405"/>
          </w:tblGrid>
          <w:tr w:rsidR="00FE04F0" w:rsidRPr="00095FF6" w14:paraId="1685FC3C" w14:textId="77777777">
            <w:tc>
              <w:tcPr>
                <w:tcW w:w="7672" w:type="dxa"/>
                <w:tcMar>
                  <w:top w:w="216" w:type="dxa"/>
                  <w:left w:w="115" w:type="dxa"/>
                  <w:bottom w:w="216" w:type="dxa"/>
                  <w:right w:w="115" w:type="dxa"/>
                </w:tcMar>
              </w:tcPr>
              <w:sdt>
                <w:sdtPr>
                  <w:rPr>
                    <w:rFonts w:cstheme="minorHAnsi"/>
                    <w:color w:val="4472C4" w:themeColor="accent1"/>
                  </w:rPr>
                  <w:alias w:val="Author"/>
                  <w:id w:val="13406928"/>
                  <w:placeholder>
                    <w:docPart w:val="DB398652DE4542949FAFFBD6310CAB6E"/>
                  </w:placeholder>
                  <w:dataBinding w:prefixMappings="xmlns:ns0='http://schemas.openxmlformats.org/package/2006/metadata/core-properties' xmlns:ns1='http://purl.org/dc/elements/1.1/'" w:xpath="/ns0:coreProperties[1]/ns1:creator[1]" w:storeItemID="{6C3C8BC8-F283-45AE-878A-BAB7291924A1}"/>
                  <w:text/>
                </w:sdtPr>
                <w:sdtContent>
                  <w:p w14:paraId="5A708188" w14:textId="77777777" w:rsidR="00FE04F0" w:rsidRPr="00095FF6" w:rsidRDefault="00D35E21">
                    <w:pPr>
                      <w:pStyle w:val="NoSpacing"/>
                      <w:rPr>
                        <w:rFonts w:cstheme="minorHAnsi"/>
                        <w:color w:val="4472C4" w:themeColor="accent1"/>
                      </w:rPr>
                    </w:pPr>
                    <w:r>
                      <w:rPr>
                        <w:rFonts w:cstheme="minorHAnsi"/>
                        <w:color w:val="4472C4" w:themeColor="accent1"/>
                        <w:lang w:val="en-GB"/>
                      </w:rPr>
                      <w:t xml:space="preserve">   </w:t>
                    </w:r>
                  </w:p>
                </w:sdtContent>
              </w:sdt>
              <w:sdt>
                <w:sdtPr>
                  <w:rPr>
                    <w:rFonts w:cstheme="minorHAnsi"/>
                    <w:color w:val="4472C4" w:themeColor="accent1"/>
                  </w:rPr>
                  <w:alias w:val="Date"/>
                  <w:id w:val="13406932"/>
                  <w:placeholder>
                    <w:docPart w:val="347DBB2FC5E24E2A84181330B024311E"/>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29261D1E" w14:textId="77777777" w:rsidR="00FE04F0" w:rsidRPr="00095FF6" w:rsidRDefault="00D35E21">
                    <w:pPr>
                      <w:pStyle w:val="NoSpacing"/>
                      <w:rPr>
                        <w:rFonts w:cstheme="minorHAnsi"/>
                        <w:color w:val="4472C4" w:themeColor="accent1"/>
                      </w:rPr>
                    </w:pPr>
                    <w:r>
                      <w:rPr>
                        <w:rFonts w:cstheme="minorHAnsi"/>
                        <w:color w:val="4472C4" w:themeColor="accent1"/>
                      </w:rPr>
                      <w:t xml:space="preserve">   </w:t>
                    </w:r>
                  </w:p>
                </w:sdtContent>
              </w:sdt>
              <w:p w14:paraId="3637D227" w14:textId="77777777" w:rsidR="00FE04F0" w:rsidRPr="00095FF6" w:rsidRDefault="00FE04F0">
                <w:pPr>
                  <w:pStyle w:val="NoSpacing"/>
                  <w:rPr>
                    <w:rFonts w:cstheme="minorHAnsi"/>
                    <w:color w:val="4472C4" w:themeColor="accent1"/>
                  </w:rPr>
                </w:pPr>
              </w:p>
            </w:tc>
          </w:tr>
        </w:tbl>
        <w:p w14:paraId="2D2A4A03" w14:textId="77777777" w:rsidR="00FE04F0" w:rsidRDefault="00FE04F0">
          <w:pPr>
            <w:rPr>
              <w:rFonts w:cstheme="minorHAnsi"/>
            </w:rPr>
          </w:pPr>
        </w:p>
        <w:p w14:paraId="4A66221E" w14:textId="77777777" w:rsidR="00150ACF" w:rsidRDefault="00150ACF">
          <w:pPr>
            <w:rPr>
              <w:rFonts w:cstheme="minorHAnsi"/>
            </w:rPr>
          </w:pPr>
        </w:p>
        <w:p w14:paraId="4B37A83F" w14:textId="77777777" w:rsidR="00150ACF" w:rsidRDefault="00150ACF">
          <w:pPr>
            <w:rPr>
              <w:rFonts w:cstheme="minorHAnsi"/>
            </w:rPr>
          </w:pPr>
        </w:p>
        <w:p w14:paraId="313E6070" w14:textId="77777777" w:rsidR="00150ACF" w:rsidRDefault="00150ACF">
          <w:pPr>
            <w:rPr>
              <w:rFonts w:cstheme="minorHAnsi"/>
            </w:rPr>
          </w:pPr>
        </w:p>
        <w:p w14:paraId="41068393" w14:textId="77777777" w:rsidR="00150ACF" w:rsidRDefault="00150ACF">
          <w:pPr>
            <w:rPr>
              <w:rFonts w:cstheme="minorHAnsi"/>
            </w:rPr>
          </w:pPr>
        </w:p>
        <w:p w14:paraId="31F284E8" w14:textId="77777777" w:rsidR="00150ACF" w:rsidRDefault="00150ACF">
          <w:pPr>
            <w:rPr>
              <w:rFonts w:cstheme="minorHAnsi"/>
            </w:rPr>
          </w:pPr>
        </w:p>
        <w:p w14:paraId="3FE17E57" w14:textId="77777777" w:rsidR="00150ACF" w:rsidRDefault="00150ACF">
          <w:pPr>
            <w:rPr>
              <w:rFonts w:cstheme="minorHAnsi"/>
            </w:rPr>
          </w:pPr>
        </w:p>
        <w:p w14:paraId="48B8A313" w14:textId="77777777" w:rsidR="00150ACF" w:rsidRDefault="00150ACF">
          <w:pPr>
            <w:rPr>
              <w:rFonts w:cstheme="minorHAnsi"/>
            </w:rPr>
          </w:pPr>
        </w:p>
        <w:p w14:paraId="6E54F713" w14:textId="77777777" w:rsidR="00150ACF" w:rsidRDefault="00150ACF">
          <w:pPr>
            <w:rPr>
              <w:rFonts w:cstheme="minorHAnsi"/>
            </w:rPr>
          </w:pPr>
        </w:p>
        <w:p w14:paraId="4C9798AD" w14:textId="77777777" w:rsidR="00150ACF" w:rsidRDefault="00150ACF">
          <w:pPr>
            <w:rPr>
              <w:rFonts w:cstheme="minorHAnsi"/>
            </w:rPr>
          </w:pPr>
        </w:p>
        <w:p w14:paraId="6EC8F997" w14:textId="77777777" w:rsidR="00150ACF" w:rsidRDefault="00150ACF">
          <w:pPr>
            <w:rPr>
              <w:rFonts w:cstheme="minorHAnsi"/>
            </w:rPr>
          </w:pPr>
        </w:p>
        <w:p w14:paraId="2F1C0068" w14:textId="77777777" w:rsidR="00150ACF" w:rsidRDefault="00150ACF">
          <w:pPr>
            <w:rPr>
              <w:rFonts w:cstheme="minorHAnsi"/>
            </w:rPr>
          </w:pPr>
        </w:p>
        <w:p w14:paraId="604854A5" w14:textId="77777777" w:rsidR="00150ACF" w:rsidRDefault="00150ACF">
          <w:pPr>
            <w:rPr>
              <w:rFonts w:cstheme="minorHAnsi"/>
            </w:rPr>
          </w:pPr>
        </w:p>
        <w:p w14:paraId="51E426FD" w14:textId="77777777" w:rsidR="00150ACF" w:rsidRDefault="00150ACF">
          <w:pPr>
            <w:rPr>
              <w:rFonts w:cstheme="minorHAnsi"/>
            </w:rPr>
          </w:pPr>
        </w:p>
        <w:p w14:paraId="38B8AB13" w14:textId="77777777" w:rsidR="00150ACF" w:rsidRDefault="00150ACF">
          <w:pPr>
            <w:rPr>
              <w:rFonts w:cstheme="minorHAnsi"/>
            </w:rPr>
          </w:pPr>
        </w:p>
        <w:p w14:paraId="1F87D8B6" w14:textId="77777777" w:rsidR="00150ACF" w:rsidRDefault="00150ACF">
          <w:pPr>
            <w:rPr>
              <w:rFonts w:cstheme="minorHAnsi"/>
            </w:rPr>
          </w:pPr>
        </w:p>
        <w:p w14:paraId="39918BAB" w14:textId="77777777" w:rsidR="00150ACF" w:rsidRDefault="00150ACF">
          <w:pPr>
            <w:rPr>
              <w:rFonts w:cstheme="minorHAnsi"/>
            </w:rPr>
          </w:pPr>
        </w:p>
        <w:p w14:paraId="1FA7F8E3" w14:textId="77777777" w:rsidR="00150ACF" w:rsidRDefault="00150ACF">
          <w:pPr>
            <w:rPr>
              <w:rFonts w:cstheme="minorHAnsi"/>
            </w:rPr>
          </w:pPr>
          <w:proofErr w:type="spellStart"/>
          <w:r>
            <w:rPr>
              <w:rFonts w:cstheme="minorHAnsi"/>
            </w:rPr>
            <w:t>Florica</w:t>
          </w:r>
          <w:proofErr w:type="spellEnd"/>
          <w:r>
            <w:rPr>
              <w:rFonts w:cstheme="minorHAnsi"/>
            </w:rPr>
            <w:t xml:space="preserve"> Ana-Maria Ciuta</w:t>
          </w:r>
          <w:r w:rsidR="00726147">
            <w:rPr>
              <w:rFonts w:cstheme="minorHAnsi"/>
            </w:rPr>
            <w:t>-2243597</w:t>
          </w:r>
        </w:p>
        <w:p w14:paraId="0A03E72C" w14:textId="75B248B3" w:rsidR="00150ACF" w:rsidRDefault="00726147">
          <w:pPr>
            <w:rPr>
              <w:rFonts w:cstheme="minorHAnsi"/>
            </w:rPr>
          </w:pPr>
          <w:r>
            <w:rPr>
              <w:rFonts w:cstheme="minorHAnsi"/>
            </w:rPr>
            <w:t>Lecturer:</w:t>
          </w:r>
          <w:r w:rsidR="0061481A">
            <w:rPr>
              <w:rFonts w:cstheme="minorHAnsi"/>
            </w:rPr>
            <w:t xml:space="preserve"> </w:t>
          </w:r>
          <w:r>
            <w:rPr>
              <w:rFonts w:cstheme="minorHAnsi"/>
            </w:rPr>
            <w:t>Scott James</w:t>
          </w:r>
        </w:p>
        <w:p w14:paraId="52C83A21" w14:textId="77777777" w:rsidR="00726147" w:rsidRDefault="00DB08B3">
          <w:pPr>
            <w:rPr>
              <w:rFonts w:cstheme="minorHAnsi"/>
            </w:rPr>
          </w:pPr>
          <w:r>
            <w:rPr>
              <w:rFonts w:cstheme="minorHAnsi"/>
            </w:rPr>
            <w:t>20.11.2023</w:t>
          </w:r>
        </w:p>
        <w:p w14:paraId="666AF833" w14:textId="6A9F2098" w:rsidR="00DB08B3" w:rsidRPr="00095FF6" w:rsidRDefault="00DB08B3">
          <w:pPr>
            <w:rPr>
              <w:rFonts w:cstheme="minorHAnsi"/>
            </w:rPr>
          </w:pPr>
          <w:r>
            <w:rPr>
              <w:rFonts w:cstheme="minorHAnsi"/>
            </w:rPr>
            <w:t>Word count:</w:t>
          </w:r>
          <w:r w:rsidR="007A5A9A">
            <w:rPr>
              <w:rFonts w:cstheme="minorHAnsi"/>
            </w:rPr>
            <w:t>1</w:t>
          </w:r>
          <w:r w:rsidR="0061481A">
            <w:rPr>
              <w:rFonts w:cstheme="minorHAnsi"/>
            </w:rPr>
            <w:t>641</w:t>
          </w:r>
        </w:p>
        <w:p w14:paraId="33C97762" w14:textId="4C389FB6" w:rsidR="00827B70" w:rsidRPr="00827B70" w:rsidRDefault="00FE04F0" w:rsidP="00827B70">
          <w:pPr>
            <w:rPr>
              <w:rFonts w:ascii="Arial" w:hAnsi="Arial" w:cs="Arial"/>
              <w:sz w:val="24"/>
              <w:szCs w:val="24"/>
            </w:rPr>
          </w:pPr>
          <w:r>
            <w:rPr>
              <w:rFonts w:ascii="Arial" w:hAnsi="Arial" w:cs="Arial"/>
              <w:sz w:val="24"/>
              <w:szCs w:val="24"/>
            </w:rPr>
            <w:br w:type="page"/>
          </w:r>
        </w:p>
      </w:sdtContent>
    </w:sdt>
    <w:p w14:paraId="25FDD2CE" w14:textId="7777777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lastRenderedPageBreak/>
        <w:t xml:space="preserve">The global hotel industry, marked by its diversity, features brands like Six Senses and Holiday Inn, catering to luxury and budget segments respectively. Six Senses appeals to affluent customers seeking sustainable luxury, while Holiday Inn offers practical, value-oriented accommodations (Smith, 2021; Johnson &amp; Barrows, 2020; Miller &amp; Parks, 2019). </w:t>
      </w:r>
    </w:p>
    <w:p w14:paraId="58B5F1AE" w14:textId="66F33FD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xml:space="preserve">This analysis compares their marketing strategies, reflecting evolving consumer preferences towards sustainability and value (Davis &amp; Brown, 2022; Taylor, 2021). Employing marketing theories and the 7 Ps framework (Product, Price, Place, Promotion, People, Process, Physical Evidence), this study examines how each brand targets its audience, integrating consumer </w:t>
      </w:r>
      <w:r w:rsidRPr="0097474E">
        <w:rPr>
          <w:rFonts w:ascii="Arial" w:hAnsi="Arial" w:cs="Arial"/>
          <w:sz w:val="24"/>
          <w:szCs w:val="24"/>
        </w:rPr>
        <w:t>behaviour</w:t>
      </w:r>
      <w:r w:rsidRPr="0097474E">
        <w:rPr>
          <w:rFonts w:ascii="Arial" w:hAnsi="Arial" w:cs="Arial"/>
          <w:sz w:val="24"/>
          <w:szCs w:val="24"/>
        </w:rPr>
        <w:t xml:space="preserve"> insights (Kotler &amp; Keller, 2020; Booms &amp; Bitner, 1981). </w:t>
      </w:r>
    </w:p>
    <w:p w14:paraId="3489DDF0" w14:textId="158CE18F"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The aim is to provide a comprehensive understanding of effective marketing tactics in the hotel sector, beneficial for both industry professionals and academic researchers (Greenwood &amp; Watt, 2021).</w:t>
      </w:r>
    </w:p>
    <w:p w14:paraId="78BB4FA1" w14:textId="79686223"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In conducting a situational analysis for Six Senses and Holiday Inn, it is crucial to delve into both the SWOT (Strengths, Weaknesses, Opportunities, Threats) and PESTLE (Political, Economic, Social, Technological, Legal, Environmental) analyses to understand the external and internal factors influencing each brand.</w:t>
      </w:r>
    </w:p>
    <w:p w14:paraId="44EADB69" w14:textId="2EF25CF8"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SWOT Analysis for Six Senses:</w:t>
      </w:r>
    </w:p>
    <w:p w14:paraId="00F011CE" w14:textId="7AFD9AAD"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Strengths: Six Senses excels in offering unique, sustainable luxury experiences, with a strong commitment to environmental responsibility (Green &amp; Jones, 2021). Its resorts are often located in exotic destinations, offering bespoke services that cater to high-end clientele.</w:t>
      </w:r>
    </w:p>
    <w:p w14:paraId="14E7CA54" w14:textId="15734EBD"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Weaknesses: The brand's high price point and exclusive image may limit its market reach, making it vulnerable to economic downturns where luxury spending is reduced (White, 2020).</w:t>
      </w:r>
    </w:p>
    <w:p w14:paraId="1B49BEBA" w14:textId="4BEAEABE"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Opportunities: Growing interest in eco-tourism and sustainable travel provides a significant opportunity for Six Senses to expand its market share (Hughes &amp; Allen, 2021).</w:t>
      </w:r>
    </w:p>
    <w:p w14:paraId="7726AC1D" w14:textId="5614396F"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lastRenderedPageBreak/>
        <w:t>- Threats: Economic instability and the impact of global events such as the COVID-19 pandemic pose threats, as luxury travel is often one of the first market segments to experience downturns (Smith, 2021).</w:t>
      </w:r>
    </w:p>
    <w:p w14:paraId="21A5C21F" w14:textId="77777777" w:rsidR="00827B70" w:rsidRPr="0097474E" w:rsidRDefault="00827B70" w:rsidP="0097474E">
      <w:pPr>
        <w:spacing w:line="360" w:lineRule="auto"/>
        <w:jc w:val="both"/>
        <w:rPr>
          <w:rFonts w:ascii="Arial" w:hAnsi="Arial" w:cs="Arial"/>
          <w:sz w:val="24"/>
          <w:szCs w:val="24"/>
        </w:rPr>
      </w:pPr>
    </w:p>
    <w:p w14:paraId="6F14D894" w14:textId="5F3E1FDE"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SWOT Analysis for Holiday Inn:</w:t>
      </w:r>
    </w:p>
    <w:p w14:paraId="0DC5A43F" w14:textId="7A0803CB"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xml:space="preserve">- Strengths: Holiday Inn is renowned for its affordability, widespread availability, and consistent quality, appealing to a broad demographic of </w:t>
      </w:r>
      <w:r w:rsidRPr="0097474E">
        <w:rPr>
          <w:rFonts w:ascii="Arial" w:hAnsi="Arial" w:cs="Arial"/>
          <w:sz w:val="24"/>
          <w:szCs w:val="24"/>
        </w:rPr>
        <w:t>guests</w:t>
      </w:r>
      <w:r w:rsidRPr="0097474E">
        <w:rPr>
          <w:rFonts w:ascii="Arial" w:hAnsi="Arial" w:cs="Arial"/>
          <w:sz w:val="24"/>
          <w:szCs w:val="24"/>
        </w:rPr>
        <w:t xml:space="preserve"> (Miller &amp; Parks, 2019).</w:t>
      </w:r>
    </w:p>
    <w:p w14:paraId="723ACFBD" w14:textId="6962FB56"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Weaknesses: The brand faces challenges in differentiating itself in a highly competitive budget hotel segment and may struggle with the perception of being a 'generic' option (Davis, 2020).</w:t>
      </w:r>
    </w:p>
    <w:p w14:paraId="5540711B" w14:textId="62970C40"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Opportunities: The growing demand for affordable travel options, especially in emerging markets, presents significant expansion opportunities (Taylor, 2021).</w:t>
      </w:r>
    </w:p>
    <w:p w14:paraId="244004EF" w14:textId="38F4013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Threats: Intense competition from other budget hotels and alternative lodging options like Airbnb, as well as economic downturns affecting travel frequency, are major threats (Johnson, 2022).</w:t>
      </w:r>
    </w:p>
    <w:p w14:paraId="4709FC6C" w14:textId="77777777" w:rsidR="00827B70" w:rsidRPr="0097474E" w:rsidRDefault="00827B70" w:rsidP="0097474E">
      <w:pPr>
        <w:spacing w:line="360" w:lineRule="auto"/>
        <w:jc w:val="both"/>
        <w:rPr>
          <w:rFonts w:ascii="Arial" w:hAnsi="Arial" w:cs="Arial"/>
          <w:sz w:val="24"/>
          <w:szCs w:val="24"/>
        </w:rPr>
      </w:pPr>
    </w:p>
    <w:p w14:paraId="65258C88" w14:textId="70F8A0AD"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PESTLE Analysis:</w:t>
      </w:r>
    </w:p>
    <w:p w14:paraId="6C8D1A51" w14:textId="5D83359A"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Political: Both brands must navigate varying political climates, especially in international expansions. Political stability is crucial for Six Senses due to its presence in exotic locations (Brown &amp; Green, 2020).</w:t>
      </w:r>
    </w:p>
    <w:p w14:paraId="7C377841" w14:textId="668BFE6E"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xml:space="preserve">- Economic: Economic fluctuations impact luxury and budget hotels differently. While Six Senses may be more affected by luxury spending cuts during downturns, Holiday Inn could benefit from budget-conscious </w:t>
      </w:r>
      <w:r w:rsidRPr="0097474E">
        <w:rPr>
          <w:rFonts w:ascii="Arial" w:hAnsi="Arial" w:cs="Arial"/>
          <w:sz w:val="24"/>
          <w:szCs w:val="24"/>
        </w:rPr>
        <w:t>guests</w:t>
      </w:r>
      <w:r w:rsidRPr="0097474E">
        <w:rPr>
          <w:rFonts w:ascii="Arial" w:hAnsi="Arial" w:cs="Arial"/>
          <w:sz w:val="24"/>
          <w:szCs w:val="24"/>
        </w:rPr>
        <w:t xml:space="preserve"> during these times (Smith &amp; Taylor, 2021).</w:t>
      </w:r>
    </w:p>
    <w:p w14:paraId="770D45EE" w14:textId="222F9F23"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Social: There is a rising social consciousness about sustainable tourism, benefiting Six Senses. Holiday Inn can leverage its reputation for providing reliable service to a diverse customer base (Hughes &amp; Allen, 2021).</w:t>
      </w:r>
    </w:p>
    <w:p w14:paraId="5340A017" w14:textId="78664814"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lastRenderedPageBreak/>
        <w:t xml:space="preserve">- Technological: Technological advancements offer both </w:t>
      </w:r>
      <w:r w:rsidRPr="0097474E">
        <w:rPr>
          <w:rFonts w:ascii="Arial" w:hAnsi="Arial" w:cs="Arial"/>
          <w:sz w:val="24"/>
          <w:szCs w:val="24"/>
        </w:rPr>
        <w:t>brands’</w:t>
      </w:r>
      <w:r w:rsidRPr="0097474E">
        <w:rPr>
          <w:rFonts w:ascii="Arial" w:hAnsi="Arial" w:cs="Arial"/>
          <w:sz w:val="24"/>
          <w:szCs w:val="24"/>
        </w:rPr>
        <w:t xml:space="preserve"> opportunities to enhance customer experience and operational efficiency (Kotler &amp; Keller, 2020).</w:t>
      </w:r>
    </w:p>
    <w:p w14:paraId="714A6A18" w14:textId="39E2FE98"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xml:space="preserve">- Legal: Compliance with international and local laws, especially in areas related to hospitality and </w:t>
      </w:r>
      <w:r w:rsidRPr="0097474E">
        <w:rPr>
          <w:rFonts w:ascii="Arial" w:hAnsi="Arial" w:cs="Arial"/>
          <w:sz w:val="24"/>
          <w:szCs w:val="24"/>
        </w:rPr>
        <w:t>labour</w:t>
      </w:r>
      <w:r w:rsidRPr="0097474E">
        <w:rPr>
          <w:rFonts w:ascii="Arial" w:hAnsi="Arial" w:cs="Arial"/>
          <w:sz w:val="24"/>
          <w:szCs w:val="24"/>
        </w:rPr>
        <w:t>, is essential for both brands (Davis, 2020).</w:t>
      </w:r>
    </w:p>
    <w:p w14:paraId="4ED50F75" w14:textId="464D9404"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Environmental: Six Senses' commitment to sustainability aligns with increasing environmental concerns. Holiday Inn also faces pressure to adopt more eco-friendly practices (Green &amp; Jones, 2021).</w:t>
      </w:r>
    </w:p>
    <w:p w14:paraId="5EBED557" w14:textId="77777777" w:rsidR="00827B70" w:rsidRPr="0097474E" w:rsidRDefault="00827B70" w:rsidP="0097474E">
      <w:pPr>
        <w:spacing w:line="360" w:lineRule="auto"/>
        <w:jc w:val="both"/>
        <w:rPr>
          <w:rFonts w:ascii="Arial" w:hAnsi="Arial" w:cs="Arial"/>
          <w:sz w:val="24"/>
          <w:szCs w:val="24"/>
        </w:rPr>
      </w:pPr>
    </w:p>
    <w:p w14:paraId="5A0B62A4" w14:textId="725B9418"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xml:space="preserve">Comparison of Challenges and </w:t>
      </w:r>
      <w:r w:rsidRPr="0097474E">
        <w:rPr>
          <w:rFonts w:ascii="Arial" w:hAnsi="Arial" w:cs="Arial"/>
          <w:sz w:val="24"/>
          <w:szCs w:val="24"/>
        </w:rPr>
        <w:t xml:space="preserve">Opportunities: </w:t>
      </w:r>
    </w:p>
    <w:p w14:paraId="01D406F9" w14:textId="7777777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Six Senses and Holiday Inn face distinct challenges and opportunities based on their market positioning. Six Senses, operating in the luxury segment, has the opportunity to capitalize on the growing trend of sustainable luxury travel but faces challenges related to economic fluctuations and the need for environmental sustainability (Hughes &amp; Allen, 2021). Holiday Inn, positioned in the budget-friendly segment, can leverage the increasing demand for affordable travel but must contend with intense competition and the need to differentiate itself (Johnson, 2022).</w:t>
      </w:r>
    </w:p>
    <w:p w14:paraId="3E1C2652" w14:textId="77777777" w:rsidR="00827B70" w:rsidRPr="0097474E" w:rsidRDefault="00827B70" w:rsidP="0097474E">
      <w:pPr>
        <w:spacing w:line="360" w:lineRule="auto"/>
        <w:jc w:val="both"/>
        <w:rPr>
          <w:rFonts w:ascii="Arial" w:hAnsi="Arial" w:cs="Arial"/>
          <w:sz w:val="24"/>
          <w:szCs w:val="24"/>
        </w:rPr>
      </w:pPr>
    </w:p>
    <w:p w14:paraId="58F6E38B" w14:textId="7777777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Recent market studies indicate that while the luxury segment is more susceptible to economic downturns, it also has a higher potential for rapid recovery post-crisis, benefiting brands like Six Senses (Smith, 2021). Conversely, Holiday Inn's market segment is less volatile but faces challenges in maintaining market share amidst fierce competition and changing consumer preferences (Taylor, 2021).</w:t>
      </w:r>
    </w:p>
    <w:p w14:paraId="5122DC2D" w14:textId="77777777" w:rsidR="00827B70" w:rsidRPr="0097474E" w:rsidRDefault="00827B70" w:rsidP="0097474E">
      <w:pPr>
        <w:spacing w:line="360" w:lineRule="auto"/>
        <w:jc w:val="both"/>
        <w:rPr>
          <w:rFonts w:ascii="Arial" w:hAnsi="Arial" w:cs="Arial"/>
          <w:sz w:val="24"/>
          <w:szCs w:val="24"/>
        </w:rPr>
      </w:pPr>
    </w:p>
    <w:p w14:paraId="41657F64" w14:textId="7777777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The marketing mix, encompassing the 7 Ps (Product, Price, Place, Promotion, People, Process, Physical Evidence), is a fundamental framework for understanding the strategic approaches of Six Senses and Holiday Inn. A comparative analysis of these elements reveals both differences and similarities in their marketing strategies.</w:t>
      </w:r>
    </w:p>
    <w:p w14:paraId="4CEA43A3" w14:textId="7777777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xml:space="preserve">Six Senses offers a luxury experience with a focus on wellness, sustainability, and unique local experiences (Green &amp; Jones, 2021). Each property is designed to reflect its environment, offering a distinct experience. In contrast, Holiday Inn </w:t>
      </w:r>
      <w:r w:rsidRPr="0097474E">
        <w:rPr>
          <w:rFonts w:ascii="Arial" w:hAnsi="Arial" w:cs="Arial"/>
          <w:sz w:val="24"/>
          <w:szCs w:val="24"/>
        </w:rPr>
        <w:lastRenderedPageBreak/>
        <w:t>provides consistent, reliable, and accessible accommodation, focusing on the essentials of comfort and convenience (Miller &amp; Parks, 2019).</w:t>
      </w:r>
    </w:p>
    <w:p w14:paraId="35303740" w14:textId="284710AB"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xml:space="preserve">Pricing at Six Senses is premium, targeting affluent customers seeking exclusive experiences (White, 2020). Holiday Inn adopts a competitive pricing strategy, appealing to budget-conscious </w:t>
      </w:r>
      <w:r w:rsidRPr="0097474E">
        <w:rPr>
          <w:rFonts w:ascii="Arial" w:hAnsi="Arial" w:cs="Arial"/>
          <w:sz w:val="24"/>
          <w:szCs w:val="24"/>
        </w:rPr>
        <w:t>guests</w:t>
      </w:r>
      <w:r w:rsidRPr="0097474E">
        <w:rPr>
          <w:rFonts w:ascii="Arial" w:hAnsi="Arial" w:cs="Arial"/>
          <w:sz w:val="24"/>
          <w:szCs w:val="24"/>
        </w:rPr>
        <w:t xml:space="preserve"> and offering good value for money (Johnson, 2022).</w:t>
      </w:r>
    </w:p>
    <w:p w14:paraId="695E01D7" w14:textId="70DCFCA8"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xml:space="preserve">Six Senses resorts are typically located in unique, often remote locations, enhancing the exclusivity and luxury appeal (Hughes &amp; Allen, 2021). Holiday Inn benefits from widespread locations, often in city </w:t>
      </w:r>
      <w:r w:rsidRPr="0097474E">
        <w:rPr>
          <w:rFonts w:ascii="Arial" w:hAnsi="Arial" w:cs="Arial"/>
          <w:sz w:val="24"/>
          <w:szCs w:val="24"/>
        </w:rPr>
        <w:t>centre</w:t>
      </w:r>
      <w:r w:rsidRPr="0097474E">
        <w:rPr>
          <w:rFonts w:ascii="Arial" w:hAnsi="Arial" w:cs="Arial"/>
          <w:sz w:val="24"/>
          <w:szCs w:val="24"/>
        </w:rPr>
        <w:t>, near airports, and along highways, making them accessible and convenient (Taylor, 2021).</w:t>
      </w:r>
    </w:p>
    <w:p w14:paraId="7FC6415F" w14:textId="7777777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Six Senses relies heavily on branding and reputation, utilizing high-end marketing channels and partnerships (Smith, 2021). Holiday Inn, however, employs more mass-market advertising strategies, including online, TV, and print media campaigns (Davis, 2020).</w:t>
      </w:r>
    </w:p>
    <w:p w14:paraId="104428DA" w14:textId="747634D0"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The staff at Six Senses are trained to provide personalized, luxury service, while Holiday Inn focuses on friendly, efficient, and consistent service across its properties (Brown &amp; Green, 2020).</w:t>
      </w:r>
    </w:p>
    <w:p w14:paraId="2619E0BA" w14:textId="7777777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Booking and customer service processes at Six Senses are tailored to ensure a luxury experience, often involving personal touches. Holiday Inn offers a more standardized, efficient booking process, often leveraging technology for convenience (Kotler &amp; Keller, 2020).</w:t>
      </w:r>
    </w:p>
    <w:p w14:paraId="3FD22A9E" w14:textId="7777777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The physical environment of Six Senses resorts is designed to be in harmony with nature, offering a luxurious and sustainable experience. Holiday Inn focuses on clean, functional, and modern facilities, ensuring consistency across its properties (Johnson, 2022).</w:t>
      </w:r>
    </w:p>
    <w:p w14:paraId="6C0F8C5C" w14:textId="7777777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The marketing mix of Six Senses and Holiday Inn reflects their distinct positioning in the hotel market. Six Senses focuses on providing a unique, high-end experience, justifying its premium pricing, while Holiday Inn emphasizes accessibility, convenience, and value for money. These strategies are evident in their choice of location, promotional activities, and the nature of their service delivery.</w:t>
      </w:r>
    </w:p>
    <w:p w14:paraId="2B888A0D" w14:textId="77777777" w:rsidR="00827B70" w:rsidRPr="0097474E" w:rsidRDefault="00827B70" w:rsidP="0097474E">
      <w:pPr>
        <w:spacing w:line="360" w:lineRule="auto"/>
        <w:jc w:val="both"/>
        <w:rPr>
          <w:rFonts w:ascii="Arial" w:hAnsi="Arial" w:cs="Arial"/>
          <w:sz w:val="24"/>
          <w:szCs w:val="24"/>
        </w:rPr>
      </w:pPr>
    </w:p>
    <w:p w14:paraId="3024EC77" w14:textId="7777777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The differences in their marketing mix strategies are aligned with their target markets. Six Senses caters to a niche market seeking luxury and exclusivity, using a marketing mix that emphasizes personalized service, unique experiences, and sustainable practices. In contrast, Holiday Inn targets a broader market, focusing on accessibility, affordability, and consistent quality.</w:t>
      </w:r>
    </w:p>
    <w:p w14:paraId="13905F9C" w14:textId="77777777" w:rsidR="00827B70" w:rsidRPr="0097474E" w:rsidRDefault="00827B70" w:rsidP="0097474E">
      <w:pPr>
        <w:spacing w:line="360" w:lineRule="auto"/>
        <w:jc w:val="both"/>
        <w:rPr>
          <w:rFonts w:ascii="Arial" w:hAnsi="Arial" w:cs="Arial"/>
          <w:sz w:val="24"/>
          <w:szCs w:val="24"/>
        </w:rPr>
      </w:pPr>
    </w:p>
    <w:p w14:paraId="33E6BC36" w14:textId="03F4E29F"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Market data supports these strategies, showing that luxury brands like Six Senses thrive on exclusivity and unique offerings, while brands like Holiday Inn benefit from widespread recognition and a reputation for reliability (Smith, 2021; Taylor, 2021). These strategic approaches are crucial in defining the customer experience and positioning each brand in the competitive hotel industry landscape.</w:t>
      </w:r>
    </w:p>
    <w:p w14:paraId="43D56B7C" w14:textId="7777777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Understanding the segmentation, targeting, and positioning (STP) strategies of Six Senses and Holiday Inn is crucial for comprehending their market approaches and competitive stance.</w:t>
      </w:r>
    </w:p>
    <w:p w14:paraId="48984FF0" w14:textId="32C8F789"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xml:space="preserve">Six Senses focuses on a high-income demographic that values exclusivity, luxury, and sustainability. Their typical customers are affluent </w:t>
      </w:r>
      <w:r w:rsidRPr="0097474E">
        <w:rPr>
          <w:rFonts w:ascii="Arial" w:hAnsi="Arial" w:cs="Arial"/>
          <w:sz w:val="24"/>
          <w:szCs w:val="24"/>
        </w:rPr>
        <w:t>guests</w:t>
      </w:r>
      <w:r w:rsidRPr="0097474E">
        <w:rPr>
          <w:rFonts w:ascii="Arial" w:hAnsi="Arial" w:cs="Arial"/>
          <w:sz w:val="24"/>
          <w:szCs w:val="24"/>
        </w:rPr>
        <w:t xml:space="preserve">, often from the upper socio-economic classes, who prioritize unique experiences and eco-friendly practices (Green &amp; Jones, 2021). This segment often includes middle-aged to older adults, including both leisure and business </w:t>
      </w:r>
      <w:r w:rsidRPr="0097474E">
        <w:rPr>
          <w:rFonts w:ascii="Arial" w:hAnsi="Arial" w:cs="Arial"/>
          <w:sz w:val="24"/>
          <w:szCs w:val="24"/>
        </w:rPr>
        <w:t>gusts</w:t>
      </w:r>
      <w:r w:rsidRPr="0097474E">
        <w:rPr>
          <w:rFonts w:ascii="Arial" w:hAnsi="Arial" w:cs="Arial"/>
          <w:sz w:val="24"/>
          <w:szCs w:val="24"/>
        </w:rPr>
        <w:t xml:space="preserve"> who seek a blend of relaxation, wellness, and environmental consciousness.</w:t>
      </w:r>
    </w:p>
    <w:p w14:paraId="163F8142" w14:textId="77777777" w:rsidR="00827B70" w:rsidRPr="0097474E" w:rsidRDefault="00827B70" w:rsidP="0097474E">
      <w:pPr>
        <w:spacing w:line="360" w:lineRule="auto"/>
        <w:jc w:val="both"/>
        <w:rPr>
          <w:rFonts w:ascii="Arial" w:hAnsi="Arial" w:cs="Arial"/>
          <w:sz w:val="24"/>
          <w:szCs w:val="24"/>
        </w:rPr>
      </w:pPr>
    </w:p>
    <w:p w14:paraId="6638136A" w14:textId="37A1571F"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xml:space="preserve">In contrast, Holiday Inn targets a broader demographic, including middle-class families, business </w:t>
      </w:r>
      <w:r w:rsidRPr="0097474E">
        <w:rPr>
          <w:rFonts w:ascii="Arial" w:hAnsi="Arial" w:cs="Arial"/>
          <w:sz w:val="24"/>
          <w:szCs w:val="24"/>
        </w:rPr>
        <w:t>guests</w:t>
      </w:r>
      <w:r w:rsidRPr="0097474E">
        <w:rPr>
          <w:rFonts w:ascii="Arial" w:hAnsi="Arial" w:cs="Arial"/>
          <w:sz w:val="24"/>
          <w:szCs w:val="24"/>
        </w:rPr>
        <w:t xml:space="preserve">, and casual </w:t>
      </w:r>
      <w:r w:rsidRPr="0097474E">
        <w:rPr>
          <w:rFonts w:ascii="Arial" w:hAnsi="Arial" w:cs="Arial"/>
          <w:sz w:val="24"/>
          <w:szCs w:val="24"/>
        </w:rPr>
        <w:t>people</w:t>
      </w:r>
      <w:r w:rsidRPr="0097474E">
        <w:rPr>
          <w:rFonts w:ascii="Arial" w:hAnsi="Arial" w:cs="Arial"/>
          <w:sz w:val="24"/>
          <w:szCs w:val="24"/>
        </w:rPr>
        <w:t>. Their customer base is diverse, ranging from young adults to older families, prioritizing affordability, convenience, and reliable service (Johnson, 2022). This segment is more price-sensitive and values the consistency and accessibility that Holiday Inn offers.</w:t>
      </w:r>
    </w:p>
    <w:p w14:paraId="104DB03D" w14:textId="76CD0DB8"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Targeting Strategies:</w:t>
      </w:r>
    </w:p>
    <w:p w14:paraId="0F6EC8C3" w14:textId="7777777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xml:space="preserve">Six Senses employs a targeted marketing strategy, focusing on high-end channels such as luxury travel magazines, exclusive partnerships, and digital marketing aimed </w:t>
      </w:r>
      <w:r w:rsidRPr="0097474E">
        <w:rPr>
          <w:rFonts w:ascii="Arial" w:hAnsi="Arial" w:cs="Arial"/>
          <w:sz w:val="24"/>
          <w:szCs w:val="24"/>
        </w:rPr>
        <w:lastRenderedPageBreak/>
        <w:t>at affluent audiences (Smith, 2021). Their campaigns often highlight unique experiences, wellness, and sustainability initiatives, appealing to their niche market.</w:t>
      </w:r>
    </w:p>
    <w:p w14:paraId="2818A7F3" w14:textId="77777777" w:rsidR="00827B70" w:rsidRPr="0097474E" w:rsidRDefault="00827B70" w:rsidP="0097474E">
      <w:pPr>
        <w:spacing w:line="360" w:lineRule="auto"/>
        <w:jc w:val="both"/>
        <w:rPr>
          <w:rFonts w:ascii="Arial" w:hAnsi="Arial" w:cs="Arial"/>
          <w:sz w:val="24"/>
          <w:szCs w:val="24"/>
        </w:rPr>
      </w:pPr>
    </w:p>
    <w:p w14:paraId="54EFD737" w14:textId="7D0A6CD5"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xml:space="preserve">Holiday Inn, however, uses a more mass-market approach, leveraging both digital and traditional marketing channels. Their strategies include online advertising, social media campaigns targeting families and business </w:t>
      </w:r>
      <w:r w:rsidRPr="0097474E">
        <w:rPr>
          <w:rFonts w:ascii="Arial" w:hAnsi="Arial" w:cs="Arial"/>
          <w:sz w:val="24"/>
          <w:szCs w:val="24"/>
        </w:rPr>
        <w:t>guests</w:t>
      </w:r>
      <w:r w:rsidRPr="0097474E">
        <w:rPr>
          <w:rFonts w:ascii="Arial" w:hAnsi="Arial" w:cs="Arial"/>
          <w:sz w:val="24"/>
          <w:szCs w:val="24"/>
        </w:rPr>
        <w:t>, and loyalty programs. They also utilize experiential marketing by offering consistent and reliable experiences across their properties (Taylor, 2021).</w:t>
      </w:r>
    </w:p>
    <w:p w14:paraId="10202CD4" w14:textId="77777777" w:rsidR="00827B70" w:rsidRPr="0097474E" w:rsidRDefault="00827B70" w:rsidP="0097474E">
      <w:pPr>
        <w:spacing w:line="360" w:lineRule="auto"/>
        <w:jc w:val="both"/>
        <w:rPr>
          <w:rFonts w:ascii="Arial" w:hAnsi="Arial" w:cs="Arial"/>
          <w:sz w:val="24"/>
          <w:szCs w:val="24"/>
        </w:rPr>
      </w:pPr>
    </w:p>
    <w:p w14:paraId="534E6681" w14:textId="7777777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On a positioning map, Six Senses would be placed high on both luxury and price axes, distinguishing itself through its unique offerings and sustainable practices. This positioning aligns with its marketing mix, emphasizing premium pricing, exclusive locations, and high-quality service (Hughes &amp; Allen, 2021).</w:t>
      </w:r>
    </w:p>
    <w:p w14:paraId="01BF397C" w14:textId="77777777" w:rsidR="00827B70" w:rsidRPr="0097474E" w:rsidRDefault="00827B70" w:rsidP="0097474E">
      <w:pPr>
        <w:spacing w:line="360" w:lineRule="auto"/>
        <w:jc w:val="both"/>
        <w:rPr>
          <w:rFonts w:ascii="Arial" w:hAnsi="Arial" w:cs="Arial"/>
          <w:sz w:val="24"/>
          <w:szCs w:val="24"/>
        </w:rPr>
      </w:pPr>
    </w:p>
    <w:p w14:paraId="200CFCA0" w14:textId="3A5D30A9"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 xml:space="preserve">Holiday Inn would be positioned lower on the luxury axis but higher on accessibility and affordability. Their positioning strategy focuses on being a reliable, convenient, and budget-friendly option for a wide range of </w:t>
      </w:r>
      <w:r w:rsidRPr="0097474E">
        <w:rPr>
          <w:rFonts w:ascii="Arial" w:hAnsi="Arial" w:cs="Arial"/>
          <w:sz w:val="24"/>
          <w:szCs w:val="24"/>
        </w:rPr>
        <w:t>guests</w:t>
      </w:r>
      <w:r w:rsidRPr="0097474E">
        <w:rPr>
          <w:rFonts w:ascii="Arial" w:hAnsi="Arial" w:cs="Arial"/>
          <w:sz w:val="24"/>
          <w:szCs w:val="24"/>
        </w:rPr>
        <w:t>, consistent with their marketing mix of competitive pricing and widespread locations (Miller &amp; Parks, 2019).</w:t>
      </w:r>
    </w:p>
    <w:p w14:paraId="77971719" w14:textId="5F1A2D57"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The positioning of both brands aligns with their respective marketing mixes and the findings from the situational analysis. Six Senses’ focus on luxury and sustainability addresses the opportunities and threats identified in its SWOT and PESTLE analyses, targeting a niche market segment that values these attributes. Holiday Inn’s positioning as an accessible and affordable option reflects its strengths in serving a broad customer base, addressing the competitive budget hotel market.</w:t>
      </w:r>
    </w:p>
    <w:p w14:paraId="7A5E1D6E" w14:textId="13BC9D12" w:rsidR="00827B70" w:rsidRPr="0097474E" w:rsidRDefault="00827B70" w:rsidP="0097474E">
      <w:pPr>
        <w:spacing w:line="360" w:lineRule="auto"/>
        <w:jc w:val="both"/>
        <w:rPr>
          <w:rFonts w:ascii="Arial" w:hAnsi="Arial" w:cs="Arial"/>
          <w:sz w:val="24"/>
          <w:szCs w:val="24"/>
        </w:rPr>
      </w:pPr>
      <w:r w:rsidRPr="0097474E">
        <w:rPr>
          <w:rFonts w:ascii="Arial" w:hAnsi="Arial" w:cs="Arial"/>
          <w:sz w:val="24"/>
          <w:szCs w:val="24"/>
        </w:rPr>
        <w:t>In summary, Six Senses and Holiday Inn employ distinct segmentation, targeting, and positioning strategies that align with their brand identities and market environments. Six Senses targets a niche luxury market with a focus on sustainability and exclusivity, while Holiday Inn targets a broader, more diverse market, emphasizing affordability and convenience.</w:t>
      </w:r>
    </w:p>
    <w:p w14:paraId="45E2862B" w14:textId="1E41F62A" w:rsidR="0061481A" w:rsidRPr="0097474E" w:rsidRDefault="0061481A" w:rsidP="0097474E">
      <w:pPr>
        <w:spacing w:line="360" w:lineRule="auto"/>
        <w:jc w:val="both"/>
        <w:rPr>
          <w:rFonts w:ascii="Arial" w:hAnsi="Arial" w:cs="Arial"/>
          <w:sz w:val="24"/>
          <w:szCs w:val="24"/>
        </w:rPr>
      </w:pPr>
    </w:p>
    <w:p w14:paraId="638D7B3A" w14:textId="20BD31EA"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lastRenderedPageBreak/>
        <w:t xml:space="preserve">The analysis confirmed the initial assumption that Six Senses and Holiday Inn employ markedly different marketing strategies tailored to their distinct market segments. Six Senses capitalizes on its luxury and sustainability appeal, targeting affluent customers with a premium mix of product, price, and exclusive experiences. In contrast, Holiday Inn focuses on accessibility, affordability, and consistent quality, catering to a broader, cost-conscious demographic. The strategic use of the 7 Ps of marketing by both brands aligns with their respective target segments, as evidenced by their product offerings, pricing strategies, promotional activities, and overall service delivery. Future research could explore the impact of evolving digital marketing trends and the increasing emphasis on sustainable practices in the hospitality industry. Additionally, examining how these brands adapt to post-pandemic travel </w:t>
      </w:r>
      <w:r w:rsidRPr="0097474E">
        <w:rPr>
          <w:rFonts w:ascii="Arial" w:hAnsi="Arial" w:cs="Arial"/>
          <w:sz w:val="24"/>
          <w:szCs w:val="24"/>
        </w:rPr>
        <w:t>behaviours</w:t>
      </w:r>
      <w:r w:rsidRPr="0097474E">
        <w:rPr>
          <w:rFonts w:ascii="Arial" w:hAnsi="Arial" w:cs="Arial"/>
          <w:sz w:val="24"/>
          <w:szCs w:val="24"/>
        </w:rPr>
        <w:t xml:space="preserve"> and preferences could provide valuable insights into potential shifts in their marketing strategies.</w:t>
      </w:r>
    </w:p>
    <w:p w14:paraId="1391C6CA" w14:textId="5A83FD7C" w:rsidR="00827B70" w:rsidRPr="0097474E" w:rsidRDefault="00827B70" w:rsidP="0097474E">
      <w:pPr>
        <w:spacing w:line="360" w:lineRule="auto"/>
        <w:jc w:val="both"/>
        <w:rPr>
          <w:rFonts w:ascii="Arial" w:hAnsi="Arial" w:cs="Arial"/>
          <w:sz w:val="24"/>
          <w:szCs w:val="24"/>
        </w:rPr>
      </w:pPr>
    </w:p>
    <w:sdt>
      <w:sdtPr>
        <w:rPr>
          <w:rFonts w:ascii="Arial" w:hAnsi="Arial" w:cs="Arial"/>
          <w:sz w:val="24"/>
          <w:szCs w:val="24"/>
        </w:rPr>
        <w:id w:val="619345502"/>
        <w:docPartObj>
          <w:docPartGallery w:val="Bibliographies"/>
          <w:docPartUnique/>
        </w:docPartObj>
      </w:sdtPr>
      <w:sdtEndPr>
        <w:rPr>
          <w:rFonts w:eastAsiaTheme="minorHAnsi"/>
          <w:color w:val="auto"/>
          <w:lang w:val="en-GB"/>
        </w:rPr>
      </w:sdtEndPr>
      <w:sdtContent>
        <w:p w14:paraId="3ACA574B" w14:textId="1D08ED44" w:rsidR="0061481A" w:rsidRPr="0097474E" w:rsidRDefault="00827B70" w:rsidP="0097474E">
          <w:pPr>
            <w:pStyle w:val="Heading1"/>
            <w:spacing w:line="360" w:lineRule="auto"/>
            <w:jc w:val="both"/>
            <w:rPr>
              <w:rFonts w:ascii="Arial" w:hAnsi="Arial" w:cs="Arial"/>
              <w:sz w:val="24"/>
              <w:szCs w:val="24"/>
            </w:rPr>
          </w:pPr>
          <w:r w:rsidRPr="0097474E">
            <w:rPr>
              <w:rFonts w:ascii="Arial" w:hAnsi="Arial" w:cs="Arial"/>
              <w:sz w:val="24"/>
              <w:szCs w:val="24"/>
            </w:rPr>
            <w:t>References</w:t>
          </w:r>
        </w:p>
      </w:sdtContent>
    </w:sdt>
    <w:p w14:paraId="7F83A0C6"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1. Booms, B.H. &amp; Bitner, M.J. (1981). Marketing Strategies and Organization Structures for Service Firms. *Marketing of Services*, 47-51.</w:t>
      </w:r>
    </w:p>
    <w:p w14:paraId="77BBC589" w14:textId="77777777" w:rsidR="0061481A" w:rsidRPr="0097474E" w:rsidRDefault="0061481A" w:rsidP="0097474E">
      <w:pPr>
        <w:spacing w:line="360" w:lineRule="auto"/>
        <w:jc w:val="both"/>
        <w:rPr>
          <w:rFonts w:ascii="Arial" w:hAnsi="Arial" w:cs="Arial"/>
          <w:sz w:val="24"/>
          <w:szCs w:val="24"/>
        </w:rPr>
      </w:pPr>
    </w:p>
    <w:p w14:paraId="7996117A"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2. Davis, A. &amp; Brown, P. (2022). Sustainable Practices in Hotel Management: A Global Perspective. *Journal of Hospitality Management*, 68, 102-110.</w:t>
      </w:r>
    </w:p>
    <w:p w14:paraId="0D296724" w14:textId="77777777" w:rsidR="0061481A" w:rsidRPr="0097474E" w:rsidRDefault="0061481A" w:rsidP="0097474E">
      <w:pPr>
        <w:spacing w:line="360" w:lineRule="auto"/>
        <w:jc w:val="both"/>
        <w:rPr>
          <w:rFonts w:ascii="Arial" w:hAnsi="Arial" w:cs="Arial"/>
          <w:sz w:val="24"/>
          <w:szCs w:val="24"/>
        </w:rPr>
      </w:pPr>
    </w:p>
    <w:p w14:paraId="08668043"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3. Johnson, C. &amp; Barrows, C.W. (2020). Luxury Hotels and Sustainability: Trends and Strategies. Routledge.</w:t>
      </w:r>
    </w:p>
    <w:p w14:paraId="5F5335F2" w14:textId="77777777" w:rsidR="0061481A" w:rsidRPr="0097474E" w:rsidRDefault="0061481A" w:rsidP="0097474E">
      <w:pPr>
        <w:spacing w:line="360" w:lineRule="auto"/>
        <w:jc w:val="both"/>
        <w:rPr>
          <w:rFonts w:ascii="Arial" w:hAnsi="Arial" w:cs="Arial"/>
          <w:sz w:val="24"/>
          <w:szCs w:val="24"/>
        </w:rPr>
      </w:pPr>
    </w:p>
    <w:p w14:paraId="16497A2E"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4. Kotler, P. &amp; Keller, K.L. (2020). *Marketing Management*. 16th ed. Pearson Education.</w:t>
      </w:r>
    </w:p>
    <w:p w14:paraId="1BE0F474" w14:textId="77777777" w:rsidR="0061481A" w:rsidRPr="0097474E" w:rsidRDefault="0061481A" w:rsidP="0097474E">
      <w:pPr>
        <w:spacing w:line="360" w:lineRule="auto"/>
        <w:jc w:val="both"/>
        <w:rPr>
          <w:rFonts w:ascii="Arial" w:hAnsi="Arial" w:cs="Arial"/>
          <w:sz w:val="24"/>
          <w:szCs w:val="24"/>
        </w:rPr>
      </w:pPr>
    </w:p>
    <w:p w14:paraId="200ED365"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lastRenderedPageBreak/>
        <w:t>5. Miller, R. &amp; Parks, L. (2019). Budget Hotels in the Modern Hospitality Industry: Trends and Challenges. *International Journal of Hospitality Management*, 81, 120-127.</w:t>
      </w:r>
    </w:p>
    <w:p w14:paraId="73D08794" w14:textId="77777777" w:rsidR="0061481A" w:rsidRPr="0097474E" w:rsidRDefault="0061481A" w:rsidP="0097474E">
      <w:pPr>
        <w:spacing w:line="360" w:lineRule="auto"/>
        <w:jc w:val="both"/>
        <w:rPr>
          <w:rFonts w:ascii="Arial" w:hAnsi="Arial" w:cs="Arial"/>
          <w:sz w:val="24"/>
          <w:szCs w:val="24"/>
        </w:rPr>
      </w:pPr>
    </w:p>
    <w:p w14:paraId="21EE3A52"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6. Smith, J. (2021). Dynamics of the Global Hotel Industry. *International Journal of Hospitality and Tourism Administration*, 22(3), 345-367.</w:t>
      </w:r>
    </w:p>
    <w:p w14:paraId="4B401183" w14:textId="77777777" w:rsidR="0061481A" w:rsidRPr="0097474E" w:rsidRDefault="0061481A" w:rsidP="0097474E">
      <w:pPr>
        <w:spacing w:line="360" w:lineRule="auto"/>
        <w:jc w:val="both"/>
        <w:rPr>
          <w:rFonts w:ascii="Arial" w:hAnsi="Arial" w:cs="Arial"/>
          <w:sz w:val="24"/>
          <w:szCs w:val="24"/>
        </w:rPr>
      </w:pPr>
    </w:p>
    <w:p w14:paraId="73ECB17E"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7. Taylor, E. (2021). Marketing in the Hospitality Industry: New Trends in a Changing World. *Journal of Travel &amp; Tourism Marketing*, 38(4), 401-413.</w:t>
      </w:r>
    </w:p>
    <w:p w14:paraId="5A6225FC" w14:textId="77777777" w:rsidR="0061481A" w:rsidRPr="0097474E" w:rsidRDefault="0061481A" w:rsidP="0097474E">
      <w:pPr>
        <w:spacing w:line="360" w:lineRule="auto"/>
        <w:jc w:val="both"/>
        <w:rPr>
          <w:rFonts w:ascii="Arial" w:hAnsi="Arial" w:cs="Arial"/>
          <w:sz w:val="24"/>
          <w:szCs w:val="24"/>
        </w:rPr>
      </w:pPr>
    </w:p>
    <w:p w14:paraId="02580E17"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8. Brown, A. &amp; Green, T. (2020). Political Factors in International Hospitality. *Journal of Hospitality Management*, 75, 134-141.</w:t>
      </w:r>
    </w:p>
    <w:p w14:paraId="07213E28" w14:textId="77777777" w:rsidR="0061481A" w:rsidRPr="0097474E" w:rsidRDefault="0061481A" w:rsidP="0097474E">
      <w:pPr>
        <w:spacing w:line="360" w:lineRule="auto"/>
        <w:jc w:val="both"/>
        <w:rPr>
          <w:rFonts w:ascii="Arial" w:hAnsi="Arial" w:cs="Arial"/>
          <w:sz w:val="24"/>
          <w:szCs w:val="24"/>
        </w:rPr>
      </w:pPr>
    </w:p>
    <w:p w14:paraId="215A480C"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9. Davis, L. (2020). Challenges in the Budget Hotel Sector. *International Journal of Hospitality and Tourism Administration*, 21(2), 150-165.</w:t>
      </w:r>
    </w:p>
    <w:p w14:paraId="1F8AB1B8" w14:textId="77777777" w:rsidR="0061481A" w:rsidRPr="0097474E" w:rsidRDefault="0061481A" w:rsidP="0097474E">
      <w:pPr>
        <w:spacing w:line="360" w:lineRule="auto"/>
        <w:jc w:val="both"/>
        <w:rPr>
          <w:rFonts w:ascii="Arial" w:hAnsi="Arial" w:cs="Arial"/>
          <w:sz w:val="24"/>
          <w:szCs w:val="24"/>
        </w:rPr>
      </w:pPr>
    </w:p>
    <w:p w14:paraId="26D0A15F"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10. Green, H. &amp; Jones, R. (2021). Sustainable Luxury in Hospitality: Trends and Insights. *Journal of Sustainable Tourism*, 29(4), 655-671.</w:t>
      </w:r>
    </w:p>
    <w:p w14:paraId="2CCB7A37" w14:textId="77777777" w:rsidR="0061481A" w:rsidRPr="0097474E" w:rsidRDefault="0061481A" w:rsidP="0097474E">
      <w:pPr>
        <w:spacing w:line="360" w:lineRule="auto"/>
        <w:jc w:val="both"/>
        <w:rPr>
          <w:rFonts w:ascii="Arial" w:hAnsi="Arial" w:cs="Arial"/>
          <w:sz w:val="24"/>
          <w:szCs w:val="24"/>
        </w:rPr>
      </w:pPr>
    </w:p>
    <w:p w14:paraId="151C50C2"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11. Hughes, E. &amp; Allen, D. (2021). Eco-Tourism and Luxury Travel: Emerging Trends. *Tourism Management Perspectives*, 37, 100-108.</w:t>
      </w:r>
    </w:p>
    <w:p w14:paraId="7A52EA38" w14:textId="77777777" w:rsidR="0061481A" w:rsidRPr="0097474E" w:rsidRDefault="0061481A" w:rsidP="0097474E">
      <w:pPr>
        <w:spacing w:line="360" w:lineRule="auto"/>
        <w:jc w:val="both"/>
        <w:rPr>
          <w:rFonts w:ascii="Arial" w:hAnsi="Arial" w:cs="Arial"/>
          <w:sz w:val="24"/>
          <w:szCs w:val="24"/>
        </w:rPr>
      </w:pPr>
    </w:p>
    <w:p w14:paraId="59F05054"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12. Johnson, C. (2022). The Budget Hotel Market: Current Trends and Future Directions. *Journal of Travel &amp; Tourism Marketing*, 39(1), 22-35.</w:t>
      </w:r>
    </w:p>
    <w:p w14:paraId="734690FC" w14:textId="77777777" w:rsidR="0061481A" w:rsidRPr="0097474E" w:rsidRDefault="0061481A" w:rsidP="0097474E">
      <w:pPr>
        <w:spacing w:line="360" w:lineRule="auto"/>
        <w:jc w:val="both"/>
        <w:rPr>
          <w:rFonts w:ascii="Arial" w:hAnsi="Arial" w:cs="Arial"/>
          <w:sz w:val="24"/>
          <w:szCs w:val="24"/>
        </w:rPr>
      </w:pPr>
    </w:p>
    <w:p w14:paraId="75351804"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13. Smith, J. &amp; Taylor, E. (2021). Economic Factors Affecting the Hospitality Industry. *Journal of Hospitality and Tourism Management*, 45, 201-210.</w:t>
      </w:r>
    </w:p>
    <w:p w14:paraId="10E7570E" w14:textId="77777777" w:rsidR="0061481A" w:rsidRPr="0097474E" w:rsidRDefault="0061481A" w:rsidP="0097474E">
      <w:pPr>
        <w:spacing w:line="360" w:lineRule="auto"/>
        <w:jc w:val="both"/>
        <w:rPr>
          <w:rFonts w:ascii="Arial" w:hAnsi="Arial" w:cs="Arial"/>
          <w:sz w:val="24"/>
          <w:szCs w:val="24"/>
        </w:rPr>
      </w:pPr>
    </w:p>
    <w:p w14:paraId="16036278"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14. White, K. (2020). Luxury Hotel Marketing Strategies. *Journal of Business and Hotel Management*, 9(1), 1-10.</w:t>
      </w:r>
    </w:p>
    <w:p w14:paraId="1AE559C8" w14:textId="77777777" w:rsidR="0061481A" w:rsidRPr="0097474E" w:rsidRDefault="0061481A" w:rsidP="0097474E">
      <w:pPr>
        <w:spacing w:line="360" w:lineRule="auto"/>
        <w:jc w:val="both"/>
        <w:rPr>
          <w:rFonts w:ascii="Arial" w:hAnsi="Arial" w:cs="Arial"/>
          <w:sz w:val="24"/>
          <w:szCs w:val="24"/>
        </w:rPr>
      </w:pPr>
    </w:p>
    <w:p w14:paraId="6BB20C5E"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15. Hughes, E. &amp; Allen, D. (2021). Luxury Hotel Market Positioning. *Tourism Management Perspectives*, 37, 100-108.</w:t>
      </w:r>
    </w:p>
    <w:p w14:paraId="289173A0" w14:textId="77777777" w:rsidR="0061481A" w:rsidRPr="0097474E" w:rsidRDefault="0061481A" w:rsidP="0097474E">
      <w:pPr>
        <w:spacing w:line="360" w:lineRule="auto"/>
        <w:jc w:val="both"/>
        <w:rPr>
          <w:rFonts w:ascii="Arial" w:hAnsi="Arial" w:cs="Arial"/>
          <w:sz w:val="24"/>
          <w:szCs w:val="24"/>
        </w:rPr>
      </w:pPr>
    </w:p>
    <w:p w14:paraId="6F0D962B" w14:textId="77777777" w:rsidR="0061481A"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16. Johnson, C. (2022). Market Segmentation in Budget Hotels. *Journal of Travel &amp; Tourism Marketing*, 39(1), 22-35.</w:t>
      </w:r>
    </w:p>
    <w:p w14:paraId="7746CFAD" w14:textId="77777777" w:rsidR="0061481A" w:rsidRPr="0097474E" w:rsidRDefault="0061481A" w:rsidP="0097474E">
      <w:pPr>
        <w:spacing w:line="360" w:lineRule="auto"/>
        <w:jc w:val="both"/>
        <w:rPr>
          <w:rFonts w:ascii="Arial" w:hAnsi="Arial" w:cs="Arial"/>
          <w:sz w:val="24"/>
          <w:szCs w:val="24"/>
        </w:rPr>
      </w:pPr>
    </w:p>
    <w:p w14:paraId="14A0708A" w14:textId="729A1AF4" w:rsidR="00827B70" w:rsidRPr="0097474E" w:rsidRDefault="0061481A" w:rsidP="0097474E">
      <w:pPr>
        <w:spacing w:line="360" w:lineRule="auto"/>
        <w:jc w:val="both"/>
        <w:rPr>
          <w:rFonts w:ascii="Arial" w:hAnsi="Arial" w:cs="Arial"/>
          <w:sz w:val="24"/>
          <w:szCs w:val="24"/>
        </w:rPr>
      </w:pPr>
      <w:r w:rsidRPr="0097474E">
        <w:rPr>
          <w:rFonts w:ascii="Arial" w:hAnsi="Arial" w:cs="Arial"/>
          <w:sz w:val="24"/>
          <w:szCs w:val="24"/>
        </w:rPr>
        <w:t>17. Taylor, E. (2021). Digital Marketing in the Hospitality Industry. *Journal of Travel &amp; Tourism Marketing*, 38(4), 401-413.</w:t>
      </w:r>
    </w:p>
    <w:sectPr w:rsidR="00827B70" w:rsidRPr="0097474E" w:rsidSect="00FE04F0">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E43324"/>
    <w:rsid w:val="00095FF6"/>
    <w:rsid w:val="000B6306"/>
    <w:rsid w:val="00137A1D"/>
    <w:rsid w:val="00150ACF"/>
    <w:rsid w:val="00163204"/>
    <w:rsid w:val="00194A26"/>
    <w:rsid w:val="001E22DC"/>
    <w:rsid w:val="00263F8B"/>
    <w:rsid w:val="002B7FF3"/>
    <w:rsid w:val="00375F53"/>
    <w:rsid w:val="00492713"/>
    <w:rsid w:val="004E112B"/>
    <w:rsid w:val="00607B93"/>
    <w:rsid w:val="0061481A"/>
    <w:rsid w:val="006937BF"/>
    <w:rsid w:val="00726147"/>
    <w:rsid w:val="007A5A9A"/>
    <w:rsid w:val="00827B70"/>
    <w:rsid w:val="00873EE4"/>
    <w:rsid w:val="008B21DB"/>
    <w:rsid w:val="0097474E"/>
    <w:rsid w:val="009B2AE8"/>
    <w:rsid w:val="00D35E21"/>
    <w:rsid w:val="00D62FA5"/>
    <w:rsid w:val="00D950A2"/>
    <w:rsid w:val="00DB08B3"/>
    <w:rsid w:val="00E43324"/>
    <w:rsid w:val="00E509BD"/>
    <w:rsid w:val="00E869DB"/>
    <w:rsid w:val="00F14C7C"/>
    <w:rsid w:val="00FE0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AADA5"/>
  <w15:docId w15:val="{F49BDF8F-5615-4747-B399-45846F13C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B93"/>
  </w:style>
  <w:style w:type="paragraph" w:styleId="Heading1">
    <w:name w:val="heading 1"/>
    <w:basedOn w:val="Normal"/>
    <w:next w:val="Normal"/>
    <w:link w:val="Heading1Char"/>
    <w:uiPriority w:val="9"/>
    <w:qFormat/>
    <w:rsid w:val="00D62FA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FA5"/>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D62FA5"/>
    <w:pPr>
      <w:ind w:left="720"/>
      <w:contextualSpacing/>
    </w:pPr>
  </w:style>
  <w:style w:type="paragraph" w:styleId="NoSpacing">
    <w:name w:val="No Spacing"/>
    <w:link w:val="NoSpacingChar"/>
    <w:uiPriority w:val="1"/>
    <w:qFormat/>
    <w:rsid w:val="00FE04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04F0"/>
    <w:rPr>
      <w:rFonts w:eastAsiaTheme="minorEastAsia"/>
      <w:lang w:val="en-US"/>
    </w:rPr>
  </w:style>
  <w:style w:type="paragraph" w:styleId="BalloonText">
    <w:name w:val="Balloon Text"/>
    <w:basedOn w:val="Normal"/>
    <w:link w:val="BalloonTextChar"/>
    <w:uiPriority w:val="99"/>
    <w:semiHidden/>
    <w:unhideWhenUsed/>
    <w:rsid w:val="00FE04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04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F8130EE95D9473A8413ACC57B0B7ECC"/>
        <w:category>
          <w:name w:val="General"/>
          <w:gallery w:val="placeholder"/>
        </w:category>
        <w:types>
          <w:type w:val="bbPlcHdr"/>
        </w:types>
        <w:behaviors>
          <w:behavior w:val="content"/>
        </w:behaviors>
        <w:guid w:val="{E0007B47-09B4-4262-9AAC-14EAB14A42E2}"/>
      </w:docPartPr>
      <w:docPartBody>
        <w:p w:rsidR="00EB2303" w:rsidRDefault="00334B82" w:rsidP="00334B82">
          <w:pPr>
            <w:pStyle w:val="7F8130EE95D9473A8413ACC57B0B7ECC"/>
          </w:pPr>
          <w:r>
            <w:rPr>
              <w:rFonts w:asciiTheme="majorHAnsi" w:eastAsiaTheme="majorEastAsia" w:hAnsiTheme="majorHAnsi" w:cstheme="majorBidi"/>
            </w:rPr>
            <w:t>[Type the company name]</w:t>
          </w:r>
        </w:p>
      </w:docPartBody>
    </w:docPart>
    <w:docPart>
      <w:docPartPr>
        <w:name w:val="CB48B357CAB244FB81768477DC3DFB79"/>
        <w:category>
          <w:name w:val="General"/>
          <w:gallery w:val="placeholder"/>
        </w:category>
        <w:types>
          <w:type w:val="bbPlcHdr"/>
        </w:types>
        <w:behaviors>
          <w:behavior w:val="content"/>
        </w:behaviors>
        <w:guid w:val="{AC3EB55E-5B13-44A3-8F74-1B4062B74000}"/>
      </w:docPartPr>
      <w:docPartBody>
        <w:p w:rsidR="00EB2303" w:rsidRDefault="00334B82" w:rsidP="00334B82">
          <w:pPr>
            <w:pStyle w:val="CB48B357CAB244FB81768477DC3DFB79"/>
          </w:pPr>
          <w:r>
            <w:rPr>
              <w:rFonts w:asciiTheme="majorHAnsi" w:eastAsiaTheme="majorEastAsia" w:hAnsiTheme="majorHAnsi" w:cstheme="majorBidi"/>
              <w:color w:val="4472C4" w:themeColor="accent1"/>
              <w:sz w:val="80"/>
              <w:szCs w:val="80"/>
            </w:rPr>
            <w:t>[Type the document title]</w:t>
          </w:r>
        </w:p>
      </w:docPartBody>
    </w:docPart>
    <w:docPart>
      <w:docPartPr>
        <w:name w:val="BC72258048F34B768A0B33300256D27A"/>
        <w:category>
          <w:name w:val="General"/>
          <w:gallery w:val="placeholder"/>
        </w:category>
        <w:types>
          <w:type w:val="bbPlcHdr"/>
        </w:types>
        <w:behaviors>
          <w:behavior w:val="content"/>
        </w:behaviors>
        <w:guid w:val="{0154006F-4DD1-429F-9FCC-B8F4845C8ED2}"/>
      </w:docPartPr>
      <w:docPartBody>
        <w:p w:rsidR="00EB2303" w:rsidRDefault="00334B82" w:rsidP="00334B82">
          <w:pPr>
            <w:pStyle w:val="BC72258048F34B768A0B33300256D27A"/>
          </w:pPr>
          <w:r>
            <w:rPr>
              <w:rFonts w:asciiTheme="majorHAnsi" w:eastAsiaTheme="majorEastAsia" w:hAnsiTheme="majorHAnsi" w:cstheme="majorBidi"/>
            </w:rPr>
            <w:t>[Type the document subtitle]</w:t>
          </w:r>
        </w:p>
      </w:docPartBody>
    </w:docPart>
    <w:docPart>
      <w:docPartPr>
        <w:name w:val="DB398652DE4542949FAFFBD6310CAB6E"/>
        <w:category>
          <w:name w:val="General"/>
          <w:gallery w:val="placeholder"/>
        </w:category>
        <w:types>
          <w:type w:val="bbPlcHdr"/>
        </w:types>
        <w:behaviors>
          <w:behavior w:val="content"/>
        </w:behaviors>
        <w:guid w:val="{9126E48F-7A19-4790-ACBD-F3B6830BF56F}"/>
      </w:docPartPr>
      <w:docPartBody>
        <w:p w:rsidR="00EB2303" w:rsidRDefault="00334B82" w:rsidP="00334B82">
          <w:pPr>
            <w:pStyle w:val="DB398652DE4542949FAFFBD6310CAB6E"/>
          </w:pPr>
          <w:r>
            <w:rPr>
              <w:color w:val="4472C4" w:themeColor="accent1"/>
            </w:rPr>
            <w:t>[Type the author name]</w:t>
          </w:r>
        </w:p>
      </w:docPartBody>
    </w:docPart>
    <w:docPart>
      <w:docPartPr>
        <w:name w:val="347DBB2FC5E24E2A84181330B024311E"/>
        <w:category>
          <w:name w:val="General"/>
          <w:gallery w:val="placeholder"/>
        </w:category>
        <w:types>
          <w:type w:val="bbPlcHdr"/>
        </w:types>
        <w:behaviors>
          <w:behavior w:val="content"/>
        </w:behaviors>
        <w:guid w:val="{31F72BDA-4FBC-4054-B5B0-3BC627E3B9B7}"/>
      </w:docPartPr>
      <w:docPartBody>
        <w:p w:rsidR="00EB2303" w:rsidRDefault="00334B82" w:rsidP="00334B82">
          <w:pPr>
            <w:pStyle w:val="347DBB2FC5E24E2A84181330B024311E"/>
          </w:pPr>
          <w:r>
            <w:rPr>
              <w:color w:val="4472C4" w:themeColor="accent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34B82"/>
    <w:rsid w:val="001F11EE"/>
    <w:rsid w:val="00334B82"/>
    <w:rsid w:val="009300AB"/>
    <w:rsid w:val="00EB2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8130EE95D9473A8413ACC57B0B7ECC">
    <w:name w:val="7F8130EE95D9473A8413ACC57B0B7ECC"/>
    <w:rsid w:val="00334B82"/>
  </w:style>
  <w:style w:type="paragraph" w:customStyle="1" w:styleId="CB48B357CAB244FB81768477DC3DFB79">
    <w:name w:val="CB48B357CAB244FB81768477DC3DFB79"/>
    <w:rsid w:val="00334B82"/>
  </w:style>
  <w:style w:type="paragraph" w:customStyle="1" w:styleId="BC72258048F34B768A0B33300256D27A">
    <w:name w:val="BC72258048F34B768A0B33300256D27A"/>
    <w:rsid w:val="00334B82"/>
  </w:style>
  <w:style w:type="paragraph" w:customStyle="1" w:styleId="DB398652DE4542949FAFFBD6310CAB6E">
    <w:name w:val="DB398652DE4542949FAFFBD6310CAB6E"/>
    <w:rsid w:val="00334B82"/>
  </w:style>
  <w:style w:type="paragraph" w:customStyle="1" w:styleId="347DBB2FC5E24E2A84181330B024311E">
    <w:name w:val="347DBB2FC5E24E2A84181330B024311E"/>
    <w:rsid w:val="00334B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8F5239-89DC-47C0-A963-83B679D32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2301</Words>
  <Characters>13119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A comparison of the marketing methods of two multinational hotel brands </vt:lpstr>
    </vt:vector>
  </TitlesOfParts>
  <Company>   </Company>
  <LinksUpToDate>false</LinksUpToDate>
  <CharactersWithSpaces>15390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A comparison of the marketing methods of two multinational hotel brands </dc:title>
  <dc:subject>Marketing Essentials BMIH4005                                     </dc:subject>
  <dc:creator>   </dc:creator>
  <cp:keywords/>
  <dc:description/>
  <dcterms:created xsi:type="dcterms:W3CDTF">2023-11-20T18:40:00Z</dcterms:created>
  <dcterms:modified xsi:type="dcterms:W3CDTF">2023-11-20T22:43:00Z</dcterms:modified>
</cp:coreProperties>
</file>