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C027" w14:textId="77777777" w:rsidR="0031107E" w:rsidRPr="004F2B6F" w:rsidRDefault="0031107E" w:rsidP="004F2B6F">
      <w:pPr>
        <w:spacing w:line="360" w:lineRule="auto"/>
        <w:rPr>
          <w:rFonts w:ascii="Arial" w:hAnsi="Arial" w:cs="Arial"/>
        </w:rPr>
      </w:pPr>
      <w:bookmarkStart w:id="0" w:name="_Hlk206143967"/>
      <w:bookmarkEnd w:id="0"/>
      <w:r w:rsidRPr="004F2B6F">
        <w:rPr>
          <w:rFonts w:ascii="Arial" w:hAnsi="Arial" w:cs="Arial"/>
          <w:noProof/>
        </w:rPr>
        <w:drawing>
          <wp:inline distT="0" distB="0" distL="0" distR="0" wp14:anchorId="79ED69CE" wp14:editId="240101DE">
            <wp:extent cx="5670550" cy="1600200"/>
            <wp:effectExtent l="0" t="0" r="6350" b="0"/>
            <wp:docPr id="173851680" name="Рисунок 4" descr="Изображение выглядит как текст, Шрифт, логотип, Графи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1680" name="Рисунок 4" descr="Изображение выглядит как текст, Шрифт, логотип, Графика&#10;&#10;Контент, сгенерированный ИИ, может содержать ошибк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0550" cy="1600200"/>
                    </a:xfrm>
                    <a:prstGeom prst="rect">
                      <a:avLst/>
                    </a:prstGeom>
                    <a:noFill/>
                    <a:ln>
                      <a:noFill/>
                    </a:ln>
                  </pic:spPr>
                </pic:pic>
              </a:graphicData>
            </a:graphic>
          </wp:inline>
        </w:drawing>
      </w:r>
    </w:p>
    <w:p w14:paraId="237E8B43" w14:textId="77777777" w:rsidR="0031107E" w:rsidRPr="004F2B6F" w:rsidRDefault="0031107E" w:rsidP="004F2B6F">
      <w:pPr>
        <w:spacing w:line="360" w:lineRule="auto"/>
        <w:rPr>
          <w:rFonts w:ascii="Arial" w:hAnsi="Arial" w:cs="Arial"/>
        </w:rPr>
      </w:pPr>
    </w:p>
    <w:p w14:paraId="48B13CD1" w14:textId="77777777" w:rsidR="0031107E" w:rsidRPr="004F2B6F" w:rsidRDefault="0031107E" w:rsidP="004F2B6F">
      <w:pPr>
        <w:spacing w:line="360" w:lineRule="auto"/>
        <w:rPr>
          <w:rFonts w:ascii="Arial" w:hAnsi="Arial" w:cs="Arial"/>
        </w:rPr>
      </w:pPr>
    </w:p>
    <w:p w14:paraId="5276EF99" w14:textId="77777777" w:rsidR="0031107E" w:rsidRPr="004F2B6F" w:rsidRDefault="0031107E" w:rsidP="004F2B6F">
      <w:pPr>
        <w:spacing w:line="360" w:lineRule="auto"/>
        <w:rPr>
          <w:rFonts w:ascii="Arial" w:hAnsi="Arial" w:cs="Arial"/>
        </w:rPr>
      </w:pPr>
    </w:p>
    <w:p w14:paraId="37D299F9" w14:textId="77777777" w:rsidR="0031107E" w:rsidRPr="004F2B6F" w:rsidRDefault="0031107E" w:rsidP="004F2B6F">
      <w:pPr>
        <w:spacing w:line="360" w:lineRule="auto"/>
        <w:rPr>
          <w:rFonts w:ascii="Arial" w:hAnsi="Arial" w:cs="Arial"/>
          <w:sz w:val="28"/>
          <w:szCs w:val="28"/>
          <w:lang w:val="en-US"/>
        </w:rPr>
      </w:pPr>
    </w:p>
    <w:p w14:paraId="2569B3AF" w14:textId="7E376EA4" w:rsidR="0031107E" w:rsidRPr="004F2B6F" w:rsidRDefault="006064DE" w:rsidP="004F2B6F">
      <w:pPr>
        <w:spacing w:line="360" w:lineRule="auto"/>
        <w:jc w:val="center"/>
        <w:rPr>
          <w:rFonts w:ascii="Arial" w:hAnsi="Arial" w:cs="Arial"/>
          <w:b/>
          <w:bCs/>
          <w:sz w:val="28"/>
          <w:szCs w:val="28"/>
        </w:rPr>
      </w:pPr>
      <w:r w:rsidRPr="004F2B6F">
        <w:rPr>
          <w:rFonts w:ascii="Arial" w:hAnsi="Arial" w:cs="Arial"/>
          <w:b/>
          <w:bCs/>
          <w:sz w:val="28"/>
          <w:szCs w:val="28"/>
        </w:rPr>
        <w:t>Financial</w:t>
      </w:r>
      <w:r w:rsidR="0031107E" w:rsidRPr="004F2B6F">
        <w:rPr>
          <w:rFonts w:ascii="Arial" w:hAnsi="Arial" w:cs="Arial"/>
          <w:b/>
          <w:bCs/>
          <w:sz w:val="28"/>
          <w:szCs w:val="28"/>
        </w:rPr>
        <w:t xml:space="preserve"> Management</w:t>
      </w:r>
      <w:r w:rsidR="0031107E" w:rsidRPr="004F2B6F">
        <w:rPr>
          <w:rFonts w:ascii="Arial" w:hAnsi="Arial" w:cs="Arial"/>
          <w:b/>
          <w:bCs/>
          <w:sz w:val="28"/>
          <w:szCs w:val="28"/>
          <w:lang w:val="en-US"/>
        </w:rPr>
        <w:t xml:space="preserve"> </w:t>
      </w:r>
      <w:r w:rsidR="00AF3116" w:rsidRPr="004F2B6F">
        <w:rPr>
          <w:rFonts w:ascii="Arial" w:hAnsi="Arial" w:cs="Arial"/>
          <w:b/>
          <w:bCs/>
          <w:sz w:val="28"/>
          <w:szCs w:val="28"/>
        </w:rPr>
        <w:t>LCMB7002</w:t>
      </w:r>
    </w:p>
    <w:p w14:paraId="631F0C53" w14:textId="72059787" w:rsidR="0031107E" w:rsidRPr="004F2B6F" w:rsidRDefault="0031107E" w:rsidP="004F2B6F">
      <w:pPr>
        <w:spacing w:line="360" w:lineRule="auto"/>
        <w:jc w:val="center"/>
        <w:rPr>
          <w:rFonts w:ascii="Arial" w:hAnsi="Arial" w:cs="Arial"/>
          <w:b/>
          <w:bCs/>
          <w:sz w:val="28"/>
          <w:szCs w:val="28"/>
        </w:rPr>
      </w:pPr>
      <w:r w:rsidRPr="004F2B6F">
        <w:rPr>
          <w:rFonts w:ascii="Arial" w:hAnsi="Arial" w:cs="Arial"/>
          <w:b/>
          <w:bCs/>
          <w:sz w:val="28"/>
          <w:szCs w:val="28"/>
          <w:lang w:val="en-US"/>
        </w:rPr>
        <w:t xml:space="preserve">Olena Kokorieva </w:t>
      </w:r>
      <w:r w:rsidRPr="004F2B6F">
        <w:rPr>
          <w:rFonts w:ascii="Arial" w:hAnsi="Arial" w:cs="Arial"/>
          <w:b/>
          <w:bCs/>
          <w:sz w:val="28"/>
          <w:szCs w:val="28"/>
          <w:lang w:val="en-US"/>
        </w:rPr>
        <w:br/>
        <w:t>Student ID 2239903</w:t>
      </w:r>
      <w:r w:rsidRPr="004F2B6F">
        <w:rPr>
          <w:rFonts w:ascii="Arial" w:hAnsi="Arial" w:cs="Arial"/>
          <w:b/>
          <w:bCs/>
          <w:sz w:val="28"/>
          <w:szCs w:val="28"/>
          <w:lang w:val="en-US"/>
        </w:rPr>
        <w:br/>
        <w:t xml:space="preserve">Lecturer: </w:t>
      </w:r>
      <w:r w:rsidR="00AF3116" w:rsidRPr="004F2B6F">
        <w:rPr>
          <w:rFonts w:ascii="Arial" w:hAnsi="Arial" w:cs="Arial"/>
          <w:b/>
          <w:bCs/>
          <w:sz w:val="28"/>
          <w:szCs w:val="28"/>
        </w:rPr>
        <w:t>Dr Shengfeng Mei</w:t>
      </w:r>
    </w:p>
    <w:p w14:paraId="3928BE7E" w14:textId="77777777" w:rsidR="0031107E" w:rsidRPr="004F2B6F" w:rsidRDefault="0031107E" w:rsidP="004F2B6F">
      <w:pPr>
        <w:spacing w:line="360" w:lineRule="auto"/>
        <w:jc w:val="center"/>
        <w:rPr>
          <w:rFonts w:ascii="Arial" w:hAnsi="Arial" w:cs="Arial"/>
          <w:b/>
          <w:bCs/>
          <w:sz w:val="28"/>
          <w:szCs w:val="28"/>
        </w:rPr>
      </w:pPr>
      <w:r w:rsidRPr="004F2B6F">
        <w:rPr>
          <w:rFonts w:ascii="Arial" w:hAnsi="Arial" w:cs="Arial"/>
          <w:b/>
          <w:bCs/>
          <w:sz w:val="28"/>
          <w:szCs w:val="28"/>
        </w:rPr>
        <w:t>Report</w:t>
      </w:r>
    </w:p>
    <w:p w14:paraId="6B20C8A7" w14:textId="77777777" w:rsidR="0031107E" w:rsidRPr="004F2B6F" w:rsidRDefault="0031107E" w:rsidP="004F2B6F">
      <w:pPr>
        <w:spacing w:line="360" w:lineRule="auto"/>
        <w:rPr>
          <w:rFonts w:ascii="Arial" w:hAnsi="Arial" w:cs="Arial"/>
          <w:sz w:val="28"/>
          <w:szCs w:val="28"/>
          <w:lang w:val="en-US"/>
        </w:rPr>
      </w:pPr>
    </w:p>
    <w:p w14:paraId="68149969" w14:textId="1403D499" w:rsidR="0031107E" w:rsidRPr="004F2B6F" w:rsidRDefault="0031107E" w:rsidP="004F2B6F">
      <w:pPr>
        <w:spacing w:line="360" w:lineRule="auto"/>
        <w:jc w:val="center"/>
        <w:rPr>
          <w:rFonts w:ascii="Arial" w:hAnsi="Arial" w:cs="Arial"/>
          <w:b/>
          <w:bCs/>
          <w:sz w:val="28"/>
          <w:szCs w:val="28"/>
        </w:rPr>
      </w:pPr>
      <w:r w:rsidRPr="004F2B6F">
        <w:rPr>
          <w:rFonts w:ascii="Arial" w:hAnsi="Arial" w:cs="Arial"/>
          <w:b/>
          <w:bCs/>
          <w:sz w:val="28"/>
          <w:szCs w:val="28"/>
        </w:rPr>
        <w:t>Wor</w:t>
      </w:r>
      <w:r w:rsidR="001A5797" w:rsidRPr="004F2B6F">
        <w:rPr>
          <w:rFonts w:ascii="Arial" w:hAnsi="Arial" w:cs="Arial"/>
          <w:b/>
          <w:bCs/>
          <w:sz w:val="28"/>
          <w:szCs w:val="28"/>
        </w:rPr>
        <w:t>d</w:t>
      </w:r>
      <w:r w:rsidRPr="004F2B6F">
        <w:rPr>
          <w:rFonts w:ascii="Arial" w:hAnsi="Arial" w:cs="Arial"/>
          <w:b/>
          <w:bCs/>
          <w:sz w:val="28"/>
          <w:szCs w:val="28"/>
        </w:rPr>
        <w:t xml:space="preserve"> Count:</w:t>
      </w:r>
      <w:r w:rsidR="00D87857" w:rsidRPr="004F2B6F">
        <w:rPr>
          <w:rFonts w:ascii="Arial" w:hAnsi="Arial" w:cs="Arial"/>
          <w:b/>
          <w:bCs/>
          <w:sz w:val="28"/>
          <w:szCs w:val="28"/>
        </w:rPr>
        <w:t xml:space="preserve">  </w:t>
      </w:r>
      <w:r w:rsidR="00DA68AB" w:rsidRPr="004F2B6F">
        <w:rPr>
          <w:rFonts w:ascii="Arial" w:hAnsi="Arial" w:cs="Arial"/>
          <w:b/>
          <w:bCs/>
          <w:sz w:val="28"/>
          <w:szCs w:val="28"/>
        </w:rPr>
        <w:t xml:space="preserve">5147 </w:t>
      </w:r>
      <w:r w:rsidR="00D87857" w:rsidRPr="004F2B6F">
        <w:rPr>
          <w:rFonts w:ascii="Arial" w:hAnsi="Arial" w:cs="Arial"/>
          <w:b/>
          <w:bCs/>
          <w:sz w:val="28"/>
          <w:szCs w:val="28"/>
        </w:rPr>
        <w:t>words</w:t>
      </w:r>
    </w:p>
    <w:p w14:paraId="63BEA98C" w14:textId="77777777" w:rsidR="0031107E" w:rsidRPr="004F2B6F" w:rsidRDefault="0031107E" w:rsidP="004F2B6F">
      <w:pPr>
        <w:spacing w:line="360" w:lineRule="auto"/>
        <w:rPr>
          <w:rFonts w:ascii="Arial" w:hAnsi="Arial" w:cs="Arial"/>
        </w:rPr>
      </w:pPr>
    </w:p>
    <w:p w14:paraId="247B5BDE" w14:textId="77777777" w:rsidR="0031107E" w:rsidRPr="004F2B6F" w:rsidRDefault="0031107E" w:rsidP="004F2B6F">
      <w:pPr>
        <w:spacing w:line="360" w:lineRule="auto"/>
        <w:rPr>
          <w:rFonts w:ascii="Arial" w:hAnsi="Arial" w:cs="Arial"/>
        </w:rPr>
      </w:pPr>
    </w:p>
    <w:p w14:paraId="2B801EBA" w14:textId="77777777" w:rsidR="0031107E" w:rsidRPr="004F2B6F" w:rsidRDefault="0031107E" w:rsidP="004F2B6F">
      <w:pPr>
        <w:spacing w:line="360" w:lineRule="auto"/>
        <w:rPr>
          <w:rFonts w:ascii="Arial" w:hAnsi="Arial" w:cs="Arial"/>
        </w:rPr>
      </w:pPr>
    </w:p>
    <w:p w14:paraId="6D279F8F" w14:textId="77777777" w:rsidR="0031107E" w:rsidRPr="004F2B6F" w:rsidRDefault="0031107E" w:rsidP="004F2B6F">
      <w:pPr>
        <w:spacing w:line="360" w:lineRule="auto"/>
        <w:rPr>
          <w:rFonts w:ascii="Arial" w:hAnsi="Arial" w:cs="Arial"/>
        </w:rPr>
      </w:pPr>
    </w:p>
    <w:p w14:paraId="2421108F" w14:textId="77777777" w:rsidR="0031107E" w:rsidRPr="004F2B6F" w:rsidRDefault="0031107E" w:rsidP="004F2B6F">
      <w:pPr>
        <w:spacing w:line="360" w:lineRule="auto"/>
        <w:rPr>
          <w:rFonts w:ascii="Arial" w:hAnsi="Arial" w:cs="Arial"/>
        </w:rPr>
      </w:pPr>
    </w:p>
    <w:p w14:paraId="23850F19" w14:textId="77777777" w:rsidR="0031107E" w:rsidRPr="004F2B6F" w:rsidRDefault="0031107E" w:rsidP="004F2B6F">
      <w:pPr>
        <w:spacing w:line="360" w:lineRule="auto"/>
        <w:rPr>
          <w:rFonts w:ascii="Arial" w:hAnsi="Arial" w:cs="Arial"/>
        </w:rPr>
      </w:pPr>
    </w:p>
    <w:p w14:paraId="42A1010E" w14:textId="77777777" w:rsidR="0031107E" w:rsidRPr="004F2B6F" w:rsidRDefault="0031107E" w:rsidP="004F2B6F">
      <w:pPr>
        <w:spacing w:line="360" w:lineRule="auto"/>
        <w:rPr>
          <w:rFonts w:ascii="Arial" w:hAnsi="Arial" w:cs="Arial"/>
        </w:rPr>
      </w:pPr>
    </w:p>
    <w:p w14:paraId="6BC49B60" w14:textId="22524AE5" w:rsidR="0C1E8527" w:rsidRPr="004F2B6F" w:rsidRDefault="0C1E8527" w:rsidP="004F2B6F">
      <w:pPr>
        <w:spacing w:line="360" w:lineRule="auto"/>
        <w:rPr>
          <w:rFonts w:ascii="Arial" w:hAnsi="Arial" w:cs="Arial"/>
        </w:rPr>
      </w:pPr>
      <w:r w:rsidRPr="004F2B6F">
        <w:rPr>
          <w:rFonts w:ascii="Arial" w:hAnsi="Arial" w:cs="Arial"/>
        </w:rPr>
        <w:br w:type="page"/>
      </w:r>
    </w:p>
    <w:p w14:paraId="2A6BB747" w14:textId="0C8C4874" w:rsidR="004F73ED" w:rsidRPr="004F2B6F" w:rsidRDefault="004F73ED" w:rsidP="004F2B6F">
      <w:pPr>
        <w:pStyle w:val="1"/>
        <w:spacing w:line="360" w:lineRule="auto"/>
        <w:rPr>
          <w:rFonts w:ascii="Arial" w:hAnsi="Arial" w:cs="Arial"/>
        </w:rPr>
      </w:pPr>
      <w:bookmarkStart w:id="1" w:name="_Toc237341479"/>
      <w:r w:rsidRPr="004F2B6F">
        <w:rPr>
          <w:rFonts w:ascii="Arial" w:hAnsi="Arial" w:cs="Arial"/>
        </w:rPr>
        <w:lastRenderedPageBreak/>
        <w:t>Table of Contents</w:t>
      </w:r>
      <w:bookmarkEnd w:id="1"/>
    </w:p>
    <w:sdt>
      <w:sdtPr>
        <w:rPr>
          <w:rFonts w:ascii="Arial" w:hAnsi="Arial" w:cs="Arial"/>
        </w:rPr>
        <w:id w:val="2127031651"/>
        <w:docPartObj>
          <w:docPartGallery w:val="Table of Contents"/>
          <w:docPartUnique/>
        </w:docPartObj>
      </w:sdtPr>
      <w:sdtContent>
        <w:p w14:paraId="056A52B7" w14:textId="63E597FD" w:rsidR="004F73ED" w:rsidRPr="004F2B6F" w:rsidRDefault="0C1E8527" w:rsidP="004F2B6F">
          <w:pPr>
            <w:pStyle w:val="10"/>
            <w:tabs>
              <w:tab w:val="right" w:leader="dot" w:pos="9016"/>
            </w:tabs>
            <w:spacing w:line="360" w:lineRule="auto"/>
            <w:rPr>
              <w:rFonts w:ascii="Arial" w:hAnsi="Arial" w:cs="Arial"/>
              <w:noProof/>
              <w:kern w:val="2"/>
              <w:lang w:val="en-US" w:eastAsia="en-US"/>
              <w14:ligatures w14:val="standardContextual"/>
            </w:rPr>
          </w:pPr>
          <w:r w:rsidRPr="004F2B6F">
            <w:rPr>
              <w:rFonts w:ascii="Arial" w:hAnsi="Arial" w:cs="Arial"/>
            </w:rPr>
            <w:fldChar w:fldCharType="begin"/>
          </w:r>
          <w:r w:rsidRPr="004F2B6F">
            <w:rPr>
              <w:rFonts w:ascii="Arial" w:hAnsi="Arial" w:cs="Arial"/>
            </w:rPr>
            <w:instrText>TOC \o "1-9" \z \u \h</w:instrText>
          </w:r>
          <w:r w:rsidRPr="004F2B6F">
            <w:rPr>
              <w:rFonts w:ascii="Arial" w:hAnsi="Arial" w:cs="Arial"/>
            </w:rPr>
            <w:fldChar w:fldCharType="separate"/>
          </w:r>
          <w:hyperlink w:anchor="_Toc237341479" w:history="1">
            <w:r w:rsidR="004F73ED" w:rsidRPr="004F2B6F">
              <w:rPr>
                <w:rStyle w:val="a4"/>
                <w:rFonts w:ascii="Arial" w:hAnsi="Arial" w:cs="Arial"/>
                <w:noProof/>
              </w:rPr>
              <w:t>Table of Contents</w:t>
            </w:r>
            <w:r w:rsidR="004F73ED" w:rsidRPr="004F2B6F">
              <w:rPr>
                <w:rFonts w:ascii="Arial" w:hAnsi="Arial" w:cs="Arial"/>
                <w:noProof/>
                <w:webHidden/>
              </w:rPr>
              <w:tab/>
            </w:r>
            <w:r w:rsidR="004F73ED" w:rsidRPr="004F2B6F">
              <w:rPr>
                <w:rFonts w:ascii="Arial" w:hAnsi="Arial" w:cs="Arial"/>
                <w:noProof/>
                <w:webHidden/>
              </w:rPr>
              <w:fldChar w:fldCharType="begin"/>
            </w:r>
            <w:r w:rsidR="004F73ED" w:rsidRPr="004F2B6F">
              <w:rPr>
                <w:rFonts w:ascii="Arial" w:hAnsi="Arial" w:cs="Arial"/>
                <w:noProof/>
                <w:webHidden/>
              </w:rPr>
              <w:instrText xml:space="preserve"> PAGEREF _Toc237341479 \h </w:instrText>
            </w:r>
            <w:r w:rsidR="004F73ED" w:rsidRPr="004F2B6F">
              <w:rPr>
                <w:rFonts w:ascii="Arial" w:hAnsi="Arial" w:cs="Arial"/>
                <w:noProof/>
                <w:webHidden/>
              </w:rPr>
            </w:r>
            <w:r w:rsidR="004F73ED" w:rsidRPr="004F2B6F">
              <w:rPr>
                <w:rFonts w:ascii="Arial" w:hAnsi="Arial" w:cs="Arial"/>
                <w:noProof/>
                <w:webHidden/>
              </w:rPr>
              <w:fldChar w:fldCharType="separate"/>
            </w:r>
            <w:r w:rsidR="004F73ED" w:rsidRPr="004F2B6F">
              <w:rPr>
                <w:rFonts w:ascii="Arial" w:hAnsi="Arial" w:cs="Arial"/>
                <w:noProof/>
                <w:webHidden/>
              </w:rPr>
              <w:t>2</w:t>
            </w:r>
            <w:r w:rsidR="004F73ED" w:rsidRPr="004F2B6F">
              <w:rPr>
                <w:rFonts w:ascii="Arial" w:hAnsi="Arial" w:cs="Arial"/>
                <w:noProof/>
                <w:webHidden/>
              </w:rPr>
              <w:fldChar w:fldCharType="end"/>
            </w:r>
          </w:hyperlink>
        </w:p>
        <w:p w14:paraId="5AF3D6C6" w14:textId="2227D0F0"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480" w:history="1">
            <w:r w:rsidRPr="004F2B6F">
              <w:rPr>
                <w:rStyle w:val="a4"/>
                <w:rFonts w:ascii="Arial" w:hAnsi="Arial" w:cs="Arial"/>
                <w:noProof/>
                <w:lang w:val="en-US"/>
              </w:rPr>
              <w:t xml:space="preserve">1. </w:t>
            </w:r>
            <w:r w:rsidRPr="004F2B6F">
              <w:rPr>
                <w:rStyle w:val="a4"/>
                <w:rFonts w:ascii="Arial" w:hAnsi="Arial" w:cs="Arial"/>
                <w:noProof/>
              </w:rPr>
              <w:t>Financial</w:t>
            </w:r>
            <w:r w:rsidRPr="004F2B6F">
              <w:rPr>
                <w:rStyle w:val="a4"/>
                <w:rFonts w:ascii="Arial" w:hAnsi="Arial" w:cs="Arial"/>
                <w:noProof/>
                <w:lang w:val="en-US"/>
              </w:rPr>
              <w:t xml:space="preserve"> Health Check</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_Toc237341480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4</w:t>
            </w:r>
            <w:r w:rsidRPr="004F2B6F">
              <w:rPr>
                <w:rFonts w:ascii="Arial" w:hAnsi="Arial" w:cs="Arial"/>
                <w:noProof/>
                <w:webHidden/>
              </w:rPr>
              <w:fldChar w:fldCharType="end"/>
            </w:r>
          </w:hyperlink>
        </w:p>
        <w:p w14:paraId="57834EC8" w14:textId="1B1BDAD9"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81" w:history="1">
            <w:r w:rsidRPr="004F2B6F">
              <w:rPr>
                <w:rStyle w:val="a4"/>
                <w:rFonts w:ascii="Arial" w:hAnsi="Arial" w:cs="Arial"/>
                <w:noProof/>
                <w:lang w:val="en-US"/>
              </w:rPr>
              <w:t xml:space="preserve">1.1 </w:t>
            </w:r>
            <w:r w:rsidRPr="004F2B6F">
              <w:rPr>
                <w:rStyle w:val="a4"/>
                <w:rFonts w:ascii="Arial" w:hAnsi="Arial" w:cs="Arial"/>
                <w:noProof/>
              </w:rPr>
              <w:t>Introduction</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_Toc237341481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4</w:t>
            </w:r>
            <w:r w:rsidRPr="004F2B6F">
              <w:rPr>
                <w:rFonts w:ascii="Arial" w:hAnsi="Arial" w:cs="Arial"/>
                <w:noProof/>
                <w:webHidden/>
              </w:rPr>
              <w:fldChar w:fldCharType="end"/>
            </w:r>
          </w:hyperlink>
        </w:p>
        <w:p w14:paraId="63723B3A" w14:textId="2EC034B8"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82" w:history="1">
            <w:r w:rsidRPr="004F2B6F">
              <w:rPr>
                <w:rStyle w:val="a4"/>
                <w:rFonts w:ascii="Arial" w:hAnsi="Arial" w:cs="Arial"/>
                <w:noProof/>
                <w:lang w:val="en-US"/>
              </w:rPr>
              <w:t xml:space="preserve">1.2 Analysis of </w:t>
            </w:r>
            <w:r w:rsidRPr="004F2B6F">
              <w:rPr>
                <w:rStyle w:val="a4"/>
                <w:rFonts w:ascii="Arial" w:hAnsi="Arial" w:cs="Arial"/>
                <w:noProof/>
              </w:rPr>
              <w:t>Financial</w:t>
            </w:r>
            <w:r w:rsidRPr="004F2B6F">
              <w:rPr>
                <w:rStyle w:val="a4"/>
                <w:rFonts w:ascii="Arial" w:hAnsi="Arial" w:cs="Arial"/>
                <w:noProof/>
                <w:lang w:val="en-US"/>
              </w:rPr>
              <w:t xml:space="preserve"> Statements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_Toc237341482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4</w:t>
            </w:r>
            <w:r w:rsidRPr="004F2B6F">
              <w:rPr>
                <w:rFonts w:ascii="Arial" w:hAnsi="Arial" w:cs="Arial"/>
                <w:noProof/>
                <w:webHidden/>
              </w:rPr>
              <w:fldChar w:fldCharType="end"/>
            </w:r>
          </w:hyperlink>
        </w:p>
        <w:p w14:paraId="3057017A" w14:textId="5DC3F6EC"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83" w:history="1">
            <w:r w:rsidRPr="004F2B6F">
              <w:rPr>
                <w:rStyle w:val="a4"/>
                <w:rFonts w:ascii="Arial" w:hAnsi="Arial" w:cs="Arial"/>
                <w:noProof/>
                <w:lang w:val="en-US"/>
              </w:rPr>
              <w:t xml:space="preserve">1.3 </w:t>
            </w:r>
            <w:r w:rsidRPr="004F2B6F">
              <w:rPr>
                <w:rStyle w:val="a4"/>
                <w:rFonts w:ascii="Arial" w:hAnsi="Arial" w:cs="Arial"/>
                <w:noProof/>
              </w:rPr>
              <w:t>Financial</w:t>
            </w:r>
            <w:r w:rsidRPr="004F2B6F">
              <w:rPr>
                <w:rStyle w:val="a4"/>
                <w:rFonts w:ascii="Arial" w:hAnsi="Arial" w:cs="Arial"/>
                <w:noProof/>
                <w:lang w:val="en-US"/>
              </w:rPr>
              <w:t xml:space="preserve"> Ratio Analysis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_Toc237341483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6</w:t>
            </w:r>
            <w:r w:rsidRPr="004F2B6F">
              <w:rPr>
                <w:rFonts w:ascii="Arial" w:hAnsi="Arial" w:cs="Arial"/>
                <w:noProof/>
                <w:webHidden/>
              </w:rPr>
              <w:fldChar w:fldCharType="end"/>
            </w:r>
          </w:hyperlink>
        </w:p>
        <w:p w14:paraId="14E08442" w14:textId="79287B9F" w:rsidR="004F73ED" w:rsidRPr="004F2B6F" w:rsidRDefault="004F73ED" w:rsidP="004F2B6F">
          <w:pPr>
            <w:pStyle w:val="30"/>
            <w:tabs>
              <w:tab w:val="right" w:leader="dot" w:pos="9016"/>
            </w:tabs>
            <w:spacing w:line="360" w:lineRule="auto"/>
            <w:rPr>
              <w:rFonts w:ascii="Arial" w:hAnsi="Arial" w:cs="Arial"/>
              <w:noProof/>
              <w:kern w:val="2"/>
              <w:lang w:val="en-US" w:eastAsia="en-US"/>
              <w14:ligatures w14:val="standardContextual"/>
            </w:rPr>
          </w:pPr>
          <w:hyperlink w:anchor="_Toc237341484" w:history="1">
            <w:r w:rsidRPr="004F2B6F">
              <w:rPr>
                <w:rStyle w:val="a4"/>
                <w:rFonts w:ascii="Arial" w:hAnsi="Arial" w:cs="Arial"/>
                <w:noProof/>
                <w:lang w:val="en-US"/>
              </w:rPr>
              <w:t xml:space="preserve">1.3.1 </w:t>
            </w:r>
            <w:r w:rsidRPr="004F2B6F">
              <w:rPr>
                <w:rStyle w:val="a4"/>
                <w:rFonts w:ascii="Arial" w:hAnsi="Arial" w:cs="Arial"/>
                <w:noProof/>
              </w:rPr>
              <w:t>Profitability</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_Toc237341484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6</w:t>
            </w:r>
            <w:r w:rsidRPr="004F2B6F">
              <w:rPr>
                <w:rFonts w:ascii="Arial" w:hAnsi="Arial" w:cs="Arial"/>
                <w:noProof/>
                <w:webHidden/>
              </w:rPr>
              <w:fldChar w:fldCharType="end"/>
            </w:r>
          </w:hyperlink>
        </w:p>
        <w:p w14:paraId="043E90C7" w14:textId="39143D1D" w:rsidR="004F73ED" w:rsidRPr="004F2B6F" w:rsidRDefault="004F73ED" w:rsidP="004F2B6F">
          <w:pPr>
            <w:pStyle w:val="30"/>
            <w:tabs>
              <w:tab w:val="right" w:leader="dot" w:pos="9016"/>
            </w:tabs>
            <w:spacing w:line="360" w:lineRule="auto"/>
            <w:rPr>
              <w:rFonts w:ascii="Arial" w:hAnsi="Arial" w:cs="Arial"/>
              <w:noProof/>
              <w:kern w:val="2"/>
              <w:lang w:val="en-US" w:eastAsia="en-US"/>
              <w14:ligatures w14:val="standardContextual"/>
            </w:rPr>
          </w:pPr>
          <w:hyperlink w:anchor="_Toc237341485" w:history="1">
            <w:r w:rsidRPr="004F2B6F">
              <w:rPr>
                <w:rStyle w:val="a4"/>
                <w:rFonts w:ascii="Arial" w:hAnsi="Arial" w:cs="Arial"/>
                <w:noProof/>
                <w:lang w:val="en-US"/>
              </w:rPr>
              <w:t>1.3.2 Liquidity</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_Toc237341485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7</w:t>
            </w:r>
            <w:r w:rsidRPr="004F2B6F">
              <w:rPr>
                <w:rFonts w:ascii="Arial" w:hAnsi="Arial" w:cs="Arial"/>
                <w:noProof/>
                <w:webHidden/>
              </w:rPr>
              <w:fldChar w:fldCharType="end"/>
            </w:r>
          </w:hyperlink>
        </w:p>
        <w:p w14:paraId="6F44C9A1" w14:textId="4237A91C" w:rsidR="004F73ED" w:rsidRPr="004F2B6F" w:rsidRDefault="004F73ED" w:rsidP="004F2B6F">
          <w:pPr>
            <w:pStyle w:val="30"/>
            <w:tabs>
              <w:tab w:val="right" w:leader="dot" w:pos="9016"/>
            </w:tabs>
            <w:spacing w:line="360" w:lineRule="auto"/>
            <w:rPr>
              <w:rFonts w:ascii="Arial" w:hAnsi="Arial" w:cs="Arial"/>
              <w:noProof/>
              <w:kern w:val="2"/>
              <w:lang w:val="en-US" w:eastAsia="en-US"/>
              <w14:ligatures w14:val="standardContextual"/>
            </w:rPr>
          </w:pPr>
          <w:hyperlink w:anchor="_Toc237341486" w:history="1">
            <w:r w:rsidRPr="004F2B6F">
              <w:rPr>
                <w:rStyle w:val="a4"/>
                <w:rFonts w:ascii="Arial" w:hAnsi="Arial" w:cs="Arial"/>
                <w:noProof/>
                <w:lang w:val="en-US"/>
              </w:rPr>
              <w:t xml:space="preserve">1.3.3 </w:t>
            </w:r>
            <w:r w:rsidRPr="004F2B6F">
              <w:rPr>
                <w:rStyle w:val="a4"/>
                <w:rFonts w:ascii="Arial" w:hAnsi="Arial" w:cs="Arial"/>
                <w:noProof/>
              </w:rPr>
              <w:t>Efficiency</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_Toc237341486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7</w:t>
            </w:r>
            <w:r w:rsidRPr="004F2B6F">
              <w:rPr>
                <w:rFonts w:ascii="Arial" w:hAnsi="Arial" w:cs="Arial"/>
                <w:noProof/>
                <w:webHidden/>
              </w:rPr>
              <w:fldChar w:fldCharType="end"/>
            </w:r>
          </w:hyperlink>
        </w:p>
        <w:p w14:paraId="3CF80D31" w14:textId="223D8BC2" w:rsidR="004F73ED" w:rsidRPr="004F2B6F" w:rsidRDefault="004F73ED" w:rsidP="004F2B6F">
          <w:pPr>
            <w:pStyle w:val="30"/>
            <w:tabs>
              <w:tab w:val="right" w:leader="dot" w:pos="9016"/>
            </w:tabs>
            <w:spacing w:line="360" w:lineRule="auto"/>
            <w:rPr>
              <w:rFonts w:ascii="Arial" w:hAnsi="Arial" w:cs="Arial"/>
              <w:noProof/>
              <w:kern w:val="2"/>
              <w:lang w:val="en-US" w:eastAsia="en-US"/>
              <w14:ligatures w14:val="standardContextual"/>
            </w:rPr>
          </w:pPr>
          <w:hyperlink w:anchor="_Toc237341487" w:history="1">
            <w:r w:rsidRPr="004F2B6F">
              <w:rPr>
                <w:rStyle w:val="a4"/>
                <w:rFonts w:ascii="Arial" w:hAnsi="Arial" w:cs="Arial"/>
                <w:noProof/>
                <w:lang w:val="en-US"/>
              </w:rPr>
              <w:t xml:space="preserve">1.3.4 </w:t>
            </w:r>
            <w:r w:rsidRPr="004F2B6F">
              <w:rPr>
                <w:rStyle w:val="a4"/>
                <w:rFonts w:ascii="Arial" w:hAnsi="Arial" w:cs="Arial"/>
                <w:noProof/>
              </w:rPr>
              <w:t>Gearing</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_Toc237341487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7</w:t>
            </w:r>
            <w:r w:rsidRPr="004F2B6F">
              <w:rPr>
                <w:rFonts w:ascii="Arial" w:hAnsi="Arial" w:cs="Arial"/>
                <w:noProof/>
                <w:webHidden/>
              </w:rPr>
              <w:fldChar w:fldCharType="end"/>
            </w:r>
          </w:hyperlink>
        </w:p>
        <w:p w14:paraId="131ED344" w14:textId="36E5AFC6" w:rsidR="004F73ED" w:rsidRPr="004F2B6F" w:rsidRDefault="004F73ED" w:rsidP="004F2B6F">
          <w:pPr>
            <w:pStyle w:val="30"/>
            <w:tabs>
              <w:tab w:val="right" w:leader="dot" w:pos="9016"/>
            </w:tabs>
            <w:spacing w:line="360" w:lineRule="auto"/>
            <w:rPr>
              <w:rFonts w:ascii="Arial" w:hAnsi="Arial" w:cs="Arial"/>
              <w:noProof/>
              <w:kern w:val="2"/>
              <w:lang w:val="en-US" w:eastAsia="en-US"/>
              <w14:ligatures w14:val="standardContextual"/>
            </w:rPr>
          </w:pPr>
          <w:hyperlink w:anchor="_Toc237341488" w:history="1">
            <w:r w:rsidRPr="004F2B6F">
              <w:rPr>
                <w:rStyle w:val="a4"/>
                <w:rFonts w:ascii="Arial" w:hAnsi="Arial" w:cs="Arial"/>
                <w:noProof/>
                <w:lang w:val="en-US"/>
              </w:rPr>
              <w:t>1.3.5 Investment and Cash Flow</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_Toc237341488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8</w:t>
            </w:r>
            <w:r w:rsidRPr="004F2B6F">
              <w:rPr>
                <w:rFonts w:ascii="Arial" w:hAnsi="Arial" w:cs="Arial"/>
                <w:noProof/>
                <w:webHidden/>
              </w:rPr>
              <w:fldChar w:fldCharType="end"/>
            </w:r>
          </w:hyperlink>
        </w:p>
        <w:p w14:paraId="209B8F9A" w14:textId="06C190CB"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89" w:history="1">
            <w:r w:rsidRPr="004F2B6F">
              <w:rPr>
                <w:rStyle w:val="a4"/>
                <w:rFonts w:ascii="Arial" w:hAnsi="Arial" w:cs="Arial"/>
                <w:noProof/>
              </w:rPr>
              <w:t>1.4 Trends, Strengths and Potential Threats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_Toc237341489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8</w:t>
            </w:r>
            <w:r w:rsidRPr="004F2B6F">
              <w:rPr>
                <w:rFonts w:ascii="Arial" w:hAnsi="Arial" w:cs="Arial"/>
                <w:noProof/>
                <w:webHidden/>
              </w:rPr>
              <w:fldChar w:fldCharType="end"/>
            </w:r>
          </w:hyperlink>
        </w:p>
        <w:p w14:paraId="0AE0CDC2" w14:textId="073BDD05"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0" w:history="1">
            <w:r w:rsidRPr="004F2B6F">
              <w:rPr>
                <w:rStyle w:val="a4"/>
                <w:rFonts w:ascii="Arial" w:hAnsi="Arial" w:cs="Arial"/>
                <w:noProof/>
                <w:lang w:val="en-US"/>
              </w:rPr>
              <w:t xml:space="preserve">1.5 Industry </w:t>
            </w:r>
            <w:r w:rsidRPr="004F2B6F">
              <w:rPr>
                <w:rStyle w:val="a4"/>
                <w:rFonts w:ascii="Arial" w:hAnsi="Arial" w:cs="Arial"/>
                <w:noProof/>
              </w:rPr>
              <w:t>Benchmark</w:t>
            </w:r>
            <w:r w:rsidRPr="004F2B6F">
              <w:rPr>
                <w:rStyle w:val="a4"/>
                <w:rFonts w:ascii="Arial" w:hAnsi="Arial" w:cs="Arial"/>
                <w:noProof/>
                <w:lang w:val="en-US"/>
              </w:rPr>
              <w:t xml:space="preserve"> Comparison</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_Toc237341490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8</w:t>
            </w:r>
            <w:r w:rsidRPr="004F2B6F">
              <w:rPr>
                <w:rFonts w:ascii="Arial" w:hAnsi="Arial" w:cs="Arial"/>
                <w:noProof/>
                <w:webHidden/>
              </w:rPr>
              <w:fldChar w:fldCharType="end"/>
            </w:r>
          </w:hyperlink>
        </w:p>
        <w:p w14:paraId="6D42318A" w14:textId="2FAF6C82"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1" w:history="1">
            <w:r w:rsidRPr="004F2B6F">
              <w:rPr>
                <w:rStyle w:val="a4"/>
                <w:rFonts w:ascii="Arial" w:hAnsi="Arial" w:cs="Arial"/>
                <w:noProof/>
                <w:lang w:val="en-US"/>
              </w:rPr>
              <w:t xml:space="preserve">1.6 </w:t>
            </w:r>
            <w:r w:rsidRPr="004F2B6F">
              <w:rPr>
                <w:rStyle w:val="a4"/>
                <w:rFonts w:ascii="Arial" w:hAnsi="Arial" w:cs="Arial"/>
                <w:noProof/>
              </w:rPr>
              <w:t>Summary</w:t>
            </w:r>
            <w:r w:rsidRPr="004F2B6F">
              <w:rPr>
                <w:rStyle w:val="a4"/>
                <w:rFonts w:ascii="Arial" w:hAnsi="Arial" w:cs="Arial"/>
                <w:noProof/>
                <w:lang w:val="en-US"/>
              </w:rPr>
              <w:t xml:space="preserve"> of </w:t>
            </w:r>
            <w:r w:rsidRPr="004F2B6F">
              <w:rPr>
                <w:rStyle w:val="a4"/>
                <w:rFonts w:ascii="Arial" w:hAnsi="Arial" w:cs="Arial"/>
                <w:noProof/>
              </w:rPr>
              <w:t>Financial</w:t>
            </w:r>
            <w:r w:rsidRPr="004F2B6F">
              <w:rPr>
                <w:rStyle w:val="a4"/>
                <w:rFonts w:ascii="Arial" w:hAnsi="Arial" w:cs="Arial"/>
                <w:noProof/>
                <w:lang w:val="en-US"/>
              </w:rPr>
              <w:t xml:space="preserve"> Health</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_Toc237341491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10</w:t>
            </w:r>
            <w:r w:rsidRPr="004F2B6F">
              <w:rPr>
                <w:rFonts w:ascii="Arial" w:hAnsi="Arial" w:cs="Arial"/>
                <w:noProof/>
                <w:webHidden/>
              </w:rPr>
              <w:fldChar w:fldCharType="end"/>
            </w:r>
          </w:hyperlink>
        </w:p>
        <w:p w14:paraId="1F735F77" w14:textId="4793E57D"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492" w:history="1">
            <w:r w:rsidRPr="004F2B6F">
              <w:rPr>
                <w:rStyle w:val="a4"/>
                <w:rFonts w:ascii="Arial" w:hAnsi="Arial" w:cs="Arial"/>
                <w:noProof/>
              </w:rPr>
              <w:t>2. Working Capital Management Analysis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_Toc237341492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10</w:t>
            </w:r>
            <w:r w:rsidRPr="004F2B6F">
              <w:rPr>
                <w:rFonts w:ascii="Arial" w:hAnsi="Arial" w:cs="Arial"/>
                <w:noProof/>
                <w:webHidden/>
              </w:rPr>
              <w:fldChar w:fldCharType="end"/>
            </w:r>
          </w:hyperlink>
        </w:p>
        <w:p w14:paraId="2822141A" w14:textId="6489CF29"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3" w:history="1">
            <w:r w:rsidRPr="004F2B6F">
              <w:rPr>
                <w:rStyle w:val="a4"/>
                <w:rFonts w:ascii="Arial" w:hAnsi="Arial" w:cs="Arial"/>
                <w:noProof/>
              </w:rPr>
              <w:t>2.1 Assessment of the Cash Operating Cycle</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_Toc237341493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10</w:t>
            </w:r>
            <w:r w:rsidRPr="004F2B6F">
              <w:rPr>
                <w:rFonts w:ascii="Arial" w:hAnsi="Arial" w:cs="Arial"/>
                <w:noProof/>
                <w:webHidden/>
              </w:rPr>
              <w:fldChar w:fldCharType="end"/>
            </w:r>
          </w:hyperlink>
        </w:p>
        <w:p w14:paraId="3E69E1F1" w14:textId="64E8E704"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4" w:history="1">
            <w:r w:rsidRPr="004F2B6F">
              <w:rPr>
                <w:rStyle w:val="a4"/>
                <w:rFonts w:ascii="Arial" w:eastAsia="Times New Roman" w:hAnsi="Arial" w:cs="Arial"/>
                <w:noProof/>
                <w:lang w:val="en-US"/>
              </w:rPr>
              <w:t xml:space="preserve">2.2 Strategies to </w:t>
            </w:r>
            <w:r w:rsidRPr="004F2B6F">
              <w:rPr>
                <w:rStyle w:val="a4"/>
                <w:rFonts w:ascii="Arial" w:hAnsi="Arial" w:cs="Arial"/>
                <w:noProof/>
              </w:rPr>
              <w:t>Improve</w:t>
            </w:r>
            <w:r w:rsidRPr="004F2B6F">
              <w:rPr>
                <w:rStyle w:val="a4"/>
                <w:rFonts w:ascii="Arial" w:eastAsia="Times New Roman" w:hAnsi="Arial" w:cs="Arial"/>
                <w:noProof/>
                <w:lang w:val="en-US"/>
              </w:rPr>
              <w:t xml:space="preserve"> </w:t>
            </w:r>
            <w:r w:rsidRPr="004F2B6F">
              <w:rPr>
                <w:rStyle w:val="a4"/>
                <w:rFonts w:ascii="Arial" w:hAnsi="Arial" w:cs="Arial"/>
                <w:noProof/>
              </w:rPr>
              <w:t>Liquidity</w:t>
            </w:r>
            <w:r w:rsidRPr="004F2B6F">
              <w:rPr>
                <w:rStyle w:val="a4"/>
                <w:rFonts w:ascii="Arial" w:eastAsia="Times New Roman" w:hAnsi="Arial" w:cs="Arial"/>
                <w:noProof/>
                <w:lang w:val="en-US"/>
              </w:rPr>
              <w:t xml:space="preserve"> through Working Capital Reforms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_Toc237341494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10</w:t>
            </w:r>
            <w:r w:rsidRPr="004F2B6F">
              <w:rPr>
                <w:rFonts w:ascii="Arial" w:hAnsi="Arial" w:cs="Arial"/>
                <w:noProof/>
                <w:webHidden/>
              </w:rPr>
              <w:fldChar w:fldCharType="end"/>
            </w:r>
          </w:hyperlink>
        </w:p>
        <w:p w14:paraId="7F0DB2BD" w14:textId="752D2CA3"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5" w:history="1">
            <w:r w:rsidRPr="004F2B6F">
              <w:rPr>
                <w:rStyle w:val="a4"/>
                <w:rFonts w:ascii="Arial" w:eastAsia="Times New Roman" w:hAnsi="Arial" w:cs="Arial"/>
                <w:noProof/>
                <w:lang w:val="en-US"/>
              </w:rPr>
              <w:t xml:space="preserve">2.3 </w:t>
            </w:r>
            <w:r w:rsidRPr="004F2B6F">
              <w:rPr>
                <w:rStyle w:val="a4"/>
                <w:rFonts w:ascii="Arial" w:hAnsi="Arial" w:cs="Arial"/>
                <w:noProof/>
              </w:rPr>
              <w:t>Comparison of Short-Term and Long-Term Financing Options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_Toc237341495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11</w:t>
            </w:r>
            <w:r w:rsidRPr="004F2B6F">
              <w:rPr>
                <w:rFonts w:ascii="Arial" w:hAnsi="Arial" w:cs="Arial"/>
                <w:noProof/>
                <w:webHidden/>
              </w:rPr>
              <w:fldChar w:fldCharType="end"/>
            </w:r>
          </w:hyperlink>
        </w:p>
        <w:p w14:paraId="4B8EF4D8" w14:textId="347DB81E"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6" w:history="1">
            <w:r w:rsidRPr="004F2B6F">
              <w:rPr>
                <w:rStyle w:val="a4"/>
                <w:rFonts w:ascii="Arial" w:hAnsi="Arial" w:cs="Arial"/>
                <w:noProof/>
              </w:rPr>
              <w:t>2.4 Summary of Working Capital Management</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_Toc237341496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12</w:t>
            </w:r>
            <w:r w:rsidRPr="004F2B6F">
              <w:rPr>
                <w:rFonts w:ascii="Arial" w:hAnsi="Arial" w:cs="Arial"/>
                <w:noProof/>
                <w:webHidden/>
              </w:rPr>
              <w:fldChar w:fldCharType="end"/>
            </w:r>
          </w:hyperlink>
        </w:p>
        <w:p w14:paraId="4653E9CB" w14:textId="52BA7857"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497" w:history="1">
            <w:r w:rsidRPr="004F2B6F">
              <w:rPr>
                <w:rStyle w:val="a4"/>
                <w:rFonts w:ascii="Arial" w:eastAsia="Times New Roman" w:hAnsi="Arial" w:cs="Arial"/>
                <w:noProof/>
                <w:lang w:val="en-US"/>
              </w:rPr>
              <w:t xml:space="preserve">3 </w:t>
            </w:r>
            <w:r w:rsidRPr="004F2B6F">
              <w:rPr>
                <w:rStyle w:val="a4"/>
                <w:rFonts w:ascii="Arial" w:hAnsi="Arial" w:cs="Arial"/>
                <w:noProof/>
              </w:rPr>
              <w:t>Strategic</w:t>
            </w:r>
            <w:r w:rsidRPr="004F2B6F">
              <w:rPr>
                <w:rStyle w:val="a4"/>
                <w:rFonts w:ascii="Arial" w:eastAsia="Times New Roman" w:hAnsi="Arial" w:cs="Arial"/>
                <w:noProof/>
                <w:lang w:val="en-US"/>
              </w:rPr>
              <w:t xml:space="preserve"> Financial Restructuring Plan</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_Toc237341497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12</w:t>
            </w:r>
            <w:r w:rsidRPr="004F2B6F">
              <w:rPr>
                <w:rFonts w:ascii="Arial" w:hAnsi="Arial" w:cs="Arial"/>
                <w:noProof/>
                <w:webHidden/>
              </w:rPr>
              <w:fldChar w:fldCharType="end"/>
            </w:r>
          </w:hyperlink>
        </w:p>
        <w:p w14:paraId="1C3CFD18" w14:textId="740C2101"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8" w:history="1">
            <w:r w:rsidRPr="004F2B6F">
              <w:rPr>
                <w:rStyle w:val="a4"/>
                <w:rFonts w:ascii="Arial" w:hAnsi="Arial" w:cs="Arial"/>
                <w:noProof/>
              </w:rPr>
              <w:t>3.1 Recommended Financial Restructuring Options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_Toc237341498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12</w:t>
            </w:r>
            <w:r w:rsidRPr="004F2B6F">
              <w:rPr>
                <w:rFonts w:ascii="Arial" w:hAnsi="Arial" w:cs="Arial"/>
                <w:noProof/>
                <w:webHidden/>
              </w:rPr>
              <w:fldChar w:fldCharType="end"/>
            </w:r>
          </w:hyperlink>
        </w:p>
        <w:p w14:paraId="6AC64E38" w14:textId="1070C5E1"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499" w:history="1">
            <w:r w:rsidRPr="004F2B6F">
              <w:rPr>
                <w:rStyle w:val="a4"/>
                <w:rFonts w:ascii="Arial" w:eastAsia="Times New Roman" w:hAnsi="Arial" w:cs="Arial"/>
                <w:noProof/>
                <w:lang w:val="en-US"/>
              </w:rPr>
              <w:t xml:space="preserve">3.2 </w:t>
            </w:r>
            <w:r w:rsidRPr="004F2B6F">
              <w:rPr>
                <w:rStyle w:val="a4"/>
                <w:rFonts w:ascii="Arial" w:hAnsi="Arial" w:cs="Arial"/>
                <w:noProof/>
                <w:lang w:val="en-US"/>
              </w:rPr>
              <w:t xml:space="preserve">Impact on </w:t>
            </w:r>
            <w:r w:rsidRPr="004F2B6F">
              <w:rPr>
                <w:rStyle w:val="a4"/>
                <w:rFonts w:ascii="Arial" w:hAnsi="Arial" w:cs="Arial"/>
                <w:noProof/>
              </w:rPr>
              <w:t>Shareholder</w:t>
            </w:r>
            <w:r w:rsidRPr="004F2B6F">
              <w:rPr>
                <w:rStyle w:val="a4"/>
                <w:rFonts w:ascii="Arial" w:hAnsi="Arial" w:cs="Arial"/>
                <w:noProof/>
                <w:lang w:val="en-US"/>
              </w:rPr>
              <w:t xml:space="preserve"> </w:t>
            </w:r>
            <w:r w:rsidRPr="004F2B6F">
              <w:rPr>
                <w:rStyle w:val="a4"/>
                <w:rFonts w:ascii="Arial" w:hAnsi="Arial" w:cs="Arial"/>
                <w:noProof/>
              </w:rPr>
              <w:t>Value</w:t>
            </w:r>
            <w:r w:rsidRPr="004F2B6F">
              <w:rPr>
                <w:rStyle w:val="a4"/>
                <w:rFonts w:ascii="Arial" w:hAnsi="Arial" w:cs="Arial"/>
                <w:noProof/>
                <w:lang w:val="en-US"/>
              </w:rPr>
              <w:t>, Debt Structure and Operational Flexibility</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_Toc237341499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13</w:t>
            </w:r>
            <w:r w:rsidRPr="004F2B6F">
              <w:rPr>
                <w:rFonts w:ascii="Arial" w:hAnsi="Arial" w:cs="Arial"/>
                <w:noProof/>
                <w:webHidden/>
              </w:rPr>
              <w:fldChar w:fldCharType="end"/>
            </w:r>
          </w:hyperlink>
        </w:p>
        <w:p w14:paraId="54B3A5A4" w14:textId="07A98F4C"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0" w:history="1">
            <w:r w:rsidRPr="004F2B6F">
              <w:rPr>
                <w:rStyle w:val="a4"/>
                <w:rFonts w:ascii="Arial" w:eastAsia="Times New Roman" w:hAnsi="Arial" w:cs="Arial"/>
                <w:noProof/>
                <w:lang w:val="en-US"/>
              </w:rPr>
              <w:t>3.3</w:t>
            </w:r>
            <w:r w:rsidRPr="004F2B6F">
              <w:rPr>
                <w:rStyle w:val="a4"/>
                <w:rFonts w:ascii="Arial" w:hAnsi="Arial" w:cs="Arial"/>
                <w:noProof/>
                <w:lang w:val="en-US"/>
              </w:rPr>
              <w:t xml:space="preserve"> International </w:t>
            </w:r>
            <w:r w:rsidRPr="004F2B6F">
              <w:rPr>
                <w:rStyle w:val="a4"/>
                <w:rFonts w:ascii="Arial" w:hAnsi="Arial" w:cs="Arial"/>
                <w:noProof/>
              </w:rPr>
              <w:t>and</w:t>
            </w:r>
            <w:r w:rsidRPr="004F2B6F">
              <w:rPr>
                <w:rStyle w:val="a4"/>
                <w:rFonts w:ascii="Arial" w:hAnsi="Arial" w:cs="Arial"/>
                <w:noProof/>
                <w:lang w:val="en-US"/>
              </w:rPr>
              <w:t xml:space="preserve"> Ethical Considerations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_Toc237341500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14</w:t>
            </w:r>
            <w:r w:rsidRPr="004F2B6F">
              <w:rPr>
                <w:rFonts w:ascii="Arial" w:hAnsi="Arial" w:cs="Arial"/>
                <w:noProof/>
                <w:webHidden/>
              </w:rPr>
              <w:fldChar w:fldCharType="end"/>
            </w:r>
          </w:hyperlink>
        </w:p>
        <w:p w14:paraId="0AE6629E" w14:textId="6AC09639"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1" w:history="1">
            <w:r w:rsidRPr="004F2B6F">
              <w:rPr>
                <w:rStyle w:val="a4"/>
                <w:rFonts w:ascii="Arial" w:eastAsia="Times New Roman" w:hAnsi="Arial" w:cs="Arial"/>
                <w:noProof/>
                <w:lang w:val="en-US"/>
              </w:rPr>
              <w:t>3.4</w:t>
            </w:r>
            <w:r w:rsidRPr="004F2B6F">
              <w:rPr>
                <w:rStyle w:val="a4"/>
                <w:rFonts w:ascii="Arial" w:hAnsi="Arial" w:cs="Arial"/>
                <w:noProof/>
                <w:lang w:val="en-US"/>
              </w:rPr>
              <w:t xml:space="preserve"> </w:t>
            </w:r>
            <w:r w:rsidRPr="004F2B6F">
              <w:rPr>
                <w:rStyle w:val="a4"/>
                <w:rFonts w:ascii="Arial" w:hAnsi="Arial" w:cs="Arial"/>
                <w:noProof/>
              </w:rPr>
              <w:t>Summary of Strategic Financial Restructuring</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_Toc237341501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15</w:t>
            </w:r>
            <w:r w:rsidRPr="004F2B6F">
              <w:rPr>
                <w:rFonts w:ascii="Arial" w:hAnsi="Arial" w:cs="Arial"/>
                <w:noProof/>
                <w:webHidden/>
              </w:rPr>
              <w:fldChar w:fldCharType="end"/>
            </w:r>
          </w:hyperlink>
        </w:p>
        <w:p w14:paraId="4361F94D" w14:textId="098A7CD6"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502" w:history="1">
            <w:r w:rsidRPr="004F2B6F">
              <w:rPr>
                <w:rStyle w:val="a4"/>
                <w:rFonts w:ascii="Arial" w:eastAsia="Times New Roman" w:hAnsi="Arial" w:cs="Arial"/>
                <w:noProof/>
                <w:lang w:val="en-US"/>
              </w:rPr>
              <w:t xml:space="preserve">4 </w:t>
            </w:r>
            <w:r w:rsidRPr="004F2B6F">
              <w:rPr>
                <w:rStyle w:val="a4"/>
                <w:rFonts w:ascii="Arial" w:hAnsi="Arial" w:cs="Arial"/>
                <w:noProof/>
              </w:rPr>
              <w:t>Investment</w:t>
            </w:r>
            <w:r w:rsidRPr="004F2B6F">
              <w:rPr>
                <w:rStyle w:val="a4"/>
                <w:rFonts w:ascii="Arial" w:eastAsia="Times New Roman" w:hAnsi="Arial" w:cs="Arial"/>
                <w:noProof/>
              </w:rPr>
              <w:t xml:space="preserve"> Appraisal and Capital Budgeting</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_Toc237341502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15</w:t>
            </w:r>
            <w:r w:rsidRPr="004F2B6F">
              <w:rPr>
                <w:rFonts w:ascii="Arial" w:hAnsi="Arial" w:cs="Arial"/>
                <w:noProof/>
                <w:webHidden/>
              </w:rPr>
              <w:fldChar w:fldCharType="end"/>
            </w:r>
          </w:hyperlink>
        </w:p>
        <w:p w14:paraId="20A5D7C4" w14:textId="5E7C6769"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3" w:history="1">
            <w:r w:rsidRPr="004F2B6F">
              <w:rPr>
                <w:rStyle w:val="a4"/>
                <w:rFonts w:ascii="Arial" w:hAnsi="Arial" w:cs="Arial"/>
                <w:noProof/>
                <w:lang w:val="en-US"/>
              </w:rPr>
              <w:t xml:space="preserve">4.1 </w:t>
            </w:r>
            <w:r w:rsidRPr="004F2B6F">
              <w:rPr>
                <w:rStyle w:val="a4"/>
                <w:rFonts w:ascii="Arial" w:hAnsi="Arial" w:cs="Arial"/>
                <w:noProof/>
              </w:rPr>
              <w:t>Introduction</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_Toc237341503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15</w:t>
            </w:r>
            <w:r w:rsidRPr="004F2B6F">
              <w:rPr>
                <w:rFonts w:ascii="Arial" w:hAnsi="Arial" w:cs="Arial"/>
                <w:noProof/>
                <w:webHidden/>
              </w:rPr>
              <w:fldChar w:fldCharType="end"/>
            </w:r>
          </w:hyperlink>
        </w:p>
        <w:p w14:paraId="1553370C" w14:textId="17196ACD"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4" w:history="1">
            <w:r w:rsidRPr="004F2B6F">
              <w:rPr>
                <w:rStyle w:val="a4"/>
                <w:rFonts w:ascii="Arial" w:hAnsi="Arial" w:cs="Arial"/>
                <w:noProof/>
                <w:lang w:val="en-US"/>
              </w:rPr>
              <w:t xml:space="preserve">4.2 Investment </w:t>
            </w:r>
            <w:r w:rsidRPr="004F2B6F">
              <w:rPr>
                <w:rStyle w:val="a4"/>
                <w:rFonts w:ascii="Arial" w:hAnsi="Arial" w:cs="Arial"/>
                <w:noProof/>
              </w:rPr>
              <w:t>Appraisal</w:t>
            </w:r>
            <w:r w:rsidRPr="004F2B6F">
              <w:rPr>
                <w:rStyle w:val="a4"/>
                <w:rFonts w:ascii="Arial" w:hAnsi="Arial" w:cs="Arial"/>
                <w:noProof/>
                <w:lang w:val="en-US"/>
              </w:rPr>
              <w:t xml:space="preserve"> Results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_Toc237341504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15</w:t>
            </w:r>
            <w:r w:rsidRPr="004F2B6F">
              <w:rPr>
                <w:rFonts w:ascii="Arial" w:hAnsi="Arial" w:cs="Arial"/>
                <w:noProof/>
                <w:webHidden/>
              </w:rPr>
              <w:fldChar w:fldCharType="end"/>
            </w:r>
          </w:hyperlink>
        </w:p>
        <w:p w14:paraId="34738DB8" w14:textId="6C64E307"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5" w:history="1">
            <w:r w:rsidRPr="004F2B6F">
              <w:rPr>
                <w:rStyle w:val="a4"/>
                <w:rFonts w:ascii="Arial" w:hAnsi="Arial" w:cs="Arial"/>
                <w:noProof/>
                <w:lang w:val="en-US"/>
              </w:rPr>
              <w:t xml:space="preserve">4.3 </w:t>
            </w:r>
            <w:r w:rsidRPr="004F2B6F">
              <w:rPr>
                <w:rStyle w:val="a4"/>
                <w:rFonts w:ascii="Arial" w:hAnsi="Arial" w:cs="Arial"/>
                <w:noProof/>
              </w:rPr>
              <w:t>Evaluation</w:t>
            </w:r>
            <w:r w:rsidRPr="004F2B6F">
              <w:rPr>
                <w:rStyle w:val="a4"/>
                <w:rFonts w:ascii="Arial" w:hAnsi="Arial" w:cs="Arial"/>
                <w:noProof/>
                <w:lang w:val="en-US"/>
              </w:rPr>
              <w:t xml:space="preserve"> of the Three Projects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_Toc237341505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16</w:t>
            </w:r>
            <w:r w:rsidRPr="004F2B6F">
              <w:rPr>
                <w:rFonts w:ascii="Arial" w:hAnsi="Arial" w:cs="Arial"/>
                <w:noProof/>
                <w:webHidden/>
              </w:rPr>
              <w:fldChar w:fldCharType="end"/>
            </w:r>
          </w:hyperlink>
        </w:p>
        <w:p w14:paraId="501094D3" w14:textId="761BA7B0"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6" w:history="1">
            <w:r w:rsidRPr="004F2B6F">
              <w:rPr>
                <w:rStyle w:val="a4"/>
                <w:rFonts w:ascii="Arial" w:hAnsi="Arial" w:cs="Arial"/>
                <w:noProof/>
                <w:lang w:val="en-US"/>
              </w:rPr>
              <w:t xml:space="preserve">4.4 </w:t>
            </w:r>
            <w:r w:rsidRPr="004F2B6F">
              <w:rPr>
                <w:rStyle w:val="a4"/>
                <w:rFonts w:ascii="Arial" w:hAnsi="Arial" w:cs="Arial"/>
                <w:noProof/>
              </w:rPr>
              <w:t>Recommended</w:t>
            </w:r>
            <w:r w:rsidRPr="004F2B6F">
              <w:rPr>
                <w:rStyle w:val="a4"/>
                <w:rFonts w:ascii="Arial" w:hAnsi="Arial" w:cs="Arial"/>
                <w:noProof/>
                <w:lang w:val="en-US"/>
              </w:rPr>
              <w:t xml:space="preserve"> Project</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_Toc237341506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17</w:t>
            </w:r>
            <w:r w:rsidRPr="004F2B6F">
              <w:rPr>
                <w:rFonts w:ascii="Arial" w:hAnsi="Arial" w:cs="Arial"/>
                <w:noProof/>
                <w:webHidden/>
              </w:rPr>
              <w:fldChar w:fldCharType="end"/>
            </w:r>
          </w:hyperlink>
        </w:p>
        <w:p w14:paraId="272A3959" w14:textId="0C14DEB2"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7" w:history="1">
            <w:r w:rsidRPr="004F2B6F">
              <w:rPr>
                <w:rStyle w:val="a4"/>
                <w:rFonts w:ascii="Arial" w:hAnsi="Arial" w:cs="Arial"/>
                <w:noProof/>
                <w:lang w:val="en-US"/>
              </w:rPr>
              <w:t xml:space="preserve">4.5 </w:t>
            </w:r>
            <w:r w:rsidRPr="004F2B6F">
              <w:rPr>
                <w:rStyle w:val="a4"/>
                <w:rFonts w:ascii="Arial" w:hAnsi="Arial" w:cs="Arial"/>
                <w:noProof/>
              </w:rPr>
              <w:t>Capital</w:t>
            </w:r>
            <w:r w:rsidRPr="004F2B6F">
              <w:rPr>
                <w:rStyle w:val="a4"/>
                <w:rFonts w:ascii="Arial" w:hAnsi="Arial" w:cs="Arial"/>
                <w:noProof/>
                <w:lang w:val="en-US"/>
              </w:rPr>
              <w:t xml:space="preserve"> Rationing</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_Toc237341507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18</w:t>
            </w:r>
            <w:r w:rsidRPr="004F2B6F">
              <w:rPr>
                <w:rFonts w:ascii="Arial" w:hAnsi="Arial" w:cs="Arial"/>
                <w:noProof/>
                <w:webHidden/>
              </w:rPr>
              <w:fldChar w:fldCharType="end"/>
            </w:r>
          </w:hyperlink>
        </w:p>
        <w:p w14:paraId="19E6C4E1" w14:textId="5791FD1E"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08" w:history="1">
            <w:r w:rsidRPr="004F2B6F">
              <w:rPr>
                <w:rStyle w:val="a4"/>
                <w:rFonts w:ascii="Arial" w:hAnsi="Arial" w:cs="Arial"/>
                <w:noProof/>
                <w:lang w:val="en-US"/>
              </w:rPr>
              <w:t xml:space="preserve">4.6 </w:t>
            </w:r>
            <w:r w:rsidRPr="004F2B6F">
              <w:rPr>
                <w:rStyle w:val="a4"/>
                <w:rFonts w:ascii="Arial" w:hAnsi="Arial" w:cs="Arial"/>
                <w:noProof/>
              </w:rPr>
              <w:t>Summary</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_Toc237341508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18</w:t>
            </w:r>
            <w:r w:rsidRPr="004F2B6F">
              <w:rPr>
                <w:rFonts w:ascii="Arial" w:hAnsi="Arial" w:cs="Arial"/>
                <w:noProof/>
                <w:webHidden/>
              </w:rPr>
              <w:fldChar w:fldCharType="end"/>
            </w:r>
          </w:hyperlink>
        </w:p>
        <w:p w14:paraId="451BB265" w14:textId="53ABF644"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509" w:history="1">
            <w:r w:rsidRPr="004F2B6F">
              <w:rPr>
                <w:rStyle w:val="a4"/>
                <w:rFonts w:ascii="Arial" w:hAnsi="Arial" w:cs="Arial"/>
                <w:noProof/>
                <w:lang w:val="en-US"/>
              </w:rPr>
              <w:t xml:space="preserve">5. </w:t>
            </w:r>
            <w:r w:rsidRPr="004F2B6F">
              <w:rPr>
                <w:rStyle w:val="a4"/>
                <w:rFonts w:ascii="Arial" w:hAnsi="Arial" w:cs="Arial"/>
                <w:noProof/>
              </w:rPr>
              <w:t>Critical</w:t>
            </w:r>
            <w:r w:rsidRPr="004F2B6F">
              <w:rPr>
                <w:rStyle w:val="a4"/>
                <w:rFonts w:ascii="Arial" w:hAnsi="Arial" w:cs="Arial"/>
                <w:noProof/>
                <w:lang w:val="en-US"/>
              </w:rPr>
              <w:t xml:space="preserve"> Reflection on AI Usage</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_Toc237341509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18</w:t>
            </w:r>
            <w:r w:rsidRPr="004F2B6F">
              <w:rPr>
                <w:rFonts w:ascii="Arial" w:hAnsi="Arial" w:cs="Arial"/>
                <w:noProof/>
                <w:webHidden/>
              </w:rPr>
              <w:fldChar w:fldCharType="end"/>
            </w:r>
          </w:hyperlink>
        </w:p>
        <w:p w14:paraId="5297B18B" w14:textId="0FDD7FD1"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10" w:history="1">
            <w:r w:rsidRPr="004F2B6F">
              <w:rPr>
                <w:rStyle w:val="a4"/>
                <w:rFonts w:ascii="Arial" w:hAnsi="Arial" w:cs="Arial"/>
                <w:noProof/>
                <w:lang w:val="en-US"/>
              </w:rPr>
              <w:t xml:space="preserve">5.1 Tool </w:t>
            </w:r>
            <w:r w:rsidRPr="004F2B6F">
              <w:rPr>
                <w:rStyle w:val="a4"/>
                <w:rFonts w:ascii="Arial" w:hAnsi="Arial" w:cs="Arial"/>
                <w:noProof/>
              </w:rPr>
              <w:t>Disclosure</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_Toc237341510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18</w:t>
            </w:r>
            <w:r w:rsidRPr="004F2B6F">
              <w:rPr>
                <w:rFonts w:ascii="Arial" w:hAnsi="Arial" w:cs="Arial"/>
                <w:noProof/>
                <w:webHidden/>
              </w:rPr>
              <w:fldChar w:fldCharType="end"/>
            </w:r>
          </w:hyperlink>
        </w:p>
        <w:p w14:paraId="20830E12" w14:textId="3FE2A4D3"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11" w:history="1">
            <w:r w:rsidRPr="004F2B6F">
              <w:rPr>
                <w:rStyle w:val="a4"/>
                <w:rFonts w:ascii="Arial" w:hAnsi="Arial" w:cs="Arial"/>
                <w:noProof/>
                <w:lang w:val="en-US"/>
              </w:rPr>
              <w:t>5.2 Critical Evaluation and Verification of AI Output</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_Toc237341511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19</w:t>
            </w:r>
            <w:r w:rsidRPr="004F2B6F">
              <w:rPr>
                <w:rFonts w:ascii="Arial" w:hAnsi="Arial" w:cs="Arial"/>
                <w:noProof/>
                <w:webHidden/>
              </w:rPr>
              <w:fldChar w:fldCharType="end"/>
            </w:r>
          </w:hyperlink>
        </w:p>
        <w:p w14:paraId="5EBF8395" w14:textId="68EAD44D"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12" w:history="1">
            <w:r w:rsidRPr="004F2B6F">
              <w:rPr>
                <w:rStyle w:val="a4"/>
                <w:rFonts w:ascii="Arial" w:hAnsi="Arial" w:cs="Arial"/>
                <w:noProof/>
                <w:lang w:val="en-US"/>
              </w:rPr>
              <w:t xml:space="preserve">5.3 </w:t>
            </w:r>
            <w:r w:rsidRPr="004F2B6F">
              <w:rPr>
                <w:rStyle w:val="a4"/>
                <w:rFonts w:ascii="Arial" w:hAnsi="Arial" w:cs="Arial"/>
                <w:noProof/>
              </w:rPr>
              <w:t>Contribution</w:t>
            </w:r>
            <w:r w:rsidRPr="004F2B6F">
              <w:rPr>
                <w:rStyle w:val="a4"/>
                <w:rFonts w:ascii="Arial" w:hAnsi="Arial" w:cs="Arial"/>
                <w:noProof/>
                <w:lang w:val="en-US"/>
              </w:rPr>
              <w:t xml:space="preserve"> Analysis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_Toc237341512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19</w:t>
            </w:r>
            <w:r w:rsidRPr="004F2B6F">
              <w:rPr>
                <w:rFonts w:ascii="Arial" w:hAnsi="Arial" w:cs="Arial"/>
                <w:noProof/>
                <w:webHidden/>
              </w:rPr>
              <w:fldChar w:fldCharType="end"/>
            </w:r>
          </w:hyperlink>
        </w:p>
        <w:p w14:paraId="7427CA0F" w14:textId="00198026" w:rsidR="004F73ED" w:rsidRPr="004F2B6F" w:rsidRDefault="004F73ED" w:rsidP="004F2B6F">
          <w:pPr>
            <w:pStyle w:val="20"/>
            <w:tabs>
              <w:tab w:val="right" w:leader="dot" w:pos="9016"/>
            </w:tabs>
            <w:spacing w:line="360" w:lineRule="auto"/>
            <w:rPr>
              <w:rFonts w:ascii="Arial" w:hAnsi="Arial" w:cs="Arial"/>
              <w:noProof/>
              <w:kern w:val="2"/>
              <w:lang w:val="en-US" w:eastAsia="en-US"/>
              <w14:ligatures w14:val="standardContextual"/>
            </w:rPr>
          </w:pPr>
          <w:hyperlink w:anchor="_Toc237341513" w:history="1">
            <w:r w:rsidRPr="004F2B6F">
              <w:rPr>
                <w:rStyle w:val="a4"/>
                <w:rFonts w:ascii="Arial" w:hAnsi="Arial" w:cs="Arial"/>
                <w:noProof/>
                <w:lang w:val="en-US"/>
              </w:rPr>
              <w:t xml:space="preserve">5.4 </w:t>
            </w:r>
            <w:r w:rsidRPr="004F2B6F">
              <w:rPr>
                <w:rStyle w:val="a4"/>
                <w:rFonts w:ascii="Arial" w:hAnsi="Arial" w:cs="Arial"/>
                <w:noProof/>
              </w:rPr>
              <w:t>Ethical</w:t>
            </w:r>
            <w:r w:rsidRPr="004F2B6F">
              <w:rPr>
                <w:rStyle w:val="a4"/>
                <w:rFonts w:ascii="Arial" w:hAnsi="Arial" w:cs="Arial"/>
                <w:noProof/>
                <w:lang w:val="en-US"/>
              </w:rPr>
              <w:t xml:space="preserve"> and Professional Reflection</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_Toc237341513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20</w:t>
            </w:r>
            <w:r w:rsidRPr="004F2B6F">
              <w:rPr>
                <w:rFonts w:ascii="Arial" w:hAnsi="Arial" w:cs="Arial"/>
                <w:noProof/>
                <w:webHidden/>
              </w:rPr>
              <w:fldChar w:fldCharType="end"/>
            </w:r>
          </w:hyperlink>
        </w:p>
        <w:p w14:paraId="357FA6F9" w14:textId="117DE186"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514" w:history="1">
            <w:r w:rsidRPr="004F2B6F">
              <w:rPr>
                <w:rStyle w:val="a4"/>
                <w:rFonts w:ascii="Arial" w:hAnsi="Arial" w:cs="Arial"/>
                <w:noProof/>
              </w:rPr>
              <w:t>References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_Toc237341514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21</w:t>
            </w:r>
            <w:r w:rsidRPr="004F2B6F">
              <w:rPr>
                <w:rFonts w:ascii="Arial" w:hAnsi="Arial" w:cs="Arial"/>
                <w:noProof/>
                <w:webHidden/>
              </w:rPr>
              <w:fldChar w:fldCharType="end"/>
            </w:r>
          </w:hyperlink>
        </w:p>
        <w:p w14:paraId="7D356C4E" w14:textId="60B1BDC4" w:rsidR="004F73ED" w:rsidRPr="004F2B6F" w:rsidRDefault="004F73ED" w:rsidP="004F2B6F">
          <w:pPr>
            <w:pStyle w:val="10"/>
            <w:tabs>
              <w:tab w:val="right" w:leader="dot" w:pos="9016"/>
            </w:tabs>
            <w:spacing w:line="360" w:lineRule="auto"/>
            <w:rPr>
              <w:rFonts w:ascii="Arial" w:hAnsi="Arial" w:cs="Arial"/>
              <w:noProof/>
              <w:kern w:val="2"/>
              <w:lang w:val="en-US" w:eastAsia="en-US"/>
              <w14:ligatures w14:val="standardContextual"/>
            </w:rPr>
          </w:pPr>
          <w:hyperlink w:anchor="_Toc237341515" w:history="1">
            <w:r w:rsidRPr="004F2B6F">
              <w:rPr>
                <w:rStyle w:val="a4"/>
                <w:rFonts w:ascii="Arial" w:hAnsi="Arial" w:cs="Arial"/>
                <w:noProof/>
              </w:rPr>
              <w:t>Appendices</w:t>
            </w:r>
            <w:r w:rsidRPr="004F2B6F">
              <w:rPr>
                <w:rFonts w:ascii="Arial" w:hAnsi="Arial" w:cs="Arial"/>
                <w:noProof/>
                <w:webHidden/>
              </w:rPr>
              <w:tab/>
            </w:r>
            <w:r w:rsidRPr="004F2B6F">
              <w:rPr>
                <w:rFonts w:ascii="Arial" w:hAnsi="Arial" w:cs="Arial"/>
                <w:noProof/>
                <w:webHidden/>
              </w:rPr>
              <w:fldChar w:fldCharType="begin"/>
            </w:r>
            <w:r w:rsidRPr="004F2B6F">
              <w:rPr>
                <w:rFonts w:ascii="Arial" w:hAnsi="Arial" w:cs="Arial"/>
                <w:noProof/>
                <w:webHidden/>
              </w:rPr>
              <w:instrText xml:space="preserve"> PAGEREF _Toc237341515 \h </w:instrText>
            </w:r>
            <w:r w:rsidRPr="004F2B6F">
              <w:rPr>
                <w:rFonts w:ascii="Arial" w:hAnsi="Arial" w:cs="Arial"/>
                <w:noProof/>
                <w:webHidden/>
              </w:rPr>
            </w:r>
            <w:r w:rsidRPr="004F2B6F">
              <w:rPr>
                <w:rFonts w:ascii="Arial" w:hAnsi="Arial" w:cs="Arial"/>
                <w:noProof/>
                <w:webHidden/>
              </w:rPr>
              <w:fldChar w:fldCharType="separate"/>
            </w:r>
            <w:r w:rsidRPr="004F2B6F">
              <w:rPr>
                <w:rFonts w:ascii="Arial" w:hAnsi="Arial" w:cs="Arial"/>
                <w:noProof/>
                <w:webHidden/>
              </w:rPr>
              <w:t>23</w:t>
            </w:r>
            <w:r w:rsidRPr="004F2B6F">
              <w:rPr>
                <w:rFonts w:ascii="Arial" w:hAnsi="Arial" w:cs="Arial"/>
                <w:noProof/>
                <w:webHidden/>
              </w:rPr>
              <w:fldChar w:fldCharType="end"/>
            </w:r>
          </w:hyperlink>
        </w:p>
        <w:p w14:paraId="4E386F6F" w14:textId="0588E1FA" w:rsidR="0C1E8527" w:rsidRPr="004F2B6F" w:rsidRDefault="0C1E8527" w:rsidP="004F2B6F">
          <w:pPr>
            <w:pStyle w:val="10"/>
            <w:spacing w:line="360" w:lineRule="auto"/>
            <w:rPr>
              <w:rFonts w:ascii="Arial" w:hAnsi="Arial" w:cs="Arial"/>
            </w:rPr>
          </w:pPr>
          <w:r w:rsidRPr="004F2B6F">
            <w:rPr>
              <w:rFonts w:ascii="Arial" w:hAnsi="Arial" w:cs="Arial"/>
            </w:rPr>
            <w:fldChar w:fldCharType="end"/>
          </w:r>
        </w:p>
      </w:sdtContent>
    </w:sdt>
    <w:p w14:paraId="5867725A" w14:textId="1454262D" w:rsidR="0C1E8527" w:rsidRPr="004F2B6F" w:rsidRDefault="0C1E8527" w:rsidP="004F2B6F">
      <w:pPr>
        <w:spacing w:line="360" w:lineRule="auto"/>
        <w:rPr>
          <w:rFonts w:ascii="Arial" w:hAnsi="Arial" w:cs="Arial"/>
        </w:rPr>
      </w:pPr>
    </w:p>
    <w:p w14:paraId="4677F7A2" w14:textId="66D8272D" w:rsidR="0C1E8527" w:rsidRPr="004F2B6F" w:rsidRDefault="0C1E8527" w:rsidP="004F2B6F">
      <w:pPr>
        <w:spacing w:line="360" w:lineRule="auto"/>
        <w:rPr>
          <w:rFonts w:ascii="Arial" w:hAnsi="Arial" w:cs="Arial"/>
        </w:rPr>
      </w:pPr>
      <w:r w:rsidRPr="004F2B6F">
        <w:rPr>
          <w:rFonts w:ascii="Arial" w:hAnsi="Arial" w:cs="Arial"/>
        </w:rPr>
        <w:br w:type="page"/>
      </w:r>
    </w:p>
    <w:p w14:paraId="28F16A24" w14:textId="77777777" w:rsidR="00AA15B1" w:rsidRPr="004F2B6F" w:rsidRDefault="00AA15B1" w:rsidP="004F2B6F">
      <w:pPr>
        <w:pStyle w:val="1"/>
        <w:spacing w:line="360" w:lineRule="auto"/>
        <w:rPr>
          <w:rFonts w:ascii="Arial" w:hAnsi="Arial" w:cs="Arial"/>
          <w:lang w:val="en-US"/>
        </w:rPr>
      </w:pPr>
      <w:bookmarkStart w:id="2" w:name="_Toc237341480"/>
      <w:r w:rsidRPr="004F2B6F">
        <w:rPr>
          <w:rFonts w:ascii="Arial" w:hAnsi="Arial" w:cs="Arial"/>
          <w:lang w:val="en-US"/>
        </w:rPr>
        <w:lastRenderedPageBreak/>
        <w:t xml:space="preserve">1. </w:t>
      </w:r>
      <w:r w:rsidRPr="004F2B6F">
        <w:rPr>
          <w:rFonts w:ascii="Arial" w:hAnsi="Arial" w:cs="Arial"/>
        </w:rPr>
        <w:t>Financial</w:t>
      </w:r>
      <w:r w:rsidRPr="004F2B6F">
        <w:rPr>
          <w:rFonts w:ascii="Arial" w:hAnsi="Arial" w:cs="Arial"/>
          <w:lang w:val="en-US"/>
        </w:rPr>
        <w:t xml:space="preserve"> Health Check</w:t>
      </w:r>
      <w:bookmarkEnd w:id="2"/>
    </w:p>
    <w:p w14:paraId="5081AF02" w14:textId="77777777" w:rsidR="00AA15B1" w:rsidRPr="004F2B6F" w:rsidRDefault="00AA15B1" w:rsidP="004F2B6F">
      <w:pPr>
        <w:pStyle w:val="2"/>
        <w:spacing w:line="360" w:lineRule="auto"/>
        <w:rPr>
          <w:rFonts w:ascii="Arial" w:hAnsi="Arial" w:cs="Arial"/>
          <w:lang w:val="en-US"/>
        </w:rPr>
      </w:pPr>
      <w:bookmarkStart w:id="3" w:name="_Toc237341481"/>
      <w:r w:rsidRPr="004F2B6F">
        <w:rPr>
          <w:rFonts w:ascii="Arial" w:hAnsi="Arial" w:cs="Arial"/>
          <w:lang w:val="en-US"/>
        </w:rPr>
        <w:t xml:space="preserve">1.1 </w:t>
      </w:r>
      <w:r w:rsidRPr="004F2B6F">
        <w:rPr>
          <w:rFonts w:ascii="Arial" w:hAnsi="Arial" w:cs="Arial"/>
        </w:rPr>
        <w:t>Introduction</w:t>
      </w:r>
      <w:bookmarkEnd w:id="3"/>
    </w:p>
    <w:p w14:paraId="39FB9365"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Marriott International, Inc. is one of the world's largest hospitality companies, operating more than 9,000 properties across over 140 countries and territories through more than 30 hotel brands (Marriott International, 2025). Its predominantly asset-light model relies on management, franchise and licensing agreements, supporting international expansion while limiting capital investment.</w:t>
      </w:r>
    </w:p>
    <w:p w14:paraId="03524F14" w14:textId="6AD367A0"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hospitality industry experienced substantial change between 2021 and 2025, including post-pandemic recovery, inflation and changing travel demand. The recovery of international tourism created opportunities for global hotel operators while introducing new financial challenges (UN Tourism, 202</w:t>
      </w:r>
      <w:r w:rsidR="00B7430F" w:rsidRPr="004F2B6F">
        <w:rPr>
          <w:rFonts w:ascii="Arial" w:hAnsi="Arial" w:cs="Arial"/>
          <w:lang w:val="en-US"/>
        </w:rPr>
        <w:t>5</w:t>
      </w:r>
      <w:r w:rsidRPr="004F2B6F">
        <w:rPr>
          <w:rFonts w:ascii="Arial" w:hAnsi="Arial" w:cs="Arial"/>
          <w:lang w:val="en-US"/>
        </w:rPr>
        <w:t>).</w:t>
      </w:r>
    </w:p>
    <w:p w14:paraId="07B06D63"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This section evaluates Marriott's financial health from 2021–2025 using audited annual reports and financial ratios covering profitability, liquidity, efficiency, gearing, investment and cash flow. It also identifies key trends and risks and compares Marriott with Hilton and Hyatt to assess its position relative to industry competitors.</w:t>
      </w:r>
    </w:p>
    <w:p w14:paraId="1A23C7F4" w14:textId="77777777" w:rsidR="00AA15B1" w:rsidRPr="004F2B6F" w:rsidRDefault="00AA15B1" w:rsidP="004F2B6F">
      <w:pPr>
        <w:pStyle w:val="2"/>
        <w:spacing w:line="360" w:lineRule="auto"/>
        <w:rPr>
          <w:rFonts w:ascii="Arial" w:hAnsi="Arial" w:cs="Arial"/>
          <w:lang w:val="en-US"/>
        </w:rPr>
      </w:pPr>
      <w:bookmarkStart w:id="4" w:name="_Toc237341482"/>
      <w:r w:rsidRPr="004F2B6F">
        <w:rPr>
          <w:rFonts w:ascii="Arial" w:hAnsi="Arial" w:cs="Arial"/>
          <w:lang w:val="en-US"/>
        </w:rPr>
        <w:t xml:space="preserve">1.2 Analysis of </w:t>
      </w:r>
      <w:r w:rsidRPr="004F2B6F">
        <w:rPr>
          <w:rFonts w:ascii="Arial" w:hAnsi="Arial" w:cs="Arial"/>
        </w:rPr>
        <w:t>Financial</w:t>
      </w:r>
      <w:r w:rsidRPr="004F2B6F">
        <w:rPr>
          <w:rFonts w:ascii="Arial" w:hAnsi="Arial" w:cs="Arial"/>
          <w:lang w:val="en-US"/>
        </w:rPr>
        <w:t xml:space="preserve"> Statements</w:t>
      </w:r>
      <w:bookmarkEnd w:id="4"/>
    </w:p>
    <w:p w14:paraId="3AFCFEA5" w14:textId="08F0A54C" w:rsidR="00FA0D22" w:rsidRPr="004F2B6F" w:rsidRDefault="00FA0D22" w:rsidP="004F2B6F">
      <w:pPr>
        <w:spacing w:line="360" w:lineRule="auto"/>
        <w:jc w:val="both"/>
        <w:rPr>
          <w:rFonts w:ascii="Arial" w:hAnsi="Arial" w:cs="Arial"/>
          <w:lang w:val="en-US"/>
        </w:rPr>
      </w:pPr>
      <w:r w:rsidRPr="004F2B6F">
        <w:rPr>
          <w:rFonts w:ascii="Arial" w:hAnsi="Arial" w:cs="Arial"/>
          <w:lang w:val="en-US"/>
        </w:rPr>
        <w:t>Marriott International's financial statements (see Appendices A–C) demonstrate a strong recovery between 2021 and 2025, supported by the recovery of global travel and the company's asset-light business model. Financial statement analysis provides the foundation for assessing financial performance and sustainability (Atrill and McLaney, 202</w:t>
      </w:r>
      <w:r w:rsidR="00B7430F" w:rsidRPr="004F2B6F">
        <w:rPr>
          <w:rFonts w:ascii="Arial" w:hAnsi="Arial" w:cs="Arial"/>
          <w:lang w:val="en-US"/>
        </w:rPr>
        <w:t>4</w:t>
      </w:r>
      <w:r w:rsidRPr="004F2B6F">
        <w:rPr>
          <w:rFonts w:ascii="Arial" w:hAnsi="Arial" w:cs="Arial"/>
          <w:lang w:val="en-US"/>
        </w:rPr>
        <w:t>).</w:t>
      </w:r>
    </w:p>
    <w:p w14:paraId="16C1C0C2" w14:textId="3EED8D3C"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Income Statement (see Appendix A) shows substantial growth over the period. Revenue increased from approximately US$13.9 billion in 2021 to US$26.2 billion in 2025, supported by recovering travel demand, higher room rates and expansion of Marriott's global portfolio. This trend reflects the wider recovery of international tourism following the pandemic (UN Tourism, 202</w:t>
      </w:r>
      <w:r w:rsidR="00B7430F" w:rsidRPr="004F2B6F">
        <w:rPr>
          <w:rFonts w:ascii="Arial" w:hAnsi="Arial" w:cs="Arial"/>
          <w:lang w:val="en-US"/>
        </w:rPr>
        <w:t>5</w:t>
      </w:r>
      <w:r w:rsidRPr="004F2B6F">
        <w:rPr>
          <w:rFonts w:ascii="Arial" w:hAnsi="Arial" w:cs="Arial"/>
          <w:lang w:val="en-US"/>
        </w:rPr>
        <w:t>). Net income also increased substantially compared with 2021, although performance fluctuated during the period, demonstrating continued exposure to operating and financing pressures.</w:t>
      </w:r>
    </w:p>
    <w:p w14:paraId="0A81FA24" w14:textId="77777777" w:rsidR="00BA6962" w:rsidRPr="004F2B6F" w:rsidRDefault="00BA6962" w:rsidP="004F2B6F">
      <w:pPr>
        <w:spacing w:line="360" w:lineRule="auto"/>
        <w:jc w:val="both"/>
        <w:rPr>
          <w:rFonts w:ascii="Arial" w:hAnsi="Arial" w:cs="Arial"/>
          <w:lang w:val="en-US"/>
        </w:rPr>
      </w:pPr>
    </w:p>
    <w:p w14:paraId="2FB5262A" w14:textId="7522DF17" w:rsidR="00BA6962" w:rsidRPr="004F2B6F" w:rsidRDefault="00BA6962" w:rsidP="004F2B6F">
      <w:pPr>
        <w:spacing w:line="360" w:lineRule="auto"/>
        <w:jc w:val="both"/>
        <w:rPr>
          <w:rFonts w:ascii="Arial" w:hAnsi="Arial" w:cs="Arial"/>
          <w:lang w:val="en-US"/>
        </w:rPr>
      </w:pPr>
      <w:r w:rsidRPr="004F2B6F">
        <w:rPr>
          <w:rFonts w:ascii="Arial" w:hAnsi="Arial" w:cs="Arial"/>
          <w:noProof/>
          <w:lang w:val="en-US"/>
        </w:rPr>
        <w:lastRenderedPageBreak/>
        <w:drawing>
          <wp:inline distT="0" distB="0" distL="0" distR="0" wp14:anchorId="4567870F" wp14:editId="36945F90">
            <wp:extent cx="5731510" cy="3869055"/>
            <wp:effectExtent l="0" t="0" r="2540" b="0"/>
            <wp:docPr id="205106245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5BAD7DB7" w14:textId="0AFA88F2" w:rsidR="00BA6962" w:rsidRPr="004F2B6F" w:rsidRDefault="00BA6962" w:rsidP="004F2B6F">
      <w:pPr>
        <w:spacing w:line="360" w:lineRule="auto"/>
        <w:rPr>
          <w:rFonts w:ascii="Arial" w:hAnsi="Arial" w:cs="Arial"/>
          <w:i/>
          <w:iCs/>
        </w:rPr>
      </w:pPr>
      <w:r w:rsidRPr="004F2B6F">
        <w:rPr>
          <w:rFonts w:ascii="Arial" w:hAnsi="Arial" w:cs="Arial"/>
          <w:b/>
          <w:bCs/>
        </w:rPr>
        <w:t>Figure 1. Marriott Revenue and Net Income Trends (2021–2025).</w:t>
      </w:r>
      <w:r w:rsidRPr="004F2B6F">
        <w:rPr>
          <w:rFonts w:ascii="Arial" w:hAnsi="Arial" w:cs="Arial"/>
        </w:rPr>
        <w:br/>
      </w:r>
      <w:r w:rsidRPr="004F2B6F">
        <w:rPr>
          <w:rFonts w:ascii="Arial" w:hAnsi="Arial" w:cs="Arial"/>
          <w:i/>
          <w:iCs/>
        </w:rPr>
        <w:t>Source: Marriott International Annual Reports (2022–2026) and author's calculations.</w:t>
      </w:r>
    </w:p>
    <w:p w14:paraId="113B79ED" w14:textId="77777777" w:rsidR="00BA6962" w:rsidRPr="004F2B6F" w:rsidRDefault="00BA6962" w:rsidP="004F2B6F">
      <w:pPr>
        <w:spacing w:line="360" w:lineRule="auto"/>
        <w:jc w:val="both"/>
        <w:rPr>
          <w:rFonts w:ascii="Arial" w:hAnsi="Arial" w:cs="Arial"/>
        </w:rPr>
      </w:pPr>
      <w:r w:rsidRPr="004F2B6F">
        <w:rPr>
          <w:rFonts w:ascii="Arial" w:hAnsi="Arial" w:cs="Arial"/>
        </w:rPr>
        <w:t>As illustrated in Figure 1, revenue increased consistently throughout the period, while net income showed greater volatility, including a decline in 2024 followed by a recovery in 2025.</w:t>
      </w:r>
    </w:p>
    <w:p w14:paraId="220C8A86" w14:textId="2538DB22"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Balance Sheet (see Appendix B) reflects Marriott's asset-light strategy, which relies heavily on management and franchise agreements rather than hotel ownership. This supports global expansion with relatively limited investment in physical assets. However, substantial liabilities and negative shareholders' equity remain important financial concerns. Share repurchases have contributed to the equity deficit, affecting the interpretation of leverage and ROE.</w:t>
      </w:r>
    </w:p>
    <w:p w14:paraId="562B0B6C" w14:textId="3B2CBBC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Statement of Cash Flows (see Appendix C) demonstrates strong cash generation from Marriott's core operations. Improved operating cash flows provided internal funding for investment, dividends and share repurchases, increasing financial flexibility and reducing dependence on external financing (Brigham and Ehrhardt, 202</w:t>
      </w:r>
      <w:r w:rsidR="00B7430F" w:rsidRPr="004F2B6F">
        <w:rPr>
          <w:rFonts w:ascii="Arial" w:hAnsi="Arial" w:cs="Arial"/>
          <w:lang w:val="en-US"/>
        </w:rPr>
        <w:t>0</w:t>
      </w:r>
      <w:r w:rsidRPr="004F2B6F">
        <w:rPr>
          <w:rFonts w:ascii="Arial" w:hAnsi="Arial" w:cs="Arial"/>
          <w:lang w:val="en-US"/>
        </w:rPr>
        <w:t>).</w:t>
      </w:r>
    </w:p>
    <w:p w14:paraId="4C6218C8"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lastRenderedPageBreak/>
        <w:t>Overall, Marriott's statements indicate substantial post-pandemic recovery and stronger financial performance, particularly in revenue and cash generation. However, high liabilities and negative equity remain potential risks. These issues are examined further through the financial ratio analysis presented in Appendix D.</w:t>
      </w:r>
    </w:p>
    <w:p w14:paraId="69BAA884" w14:textId="3CA6B54B" w:rsidR="00AA15B1" w:rsidRPr="004F2B6F" w:rsidRDefault="00AA15B1" w:rsidP="004F2B6F">
      <w:pPr>
        <w:pStyle w:val="2"/>
        <w:spacing w:line="360" w:lineRule="auto"/>
        <w:rPr>
          <w:rFonts w:ascii="Arial" w:hAnsi="Arial" w:cs="Arial"/>
          <w:lang w:val="en-US"/>
        </w:rPr>
      </w:pPr>
      <w:bookmarkStart w:id="5" w:name="_Toc237341483"/>
      <w:r w:rsidRPr="004F2B6F">
        <w:rPr>
          <w:rFonts w:ascii="Arial" w:hAnsi="Arial" w:cs="Arial"/>
          <w:lang w:val="en-US"/>
        </w:rPr>
        <w:t xml:space="preserve">1.3 </w:t>
      </w:r>
      <w:r w:rsidRPr="004F2B6F">
        <w:rPr>
          <w:rFonts w:ascii="Arial" w:hAnsi="Arial" w:cs="Arial"/>
        </w:rPr>
        <w:t>Financial</w:t>
      </w:r>
      <w:r w:rsidRPr="004F2B6F">
        <w:rPr>
          <w:rFonts w:ascii="Arial" w:hAnsi="Arial" w:cs="Arial"/>
          <w:lang w:val="en-US"/>
        </w:rPr>
        <w:t xml:space="preserve"> Ratio Analysis</w:t>
      </w:r>
      <w:bookmarkEnd w:id="5"/>
    </w:p>
    <w:p w14:paraId="7A5A8D96" w14:textId="50D77BD6" w:rsidR="001132C9"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rPr>
        <w:t>Financial ratio analysis evaluates profitability, liquidity, efficiency, gearing, investment and cash flow performance and helps identify changes in financial performance over time (Atrill and McLaney, 202</w:t>
      </w:r>
      <w:r w:rsidR="00B7430F" w:rsidRPr="004F2B6F">
        <w:rPr>
          <w:rFonts w:ascii="Arial" w:eastAsiaTheme="majorEastAsia" w:hAnsi="Arial" w:cs="Arial"/>
        </w:rPr>
        <w:t>4</w:t>
      </w:r>
      <w:r w:rsidRPr="004F2B6F">
        <w:rPr>
          <w:rFonts w:ascii="Arial" w:eastAsiaTheme="majorEastAsia" w:hAnsi="Arial" w:cs="Arial"/>
        </w:rPr>
        <w:t>). Detailed calculations for 2021–2025 are presented in Appendix D – Financial Ratio Analysis and Supporting Calculations (2021–2025).</w:t>
      </w:r>
    </w:p>
    <w:p w14:paraId="38DFB7BB" w14:textId="77777777" w:rsidR="00AA15B1" w:rsidRPr="004F2B6F" w:rsidRDefault="00AA15B1" w:rsidP="004F2B6F">
      <w:pPr>
        <w:pStyle w:val="3"/>
        <w:spacing w:line="360" w:lineRule="auto"/>
        <w:rPr>
          <w:rFonts w:ascii="Arial" w:hAnsi="Arial" w:cs="Arial"/>
          <w:lang w:val="en-US"/>
        </w:rPr>
      </w:pPr>
      <w:bookmarkStart w:id="6" w:name="_Toc237341484"/>
      <w:r w:rsidRPr="004F2B6F">
        <w:rPr>
          <w:rFonts w:ascii="Arial" w:hAnsi="Arial" w:cs="Arial"/>
          <w:lang w:val="en-US"/>
        </w:rPr>
        <w:t xml:space="preserve">1.3.1 </w:t>
      </w:r>
      <w:r w:rsidRPr="004F2B6F">
        <w:rPr>
          <w:rFonts w:ascii="Arial" w:hAnsi="Arial" w:cs="Arial"/>
        </w:rPr>
        <w:t>Profitability</w:t>
      </w:r>
      <w:bookmarkEnd w:id="6"/>
      <w:r w:rsidRPr="004F2B6F">
        <w:rPr>
          <w:rFonts w:ascii="Arial" w:hAnsi="Arial" w:cs="Arial"/>
          <w:lang w:val="en-US"/>
        </w:rPr>
        <w:t xml:space="preserve"> </w:t>
      </w:r>
    </w:p>
    <w:p w14:paraId="64C36221" w14:textId="77777777" w:rsidR="00FA0D22"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Marriott's profitability ratios (see Appendix D) demonstrate a strong post-pandemic recovery. Gross profit margin remained relatively stable at approximately 20–22%, suggesting effective cost control despite inflationary pressures.</w:t>
      </w:r>
    </w:p>
    <w:p w14:paraId="36987D81" w14:textId="77777777" w:rsidR="00FA0D22"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Operating margin increased from 12.69% in 2021 to 15.81% in 2025, indicating improved operational efficiency as travel demand recovered. Similarly, net profit margin increased from 7.93% to 9.93%, although performance fluctuated during the period. The improvement suggests that Marriott successfully converted revenue growth into stronger earnings despite higher operating and financing costs.</w:t>
      </w:r>
    </w:p>
    <w:p w14:paraId="4721406B" w14:textId="28A187AF" w:rsidR="00BA6962" w:rsidRPr="004F2B6F" w:rsidRDefault="00BA6962" w:rsidP="004F2B6F">
      <w:pPr>
        <w:spacing w:line="360" w:lineRule="auto"/>
        <w:jc w:val="both"/>
        <w:rPr>
          <w:rFonts w:ascii="Arial" w:eastAsiaTheme="majorEastAsia" w:hAnsi="Arial" w:cs="Arial"/>
          <w:lang w:val="en-US"/>
        </w:rPr>
      </w:pPr>
      <w:r w:rsidRPr="004F2B6F">
        <w:rPr>
          <w:rFonts w:ascii="Arial" w:eastAsiaTheme="majorEastAsia" w:hAnsi="Arial" w:cs="Arial"/>
          <w:noProof/>
          <w:lang w:val="en-US"/>
        </w:rPr>
        <w:lastRenderedPageBreak/>
        <w:drawing>
          <wp:inline distT="0" distB="0" distL="0" distR="0" wp14:anchorId="2439593D" wp14:editId="0A66E666">
            <wp:extent cx="5731510" cy="3869055"/>
            <wp:effectExtent l="0" t="0" r="2540" b="0"/>
            <wp:docPr id="18496927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5BCF09F3" w14:textId="2B39D1A6" w:rsidR="00BA6962" w:rsidRPr="004F2B6F" w:rsidRDefault="00BA6962" w:rsidP="004F2B6F">
      <w:pPr>
        <w:spacing w:line="360" w:lineRule="auto"/>
        <w:rPr>
          <w:rFonts w:ascii="Arial" w:eastAsiaTheme="majorEastAsia" w:hAnsi="Arial" w:cs="Arial"/>
          <w:i/>
          <w:iCs/>
        </w:rPr>
      </w:pPr>
      <w:r w:rsidRPr="004F2B6F">
        <w:rPr>
          <w:rFonts w:ascii="Arial" w:eastAsiaTheme="majorEastAsia" w:hAnsi="Arial" w:cs="Arial"/>
          <w:b/>
          <w:bCs/>
        </w:rPr>
        <w:t>Figure 2. Marriott Profitability Margins (2021–2025).</w:t>
      </w:r>
      <w:r w:rsidRPr="004F2B6F">
        <w:rPr>
          <w:rFonts w:ascii="Arial" w:eastAsiaTheme="majorEastAsia" w:hAnsi="Arial" w:cs="Arial"/>
        </w:rPr>
        <w:br/>
      </w:r>
      <w:r w:rsidRPr="004F2B6F">
        <w:rPr>
          <w:rFonts w:ascii="Arial" w:eastAsiaTheme="majorEastAsia" w:hAnsi="Arial" w:cs="Arial"/>
          <w:i/>
          <w:iCs/>
        </w:rPr>
        <w:t>Source: Marriott International Annual Reports (2022–2026) and author's calculations.</w:t>
      </w:r>
    </w:p>
    <w:p w14:paraId="44017A00" w14:textId="40106651" w:rsidR="00BA6962" w:rsidRPr="004F2B6F" w:rsidRDefault="00BA6962" w:rsidP="004F2B6F">
      <w:pPr>
        <w:spacing w:line="360" w:lineRule="auto"/>
        <w:rPr>
          <w:rFonts w:ascii="Arial" w:eastAsiaTheme="majorEastAsia" w:hAnsi="Arial" w:cs="Arial"/>
          <w:lang w:val="en-US"/>
        </w:rPr>
      </w:pPr>
      <w:r w:rsidRPr="004F2B6F">
        <w:rPr>
          <w:rFonts w:ascii="Arial" w:eastAsiaTheme="majorEastAsia" w:hAnsi="Arial" w:cs="Arial"/>
        </w:rPr>
        <w:t>As illustrated in Figure 2, Marriott's profitability improved strongly during the post-pandemic recovery, peaking in 2023 before declining in 2024 and partially recovering in 2025.</w:t>
      </w:r>
    </w:p>
    <w:p w14:paraId="13139ED3" w14:textId="5036F9CC" w:rsidR="00FA0D22"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Overall, the profitability trend demonstrates improved operational performance and financial resilience. However, fluctuations in margins also indicate continued exposure to inflation, labour costs and wider economic conditions (Brigham and Ehrhardt, 202</w:t>
      </w:r>
      <w:r w:rsidR="00B7430F" w:rsidRPr="004F2B6F">
        <w:rPr>
          <w:rFonts w:ascii="Arial" w:eastAsiaTheme="majorEastAsia" w:hAnsi="Arial" w:cs="Arial"/>
          <w:lang w:val="en-US"/>
        </w:rPr>
        <w:t>0</w:t>
      </w:r>
      <w:r w:rsidRPr="004F2B6F">
        <w:rPr>
          <w:rFonts w:ascii="Arial" w:eastAsiaTheme="majorEastAsia" w:hAnsi="Arial" w:cs="Arial"/>
          <w:lang w:val="en-US"/>
        </w:rPr>
        <w:t>).</w:t>
      </w:r>
    </w:p>
    <w:p w14:paraId="79984A5C" w14:textId="77777777" w:rsidR="00AA15B1" w:rsidRPr="004F2B6F" w:rsidRDefault="00AA15B1" w:rsidP="004F2B6F">
      <w:pPr>
        <w:pStyle w:val="3"/>
        <w:spacing w:line="360" w:lineRule="auto"/>
        <w:rPr>
          <w:rFonts w:ascii="Arial" w:hAnsi="Arial" w:cs="Arial"/>
          <w:lang w:val="en-US"/>
        </w:rPr>
      </w:pPr>
      <w:bookmarkStart w:id="7" w:name="_Toc237341485"/>
      <w:r w:rsidRPr="004F2B6F">
        <w:rPr>
          <w:rFonts w:ascii="Arial" w:hAnsi="Arial" w:cs="Arial"/>
          <w:lang w:val="en-US"/>
        </w:rPr>
        <w:t>1.3.2 Liquidity</w:t>
      </w:r>
      <w:bookmarkEnd w:id="7"/>
      <w:r w:rsidRPr="004F2B6F">
        <w:rPr>
          <w:rFonts w:ascii="Arial" w:hAnsi="Arial" w:cs="Arial"/>
          <w:lang w:val="en-US"/>
        </w:rPr>
        <w:t xml:space="preserve"> </w:t>
      </w:r>
    </w:p>
    <w:p w14:paraId="7E17FDF0" w14:textId="77777777" w:rsidR="00FA0D22"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Marriott's liquidity ratios (see Appendix D) remained below the conventional benchmark of 1 throughout 2021–2025. The current ratio increased slightly from 0.40 in 2024 to 0.43 in 2025, while the quick ratio improved from 0.37 to 0.39, indicating a modest improvement in short-term liquidity.</w:t>
      </w:r>
    </w:p>
    <w:p w14:paraId="7975DF56" w14:textId="477AF20C" w:rsidR="00FA0D22" w:rsidRPr="004F2B6F" w:rsidRDefault="00FA0D22"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 xml:space="preserve">The cash ratio remained particularly low, ranging between 0.04 and 0.22, indicating limited cash reserves relative to current liabilities. However, Marriott consistently generated positive operating cash flows (see Appendix C), reducing its dependence </w:t>
      </w:r>
      <w:r w:rsidRPr="004F2B6F">
        <w:rPr>
          <w:rFonts w:ascii="Arial" w:eastAsiaTheme="majorEastAsia" w:hAnsi="Arial" w:cs="Arial"/>
          <w:lang w:val="en-US"/>
        </w:rPr>
        <w:lastRenderedPageBreak/>
        <w:t>on large cash balances. Therefore, although low liquidity represents a potential financial risk, it should be considered alongside Marriott's strong cash-generating capability and asset-light operating model (Brigham and Ehrhardt, 202</w:t>
      </w:r>
      <w:r w:rsidR="00B7430F" w:rsidRPr="004F2B6F">
        <w:rPr>
          <w:rFonts w:ascii="Arial" w:eastAsiaTheme="majorEastAsia" w:hAnsi="Arial" w:cs="Arial"/>
          <w:lang w:val="en-US"/>
        </w:rPr>
        <w:t>0</w:t>
      </w:r>
      <w:r w:rsidRPr="004F2B6F">
        <w:rPr>
          <w:rFonts w:ascii="Arial" w:eastAsiaTheme="majorEastAsia" w:hAnsi="Arial" w:cs="Arial"/>
          <w:lang w:val="en-US"/>
        </w:rPr>
        <w:t>).</w:t>
      </w:r>
    </w:p>
    <w:p w14:paraId="6269ABEC" w14:textId="77777777" w:rsidR="00AA15B1" w:rsidRPr="004F2B6F" w:rsidRDefault="00AA15B1" w:rsidP="004F2B6F">
      <w:pPr>
        <w:pStyle w:val="3"/>
        <w:spacing w:line="360" w:lineRule="auto"/>
        <w:rPr>
          <w:rFonts w:ascii="Arial" w:hAnsi="Arial" w:cs="Arial"/>
          <w:lang w:val="en-US"/>
        </w:rPr>
      </w:pPr>
      <w:bookmarkStart w:id="8" w:name="_Toc237341486"/>
      <w:r w:rsidRPr="004F2B6F">
        <w:rPr>
          <w:rFonts w:ascii="Arial" w:hAnsi="Arial" w:cs="Arial"/>
          <w:lang w:val="en-US"/>
        </w:rPr>
        <w:t xml:space="preserve">1.3.3 </w:t>
      </w:r>
      <w:r w:rsidRPr="004F2B6F">
        <w:rPr>
          <w:rFonts w:ascii="Arial" w:hAnsi="Arial" w:cs="Arial"/>
        </w:rPr>
        <w:t>Efficiency</w:t>
      </w:r>
      <w:bookmarkEnd w:id="8"/>
      <w:r w:rsidRPr="004F2B6F">
        <w:rPr>
          <w:rFonts w:ascii="Arial" w:hAnsi="Arial" w:cs="Arial"/>
          <w:lang w:val="en-US"/>
        </w:rPr>
        <w:t xml:space="preserve"> </w:t>
      </w:r>
    </w:p>
    <w:p w14:paraId="25C1D7CC" w14:textId="77777777" w:rsidR="00E84A2A" w:rsidRPr="004F2B6F" w:rsidRDefault="00E84A2A"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Marriott's efficiency ratios (see Appendix D) demonstrate improved asset utilisation between 2021 and 2025. Asset turnover increased from 0.54 in 2021 to 0.95 in 2025, indicating that the company generated substantially more revenue from its asset base as travel demand recovered.</w:t>
      </w:r>
    </w:p>
    <w:p w14:paraId="18806263" w14:textId="77777777" w:rsidR="00E84A2A" w:rsidRPr="004F2B6F" w:rsidRDefault="00E84A2A" w:rsidP="004F2B6F">
      <w:pPr>
        <w:spacing w:line="360" w:lineRule="auto"/>
        <w:jc w:val="both"/>
        <w:rPr>
          <w:rFonts w:ascii="Arial" w:eastAsiaTheme="majorEastAsia" w:hAnsi="Arial" w:cs="Arial"/>
          <w:lang w:val="en-US"/>
        </w:rPr>
      </w:pPr>
      <w:r w:rsidRPr="004F2B6F">
        <w:rPr>
          <w:rFonts w:ascii="Arial" w:eastAsiaTheme="majorEastAsia" w:hAnsi="Arial" w:cs="Arial"/>
          <w:lang w:val="en-US"/>
        </w:rPr>
        <w:t>Fixed asset turnover also remained high, exceeding 13 times in most recent years. This reflects Marriott's asset-light strategy, which relies primarily on franchise and management agreements rather than extensive ownership of hotel properties. Overall, these trends indicate efficient use of assets and support the operational advantages of Marriott's business model (Gitman, Juchau and Flanagan, 2022).</w:t>
      </w:r>
    </w:p>
    <w:p w14:paraId="0AF56A5C" w14:textId="77777777" w:rsidR="00AA15B1" w:rsidRPr="004F2B6F" w:rsidRDefault="00AA15B1" w:rsidP="004F2B6F">
      <w:pPr>
        <w:pStyle w:val="3"/>
        <w:spacing w:line="360" w:lineRule="auto"/>
        <w:rPr>
          <w:rFonts w:ascii="Arial" w:hAnsi="Arial" w:cs="Arial"/>
          <w:lang w:val="en-US"/>
        </w:rPr>
      </w:pPr>
      <w:bookmarkStart w:id="9" w:name="_Toc237341487"/>
      <w:r w:rsidRPr="004F2B6F">
        <w:rPr>
          <w:rFonts w:ascii="Arial" w:hAnsi="Arial" w:cs="Arial"/>
          <w:lang w:val="en-US"/>
        </w:rPr>
        <w:t xml:space="preserve">1.3.4 </w:t>
      </w:r>
      <w:r w:rsidRPr="004F2B6F">
        <w:rPr>
          <w:rFonts w:ascii="Arial" w:hAnsi="Arial" w:cs="Arial"/>
        </w:rPr>
        <w:t>Gearing</w:t>
      </w:r>
      <w:bookmarkEnd w:id="9"/>
      <w:r w:rsidRPr="004F2B6F">
        <w:rPr>
          <w:rFonts w:ascii="Arial" w:hAnsi="Arial" w:cs="Arial"/>
          <w:lang w:val="en-US"/>
        </w:rPr>
        <w:t xml:space="preserve"> </w:t>
      </w:r>
    </w:p>
    <w:p w14:paraId="784C486C"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Gearing ratios assess the extent to which a company relies on debt financing and its ability to meet associated financing costs (Atrill and McLaney, 2024). Marriott's gearing position (see Appendix D) reflects relatively high financial leverage, although its strong operating performance supports its ability to service debt.</w:t>
      </w:r>
    </w:p>
    <w:p w14:paraId="2183580A"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The Interest Coverage Ratio increased from 4.48 in 2021 to 5.61 in 2025, indicating that Marriott generated sufficient operating profit to meet its interest obligations. However, shareholders' equity became negative from 2023 to 2025, largely because of substantial share repurchases. Consequently, the Debt-to-Equity ratio and ROE are not meaningful for these years and should be interpreted with caution.</w:t>
      </w:r>
    </w:p>
    <w:p w14:paraId="46D53466"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Although Marriott's strong profitability and cash generation reduce some of the risks associated with leverage, its high debt levels and negative equity increase financial exposure, particularly during periods of higher interest rates or weaker travel demand. Therefore, careful debt management remains important for maintaining long-term financial resilience.</w:t>
      </w:r>
    </w:p>
    <w:p w14:paraId="7C4812CE" w14:textId="77777777" w:rsidR="008D3C56" w:rsidRPr="004F2B6F" w:rsidRDefault="008D3C56" w:rsidP="004F2B6F">
      <w:pPr>
        <w:pStyle w:val="3"/>
        <w:spacing w:line="360" w:lineRule="auto"/>
        <w:rPr>
          <w:rFonts w:ascii="Arial" w:hAnsi="Arial" w:cs="Arial"/>
          <w:lang w:val="en-US"/>
        </w:rPr>
      </w:pPr>
      <w:bookmarkStart w:id="10" w:name="_Toc237341488"/>
      <w:r w:rsidRPr="004F2B6F">
        <w:rPr>
          <w:rFonts w:ascii="Arial" w:hAnsi="Arial" w:cs="Arial"/>
          <w:lang w:val="en-US"/>
        </w:rPr>
        <w:lastRenderedPageBreak/>
        <w:t>1.3.5 Investment and Cash Flow</w:t>
      </w:r>
      <w:bookmarkEnd w:id="10"/>
    </w:p>
    <w:p w14:paraId="74065C4C"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Marriott's investment and cash flow ratios (see Appendix D) indicate improving financial performance. ROA increased from 4.8% in 2021 to 9.4% in 2025, demonstrating stronger profit generation from the company's asset base. The P/E ratio fluctuated considerably, reflecting changing market expectations during the post-pandemic recovery.</w:t>
      </w:r>
    </w:p>
    <w:p w14:paraId="330FCC5E"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The Operating Cash Flow Ratio improved from 0.18 in 2021 to 0.38 in 2025, though it fluctuated over the period, reaching 0.41 in 2023 before declining to 0.32 in 2024 and then recovering in 2025. This indicates an overall improvement in Marriott's ability to generate operating cash relative to its current liabilities. Free Cash Flow Margin also remained positive, increasing from 7.2% in 2021 to 10.0% in 2025, providing greater flexibility for investment, dividends and share repurchases.</w:t>
      </w:r>
    </w:p>
    <w:p w14:paraId="001FF643" w14:textId="77777777" w:rsidR="008D3C56" w:rsidRPr="004F2B6F" w:rsidRDefault="008D3C56" w:rsidP="004F2B6F">
      <w:pPr>
        <w:spacing w:line="360" w:lineRule="auto"/>
        <w:rPr>
          <w:rFonts w:ascii="Arial" w:eastAsiaTheme="majorEastAsia" w:hAnsi="Arial" w:cs="Arial"/>
          <w:lang w:val="en-US"/>
        </w:rPr>
      </w:pPr>
      <w:r w:rsidRPr="004F2B6F">
        <w:rPr>
          <w:rFonts w:ascii="Arial" w:eastAsiaTheme="majorEastAsia" w:hAnsi="Arial" w:cs="Arial"/>
          <w:lang w:val="en-US"/>
        </w:rPr>
        <w:t>Overall, these trends demonstrate strong cash generation and financial resilience, although fluctuations in the Operating Cash Flow Ratio highlight the importance of continued liquidity management (Brealey et al., 2023).</w:t>
      </w:r>
    </w:p>
    <w:p w14:paraId="40AA406D" w14:textId="77777777" w:rsidR="00AA15B1" w:rsidRPr="004F2B6F" w:rsidRDefault="00AA15B1" w:rsidP="004F2B6F">
      <w:pPr>
        <w:pStyle w:val="2"/>
        <w:spacing w:line="360" w:lineRule="auto"/>
        <w:rPr>
          <w:rFonts w:ascii="Arial" w:hAnsi="Arial" w:cs="Arial"/>
        </w:rPr>
      </w:pPr>
      <w:bookmarkStart w:id="11" w:name="_Toc237341489"/>
      <w:r w:rsidRPr="004F2B6F">
        <w:rPr>
          <w:rFonts w:ascii="Arial" w:hAnsi="Arial" w:cs="Arial"/>
        </w:rPr>
        <w:t>1.4 Trends, Strengths and Potential Threats</w:t>
      </w:r>
      <w:bookmarkEnd w:id="11"/>
    </w:p>
    <w:p w14:paraId="56442BAA" w14:textId="77777777" w:rsidR="00E84A2A" w:rsidRPr="004F2B6F" w:rsidRDefault="00E84A2A" w:rsidP="004F2B6F">
      <w:pPr>
        <w:spacing w:line="360" w:lineRule="auto"/>
        <w:jc w:val="both"/>
        <w:rPr>
          <w:rFonts w:ascii="Arial" w:hAnsi="Arial" w:cs="Arial"/>
          <w:lang w:val="en-US"/>
        </w:rPr>
      </w:pPr>
      <w:r w:rsidRPr="004F2B6F">
        <w:rPr>
          <w:rFonts w:ascii="Arial" w:hAnsi="Arial" w:cs="Arial"/>
          <w:lang w:val="en-US"/>
        </w:rPr>
        <w:t>Overall, Marriott demonstrated a strong financial recovery between 2021 and 2025, characterised by revenue growth, improving profitability, greater asset efficiency and stronger cash generation (see Appendices A–D). These trends indicate improved financial resilience following the pandemic despite inflationary and economic pressures.</w:t>
      </w:r>
    </w:p>
    <w:p w14:paraId="104C051B" w14:textId="77777777" w:rsidR="00E84A2A" w:rsidRPr="004F2B6F" w:rsidRDefault="00E84A2A" w:rsidP="004F2B6F">
      <w:pPr>
        <w:spacing w:line="360" w:lineRule="auto"/>
        <w:jc w:val="both"/>
        <w:rPr>
          <w:rFonts w:ascii="Arial" w:hAnsi="Arial" w:cs="Arial"/>
          <w:lang w:val="en-US"/>
        </w:rPr>
      </w:pPr>
      <w:r w:rsidRPr="004F2B6F">
        <w:rPr>
          <w:rFonts w:ascii="Arial" w:hAnsi="Arial" w:cs="Arial"/>
          <w:lang w:val="en-US"/>
        </w:rPr>
        <w:t>A major strength is Marriott's asset-light business model, which supports global expansion while limiting investment in owned properties and contributing to high asset utilisation. Strong operating and free cash flows provide additional financial flexibility for investment and shareholder returns (Marriott International, 2026).</w:t>
      </w:r>
    </w:p>
    <w:p w14:paraId="4F6CA94F" w14:textId="77777777" w:rsidR="00E84A2A" w:rsidRPr="004F2B6F" w:rsidRDefault="00E84A2A" w:rsidP="004F2B6F">
      <w:pPr>
        <w:spacing w:line="360" w:lineRule="auto"/>
        <w:jc w:val="both"/>
        <w:rPr>
          <w:rFonts w:ascii="Arial" w:hAnsi="Arial" w:cs="Arial"/>
          <w:lang w:val="en-US"/>
        </w:rPr>
      </w:pPr>
      <w:r w:rsidRPr="004F2B6F">
        <w:rPr>
          <w:rFonts w:ascii="Arial" w:hAnsi="Arial" w:cs="Arial"/>
          <w:lang w:val="en-US"/>
        </w:rPr>
        <w:t>However, several risks remain. Marriott's low liquidity ratios and relatively high leverage increase exposure to financial pressure if operating cash flows weaken. Negative shareholders' equity resulting partly from substantial share repurchases also complicates the company's capital structure. Furthermore, external threats including inflation, geopolitical uncertainty, economic downturns and changing travel demand could negatively affect occupancy, costs and profitability.</w:t>
      </w:r>
    </w:p>
    <w:p w14:paraId="16A82700" w14:textId="77777777" w:rsidR="00E84A2A" w:rsidRPr="004F2B6F" w:rsidRDefault="00E84A2A" w:rsidP="004F2B6F">
      <w:pPr>
        <w:spacing w:line="360" w:lineRule="auto"/>
        <w:jc w:val="both"/>
        <w:rPr>
          <w:rFonts w:ascii="Arial" w:hAnsi="Arial" w:cs="Arial"/>
          <w:lang w:val="en-US"/>
        </w:rPr>
      </w:pPr>
      <w:r w:rsidRPr="004F2B6F">
        <w:rPr>
          <w:rFonts w:ascii="Arial" w:hAnsi="Arial" w:cs="Arial"/>
          <w:lang w:val="en-US"/>
        </w:rPr>
        <w:lastRenderedPageBreak/>
        <w:t>Therefore, although Marriott's overall financial position has strengthened, careful management of liquidity, leverage and external market risks remains important for maintaining long-term financial resilience.</w:t>
      </w:r>
    </w:p>
    <w:p w14:paraId="5E767A00" w14:textId="77777777" w:rsidR="00AA15B1" w:rsidRPr="004F2B6F" w:rsidRDefault="00AA15B1" w:rsidP="004F2B6F">
      <w:pPr>
        <w:pStyle w:val="2"/>
        <w:spacing w:line="360" w:lineRule="auto"/>
        <w:rPr>
          <w:rFonts w:ascii="Arial" w:hAnsi="Arial" w:cs="Arial"/>
          <w:lang w:val="en-US"/>
        </w:rPr>
      </w:pPr>
      <w:bookmarkStart w:id="12" w:name="_Toc237341490"/>
      <w:r w:rsidRPr="004F2B6F">
        <w:rPr>
          <w:rFonts w:ascii="Arial" w:hAnsi="Arial" w:cs="Arial"/>
          <w:lang w:val="en-US"/>
        </w:rPr>
        <w:t xml:space="preserve">1.5 Industry </w:t>
      </w:r>
      <w:r w:rsidRPr="004F2B6F">
        <w:rPr>
          <w:rFonts w:ascii="Arial" w:hAnsi="Arial" w:cs="Arial"/>
        </w:rPr>
        <w:t>Benchmark</w:t>
      </w:r>
      <w:r w:rsidRPr="004F2B6F">
        <w:rPr>
          <w:rFonts w:ascii="Arial" w:hAnsi="Arial" w:cs="Arial"/>
          <w:lang w:val="en-US"/>
        </w:rPr>
        <w:t xml:space="preserve"> Comparison</w:t>
      </w:r>
      <w:bookmarkEnd w:id="12"/>
    </w:p>
    <w:p w14:paraId="2F8A42D0"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Industry benchmarking helps assess Marriott's financial performance relative to major competitors. The 2025 comparison with Hilton and Hyatt covers profitability, liquidity and efficiency (see Appendix E – Industry Benchmark Analysis).</w:t>
      </w:r>
    </w:p>
    <w:p w14:paraId="6631E613"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Marriott's operating margin of 15.81% was below Hilton's 22.37% but slightly above Hyatt's 15.20%. Similarly, Marriott's net margin of 9.93% was below Hilton's 12.10% but above Hyatt's 8.90%, indicating competitive profitability but potential for further improvement.</w:t>
      </w:r>
    </w:p>
    <w:p w14:paraId="08E49055" w14:textId="2A06D6EF" w:rsidR="00BA6962" w:rsidRPr="004F2B6F" w:rsidRDefault="00BA6962" w:rsidP="004F2B6F">
      <w:pPr>
        <w:spacing w:line="360" w:lineRule="auto"/>
        <w:jc w:val="both"/>
        <w:rPr>
          <w:rFonts w:ascii="Arial" w:hAnsi="Arial" w:cs="Arial"/>
          <w:lang w:val="en-US"/>
        </w:rPr>
      </w:pPr>
      <w:r w:rsidRPr="004F2B6F">
        <w:rPr>
          <w:rFonts w:ascii="Arial" w:hAnsi="Arial" w:cs="Arial"/>
          <w:noProof/>
          <w:lang w:val="en-US"/>
        </w:rPr>
        <w:drawing>
          <wp:inline distT="0" distB="0" distL="0" distR="0" wp14:anchorId="53D76257" wp14:editId="569B9743">
            <wp:extent cx="5731510" cy="3869055"/>
            <wp:effectExtent l="0" t="0" r="2540" b="0"/>
            <wp:docPr id="89680318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03805D8E" w14:textId="3F4BEA10" w:rsidR="00BA6962" w:rsidRPr="004F2B6F" w:rsidRDefault="00BA6962" w:rsidP="004F2B6F">
      <w:pPr>
        <w:spacing w:line="360" w:lineRule="auto"/>
        <w:rPr>
          <w:rFonts w:ascii="Arial" w:hAnsi="Arial" w:cs="Arial"/>
          <w:lang w:val="en-US"/>
        </w:rPr>
      </w:pPr>
      <w:r w:rsidRPr="004F2B6F">
        <w:rPr>
          <w:rFonts w:ascii="Arial" w:hAnsi="Arial" w:cs="Arial"/>
          <w:b/>
          <w:bCs/>
        </w:rPr>
        <w:t>Figure 3. Profitability Benchmark Comparison (2025).</w:t>
      </w:r>
      <w:r w:rsidRPr="004F2B6F">
        <w:rPr>
          <w:rFonts w:ascii="Arial" w:hAnsi="Arial" w:cs="Arial"/>
        </w:rPr>
        <w:br/>
      </w:r>
      <w:r w:rsidRPr="004F2B6F">
        <w:rPr>
          <w:rFonts w:ascii="Arial" w:hAnsi="Arial" w:cs="Arial"/>
          <w:i/>
          <w:iCs/>
        </w:rPr>
        <w:t>Source: Marriott International, Hilton Worldwide Holdings and Hyatt Hotels Corporation annual reports and author's calculations.</w:t>
      </w:r>
    </w:p>
    <w:p w14:paraId="23544FCE"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 xml:space="preserve">Liquidity represents a greater concern. Marriott's current ratio of 0.43 was below both Hilton (0.61) and Hyatt (0.74). Although all three ratios remain below 1, Marriott has </w:t>
      </w:r>
      <w:r w:rsidRPr="004F2B6F">
        <w:rPr>
          <w:rFonts w:ascii="Arial" w:hAnsi="Arial" w:cs="Arial"/>
          <w:lang w:val="en-US"/>
        </w:rPr>
        <w:lastRenderedPageBreak/>
        <w:t>the weakest short-term liquidity position, suggesting greater dependence on continued operating cash generation to meet current obligations. This supports the liquidity risk identified in Section 1.3.2.</w:t>
      </w:r>
    </w:p>
    <w:p w14:paraId="748650B3"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The additional cash flow comparison also indicates a relative weakness. Marriott's Operating Cash Flow Ratio of 0.38 was below Hilton's 0.49 and Hyatt's 0.44 (see Appendix E). This suggests that Marriott generated less operating cash relative to its current liabilities than both competitors in 2025, reinforcing the need for careful liquidity management.</w:t>
      </w:r>
    </w:p>
    <w:p w14:paraId="5FD2CC13"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However, Marriott achieved the highest asset turnover of 0.95, compared with Hilton (0.72) and Hyatt (0.58), demonstrating stronger asset utilisation and supporting the effectiveness of its asset-light model.</w:t>
      </w:r>
    </w:p>
    <w:p w14:paraId="34EBE838" w14:textId="77777777" w:rsidR="00AA43DF" w:rsidRPr="004F2B6F" w:rsidRDefault="00AA43DF" w:rsidP="004F2B6F">
      <w:pPr>
        <w:spacing w:line="360" w:lineRule="auto"/>
        <w:jc w:val="both"/>
        <w:rPr>
          <w:rFonts w:ascii="Arial" w:hAnsi="Arial" w:cs="Arial"/>
          <w:lang w:val="en-US"/>
        </w:rPr>
      </w:pPr>
      <w:r w:rsidRPr="004F2B6F">
        <w:rPr>
          <w:rFonts w:ascii="Arial" w:hAnsi="Arial" w:cs="Arial"/>
          <w:lang w:val="en-US"/>
        </w:rPr>
        <w:t>Overall, the benchmark indicates that Marriott performs strongly in asset efficiency and remains competitive in profitability, but its comparatively weaker liquidity and operating cash flow coverage represent important financial risks requiring continued monitoring (Atrill and McLaney, 2024).</w:t>
      </w:r>
    </w:p>
    <w:p w14:paraId="0B875731" w14:textId="0B2AD7EF" w:rsidR="36C2A92E" w:rsidRPr="004F2B6F" w:rsidRDefault="009A5B13" w:rsidP="004F2B6F">
      <w:pPr>
        <w:pStyle w:val="2"/>
        <w:spacing w:line="360" w:lineRule="auto"/>
        <w:rPr>
          <w:rFonts w:ascii="Arial" w:hAnsi="Arial" w:cs="Arial"/>
          <w:lang w:val="en-US"/>
        </w:rPr>
      </w:pPr>
      <w:bookmarkStart w:id="13" w:name="_Toc237341491"/>
      <w:r w:rsidRPr="004F2B6F">
        <w:rPr>
          <w:rFonts w:ascii="Arial" w:hAnsi="Arial" w:cs="Arial"/>
          <w:lang w:val="en-US"/>
        </w:rPr>
        <w:t xml:space="preserve">1.6 </w:t>
      </w:r>
      <w:r w:rsidRPr="004F2B6F">
        <w:rPr>
          <w:rFonts w:ascii="Arial" w:hAnsi="Arial" w:cs="Arial"/>
        </w:rPr>
        <w:t>Summary</w:t>
      </w:r>
      <w:r w:rsidRPr="004F2B6F">
        <w:rPr>
          <w:rFonts w:ascii="Arial" w:hAnsi="Arial" w:cs="Arial"/>
          <w:lang w:val="en-US"/>
        </w:rPr>
        <w:t xml:space="preserve"> of </w:t>
      </w:r>
      <w:r w:rsidRPr="004F2B6F">
        <w:rPr>
          <w:rFonts w:ascii="Arial" w:hAnsi="Arial" w:cs="Arial"/>
        </w:rPr>
        <w:t>Financial</w:t>
      </w:r>
      <w:r w:rsidRPr="004F2B6F">
        <w:rPr>
          <w:rFonts w:ascii="Arial" w:hAnsi="Arial" w:cs="Arial"/>
          <w:lang w:val="en-US"/>
        </w:rPr>
        <w:t xml:space="preserve"> Health</w:t>
      </w:r>
      <w:bookmarkEnd w:id="13"/>
      <w:r w:rsidRPr="004F2B6F">
        <w:rPr>
          <w:rFonts w:ascii="Arial" w:hAnsi="Arial" w:cs="Arial"/>
          <w:lang w:val="en-US"/>
        </w:rPr>
        <w:t xml:space="preserve"> </w:t>
      </w:r>
    </w:p>
    <w:p w14:paraId="78F9F399" w14:textId="580B2B95" w:rsidR="009A5B13" w:rsidRPr="004F2B6F" w:rsidRDefault="00FE0D43" w:rsidP="004F2B6F">
      <w:pPr>
        <w:spacing w:line="360" w:lineRule="auto"/>
        <w:jc w:val="both"/>
        <w:rPr>
          <w:rFonts w:ascii="Arial" w:hAnsi="Arial" w:cs="Arial"/>
          <w:lang w:val="en-US"/>
        </w:rPr>
      </w:pPr>
      <w:r w:rsidRPr="004F2B6F">
        <w:rPr>
          <w:rFonts w:ascii="Arial" w:hAnsi="Arial" w:cs="Arial"/>
        </w:rPr>
        <w:t>Overall, Marriott demonstrated strong financial performance between 2021 and 2025, supported by improving profitability, operational efficiency and cash generation. Although liquidity and leverage require continued monitoring, the company remains financially resilient and well positioned for future growth. The following section evaluates Marriott's working capital management and liquidity strategy.</w:t>
      </w:r>
    </w:p>
    <w:p w14:paraId="69CC1D82" w14:textId="77777777" w:rsidR="004A1EB1" w:rsidRPr="004F2B6F" w:rsidRDefault="004A1EB1" w:rsidP="004F2B6F">
      <w:pPr>
        <w:spacing w:line="360" w:lineRule="auto"/>
        <w:jc w:val="both"/>
        <w:rPr>
          <w:rFonts w:ascii="Arial" w:hAnsi="Arial" w:cs="Arial"/>
          <w:lang w:val="en-US"/>
        </w:rPr>
      </w:pPr>
    </w:p>
    <w:p w14:paraId="2396EB14" w14:textId="77777777" w:rsidR="004A1EB1" w:rsidRPr="004F2B6F" w:rsidRDefault="004A1EB1" w:rsidP="004F2B6F">
      <w:pPr>
        <w:spacing w:line="360" w:lineRule="auto"/>
        <w:jc w:val="both"/>
        <w:rPr>
          <w:rFonts w:ascii="Arial" w:hAnsi="Arial" w:cs="Arial"/>
          <w:lang w:val="en-US"/>
        </w:rPr>
      </w:pPr>
    </w:p>
    <w:p w14:paraId="2738288F" w14:textId="77777777" w:rsidR="004A1EB1" w:rsidRPr="004F2B6F" w:rsidRDefault="004A1EB1" w:rsidP="004F2B6F">
      <w:pPr>
        <w:pStyle w:val="1"/>
        <w:spacing w:line="360" w:lineRule="auto"/>
        <w:rPr>
          <w:rFonts w:ascii="Arial" w:hAnsi="Arial" w:cs="Arial"/>
        </w:rPr>
      </w:pPr>
      <w:bookmarkStart w:id="14" w:name="_Toc237341492"/>
      <w:r w:rsidRPr="004F2B6F">
        <w:rPr>
          <w:rFonts w:ascii="Arial" w:hAnsi="Arial" w:cs="Arial"/>
        </w:rPr>
        <w:t>2. Working Capital Management Analysis</w:t>
      </w:r>
      <w:bookmarkEnd w:id="14"/>
    </w:p>
    <w:p w14:paraId="24C09A41" w14:textId="1F27F45E" w:rsidR="005025C3" w:rsidRPr="004F2B6F" w:rsidRDefault="005025C3" w:rsidP="004F2B6F">
      <w:pPr>
        <w:pStyle w:val="2"/>
        <w:spacing w:line="360" w:lineRule="auto"/>
        <w:rPr>
          <w:rFonts w:ascii="Arial" w:hAnsi="Arial" w:cs="Arial"/>
        </w:rPr>
      </w:pPr>
      <w:bookmarkStart w:id="15" w:name="_Toc237341493"/>
      <w:r w:rsidRPr="004F2B6F">
        <w:rPr>
          <w:rFonts w:ascii="Arial" w:hAnsi="Arial" w:cs="Arial"/>
        </w:rPr>
        <w:t>2.1 Assessment of the Cash Operating Cycle</w:t>
      </w:r>
      <w:bookmarkEnd w:id="15"/>
    </w:p>
    <w:p w14:paraId="35FA91EA" w14:textId="077D765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 xml:space="preserve">Working capital management ensures that an organisation can meet its short-term obligations while maintaining operational efficiency. A key measure is the Cash </w:t>
      </w:r>
      <w:r w:rsidRPr="004F2B6F">
        <w:rPr>
          <w:rFonts w:ascii="Arial" w:eastAsia="Times New Roman" w:hAnsi="Arial" w:cs="Arial"/>
          <w:lang w:val="en-US"/>
        </w:rPr>
        <w:lastRenderedPageBreak/>
        <w:t>Conversion Cycle (CCC), which assesses how efficiently operating resources are converted into cash (Atrill and McLaney, 202</w:t>
      </w:r>
      <w:r w:rsidR="00B7430F" w:rsidRPr="004F2B6F">
        <w:rPr>
          <w:rFonts w:ascii="Arial" w:eastAsia="Times New Roman" w:hAnsi="Arial" w:cs="Arial"/>
          <w:lang w:val="en-US"/>
        </w:rPr>
        <w:t>4</w:t>
      </w:r>
      <w:r w:rsidRPr="004F2B6F">
        <w:rPr>
          <w:rFonts w:ascii="Arial" w:eastAsia="Times New Roman" w:hAnsi="Arial" w:cs="Arial"/>
          <w:lang w:val="en-US"/>
        </w:rPr>
        <w:t>).</w:t>
      </w:r>
    </w:p>
    <w:p w14:paraId="68BC8E07"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Marriott's CCC calculations are presented in Appendix F – Cash Conversion Cycle (CCC) Analysis. The results indicate that the cycle became shorter and more stable following the post-pandemic recovery, remaining at approximately 26 days in the later years. This suggests improved working capital efficiency and more effective management of short-term resources.</w:t>
      </w:r>
    </w:p>
    <w:p w14:paraId="24A1A273"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Unlike manufacturing companies, Marriott operates in the hospitality sector, where inventory levels are relatively low because services cannot be stored. Therefore, its CCC is influenced primarily by receivable and payable days. Customer payments are often received through credit cards, online bookings and corporate accounts, supporting relatively efficient cash collection. Digital reservation and payment systems can further accelerate this process.</w:t>
      </w:r>
    </w:p>
    <w:p w14:paraId="67E1CB93"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Marriott can also preserve liquidity by managing supplier payment terms effectively. Maintaining favourable payment periods allows the company to retain cash for longer without increasing external financing requirements. However, extending payment periods excessively could negatively affect supplier relationships and should therefore be carefully managed.</w:t>
      </w:r>
    </w:p>
    <w:p w14:paraId="5C4BB046"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Overall, Marriott's relatively short and stable CCC indicates effective working capital management, supporting liquidity and financial flexibility while reducing short-term funding pressure.</w:t>
      </w:r>
    </w:p>
    <w:p w14:paraId="5D9E5015" w14:textId="77777777" w:rsidR="007746DA" w:rsidRPr="004F2B6F" w:rsidRDefault="007746DA" w:rsidP="004F2B6F">
      <w:pPr>
        <w:pStyle w:val="2"/>
        <w:spacing w:line="360" w:lineRule="auto"/>
        <w:rPr>
          <w:rFonts w:ascii="Arial" w:eastAsia="Times New Roman" w:hAnsi="Arial" w:cs="Arial"/>
          <w:lang w:val="en-US"/>
        </w:rPr>
      </w:pPr>
      <w:bookmarkStart w:id="16" w:name="_Toc237341494"/>
      <w:r w:rsidRPr="004F2B6F">
        <w:rPr>
          <w:rFonts w:ascii="Arial" w:eastAsia="Times New Roman" w:hAnsi="Arial" w:cs="Arial"/>
          <w:lang w:val="en-US"/>
        </w:rPr>
        <w:t xml:space="preserve">2.2 Strategies to </w:t>
      </w:r>
      <w:r w:rsidRPr="004F2B6F">
        <w:rPr>
          <w:rFonts w:ascii="Arial" w:hAnsi="Arial" w:cs="Arial"/>
        </w:rPr>
        <w:t>Improve</w:t>
      </w:r>
      <w:r w:rsidRPr="004F2B6F">
        <w:rPr>
          <w:rFonts w:ascii="Arial" w:eastAsia="Times New Roman" w:hAnsi="Arial" w:cs="Arial"/>
          <w:lang w:val="en-US"/>
        </w:rPr>
        <w:t xml:space="preserve"> </w:t>
      </w:r>
      <w:r w:rsidRPr="004F2B6F">
        <w:rPr>
          <w:rFonts w:ascii="Arial" w:hAnsi="Arial" w:cs="Arial"/>
        </w:rPr>
        <w:t>Liquidity</w:t>
      </w:r>
      <w:r w:rsidRPr="004F2B6F">
        <w:rPr>
          <w:rFonts w:ascii="Arial" w:eastAsia="Times New Roman" w:hAnsi="Arial" w:cs="Arial"/>
          <w:lang w:val="en-US"/>
        </w:rPr>
        <w:t xml:space="preserve"> through Working Capital Reforms</w:t>
      </w:r>
      <w:bookmarkEnd w:id="16"/>
    </w:p>
    <w:p w14:paraId="1D73256D"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Although Marriott demonstrates effective working capital management, further reforms could strengthen liquidity and financial resilience during periods of economic uncertainty.</w:t>
      </w:r>
    </w:p>
    <w:p w14:paraId="656F7A5F" w14:textId="378BCA3D"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 xml:space="preserve">First, Marriott could expand digital payment systems and AI-supported cash flow forecasting. Increasing direct online payments and automated processing could shorten receivable collection periods, while predictive analytics could forecast cash inflows, seasonal demand and potential collection risks. This would enable </w:t>
      </w:r>
      <w:r w:rsidRPr="004F2B6F">
        <w:rPr>
          <w:rFonts w:ascii="Arial" w:eastAsia="Times New Roman" w:hAnsi="Arial" w:cs="Arial"/>
          <w:lang w:val="en-US"/>
        </w:rPr>
        <w:lastRenderedPageBreak/>
        <w:t>management to optimise cash reserves and make better short-term financing decisions (Brigham and Ehrhardt, 202</w:t>
      </w:r>
      <w:r w:rsidR="00B7430F" w:rsidRPr="004F2B6F">
        <w:rPr>
          <w:rFonts w:ascii="Arial" w:eastAsia="Times New Roman" w:hAnsi="Arial" w:cs="Arial"/>
          <w:lang w:val="en-US"/>
        </w:rPr>
        <w:t>0</w:t>
      </w:r>
      <w:r w:rsidRPr="004F2B6F">
        <w:rPr>
          <w:rFonts w:ascii="Arial" w:eastAsia="Times New Roman" w:hAnsi="Arial" w:cs="Arial"/>
          <w:lang w:val="en-US"/>
        </w:rPr>
        <w:t>).</w:t>
      </w:r>
    </w:p>
    <w:p w14:paraId="00B67C10"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Marriott could also improve supplier payment management by negotiating flexible payment terms. Longer payment periods can preserve cash and strengthen short-term liquidity; however, excessive delays could damage supplier relationships. Where sufficient cash is available, early-payment discounts could also reduce costs and improve working capital efficiency.</w:t>
      </w:r>
    </w:p>
    <w:p w14:paraId="73C2145A"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Another priority is disciplined operating and capital expenditure management. Marriott's asset-light model already reduces investment in owned properties, but controlling expenditure remains important during periods of inflation and economic uncertainty. This would help preserve operating cash flows and financial flexibility.</w:t>
      </w:r>
    </w:p>
    <w:p w14:paraId="7793B6C8" w14:textId="77777777" w:rsidR="007746DA" w:rsidRPr="004F2B6F" w:rsidRDefault="007746DA" w:rsidP="004F2B6F">
      <w:pPr>
        <w:spacing w:line="360" w:lineRule="auto"/>
        <w:jc w:val="both"/>
        <w:rPr>
          <w:rFonts w:ascii="Arial" w:eastAsia="Times New Roman" w:hAnsi="Arial" w:cs="Arial"/>
          <w:lang w:val="en-US"/>
        </w:rPr>
      </w:pPr>
      <w:r w:rsidRPr="004F2B6F">
        <w:rPr>
          <w:rFonts w:ascii="Arial" w:eastAsia="Times New Roman" w:hAnsi="Arial" w:cs="Arial"/>
          <w:lang w:val="en-US"/>
        </w:rPr>
        <w:t>Finally, Marriott should maintain adequate liquidity reserves and committed credit facilities. Its liquidity ratios remain relatively low (see Appendix D), despite strong operating cash generation. Maintaining access to cash and credit would provide additional protection against unexpected reductions in travel demand or other economic disruptions.</w:t>
      </w:r>
    </w:p>
    <w:p w14:paraId="2FBF70DC" w14:textId="66D4FCB6" w:rsidR="004A1EB1" w:rsidRPr="004F2B6F" w:rsidRDefault="004A1EB1" w:rsidP="004F2B6F">
      <w:pPr>
        <w:pStyle w:val="2"/>
        <w:spacing w:line="360" w:lineRule="auto"/>
        <w:rPr>
          <w:rFonts w:ascii="Arial" w:eastAsia="Times New Roman" w:hAnsi="Arial" w:cs="Arial"/>
          <w:lang w:val="en-US"/>
        </w:rPr>
      </w:pPr>
      <w:bookmarkStart w:id="17" w:name="_Toc237341495"/>
      <w:r w:rsidRPr="004F2B6F">
        <w:rPr>
          <w:rFonts w:ascii="Arial" w:eastAsia="Times New Roman" w:hAnsi="Arial" w:cs="Arial"/>
          <w:lang w:val="en-US"/>
        </w:rPr>
        <w:t xml:space="preserve">2.3 </w:t>
      </w:r>
      <w:r w:rsidRPr="004F2B6F">
        <w:rPr>
          <w:rFonts w:ascii="Arial" w:hAnsi="Arial" w:cs="Arial"/>
        </w:rPr>
        <w:t>Comparison of Short-Term and Long-Term Financing Options</w:t>
      </w:r>
      <w:bookmarkEnd w:id="17"/>
    </w:p>
    <w:p w14:paraId="66E8A985"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t>Organisations typically finance their operations through a combination of short-term and long-term sources of finance. The choice between these alternatives depends on financing costs, liquidity requirements, investment objectives and risk tolerance (Brealey, Myers and Allen, 2023).</w:t>
      </w:r>
    </w:p>
    <w:p w14:paraId="06BC39F9"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t>Short-term financing generally includes bank overdrafts, revolving credit facilities, trade credit and short-term loans. These financing methods are typically less expensive than long-term borrowing and provide greater flexibility for managing temporary cash flow shortages or seasonal fluctuations in working capital. However, short-term finance exposes organisations to refinancing risk and interest rate volatility because borrowing must be renewed regularly. During periods of economic uncertainty or rising interest rates, excessive dependence on short-term borrowing may increase financial risk.</w:t>
      </w:r>
    </w:p>
    <w:p w14:paraId="7E08B316"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lastRenderedPageBreak/>
        <w:t>Long-term financing includes corporate bonds, long-term bank loans, lease financing and equity financing. These funding sources provide greater financial stability because repayment periods extend over many years and interest costs are generally more predictable. Long-term finance is particularly appropriate for strategic investments, such as technology development, hotel expansion and digital transformation projects, which generate returns over extended periods. However, long-term financing usually involves higher overall financing costs and reduces financial flexibility because organisations remain committed to repayments for longer periods.</w:t>
      </w:r>
    </w:p>
    <w:p w14:paraId="2ECB4496"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t>Given Marriott's financial position, long-term financing appears more appropriate for supporting strategic growth initiatives, while short-term financing should be reserved primarily for temporary working capital requirements. Marriott generates consistently strong operating cash flows (see Appendix C) and maintains a relatively stable Cash Conversion Cycle (see Appendix F), reducing its dependence on short-term borrowing to finance day-to-day operations. Furthermore, the company's asset-light business model requires lower levels of capital investment than traditional hotel ownership models, allowing internally generated cash flows to finance a substantial proportion of ongoing operations.</w:t>
      </w:r>
    </w:p>
    <w:p w14:paraId="4712F00E"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t>Nevertheless, maintaining access to short-term credit facilities remains important to provide flexibility during periods of seasonal demand fluctuations or unexpected economic shocks. A balanced financing strategy combining strong internally generated cash flows, prudent long-term borrowing and limited short-term financing would enable Marriott to maintain liquidity while supporting sustainable long-term growth.</w:t>
      </w:r>
    </w:p>
    <w:p w14:paraId="3C902074" w14:textId="77777777" w:rsidR="004A1EB1" w:rsidRPr="004F2B6F" w:rsidRDefault="004A1EB1" w:rsidP="004F2B6F">
      <w:pPr>
        <w:spacing w:line="360" w:lineRule="auto"/>
        <w:jc w:val="both"/>
        <w:rPr>
          <w:rFonts w:ascii="Arial" w:hAnsi="Arial" w:cs="Arial"/>
          <w:lang w:val="en-US"/>
        </w:rPr>
      </w:pPr>
      <w:r w:rsidRPr="004F2B6F">
        <w:rPr>
          <w:rFonts w:ascii="Arial" w:hAnsi="Arial" w:cs="Arial"/>
          <w:lang w:val="en-US"/>
        </w:rPr>
        <w:t>Overall, Marriott's current working capital management is effective and supports the company's financial performance. Continued investment in digital financial management, improved cash forecasting and prudent financing decisions would further strengthen liquidity while enhancing long-term financial resilience.</w:t>
      </w:r>
    </w:p>
    <w:p w14:paraId="23BC5FB2" w14:textId="7D5F51CE" w:rsidR="00FE0D43" w:rsidRPr="004F2B6F" w:rsidRDefault="00FE0D43" w:rsidP="004F2B6F">
      <w:pPr>
        <w:pStyle w:val="2"/>
        <w:spacing w:line="360" w:lineRule="auto"/>
        <w:rPr>
          <w:rFonts w:ascii="Arial" w:hAnsi="Arial" w:cs="Arial"/>
        </w:rPr>
      </w:pPr>
      <w:bookmarkStart w:id="18" w:name="_Toc237341496"/>
      <w:r w:rsidRPr="004F2B6F">
        <w:rPr>
          <w:rFonts w:ascii="Arial" w:hAnsi="Arial" w:cs="Arial"/>
        </w:rPr>
        <w:t>2.4 Summary of Working Capital Management</w:t>
      </w:r>
      <w:bookmarkEnd w:id="18"/>
    </w:p>
    <w:p w14:paraId="07F5AC43" w14:textId="77777777" w:rsidR="00FE0D43" w:rsidRPr="004F2B6F" w:rsidRDefault="00FE0D43" w:rsidP="004F2B6F">
      <w:pPr>
        <w:spacing w:line="360" w:lineRule="auto"/>
        <w:jc w:val="both"/>
        <w:rPr>
          <w:rFonts w:ascii="Arial" w:hAnsi="Arial" w:cs="Arial"/>
          <w:lang w:val="en-US"/>
        </w:rPr>
      </w:pPr>
      <w:r w:rsidRPr="004F2B6F">
        <w:rPr>
          <w:rFonts w:ascii="Arial" w:hAnsi="Arial" w:cs="Arial"/>
          <w:lang w:val="en-US"/>
        </w:rPr>
        <w:t xml:space="preserve">Overall, Marriott maintained effective working capital management through a stable Cash Conversion Cycle and strong operating cash flows. While further improvements in liquidity management are possible, the company demonstrates sufficient financial </w:t>
      </w:r>
      <w:r w:rsidRPr="004F2B6F">
        <w:rPr>
          <w:rFonts w:ascii="Arial" w:hAnsi="Arial" w:cs="Arial"/>
          <w:lang w:val="en-US"/>
        </w:rPr>
        <w:lastRenderedPageBreak/>
        <w:t>flexibility to support its operations. The next section proposes strategic financial restructuring options to strengthen Marriott's long-term financial position.</w:t>
      </w:r>
    </w:p>
    <w:p w14:paraId="42609FF5" w14:textId="77777777" w:rsidR="009A5B13" w:rsidRPr="004F2B6F" w:rsidRDefault="009A5B13" w:rsidP="004F2B6F">
      <w:pPr>
        <w:spacing w:line="360" w:lineRule="auto"/>
        <w:jc w:val="both"/>
        <w:rPr>
          <w:rFonts w:ascii="Arial" w:hAnsi="Arial" w:cs="Arial"/>
          <w:lang w:val="en-US"/>
        </w:rPr>
      </w:pPr>
    </w:p>
    <w:p w14:paraId="6D8EC2F7" w14:textId="77777777" w:rsidR="009A5B13" w:rsidRPr="004F2B6F" w:rsidRDefault="009A5B13" w:rsidP="004F2B6F">
      <w:pPr>
        <w:spacing w:line="360" w:lineRule="auto"/>
        <w:jc w:val="both"/>
        <w:rPr>
          <w:rFonts w:ascii="Arial" w:hAnsi="Arial" w:cs="Arial"/>
          <w:lang w:val="en-US"/>
        </w:rPr>
      </w:pPr>
    </w:p>
    <w:p w14:paraId="4916091C" w14:textId="4C1AE608" w:rsidR="00C02F17" w:rsidRPr="004F2B6F" w:rsidRDefault="009A5B13" w:rsidP="004F2B6F">
      <w:pPr>
        <w:pStyle w:val="1"/>
        <w:spacing w:line="360" w:lineRule="auto"/>
        <w:rPr>
          <w:rFonts w:ascii="Arial" w:eastAsia="Times New Roman" w:hAnsi="Arial" w:cs="Arial"/>
          <w:lang w:val="en-US"/>
        </w:rPr>
      </w:pPr>
      <w:bookmarkStart w:id="19" w:name="_Toc237341497"/>
      <w:r w:rsidRPr="004F2B6F">
        <w:rPr>
          <w:rFonts w:ascii="Arial" w:eastAsia="Times New Roman" w:hAnsi="Arial" w:cs="Arial"/>
          <w:lang w:val="en-US"/>
        </w:rPr>
        <w:t>3</w:t>
      </w:r>
      <w:r w:rsidR="00C02F17" w:rsidRPr="004F2B6F">
        <w:rPr>
          <w:rFonts w:ascii="Arial" w:eastAsia="Times New Roman" w:hAnsi="Arial" w:cs="Arial"/>
          <w:lang w:val="en-US"/>
        </w:rPr>
        <w:t xml:space="preserve"> </w:t>
      </w:r>
      <w:r w:rsidR="00C02F17" w:rsidRPr="004F2B6F">
        <w:rPr>
          <w:rFonts w:ascii="Arial" w:hAnsi="Arial" w:cs="Arial"/>
        </w:rPr>
        <w:t>Strategic</w:t>
      </w:r>
      <w:r w:rsidR="00C02F17" w:rsidRPr="004F2B6F">
        <w:rPr>
          <w:rFonts w:ascii="Arial" w:eastAsia="Times New Roman" w:hAnsi="Arial" w:cs="Arial"/>
          <w:lang w:val="en-US"/>
        </w:rPr>
        <w:t xml:space="preserve"> </w:t>
      </w:r>
      <w:r w:rsidRPr="004F2B6F">
        <w:rPr>
          <w:rFonts w:ascii="Arial" w:eastAsia="Times New Roman" w:hAnsi="Arial" w:cs="Arial"/>
          <w:lang w:val="en-US"/>
        </w:rPr>
        <w:t>Financial Restructuring Plan</w:t>
      </w:r>
      <w:bookmarkEnd w:id="19"/>
    </w:p>
    <w:p w14:paraId="78E68295" w14:textId="0F710B3B" w:rsidR="004C02E4" w:rsidRPr="004F2B6F" w:rsidRDefault="005A6897" w:rsidP="004F2B6F">
      <w:pPr>
        <w:pStyle w:val="2"/>
        <w:spacing w:line="360" w:lineRule="auto"/>
        <w:rPr>
          <w:rFonts w:ascii="Arial" w:hAnsi="Arial" w:cs="Arial"/>
          <w:lang w:val="en-US"/>
        </w:rPr>
      </w:pPr>
      <w:bookmarkStart w:id="20" w:name="_Toc237341498"/>
      <w:r w:rsidRPr="004F2B6F">
        <w:rPr>
          <w:rFonts w:ascii="Arial" w:hAnsi="Arial" w:cs="Arial"/>
        </w:rPr>
        <w:t>3.1 Recommended Financial Restructuring Options</w:t>
      </w:r>
      <w:bookmarkEnd w:id="20"/>
    </w:p>
    <w:p w14:paraId="72C6D56B" w14:textId="77777777" w:rsidR="00FA0D22" w:rsidRPr="004F2B6F" w:rsidRDefault="00FA0D22" w:rsidP="004F2B6F">
      <w:pPr>
        <w:spacing w:line="360" w:lineRule="auto"/>
        <w:jc w:val="both"/>
        <w:rPr>
          <w:rFonts w:ascii="Arial" w:eastAsia="Times New Roman" w:hAnsi="Arial" w:cs="Arial"/>
          <w:lang w:val="en-US"/>
        </w:rPr>
      </w:pPr>
      <w:r w:rsidRPr="004F2B6F">
        <w:rPr>
          <w:rFonts w:ascii="Arial" w:eastAsia="Times New Roman" w:hAnsi="Arial" w:cs="Arial"/>
          <w:lang w:val="en-US"/>
        </w:rPr>
        <w:t>Financial restructuring can strengthen financial stability and long-term shareholder value through changes to capital structure, assets and financing strategy (Brealey, Myers and Allen, 2023). Based on the analysis in Sections 1 and 2, Marriott remains financially strong but could further reduce financial risk and improve flexibility.</w:t>
      </w:r>
    </w:p>
    <w:p w14:paraId="50F6601B" w14:textId="77777777" w:rsidR="00FA0D22" w:rsidRPr="004F2B6F" w:rsidRDefault="00FA0D22" w:rsidP="004F2B6F">
      <w:pPr>
        <w:spacing w:line="360" w:lineRule="auto"/>
        <w:jc w:val="both"/>
        <w:rPr>
          <w:rFonts w:ascii="Arial" w:eastAsia="Times New Roman" w:hAnsi="Arial" w:cs="Arial"/>
          <w:lang w:val="en-US"/>
        </w:rPr>
      </w:pPr>
      <w:r w:rsidRPr="004F2B6F">
        <w:rPr>
          <w:rFonts w:ascii="Arial" w:eastAsia="Times New Roman" w:hAnsi="Arial" w:cs="Arial"/>
          <w:lang w:val="en-US"/>
        </w:rPr>
        <w:t>First, Marriott should continue a selective asset-light divestiture strategy, disposing of non-core owned properties while expanding management and franchise agreements. This could release capital, improve asset efficiency and generate cash for strategic investment without limiting global expansion.</w:t>
      </w:r>
    </w:p>
    <w:p w14:paraId="2BB98BA3" w14:textId="77777777" w:rsidR="004C02E4" w:rsidRPr="004F2B6F" w:rsidRDefault="004C02E4" w:rsidP="004F2B6F">
      <w:pPr>
        <w:spacing w:line="360" w:lineRule="auto"/>
        <w:jc w:val="both"/>
        <w:rPr>
          <w:rFonts w:ascii="Arial" w:eastAsia="Times New Roman" w:hAnsi="Arial" w:cs="Arial"/>
        </w:rPr>
      </w:pPr>
      <w:r w:rsidRPr="004F2B6F">
        <w:rPr>
          <w:rFonts w:ascii="Arial" w:eastAsia="Times New Roman" w:hAnsi="Arial" w:cs="Arial"/>
        </w:rPr>
        <w:t>Second, Marriott should rebalance its capital structure. The company maintains relatively high leverage and negative shareholders' equity, partly due to substantial share repurchases. Capital structure is particularly important within the hospitality industry because financing decisions influence financial risk and long-term performance (Guahk, 2020). Moderating future buybacks and directing more operating cash flow towards debt reduction could lower interest costs and strengthen financial resilience, particularly during periods of higher borrowing costs.</w:t>
      </w:r>
    </w:p>
    <w:p w14:paraId="0C3B9914" w14:textId="4354EA9E" w:rsidR="00FA0D22" w:rsidRPr="004F2B6F" w:rsidRDefault="00FA0D22" w:rsidP="004F2B6F">
      <w:pPr>
        <w:spacing w:line="360" w:lineRule="auto"/>
        <w:jc w:val="both"/>
        <w:rPr>
          <w:rFonts w:ascii="Arial" w:eastAsia="Times New Roman" w:hAnsi="Arial" w:cs="Arial"/>
          <w:lang w:val="en-US"/>
        </w:rPr>
      </w:pPr>
      <w:r w:rsidRPr="004F2B6F">
        <w:rPr>
          <w:rFonts w:ascii="Arial" w:eastAsia="Times New Roman" w:hAnsi="Arial" w:cs="Arial"/>
          <w:lang w:val="en-US"/>
        </w:rPr>
        <w:t>Third, targeted acquisitions and strategic partnerships are preferable to a large-scale merger. Marriott already has an extensive global portfolio; therefore, selective investments in luxury, lifestyle, technology or sustainable hospitality businesses could support growth while limiting integration risk. A major equity injection is also unnecessary given Marriott's strong operating cash generation and could dilute existing shareholders.</w:t>
      </w:r>
    </w:p>
    <w:p w14:paraId="656C4EC8" w14:textId="77777777" w:rsidR="00FA0D22" w:rsidRPr="004F2B6F" w:rsidRDefault="00FA0D22" w:rsidP="004F2B6F">
      <w:pPr>
        <w:spacing w:line="360" w:lineRule="auto"/>
        <w:jc w:val="both"/>
        <w:rPr>
          <w:rFonts w:ascii="Arial" w:eastAsia="Times New Roman" w:hAnsi="Arial" w:cs="Arial"/>
          <w:lang w:val="en-US"/>
        </w:rPr>
      </w:pPr>
      <w:r w:rsidRPr="004F2B6F">
        <w:rPr>
          <w:rFonts w:ascii="Arial" w:eastAsia="Times New Roman" w:hAnsi="Arial" w:cs="Arial"/>
          <w:lang w:val="en-US"/>
        </w:rPr>
        <w:t xml:space="preserve">Finally, Marriott should continue investing in digital transformation and AI, particularly revenue management, demand forecasting and customer personalisation. These </w:t>
      </w:r>
      <w:r w:rsidRPr="004F2B6F">
        <w:rPr>
          <w:rFonts w:ascii="Arial" w:eastAsia="Times New Roman" w:hAnsi="Arial" w:cs="Arial"/>
          <w:lang w:val="en-US"/>
        </w:rPr>
        <w:lastRenderedPageBreak/>
        <w:t>technologies could improve pricing, occupancy and operational efficiency while supporting long-term competitiveness.</w:t>
      </w:r>
    </w:p>
    <w:p w14:paraId="0717498B" w14:textId="77777777" w:rsidR="00FA0D22" w:rsidRPr="004F2B6F" w:rsidRDefault="00FA0D22" w:rsidP="004F2B6F">
      <w:pPr>
        <w:spacing w:line="360" w:lineRule="auto"/>
        <w:jc w:val="both"/>
        <w:rPr>
          <w:rFonts w:ascii="Arial" w:eastAsia="Times New Roman" w:hAnsi="Arial" w:cs="Arial"/>
          <w:lang w:val="en-US"/>
        </w:rPr>
      </w:pPr>
      <w:r w:rsidRPr="004F2B6F">
        <w:rPr>
          <w:rFonts w:ascii="Arial" w:eastAsia="Times New Roman" w:hAnsi="Arial" w:cs="Arial"/>
          <w:lang w:val="en-US"/>
        </w:rPr>
        <w:t>Overall, these options provide a balanced restructuring approach focused on financial resilience, targeted growth and efficient capital allocation.</w:t>
      </w:r>
    </w:p>
    <w:p w14:paraId="39C502C3" w14:textId="524F12B2" w:rsidR="009A5B13" w:rsidRPr="004F2B6F" w:rsidRDefault="009A5B13" w:rsidP="004F2B6F">
      <w:pPr>
        <w:pStyle w:val="2"/>
        <w:spacing w:line="360" w:lineRule="auto"/>
        <w:rPr>
          <w:rFonts w:ascii="Arial" w:eastAsia="Times New Roman" w:hAnsi="Arial" w:cs="Arial"/>
          <w:lang w:val="en-US"/>
        </w:rPr>
      </w:pPr>
      <w:bookmarkStart w:id="21" w:name="_Toc237341499"/>
      <w:r w:rsidRPr="004F2B6F">
        <w:rPr>
          <w:rFonts w:ascii="Arial" w:eastAsia="Times New Roman" w:hAnsi="Arial" w:cs="Arial"/>
          <w:lang w:val="en-US"/>
        </w:rPr>
        <w:t xml:space="preserve">3.2 </w:t>
      </w:r>
      <w:r w:rsidRPr="004F2B6F">
        <w:rPr>
          <w:rFonts w:ascii="Arial" w:hAnsi="Arial" w:cs="Arial"/>
          <w:lang w:val="en-US"/>
        </w:rPr>
        <w:t xml:space="preserve">Impact on </w:t>
      </w:r>
      <w:r w:rsidRPr="004F2B6F">
        <w:rPr>
          <w:rFonts w:ascii="Arial" w:hAnsi="Arial" w:cs="Arial"/>
        </w:rPr>
        <w:t>Shareholder</w:t>
      </w:r>
      <w:r w:rsidRPr="004F2B6F">
        <w:rPr>
          <w:rFonts w:ascii="Arial" w:hAnsi="Arial" w:cs="Arial"/>
          <w:lang w:val="en-US"/>
        </w:rPr>
        <w:t xml:space="preserve"> </w:t>
      </w:r>
      <w:r w:rsidRPr="004F2B6F">
        <w:rPr>
          <w:rFonts w:ascii="Arial" w:hAnsi="Arial" w:cs="Arial"/>
        </w:rPr>
        <w:t>Value</w:t>
      </w:r>
      <w:r w:rsidRPr="004F2B6F">
        <w:rPr>
          <w:rFonts w:ascii="Arial" w:hAnsi="Arial" w:cs="Arial"/>
          <w:lang w:val="en-US"/>
        </w:rPr>
        <w:t>, Debt Structure and Operational Flexibility</w:t>
      </w:r>
      <w:bookmarkEnd w:id="21"/>
      <w:r w:rsidRPr="004F2B6F">
        <w:rPr>
          <w:rFonts w:ascii="Arial" w:hAnsi="Arial" w:cs="Arial"/>
          <w:lang w:val="en-US"/>
        </w:rPr>
        <w:t xml:space="preserve"> </w:t>
      </w:r>
    </w:p>
    <w:p w14:paraId="52E596B1" w14:textId="51876142"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proposed restructuring could strengthen Marriott's financial position while supporting long-term shareholder value. Reducing debt through internally generated cash flows would lower financial leverage and future interest expenses. Although debt can enhance shareholder returns during periods of growth, excessive leverage increases financial risk, particularly during economic downturns and periods of higher interest rates (Atrill and McLaney, 202</w:t>
      </w:r>
      <w:r w:rsidR="00B7430F" w:rsidRPr="004F2B6F">
        <w:rPr>
          <w:rFonts w:ascii="Arial" w:hAnsi="Arial" w:cs="Arial"/>
          <w:lang w:val="en-US"/>
        </w:rPr>
        <w:t>4</w:t>
      </w:r>
      <w:r w:rsidRPr="004F2B6F">
        <w:rPr>
          <w:rFonts w:ascii="Arial" w:hAnsi="Arial" w:cs="Arial"/>
          <w:lang w:val="en-US"/>
        </w:rPr>
        <w:t>).</w:t>
      </w:r>
    </w:p>
    <w:p w14:paraId="4CD2EC87"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Temporarily moderating share repurchases may reduce short-term earnings per share growth; however, using additional cash for debt reduction could strengthen the balance sheet and improve long-term financial resilience. This represents a trade-off between immediate shareholder distributions and sustainable value creation.</w:t>
      </w:r>
    </w:p>
    <w:p w14:paraId="52C8C3EB"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The asset-light divestiture strategy would further increase operational flexibility. Reducing capital invested in owned properties while expanding franchise and management agreements enables Marriott to enter new markets with lower financial exposure and respond more quickly to changing demand.</w:t>
      </w:r>
    </w:p>
    <w:p w14:paraId="7B10F625"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Investment in AI and digital technologies could also improve forecasting, revenue management and customer experience while reducing operating costs. Together, these restructuring initiatives would provide Marriott with greater flexibility to respond to market changes and pursue future investment opportunities.</w:t>
      </w:r>
    </w:p>
    <w:p w14:paraId="54BFD93C" w14:textId="77777777" w:rsidR="00FA0D22" w:rsidRPr="004F2B6F" w:rsidRDefault="00FA0D22" w:rsidP="004F2B6F">
      <w:pPr>
        <w:spacing w:line="360" w:lineRule="auto"/>
        <w:jc w:val="both"/>
        <w:rPr>
          <w:rFonts w:ascii="Arial" w:hAnsi="Arial" w:cs="Arial"/>
          <w:lang w:val="en-US"/>
        </w:rPr>
      </w:pPr>
      <w:r w:rsidRPr="004F2B6F">
        <w:rPr>
          <w:rFonts w:ascii="Arial" w:hAnsi="Arial" w:cs="Arial"/>
          <w:lang w:val="en-US"/>
        </w:rPr>
        <w:t>Overall, the strategy balances shareholder value, debt reduction and operational flexibility, supporting sustainable growth without significantly increasing Marriott's financial risk.</w:t>
      </w:r>
    </w:p>
    <w:p w14:paraId="710A6DD5" w14:textId="4457A46E" w:rsidR="009A5B13" w:rsidRPr="004F2B6F" w:rsidRDefault="009A5B13" w:rsidP="004F2B6F">
      <w:pPr>
        <w:pStyle w:val="2"/>
        <w:spacing w:line="360" w:lineRule="auto"/>
        <w:rPr>
          <w:rFonts w:ascii="Arial" w:eastAsia="Times New Roman" w:hAnsi="Arial" w:cs="Arial"/>
          <w:lang w:val="en-US"/>
        </w:rPr>
      </w:pPr>
      <w:bookmarkStart w:id="22" w:name="_Toc237341500"/>
      <w:r w:rsidRPr="004F2B6F">
        <w:rPr>
          <w:rFonts w:ascii="Arial" w:eastAsia="Times New Roman" w:hAnsi="Arial" w:cs="Arial"/>
          <w:lang w:val="en-US"/>
        </w:rPr>
        <w:lastRenderedPageBreak/>
        <w:t>3.3</w:t>
      </w:r>
      <w:r w:rsidRPr="004F2B6F">
        <w:rPr>
          <w:rFonts w:ascii="Arial" w:hAnsi="Arial" w:cs="Arial"/>
          <w:lang w:val="en-US"/>
        </w:rPr>
        <w:t xml:space="preserve"> International </w:t>
      </w:r>
      <w:r w:rsidRPr="004F2B6F">
        <w:rPr>
          <w:rFonts w:ascii="Arial" w:hAnsi="Arial" w:cs="Arial"/>
        </w:rPr>
        <w:t>and</w:t>
      </w:r>
      <w:r w:rsidRPr="004F2B6F">
        <w:rPr>
          <w:rFonts w:ascii="Arial" w:hAnsi="Arial" w:cs="Arial"/>
          <w:lang w:val="en-US"/>
        </w:rPr>
        <w:t xml:space="preserve"> Ethical Considerations</w:t>
      </w:r>
      <w:bookmarkEnd w:id="22"/>
      <w:r w:rsidRPr="004F2B6F">
        <w:rPr>
          <w:rFonts w:ascii="Arial" w:eastAsia="Times New Roman" w:hAnsi="Arial" w:cs="Arial"/>
          <w:lang w:val="en-US"/>
        </w:rPr>
        <w:t xml:space="preserve"> </w:t>
      </w:r>
    </w:p>
    <w:p w14:paraId="15105603"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As one of the world's largest multinational hospitality companies, Marriott must consider international financial risks alongside ethical and sustainability responsibilities when implementing any restructuring strategy.</w:t>
      </w:r>
    </w:p>
    <w:p w14:paraId="2EC072BA" w14:textId="3C963231" w:rsidR="009A5B13" w:rsidRPr="004F2B6F" w:rsidRDefault="009A5B13" w:rsidP="004F2B6F">
      <w:pPr>
        <w:spacing w:line="360" w:lineRule="auto"/>
        <w:jc w:val="both"/>
        <w:rPr>
          <w:rFonts w:ascii="Arial" w:hAnsi="Arial" w:cs="Arial"/>
          <w:lang w:val="en-US"/>
        </w:rPr>
      </w:pPr>
      <w:r w:rsidRPr="004F2B6F">
        <w:rPr>
          <w:rFonts w:ascii="Arial" w:hAnsi="Arial" w:cs="Arial"/>
          <w:lang w:val="en-US"/>
        </w:rPr>
        <w:t>One significant international consideration is currency risk. Marriott generates substantial revenues across multiple geographical regions while reporting its financial results in US dollars. Exchange rate fluctuations may affect reported revenue, operating profits and cash flows. Expanding the use of natural hedging strategies and financial hedging instruments could reduce exposure to currency volatility and improve financial stability (Brigham and Ehrhardt, 202</w:t>
      </w:r>
      <w:r w:rsidR="00B7430F" w:rsidRPr="004F2B6F">
        <w:rPr>
          <w:rFonts w:ascii="Arial" w:hAnsi="Arial" w:cs="Arial"/>
          <w:lang w:val="en-US"/>
        </w:rPr>
        <w:t>0</w:t>
      </w:r>
      <w:r w:rsidRPr="004F2B6F">
        <w:rPr>
          <w:rFonts w:ascii="Arial" w:hAnsi="Arial" w:cs="Arial"/>
          <w:lang w:val="en-US"/>
        </w:rPr>
        <w:t>).</w:t>
      </w:r>
    </w:p>
    <w:p w14:paraId="27FE27E8"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Inflation also remains a significant challenge for the hospitality industry. Rising labour costs, utility expenses and food prices place pressure on operating margins and profitability. Marriott should continue implementing dynamic pricing strategies, operational efficiency programmes and technology investments to offset inflationary pressures while maintaining service quality.</w:t>
      </w:r>
    </w:p>
    <w:p w14:paraId="5C4DBD0E"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International taxation represents another important consideration. Marriott operates across numerous tax jurisdictions with different corporate tax regulations and reporting requirements. Maintaining transparent tax planning practices while ensuring full compliance with international tax legislation is essential for protecting corporate reputation and reducing regulatory risk. Ethical tax management should prioritise compliance rather than aggressive tax avoidance strategies.</w:t>
      </w:r>
    </w:p>
    <w:p w14:paraId="2D5AB0C2"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 xml:space="preserve">Environmental, Social and Governance (ESG) considerations should also remain central to Marriott's long-term financial strategy. Investors increasingly evaluate organisations based on sustainability performance alongside financial results. Marriott has already committed to reducing carbon emissions, improving energy efficiency and promoting responsible tourism through its </w:t>
      </w:r>
      <w:r w:rsidRPr="004F2B6F">
        <w:rPr>
          <w:rFonts w:ascii="Arial" w:hAnsi="Arial" w:cs="Arial"/>
          <w:i/>
          <w:iCs/>
          <w:lang w:val="en-US"/>
        </w:rPr>
        <w:t>Serve 360</w:t>
      </w:r>
      <w:r w:rsidRPr="004F2B6F">
        <w:rPr>
          <w:rFonts w:ascii="Arial" w:hAnsi="Arial" w:cs="Arial"/>
          <w:lang w:val="en-US"/>
        </w:rPr>
        <w:t xml:space="preserve"> sustainability programme (Marriott International, 2026). Continued investment in renewable energy, sustainable hotel operations and responsible supply chain management would strengthen stakeholder confidence while supporting long-term business sustainability.</w:t>
      </w:r>
    </w:p>
    <w:p w14:paraId="0B3BC0D2"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 xml:space="preserve">Furthermore, restructuring initiatives should consider their social impact. Any asset disposals, operational changes or technology investments should be implemented </w:t>
      </w:r>
      <w:r w:rsidRPr="004F2B6F">
        <w:rPr>
          <w:rFonts w:ascii="Arial" w:hAnsi="Arial" w:cs="Arial"/>
          <w:lang w:val="en-US"/>
        </w:rPr>
        <w:lastRenderedPageBreak/>
        <w:t>responsibly, ensuring employees receive appropriate support, retraining and development opportunities. Maintaining strong employee engagement while embracing digital transformation will help preserve Marriott's service quality and organisational culture.</w:t>
      </w:r>
    </w:p>
    <w:p w14:paraId="0E60F090" w14:textId="77777777" w:rsidR="009A5B13" w:rsidRPr="004F2B6F" w:rsidRDefault="009A5B13" w:rsidP="004F2B6F">
      <w:pPr>
        <w:spacing w:line="360" w:lineRule="auto"/>
        <w:jc w:val="both"/>
        <w:rPr>
          <w:rFonts w:ascii="Arial" w:hAnsi="Arial" w:cs="Arial"/>
          <w:lang w:val="en-US"/>
        </w:rPr>
      </w:pPr>
      <w:r w:rsidRPr="004F2B6F">
        <w:rPr>
          <w:rFonts w:ascii="Arial" w:hAnsi="Arial" w:cs="Arial"/>
          <w:lang w:val="en-US"/>
        </w:rPr>
        <w:t>Overall, successful financial restructuring requires balancing financial performance with responsible corporate governance, sustainable business practices and long-term stakeholder value. Integrating financial discipline with ethical decision-making will strengthen Marriott's competitive advantage while supporting sustainable growth within an increasingly complex international business environment.</w:t>
      </w:r>
    </w:p>
    <w:p w14:paraId="19C90FE3" w14:textId="02037960" w:rsidR="00FE0D43" w:rsidRPr="004F2B6F" w:rsidRDefault="00FE0D43" w:rsidP="004F2B6F">
      <w:pPr>
        <w:pStyle w:val="2"/>
        <w:spacing w:line="360" w:lineRule="auto"/>
        <w:rPr>
          <w:rFonts w:ascii="Arial" w:eastAsia="Times New Roman" w:hAnsi="Arial" w:cs="Arial"/>
          <w:lang w:val="en-US"/>
        </w:rPr>
      </w:pPr>
      <w:bookmarkStart w:id="23" w:name="_Toc237341501"/>
      <w:r w:rsidRPr="004F2B6F">
        <w:rPr>
          <w:rFonts w:ascii="Arial" w:eastAsia="Times New Roman" w:hAnsi="Arial" w:cs="Arial"/>
          <w:lang w:val="en-US"/>
        </w:rPr>
        <w:t>3.4</w:t>
      </w:r>
      <w:r w:rsidRPr="004F2B6F">
        <w:rPr>
          <w:rFonts w:ascii="Arial" w:hAnsi="Arial" w:cs="Arial"/>
          <w:lang w:val="en-US"/>
        </w:rPr>
        <w:t xml:space="preserve"> </w:t>
      </w:r>
      <w:r w:rsidRPr="004F2B6F">
        <w:rPr>
          <w:rFonts w:ascii="Arial" w:hAnsi="Arial" w:cs="Arial"/>
        </w:rPr>
        <w:t>Summary of Strategic Financial Restructuring</w:t>
      </w:r>
      <w:bookmarkEnd w:id="23"/>
    </w:p>
    <w:p w14:paraId="02BE6BF3" w14:textId="3F3813F9" w:rsidR="009A5B13" w:rsidRPr="004F2B6F" w:rsidRDefault="00FE0D43" w:rsidP="004F2B6F">
      <w:pPr>
        <w:spacing w:line="360" w:lineRule="auto"/>
        <w:jc w:val="both"/>
        <w:rPr>
          <w:rFonts w:ascii="Arial" w:hAnsi="Arial" w:cs="Arial"/>
          <w:lang w:val="en-US"/>
        </w:rPr>
      </w:pPr>
      <w:r w:rsidRPr="004F2B6F">
        <w:rPr>
          <w:rFonts w:ascii="Arial" w:hAnsi="Arial" w:cs="Arial"/>
        </w:rPr>
        <w:t>Overall, the proposed restructuring strategy strengthens Marriott's financial resilience by supporting sustainable growth, improving operational flexibility and reducing financial risk. Combining prudent financial management with responsible international and ESG practices will help the company maintain its competitive advantage and create long-term value for shareholders.</w:t>
      </w:r>
    </w:p>
    <w:p w14:paraId="570CD295" w14:textId="77777777" w:rsidR="009A5B13" w:rsidRPr="004F2B6F" w:rsidRDefault="009A5B13" w:rsidP="004F2B6F">
      <w:pPr>
        <w:spacing w:line="360" w:lineRule="auto"/>
        <w:jc w:val="both"/>
        <w:rPr>
          <w:rFonts w:ascii="Arial" w:hAnsi="Arial" w:cs="Arial"/>
          <w:lang w:val="en-US"/>
        </w:rPr>
      </w:pPr>
    </w:p>
    <w:p w14:paraId="3B0F1B46" w14:textId="77777777" w:rsidR="004F415C" w:rsidRPr="004F2B6F" w:rsidRDefault="004F415C" w:rsidP="004F2B6F">
      <w:pPr>
        <w:spacing w:line="360" w:lineRule="auto"/>
        <w:jc w:val="both"/>
        <w:rPr>
          <w:rFonts w:ascii="Arial" w:hAnsi="Arial" w:cs="Arial"/>
          <w:lang w:val="en-US"/>
        </w:rPr>
      </w:pPr>
    </w:p>
    <w:p w14:paraId="3E6BD441" w14:textId="6C3C6319" w:rsidR="00C02F17" w:rsidRPr="004F2B6F" w:rsidRDefault="00FE0D43" w:rsidP="004F2B6F">
      <w:pPr>
        <w:pStyle w:val="1"/>
        <w:spacing w:line="360" w:lineRule="auto"/>
        <w:rPr>
          <w:rFonts w:ascii="Arial" w:eastAsia="Times New Roman" w:hAnsi="Arial" w:cs="Arial"/>
          <w:lang w:val="en-US"/>
        </w:rPr>
      </w:pPr>
      <w:bookmarkStart w:id="24" w:name="_Toc237341502"/>
      <w:r w:rsidRPr="004F2B6F">
        <w:rPr>
          <w:rFonts w:ascii="Arial" w:eastAsia="Times New Roman" w:hAnsi="Arial" w:cs="Arial"/>
          <w:lang w:val="en-US"/>
        </w:rPr>
        <w:t>4</w:t>
      </w:r>
      <w:r w:rsidR="00C02F17" w:rsidRPr="004F2B6F">
        <w:rPr>
          <w:rFonts w:ascii="Arial" w:eastAsia="Times New Roman" w:hAnsi="Arial" w:cs="Arial"/>
          <w:lang w:val="en-US"/>
        </w:rPr>
        <w:t xml:space="preserve"> </w:t>
      </w:r>
      <w:r w:rsidRPr="004F2B6F">
        <w:rPr>
          <w:rFonts w:ascii="Arial" w:hAnsi="Arial" w:cs="Arial"/>
        </w:rPr>
        <w:t>Investment</w:t>
      </w:r>
      <w:r w:rsidRPr="004F2B6F">
        <w:rPr>
          <w:rFonts w:ascii="Arial" w:eastAsia="Times New Roman" w:hAnsi="Arial" w:cs="Arial"/>
        </w:rPr>
        <w:t xml:space="preserve"> Appraisal and Capital Budgeting</w:t>
      </w:r>
      <w:bookmarkEnd w:id="24"/>
    </w:p>
    <w:p w14:paraId="1D839E3B" w14:textId="77777777" w:rsidR="002312FC" w:rsidRPr="004F2B6F" w:rsidRDefault="002312FC" w:rsidP="004F2B6F">
      <w:pPr>
        <w:pStyle w:val="2"/>
        <w:spacing w:line="360" w:lineRule="auto"/>
        <w:rPr>
          <w:rFonts w:ascii="Arial" w:hAnsi="Arial" w:cs="Arial"/>
          <w:lang w:val="en-US"/>
        </w:rPr>
      </w:pPr>
      <w:bookmarkStart w:id="25" w:name="_Toc237341503"/>
      <w:r w:rsidRPr="004F2B6F">
        <w:rPr>
          <w:rFonts w:ascii="Arial" w:hAnsi="Arial" w:cs="Arial"/>
          <w:lang w:val="en-US"/>
        </w:rPr>
        <w:t xml:space="preserve">4.1 </w:t>
      </w:r>
      <w:r w:rsidRPr="004F2B6F">
        <w:rPr>
          <w:rFonts w:ascii="Arial" w:hAnsi="Arial" w:cs="Arial"/>
        </w:rPr>
        <w:t>Introduction</w:t>
      </w:r>
      <w:bookmarkEnd w:id="25"/>
    </w:p>
    <w:p w14:paraId="2560CDF8"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Investment appraisal supports capital budgeting decisions by assessing whether proposed projects are likely to generate sufficient returns and create shareholder value (Brealey, Myers and Allen, 2023). This section evaluates three £50 million investment projects using Payback Period (PBP), Accounting Rate of Return (ARR), Net Present Value (NPV), Profitability Index (PI) and Internal Rate of Return (IRR). An 8% discount rate and straight-line depreciation to zero are applied. Detailed calculations are presented in Appendix G – Investment Appraisal and Capital Budgeting Calculations. The results are then considered alongside Marriott's financial position and relevant non-financial risks to determine the most appropriate investment decision.</w:t>
      </w:r>
    </w:p>
    <w:p w14:paraId="270D4C81" w14:textId="77777777" w:rsidR="009D1D08" w:rsidRPr="004F2B6F" w:rsidRDefault="009D1D08" w:rsidP="004F2B6F">
      <w:pPr>
        <w:pStyle w:val="2"/>
        <w:spacing w:line="360" w:lineRule="auto"/>
        <w:rPr>
          <w:rFonts w:ascii="Arial" w:hAnsi="Arial" w:cs="Arial"/>
          <w:lang w:val="en-US"/>
        </w:rPr>
      </w:pPr>
      <w:bookmarkStart w:id="26" w:name="_Toc237341504"/>
      <w:r w:rsidRPr="004F2B6F">
        <w:rPr>
          <w:rFonts w:ascii="Arial" w:hAnsi="Arial" w:cs="Arial"/>
          <w:lang w:val="en-US"/>
        </w:rPr>
        <w:lastRenderedPageBreak/>
        <w:t xml:space="preserve">4.2 Investment </w:t>
      </w:r>
      <w:r w:rsidRPr="004F2B6F">
        <w:rPr>
          <w:rFonts w:ascii="Arial" w:hAnsi="Arial" w:cs="Arial"/>
        </w:rPr>
        <w:t>Appraisal</w:t>
      </w:r>
      <w:r w:rsidRPr="004F2B6F">
        <w:rPr>
          <w:rFonts w:ascii="Arial" w:hAnsi="Arial" w:cs="Arial"/>
          <w:lang w:val="en-US"/>
        </w:rPr>
        <w:t xml:space="preserve"> Results</w:t>
      </w:r>
      <w:bookmarkEnd w:id="26"/>
    </w:p>
    <w:p w14:paraId="7A7FE537"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The investment appraisal results show clear differences between the three projects (see Appendix G – Investment Appraisal and Capital Budgeting Calculations). Each method considers a different aspect of investment performance; therefore, the results should be evaluated together rather than relying on a single measure.</w:t>
      </w:r>
    </w:p>
    <w:p w14:paraId="1789788D" w14:textId="263FC2CA" w:rsidR="00F61AFE" w:rsidRPr="004F2B6F" w:rsidRDefault="00F61AFE" w:rsidP="004F2B6F">
      <w:pPr>
        <w:spacing w:line="360" w:lineRule="auto"/>
        <w:jc w:val="both"/>
        <w:rPr>
          <w:rFonts w:ascii="Arial" w:hAnsi="Arial" w:cs="Arial"/>
          <w:lang w:val="en-US"/>
        </w:rPr>
      </w:pPr>
      <w:r w:rsidRPr="004F2B6F">
        <w:rPr>
          <w:rFonts w:ascii="Arial" w:hAnsi="Arial" w:cs="Arial"/>
          <w:lang w:val="en-US"/>
        </w:rPr>
        <w:t>The Payback Period (PBP) measures how quickly the initial investment is recovered. Project C has the shortest payback at 3.60 years, compared with 4.50 years for Project A and 4.55 years for Project B. Faster recovery reduces investment risk and is particularly relevant given Marriott's relatively low liquidity ratios. However, PBP ignores both the time value of money and cash flows after the payback point (Atrill and McLaney, 202</w:t>
      </w:r>
      <w:r w:rsidR="00B7430F" w:rsidRPr="004F2B6F">
        <w:rPr>
          <w:rFonts w:ascii="Arial" w:hAnsi="Arial" w:cs="Arial"/>
          <w:lang w:val="en-US"/>
        </w:rPr>
        <w:t>4</w:t>
      </w:r>
      <w:r w:rsidRPr="004F2B6F">
        <w:rPr>
          <w:rFonts w:ascii="Arial" w:hAnsi="Arial" w:cs="Arial"/>
          <w:lang w:val="en-US"/>
        </w:rPr>
        <w:t>).</w:t>
      </w:r>
    </w:p>
    <w:p w14:paraId="0FE27F95"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The Accounting Rate of Return (ARR) measures average accounting profit relative to the initial investment. Project C produces the highest ARR at 6.0%, compared with 2.0% for B and 1.6% for A. Although this indicates stronger accounting profitability, ARR does not account for the timing of cash flows.</w:t>
      </w:r>
    </w:p>
    <w:p w14:paraId="5E1C2788" w14:textId="77777777" w:rsidR="00A2297B" w:rsidRPr="004F2B6F" w:rsidRDefault="00A2297B" w:rsidP="004F2B6F">
      <w:pPr>
        <w:spacing w:line="360" w:lineRule="auto"/>
        <w:jc w:val="both"/>
        <w:rPr>
          <w:rFonts w:ascii="Arial" w:hAnsi="Arial" w:cs="Arial"/>
        </w:rPr>
      </w:pPr>
      <w:r w:rsidRPr="004F2B6F">
        <w:rPr>
          <w:rFonts w:ascii="Arial" w:hAnsi="Arial" w:cs="Arial"/>
        </w:rPr>
        <w:t>The Net Present Value (NPV) incorporates the time value of money and directly measures value creation. At the 8% discount rate, Project C generates a positive NPV of £0.86 million, whereas Projects A and B generate NPVs of −£6.54 million and −£6.08 million respectively. Therefore, only Project C is expected to increase shareholder value.</w:t>
      </w:r>
    </w:p>
    <w:p w14:paraId="40CD763D" w14:textId="1DC9F753" w:rsidR="008951AE" w:rsidRPr="004F2B6F" w:rsidRDefault="008951AE" w:rsidP="004F2B6F">
      <w:pPr>
        <w:spacing w:line="360" w:lineRule="auto"/>
        <w:jc w:val="both"/>
        <w:rPr>
          <w:rFonts w:ascii="Arial" w:hAnsi="Arial" w:cs="Arial"/>
          <w:lang w:val="en-US"/>
        </w:rPr>
      </w:pPr>
      <w:r w:rsidRPr="004F2B6F">
        <w:rPr>
          <w:rFonts w:ascii="Arial" w:hAnsi="Arial" w:cs="Arial"/>
          <w:noProof/>
          <w:lang w:val="en-US"/>
        </w:rPr>
        <w:lastRenderedPageBreak/>
        <w:drawing>
          <wp:inline distT="0" distB="0" distL="0" distR="0" wp14:anchorId="4B7ACB13" wp14:editId="4A0854F5">
            <wp:extent cx="5731510" cy="3869055"/>
            <wp:effectExtent l="0" t="0" r="2540" b="0"/>
            <wp:docPr id="184708189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5059AEEE" w14:textId="575796F6" w:rsidR="008951AE" w:rsidRPr="004F2B6F" w:rsidRDefault="008951AE" w:rsidP="004F2B6F">
      <w:pPr>
        <w:spacing w:line="360" w:lineRule="auto"/>
        <w:rPr>
          <w:rFonts w:ascii="Arial" w:hAnsi="Arial" w:cs="Arial"/>
          <w:i/>
          <w:iCs/>
        </w:rPr>
      </w:pPr>
      <w:r w:rsidRPr="004F2B6F">
        <w:rPr>
          <w:rFonts w:ascii="Arial" w:hAnsi="Arial" w:cs="Arial"/>
          <w:b/>
          <w:bCs/>
        </w:rPr>
        <w:t>Figure 4. Net Present Value of Investment Projects at an 8% Discount Rate.</w:t>
      </w:r>
      <w:r w:rsidRPr="004F2B6F">
        <w:rPr>
          <w:rFonts w:ascii="Arial" w:hAnsi="Arial" w:cs="Arial"/>
        </w:rPr>
        <w:br/>
      </w:r>
      <w:r w:rsidRPr="004F2B6F">
        <w:rPr>
          <w:rFonts w:ascii="Arial" w:hAnsi="Arial" w:cs="Arial"/>
          <w:i/>
          <w:iCs/>
        </w:rPr>
        <w:t>Source: Assessment project data and author's calculations.</w:t>
      </w:r>
    </w:p>
    <w:p w14:paraId="1FBC504A" w14:textId="4756774B" w:rsidR="008951AE" w:rsidRPr="004F2B6F" w:rsidRDefault="008951AE" w:rsidP="004F2B6F">
      <w:pPr>
        <w:spacing w:line="360" w:lineRule="auto"/>
        <w:rPr>
          <w:rFonts w:ascii="Arial" w:hAnsi="Arial" w:cs="Arial"/>
          <w:lang w:val="en-US"/>
        </w:rPr>
      </w:pPr>
      <w:r w:rsidRPr="004F2B6F">
        <w:rPr>
          <w:rFonts w:ascii="Arial" w:hAnsi="Arial" w:cs="Arial"/>
        </w:rPr>
        <w:t>As illustrated in Figure 4, Project C is the only investment with a positive NPV, indicating that it is the only project expected to increase shareholder value at the required 8% rate of return.</w:t>
      </w:r>
    </w:p>
    <w:p w14:paraId="1EB948DE"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The Profitability Index (PI) confirms this result. Project C has a PI of 1.017, meaning the present value of its inflows exceeds the initial investment. In contrast, A (0.869) and B (0.878) have PIs below 1 and therefore fail the acceptance criterion.</w:t>
      </w:r>
    </w:p>
    <w:p w14:paraId="452D2645"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Finally, IRR measures the rate at which NPV becomes zero. Project C achieves 8.59%, slightly above the required 8%, while A (2.72%) and B (3.26%) remain substantially below it. Overall, all five methods favour Project C, although its narrow margin above the required return suggests sensitivity to changes in cash flows or the cost of capital (Brealey, Myers and Allen, 2023).</w:t>
      </w:r>
    </w:p>
    <w:p w14:paraId="468D6B10" w14:textId="77777777" w:rsidR="009D1D08" w:rsidRPr="004F2B6F" w:rsidRDefault="009D1D08" w:rsidP="004F2B6F">
      <w:pPr>
        <w:pStyle w:val="2"/>
        <w:spacing w:line="360" w:lineRule="auto"/>
        <w:rPr>
          <w:rFonts w:ascii="Arial" w:hAnsi="Arial" w:cs="Arial"/>
          <w:lang w:val="en-US"/>
        </w:rPr>
      </w:pPr>
      <w:bookmarkStart w:id="27" w:name="_Toc237341505"/>
      <w:r w:rsidRPr="004F2B6F">
        <w:rPr>
          <w:rFonts w:ascii="Arial" w:hAnsi="Arial" w:cs="Arial"/>
          <w:lang w:val="en-US"/>
        </w:rPr>
        <w:t xml:space="preserve">4.3 </w:t>
      </w:r>
      <w:r w:rsidRPr="004F2B6F">
        <w:rPr>
          <w:rFonts w:ascii="Arial" w:hAnsi="Arial" w:cs="Arial"/>
        </w:rPr>
        <w:t>Evaluation</w:t>
      </w:r>
      <w:r w:rsidRPr="004F2B6F">
        <w:rPr>
          <w:rFonts w:ascii="Arial" w:hAnsi="Arial" w:cs="Arial"/>
          <w:lang w:val="en-US"/>
        </w:rPr>
        <w:t xml:space="preserve"> of the Three Projects</w:t>
      </w:r>
      <w:bookmarkEnd w:id="27"/>
    </w:p>
    <w:p w14:paraId="06EC6C18"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 xml:space="preserve">The three projects present different financial characteristics (see Appendix G). Project A benefits from relatively strong early cash inflows; however, its negative NPV and </w:t>
      </w:r>
      <w:r w:rsidRPr="004F2B6F">
        <w:rPr>
          <w:rFonts w:ascii="Arial" w:hAnsi="Arial" w:cs="Arial"/>
          <w:lang w:val="en-US"/>
        </w:rPr>
        <w:lastRenderedPageBreak/>
        <w:t>IRR significantly below the 8% required return indicate that it would reduce shareholder value. Therefore, it should be rejected.</w:t>
      </w:r>
    </w:p>
    <w:p w14:paraId="36FB94EF"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Project B provides the most stable cash-flow pattern, generating £11 million annually. This predictability may reduce forecasting risk and support financial planning. Nevertheless, it has the longest payback period and fails the NPV, PI and IRR acceptance criteria. Therefore, stable cash flows do not compensate for its insufficient return.</w:t>
      </w:r>
    </w:p>
    <w:p w14:paraId="6C8D61D9"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Project C has greater variation in cash flows, with significant returns concentrated in Years 3 and 4, increasing exposure to forecasting uncertainty. However, it is the only project with a positive NPV, PI above 1 and IRR above the required 8%, while also providing the shortest payback period. Consequently, Project C offers the strongest financial case, although its relatively small positive NPV suggests that changes in expected cash flows or the cost of capital could affect its viability (Brealey, Myers and Allen, 2023).</w:t>
      </w:r>
    </w:p>
    <w:p w14:paraId="4FFCAF39" w14:textId="77777777" w:rsidR="009D1D08" w:rsidRPr="004F2B6F" w:rsidRDefault="009D1D08" w:rsidP="004F2B6F">
      <w:pPr>
        <w:pStyle w:val="2"/>
        <w:spacing w:line="360" w:lineRule="auto"/>
        <w:rPr>
          <w:rFonts w:ascii="Arial" w:hAnsi="Arial" w:cs="Arial"/>
          <w:lang w:val="en-US"/>
        </w:rPr>
      </w:pPr>
      <w:bookmarkStart w:id="28" w:name="_Toc237341506"/>
      <w:r w:rsidRPr="004F2B6F">
        <w:rPr>
          <w:rFonts w:ascii="Arial" w:hAnsi="Arial" w:cs="Arial"/>
          <w:lang w:val="en-US"/>
        </w:rPr>
        <w:t xml:space="preserve">4.4 </w:t>
      </w:r>
      <w:r w:rsidRPr="004F2B6F">
        <w:rPr>
          <w:rFonts w:ascii="Arial" w:hAnsi="Arial" w:cs="Arial"/>
        </w:rPr>
        <w:t>Recommended</w:t>
      </w:r>
      <w:r w:rsidRPr="004F2B6F">
        <w:rPr>
          <w:rFonts w:ascii="Arial" w:hAnsi="Arial" w:cs="Arial"/>
          <w:lang w:val="en-US"/>
        </w:rPr>
        <w:t xml:space="preserve"> Project</w:t>
      </w:r>
      <w:bookmarkEnd w:id="28"/>
    </w:p>
    <w:p w14:paraId="2BDB0D0D" w14:textId="77777777" w:rsidR="009D1D08" w:rsidRPr="004F2B6F" w:rsidRDefault="009D1D08" w:rsidP="004F2B6F">
      <w:pPr>
        <w:spacing w:line="360" w:lineRule="auto"/>
        <w:jc w:val="both"/>
        <w:rPr>
          <w:rFonts w:ascii="Arial" w:hAnsi="Arial" w:cs="Arial"/>
          <w:lang w:val="en-US"/>
        </w:rPr>
      </w:pPr>
      <w:r w:rsidRPr="004F2B6F">
        <w:rPr>
          <w:rFonts w:ascii="Arial" w:hAnsi="Arial" w:cs="Arial"/>
          <w:lang w:val="en-US"/>
        </w:rPr>
        <w:t>As CFO, I would recommend that Marriott International proceeds with Project C. The investment appraisal provides the strongest financial justification for this project (see Appendix G – Investment Appraisal and Capital Budgeting Calculations). Project C is the only alternative generating a positive NPV (£0.86 million), a PI above 1 (1.017) and an IRR (8.59%) exceeding the required 8% return. It also provides the shortest payback period of 3.60 years, allowing Marriott to recover its £50 million investment more quickly.</w:t>
      </w:r>
    </w:p>
    <w:p w14:paraId="0D90826B" w14:textId="77777777" w:rsidR="009D1D08" w:rsidRPr="004F2B6F" w:rsidRDefault="009D1D08" w:rsidP="004F2B6F">
      <w:pPr>
        <w:spacing w:line="360" w:lineRule="auto"/>
        <w:jc w:val="both"/>
        <w:rPr>
          <w:rFonts w:ascii="Arial" w:hAnsi="Arial" w:cs="Arial"/>
          <w:lang w:val="en-US"/>
        </w:rPr>
      </w:pPr>
      <w:r w:rsidRPr="004F2B6F">
        <w:rPr>
          <w:rFonts w:ascii="Arial" w:hAnsi="Arial" w:cs="Arial"/>
          <w:lang w:val="en-US"/>
        </w:rPr>
        <w:t>This recommendation is consistent with Marriott's existing financial position. The five-year analysis demonstrated improving profitability, with a 9.93% net profit margin and 9.4% ROA in 2025, alongside stronger operating cash generation (see Appendix D). However, Marriott's current ratio remained relatively low at 0.43, suggesting that liquidity should continue to be carefully managed. Project C's shorter payback period is therefore particularly beneficial because it limits the period for which capital is committed. Furthermore, Marriott's relatively stable Cash Conversion Cycle (see Appendix F) and improving operating cash flows (see Appendix C) provide additional capacity to support the investment.</w:t>
      </w:r>
    </w:p>
    <w:p w14:paraId="7BE7FC6A" w14:textId="77777777" w:rsidR="009D1D08" w:rsidRPr="004F2B6F" w:rsidRDefault="009D1D08" w:rsidP="004F2B6F">
      <w:pPr>
        <w:spacing w:line="360" w:lineRule="auto"/>
        <w:jc w:val="both"/>
        <w:rPr>
          <w:rFonts w:ascii="Arial" w:hAnsi="Arial" w:cs="Arial"/>
          <w:lang w:val="en-US"/>
        </w:rPr>
      </w:pPr>
      <w:r w:rsidRPr="004F2B6F">
        <w:rPr>
          <w:rFonts w:ascii="Arial" w:hAnsi="Arial" w:cs="Arial"/>
          <w:lang w:val="en-US"/>
        </w:rPr>
        <w:lastRenderedPageBreak/>
        <w:t>Nevertheless, financial measures alone should not determine the final decision. Project C's returns depend heavily on cash inflows in Years 3 and 4, making it vulnerable to inflation, economic disruption and political or geopolitical risks that could reduce international travel demand. Scenario and sensitivity analysis should therefore be undertaken before final approval. Marriott should also consider whether the investment strengthens customer loyalty, for example through improvements in service quality, digital experience or the Marriott Bonvoy ecosystem.</w:t>
      </w:r>
    </w:p>
    <w:p w14:paraId="0DCB5B88" w14:textId="77777777" w:rsidR="009D1D08" w:rsidRPr="004F2B6F" w:rsidRDefault="009D1D08" w:rsidP="004F2B6F">
      <w:pPr>
        <w:spacing w:line="360" w:lineRule="auto"/>
        <w:jc w:val="both"/>
        <w:rPr>
          <w:rFonts w:ascii="Arial" w:hAnsi="Arial" w:cs="Arial"/>
          <w:lang w:val="en-US"/>
        </w:rPr>
      </w:pPr>
      <w:r w:rsidRPr="004F2B6F">
        <w:rPr>
          <w:rFonts w:ascii="Arial" w:hAnsi="Arial" w:cs="Arial"/>
          <w:lang w:val="en-US"/>
        </w:rPr>
        <w:t>Finally, the project should be consistent with Marriott's ESG commitments, including responsible resource use, carbon reduction and ethical employment practices (Marriott International, 2026). Subject to satisfactory risk and ESG assessment, Project C offers the strongest balance between financial return, liquidity protection and long-term strategic value.</w:t>
      </w:r>
    </w:p>
    <w:p w14:paraId="650A7B8D" w14:textId="77777777" w:rsidR="002312FC" w:rsidRPr="004F2B6F" w:rsidRDefault="002312FC" w:rsidP="004F2B6F">
      <w:pPr>
        <w:pStyle w:val="2"/>
        <w:spacing w:line="360" w:lineRule="auto"/>
        <w:rPr>
          <w:rFonts w:ascii="Arial" w:hAnsi="Arial" w:cs="Arial"/>
          <w:lang w:val="en-US"/>
        </w:rPr>
      </w:pPr>
      <w:bookmarkStart w:id="29" w:name="_Toc237341507"/>
      <w:r w:rsidRPr="004F2B6F">
        <w:rPr>
          <w:rFonts w:ascii="Arial" w:hAnsi="Arial" w:cs="Arial"/>
          <w:lang w:val="en-US"/>
        </w:rPr>
        <w:t xml:space="preserve">4.5 </w:t>
      </w:r>
      <w:r w:rsidRPr="004F2B6F">
        <w:rPr>
          <w:rFonts w:ascii="Arial" w:hAnsi="Arial" w:cs="Arial"/>
        </w:rPr>
        <w:t>Capital</w:t>
      </w:r>
      <w:r w:rsidRPr="004F2B6F">
        <w:rPr>
          <w:rFonts w:ascii="Arial" w:hAnsi="Arial" w:cs="Arial"/>
          <w:lang w:val="en-US"/>
        </w:rPr>
        <w:t xml:space="preserve"> Rationing</w:t>
      </w:r>
      <w:bookmarkEnd w:id="29"/>
    </w:p>
    <w:p w14:paraId="5E32CAF4" w14:textId="6EC6738B" w:rsidR="002312FC" w:rsidRPr="004F2B6F" w:rsidRDefault="002312FC" w:rsidP="004F2B6F">
      <w:pPr>
        <w:spacing w:line="360" w:lineRule="auto"/>
        <w:jc w:val="both"/>
        <w:rPr>
          <w:rFonts w:ascii="Arial" w:hAnsi="Arial" w:cs="Arial"/>
          <w:lang w:val="en-US"/>
        </w:rPr>
      </w:pPr>
      <w:r w:rsidRPr="004F2B6F">
        <w:rPr>
          <w:rFonts w:ascii="Arial" w:hAnsi="Arial" w:cs="Arial"/>
          <w:lang w:val="en-US"/>
        </w:rPr>
        <w:t xml:space="preserve">Capital rationing occurs when an organisation has limited investment funds and must select the combination of projects that maximises shareholder value (Brealey, Myers and Allen, 2023). </w:t>
      </w:r>
      <w:r w:rsidR="00F61AFE" w:rsidRPr="004F2B6F">
        <w:rPr>
          <w:rFonts w:ascii="Arial" w:hAnsi="Arial" w:cs="Arial"/>
        </w:rPr>
        <w:t xml:space="preserve">In this scenario, Marriott has a maximum investment budget of £100 million, meaning that the company could undertake up to two of the three proposed projects. </w:t>
      </w:r>
      <w:r w:rsidRPr="004F2B6F">
        <w:rPr>
          <w:rFonts w:ascii="Arial" w:hAnsi="Arial" w:cs="Arial"/>
          <w:lang w:val="en-US"/>
        </w:rPr>
        <w:t>The detailed capital rationing calculations are presented in Appendix G – Investment Appraisal and Capital Budgeting Calculations.</w:t>
      </w:r>
    </w:p>
    <w:p w14:paraId="5DA0E0B5" w14:textId="77777777" w:rsidR="002312FC" w:rsidRPr="004F2B6F" w:rsidRDefault="002312FC" w:rsidP="004F2B6F">
      <w:pPr>
        <w:spacing w:line="360" w:lineRule="auto"/>
        <w:jc w:val="both"/>
        <w:rPr>
          <w:rFonts w:ascii="Arial" w:hAnsi="Arial" w:cs="Arial"/>
          <w:lang w:val="en-US"/>
        </w:rPr>
      </w:pPr>
      <w:r w:rsidRPr="004F2B6F">
        <w:rPr>
          <w:rFonts w:ascii="Arial" w:hAnsi="Arial" w:cs="Arial"/>
          <w:lang w:val="en-US"/>
        </w:rPr>
        <w:t>The results indicate that the combination of Projects B and C produces the highest combined Profitability Index (0.948) and the least negative Net Present Value (-£5.22 million) among the three possible investment portfolios. In comparison, Projects A and B generate the lowest combined NPV (-£12.62 million), while Projects A and C produce a combined NPV of -£5.68 million.</w:t>
      </w:r>
    </w:p>
    <w:p w14:paraId="7FD9796F" w14:textId="38527500" w:rsidR="002312FC" w:rsidRPr="004F2B6F" w:rsidRDefault="002312FC" w:rsidP="004F2B6F">
      <w:pPr>
        <w:spacing w:line="360" w:lineRule="auto"/>
        <w:jc w:val="both"/>
        <w:rPr>
          <w:rFonts w:ascii="Arial" w:hAnsi="Arial" w:cs="Arial"/>
          <w:lang w:val="en-US"/>
        </w:rPr>
      </w:pPr>
      <w:r w:rsidRPr="004F2B6F">
        <w:rPr>
          <w:rFonts w:ascii="Arial" w:hAnsi="Arial" w:cs="Arial"/>
          <w:lang w:val="en-US"/>
        </w:rPr>
        <w:t>Although the B+C portfolio represents the strongest combination under the £100 million investment constraint, its combined NPV remains negative and the combined Profitability Index is below 1.0. According to investment appraisal theory, projects with a negative NPV reduce shareholder wealth and should therefore be rejected (Atrill and McLaney, 202</w:t>
      </w:r>
      <w:r w:rsidR="00B7430F" w:rsidRPr="004F2B6F">
        <w:rPr>
          <w:rFonts w:ascii="Arial" w:hAnsi="Arial" w:cs="Arial"/>
          <w:lang w:val="en-US"/>
        </w:rPr>
        <w:t>4</w:t>
      </w:r>
      <w:r w:rsidRPr="004F2B6F">
        <w:rPr>
          <w:rFonts w:ascii="Arial" w:hAnsi="Arial" w:cs="Arial"/>
          <w:lang w:val="en-US"/>
        </w:rPr>
        <w:t>).</w:t>
      </w:r>
    </w:p>
    <w:p w14:paraId="7CDFFA32" w14:textId="5372E82C" w:rsidR="00C02F17" w:rsidRPr="004F2B6F" w:rsidRDefault="00F61AFE" w:rsidP="004F2B6F">
      <w:pPr>
        <w:spacing w:line="360" w:lineRule="auto"/>
        <w:jc w:val="both"/>
        <w:rPr>
          <w:rFonts w:ascii="Arial" w:hAnsi="Arial" w:cs="Arial"/>
        </w:rPr>
      </w:pPr>
      <w:r w:rsidRPr="004F2B6F">
        <w:rPr>
          <w:rFonts w:ascii="Arial" w:hAnsi="Arial" w:cs="Arial"/>
        </w:rPr>
        <w:t xml:space="preserve">Consequently, from a financial management perspective, Marriott should not invest the full £100 million simply because the capital is available. Instead, the company </w:t>
      </w:r>
      <w:r w:rsidRPr="004F2B6F">
        <w:rPr>
          <w:rFonts w:ascii="Arial" w:hAnsi="Arial" w:cs="Arial"/>
        </w:rPr>
        <w:lastRenderedPageBreak/>
        <w:t>should undertake only Project C, which is the only investment that generates a positive NPV (£0.86 million), a Profitability Index greater than 1.0 and an Internal Rate of Return exceeding the required 8% discount rate. The remaining £50 million could be retained for future positive-NPV investment opportunities, debt reduction or strategic initiatives that strengthen Marriott's long-term financial position.</w:t>
      </w:r>
    </w:p>
    <w:p w14:paraId="1DAFFCE8" w14:textId="77777777" w:rsidR="00F61AFE" w:rsidRPr="004F2B6F" w:rsidRDefault="00F61AFE" w:rsidP="004F2B6F">
      <w:pPr>
        <w:pStyle w:val="2"/>
        <w:spacing w:line="360" w:lineRule="auto"/>
        <w:rPr>
          <w:rFonts w:ascii="Arial" w:hAnsi="Arial" w:cs="Arial"/>
          <w:lang w:val="en-US"/>
        </w:rPr>
      </w:pPr>
      <w:bookmarkStart w:id="30" w:name="_Toc237341508"/>
      <w:r w:rsidRPr="004F2B6F">
        <w:rPr>
          <w:rFonts w:ascii="Arial" w:hAnsi="Arial" w:cs="Arial"/>
          <w:lang w:val="en-US"/>
        </w:rPr>
        <w:t xml:space="preserve">4.6 </w:t>
      </w:r>
      <w:r w:rsidRPr="004F2B6F">
        <w:rPr>
          <w:rFonts w:ascii="Arial" w:hAnsi="Arial" w:cs="Arial"/>
        </w:rPr>
        <w:t>Summary</w:t>
      </w:r>
      <w:bookmarkEnd w:id="30"/>
    </w:p>
    <w:p w14:paraId="03862328" w14:textId="77777777" w:rsidR="00F61AFE" w:rsidRPr="004F2B6F" w:rsidRDefault="00F61AFE" w:rsidP="004F2B6F">
      <w:pPr>
        <w:spacing w:line="360" w:lineRule="auto"/>
        <w:jc w:val="both"/>
        <w:rPr>
          <w:rFonts w:ascii="Arial" w:hAnsi="Arial" w:cs="Arial"/>
          <w:lang w:val="en-US"/>
        </w:rPr>
      </w:pPr>
      <w:r w:rsidRPr="004F2B6F">
        <w:rPr>
          <w:rFonts w:ascii="Arial" w:hAnsi="Arial" w:cs="Arial"/>
          <w:lang w:val="en-US"/>
        </w:rPr>
        <w:t>Overall, the investment appraisal identifies Project C as the strongest option, as it is the only project that meets the key NPV, PI and IRR acceptance criteria. Although B+C represents the best two-project combination under the £100 million constraint, its negative NPV means that investing solely in Project C provides a stronger approach to protecting shareholder value and maintaining Marriott's financial flexibility.</w:t>
      </w:r>
    </w:p>
    <w:p w14:paraId="64D30086" w14:textId="77777777" w:rsidR="00E366A9" w:rsidRPr="004F2B6F" w:rsidRDefault="00E366A9" w:rsidP="004F2B6F">
      <w:pPr>
        <w:spacing w:line="360" w:lineRule="auto"/>
        <w:jc w:val="both"/>
        <w:rPr>
          <w:rFonts w:ascii="Arial" w:hAnsi="Arial" w:cs="Arial"/>
          <w:lang w:val="en-US"/>
        </w:rPr>
      </w:pPr>
    </w:p>
    <w:p w14:paraId="4AA47FA0" w14:textId="77777777" w:rsidR="00E366A9" w:rsidRPr="004F2B6F" w:rsidRDefault="00E366A9" w:rsidP="004F2B6F">
      <w:pPr>
        <w:spacing w:line="360" w:lineRule="auto"/>
        <w:jc w:val="both"/>
        <w:rPr>
          <w:rFonts w:ascii="Arial" w:hAnsi="Arial" w:cs="Arial"/>
          <w:lang w:val="en-US"/>
        </w:rPr>
      </w:pPr>
    </w:p>
    <w:p w14:paraId="13E2D009" w14:textId="77777777" w:rsidR="00E366A9" w:rsidRPr="004F2B6F" w:rsidRDefault="00E366A9" w:rsidP="004F2B6F">
      <w:pPr>
        <w:pStyle w:val="1"/>
        <w:spacing w:line="360" w:lineRule="auto"/>
        <w:rPr>
          <w:rFonts w:ascii="Arial" w:hAnsi="Arial" w:cs="Arial"/>
          <w:lang w:val="en-US"/>
        </w:rPr>
      </w:pPr>
      <w:bookmarkStart w:id="31" w:name="_Toc237341509"/>
      <w:r w:rsidRPr="004F2B6F">
        <w:rPr>
          <w:rFonts w:ascii="Arial" w:hAnsi="Arial" w:cs="Arial"/>
          <w:lang w:val="en-US"/>
        </w:rPr>
        <w:t xml:space="preserve">5. </w:t>
      </w:r>
      <w:r w:rsidRPr="004F2B6F">
        <w:rPr>
          <w:rFonts w:ascii="Arial" w:hAnsi="Arial" w:cs="Arial"/>
        </w:rPr>
        <w:t>Critical</w:t>
      </w:r>
      <w:r w:rsidRPr="004F2B6F">
        <w:rPr>
          <w:rFonts w:ascii="Arial" w:hAnsi="Arial" w:cs="Arial"/>
          <w:lang w:val="en-US"/>
        </w:rPr>
        <w:t xml:space="preserve"> Reflection on AI Usage</w:t>
      </w:r>
      <w:bookmarkEnd w:id="31"/>
    </w:p>
    <w:p w14:paraId="7F53A116" w14:textId="77777777" w:rsidR="00E366A9" w:rsidRPr="004F2B6F" w:rsidRDefault="00E366A9" w:rsidP="004F2B6F">
      <w:pPr>
        <w:pStyle w:val="2"/>
        <w:spacing w:line="360" w:lineRule="auto"/>
        <w:rPr>
          <w:rFonts w:ascii="Arial" w:hAnsi="Arial" w:cs="Arial"/>
          <w:lang w:val="en-US"/>
        </w:rPr>
      </w:pPr>
      <w:bookmarkStart w:id="32" w:name="_Toc237341510"/>
      <w:r w:rsidRPr="004F2B6F">
        <w:rPr>
          <w:rFonts w:ascii="Arial" w:hAnsi="Arial" w:cs="Arial"/>
          <w:lang w:val="en-US"/>
        </w:rPr>
        <w:t xml:space="preserve">5.1 Tool </w:t>
      </w:r>
      <w:r w:rsidRPr="004F2B6F">
        <w:rPr>
          <w:rFonts w:ascii="Arial" w:hAnsi="Arial" w:cs="Arial"/>
        </w:rPr>
        <w:t>Disclosure</w:t>
      </w:r>
      <w:bookmarkEnd w:id="32"/>
    </w:p>
    <w:p w14:paraId="4657D58F" w14:textId="77777777" w:rsidR="00E366A9" w:rsidRPr="004F2B6F" w:rsidRDefault="00E366A9" w:rsidP="004F2B6F">
      <w:pPr>
        <w:spacing w:line="360" w:lineRule="auto"/>
        <w:jc w:val="both"/>
        <w:rPr>
          <w:rFonts w:ascii="Arial" w:hAnsi="Arial" w:cs="Arial"/>
          <w:lang w:val="en-US"/>
        </w:rPr>
      </w:pPr>
      <w:r w:rsidRPr="004F2B6F">
        <w:rPr>
          <w:rFonts w:ascii="Arial" w:hAnsi="Arial" w:cs="Arial"/>
          <w:lang w:val="en-US"/>
        </w:rPr>
        <w:t>Artificial Intelligence was used as a supporting tool throughout the development of this report. I used ChatGPT (OpenAI) to help structure sections of the report, explain financial concepts, organise financial information, support calculations and improve the clarity of my academic writing. AI was also helpful in creating structured Excel tables for the five-year financial statements, ratio analysis, Cash Conversion Cycle and investment appraisal calculations. My use of ChatGPT is formally disclosed in the AI Usage Acknowledgement submitted with this assessment.</w:t>
      </w:r>
    </w:p>
    <w:p w14:paraId="32A89F80" w14:textId="77777777" w:rsidR="00E366A9" w:rsidRPr="004F2B6F" w:rsidRDefault="00E366A9" w:rsidP="004F2B6F">
      <w:pPr>
        <w:spacing w:line="360" w:lineRule="auto"/>
        <w:jc w:val="both"/>
        <w:rPr>
          <w:rFonts w:ascii="Arial" w:hAnsi="Arial" w:cs="Arial"/>
          <w:lang w:val="en-US"/>
        </w:rPr>
      </w:pPr>
      <w:r w:rsidRPr="004F2B6F">
        <w:rPr>
          <w:rFonts w:ascii="Arial" w:hAnsi="Arial" w:cs="Arial"/>
          <w:lang w:val="en-US"/>
        </w:rPr>
        <w:t xml:space="preserve">The weekly homework activities provided by the lecturer were particularly helpful in guiding this process. Completing the financial analysis step by step encouraged me to work consistently rather than attempting the entire assessment close to the deadline. Each activity contributed to the final report, particularly the preparation of financial statements, ratios and Excel calculations. This became especially valuable when the submission deadline was unexpectedly moved one week earlier. Although this initially </w:t>
      </w:r>
      <w:r w:rsidRPr="004F2B6F">
        <w:rPr>
          <w:rFonts w:ascii="Arial" w:hAnsi="Arial" w:cs="Arial"/>
          <w:lang w:val="en-US"/>
        </w:rPr>
        <w:lastRenderedPageBreak/>
        <w:t>created additional pressure, a significant proportion of the numerical analysis had already been completed, making the change considerably less stressful.</w:t>
      </w:r>
    </w:p>
    <w:p w14:paraId="09FBAF18" w14:textId="77777777" w:rsidR="00E366A9" w:rsidRPr="004F2B6F" w:rsidRDefault="00E366A9" w:rsidP="004F2B6F">
      <w:pPr>
        <w:pStyle w:val="2"/>
        <w:spacing w:line="360" w:lineRule="auto"/>
        <w:rPr>
          <w:rFonts w:ascii="Arial" w:hAnsi="Arial" w:cs="Arial"/>
          <w:lang w:val="en-US"/>
        </w:rPr>
      </w:pPr>
      <w:bookmarkStart w:id="33" w:name="_Toc237341511"/>
      <w:r w:rsidRPr="004F2B6F">
        <w:rPr>
          <w:rFonts w:ascii="Arial" w:hAnsi="Arial" w:cs="Arial"/>
          <w:lang w:val="en-US"/>
        </w:rPr>
        <w:t>5.2 Critical Evaluation and Verification of AI Output</w:t>
      </w:r>
      <w:bookmarkEnd w:id="33"/>
    </w:p>
    <w:p w14:paraId="1778EB09" w14:textId="285800D9" w:rsidR="00E366A9" w:rsidRPr="004F2B6F" w:rsidRDefault="00E366A9" w:rsidP="004F2B6F">
      <w:pPr>
        <w:spacing w:line="360" w:lineRule="auto"/>
        <w:jc w:val="both"/>
        <w:rPr>
          <w:rFonts w:ascii="Arial" w:hAnsi="Arial" w:cs="Arial"/>
          <w:lang w:val="en-US"/>
        </w:rPr>
      </w:pPr>
      <w:r w:rsidRPr="004F2B6F">
        <w:rPr>
          <w:rFonts w:ascii="Arial" w:hAnsi="Arial" w:cs="Arial"/>
          <w:lang w:val="en-US"/>
        </w:rPr>
        <w:t>I did not treat AI-generated information as automatically accurate. Financial figures were checked against Marriott's annual reports, and calculations were reviewed using the original income statement, balance sheet</w:t>
      </w:r>
      <w:r w:rsidR="00C964F7" w:rsidRPr="004F2B6F">
        <w:rPr>
          <w:rFonts w:ascii="Arial" w:hAnsi="Arial" w:cs="Arial"/>
          <w:lang w:val="en-US"/>
        </w:rPr>
        <w:t>,</w:t>
      </w:r>
      <w:r w:rsidRPr="004F2B6F">
        <w:rPr>
          <w:rFonts w:ascii="Arial" w:hAnsi="Arial" w:cs="Arial"/>
          <w:lang w:val="en-US"/>
        </w:rPr>
        <w:t xml:space="preserve"> and cash-flow data. Investment appraisal calculations were also checked against the project information and the 8% discount rate specified in the assessment brief.</w:t>
      </w:r>
    </w:p>
    <w:p w14:paraId="14DD7E68" w14:textId="77777777" w:rsidR="00E366A9" w:rsidRPr="004F2B6F" w:rsidRDefault="00E366A9" w:rsidP="004F2B6F">
      <w:pPr>
        <w:spacing w:line="360" w:lineRule="auto"/>
        <w:jc w:val="both"/>
        <w:rPr>
          <w:rFonts w:ascii="Arial" w:hAnsi="Arial" w:cs="Arial"/>
          <w:lang w:val="en-US"/>
        </w:rPr>
      </w:pPr>
      <w:r w:rsidRPr="004F2B6F">
        <w:rPr>
          <w:rFonts w:ascii="Arial" w:hAnsi="Arial" w:cs="Arial"/>
          <w:lang w:val="en-US"/>
        </w:rPr>
        <w:t>My previous experience working as a bookkeeper in Ukraine influenced this approach. Working with financial information taught me that even a small numerical or classification error can significantly affect the final result. This experience helped me recognise the importance of checking source documents rather than relying only on automatically generated outputs.</w:t>
      </w:r>
    </w:p>
    <w:p w14:paraId="10470FDC" w14:textId="5B0816AC" w:rsidR="00E366A9" w:rsidRPr="004F2B6F" w:rsidRDefault="00E366A9" w:rsidP="004F2B6F">
      <w:pPr>
        <w:spacing w:line="360" w:lineRule="auto"/>
        <w:jc w:val="both"/>
        <w:rPr>
          <w:rFonts w:ascii="Arial" w:hAnsi="Arial" w:cs="Arial"/>
          <w:lang w:val="en-US"/>
        </w:rPr>
      </w:pPr>
      <w:r w:rsidRPr="004F2B6F">
        <w:rPr>
          <w:rFonts w:ascii="Arial" w:hAnsi="Arial" w:cs="Arial"/>
          <w:lang w:val="en-US"/>
        </w:rPr>
        <w:t>There were practical examples of errors during this assessment. When some investment-ratio figures were transferred into Excel, numerical values were incorrectly interpreted as dates, producing unrealistic results. These had to be identified and corrected. Another issue concerned Marriott's negative shareholders' equity, which meant that ROE could not be interpreted normally. These examples demonstrated that AI can produce convincing outputs while still requiring human verification and professional judgement.</w:t>
      </w:r>
      <w:r w:rsidR="00C964F7" w:rsidRPr="004F2B6F">
        <w:rPr>
          <w:rFonts w:ascii="Arial" w:hAnsi="Arial" w:cs="Arial"/>
          <w:lang w:val="en-US"/>
        </w:rPr>
        <w:t xml:space="preserve"> </w:t>
      </w:r>
      <w:r w:rsidR="00C964F7" w:rsidRPr="004F2B6F">
        <w:rPr>
          <w:rFonts w:ascii="Arial" w:hAnsi="Arial" w:cs="Arial"/>
        </w:rPr>
        <w:t>This is consistent with research showing that although large language models can support financial analysis, their reliability and consistency can vary across financial and accounting tasks (Kim, Muhn and Nikolaev, 2024; Wang and Wang, 2025).</w:t>
      </w:r>
    </w:p>
    <w:p w14:paraId="1138279E" w14:textId="77777777" w:rsidR="00E366A9" w:rsidRPr="004F2B6F" w:rsidRDefault="00E366A9" w:rsidP="004F2B6F">
      <w:pPr>
        <w:pStyle w:val="2"/>
        <w:spacing w:line="360" w:lineRule="auto"/>
        <w:rPr>
          <w:rFonts w:ascii="Arial" w:hAnsi="Arial" w:cs="Arial"/>
          <w:lang w:val="en-US"/>
        </w:rPr>
      </w:pPr>
      <w:bookmarkStart w:id="34" w:name="_Toc237341512"/>
      <w:r w:rsidRPr="004F2B6F">
        <w:rPr>
          <w:rFonts w:ascii="Arial" w:hAnsi="Arial" w:cs="Arial"/>
          <w:lang w:val="en-US"/>
        </w:rPr>
        <w:t xml:space="preserve">5.3 </w:t>
      </w:r>
      <w:r w:rsidRPr="004F2B6F">
        <w:rPr>
          <w:rFonts w:ascii="Arial" w:hAnsi="Arial" w:cs="Arial"/>
        </w:rPr>
        <w:t>Contribution</w:t>
      </w:r>
      <w:r w:rsidRPr="004F2B6F">
        <w:rPr>
          <w:rFonts w:ascii="Arial" w:hAnsi="Arial" w:cs="Arial"/>
          <w:lang w:val="en-US"/>
        </w:rPr>
        <w:t xml:space="preserve"> Analysis</w:t>
      </w:r>
      <w:bookmarkEnd w:id="34"/>
    </w:p>
    <w:p w14:paraId="325490D2" w14:textId="071FD37F" w:rsidR="00E366A9" w:rsidRPr="004F2B6F" w:rsidRDefault="00E366A9" w:rsidP="004F2B6F">
      <w:pPr>
        <w:spacing w:line="360" w:lineRule="auto"/>
        <w:jc w:val="both"/>
        <w:rPr>
          <w:rFonts w:ascii="Arial" w:hAnsi="Arial" w:cs="Arial"/>
          <w:lang w:val="en-US"/>
        </w:rPr>
      </w:pPr>
      <w:r w:rsidRPr="004F2B6F">
        <w:rPr>
          <w:rFonts w:ascii="Arial" w:hAnsi="Arial" w:cs="Arial"/>
          <w:lang w:val="en-US"/>
        </w:rPr>
        <w:t>AI contributed mainly to organisation, calculation support, explanation and presentation, while the final analysis and decisions remained my responsibility. I selected Marriott, reviewed the financial evidence, considered which trends were important and connected the results with the company's financial position and strategy.</w:t>
      </w:r>
      <w:r w:rsidR="00C964F7" w:rsidRPr="004F2B6F">
        <w:rPr>
          <w:rFonts w:ascii="Arial" w:hAnsi="Arial" w:cs="Arial"/>
          <w:lang w:val="en-US"/>
        </w:rPr>
        <w:t xml:space="preserve"> </w:t>
      </w:r>
      <w:r w:rsidR="00C964F7" w:rsidRPr="004F2B6F">
        <w:rPr>
          <w:rFonts w:ascii="Arial" w:hAnsi="Arial" w:cs="Arial"/>
        </w:rPr>
        <w:t>This reflects the developing role of AI and digital technologies in finance, where technology can support analysis while professional judgement remains important in interpreting information and making decisions (IFAC, 2022).</w:t>
      </w:r>
    </w:p>
    <w:p w14:paraId="71449982" w14:textId="77777777" w:rsidR="00E366A9" w:rsidRPr="004F2B6F" w:rsidRDefault="00E366A9" w:rsidP="004F2B6F">
      <w:pPr>
        <w:spacing w:line="360" w:lineRule="auto"/>
        <w:jc w:val="both"/>
        <w:rPr>
          <w:rFonts w:ascii="Arial" w:hAnsi="Arial" w:cs="Arial"/>
          <w:lang w:val="en-US"/>
        </w:rPr>
      </w:pPr>
      <w:r w:rsidRPr="004F2B6F">
        <w:rPr>
          <w:rFonts w:ascii="Arial" w:hAnsi="Arial" w:cs="Arial"/>
          <w:lang w:val="en-US"/>
        </w:rPr>
        <w:lastRenderedPageBreak/>
        <w:t>My employment at Waitrose also influenced how I approached the report. Working within a large organisation has given me practical experience of how operational decisions, customer demand, staffing and day-to-day business activities can influence wider business performance. This helped me consider financial ratios as indicators of real business activity rather than simply numerical calculations.</w:t>
      </w:r>
    </w:p>
    <w:p w14:paraId="6FC20C88" w14:textId="77777777" w:rsidR="00E366A9" w:rsidRPr="004F2B6F" w:rsidRDefault="00E366A9" w:rsidP="004F2B6F">
      <w:pPr>
        <w:spacing w:line="360" w:lineRule="auto"/>
        <w:jc w:val="both"/>
        <w:rPr>
          <w:rFonts w:ascii="Arial" w:hAnsi="Arial" w:cs="Arial"/>
          <w:lang w:val="en-US"/>
        </w:rPr>
      </w:pPr>
      <w:r w:rsidRPr="004F2B6F">
        <w:rPr>
          <w:rFonts w:ascii="Arial" w:hAnsi="Arial" w:cs="Arial"/>
          <w:lang w:val="en-US"/>
        </w:rPr>
        <w:t>The investment appraisal illustrates the distinction between AI support and my own judgement. AI assisted with PBP, ARR, NPV, PI and IRR calculations, but I evaluated the results and concluded that Project C was preferable. I also considered Marriott's liquidity and financial flexibility when deciding that using the entire £100 million investment budget would not necessarily represent the best financial decision.</w:t>
      </w:r>
    </w:p>
    <w:p w14:paraId="0267A470" w14:textId="77777777" w:rsidR="00E366A9" w:rsidRPr="004F2B6F" w:rsidRDefault="00E366A9" w:rsidP="004F2B6F">
      <w:pPr>
        <w:pStyle w:val="2"/>
        <w:spacing w:line="360" w:lineRule="auto"/>
        <w:rPr>
          <w:rFonts w:ascii="Arial" w:hAnsi="Arial" w:cs="Arial"/>
          <w:lang w:val="en-US"/>
        </w:rPr>
      </w:pPr>
      <w:bookmarkStart w:id="35" w:name="_Toc237341513"/>
      <w:r w:rsidRPr="004F2B6F">
        <w:rPr>
          <w:rFonts w:ascii="Arial" w:hAnsi="Arial" w:cs="Arial"/>
          <w:lang w:val="en-US"/>
        </w:rPr>
        <w:t xml:space="preserve">5.4 </w:t>
      </w:r>
      <w:r w:rsidRPr="004F2B6F">
        <w:rPr>
          <w:rFonts w:ascii="Arial" w:hAnsi="Arial" w:cs="Arial"/>
        </w:rPr>
        <w:t>Ethical</w:t>
      </w:r>
      <w:r w:rsidRPr="004F2B6F">
        <w:rPr>
          <w:rFonts w:ascii="Arial" w:hAnsi="Arial" w:cs="Arial"/>
          <w:lang w:val="en-US"/>
        </w:rPr>
        <w:t xml:space="preserve"> and Professional Reflection</w:t>
      </w:r>
      <w:bookmarkEnd w:id="35"/>
    </w:p>
    <w:p w14:paraId="37C21CD2" w14:textId="77777777" w:rsidR="004C02E4" w:rsidRPr="004F2B6F" w:rsidRDefault="004C02E4" w:rsidP="004F2B6F">
      <w:pPr>
        <w:spacing w:line="360" w:lineRule="auto"/>
        <w:jc w:val="both"/>
        <w:rPr>
          <w:rFonts w:ascii="Arial" w:hAnsi="Arial" w:cs="Arial"/>
          <w:lang w:val="en-US"/>
        </w:rPr>
      </w:pPr>
      <w:r w:rsidRPr="004F2B6F">
        <w:rPr>
          <w:rFonts w:ascii="Arial" w:hAnsi="Arial" w:cs="Arial"/>
          <w:lang w:val="en-US"/>
        </w:rPr>
        <w:t>This experience highlighted several ethical and professional issues associated with the use of AI in financial management. Transparency is essential because organisations and stakeholders should understand when AI has contributed to financial analysis or decision-making. Data privacy is equally important, particularly when financial systems contain confidential corporate, employee or customer information. The increasing use of AI in accounting therefore requires appropriate governance and responsible professional practice (IFAC, 2026a).</w:t>
      </w:r>
    </w:p>
    <w:p w14:paraId="2CD8706B" w14:textId="77777777" w:rsidR="004C02E4" w:rsidRPr="004F2B6F" w:rsidRDefault="004C02E4" w:rsidP="004F2B6F">
      <w:pPr>
        <w:spacing w:line="360" w:lineRule="auto"/>
        <w:jc w:val="both"/>
        <w:rPr>
          <w:rFonts w:ascii="Arial" w:hAnsi="Arial" w:cs="Arial"/>
          <w:lang w:val="en-US"/>
        </w:rPr>
      </w:pPr>
      <w:r w:rsidRPr="004F2B6F">
        <w:rPr>
          <w:rFonts w:ascii="Arial" w:hAnsi="Arial" w:cs="Arial"/>
          <w:lang w:val="en-US"/>
        </w:rPr>
        <w:t>The greatest professional risk is over-reliance on AI. Executive financial decisions can affect shareholders, employees, customers and other stakeholders, while AI may generate inaccurate information or fail to fully understand the wider organisational context. My experience with both bookkeeping and this assessment reinforced the importance of checking calculations, verifying information against reliable sources and questioning results that appear unrealistic. This approach reflects professional accounting principles that emphasise professional judgement, scepticism and ethical behaviour (IFAC, 2026b).</w:t>
      </w:r>
    </w:p>
    <w:p w14:paraId="065D8155" w14:textId="77777777" w:rsidR="004C02E4" w:rsidRPr="004F2B6F" w:rsidRDefault="004C02E4" w:rsidP="004F2B6F">
      <w:pPr>
        <w:spacing w:line="360" w:lineRule="auto"/>
        <w:jc w:val="both"/>
        <w:rPr>
          <w:rFonts w:ascii="Arial" w:hAnsi="Arial" w:cs="Arial"/>
          <w:lang w:val="en-US"/>
        </w:rPr>
      </w:pPr>
      <w:r w:rsidRPr="004F2B6F">
        <w:rPr>
          <w:rFonts w:ascii="Arial" w:hAnsi="Arial" w:cs="Arial"/>
          <w:lang w:val="en-US"/>
        </w:rPr>
        <w:t xml:space="preserve">Overall, I found AI extremely useful for improving efficiency, organisation and understanding, particularly alongside the lecturer's structured weekly tasks. However, in a professional financial role, I would use AI as a decision-support tool rather than a replacement for human judgement. Final responsibility must remain with qualified </w:t>
      </w:r>
      <w:r w:rsidRPr="004F2B6F">
        <w:rPr>
          <w:rFonts w:ascii="Arial" w:hAnsi="Arial" w:cs="Arial"/>
          <w:lang w:val="en-US"/>
        </w:rPr>
        <w:lastRenderedPageBreak/>
        <w:t>professionals who can verify evidence, consider the wider business context and remain accountable for financial decisions.</w:t>
      </w:r>
    </w:p>
    <w:p w14:paraId="511C917F" w14:textId="77777777" w:rsidR="00F61AFE" w:rsidRPr="004F2B6F" w:rsidRDefault="00F61AFE" w:rsidP="004F2B6F">
      <w:pPr>
        <w:spacing w:line="360" w:lineRule="auto"/>
        <w:rPr>
          <w:rFonts w:ascii="Arial" w:hAnsi="Arial" w:cs="Arial"/>
          <w:lang w:val="en-US"/>
        </w:rPr>
      </w:pPr>
    </w:p>
    <w:p w14:paraId="11230D23" w14:textId="77777777" w:rsidR="00945AFB" w:rsidRPr="004F2B6F" w:rsidRDefault="00945AFB" w:rsidP="004F2B6F">
      <w:pPr>
        <w:spacing w:line="360" w:lineRule="auto"/>
        <w:rPr>
          <w:rFonts w:ascii="Arial" w:hAnsi="Arial" w:cs="Arial"/>
          <w:lang w:val="en-US"/>
        </w:rPr>
      </w:pPr>
    </w:p>
    <w:p w14:paraId="22F98498" w14:textId="77777777" w:rsidR="00945AFB" w:rsidRPr="004F2B6F" w:rsidRDefault="00945AFB" w:rsidP="004F2B6F">
      <w:pPr>
        <w:spacing w:line="360" w:lineRule="auto"/>
        <w:rPr>
          <w:rFonts w:ascii="Arial" w:hAnsi="Arial" w:cs="Arial"/>
          <w:lang w:val="en-US"/>
        </w:rPr>
      </w:pPr>
    </w:p>
    <w:p w14:paraId="65A52BF3" w14:textId="77777777" w:rsidR="00945AFB" w:rsidRDefault="00945AFB" w:rsidP="004F2B6F">
      <w:pPr>
        <w:spacing w:line="360" w:lineRule="auto"/>
        <w:rPr>
          <w:rFonts w:ascii="Arial" w:hAnsi="Arial" w:cs="Arial"/>
          <w:lang w:val="en-US"/>
        </w:rPr>
      </w:pPr>
    </w:p>
    <w:p w14:paraId="1AD21DFD" w14:textId="77777777" w:rsidR="004F2B6F" w:rsidRDefault="004F2B6F" w:rsidP="004F2B6F">
      <w:pPr>
        <w:spacing w:line="360" w:lineRule="auto"/>
        <w:rPr>
          <w:rFonts w:ascii="Arial" w:hAnsi="Arial" w:cs="Arial"/>
          <w:lang w:val="en-US"/>
        </w:rPr>
      </w:pPr>
    </w:p>
    <w:p w14:paraId="52F4A134" w14:textId="77777777" w:rsidR="004F2B6F" w:rsidRDefault="004F2B6F" w:rsidP="004F2B6F">
      <w:pPr>
        <w:spacing w:line="360" w:lineRule="auto"/>
        <w:rPr>
          <w:rFonts w:ascii="Arial" w:hAnsi="Arial" w:cs="Arial"/>
          <w:lang w:val="en-US"/>
        </w:rPr>
      </w:pPr>
    </w:p>
    <w:p w14:paraId="5E06D392" w14:textId="77777777" w:rsidR="004F2B6F" w:rsidRDefault="004F2B6F" w:rsidP="004F2B6F">
      <w:pPr>
        <w:spacing w:line="360" w:lineRule="auto"/>
        <w:rPr>
          <w:rFonts w:ascii="Arial" w:hAnsi="Arial" w:cs="Arial"/>
          <w:lang w:val="en-US"/>
        </w:rPr>
      </w:pPr>
    </w:p>
    <w:p w14:paraId="69487DDF" w14:textId="77777777" w:rsidR="004F2B6F" w:rsidRDefault="004F2B6F" w:rsidP="004F2B6F">
      <w:pPr>
        <w:spacing w:line="360" w:lineRule="auto"/>
        <w:rPr>
          <w:rFonts w:ascii="Arial" w:hAnsi="Arial" w:cs="Arial"/>
          <w:lang w:val="en-US"/>
        </w:rPr>
      </w:pPr>
    </w:p>
    <w:p w14:paraId="4F719A60" w14:textId="77777777" w:rsidR="004F2B6F" w:rsidRDefault="004F2B6F" w:rsidP="004F2B6F">
      <w:pPr>
        <w:spacing w:line="360" w:lineRule="auto"/>
        <w:rPr>
          <w:rFonts w:ascii="Arial" w:hAnsi="Arial" w:cs="Arial"/>
          <w:lang w:val="en-US"/>
        </w:rPr>
      </w:pPr>
    </w:p>
    <w:p w14:paraId="27260E22" w14:textId="77777777" w:rsidR="004F2B6F" w:rsidRDefault="004F2B6F" w:rsidP="004F2B6F">
      <w:pPr>
        <w:spacing w:line="360" w:lineRule="auto"/>
        <w:rPr>
          <w:rFonts w:ascii="Arial" w:hAnsi="Arial" w:cs="Arial"/>
          <w:lang w:val="en-US"/>
        </w:rPr>
      </w:pPr>
    </w:p>
    <w:p w14:paraId="5E5238C9" w14:textId="77777777" w:rsidR="004F2B6F" w:rsidRDefault="004F2B6F" w:rsidP="004F2B6F">
      <w:pPr>
        <w:spacing w:line="360" w:lineRule="auto"/>
        <w:rPr>
          <w:rFonts w:ascii="Arial" w:hAnsi="Arial" w:cs="Arial"/>
          <w:lang w:val="en-US"/>
        </w:rPr>
      </w:pPr>
    </w:p>
    <w:p w14:paraId="683A2EA8" w14:textId="77777777" w:rsidR="004F2B6F" w:rsidRDefault="004F2B6F" w:rsidP="004F2B6F">
      <w:pPr>
        <w:spacing w:line="360" w:lineRule="auto"/>
        <w:rPr>
          <w:rFonts w:ascii="Arial" w:hAnsi="Arial" w:cs="Arial"/>
          <w:lang w:val="en-US"/>
        </w:rPr>
      </w:pPr>
    </w:p>
    <w:p w14:paraId="3A63B337" w14:textId="77777777" w:rsidR="004F2B6F" w:rsidRPr="004F2B6F" w:rsidRDefault="004F2B6F" w:rsidP="004F2B6F">
      <w:pPr>
        <w:spacing w:line="360" w:lineRule="auto"/>
        <w:rPr>
          <w:rFonts w:ascii="Arial" w:hAnsi="Arial" w:cs="Arial"/>
          <w:lang w:val="en-US"/>
        </w:rPr>
      </w:pPr>
    </w:p>
    <w:p w14:paraId="4433E82C" w14:textId="77777777" w:rsidR="00945AFB" w:rsidRPr="004F2B6F" w:rsidRDefault="00945AFB" w:rsidP="004F2B6F">
      <w:pPr>
        <w:spacing w:line="360" w:lineRule="auto"/>
        <w:rPr>
          <w:rFonts w:ascii="Arial" w:hAnsi="Arial" w:cs="Arial"/>
          <w:lang w:val="en-US"/>
        </w:rPr>
      </w:pPr>
    </w:p>
    <w:p w14:paraId="0FF5A69C" w14:textId="77777777" w:rsidR="00945AFB" w:rsidRPr="004F2B6F" w:rsidRDefault="00945AFB" w:rsidP="004F2B6F">
      <w:pPr>
        <w:spacing w:line="360" w:lineRule="auto"/>
        <w:rPr>
          <w:rFonts w:ascii="Arial" w:hAnsi="Arial" w:cs="Arial"/>
          <w:lang w:val="en-US"/>
        </w:rPr>
      </w:pPr>
    </w:p>
    <w:p w14:paraId="2AB5F4F0" w14:textId="77777777" w:rsidR="00945AFB" w:rsidRDefault="00945AFB" w:rsidP="004F2B6F">
      <w:pPr>
        <w:spacing w:line="360" w:lineRule="auto"/>
        <w:rPr>
          <w:rFonts w:ascii="Arial" w:hAnsi="Arial" w:cs="Arial"/>
          <w:lang w:val="en-US"/>
        </w:rPr>
      </w:pPr>
    </w:p>
    <w:p w14:paraId="1A172580" w14:textId="77777777" w:rsidR="004F2B6F" w:rsidRDefault="004F2B6F" w:rsidP="004F2B6F">
      <w:pPr>
        <w:spacing w:line="360" w:lineRule="auto"/>
        <w:rPr>
          <w:rFonts w:ascii="Arial" w:hAnsi="Arial" w:cs="Arial"/>
          <w:lang w:val="en-US"/>
        </w:rPr>
      </w:pPr>
    </w:p>
    <w:p w14:paraId="5FFD433B" w14:textId="77777777" w:rsidR="004F2B6F" w:rsidRDefault="004F2B6F" w:rsidP="004F2B6F">
      <w:pPr>
        <w:spacing w:line="360" w:lineRule="auto"/>
        <w:rPr>
          <w:rFonts w:ascii="Arial" w:hAnsi="Arial" w:cs="Arial"/>
          <w:lang w:val="en-US"/>
        </w:rPr>
      </w:pPr>
    </w:p>
    <w:p w14:paraId="54F444BE" w14:textId="77777777" w:rsidR="004F2B6F" w:rsidRPr="004F2B6F" w:rsidRDefault="004F2B6F" w:rsidP="004F2B6F">
      <w:pPr>
        <w:spacing w:line="360" w:lineRule="auto"/>
        <w:rPr>
          <w:rFonts w:ascii="Arial" w:hAnsi="Arial" w:cs="Arial"/>
          <w:lang w:val="en-US"/>
        </w:rPr>
      </w:pPr>
    </w:p>
    <w:p w14:paraId="046EDDAA" w14:textId="313DCE1D" w:rsidR="1660A038" w:rsidRPr="004F2B6F" w:rsidRDefault="1660A038" w:rsidP="004F2B6F">
      <w:pPr>
        <w:pStyle w:val="1"/>
        <w:spacing w:line="360" w:lineRule="auto"/>
        <w:rPr>
          <w:rFonts w:ascii="Arial" w:eastAsia="Times New Roman" w:hAnsi="Arial" w:cs="Arial"/>
        </w:rPr>
      </w:pPr>
      <w:bookmarkStart w:id="36" w:name="_Toc237341514"/>
      <w:r w:rsidRPr="004F2B6F">
        <w:rPr>
          <w:rFonts w:ascii="Arial" w:hAnsi="Arial" w:cs="Arial"/>
        </w:rPr>
        <w:lastRenderedPageBreak/>
        <w:t>References</w:t>
      </w:r>
      <w:bookmarkEnd w:id="36"/>
    </w:p>
    <w:p w14:paraId="13E6E0A4"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Atrill, P. and McLaney, E. (2024) </w:t>
      </w:r>
      <w:r w:rsidRPr="004F2B6F">
        <w:rPr>
          <w:rFonts w:ascii="Arial" w:hAnsi="Arial" w:cs="Arial"/>
          <w:i/>
          <w:iCs/>
          <w:lang w:val="en-US"/>
        </w:rPr>
        <w:t>Accounting and Finance for Non-Specialists</w:t>
      </w:r>
      <w:r w:rsidRPr="004F2B6F">
        <w:rPr>
          <w:rFonts w:ascii="Arial" w:hAnsi="Arial" w:cs="Arial"/>
          <w:lang w:val="en-US"/>
        </w:rPr>
        <w:t xml:space="preserve">. 12th edn. Harlow: Pearson. Available at: </w:t>
      </w:r>
      <w:hyperlink r:id="rId13" w:tgtFrame="_blank" w:history="1">
        <w:r w:rsidRPr="004F2B6F">
          <w:rPr>
            <w:rStyle w:val="a4"/>
            <w:rFonts w:ascii="Arial" w:hAnsi="Arial" w:cs="Arial"/>
            <w:lang w:val="en-US"/>
          </w:rPr>
          <w:t>Pearson – Accounting and Finance for Non-Specialists</w:t>
        </w:r>
      </w:hyperlink>
      <w:r w:rsidRPr="004F2B6F">
        <w:rPr>
          <w:rFonts w:ascii="Arial" w:hAnsi="Arial" w:cs="Arial"/>
          <w:lang w:val="en-US"/>
        </w:rPr>
        <w:t xml:space="preserve"> (Accessed: 18 July 2026).</w:t>
      </w:r>
    </w:p>
    <w:p w14:paraId="1B449D51"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Brealey, R.A., Myers, S.C., Allen, F. and Edmans, A. (2023) </w:t>
      </w:r>
      <w:r w:rsidRPr="004F2B6F">
        <w:rPr>
          <w:rFonts w:ascii="Arial" w:hAnsi="Arial" w:cs="Arial"/>
          <w:i/>
          <w:iCs/>
          <w:lang w:val="en-US"/>
        </w:rPr>
        <w:t>Principles of Corporate Finance</w:t>
      </w:r>
      <w:r w:rsidRPr="004F2B6F">
        <w:rPr>
          <w:rFonts w:ascii="Arial" w:hAnsi="Arial" w:cs="Arial"/>
          <w:lang w:val="en-US"/>
        </w:rPr>
        <w:t xml:space="preserve">. 14th edn. New York: McGraw Hill. Available at: </w:t>
      </w:r>
      <w:hyperlink r:id="rId14" w:tgtFrame="_blank" w:history="1">
        <w:r w:rsidRPr="004F2B6F">
          <w:rPr>
            <w:rStyle w:val="a4"/>
            <w:rFonts w:ascii="Arial" w:hAnsi="Arial" w:cs="Arial"/>
            <w:lang w:val="en-US"/>
          </w:rPr>
          <w:t>McGraw Hill – Principles of Corporate Finance</w:t>
        </w:r>
      </w:hyperlink>
      <w:r w:rsidRPr="004F2B6F">
        <w:rPr>
          <w:rFonts w:ascii="Arial" w:hAnsi="Arial" w:cs="Arial"/>
          <w:lang w:val="en-US"/>
        </w:rPr>
        <w:t xml:space="preserve"> (Accessed: 29 July 2026).</w:t>
      </w:r>
    </w:p>
    <w:p w14:paraId="3253E692"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Brigham, E.F. and Ehrhardt, M.C. (2020) </w:t>
      </w:r>
      <w:r w:rsidRPr="004F2B6F">
        <w:rPr>
          <w:rFonts w:ascii="Arial" w:hAnsi="Arial" w:cs="Arial"/>
          <w:i/>
          <w:iCs/>
          <w:lang w:val="en-US"/>
        </w:rPr>
        <w:t>Financial Management: Theory &amp; Practice</w:t>
      </w:r>
      <w:r w:rsidRPr="004F2B6F">
        <w:rPr>
          <w:rFonts w:ascii="Arial" w:hAnsi="Arial" w:cs="Arial"/>
          <w:lang w:val="en-US"/>
        </w:rPr>
        <w:t xml:space="preserve">. 16th edn. Boston, MA: Cengage. Available at: </w:t>
      </w:r>
      <w:hyperlink r:id="rId15" w:tgtFrame="_blank" w:history="1">
        <w:r w:rsidRPr="004F2B6F">
          <w:rPr>
            <w:rStyle w:val="a4"/>
            <w:rFonts w:ascii="Arial" w:hAnsi="Arial" w:cs="Arial"/>
            <w:lang w:val="en-US"/>
          </w:rPr>
          <w:t>Cengage – Financial Management: Theory &amp; Practice</w:t>
        </w:r>
      </w:hyperlink>
      <w:r w:rsidRPr="004F2B6F">
        <w:rPr>
          <w:rFonts w:ascii="Arial" w:hAnsi="Arial" w:cs="Arial"/>
          <w:lang w:val="en-US"/>
        </w:rPr>
        <w:t xml:space="preserve"> (Accessed: 7 August 2026).</w:t>
      </w:r>
    </w:p>
    <w:p w14:paraId="57C14714"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Guahk, S. (2020) ‘Determinants of Capital Structure of the Hospitality Industry’, </w:t>
      </w:r>
      <w:r w:rsidRPr="004F2B6F">
        <w:rPr>
          <w:rFonts w:ascii="Arial" w:hAnsi="Arial" w:cs="Arial"/>
          <w:i/>
          <w:iCs/>
          <w:lang w:val="en-US"/>
        </w:rPr>
        <w:t>Industry Promotion Research</w:t>
      </w:r>
      <w:r w:rsidRPr="004F2B6F">
        <w:rPr>
          <w:rFonts w:ascii="Arial" w:hAnsi="Arial" w:cs="Arial"/>
          <w:lang w:val="en-US"/>
        </w:rPr>
        <w:t xml:space="preserve">, 5(3), pp. 31–36. Available at: </w:t>
      </w:r>
      <w:hyperlink r:id="rId16" w:tgtFrame="_blank" w:history="1">
        <w:r w:rsidRPr="004F2B6F">
          <w:rPr>
            <w:rStyle w:val="a4"/>
            <w:rFonts w:ascii="Arial" w:hAnsi="Arial" w:cs="Arial"/>
            <w:lang w:val="en-US"/>
          </w:rPr>
          <w:t>KCI – Determinants of Capital Structure of the Hospitality Industry</w:t>
        </w:r>
      </w:hyperlink>
      <w:r w:rsidRPr="004F2B6F">
        <w:rPr>
          <w:rFonts w:ascii="Arial" w:hAnsi="Arial" w:cs="Arial"/>
          <w:lang w:val="en-US"/>
        </w:rPr>
        <w:t xml:space="preserve"> (Accessed: 9 August 2026).</w:t>
      </w:r>
    </w:p>
    <w:p w14:paraId="2CD0B484"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Hilton Worldwide Holdings Inc. (2025) </w:t>
      </w:r>
      <w:r w:rsidRPr="004F2B6F">
        <w:rPr>
          <w:rFonts w:ascii="Arial" w:hAnsi="Arial" w:cs="Arial"/>
          <w:i/>
          <w:iCs/>
          <w:lang w:val="en-US"/>
        </w:rPr>
        <w:t>Annual Report 2024</w:t>
      </w:r>
      <w:r w:rsidRPr="004F2B6F">
        <w:rPr>
          <w:rFonts w:ascii="Arial" w:hAnsi="Arial" w:cs="Arial"/>
          <w:lang w:val="en-US"/>
        </w:rPr>
        <w:t xml:space="preserve">. Available at: </w:t>
      </w:r>
      <w:hyperlink r:id="rId17" w:tgtFrame="_blank" w:history="1">
        <w:r w:rsidRPr="004F2B6F">
          <w:rPr>
            <w:rStyle w:val="a4"/>
            <w:rFonts w:ascii="Arial" w:hAnsi="Arial" w:cs="Arial"/>
            <w:lang w:val="en-US"/>
          </w:rPr>
          <w:t>Hilton Investor Relations</w:t>
        </w:r>
      </w:hyperlink>
      <w:r w:rsidRPr="004F2B6F">
        <w:rPr>
          <w:rFonts w:ascii="Arial" w:hAnsi="Arial" w:cs="Arial"/>
          <w:lang w:val="en-US"/>
        </w:rPr>
        <w:t xml:space="preserve"> (Accessed: 31 July 2026).</w:t>
      </w:r>
    </w:p>
    <w:p w14:paraId="5DA9F528"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Hilton Worldwide Holdings Inc. (2026) </w:t>
      </w:r>
      <w:r w:rsidRPr="004F2B6F">
        <w:rPr>
          <w:rFonts w:ascii="Arial" w:hAnsi="Arial" w:cs="Arial"/>
          <w:i/>
          <w:iCs/>
          <w:lang w:val="en-US"/>
        </w:rPr>
        <w:t>Annual Report 2025</w:t>
      </w:r>
      <w:r w:rsidRPr="004F2B6F">
        <w:rPr>
          <w:rFonts w:ascii="Arial" w:hAnsi="Arial" w:cs="Arial"/>
          <w:lang w:val="en-US"/>
        </w:rPr>
        <w:t xml:space="preserve">. Available at: </w:t>
      </w:r>
      <w:hyperlink r:id="rId18" w:tgtFrame="_blank" w:history="1">
        <w:r w:rsidRPr="004F2B6F">
          <w:rPr>
            <w:rStyle w:val="a4"/>
            <w:rFonts w:ascii="Arial" w:hAnsi="Arial" w:cs="Arial"/>
            <w:lang w:val="en-US"/>
          </w:rPr>
          <w:t>Hilton Investor Relations</w:t>
        </w:r>
      </w:hyperlink>
      <w:r w:rsidRPr="004F2B6F">
        <w:rPr>
          <w:rFonts w:ascii="Arial" w:hAnsi="Arial" w:cs="Arial"/>
          <w:lang w:val="en-US"/>
        </w:rPr>
        <w:t xml:space="preserve"> (Accessed: 31 July 2026).</w:t>
      </w:r>
    </w:p>
    <w:p w14:paraId="5C2EEB20"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Hyatt Hotels Corporation (2026) </w:t>
      </w:r>
      <w:r w:rsidRPr="004F2B6F">
        <w:rPr>
          <w:rFonts w:ascii="Arial" w:hAnsi="Arial" w:cs="Arial"/>
          <w:i/>
          <w:iCs/>
          <w:lang w:val="en-US"/>
        </w:rPr>
        <w:t>Annual Report 2025</w:t>
      </w:r>
      <w:r w:rsidRPr="004F2B6F">
        <w:rPr>
          <w:rFonts w:ascii="Arial" w:hAnsi="Arial" w:cs="Arial"/>
          <w:lang w:val="en-US"/>
        </w:rPr>
        <w:t>. Available at: Hyatt Investor Relations (Accessed: 31 July 2026).</w:t>
      </w:r>
    </w:p>
    <w:p w14:paraId="0EFF2489"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International Federation of Accountants (IFAC) (2022) </w:t>
      </w:r>
      <w:r w:rsidRPr="004F2B6F">
        <w:rPr>
          <w:rFonts w:ascii="Arial" w:hAnsi="Arial" w:cs="Arial"/>
          <w:i/>
          <w:iCs/>
          <w:lang w:val="en-US"/>
        </w:rPr>
        <w:t>Digital Transformation and the Role of Accounting and Finance Professionals in this New Era</w:t>
      </w:r>
      <w:r w:rsidRPr="004F2B6F">
        <w:rPr>
          <w:rFonts w:ascii="Arial" w:hAnsi="Arial" w:cs="Arial"/>
          <w:lang w:val="en-US"/>
        </w:rPr>
        <w:t xml:space="preserve">. Available at: </w:t>
      </w:r>
      <w:hyperlink r:id="rId19" w:tgtFrame="_blank" w:history="1">
        <w:r w:rsidRPr="004F2B6F">
          <w:rPr>
            <w:rStyle w:val="a4"/>
            <w:rFonts w:ascii="Arial" w:hAnsi="Arial" w:cs="Arial"/>
            <w:lang w:val="en-US"/>
          </w:rPr>
          <w:t>IFAC – Artificial Intelligence &amp; Technology</w:t>
        </w:r>
      </w:hyperlink>
      <w:r w:rsidRPr="004F2B6F">
        <w:rPr>
          <w:rFonts w:ascii="Arial" w:hAnsi="Arial" w:cs="Arial"/>
          <w:lang w:val="en-US"/>
        </w:rPr>
        <w:t xml:space="preserve"> (Accessed: 9 August 2026).</w:t>
      </w:r>
    </w:p>
    <w:p w14:paraId="6D29638C"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International Federation of Accountants (IFAC) (2026a) </w:t>
      </w:r>
      <w:r w:rsidRPr="004F2B6F">
        <w:rPr>
          <w:rFonts w:ascii="Arial" w:hAnsi="Arial" w:cs="Arial"/>
          <w:i/>
          <w:iCs/>
          <w:lang w:val="en-US"/>
        </w:rPr>
        <w:t>Artificial Intelligence &amp; Accounting</w:t>
      </w:r>
      <w:r w:rsidRPr="004F2B6F">
        <w:rPr>
          <w:rFonts w:ascii="Arial" w:hAnsi="Arial" w:cs="Arial"/>
          <w:lang w:val="en-US"/>
        </w:rPr>
        <w:t xml:space="preserve">. Available at: </w:t>
      </w:r>
      <w:hyperlink r:id="rId20" w:tgtFrame="_blank" w:history="1">
        <w:r w:rsidRPr="004F2B6F">
          <w:rPr>
            <w:rStyle w:val="a4"/>
            <w:rFonts w:ascii="Arial" w:hAnsi="Arial" w:cs="Arial"/>
            <w:lang w:val="en-US"/>
          </w:rPr>
          <w:t>IFAC – Artificial Intelligence &amp; Accounting</w:t>
        </w:r>
      </w:hyperlink>
      <w:r w:rsidRPr="004F2B6F">
        <w:rPr>
          <w:rFonts w:ascii="Arial" w:hAnsi="Arial" w:cs="Arial"/>
          <w:lang w:val="en-US"/>
        </w:rPr>
        <w:t xml:space="preserve"> (Accessed: 9 August 2026).</w:t>
      </w:r>
    </w:p>
    <w:p w14:paraId="67DCF282"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International Federation of Accountants (IFAC) (2026b) </w:t>
      </w:r>
      <w:r w:rsidRPr="004F2B6F">
        <w:rPr>
          <w:rFonts w:ascii="Arial" w:hAnsi="Arial" w:cs="Arial"/>
          <w:i/>
          <w:iCs/>
          <w:lang w:val="en-US"/>
        </w:rPr>
        <w:t>IES 4: Initial Professional Development – Professional Values, Ethics, and Attitudes</w:t>
      </w:r>
      <w:r w:rsidRPr="004F2B6F">
        <w:rPr>
          <w:rFonts w:ascii="Arial" w:hAnsi="Arial" w:cs="Arial"/>
          <w:lang w:val="en-US"/>
        </w:rPr>
        <w:t xml:space="preserve">. Available at: </w:t>
      </w:r>
      <w:hyperlink r:id="rId21" w:tgtFrame="_blank" w:history="1">
        <w:r w:rsidRPr="004F2B6F">
          <w:rPr>
            <w:rStyle w:val="a4"/>
            <w:rFonts w:ascii="Arial" w:hAnsi="Arial" w:cs="Arial"/>
            <w:lang w:val="en-US"/>
          </w:rPr>
          <w:t>IFAC – IES 4</w:t>
        </w:r>
      </w:hyperlink>
      <w:r w:rsidRPr="004F2B6F">
        <w:rPr>
          <w:rFonts w:ascii="Arial" w:hAnsi="Arial" w:cs="Arial"/>
          <w:lang w:val="en-US"/>
        </w:rPr>
        <w:t xml:space="preserve"> (Accessed: 9 August 2026).</w:t>
      </w:r>
    </w:p>
    <w:p w14:paraId="225060C9" w14:textId="62E9AC04" w:rsidR="004C02E4" w:rsidRPr="004F2B6F" w:rsidRDefault="004C02E4" w:rsidP="004F2B6F">
      <w:pPr>
        <w:spacing w:line="360" w:lineRule="auto"/>
        <w:rPr>
          <w:rFonts w:ascii="Arial" w:hAnsi="Arial" w:cs="Arial"/>
          <w:lang w:val="en-US"/>
        </w:rPr>
      </w:pPr>
      <w:r w:rsidRPr="004F2B6F">
        <w:rPr>
          <w:rFonts w:ascii="Arial" w:hAnsi="Arial" w:cs="Arial"/>
          <w:lang w:val="en-US"/>
        </w:rPr>
        <w:lastRenderedPageBreak/>
        <w:t xml:space="preserve">Kim, A., Muhn, M. and Nikolaev, V. (2024) ‘Financial Statement Analysis with Large Language Models’. </w:t>
      </w:r>
      <w:r w:rsidRPr="004F2B6F">
        <w:rPr>
          <w:rFonts w:ascii="Arial" w:hAnsi="Arial" w:cs="Arial"/>
          <w:i/>
          <w:iCs/>
          <w:lang w:val="en-US"/>
        </w:rPr>
        <w:t>arXiv</w:t>
      </w:r>
      <w:r w:rsidRPr="004F2B6F">
        <w:rPr>
          <w:rFonts w:ascii="Arial" w:hAnsi="Arial" w:cs="Arial"/>
          <w:lang w:val="en-US"/>
        </w:rPr>
        <w:t xml:space="preserve">. Available at: </w:t>
      </w:r>
      <w:hyperlink r:id="rId22" w:tgtFrame="_blank" w:history="1">
        <w:r w:rsidRPr="004F2B6F">
          <w:rPr>
            <w:rStyle w:val="a4"/>
            <w:rFonts w:ascii="Arial" w:hAnsi="Arial" w:cs="Arial"/>
            <w:lang w:val="en-US"/>
          </w:rPr>
          <w:t>Financial Statement Analysis with Large Language Models</w:t>
        </w:r>
      </w:hyperlink>
      <w:r w:rsidRPr="004F2B6F">
        <w:rPr>
          <w:rFonts w:ascii="Arial" w:hAnsi="Arial" w:cs="Arial"/>
          <w:lang w:val="en-US"/>
        </w:rPr>
        <w:t xml:space="preserve"> (Accessed: 3 August 2026).</w:t>
      </w:r>
    </w:p>
    <w:p w14:paraId="009DC6A8"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Marriott International, Inc. (2025) </w:t>
      </w:r>
      <w:r w:rsidRPr="004F2B6F">
        <w:rPr>
          <w:rFonts w:ascii="Arial" w:hAnsi="Arial" w:cs="Arial"/>
          <w:i/>
          <w:iCs/>
          <w:lang w:val="en-US"/>
        </w:rPr>
        <w:t>Annual Report 2024</w:t>
      </w:r>
      <w:r w:rsidRPr="004F2B6F">
        <w:rPr>
          <w:rFonts w:ascii="Arial" w:hAnsi="Arial" w:cs="Arial"/>
          <w:lang w:val="en-US"/>
        </w:rPr>
        <w:t xml:space="preserve">. Available at: </w:t>
      </w:r>
      <w:hyperlink r:id="rId23" w:tgtFrame="_blank" w:history="1">
        <w:r w:rsidRPr="004F2B6F">
          <w:rPr>
            <w:rStyle w:val="a4"/>
            <w:rFonts w:ascii="Arial" w:hAnsi="Arial" w:cs="Arial"/>
            <w:lang w:val="en-US"/>
          </w:rPr>
          <w:t>Marriott International – Annual Reports</w:t>
        </w:r>
      </w:hyperlink>
      <w:r w:rsidRPr="004F2B6F">
        <w:rPr>
          <w:rFonts w:ascii="Arial" w:hAnsi="Arial" w:cs="Arial"/>
          <w:lang w:val="en-US"/>
        </w:rPr>
        <w:t xml:space="preserve"> (Accessed: 16 July 2026).</w:t>
      </w:r>
    </w:p>
    <w:p w14:paraId="3FDAC105"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Marriott International, Inc. (2026) </w:t>
      </w:r>
      <w:r w:rsidRPr="004F2B6F">
        <w:rPr>
          <w:rFonts w:ascii="Arial" w:hAnsi="Arial" w:cs="Arial"/>
          <w:i/>
          <w:iCs/>
          <w:lang w:val="en-US"/>
        </w:rPr>
        <w:t>Annual Report 2025</w:t>
      </w:r>
      <w:r w:rsidRPr="004F2B6F">
        <w:rPr>
          <w:rFonts w:ascii="Arial" w:hAnsi="Arial" w:cs="Arial"/>
          <w:lang w:val="en-US"/>
        </w:rPr>
        <w:t xml:space="preserve">. Available at: </w:t>
      </w:r>
      <w:hyperlink r:id="rId24" w:tgtFrame="_blank" w:history="1">
        <w:r w:rsidRPr="004F2B6F">
          <w:rPr>
            <w:rStyle w:val="a4"/>
            <w:rFonts w:ascii="Arial" w:hAnsi="Arial" w:cs="Arial"/>
            <w:lang w:val="en-US"/>
          </w:rPr>
          <w:t>Marriott International – 2025 Annual Report / Form 10-K</w:t>
        </w:r>
      </w:hyperlink>
      <w:r w:rsidRPr="004F2B6F">
        <w:rPr>
          <w:rFonts w:ascii="Arial" w:hAnsi="Arial" w:cs="Arial"/>
          <w:lang w:val="en-US"/>
        </w:rPr>
        <w:t xml:space="preserve"> (Accessed: 16 July 2026).</w:t>
      </w:r>
    </w:p>
    <w:p w14:paraId="462BBA2E" w14:textId="77777777"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UN Tourism (2025) </w:t>
      </w:r>
      <w:r w:rsidRPr="004F2B6F">
        <w:rPr>
          <w:rFonts w:ascii="Arial" w:hAnsi="Arial" w:cs="Arial"/>
          <w:i/>
          <w:iCs/>
          <w:lang w:val="en-US"/>
        </w:rPr>
        <w:t>World Tourism Barometer, January 2025</w:t>
      </w:r>
      <w:r w:rsidRPr="004F2B6F">
        <w:rPr>
          <w:rFonts w:ascii="Arial" w:hAnsi="Arial" w:cs="Arial"/>
          <w:lang w:val="en-US"/>
        </w:rPr>
        <w:t xml:space="preserve">. Madrid: UN Tourism. Available at: </w:t>
      </w:r>
      <w:hyperlink r:id="rId25" w:tgtFrame="_blank" w:history="1">
        <w:r w:rsidRPr="004F2B6F">
          <w:rPr>
            <w:rStyle w:val="a4"/>
            <w:rFonts w:ascii="Arial" w:hAnsi="Arial" w:cs="Arial"/>
            <w:lang w:val="en-US"/>
          </w:rPr>
          <w:t>UN Tourism – World Tourism Barometer January 2025</w:t>
        </w:r>
      </w:hyperlink>
      <w:r w:rsidRPr="004F2B6F">
        <w:rPr>
          <w:rFonts w:ascii="Arial" w:hAnsi="Arial" w:cs="Arial"/>
          <w:lang w:val="en-US"/>
        </w:rPr>
        <w:t xml:space="preserve"> (Accessed: 4 August 2026).</w:t>
      </w:r>
    </w:p>
    <w:p w14:paraId="16924217" w14:textId="1A2CDBC8" w:rsidR="004C02E4" w:rsidRPr="004F2B6F" w:rsidRDefault="004C02E4" w:rsidP="004F2B6F">
      <w:pPr>
        <w:spacing w:line="360" w:lineRule="auto"/>
        <w:rPr>
          <w:rFonts w:ascii="Arial" w:hAnsi="Arial" w:cs="Arial"/>
          <w:lang w:val="en-US"/>
        </w:rPr>
      </w:pPr>
      <w:r w:rsidRPr="004F2B6F">
        <w:rPr>
          <w:rFonts w:ascii="Arial" w:hAnsi="Arial" w:cs="Arial"/>
          <w:lang w:val="en-US"/>
        </w:rPr>
        <w:t xml:space="preserve">Wang, J.J. and Wang, V.X. (2025) ‘Assessing Consistency and Reproducibility in the Outputs of Large Language Models: Evidence Across Diverse Finance and Accounting Tasks’. </w:t>
      </w:r>
      <w:r w:rsidRPr="004F2B6F">
        <w:rPr>
          <w:rFonts w:ascii="Arial" w:hAnsi="Arial" w:cs="Arial"/>
          <w:i/>
          <w:iCs/>
          <w:lang w:val="en-US"/>
        </w:rPr>
        <w:t>arXiv</w:t>
      </w:r>
      <w:r w:rsidRPr="004F2B6F">
        <w:rPr>
          <w:rFonts w:ascii="Arial" w:hAnsi="Arial" w:cs="Arial"/>
          <w:lang w:val="en-US"/>
        </w:rPr>
        <w:t xml:space="preserve">. Available at: </w:t>
      </w:r>
      <w:hyperlink r:id="rId26" w:tgtFrame="_blank" w:history="1">
        <w:r w:rsidRPr="004F2B6F">
          <w:rPr>
            <w:rStyle w:val="a4"/>
            <w:rFonts w:ascii="Arial" w:hAnsi="Arial" w:cs="Arial"/>
            <w:lang w:val="en-US"/>
          </w:rPr>
          <w:t>Assessing Consistency and Reproducibility in LLM Outputs</w:t>
        </w:r>
      </w:hyperlink>
      <w:r w:rsidRPr="004F2B6F">
        <w:rPr>
          <w:rFonts w:ascii="Arial" w:hAnsi="Arial" w:cs="Arial"/>
          <w:lang w:val="en-US"/>
        </w:rPr>
        <w:t xml:space="preserve"> (Accessed: 1 August 2026).</w:t>
      </w:r>
    </w:p>
    <w:p w14:paraId="1E77C1B3" w14:textId="77777777" w:rsidR="00B9519C" w:rsidRPr="004F2B6F" w:rsidRDefault="00B9519C" w:rsidP="004F2B6F">
      <w:pPr>
        <w:spacing w:line="360" w:lineRule="auto"/>
        <w:rPr>
          <w:rFonts w:ascii="Arial" w:hAnsi="Arial" w:cs="Arial"/>
          <w:lang w:val="en-US"/>
        </w:rPr>
      </w:pPr>
    </w:p>
    <w:p w14:paraId="1A921C99" w14:textId="77777777" w:rsidR="003067D2" w:rsidRPr="004F2B6F" w:rsidRDefault="003067D2" w:rsidP="004F2B6F">
      <w:pPr>
        <w:spacing w:line="360" w:lineRule="auto"/>
        <w:rPr>
          <w:rFonts w:ascii="Arial" w:hAnsi="Arial" w:cs="Arial"/>
          <w:lang w:val="en-US"/>
        </w:rPr>
      </w:pPr>
    </w:p>
    <w:p w14:paraId="71A64175" w14:textId="77777777" w:rsidR="005025C3" w:rsidRPr="004F2B6F" w:rsidRDefault="005025C3" w:rsidP="004F2B6F">
      <w:pPr>
        <w:spacing w:line="360" w:lineRule="auto"/>
        <w:rPr>
          <w:rFonts w:ascii="Arial" w:hAnsi="Arial" w:cs="Arial"/>
          <w:lang w:val="en-US"/>
        </w:rPr>
      </w:pPr>
    </w:p>
    <w:p w14:paraId="75BBE516" w14:textId="77777777" w:rsidR="005025C3" w:rsidRPr="004F2B6F" w:rsidRDefault="005025C3" w:rsidP="004F2B6F">
      <w:pPr>
        <w:spacing w:line="360" w:lineRule="auto"/>
        <w:rPr>
          <w:rFonts w:ascii="Arial" w:hAnsi="Arial" w:cs="Arial"/>
          <w:lang w:val="en-US"/>
        </w:rPr>
      </w:pPr>
    </w:p>
    <w:p w14:paraId="59824A31" w14:textId="77777777" w:rsidR="005025C3" w:rsidRPr="004F2B6F" w:rsidRDefault="005025C3" w:rsidP="004F2B6F">
      <w:pPr>
        <w:spacing w:line="360" w:lineRule="auto"/>
        <w:rPr>
          <w:rFonts w:ascii="Arial" w:hAnsi="Arial" w:cs="Arial"/>
          <w:lang w:val="en-US"/>
        </w:rPr>
      </w:pPr>
    </w:p>
    <w:p w14:paraId="13D0BC0A" w14:textId="77777777" w:rsidR="005025C3" w:rsidRPr="004F2B6F" w:rsidRDefault="005025C3" w:rsidP="004F2B6F">
      <w:pPr>
        <w:spacing w:line="360" w:lineRule="auto"/>
        <w:rPr>
          <w:rFonts w:ascii="Arial" w:hAnsi="Arial" w:cs="Arial"/>
          <w:lang w:val="en-US"/>
        </w:rPr>
      </w:pPr>
    </w:p>
    <w:p w14:paraId="1A0265A2" w14:textId="77777777" w:rsidR="005025C3" w:rsidRPr="004F2B6F" w:rsidRDefault="005025C3" w:rsidP="004F2B6F">
      <w:pPr>
        <w:spacing w:line="360" w:lineRule="auto"/>
        <w:rPr>
          <w:rFonts w:ascii="Arial" w:hAnsi="Arial" w:cs="Arial"/>
          <w:lang w:val="en-US"/>
        </w:rPr>
      </w:pPr>
    </w:p>
    <w:p w14:paraId="7EB65BAA" w14:textId="77777777" w:rsidR="005025C3" w:rsidRPr="004F2B6F" w:rsidRDefault="005025C3" w:rsidP="004F2B6F">
      <w:pPr>
        <w:spacing w:line="360" w:lineRule="auto"/>
        <w:rPr>
          <w:rFonts w:ascii="Arial" w:hAnsi="Arial" w:cs="Arial"/>
          <w:lang w:val="en-US"/>
        </w:rPr>
      </w:pPr>
    </w:p>
    <w:p w14:paraId="60B1CDEC" w14:textId="77777777" w:rsidR="005025C3" w:rsidRPr="004F2B6F" w:rsidRDefault="005025C3" w:rsidP="004F2B6F">
      <w:pPr>
        <w:spacing w:line="360" w:lineRule="auto"/>
        <w:rPr>
          <w:rFonts w:ascii="Arial" w:hAnsi="Arial" w:cs="Arial"/>
          <w:lang w:val="en-US"/>
        </w:rPr>
      </w:pPr>
    </w:p>
    <w:p w14:paraId="359AA3F9" w14:textId="77777777" w:rsidR="005025C3" w:rsidRPr="004F2B6F" w:rsidRDefault="005025C3" w:rsidP="004F2B6F">
      <w:pPr>
        <w:spacing w:line="360" w:lineRule="auto"/>
        <w:rPr>
          <w:rFonts w:ascii="Arial" w:hAnsi="Arial" w:cs="Arial"/>
          <w:lang w:val="en-US"/>
        </w:rPr>
      </w:pPr>
    </w:p>
    <w:p w14:paraId="502E4108" w14:textId="77777777" w:rsidR="005025C3" w:rsidRPr="004F2B6F" w:rsidRDefault="005025C3" w:rsidP="004F2B6F">
      <w:pPr>
        <w:spacing w:line="360" w:lineRule="auto"/>
        <w:rPr>
          <w:rFonts w:ascii="Arial" w:hAnsi="Arial" w:cs="Arial"/>
          <w:lang w:val="en-US"/>
        </w:rPr>
      </w:pPr>
    </w:p>
    <w:p w14:paraId="792CB821" w14:textId="77777777" w:rsidR="005025C3" w:rsidRPr="004F2B6F" w:rsidRDefault="005025C3" w:rsidP="004F2B6F">
      <w:pPr>
        <w:spacing w:line="360" w:lineRule="auto"/>
        <w:rPr>
          <w:rFonts w:ascii="Arial" w:hAnsi="Arial" w:cs="Arial"/>
          <w:lang w:val="en-US"/>
        </w:rPr>
      </w:pPr>
    </w:p>
    <w:p w14:paraId="1E13255C" w14:textId="77777777" w:rsidR="005025C3" w:rsidRPr="004F2B6F" w:rsidRDefault="005025C3" w:rsidP="004F2B6F">
      <w:pPr>
        <w:spacing w:line="360" w:lineRule="auto"/>
        <w:rPr>
          <w:rFonts w:ascii="Arial" w:hAnsi="Arial" w:cs="Arial"/>
          <w:lang w:val="en-US"/>
        </w:rPr>
      </w:pPr>
    </w:p>
    <w:p w14:paraId="5D90FB73" w14:textId="77777777" w:rsidR="003067D2" w:rsidRPr="004F2B6F" w:rsidRDefault="003067D2" w:rsidP="004F2B6F">
      <w:pPr>
        <w:pStyle w:val="1"/>
        <w:spacing w:line="360" w:lineRule="auto"/>
        <w:rPr>
          <w:rFonts w:ascii="Arial" w:hAnsi="Arial" w:cs="Arial"/>
          <w:lang w:val="en-US"/>
        </w:rPr>
      </w:pPr>
      <w:bookmarkStart w:id="37" w:name="_Toc237341515"/>
      <w:r w:rsidRPr="004F2B6F">
        <w:rPr>
          <w:rFonts w:ascii="Arial" w:hAnsi="Arial" w:cs="Arial"/>
        </w:rPr>
        <w:lastRenderedPageBreak/>
        <w:t>Appendices</w:t>
      </w:r>
      <w:bookmarkEnd w:id="37"/>
    </w:p>
    <w:p w14:paraId="554BA2A1" w14:textId="77777777" w:rsidR="00B9519C" w:rsidRPr="004F2B6F" w:rsidRDefault="00B9519C" w:rsidP="004F2B6F">
      <w:pPr>
        <w:spacing w:line="360" w:lineRule="auto"/>
        <w:rPr>
          <w:rFonts w:ascii="Arial" w:hAnsi="Arial" w:cs="Arial"/>
          <w:b/>
          <w:bCs/>
          <w:lang w:val="en-US"/>
        </w:rPr>
      </w:pPr>
      <w:r w:rsidRPr="004F2B6F">
        <w:rPr>
          <w:rFonts w:ascii="Arial" w:hAnsi="Arial" w:cs="Arial"/>
          <w:b/>
          <w:bCs/>
          <w:lang w:val="en-US"/>
        </w:rPr>
        <w:t>Appendix A – Consolidated Income Statements (2021–2025)</w:t>
      </w:r>
    </w:p>
    <w:p w14:paraId="226BE1FC" w14:textId="1D3ED2C3" w:rsidR="00C45153" w:rsidRPr="004F2B6F" w:rsidRDefault="00C45153" w:rsidP="004F2B6F">
      <w:pPr>
        <w:spacing w:line="360" w:lineRule="auto"/>
        <w:rPr>
          <w:rFonts w:ascii="Arial" w:hAnsi="Arial" w:cs="Arial"/>
          <w:b/>
          <w:bCs/>
          <w:lang w:val="en-US"/>
        </w:rPr>
      </w:pPr>
      <w:r w:rsidRPr="004F2B6F">
        <w:rPr>
          <w:rFonts w:ascii="Arial" w:hAnsi="Arial" w:cs="Arial"/>
          <w:b/>
          <w:bCs/>
        </w:rPr>
        <w:t>Table A1. Consolidated Income Statement (2021–2025). Source: Marriott International Annual Reports and author.</w:t>
      </w:r>
    </w:p>
    <w:tbl>
      <w:tblPr>
        <w:tblW w:w="9934" w:type="dxa"/>
        <w:tblInd w:w="-5" w:type="dxa"/>
        <w:tblLook w:val="04A0" w:firstRow="1" w:lastRow="0" w:firstColumn="1" w:lastColumn="0" w:noHBand="0" w:noVBand="1"/>
      </w:tblPr>
      <w:tblGrid>
        <w:gridCol w:w="3724"/>
        <w:gridCol w:w="159"/>
        <w:gridCol w:w="1082"/>
        <w:gridCol w:w="1241"/>
        <w:gridCol w:w="1241"/>
        <w:gridCol w:w="1241"/>
        <w:gridCol w:w="1235"/>
        <w:gridCol w:w="11"/>
      </w:tblGrid>
      <w:tr w:rsidR="0088157C" w:rsidRPr="004F2B6F" w14:paraId="20BC545E" w14:textId="77777777" w:rsidTr="00C45153">
        <w:trPr>
          <w:trHeight w:val="305"/>
        </w:trPr>
        <w:tc>
          <w:tcPr>
            <w:tcW w:w="3724" w:type="dxa"/>
            <w:tcBorders>
              <w:top w:val="single" w:sz="4" w:space="0" w:color="808080"/>
              <w:left w:val="single" w:sz="4" w:space="0" w:color="808080"/>
              <w:bottom w:val="nil"/>
              <w:right w:val="single" w:sz="4" w:space="0" w:color="808080"/>
            </w:tcBorders>
            <w:shd w:val="clear" w:color="000000" w:fill="1F4E78"/>
            <w:noWrap/>
            <w:vAlign w:val="bottom"/>
            <w:hideMark/>
          </w:tcPr>
          <w:p w14:paraId="0B48FE4D"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Income Statement (USD millions)</w:t>
            </w:r>
          </w:p>
        </w:tc>
        <w:tc>
          <w:tcPr>
            <w:tcW w:w="1241" w:type="dxa"/>
            <w:gridSpan w:val="2"/>
            <w:tcBorders>
              <w:top w:val="single" w:sz="4" w:space="0" w:color="808080"/>
              <w:left w:val="nil"/>
              <w:bottom w:val="nil"/>
              <w:right w:val="single" w:sz="4" w:space="0" w:color="808080"/>
            </w:tcBorders>
            <w:shd w:val="clear" w:color="000000" w:fill="1F4E78"/>
            <w:noWrap/>
            <w:vAlign w:val="bottom"/>
            <w:hideMark/>
          </w:tcPr>
          <w:p w14:paraId="0A508B8B"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2025</w:t>
            </w:r>
          </w:p>
        </w:tc>
        <w:tc>
          <w:tcPr>
            <w:tcW w:w="1241" w:type="dxa"/>
            <w:tcBorders>
              <w:top w:val="single" w:sz="4" w:space="0" w:color="808080"/>
              <w:left w:val="nil"/>
              <w:bottom w:val="nil"/>
              <w:right w:val="single" w:sz="4" w:space="0" w:color="808080"/>
            </w:tcBorders>
            <w:shd w:val="clear" w:color="000000" w:fill="1F4E78"/>
            <w:noWrap/>
            <w:vAlign w:val="bottom"/>
            <w:hideMark/>
          </w:tcPr>
          <w:p w14:paraId="4F06167B"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2024</w:t>
            </w:r>
          </w:p>
        </w:tc>
        <w:tc>
          <w:tcPr>
            <w:tcW w:w="1241" w:type="dxa"/>
            <w:tcBorders>
              <w:top w:val="single" w:sz="4" w:space="0" w:color="808080"/>
              <w:left w:val="nil"/>
              <w:bottom w:val="nil"/>
              <w:right w:val="single" w:sz="4" w:space="0" w:color="808080"/>
            </w:tcBorders>
            <w:shd w:val="clear" w:color="000000" w:fill="1F4E78"/>
            <w:noWrap/>
            <w:vAlign w:val="bottom"/>
            <w:hideMark/>
          </w:tcPr>
          <w:p w14:paraId="3799555C"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2023</w:t>
            </w:r>
          </w:p>
        </w:tc>
        <w:tc>
          <w:tcPr>
            <w:tcW w:w="1241" w:type="dxa"/>
            <w:tcBorders>
              <w:top w:val="single" w:sz="4" w:space="0" w:color="808080"/>
              <w:left w:val="nil"/>
              <w:bottom w:val="nil"/>
              <w:right w:val="single" w:sz="4" w:space="0" w:color="808080"/>
            </w:tcBorders>
            <w:shd w:val="clear" w:color="000000" w:fill="1F4E78"/>
            <w:noWrap/>
            <w:vAlign w:val="bottom"/>
            <w:hideMark/>
          </w:tcPr>
          <w:p w14:paraId="106C7AC0"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2022</w:t>
            </w:r>
          </w:p>
        </w:tc>
        <w:tc>
          <w:tcPr>
            <w:tcW w:w="1241" w:type="dxa"/>
            <w:gridSpan w:val="2"/>
            <w:tcBorders>
              <w:top w:val="single" w:sz="4" w:space="0" w:color="808080"/>
              <w:left w:val="nil"/>
              <w:bottom w:val="nil"/>
              <w:right w:val="single" w:sz="4" w:space="0" w:color="808080"/>
            </w:tcBorders>
            <w:shd w:val="clear" w:color="000000" w:fill="1F4E78"/>
            <w:noWrap/>
            <w:vAlign w:val="bottom"/>
            <w:hideMark/>
          </w:tcPr>
          <w:p w14:paraId="2CADC070" w14:textId="77777777" w:rsidR="0088157C" w:rsidRPr="004F2B6F" w:rsidRDefault="0088157C"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2021</w:t>
            </w:r>
          </w:p>
        </w:tc>
      </w:tr>
      <w:tr w:rsidR="0088157C" w:rsidRPr="004F2B6F" w14:paraId="23BC20E3" w14:textId="77777777" w:rsidTr="00C45153">
        <w:trPr>
          <w:trHeight w:val="305"/>
        </w:trPr>
        <w:tc>
          <w:tcPr>
            <w:tcW w:w="3724" w:type="dxa"/>
            <w:tcBorders>
              <w:top w:val="single" w:sz="4" w:space="0" w:color="808080"/>
              <w:left w:val="single" w:sz="4" w:space="0" w:color="808080"/>
              <w:bottom w:val="nil"/>
              <w:right w:val="single" w:sz="4" w:space="0" w:color="808080"/>
            </w:tcBorders>
            <w:shd w:val="clear" w:color="000000" w:fill="C6EFCE"/>
            <w:noWrap/>
            <w:vAlign w:val="bottom"/>
            <w:hideMark/>
          </w:tcPr>
          <w:p w14:paraId="73FD5F28"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INCOME STATEMENT</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5A386689"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40C269EA"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7D660F2B"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4F60EAAB"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54177A50"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r>
      <w:tr w:rsidR="0088157C" w:rsidRPr="004F2B6F" w14:paraId="607B7892" w14:textId="77777777" w:rsidTr="00C45153">
        <w:trPr>
          <w:trHeight w:val="305"/>
        </w:trPr>
        <w:tc>
          <w:tcPr>
            <w:tcW w:w="3724" w:type="dxa"/>
            <w:tcBorders>
              <w:top w:val="single" w:sz="4" w:space="0" w:color="808080"/>
              <w:left w:val="single" w:sz="4" w:space="0" w:color="808080"/>
              <w:bottom w:val="nil"/>
              <w:right w:val="single" w:sz="4" w:space="0" w:color="808080"/>
            </w:tcBorders>
            <w:noWrap/>
            <w:vAlign w:val="bottom"/>
            <w:hideMark/>
          </w:tcPr>
          <w:p w14:paraId="0346656F"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Total Revenues</w:t>
            </w:r>
          </w:p>
        </w:tc>
        <w:tc>
          <w:tcPr>
            <w:tcW w:w="1241" w:type="dxa"/>
            <w:gridSpan w:val="2"/>
            <w:tcBorders>
              <w:top w:val="single" w:sz="4" w:space="0" w:color="808080"/>
              <w:left w:val="nil"/>
              <w:bottom w:val="nil"/>
              <w:right w:val="single" w:sz="4" w:space="0" w:color="808080"/>
            </w:tcBorders>
            <w:noWrap/>
            <w:vAlign w:val="bottom"/>
            <w:hideMark/>
          </w:tcPr>
          <w:p w14:paraId="3EADF2F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26 186</w:t>
            </w:r>
          </w:p>
        </w:tc>
        <w:tc>
          <w:tcPr>
            <w:tcW w:w="1241" w:type="dxa"/>
            <w:tcBorders>
              <w:top w:val="single" w:sz="4" w:space="0" w:color="808080"/>
              <w:left w:val="nil"/>
              <w:bottom w:val="nil"/>
              <w:right w:val="single" w:sz="4" w:space="0" w:color="808080"/>
            </w:tcBorders>
            <w:noWrap/>
            <w:vAlign w:val="bottom"/>
            <w:hideMark/>
          </w:tcPr>
          <w:p w14:paraId="324DFA6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25 100</w:t>
            </w:r>
          </w:p>
        </w:tc>
        <w:tc>
          <w:tcPr>
            <w:tcW w:w="1241" w:type="dxa"/>
            <w:tcBorders>
              <w:top w:val="single" w:sz="4" w:space="0" w:color="808080"/>
              <w:left w:val="nil"/>
              <w:bottom w:val="nil"/>
              <w:right w:val="single" w:sz="4" w:space="0" w:color="808080"/>
            </w:tcBorders>
            <w:noWrap/>
            <w:vAlign w:val="bottom"/>
            <w:hideMark/>
          </w:tcPr>
          <w:p w14:paraId="748CB6C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23 713</w:t>
            </w:r>
          </w:p>
        </w:tc>
        <w:tc>
          <w:tcPr>
            <w:tcW w:w="1241" w:type="dxa"/>
            <w:tcBorders>
              <w:top w:val="single" w:sz="4" w:space="0" w:color="808080"/>
              <w:left w:val="nil"/>
              <w:bottom w:val="nil"/>
              <w:right w:val="single" w:sz="4" w:space="0" w:color="808080"/>
            </w:tcBorders>
            <w:noWrap/>
            <w:vAlign w:val="bottom"/>
            <w:hideMark/>
          </w:tcPr>
          <w:p w14:paraId="554DF82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20 773</w:t>
            </w:r>
          </w:p>
        </w:tc>
        <w:tc>
          <w:tcPr>
            <w:tcW w:w="1241" w:type="dxa"/>
            <w:gridSpan w:val="2"/>
            <w:tcBorders>
              <w:top w:val="single" w:sz="4" w:space="0" w:color="808080"/>
              <w:left w:val="nil"/>
              <w:bottom w:val="nil"/>
              <w:right w:val="single" w:sz="4" w:space="0" w:color="808080"/>
            </w:tcBorders>
            <w:noWrap/>
            <w:vAlign w:val="bottom"/>
            <w:hideMark/>
          </w:tcPr>
          <w:p w14:paraId="2B3662D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13 857</w:t>
            </w:r>
          </w:p>
        </w:tc>
      </w:tr>
      <w:tr w:rsidR="0088157C" w:rsidRPr="004F2B6F" w14:paraId="1A49B341" w14:textId="77777777" w:rsidTr="00C45153">
        <w:trPr>
          <w:trHeight w:val="305"/>
        </w:trPr>
        <w:tc>
          <w:tcPr>
            <w:tcW w:w="3724" w:type="dxa"/>
            <w:tcBorders>
              <w:top w:val="single" w:sz="4" w:space="0" w:color="808080"/>
              <w:left w:val="single" w:sz="4" w:space="0" w:color="808080"/>
              <w:bottom w:val="nil"/>
              <w:right w:val="single" w:sz="4" w:space="0" w:color="808080"/>
            </w:tcBorders>
            <w:noWrap/>
            <w:vAlign w:val="bottom"/>
            <w:hideMark/>
          </w:tcPr>
          <w:p w14:paraId="7BCD736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Cost of Revenues</w:t>
            </w:r>
          </w:p>
        </w:tc>
        <w:tc>
          <w:tcPr>
            <w:tcW w:w="1241" w:type="dxa"/>
            <w:gridSpan w:val="2"/>
            <w:tcBorders>
              <w:top w:val="single" w:sz="4" w:space="0" w:color="808080"/>
              <w:left w:val="nil"/>
              <w:bottom w:val="nil"/>
              <w:right w:val="single" w:sz="4" w:space="0" w:color="808080"/>
            </w:tcBorders>
            <w:noWrap/>
            <w:vAlign w:val="bottom"/>
            <w:hideMark/>
          </w:tcPr>
          <w:p w14:paraId="13D0DB4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20 964</w:t>
            </w:r>
          </w:p>
        </w:tc>
        <w:tc>
          <w:tcPr>
            <w:tcW w:w="1241" w:type="dxa"/>
            <w:tcBorders>
              <w:top w:val="single" w:sz="4" w:space="0" w:color="808080"/>
              <w:left w:val="nil"/>
              <w:bottom w:val="nil"/>
              <w:right w:val="single" w:sz="4" w:space="0" w:color="808080"/>
            </w:tcBorders>
            <w:noWrap/>
            <w:vAlign w:val="bottom"/>
            <w:hideMark/>
          </w:tcPr>
          <w:p w14:paraId="4E79411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20 128</w:t>
            </w:r>
          </w:p>
        </w:tc>
        <w:tc>
          <w:tcPr>
            <w:tcW w:w="1241" w:type="dxa"/>
            <w:tcBorders>
              <w:top w:val="single" w:sz="4" w:space="0" w:color="808080"/>
              <w:left w:val="nil"/>
              <w:bottom w:val="nil"/>
              <w:right w:val="single" w:sz="4" w:space="0" w:color="808080"/>
            </w:tcBorders>
            <w:noWrap/>
            <w:vAlign w:val="bottom"/>
            <w:hideMark/>
          </w:tcPr>
          <w:p w14:paraId="1CC299FF"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18 733</w:t>
            </w:r>
          </w:p>
        </w:tc>
        <w:tc>
          <w:tcPr>
            <w:tcW w:w="1241" w:type="dxa"/>
            <w:tcBorders>
              <w:top w:val="single" w:sz="4" w:space="0" w:color="808080"/>
              <w:left w:val="nil"/>
              <w:bottom w:val="nil"/>
              <w:right w:val="single" w:sz="4" w:space="0" w:color="808080"/>
            </w:tcBorders>
            <w:noWrap/>
            <w:vAlign w:val="bottom"/>
            <w:hideMark/>
          </w:tcPr>
          <w:p w14:paraId="709A9D8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16 215</w:t>
            </w:r>
          </w:p>
        </w:tc>
        <w:tc>
          <w:tcPr>
            <w:tcW w:w="1241" w:type="dxa"/>
            <w:gridSpan w:val="2"/>
            <w:tcBorders>
              <w:top w:val="single" w:sz="4" w:space="0" w:color="808080"/>
              <w:left w:val="nil"/>
              <w:bottom w:val="nil"/>
              <w:right w:val="single" w:sz="4" w:space="0" w:color="808080"/>
            </w:tcBorders>
            <w:noWrap/>
            <w:vAlign w:val="bottom"/>
            <w:hideMark/>
          </w:tcPr>
          <w:p w14:paraId="769A58B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11 056</w:t>
            </w:r>
          </w:p>
        </w:tc>
      </w:tr>
      <w:tr w:rsidR="0088157C" w:rsidRPr="004F2B6F" w14:paraId="7FB1A701" w14:textId="77777777" w:rsidTr="00C45153">
        <w:trPr>
          <w:trHeight w:val="315"/>
        </w:trPr>
        <w:tc>
          <w:tcPr>
            <w:tcW w:w="3724" w:type="dxa"/>
            <w:tcBorders>
              <w:top w:val="single" w:sz="4" w:space="0" w:color="808080"/>
              <w:left w:val="single" w:sz="4" w:space="0" w:color="808080"/>
              <w:bottom w:val="double" w:sz="6" w:space="0" w:color="auto"/>
              <w:right w:val="single" w:sz="4" w:space="0" w:color="808080"/>
            </w:tcBorders>
            <w:noWrap/>
            <w:vAlign w:val="bottom"/>
            <w:hideMark/>
          </w:tcPr>
          <w:p w14:paraId="186E9191"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Gross Profit</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64D3300E"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5 222</w:t>
            </w:r>
          </w:p>
        </w:tc>
        <w:tc>
          <w:tcPr>
            <w:tcW w:w="1241" w:type="dxa"/>
            <w:tcBorders>
              <w:top w:val="single" w:sz="4" w:space="0" w:color="808080"/>
              <w:left w:val="nil"/>
              <w:bottom w:val="double" w:sz="6" w:space="0" w:color="auto"/>
              <w:right w:val="single" w:sz="4" w:space="0" w:color="808080"/>
            </w:tcBorders>
            <w:noWrap/>
            <w:vAlign w:val="bottom"/>
            <w:hideMark/>
          </w:tcPr>
          <w:p w14:paraId="14E774C3"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4 972</w:t>
            </w:r>
          </w:p>
        </w:tc>
        <w:tc>
          <w:tcPr>
            <w:tcW w:w="1241" w:type="dxa"/>
            <w:tcBorders>
              <w:top w:val="single" w:sz="4" w:space="0" w:color="808080"/>
              <w:left w:val="nil"/>
              <w:bottom w:val="double" w:sz="6" w:space="0" w:color="auto"/>
              <w:right w:val="single" w:sz="4" w:space="0" w:color="808080"/>
            </w:tcBorders>
            <w:noWrap/>
            <w:vAlign w:val="bottom"/>
            <w:hideMark/>
          </w:tcPr>
          <w:p w14:paraId="0E7710FE"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4 980</w:t>
            </w:r>
          </w:p>
        </w:tc>
        <w:tc>
          <w:tcPr>
            <w:tcW w:w="1241" w:type="dxa"/>
            <w:tcBorders>
              <w:top w:val="single" w:sz="4" w:space="0" w:color="808080"/>
              <w:left w:val="nil"/>
              <w:bottom w:val="double" w:sz="6" w:space="0" w:color="auto"/>
              <w:right w:val="single" w:sz="4" w:space="0" w:color="808080"/>
            </w:tcBorders>
            <w:noWrap/>
            <w:vAlign w:val="bottom"/>
            <w:hideMark/>
          </w:tcPr>
          <w:p w14:paraId="08D3A3F0"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4 558</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3A44E27D"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2 801</w:t>
            </w:r>
          </w:p>
        </w:tc>
      </w:tr>
      <w:tr w:rsidR="0088157C" w:rsidRPr="004F2B6F" w14:paraId="47DC001D" w14:textId="77777777" w:rsidTr="00C45153">
        <w:trPr>
          <w:trHeight w:val="315"/>
        </w:trPr>
        <w:tc>
          <w:tcPr>
            <w:tcW w:w="3724" w:type="dxa"/>
            <w:tcBorders>
              <w:top w:val="single" w:sz="4" w:space="0" w:color="808080"/>
              <w:left w:val="single" w:sz="4" w:space="0" w:color="808080"/>
              <w:bottom w:val="nil"/>
              <w:right w:val="single" w:sz="4" w:space="0" w:color="808080"/>
            </w:tcBorders>
            <w:shd w:val="clear" w:color="000000" w:fill="C6EFCE"/>
            <w:noWrap/>
            <w:vAlign w:val="bottom"/>
            <w:hideMark/>
          </w:tcPr>
          <w:p w14:paraId="5D60CA25"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6537E626"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2C85318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0CCA975D"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531D738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2BE69482"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r>
      <w:tr w:rsidR="0088157C" w:rsidRPr="004F2B6F" w14:paraId="48D96B47" w14:textId="77777777" w:rsidTr="00C45153">
        <w:trPr>
          <w:trHeight w:val="305"/>
        </w:trPr>
        <w:tc>
          <w:tcPr>
            <w:tcW w:w="3724" w:type="dxa"/>
            <w:tcBorders>
              <w:top w:val="single" w:sz="4" w:space="0" w:color="808080"/>
              <w:left w:val="single" w:sz="4" w:space="0" w:color="808080"/>
              <w:bottom w:val="nil"/>
              <w:right w:val="single" w:sz="4" w:space="0" w:color="808080"/>
            </w:tcBorders>
            <w:shd w:val="clear" w:color="000000" w:fill="C6EFCE"/>
            <w:noWrap/>
            <w:vAlign w:val="bottom"/>
            <w:hideMark/>
          </w:tcPr>
          <w:p w14:paraId="5DFD3DE9"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OPERATING EXPENSES</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573D0AA1"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5BCDAD69"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7C8276B3"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34109DE6"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7C86578B"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r>
      <w:tr w:rsidR="0088157C" w:rsidRPr="004F2B6F" w14:paraId="286E09D5" w14:textId="77777777" w:rsidTr="00C45153">
        <w:trPr>
          <w:trHeight w:val="305"/>
        </w:trPr>
        <w:tc>
          <w:tcPr>
            <w:tcW w:w="3724" w:type="dxa"/>
            <w:tcBorders>
              <w:top w:val="single" w:sz="4" w:space="0" w:color="808080"/>
              <w:left w:val="single" w:sz="4" w:space="0" w:color="808080"/>
              <w:bottom w:val="nil"/>
              <w:right w:val="single" w:sz="4" w:space="0" w:color="808080"/>
            </w:tcBorders>
            <w:noWrap/>
            <w:vAlign w:val="bottom"/>
            <w:hideMark/>
          </w:tcPr>
          <w:p w14:paraId="57F55F54"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General, Administrative &amp; Other Expenses</w:t>
            </w:r>
          </w:p>
        </w:tc>
        <w:tc>
          <w:tcPr>
            <w:tcW w:w="1241" w:type="dxa"/>
            <w:gridSpan w:val="2"/>
            <w:tcBorders>
              <w:top w:val="single" w:sz="4" w:space="0" w:color="808080"/>
              <w:left w:val="nil"/>
              <w:bottom w:val="nil"/>
              <w:right w:val="single" w:sz="4" w:space="0" w:color="808080"/>
            </w:tcBorders>
            <w:noWrap/>
            <w:vAlign w:val="bottom"/>
            <w:hideMark/>
          </w:tcPr>
          <w:p w14:paraId="7B56FFD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1 083</w:t>
            </w:r>
          </w:p>
        </w:tc>
        <w:tc>
          <w:tcPr>
            <w:tcW w:w="1241" w:type="dxa"/>
            <w:tcBorders>
              <w:top w:val="single" w:sz="4" w:space="0" w:color="808080"/>
              <w:left w:val="nil"/>
              <w:bottom w:val="nil"/>
              <w:right w:val="single" w:sz="4" w:space="0" w:color="808080"/>
            </w:tcBorders>
            <w:noWrap/>
            <w:vAlign w:val="bottom"/>
            <w:hideMark/>
          </w:tcPr>
          <w:p w14:paraId="53A2C62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1 128</w:t>
            </w:r>
          </w:p>
        </w:tc>
        <w:tc>
          <w:tcPr>
            <w:tcW w:w="1241" w:type="dxa"/>
            <w:tcBorders>
              <w:top w:val="single" w:sz="4" w:space="0" w:color="808080"/>
              <w:left w:val="nil"/>
              <w:bottom w:val="nil"/>
              <w:right w:val="single" w:sz="4" w:space="0" w:color="808080"/>
            </w:tcBorders>
            <w:noWrap/>
            <w:vAlign w:val="bottom"/>
            <w:hideMark/>
          </w:tcPr>
          <w:p w14:paraId="2697E22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1 045</w:t>
            </w:r>
          </w:p>
        </w:tc>
        <w:tc>
          <w:tcPr>
            <w:tcW w:w="1241" w:type="dxa"/>
            <w:tcBorders>
              <w:top w:val="single" w:sz="4" w:space="0" w:color="808080"/>
              <w:left w:val="nil"/>
              <w:bottom w:val="nil"/>
              <w:right w:val="single" w:sz="4" w:space="0" w:color="808080"/>
            </w:tcBorders>
            <w:noWrap/>
            <w:vAlign w:val="bottom"/>
            <w:hideMark/>
          </w:tcPr>
          <w:p w14:paraId="2BCB461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1 084</w:t>
            </w:r>
          </w:p>
        </w:tc>
        <w:tc>
          <w:tcPr>
            <w:tcW w:w="1241" w:type="dxa"/>
            <w:gridSpan w:val="2"/>
            <w:tcBorders>
              <w:top w:val="single" w:sz="4" w:space="0" w:color="808080"/>
              <w:left w:val="nil"/>
              <w:bottom w:val="nil"/>
              <w:right w:val="single" w:sz="4" w:space="0" w:color="808080"/>
            </w:tcBorders>
            <w:noWrap/>
            <w:vAlign w:val="bottom"/>
            <w:hideMark/>
          </w:tcPr>
          <w:p w14:paraId="304D818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1 043</w:t>
            </w:r>
          </w:p>
        </w:tc>
      </w:tr>
      <w:tr w:rsidR="0088157C" w:rsidRPr="004F2B6F" w14:paraId="7A0EABF6" w14:textId="77777777" w:rsidTr="00C45153">
        <w:trPr>
          <w:trHeight w:val="315"/>
        </w:trPr>
        <w:tc>
          <w:tcPr>
            <w:tcW w:w="3724" w:type="dxa"/>
            <w:tcBorders>
              <w:top w:val="single" w:sz="4" w:space="0" w:color="808080"/>
              <w:left w:val="single" w:sz="4" w:space="0" w:color="808080"/>
              <w:bottom w:val="double" w:sz="6" w:space="0" w:color="auto"/>
              <w:right w:val="single" w:sz="4" w:space="0" w:color="808080"/>
            </w:tcBorders>
            <w:noWrap/>
            <w:vAlign w:val="bottom"/>
            <w:hideMark/>
          </w:tcPr>
          <w:p w14:paraId="207BED4C"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Operating Income</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4D4B49EF"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4 139</w:t>
            </w:r>
          </w:p>
        </w:tc>
        <w:tc>
          <w:tcPr>
            <w:tcW w:w="1241" w:type="dxa"/>
            <w:tcBorders>
              <w:top w:val="single" w:sz="4" w:space="0" w:color="808080"/>
              <w:left w:val="nil"/>
              <w:bottom w:val="double" w:sz="6" w:space="0" w:color="auto"/>
              <w:right w:val="single" w:sz="4" w:space="0" w:color="808080"/>
            </w:tcBorders>
            <w:noWrap/>
            <w:vAlign w:val="bottom"/>
            <w:hideMark/>
          </w:tcPr>
          <w:p w14:paraId="5C60410C"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3 844</w:t>
            </w:r>
          </w:p>
        </w:tc>
        <w:tc>
          <w:tcPr>
            <w:tcW w:w="1241" w:type="dxa"/>
            <w:tcBorders>
              <w:top w:val="single" w:sz="4" w:space="0" w:color="808080"/>
              <w:left w:val="nil"/>
              <w:bottom w:val="double" w:sz="6" w:space="0" w:color="auto"/>
              <w:right w:val="single" w:sz="4" w:space="0" w:color="808080"/>
            </w:tcBorders>
            <w:noWrap/>
            <w:vAlign w:val="bottom"/>
            <w:hideMark/>
          </w:tcPr>
          <w:p w14:paraId="73AC406C"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3 935</w:t>
            </w:r>
          </w:p>
        </w:tc>
        <w:tc>
          <w:tcPr>
            <w:tcW w:w="1241" w:type="dxa"/>
            <w:tcBorders>
              <w:top w:val="single" w:sz="4" w:space="0" w:color="808080"/>
              <w:left w:val="nil"/>
              <w:bottom w:val="double" w:sz="6" w:space="0" w:color="auto"/>
              <w:right w:val="single" w:sz="4" w:space="0" w:color="808080"/>
            </w:tcBorders>
            <w:noWrap/>
            <w:vAlign w:val="bottom"/>
            <w:hideMark/>
          </w:tcPr>
          <w:p w14:paraId="323071FC"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3 474</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0791A90A"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1 758</w:t>
            </w:r>
          </w:p>
        </w:tc>
      </w:tr>
      <w:tr w:rsidR="0088157C" w:rsidRPr="004F2B6F" w14:paraId="63B38F3B" w14:textId="77777777" w:rsidTr="00C45153">
        <w:trPr>
          <w:trHeight w:val="315"/>
        </w:trPr>
        <w:tc>
          <w:tcPr>
            <w:tcW w:w="3724" w:type="dxa"/>
            <w:tcBorders>
              <w:top w:val="single" w:sz="4" w:space="0" w:color="808080"/>
              <w:left w:val="single" w:sz="4" w:space="0" w:color="808080"/>
              <w:bottom w:val="nil"/>
              <w:right w:val="single" w:sz="4" w:space="0" w:color="808080"/>
            </w:tcBorders>
            <w:shd w:val="clear" w:color="000000" w:fill="C6EFCE"/>
            <w:noWrap/>
            <w:vAlign w:val="bottom"/>
            <w:hideMark/>
          </w:tcPr>
          <w:p w14:paraId="1FE7F993"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215E43F6"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3861F9C0"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21B71C3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08C2E957"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387E6348"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r>
      <w:tr w:rsidR="0088157C" w:rsidRPr="004F2B6F" w14:paraId="42639609" w14:textId="77777777" w:rsidTr="00C45153">
        <w:trPr>
          <w:trHeight w:val="305"/>
        </w:trPr>
        <w:tc>
          <w:tcPr>
            <w:tcW w:w="3724" w:type="dxa"/>
            <w:tcBorders>
              <w:top w:val="single" w:sz="4" w:space="0" w:color="808080"/>
              <w:left w:val="single" w:sz="4" w:space="0" w:color="808080"/>
              <w:bottom w:val="nil"/>
              <w:right w:val="single" w:sz="4" w:space="0" w:color="808080"/>
            </w:tcBorders>
            <w:shd w:val="clear" w:color="000000" w:fill="C6EFCE"/>
            <w:noWrap/>
            <w:vAlign w:val="bottom"/>
            <w:hideMark/>
          </w:tcPr>
          <w:p w14:paraId="7A8AAE9C"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OTHER INCOME / EXPENSE</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35599141"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48264ABF"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000E5CF4"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tcBorders>
              <w:top w:val="single" w:sz="4" w:space="0" w:color="808080"/>
              <w:left w:val="nil"/>
              <w:bottom w:val="nil"/>
              <w:right w:val="single" w:sz="4" w:space="0" w:color="808080"/>
            </w:tcBorders>
            <w:shd w:val="clear" w:color="000000" w:fill="C6EFCE"/>
            <w:noWrap/>
            <w:vAlign w:val="bottom"/>
            <w:hideMark/>
          </w:tcPr>
          <w:p w14:paraId="4210AEC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c>
          <w:tcPr>
            <w:tcW w:w="1241" w:type="dxa"/>
            <w:gridSpan w:val="2"/>
            <w:tcBorders>
              <w:top w:val="single" w:sz="4" w:space="0" w:color="808080"/>
              <w:left w:val="nil"/>
              <w:bottom w:val="nil"/>
              <w:right w:val="single" w:sz="4" w:space="0" w:color="808080"/>
            </w:tcBorders>
            <w:shd w:val="clear" w:color="000000" w:fill="C6EFCE"/>
            <w:noWrap/>
            <w:vAlign w:val="bottom"/>
            <w:hideMark/>
          </w:tcPr>
          <w:p w14:paraId="150D82E7"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w:t>
            </w:r>
          </w:p>
        </w:tc>
      </w:tr>
      <w:tr w:rsidR="0088157C" w:rsidRPr="004F2B6F" w14:paraId="77B5FEEA" w14:textId="77777777" w:rsidTr="00C45153">
        <w:trPr>
          <w:trHeight w:val="305"/>
        </w:trPr>
        <w:tc>
          <w:tcPr>
            <w:tcW w:w="3724" w:type="dxa"/>
            <w:tcBorders>
              <w:top w:val="single" w:sz="4" w:space="0" w:color="808080"/>
              <w:left w:val="single" w:sz="4" w:space="0" w:color="808080"/>
              <w:bottom w:val="nil"/>
              <w:right w:val="single" w:sz="4" w:space="0" w:color="808080"/>
            </w:tcBorders>
            <w:noWrap/>
            <w:vAlign w:val="bottom"/>
            <w:hideMark/>
          </w:tcPr>
          <w:p w14:paraId="017FA101"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Interest Expense (Net)</w:t>
            </w:r>
          </w:p>
        </w:tc>
        <w:tc>
          <w:tcPr>
            <w:tcW w:w="1241" w:type="dxa"/>
            <w:gridSpan w:val="2"/>
            <w:tcBorders>
              <w:top w:val="single" w:sz="4" w:space="0" w:color="808080"/>
              <w:left w:val="nil"/>
              <w:bottom w:val="nil"/>
              <w:right w:val="single" w:sz="4" w:space="0" w:color="808080"/>
            </w:tcBorders>
            <w:noWrap/>
            <w:vAlign w:val="bottom"/>
            <w:hideMark/>
          </w:tcPr>
          <w:p w14:paraId="18504CA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(738)</w:t>
            </w:r>
          </w:p>
        </w:tc>
        <w:tc>
          <w:tcPr>
            <w:tcW w:w="1241" w:type="dxa"/>
            <w:tcBorders>
              <w:top w:val="single" w:sz="4" w:space="0" w:color="808080"/>
              <w:left w:val="nil"/>
              <w:bottom w:val="nil"/>
              <w:right w:val="single" w:sz="4" w:space="0" w:color="808080"/>
            </w:tcBorders>
            <w:noWrap/>
            <w:vAlign w:val="bottom"/>
            <w:hideMark/>
          </w:tcPr>
          <w:p w14:paraId="5B99595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(655)</w:t>
            </w:r>
          </w:p>
        </w:tc>
        <w:tc>
          <w:tcPr>
            <w:tcW w:w="1241" w:type="dxa"/>
            <w:tcBorders>
              <w:top w:val="single" w:sz="4" w:space="0" w:color="808080"/>
              <w:left w:val="nil"/>
              <w:bottom w:val="nil"/>
              <w:right w:val="single" w:sz="4" w:space="0" w:color="808080"/>
            </w:tcBorders>
            <w:noWrap/>
            <w:vAlign w:val="bottom"/>
            <w:hideMark/>
          </w:tcPr>
          <w:p w14:paraId="2506410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(535)</w:t>
            </w:r>
          </w:p>
        </w:tc>
        <w:tc>
          <w:tcPr>
            <w:tcW w:w="1241" w:type="dxa"/>
            <w:tcBorders>
              <w:top w:val="single" w:sz="4" w:space="0" w:color="808080"/>
              <w:left w:val="nil"/>
              <w:bottom w:val="nil"/>
              <w:right w:val="single" w:sz="4" w:space="0" w:color="808080"/>
            </w:tcBorders>
            <w:noWrap/>
            <w:vAlign w:val="bottom"/>
            <w:hideMark/>
          </w:tcPr>
          <w:p w14:paraId="7BFA866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(377)</w:t>
            </w:r>
          </w:p>
        </w:tc>
        <w:tc>
          <w:tcPr>
            <w:tcW w:w="1241" w:type="dxa"/>
            <w:gridSpan w:val="2"/>
            <w:tcBorders>
              <w:top w:val="single" w:sz="4" w:space="0" w:color="808080"/>
              <w:left w:val="nil"/>
              <w:bottom w:val="nil"/>
              <w:right w:val="single" w:sz="4" w:space="0" w:color="808080"/>
            </w:tcBorders>
            <w:noWrap/>
            <w:vAlign w:val="bottom"/>
            <w:hideMark/>
          </w:tcPr>
          <w:p w14:paraId="5503393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(392)</w:t>
            </w:r>
          </w:p>
        </w:tc>
      </w:tr>
      <w:tr w:rsidR="0088157C" w:rsidRPr="004F2B6F" w14:paraId="7B44B629" w14:textId="77777777" w:rsidTr="00C45153">
        <w:trPr>
          <w:trHeight w:val="305"/>
        </w:trPr>
        <w:tc>
          <w:tcPr>
            <w:tcW w:w="3724" w:type="dxa"/>
            <w:tcBorders>
              <w:top w:val="single" w:sz="4" w:space="0" w:color="808080"/>
              <w:left w:val="single" w:sz="4" w:space="0" w:color="808080"/>
              <w:bottom w:val="nil"/>
              <w:right w:val="single" w:sz="4" w:space="0" w:color="808080"/>
            </w:tcBorders>
            <w:noWrap/>
            <w:vAlign w:val="bottom"/>
            <w:hideMark/>
          </w:tcPr>
          <w:p w14:paraId="1C01495A"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 Income (Expense), Net</w:t>
            </w:r>
          </w:p>
        </w:tc>
        <w:tc>
          <w:tcPr>
            <w:tcW w:w="1241" w:type="dxa"/>
            <w:gridSpan w:val="2"/>
            <w:tcBorders>
              <w:top w:val="single" w:sz="4" w:space="0" w:color="808080"/>
              <w:left w:val="nil"/>
              <w:bottom w:val="nil"/>
              <w:right w:val="single" w:sz="4" w:space="0" w:color="808080"/>
            </w:tcBorders>
            <w:noWrap/>
            <w:vAlign w:val="bottom"/>
            <w:hideMark/>
          </w:tcPr>
          <w:p w14:paraId="7867BC5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41" w:type="dxa"/>
            <w:tcBorders>
              <w:top w:val="single" w:sz="4" w:space="0" w:color="808080"/>
              <w:left w:val="nil"/>
              <w:bottom w:val="nil"/>
              <w:right w:val="single" w:sz="4" w:space="0" w:color="808080"/>
            </w:tcBorders>
            <w:noWrap/>
            <w:vAlign w:val="bottom"/>
            <w:hideMark/>
          </w:tcPr>
          <w:p w14:paraId="3EB21E3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(38)</w:t>
            </w:r>
          </w:p>
        </w:tc>
        <w:tc>
          <w:tcPr>
            <w:tcW w:w="1241" w:type="dxa"/>
            <w:tcBorders>
              <w:top w:val="single" w:sz="4" w:space="0" w:color="808080"/>
              <w:left w:val="nil"/>
              <w:bottom w:val="nil"/>
              <w:right w:val="single" w:sz="4" w:space="0" w:color="808080"/>
            </w:tcBorders>
            <w:noWrap/>
            <w:vAlign w:val="bottom"/>
            <w:hideMark/>
          </w:tcPr>
          <w:p w14:paraId="523EFE1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41" w:type="dxa"/>
            <w:tcBorders>
              <w:top w:val="single" w:sz="4" w:space="0" w:color="808080"/>
              <w:left w:val="nil"/>
              <w:bottom w:val="nil"/>
              <w:right w:val="single" w:sz="4" w:space="0" w:color="808080"/>
            </w:tcBorders>
            <w:noWrap/>
            <w:vAlign w:val="bottom"/>
            <w:hideMark/>
          </w:tcPr>
          <w:p w14:paraId="55A5F8A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w:t>
            </w:r>
          </w:p>
        </w:tc>
        <w:tc>
          <w:tcPr>
            <w:tcW w:w="1241" w:type="dxa"/>
            <w:gridSpan w:val="2"/>
            <w:tcBorders>
              <w:top w:val="single" w:sz="4" w:space="0" w:color="808080"/>
              <w:left w:val="nil"/>
              <w:bottom w:val="nil"/>
              <w:right w:val="single" w:sz="4" w:space="0" w:color="808080"/>
            </w:tcBorders>
            <w:noWrap/>
            <w:vAlign w:val="bottom"/>
            <w:hideMark/>
          </w:tcPr>
          <w:p w14:paraId="5B4182D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(186)</w:t>
            </w:r>
          </w:p>
        </w:tc>
      </w:tr>
      <w:tr w:rsidR="0088157C" w:rsidRPr="004F2B6F" w14:paraId="3D0E0FE1" w14:textId="77777777" w:rsidTr="00C45153">
        <w:trPr>
          <w:trHeight w:val="315"/>
        </w:trPr>
        <w:tc>
          <w:tcPr>
            <w:tcW w:w="3724" w:type="dxa"/>
            <w:tcBorders>
              <w:top w:val="single" w:sz="4" w:space="0" w:color="808080"/>
              <w:left w:val="single" w:sz="4" w:space="0" w:color="808080"/>
              <w:bottom w:val="double" w:sz="6" w:space="0" w:color="auto"/>
              <w:right w:val="single" w:sz="4" w:space="0" w:color="808080"/>
            </w:tcBorders>
            <w:noWrap/>
            <w:vAlign w:val="bottom"/>
            <w:hideMark/>
          </w:tcPr>
          <w:p w14:paraId="160D371C"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Income Before Taxes</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1407FC86"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3 412</w:t>
            </w:r>
          </w:p>
        </w:tc>
        <w:tc>
          <w:tcPr>
            <w:tcW w:w="1241" w:type="dxa"/>
            <w:tcBorders>
              <w:top w:val="single" w:sz="4" w:space="0" w:color="808080"/>
              <w:left w:val="nil"/>
              <w:bottom w:val="double" w:sz="6" w:space="0" w:color="auto"/>
              <w:right w:val="single" w:sz="4" w:space="0" w:color="808080"/>
            </w:tcBorders>
            <w:noWrap/>
            <w:vAlign w:val="bottom"/>
            <w:hideMark/>
          </w:tcPr>
          <w:p w14:paraId="116F61DF"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3 151</w:t>
            </w:r>
          </w:p>
        </w:tc>
        <w:tc>
          <w:tcPr>
            <w:tcW w:w="1241" w:type="dxa"/>
            <w:tcBorders>
              <w:top w:val="single" w:sz="4" w:space="0" w:color="808080"/>
              <w:left w:val="nil"/>
              <w:bottom w:val="double" w:sz="6" w:space="0" w:color="auto"/>
              <w:right w:val="single" w:sz="4" w:space="0" w:color="808080"/>
            </w:tcBorders>
            <w:noWrap/>
            <w:vAlign w:val="bottom"/>
            <w:hideMark/>
          </w:tcPr>
          <w:p w14:paraId="790A5C89"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3 389</w:t>
            </w:r>
          </w:p>
        </w:tc>
        <w:tc>
          <w:tcPr>
            <w:tcW w:w="1241" w:type="dxa"/>
            <w:tcBorders>
              <w:top w:val="single" w:sz="4" w:space="0" w:color="808080"/>
              <w:left w:val="nil"/>
              <w:bottom w:val="double" w:sz="6" w:space="0" w:color="auto"/>
              <w:right w:val="single" w:sz="4" w:space="0" w:color="808080"/>
            </w:tcBorders>
            <w:noWrap/>
            <w:vAlign w:val="bottom"/>
            <w:hideMark/>
          </w:tcPr>
          <w:p w14:paraId="1D8CDA46"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3 114</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3F9E757D"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1 180</w:t>
            </w:r>
          </w:p>
        </w:tc>
      </w:tr>
      <w:tr w:rsidR="0088157C" w:rsidRPr="004F2B6F" w14:paraId="28C15632" w14:textId="77777777" w:rsidTr="00C45153">
        <w:trPr>
          <w:trHeight w:val="315"/>
        </w:trPr>
        <w:tc>
          <w:tcPr>
            <w:tcW w:w="3724" w:type="dxa"/>
            <w:tcBorders>
              <w:top w:val="single" w:sz="4" w:space="0" w:color="808080"/>
              <w:left w:val="single" w:sz="4" w:space="0" w:color="808080"/>
              <w:bottom w:val="nil"/>
              <w:right w:val="single" w:sz="4" w:space="0" w:color="808080"/>
            </w:tcBorders>
            <w:noWrap/>
            <w:vAlign w:val="bottom"/>
            <w:hideMark/>
          </w:tcPr>
          <w:p w14:paraId="5F8411EA"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Income Tax Expense</w:t>
            </w:r>
          </w:p>
        </w:tc>
        <w:tc>
          <w:tcPr>
            <w:tcW w:w="1241" w:type="dxa"/>
            <w:gridSpan w:val="2"/>
            <w:tcBorders>
              <w:top w:val="single" w:sz="4" w:space="0" w:color="808080"/>
              <w:left w:val="nil"/>
              <w:bottom w:val="nil"/>
              <w:right w:val="single" w:sz="4" w:space="0" w:color="808080"/>
            </w:tcBorders>
            <w:noWrap/>
            <w:vAlign w:val="bottom"/>
            <w:hideMark/>
          </w:tcPr>
          <w:p w14:paraId="68B01C6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(793)</w:t>
            </w:r>
          </w:p>
        </w:tc>
        <w:tc>
          <w:tcPr>
            <w:tcW w:w="1241" w:type="dxa"/>
            <w:tcBorders>
              <w:top w:val="single" w:sz="4" w:space="0" w:color="808080"/>
              <w:left w:val="nil"/>
              <w:bottom w:val="nil"/>
              <w:right w:val="single" w:sz="4" w:space="0" w:color="808080"/>
            </w:tcBorders>
            <w:noWrap/>
            <w:vAlign w:val="bottom"/>
            <w:hideMark/>
          </w:tcPr>
          <w:p w14:paraId="473F099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(739)</w:t>
            </w:r>
          </w:p>
        </w:tc>
        <w:tc>
          <w:tcPr>
            <w:tcW w:w="1241" w:type="dxa"/>
            <w:tcBorders>
              <w:top w:val="single" w:sz="4" w:space="0" w:color="808080"/>
              <w:left w:val="nil"/>
              <w:bottom w:val="nil"/>
              <w:right w:val="single" w:sz="4" w:space="0" w:color="808080"/>
            </w:tcBorders>
            <w:noWrap/>
            <w:vAlign w:val="bottom"/>
            <w:hideMark/>
          </w:tcPr>
          <w:p w14:paraId="5860B69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(309)</w:t>
            </w:r>
          </w:p>
        </w:tc>
        <w:tc>
          <w:tcPr>
            <w:tcW w:w="1241" w:type="dxa"/>
            <w:tcBorders>
              <w:top w:val="single" w:sz="4" w:space="0" w:color="808080"/>
              <w:left w:val="nil"/>
              <w:bottom w:val="nil"/>
              <w:right w:val="single" w:sz="4" w:space="0" w:color="808080"/>
            </w:tcBorders>
            <w:noWrap/>
            <w:vAlign w:val="bottom"/>
            <w:hideMark/>
          </w:tcPr>
          <w:p w14:paraId="1149573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(526)</w:t>
            </w:r>
          </w:p>
        </w:tc>
        <w:tc>
          <w:tcPr>
            <w:tcW w:w="1241" w:type="dxa"/>
            <w:gridSpan w:val="2"/>
            <w:tcBorders>
              <w:top w:val="single" w:sz="4" w:space="0" w:color="808080"/>
              <w:left w:val="nil"/>
              <w:bottom w:val="nil"/>
              <w:right w:val="single" w:sz="4" w:space="0" w:color="808080"/>
            </w:tcBorders>
            <w:noWrap/>
            <w:vAlign w:val="bottom"/>
            <w:hideMark/>
          </w:tcPr>
          <w:p w14:paraId="45A3675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(152)</w:t>
            </w:r>
          </w:p>
        </w:tc>
      </w:tr>
      <w:tr w:rsidR="0088157C" w:rsidRPr="004F2B6F" w14:paraId="1C757C15" w14:textId="77777777" w:rsidTr="00C45153">
        <w:trPr>
          <w:trHeight w:val="315"/>
        </w:trPr>
        <w:tc>
          <w:tcPr>
            <w:tcW w:w="3724" w:type="dxa"/>
            <w:tcBorders>
              <w:top w:val="single" w:sz="4" w:space="0" w:color="808080"/>
              <w:left w:val="single" w:sz="4" w:space="0" w:color="808080"/>
              <w:bottom w:val="double" w:sz="6" w:space="0" w:color="auto"/>
              <w:right w:val="single" w:sz="4" w:space="0" w:color="808080"/>
            </w:tcBorders>
            <w:noWrap/>
            <w:vAlign w:val="bottom"/>
            <w:hideMark/>
          </w:tcPr>
          <w:p w14:paraId="1C1475DD" w14:textId="77777777" w:rsidR="0088157C" w:rsidRPr="004F2B6F" w:rsidRDefault="0088157C"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NET INCOME</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57FA4D84"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2 601</w:t>
            </w:r>
          </w:p>
        </w:tc>
        <w:tc>
          <w:tcPr>
            <w:tcW w:w="1241" w:type="dxa"/>
            <w:tcBorders>
              <w:top w:val="single" w:sz="4" w:space="0" w:color="808080"/>
              <w:left w:val="nil"/>
              <w:bottom w:val="double" w:sz="6" w:space="0" w:color="auto"/>
              <w:right w:val="single" w:sz="4" w:space="0" w:color="808080"/>
            </w:tcBorders>
            <w:noWrap/>
            <w:vAlign w:val="bottom"/>
            <w:hideMark/>
          </w:tcPr>
          <w:p w14:paraId="387C9D91"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2 375</w:t>
            </w:r>
          </w:p>
        </w:tc>
        <w:tc>
          <w:tcPr>
            <w:tcW w:w="1241" w:type="dxa"/>
            <w:tcBorders>
              <w:top w:val="single" w:sz="4" w:space="0" w:color="808080"/>
              <w:left w:val="nil"/>
              <w:bottom w:val="double" w:sz="6" w:space="0" w:color="auto"/>
              <w:right w:val="single" w:sz="4" w:space="0" w:color="808080"/>
            </w:tcBorders>
            <w:noWrap/>
            <w:vAlign w:val="bottom"/>
            <w:hideMark/>
          </w:tcPr>
          <w:p w14:paraId="1FB58AA3"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3 083</w:t>
            </w:r>
          </w:p>
        </w:tc>
        <w:tc>
          <w:tcPr>
            <w:tcW w:w="1241" w:type="dxa"/>
            <w:tcBorders>
              <w:top w:val="single" w:sz="4" w:space="0" w:color="808080"/>
              <w:left w:val="nil"/>
              <w:bottom w:val="double" w:sz="6" w:space="0" w:color="auto"/>
              <w:right w:val="single" w:sz="4" w:space="0" w:color="808080"/>
            </w:tcBorders>
            <w:noWrap/>
            <w:vAlign w:val="bottom"/>
            <w:hideMark/>
          </w:tcPr>
          <w:p w14:paraId="12944338"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2 357</w:t>
            </w:r>
          </w:p>
        </w:tc>
        <w:tc>
          <w:tcPr>
            <w:tcW w:w="1241" w:type="dxa"/>
            <w:gridSpan w:val="2"/>
            <w:tcBorders>
              <w:top w:val="single" w:sz="4" w:space="0" w:color="808080"/>
              <w:left w:val="nil"/>
              <w:bottom w:val="double" w:sz="6" w:space="0" w:color="auto"/>
              <w:right w:val="single" w:sz="4" w:space="0" w:color="808080"/>
            </w:tcBorders>
            <w:noWrap/>
            <w:vAlign w:val="bottom"/>
            <w:hideMark/>
          </w:tcPr>
          <w:p w14:paraId="5CE37111" w14:textId="77777777" w:rsidR="0088157C" w:rsidRPr="004F2B6F" w:rsidRDefault="0088157C"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1 099</w:t>
            </w:r>
          </w:p>
        </w:tc>
      </w:tr>
      <w:tr w:rsidR="00C45153" w:rsidRPr="004F2B6F" w14:paraId="369F6C5C" w14:textId="77777777" w:rsidTr="00C45153">
        <w:trPr>
          <w:gridAfter w:val="1"/>
          <w:wAfter w:w="11" w:type="dxa"/>
          <w:trHeight w:val="450"/>
        </w:trPr>
        <w:tc>
          <w:tcPr>
            <w:tcW w:w="3883" w:type="dxa"/>
            <w:gridSpan w:val="2"/>
            <w:tcBorders>
              <w:top w:val="nil"/>
              <w:left w:val="nil"/>
              <w:bottom w:val="nil"/>
              <w:right w:val="nil"/>
            </w:tcBorders>
            <w:shd w:val="clear" w:color="000000" w:fill="FFF2CC"/>
            <w:vAlign w:val="bottom"/>
            <w:hideMark/>
          </w:tcPr>
          <w:p w14:paraId="3A2BC5DB" w14:textId="77777777" w:rsidR="00C45153" w:rsidRPr="004F2B6F" w:rsidRDefault="00C45153" w:rsidP="004F2B6F">
            <w:pPr>
              <w:spacing w:after="0" w:line="360" w:lineRule="auto"/>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Source</w:t>
            </w:r>
          </w:p>
        </w:tc>
        <w:tc>
          <w:tcPr>
            <w:tcW w:w="6040" w:type="dxa"/>
            <w:gridSpan w:val="5"/>
            <w:tcBorders>
              <w:top w:val="nil"/>
              <w:left w:val="nil"/>
              <w:bottom w:val="nil"/>
              <w:right w:val="nil"/>
            </w:tcBorders>
            <w:shd w:val="clear" w:color="000000" w:fill="FFF2CC"/>
            <w:vAlign w:val="bottom"/>
            <w:hideMark/>
          </w:tcPr>
          <w:p w14:paraId="3C522698" w14:textId="2B7552D6" w:rsidR="00C45153" w:rsidRPr="004F2B6F" w:rsidRDefault="00C45153" w:rsidP="004F2B6F">
            <w:pPr>
              <w:spacing w:after="0" w:line="360" w:lineRule="auto"/>
              <w:jc w:val="right"/>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Marriott International Annual Reports 2021-2025</w:t>
            </w:r>
          </w:p>
        </w:tc>
      </w:tr>
      <w:tr w:rsidR="00C45153" w:rsidRPr="004F2B6F" w14:paraId="3CAFD798" w14:textId="77777777" w:rsidTr="00C45153">
        <w:trPr>
          <w:gridAfter w:val="1"/>
          <w:wAfter w:w="11" w:type="dxa"/>
          <w:trHeight w:val="450"/>
        </w:trPr>
        <w:tc>
          <w:tcPr>
            <w:tcW w:w="3883" w:type="dxa"/>
            <w:gridSpan w:val="2"/>
            <w:tcBorders>
              <w:top w:val="nil"/>
              <w:left w:val="nil"/>
              <w:bottom w:val="nil"/>
              <w:right w:val="nil"/>
            </w:tcBorders>
            <w:shd w:val="clear" w:color="000000" w:fill="FFF2CC"/>
            <w:vAlign w:val="bottom"/>
            <w:hideMark/>
          </w:tcPr>
          <w:p w14:paraId="1D0CE8C7" w14:textId="77777777" w:rsidR="00C45153" w:rsidRPr="004F2B6F" w:rsidRDefault="00C45153" w:rsidP="004F2B6F">
            <w:pPr>
              <w:spacing w:after="0" w:line="360" w:lineRule="auto"/>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Official annual reports page</w:t>
            </w:r>
          </w:p>
        </w:tc>
        <w:tc>
          <w:tcPr>
            <w:tcW w:w="6040" w:type="dxa"/>
            <w:gridSpan w:val="5"/>
            <w:tcBorders>
              <w:top w:val="nil"/>
              <w:left w:val="nil"/>
              <w:bottom w:val="nil"/>
              <w:right w:val="nil"/>
            </w:tcBorders>
            <w:shd w:val="clear" w:color="000000" w:fill="FFF2CC"/>
            <w:vAlign w:val="bottom"/>
            <w:hideMark/>
          </w:tcPr>
          <w:p w14:paraId="134AEE97" w14:textId="77777777" w:rsidR="00C45153" w:rsidRPr="004F2B6F" w:rsidRDefault="00C45153" w:rsidP="004F2B6F">
            <w:pPr>
              <w:spacing w:after="0" w:line="360" w:lineRule="auto"/>
              <w:jc w:val="right"/>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https://marriott.gcs-web.com/annual</w:t>
            </w:r>
          </w:p>
        </w:tc>
      </w:tr>
    </w:tbl>
    <w:p w14:paraId="65F2C5B6" w14:textId="77777777" w:rsidR="003067D2" w:rsidRPr="004F2B6F" w:rsidRDefault="003067D2" w:rsidP="004F2B6F">
      <w:pPr>
        <w:spacing w:line="360" w:lineRule="auto"/>
        <w:rPr>
          <w:rFonts w:ascii="Arial" w:hAnsi="Arial" w:cs="Arial"/>
          <w:b/>
          <w:bCs/>
          <w:lang w:val="en-US"/>
        </w:rPr>
      </w:pPr>
    </w:p>
    <w:p w14:paraId="3354CBAC" w14:textId="77777777" w:rsidR="003067D2" w:rsidRPr="004F2B6F" w:rsidRDefault="003067D2" w:rsidP="004F2B6F">
      <w:pPr>
        <w:spacing w:line="360" w:lineRule="auto"/>
        <w:rPr>
          <w:rFonts w:ascii="Arial" w:hAnsi="Arial" w:cs="Arial"/>
          <w:b/>
          <w:bCs/>
          <w:lang w:val="en-US"/>
        </w:rPr>
      </w:pPr>
    </w:p>
    <w:p w14:paraId="0E0F1EF4" w14:textId="77777777" w:rsidR="003067D2" w:rsidRPr="004F2B6F" w:rsidRDefault="003067D2" w:rsidP="004F2B6F">
      <w:pPr>
        <w:spacing w:line="360" w:lineRule="auto"/>
        <w:rPr>
          <w:rFonts w:ascii="Arial" w:hAnsi="Arial" w:cs="Arial"/>
          <w:b/>
          <w:bCs/>
          <w:lang w:val="en-US"/>
        </w:rPr>
      </w:pPr>
    </w:p>
    <w:p w14:paraId="5F47A743" w14:textId="77777777" w:rsidR="003067D2" w:rsidRPr="004F2B6F" w:rsidRDefault="003067D2" w:rsidP="004F2B6F">
      <w:pPr>
        <w:spacing w:line="360" w:lineRule="auto"/>
        <w:rPr>
          <w:rFonts w:ascii="Arial" w:hAnsi="Arial" w:cs="Arial"/>
          <w:b/>
          <w:bCs/>
          <w:lang w:val="en-US"/>
        </w:rPr>
      </w:pPr>
    </w:p>
    <w:p w14:paraId="27D21D7D" w14:textId="77777777" w:rsidR="003067D2" w:rsidRPr="004F2B6F" w:rsidRDefault="003067D2" w:rsidP="004F2B6F">
      <w:pPr>
        <w:spacing w:line="360" w:lineRule="auto"/>
        <w:rPr>
          <w:rFonts w:ascii="Arial" w:hAnsi="Arial" w:cs="Arial"/>
          <w:b/>
          <w:bCs/>
          <w:lang w:val="en-US"/>
        </w:rPr>
      </w:pPr>
    </w:p>
    <w:p w14:paraId="26EACA28" w14:textId="77777777" w:rsidR="003067D2" w:rsidRPr="004F2B6F" w:rsidRDefault="003067D2" w:rsidP="004F2B6F">
      <w:pPr>
        <w:spacing w:line="360" w:lineRule="auto"/>
        <w:rPr>
          <w:rFonts w:ascii="Arial" w:hAnsi="Arial" w:cs="Arial"/>
          <w:b/>
          <w:bCs/>
          <w:lang w:val="en-US"/>
        </w:rPr>
      </w:pPr>
    </w:p>
    <w:p w14:paraId="53D255FB" w14:textId="77777777" w:rsidR="003067D2" w:rsidRPr="004F2B6F" w:rsidRDefault="003067D2" w:rsidP="004F2B6F">
      <w:pPr>
        <w:spacing w:line="360" w:lineRule="auto"/>
        <w:rPr>
          <w:rFonts w:ascii="Arial" w:hAnsi="Arial" w:cs="Arial"/>
          <w:b/>
          <w:bCs/>
          <w:lang w:val="en-US"/>
        </w:rPr>
      </w:pPr>
    </w:p>
    <w:p w14:paraId="51AAE230" w14:textId="088EE15A" w:rsidR="00B9519C" w:rsidRPr="004F2B6F" w:rsidRDefault="00B9519C" w:rsidP="004F2B6F">
      <w:pPr>
        <w:spacing w:line="360" w:lineRule="auto"/>
        <w:rPr>
          <w:rFonts w:ascii="Arial" w:hAnsi="Arial" w:cs="Arial"/>
          <w:b/>
          <w:bCs/>
          <w:lang w:val="en-US"/>
        </w:rPr>
      </w:pPr>
      <w:r w:rsidRPr="004F2B6F">
        <w:rPr>
          <w:rFonts w:ascii="Arial" w:hAnsi="Arial" w:cs="Arial"/>
          <w:b/>
          <w:bCs/>
          <w:lang w:val="en-US"/>
        </w:rPr>
        <w:lastRenderedPageBreak/>
        <w:t>Appendix B – Consolidated Balance Sheets (2021–2025)</w:t>
      </w:r>
    </w:p>
    <w:p w14:paraId="1B5690AF" w14:textId="029DAF40" w:rsidR="00C45153" w:rsidRPr="004F2B6F" w:rsidRDefault="00C45153" w:rsidP="004F2B6F">
      <w:pPr>
        <w:spacing w:line="360" w:lineRule="auto"/>
        <w:rPr>
          <w:rFonts w:ascii="Arial" w:hAnsi="Arial" w:cs="Arial"/>
          <w:b/>
          <w:bCs/>
          <w:lang w:val="en-US"/>
        </w:rPr>
      </w:pPr>
      <w:r w:rsidRPr="004F2B6F">
        <w:rPr>
          <w:rFonts w:ascii="Arial" w:hAnsi="Arial" w:cs="Arial"/>
          <w:b/>
          <w:bCs/>
        </w:rPr>
        <w:t>Table B1. Consolidated Balance Sheet (2021–2025). Source: Marriott International Annual Reports and author.</w:t>
      </w:r>
    </w:p>
    <w:tbl>
      <w:tblPr>
        <w:tblW w:w="9923" w:type="dxa"/>
        <w:tblLook w:val="04A0" w:firstRow="1" w:lastRow="0" w:firstColumn="1" w:lastColumn="0" w:noHBand="0" w:noVBand="1"/>
      </w:tblPr>
      <w:tblGrid>
        <w:gridCol w:w="3883"/>
        <w:gridCol w:w="1208"/>
        <w:gridCol w:w="1208"/>
        <w:gridCol w:w="1208"/>
        <w:gridCol w:w="1208"/>
        <w:gridCol w:w="1208"/>
      </w:tblGrid>
      <w:tr w:rsidR="0088157C" w:rsidRPr="004F2B6F" w14:paraId="6E133565" w14:textId="77777777" w:rsidTr="0088157C">
        <w:trPr>
          <w:trHeight w:val="700"/>
        </w:trPr>
        <w:tc>
          <w:tcPr>
            <w:tcW w:w="9923" w:type="dxa"/>
            <w:gridSpan w:val="6"/>
            <w:tcBorders>
              <w:top w:val="nil"/>
              <w:left w:val="nil"/>
              <w:bottom w:val="nil"/>
              <w:right w:val="nil"/>
            </w:tcBorders>
            <w:shd w:val="clear" w:color="000000" w:fill="1F4E78"/>
            <w:vAlign w:val="center"/>
            <w:hideMark/>
          </w:tcPr>
          <w:p w14:paraId="3F95BA27" w14:textId="77777777" w:rsidR="0088157C" w:rsidRPr="004F2B6F" w:rsidRDefault="0088157C" w:rsidP="004F2B6F">
            <w:pPr>
              <w:spacing w:after="0" w:line="360" w:lineRule="auto"/>
              <w:rPr>
                <w:rFonts w:ascii="Arial" w:eastAsia="Times New Roman" w:hAnsi="Arial" w:cs="Arial"/>
                <w:b/>
                <w:bCs/>
                <w:color w:val="FFFFFF"/>
                <w:sz w:val="32"/>
                <w:szCs w:val="32"/>
                <w:lang w:val="en-US" w:eastAsia="en-US"/>
              </w:rPr>
            </w:pPr>
            <w:r w:rsidRPr="004F2B6F">
              <w:rPr>
                <w:rFonts w:ascii="Arial" w:eastAsia="Times New Roman" w:hAnsi="Arial" w:cs="Arial"/>
                <w:b/>
                <w:bCs/>
                <w:color w:val="FFFFFF"/>
                <w:sz w:val="32"/>
                <w:szCs w:val="32"/>
                <w:lang w:val="en-US" w:eastAsia="en-US"/>
              </w:rPr>
              <w:t>MARRIOTT INTERNATIONAL, INC.</w:t>
            </w:r>
          </w:p>
        </w:tc>
      </w:tr>
      <w:tr w:rsidR="0088157C" w:rsidRPr="004F2B6F" w14:paraId="4405C3D7" w14:textId="77777777" w:rsidTr="0088157C">
        <w:trPr>
          <w:trHeight w:val="550"/>
        </w:trPr>
        <w:tc>
          <w:tcPr>
            <w:tcW w:w="9923" w:type="dxa"/>
            <w:gridSpan w:val="6"/>
            <w:tcBorders>
              <w:top w:val="nil"/>
              <w:left w:val="nil"/>
              <w:bottom w:val="nil"/>
              <w:right w:val="nil"/>
            </w:tcBorders>
            <w:shd w:val="clear" w:color="000000" w:fill="1F4E78"/>
            <w:vAlign w:val="bottom"/>
            <w:hideMark/>
          </w:tcPr>
          <w:p w14:paraId="71F44B9D" w14:textId="77777777" w:rsidR="0088157C" w:rsidRPr="004F2B6F" w:rsidRDefault="0088157C" w:rsidP="004F2B6F">
            <w:pPr>
              <w:spacing w:after="0" w:line="360" w:lineRule="auto"/>
              <w:rPr>
                <w:rFonts w:ascii="Arial" w:eastAsia="Times New Roman" w:hAnsi="Arial" w:cs="Arial"/>
                <w:b/>
                <w:bCs/>
                <w:color w:val="FFFFFF"/>
                <w:lang w:val="en-US" w:eastAsia="en-US"/>
              </w:rPr>
            </w:pPr>
            <w:r w:rsidRPr="004F2B6F">
              <w:rPr>
                <w:rFonts w:ascii="Arial" w:eastAsia="Times New Roman" w:hAnsi="Arial" w:cs="Arial"/>
                <w:b/>
                <w:bCs/>
                <w:color w:val="FFFFFF"/>
                <w:lang w:val="en-US" w:eastAsia="en-US"/>
              </w:rPr>
              <w:t>Consolidated Balance Sheets - 5 Year Comparison (USD millions)</w:t>
            </w:r>
          </w:p>
        </w:tc>
      </w:tr>
      <w:tr w:rsidR="0088157C" w:rsidRPr="004F2B6F" w14:paraId="33356607" w14:textId="77777777" w:rsidTr="0088157C">
        <w:trPr>
          <w:trHeight w:val="450"/>
        </w:trPr>
        <w:tc>
          <w:tcPr>
            <w:tcW w:w="3883" w:type="dxa"/>
            <w:tcBorders>
              <w:top w:val="nil"/>
              <w:left w:val="nil"/>
              <w:bottom w:val="nil"/>
              <w:right w:val="nil"/>
            </w:tcBorders>
            <w:shd w:val="clear" w:color="000000" w:fill="5B9BD5"/>
            <w:vAlign w:val="bottom"/>
            <w:hideMark/>
          </w:tcPr>
          <w:p w14:paraId="2C36E80C" w14:textId="77777777" w:rsidR="0088157C" w:rsidRPr="004F2B6F" w:rsidRDefault="0088157C"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As of December 31</w:t>
            </w:r>
          </w:p>
        </w:tc>
        <w:tc>
          <w:tcPr>
            <w:tcW w:w="1208" w:type="dxa"/>
            <w:tcBorders>
              <w:top w:val="nil"/>
              <w:left w:val="nil"/>
              <w:bottom w:val="nil"/>
              <w:right w:val="nil"/>
            </w:tcBorders>
            <w:shd w:val="clear" w:color="000000" w:fill="5B9BD5"/>
            <w:vAlign w:val="bottom"/>
            <w:hideMark/>
          </w:tcPr>
          <w:p w14:paraId="5170DF23"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2025</w:t>
            </w:r>
          </w:p>
        </w:tc>
        <w:tc>
          <w:tcPr>
            <w:tcW w:w="1208" w:type="dxa"/>
            <w:tcBorders>
              <w:top w:val="nil"/>
              <w:left w:val="nil"/>
              <w:bottom w:val="nil"/>
              <w:right w:val="nil"/>
            </w:tcBorders>
            <w:shd w:val="clear" w:color="000000" w:fill="5B9BD5"/>
            <w:vAlign w:val="bottom"/>
            <w:hideMark/>
          </w:tcPr>
          <w:p w14:paraId="722D2631"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2024</w:t>
            </w:r>
          </w:p>
        </w:tc>
        <w:tc>
          <w:tcPr>
            <w:tcW w:w="1208" w:type="dxa"/>
            <w:tcBorders>
              <w:top w:val="nil"/>
              <w:left w:val="nil"/>
              <w:bottom w:val="nil"/>
              <w:right w:val="nil"/>
            </w:tcBorders>
            <w:shd w:val="clear" w:color="000000" w:fill="5B9BD5"/>
            <w:vAlign w:val="bottom"/>
            <w:hideMark/>
          </w:tcPr>
          <w:p w14:paraId="491F15E5"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2023</w:t>
            </w:r>
          </w:p>
        </w:tc>
        <w:tc>
          <w:tcPr>
            <w:tcW w:w="1208" w:type="dxa"/>
            <w:tcBorders>
              <w:top w:val="nil"/>
              <w:left w:val="nil"/>
              <w:bottom w:val="nil"/>
              <w:right w:val="nil"/>
            </w:tcBorders>
            <w:shd w:val="clear" w:color="000000" w:fill="5B9BD5"/>
            <w:vAlign w:val="bottom"/>
            <w:hideMark/>
          </w:tcPr>
          <w:p w14:paraId="4897C1D7"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2022</w:t>
            </w:r>
          </w:p>
        </w:tc>
        <w:tc>
          <w:tcPr>
            <w:tcW w:w="1208" w:type="dxa"/>
            <w:tcBorders>
              <w:top w:val="nil"/>
              <w:left w:val="nil"/>
              <w:bottom w:val="nil"/>
              <w:right w:val="nil"/>
            </w:tcBorders>
            <w:shd w:val="clear" w:color="000000" w:fill="5B9BD5"/>
            <w:vAlign w:val="bottom"/>
            <w:hideMark/>
          </w:tcPr>
          <w:p w14:paraId="00F4322C"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2021</w:t>
            </w:r>
          </w:p>
        </w:tc>
      </w:tr>
      <w:tr w:rsidR="0088157C" w:rsidRPr="004F2B6F" w14:paraId="6EA009F6" w14:textId="77777777" w:rsidTr="0088157C">
        <w:trPr>
          <w:trHeight w:val="450"/>
        </w:trPr>
        <w:tc>
          <w:tcPr>
            <w:tcW w:w="3883" w:type="dxa"/>
            <w:tcBorders>
              <w:top w:val="nil"/>
              <w:left w:val="nil"/>
              <w:bottom w:val="nil"/>
              <w:right w:val="nil"/>
            </w:tcBorders>
            <w:vAlign w:val="bottom"/>
            <w:hideMark/>
          </w:tcPr>
          <w:p w14:paraId="2297DC2F"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p>
        </w:tc>
        <w:tc>
          <w:tcPr>
            <w:tcW w:w="1208" w:type="dxa"/>
            <w:tcBorders>
              <w:top w:val="nil"/>
              <w:left w:val="nil"/>
              <w:bottom w:val="nil"/>
              <w:right w:val="nil"/>
            </w:tcBorders>
            <w:vAlign w:val="bottom"/>
            <w:hideMark/>
          </w:tcPr>
          <w:p w14:paraId="36E6BA8C" w14:textId="77777777" w:rsidR="0088157C" w:rsidRPr="004F2B6F" w:rsidRDefault="0088157C" w:rsidP="004F2B6F">
            <w:pPr>
              <w:spacing w:after="0" w:line="360" w:lineRule="auto"/>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4C8F6948"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34C6DE33"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4C472BB5"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6164AF25"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r>
      <w:tr w:rsidR="0088157C" w:rsidRPr="004F2B6F" w14:paraId="39EDB2FA" w14:textId="77777777" w:rsidTr="0088157C">
        <w:trPr>
          <w:trHeight w:val="450"/>
        </w:trPr>
        <w:tc>
          <w:tcPr>
            <w:tcW w:w="3883" w:type="dxa"/>
            <w:tcBorders>
              <w:top w:val="nil"/>
              <w:left w:val="nil"/>
              <w:bottom w:val="nil"/>
              <w:right w:val="nil"/>
            </w:tcBorders>
            <w:shd w:val="clear" w:color="000000" w:fill="D9EAD3"/>
            <w:vAlign w:val="bottom"/>
            <w:hideMark/>
          </w:tcPr>
          <w:p w14:paraId="0CAB1550"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ASSETS</w:t>
            </w:r>
          </w:p>
        </w:tc>
        <w:tc>
          <w:tcPr>
            <w:tcW w:w="1208" w:type="dxa"/>
            <w:tcBorders>
              <w:top w:val="nil"/>
              <w:left w:val="nil"/>
              <w:bottom w:val="nil"/>
              <w:right w:val="nil"/>
            </w:tcBorders>
            <w:shd w:val="clear" w:color="000000" w:fill="D9EAD3"/>
            <w:vAlign w:val="bottom"/>
            <w:hideMark/>
          </w:tcPr>
          <w:p w14:paraId="1A5D43C1"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 </w:t>
            </w:r>
          </w:p>
        </w:tc>
        <w:tc>
          <w:tcPr>
            <w:tcW w:w="1208" w:type="dxa"/>
            <w:tcBorders>
              <w:top w:val="nil"/>
              <w:left w:val="nil"/>
              <w:bottom w:val="nil"/>
              <w:right w:val="nil"/>
            </w:tcBorders>
            <w:shd w:val="clear" w:color="000000" w:fill="D9EAD3"/>
            <w:vAlign w:val="bottom"/>
            <w:hideMark/>
          </w:tcPr>
          <w:p w14:paraId="06FD049B"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 </w:t>
            </w:r>
          </w:p>
        </w:tc>
        <w:tc>
          <w:tcPr>
            <w:tcW w:w="1208" w:type="dxa"/>
            <w:tcBorders>
              <w:top w:val="nil"/>
              <w:left w:val="nil"/>
              <w:bottom w:val="nil"/>
              <w:right w:val="nil"/>
            </w:tcBorders>
            <w:shd w:val="clear" w:color="000000" w:fill="D9EAD3"/>
            <w:vAlign w:val="bottom"/>
            <w:hideMark/>
          </w:tcPr>
          <w:p w14:paraId="33A65858"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 </w:t>
            </w:r>
          </w:p>
        </w:tc>
        <w:tc>
          <w:tcPr>
            <w:tcW w:w="1208" w:type="dxa"/>
            <w:tcBorders>
              <w:top w:val="nil"/>
              <w:left w:val="nil"/>
              <w:bottom w:val="nil"/>
              <w:right w:val="nil"/>
            </w:tcBorders>
            <w:shd w:val="clear" w:color="000000" w:fill="D9EAD3"/>
            <w:vAlign w:val="bottom"/>
            <w:hideMark/>
          </w:tcPr>
          <w:p w14:paraId="0F97FDFD"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 </w:t>
            </w:r>
          </w:p>
        </w:tc>
        <w:tc>
          <w:tcPr>
            <w:tcW w:w="1208" w:type="dxa"/>
            <w:tcBorders>
              <w:top w:val="nil"/>
              <w:left w:val="nil"/>
              <w:bottom w:val="nil"/>
              <w:right w:val="nil"/>
            </w:tcBorders>
            <w:shd w:val="clear" w:color="000000" w:fill="D9EAD3"/>
            <w:vAlign w:val="bottom"/>
            <w:hideMark/>
          </w:tcPr>
          <w:p w14:paraId="54F79A77" w14:textId="77777777" w:rsidR="0088157C" w:rsidRPr="004F2B6F" w:rsidRDefault="0088157C" w:rsidP="004F2B6F">
            <w:pPr>
              <w:spacing w:after="0" w:line="360" w:lineRule="auto"/>
              <w:rPr>
                <w:rFonts w:ascii="Arial" w:eastAsia="Times New Roman" w:hAnsi="Arial" w:cs="Arial"/>
                <w:b/>
                <w:bCs/>
                <w:color w:val="38761D"/>
                <w:sz w:val="26"/>
                <w:szCs w:val="26"/>
                <w:lang w:val="en-US" w:eastAsia="en-US"/>
              </w:rPr>
            </w:pPr>
            <w:r w:rsidRPr="004F2B6F">
              <w:rPr>
                <w:rFonts w:ascii="Arial" w:eastAsia="Times New Roman" w:hAnsi="Arial" w:cs="Arial"/>
                <w:b/>
                <w:bCs/>
                <w:color w:val="38761D"/>
                <w:sz w:val="26"/>
                <w:szCs w:val="26"/>
                <w:lang w:val="en-US" w:eastAsia="en-US"/>
              </w:rPr>
              <w:t> </w:t>
            </w:r>
          </w:p>
        </w:tc>
      </w:tr>
      <w:tr w:rsidR="0088157C" w:rsidRPr="004F2B6F" w14:paraId="6DC56280" w14:textId="77777777" w:rsidTr="0088157C">
        <w:trPr>
          <w:trHeight w:val="450"/>
        </w:trPr>
        <w:tc>
          <w:tcPr>
            <w:tcW w:w="3883" w:type="dxa"/>
            <w:tcBorders>
              <w:top w:val="nil"/>
              <w:left w:val="nil"/>
              <w:bottom w:val="nil"/>
              <w:right w:val="nil"/>
            </w:tcBorders>
            <w:shd w:val="clear" w:color="000000" w:fill="E7E6E6"/>
            <w:vAlign w:val="bottom"/>
            <w:hideMark/>
          </w:tcPr>
          <w:p w14:paraId="6EF8024D"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Current assets</w:t>
            </w:r>
          </w:p>
        </w:tc>
        <w:tc>
          <w:tcPr>
            <w:tcW w:w="1208" w:type="dxa"/>
            <w:tcBorders>
              <w:top w:val="nil"/>
              <w:left w:val="nil"/>
              <w:bottom w:val="nil"/>
              <w:right w:val="nil"/>
            </w:tcBorders>
            <w:shd w:val="clear" w:color="000000" w:fill="E7E6E6"/>
            <w:vAlign w:val="bottom"/>
            <w:hideMark/>
          </w:tcPr>
          <w:p w14:paraId="3B7D29E0"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BBC516A"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128C1D96"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2457C14F"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559FC7EB"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r>
      <w:tr w:rsidR="0088157C" w:rsidRPr="004F2B6F" w14:paraId="3586AB31" w14:textId="77777777" w:rsidTr="0088157C">
        <w:trPr>
          <w:trHeight w:val="450"/>
        </w:trPr>
        <w:tc>
          <w:tcPr>
            <w:tcW w:w="3883" w:type="dxa"/>
            <w:tcBorders>
              <w:top w:val="nil"/>
              <w:left w:val="nil"/>
              <w:bottom w:val="nil"/>
              <w:right w:val="nil"/>
            </w:tcBorders>
            <w:vAlign w:val="bottom"/>
            <w:hideMark/>
          </w:tcPr>
          <w:p w14:paraId="4860CA6D"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Cash and equivalents</w:t>
            </w:r>
          </w:p>
        </w:tc>
        <w:tc>
          <w:tcPr>
            <w:tcW w:w="1208" w:type="dxa"/>
            <w:tcBorders>
              <w:top w:val="nil"/>
              <w:left w:val="nil"/>
              <w:bottom w:val="nil"/>
              <w:right w:val="nil"/>
            </w:tcBorders>
            <w:vAlign w:val="bottom"/>
            <w:hideMark/>
          </w:tcPr>
          <w:p w14:paraId="4442903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358</w:t>
            </w:r>
          </w:p>
        </w:tc>
        <w:tc>
          <w:tcPr>
            <w:tcW w:w="1208" w:type="dxa"/>
            <w:tcBorders>
              <w:top w:val="nil"/>
              <w:left w:val="nil"/>
              <w:bottom w:val="nil"/>
              <w:right w:val="nil"/>
            </w:tcBorders>
            <w:vAlign w:val="bottom"/>
            <w:hideMark/>
          </w:tcPr>
          <w:p w14:paraId="48A4496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396</w:t>
            </w:r>
          </w:p>
        </w:tc>
        <w:tc>
          <w:tcPr>
            <w:tcW w:w="1208" w:type="dxa"/>
            <w:tcBorders>
              <w:top w:val="nil"/>
              <w:left w:val="nil"/>
              <w:bottom w:val="nil"/>
              <w:right w:val="nil"/>
            </w:tcBorders>
            <w:vAlign w:val="bottom"/>
            <w:hideMark/>
          </w:tcPr>
          <w:p w14:paraId="61A1CF8F"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338</w:t>
            </w:r>
          </w:p>
        </w:tc>
        <w:tc>
          <w:tcPr>
            <w:tcW w:w="1208" w:type="dxa"/>
            <w:tcBorders>
              <w:top w:val="nil"/>
              <w:left w:val="nil"/>
              <w:bottom w:val="nil"/>
              <w:right w:val="nil"/>
            </w:tcBorders>
            <w:vAlign w:val="bottom"/>
            <w:hideMark/>
          </w:tcPr>
          <w:p w14:paraId="17A48F8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507</w:t>
            </w:r>
          </w:p>
        </w:tc>
        <w:tc>
          <w:tcPr>
            <w:tcW w:w="1208" w:type="dxa"/>
            <w:tcBorders>
              <w:top w:val="nil"/>
              <w:left w:val="nil"/>
              <w:bottom w:val="nil"/>
              <w:right w:val="nil"/>
            </w:tcBorders>
            <w:vAlign w:val="bottom"/>
            <w:hideMark/>
          </w:tcPr>
          <w:p w14:paraId="1F23A53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1 393</w:t>
            </w:r>
          </w:p>
        </w:tc>
      </w:tr>
      <w:tr w:rsidR="0088157C" w:rsidRPr="004F2B6F" w14:paraId="0AA4C935" w14:textId="77777777" w:rsidTr="0088157C">
        <w:trPr>
          <w:trHeight w:val="450"/>
        </w:trPr>
        <w:tc>
          <w:tcPr>
            <w:tcW w:w="3883" w:type="dxa"/>
            <w:tcBorders>
              <w:top w:val="nil"/>
              <w:left w:val="nil"/>
              <w:bottom w:val="nil"/>
              <w:right w:val="nil"/>
            </w:tcBorders>
            <w:vAlign w:val="bottom"/>
            <w:hideMark/>
          </w:tcPr>
          <w:p w14:paraId="0A6239B7"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Accounts and notes receivable, net</w:t>
            </w:r>
          </w:p>
        </w:tc>
        <w:tc>
          <w:tcPr>
            <w:tcW w:w="1208" w:type="dxa"/>
            <w:tcBorders>
              <w:top w:val="nil"/>
              <w:left w:val="nil"/>
              <w:bottom w:val="nil"/>
              <w:right w:val="nil"/>
            </w:tcBorders>
            <w:vAlign w:val="bottom"/>
            <w:hideMark/>
          </w:tcPr>
          <w:p w14:paraId="754CDCD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2 909</w:t>
            </w:r>
          </w:p>
        </w:tc>
        <w:tc>
          <w:tcPr>
            <w:tcW w:w="1208" w:type="dxa"/>
            <w:tcBorders>
              <w:top w:val="nil"/>
              <w:left w:val="nil"/>
              <w:bottom w:val="nil"/>
              <w:right w:val="nil"/>
            </w:tcBorders>
            <w:vAlign w:val="bottom"/>
            <w:hideMark/>
          </w:tcPr>
          <w:p w14:paraId="20C05F1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2 795</w:t>
            </w:r>
          </w:p>
        </w:tc>
        <w:tc>
          <w:tcPr>
            <w:tcW w:w="1208" w:type="dxa"/>
            <w:tcBorders>
              <w:top w:val="nil"/>
              <w:left w:val="nil"/>
              <w:bottom w:val="nil"/>
              <w:right w:val="nil"/>
            </w:tcBorders>
            <w:vAlign w:val="bottom"/>
            <w:hideMark/>
          </w:tcPr>
          <w:p w14:paraId="0F0D10D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2 712</w:t>
            </w:r>
          </w:p>
        </w:tc>
        <w:tc>
          <w:tcPr>
            <w:tcW w:w="1208" w:type="dxa"/>
            <w:tcBorders>
              <w:top w:val="nil"/>
              <w:left w:val="nil"/>
              <w:bottom w:val="nil"/>
              <w:right w:val="nil"/>
            </w:tcBorders>
            <w:vAlign w:val="bottom"/>
            <w:hideMark/>
          </w:tcPr>
          <w:p w14:paraId="034B918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2 571</w:t>
            </w:r>
          </w:p>
        </w:tc>
        <w:tc>
          <w:tcPr>
            <w:tcW w:w="1208" w:type="dxa"/>
            <w:tcBorders>
              <w:top w:val="nil"/>
              <w:left w:val="nil"/>
              <w:bottom w:val="nil"/>
              <w:right w:val="nil"/>
            </w:tcBorders>
            <w:vAlign w:val="bottom"/>
            <w:hideMark/>
          </w:tcPr>
          <w:p w14:paraId="051B7D5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1 982</w:t>
            </w:r>
          </w:p>
        </w:tc>
      </w:tr>
      <w:tr w:rsidR="0088157C" w:rsidRPr="004F2B6F" w14:paraId="4795903F" w14:textId="77777777" w:rsidTr="0088157C">
        <w:trPr>
          <w:trHeight w:val="450"/>
        </w:trPr>
        <w:tc>
          <w:tcPr>
            <w:tcW w:w="3883" w:type="dxa"/>
            <w:tcBorders>
              <w:top w:val="nil"/>
              <w:left w:val="nil"/>
              <w:bottom w:val="nil"/>
              <w:right w:val="nil"/>
            </w:tcBorders>
            <w:vAlign w:val="bottom"/>
            <w:hideMark/>
          </w:tcPr>
          <w:p w14:paraId="6EC7A2C0"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Prepaid expenses and other</w:t>
            </w:r>
          </w:p>
        </w:tc>
        <w:tc>
          <w:tcPr>
            <w:tcW w:w="1208" w:type="dxa"/>
            <w:tcBorders>
              <w:top w:val="nil"/>
              <w:left w:val="nil"/>
              <w:bottom w:val="nil"/>
              <w:right w:val="nil"/>
            </w:tcBorders>
            <w:vAlign w:val="bottom"/>
            <w:hideMark/>
          </w:tcPr>
          <w:p w14:paraId="7BBB8CA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317</w:t>
            </w:r>
          </w:p>
        </w:tc>
        <w:tc>
          <w:tcPr>
            <w:tcW w:w="1208" w:type="dxa"/>
            <w:tcBorders>
              <w:top w:val="nil"/>
              <w:left w:val="nil"/>
              <w:bottom w:val="nil"/>
              <w:right w:val="nil"/>
            </w:tcBorders>
            <w:vAlign w:val="bottom"/>
            <w:hideMark/>
          </w:tcPr>
          <w:p w14:paraId="650F9AA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294</w:t>
            </w:r>
          </w:p>
        </w:tc>
        <w:tc>
          <w:tcPr>
            <w:tcW w:w="1208" w:type="dxa"/>
            <w:tcBorders>
              <w:top w:val="nil"/>
              <w:left w:val="nil"/>
              <w:bottom w:val="nil"/>
              <w:right w:val="nil"/>
            </w:tcBorders>
            <w:vAlign w:val="bottom"/>
            <w:hideMark/>
          </w:tcPr>
          <w:p w14:paraId="22AC536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261</w:t>
            </w:r>
          </w:p>
        </w:tc>
        <w:tc>
          <w:tcPr>
            <w:tcW w:w="1208" w:type="dxa"/>
            <w:tcBorders>
              <w:top w:val="nil"/>
              <w:left w:val="nil"/>
              <w:bottom w:val="nil"/>
              <w:right w:val="nil"/>
            </w:tcBorders>
            <w:vAlign w:val="bottom"/>
            <w:hideMark/>
          </w:tcPr>
          <w:p w14:paraId="4809723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235</w:t>
            </w:r>
          </w:p>
        </w:tc>
        <w:tc>
          <w:tcPr>
            <w:tcW w:w="1208" w:type="dxa"/>
            <w:tcBorders>
              <w:top w:val="nil"/>
              <w:left w:val="nil"/>
              <w:bottom w:val="nil"/>
              <w:right w:val="nil"/>
            </w:tcBorders>
            <w:vAlign w:val="bottom"/>
            <w:hideMark/>
          </w:tcPr>
          <w:p w14:paraId="2D70486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251</w:t>
            </w:r>
          </w:p>
        </w:tc>
      </w:tr>
      <w:tr w:rsidR="0088157C" w:rsidRPr="004F2B6F" w14:paraId="58595DBD" w14:textId="77777777" w:rsidTr="0088157C">
        <w:trPr>
          <w:trHeight w:val="450"/>
        </w:trPr>
        <w:tc>
          <w:tcPr>
            <w:tcW w:w="3883" w:type="dxa"/>
            <w:tcBorders>
              <w:top w:val="nil"/>
              <w:left w:val="nil"/>
              <w:bottom w:val="nil"/>
              <w:right w:val="nil"/>
            </w:tcBorders>
            <w:shd w:val="clear" w:color="000000" w:fill="F3F4F6"/>
            <w:vAlign w:val="bottom"/>
            <w:hideMark/>
          </w:tcPr>
          <w:p w14:paraId="4FCBA703"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current assets</w:t>
            </w:r>
          </w:p>
        </w:tc>
        <w:tc>
          <w:tcPr>
            <w:tcW w:w="1208" w:type="dxa"/>
            <w:tcBorders>
              <w:top w:val="nil"/>
              <w:left w:val="nil"/>
              <w:bottom w:val="nil"/>
              <w:right w:val="nil"/>
            </w:tcBorders>
            <w:shd w:val="clear" w:color="000000" w:fill="F3F4F6"/>
            <w:vAlign w:val="bottom"/>
            <w:hideMark/>
          </w:tcPr>
          <w:p w14:paraId="52D30E08"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3 584</w:t>
            </w:r>
          </w:p>
        </w:tc>
        <w:tc>
          <w:tcPr>
            <w:tcW w:w="1208" w:type="dxa"/>
            <w:tcBorders>
              <w:top w:val="nil"/>
              <w:left w:val="nil"/>
              <w:bottom w:val="nil"/>
              <w:right w:val="nil"/>
            </w:tcBorders>
            <w:shd w:val="clear" w:color="000000" w:fill="F3F4F6"/>
            <w:vAlign w:val="bottom"/>
            <w:hideMark/>
          </w:tcPr>
          <w:p w14:paraId="05CE30F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3 485</w:t>
            </w:r>
          </w:p>
        </w:tc>
        <w:tc>
          <w:tcPr>
            <w:tcW w:w="1208" w:type="dxa"/>
            <w:tcBorders>
              <w:top w:val="nil"/>
              <w:left w:val="nil"/>
              <w:bottom w:val="nil"/>
              <w:right w:val="nil"/>
            </w:tcBorders>
            <w:shd w:val="clear" w:color="000000" w:fill="F3F4F6"/>
            <w:vAlign w:val="bottom"/>
            <w:hideMark/>
          </w:tcPr>
          <w:p w14:paraId="5239F27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3 311</w:t>
            </w:r>
          </w:p>
        </w:tc>
        <w:tc>
          <w:tcPr>
            <w:tcW w:w="1208" w:type="dxa"/>
            <w:tcBorders>
              <w:top w:val="nil"/>
              <w:left w:val="nil"/>
              <w:bottom w:val="nil"/>
              <w:right w:val="nil"/>
            </w:tcBorders>
            <w:shd w:val="clear" w:color="000000" w:fill="F3F4F6"/>
            <w:vAlign w:val="bottom"/>
            <w:hideMark/>
          </w:tcPr>
          <w:p w14:paraId="14186F11"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3 313</w:t>
            </w:r>
          </w:p>
        </w:tc>
        <w:tc>
          <w:tcPr>
            <w:tcW w:w="1208" w:type="dxa"/>
            <w:tcBorders>
              <w:top w:val="nil"/>
              <w:left w:val="nil"/>
              <w:bottom w:val="nil"/>
              <w:right w:val="nil"/>
            </w:tcBorders>
            <w:shd w:val="clear" w:color="000000" w:fill="F3F4F6"/>
            <w:vAlign w:val="bottom"/>
            <w:hideMark/>
          </w:tcPr>
          <w:p w14:paraId="0869A7D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3 626</w:t>
            </w:r>
          </w:p>
        </w:tc>
      </w:tr>
      <w:tr w:rsidR="0088157C" w:rsidRPr="004F2B6F" w14:paraId="768EC79A" w14:textId="77777777" w:rsidTr="0088157C">
        <w:trPr>
          <w:trHeight w:val="450"/>
        </w:trPr>
        <w:tc>
          <w:tcPr>
            <w:tcW w:w="3883" w:type="dxa"/>
            <w:tcBorders>
              <w:top w:val="nil"/>
              <w:left w:val="nil"/>
              <w:bottom w:val="nil"/>
              <w:right w:val="nil"/>
            </w:tcBorders>
            <w:shd w:val="clear" w:color="000000" w:fill="E7E6E6"/>
            <w:vAlign w:val="bottom"/>
            <w:hideMark/>
          </w:tcPr>
          <w:p w14:paraId="776E0C0D"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Non-current assets</w:t>
            </w:r>
          </w:p>
        </w:tc>
        <w:tc>
          <w:tcPr>
            <w:tcW w:w="1208" w:type="dxa"/>
            <w:tcBorders>
              <w:top w:val="nil"/>
              <w:left w:val="nil"/>
              <w:bottom w:val="nil"/>
              <w:right w:val="nil"/>
            </w:tcBorders>
            <w:shd w:val="clear" w:color="000000" w:fill="E7E6E6"/>
            <w:vAlign w:val="bottom"/>
            <w:hideMark/>
          </w:tcPr>
          <w:p w14:paraId="53D13A3E"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1CB44F8A"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C5C3401"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0843E029"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2EFB378C"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r>
      <w:tr w:rsidR="0088157C" w:rsidRPr="004F2B6F" w14:paraId="106F0636" w14:textId="77777777" w:rsidTr="0088157C">
        <w:trPr>
          <w:trHeight w:val="450"/>
        </w:trPr>
        <w:tc>
          <w:tcPr>
            <w:tcW w:w="3883" w:type="dxa"/>
            <w:tcBorders>
              <w:top w:val="nil"/>
              <w:left w:val="nil"/>
              <w:bottom w:val="nil"/>
              <w:right w:val="nil"/>
            </w:tcBorders>
            <w:vAlign w:val="bottom"/>
            <w:hideMark/>
          </w:tcPr>
          <w:p w14:paraId="5E8C65AA"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Property and equipment, net</w:t>
            </w:r>
          </w:p>
        </w:tc>
        <w:tc>
          <w:tcPr>
            <w:tcW w:w="1208" w:type="dxa"/>
            <w:tcBorders>
              <w:top w:val="nil"/>
              <w:left w:val="nil"/>
              <w:bottom w:val="nil"/>
              <w:right w:val="nil"/>
            </w:tcBorders>
            <w:vAlign w:val="bottom"/>
            <w:hideMark/>
          </w:tcPr>
          <w:p w14:paraId="4B251B6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1 954</w:t>
            </w:r>
          </w:p>
        </w:tc>
        <w:tc>
          <w:tcPr>
            <w:tcW w:w="1208" w:type="dxa"/>
            <w:tcBorders>
              <w:top w:val="nil"/>
              <w:left w:val="nil"/>
              <w:bottom w:val="nil"/>
              <w:right w:val="nil"/>
            </w:tcBorders>
            <w:vAlign w:val="bottom"/>
            <w:hideMark/>
          </w:tcPr>
          <w:p w14:paraId="69980BF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1 833</w:t>
            </w:r>
          </w:p>
        </w:tc>
        <w:tc>
          <w:tcPr>
            <w:tcW w:w="1208" w:type="dxa"/>
            <w:tcBorders>
              <w:top w:val="nil"/>
              <w:left w:val="nil"/>
              <w:bottom w:val="nil"/>
              <w:right w:val="nil"/>
            </w:tcBorders>
            <w:vAlign w:val="bottom"/>
            <w:hideMark/>
          </w:tcPr>
          <w:p w14:paraId="090EDCC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1 581</w:t>
            </w:r>
          </w:p>
        </w:tc>
        <w:tc>
          <w:tcPr>
            <w:tcW w:w="1208" w:type="dxa"/>
            <w:tcBorders>
              <w:top w:val="nil"/>
              <w:left w:val="nil"/>
              <w:bottom w:val="nil"/>
              <w:right w:val="nil"/>
            </w:tcBorders>
            <w:vAlign w:val="bottom"/>
            <w:hideMark/>
          </w:tcPr>
          <w:p w14:paraId="1A38183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1 585</w:t>
            </w:r>
          </w:p>
        </w:tc>
        <w:tc>
          <w:tcPr>
            <w:tcW w:w="1208" w:type="dxa"/>
            <w:tcBorders>
              <w:top w:val="nil"/>
              <w:left w:val="nil"/>
              <w:bottom w:val="nil"/>
              <w:right w:val="nil"/>
            </w:tcBorders>
            <w:vAlign w:val="bottom"/>
            <w:hideMark/>
          </w:tcPr>
          <w:p w14:paraId="75065EC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1 503</w:t>
            </w:r>
          </w:p>
        </w:tc>
      </w:tr>
      <w:tr w:rsidR="0088157C" w:rsidRPr="004F2B6F" w14:paraId="2697DE10" w14:textId="77777777" w:rsidTr="0088157C">
        <w:trPr>
          <w:trHeight w:val="450"/>
        </w:trPr>
        <w:tc>
          <w:tcPr>
            <w:tcW w:w="3883" w:type="dxa"/>
            <w:tcBorders>
              <w:top w:val="nil"/>
              <w:left w:val="nil"/>
              <w:bottom w:val="nil"/>
              <w:right w:val="nil"/>
            </w:tcBorders>
            <w:shd w:val="clear" w:color="000000" w:fill="E7E6E6"/>
            <w:vAlign w:val="bottom"/>
            <w:hideMark/>
          </w:tcPr>
          <w:p w14:paraId="0E4DFA4C"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Intangible assets</w:t>
            </w:r>
          </w:p>
        </w:tc>
        <w:tc>
          <w:tcPr>
            <w:tcW w:w="1208" w:type="dxa"/>
            <w:tcBorders>
              <w:top w:val="nil"/>
              <w:left w:val="nil"/>
              <w:bottom w:val="nil"/>
              <w:right w:val="nil"/>
            </w:tcBorders>
            <w:shd w:val="clear" w:color="000000" w:fill="E7E6E6"/>
            <w:vAlign w:val="bottom"/>
            <w:hideMark/>
          </w:tcPr>
          <w:p w14:paraId="6087DD52"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574276F8"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2BDADC51"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0642C933"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B2D5EBA"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r>
      <w:tr w:rsidR="0088157C" w:rsidRPr="004F2B6F" w14:paraId="20BCBF68" w14:textId="77777777" w:rsidTr="0088157C">
        <w:trPr>
          <w:trHeight w:val="450"/>
        </w:trPr>
        <w:tc>
          <w:tcPr>
            <w:tcW w:w="3883" w:type="dxa"/>
            <w:tcBorders>
              <w:top w:val="nil"/>
              <w:left w:val="nil"/>
              <w:bottom w:val="nil"/>
              <w:right w:val="nil"/>
            </w:tcBorders>
            <w:vAlign w:val="bottom"/>
            <w:hideMark/>
          </w:tcPr>
          <w:p w14:paraId="2B2ED32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Brands</w:t>
            </w:r>
          </w:p>
        </w:tc>
        <w:tc>
          <w:tcPr>
            <w:tcW w:w="1208" w:type="dxa"/>
            <w:tcBorders>
              <w:top w:val="nil"/>
              <w:left w:val="nil"/>
              <w:bottom w:val="nil"/>
              <w:right w:val="nil"/>
            </w:tcBorders>
            <w:vAlign w:val="bottom"/>
            <w:hideMark/>
          </w:tcPr>
          <w:p w14:paraId="3E67094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6 207</w:t>
            </w:r>
          </w:p>
        </w:tc>
        <w:tc>
          <w:tcPr>
            <w:tcW w:w="1208" w:type="dxa"/>
            <w:tcBorders>
              <w:top w:val="nil"/>
              <w:left w:val="nil"/>
              <w:bottom w:val="nil"/>
              <w:right w:val="nil"/>
            </w:tcBorders>
            <w:vAlign w:val="bottom"/>
            <w:hideMark/>
          </w:tcPr>
          <w:p w14:paraId="11DBFD0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5 770</w:t>
            </w:r>
          </w:p>
        </w:tc>
        <w:tc>
          <w:tcPr>
            <w:tcW w:w="1208" w:type="dxa"/>
            <w:tcBorders>
              <w:top w:val="nil"/>
              <w:left w:val="nil"/>
              <w:bottom w:val="nil"/>
              <w:right w:val="nil"/>
            </w:tcBorders>
            <w:vAlign w:val="bottom"/>
            <w:hideMark/>
          </w:tcPr>
          <w:p w14:paraId="3F85CDC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5 907</w:t>
            </w:r>
          </w:p>
        </w:tc>
        <w:tc>
          <w:tcPr>
            <w:tcW w:w="1208" w:type="dxa"/>
            <w:tcBorders>
              <w:top w:val="nil"/>
              <w:left w:val="nil"/>
              <w:bottom w:val="nil"/>
              <w:right w:val="nil"/>
            </w:tcBorders>
            <w:vAlign w:val="bottom"/>
            <w:hideMark/>
          </w:tcPr>
          <w:p w14:paraId="0B3430E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5 812</w:t>
            </w:r>
          </w:p>
        </w:tc>
        <w:tc>
          <w:tcPr>
            <w:tcW w:w="1208" w:type="dxa"/>
            <w:tcBorders>
              <w:top w:val="nil"/>
              <w:left w:val="nil"/>
              <w:bottom w:val="nil"/>
              <w:right w:val="nil"/>
            </w:tcBorders>
            <w:vAlign w:val="bottom"/>
            <w:hideMark/>
          </w:tcPr>
          <w:p w14:paraId="6C44A6B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5 979</w:t>
            </w:r>
          </w:p>
        </w:tc>
      </w:tr>
      <w:tr w:rsidR="0088157C" w:rsidRPr="004F2B6F" w14:paraId="148C8D61" w14:textId="77777777" w:rsidTr="0088157C">
        <w:trPr>
          <w:trHeight w:val="450"/>
        </w:trPr>
        <w:tc>
          <w:tcPr>
            <w:tcW w:w="3883" w:type="dxa"/>
            <w:tcBorders>
              <w:top w:val="nil"/>
              <w:left w:val="nil"/>
              <w:bottom w:val="nil"/>
              <w:right w:val="nil"/>
            </w:tcBorders>
            <w:vAlign w:val="bottom"/>
            <w:hideMark/>
          </w:tcPr>
          <w:p w14:paraId="0407B541"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Contract acquisition costs and other</w:t>
            </w:r>
          </w:p>
        </w:tc>
        <w:tc>
          <w:tcPr>
            <w:tcW w:w="1208" w:type="dxa"/>
            <w:tcBorders>
              <w:top w:val="nil"/>
              <w:left w:val="nil"/>
              <w:bottom w:val="nil"/>
              <w:right w:val="nil"/>
            </w:tcBorders>
            <w:vAlign w:val="bottom"/>
            <w:hideMark/>
          </w:tcPr>
          <w:p w14:paraId="36C1222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4 129</w:t>
            </w:r>
          </w:p>
        </w:tc>
        <w:tc>
          <w:tcPr>
            <w:tcW w:w="1208" w:type="dxa"/>
            <w:tcBorders>
              <w:top w:val="nil"/>
              <w:left w:val="nil"/>
              <w:bottom w:val="nil"/>
              <w:right w:val="nil"/>
            </w:tcBorders>
            <w:vAlign w:val="bottom"/>
            <w:hideMark/>
          </w:tcPr>
          <w:p w14:paraId="2A47299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3 718</w:t>
            </w:r>
          </w:p>
        </w:tc>
        <w:tc>
          <w:tcPr>
            <w:tcW w:w="1208" w:type="dxa"/>
            <w:tcBorders>
              <w:top w:val="nil"/>
              <w:left w:val="nil"/>
              <w:bottom w:val="nil"/>
              <w:right w:val="nil"/>
            </w:tcBorders>
            <w:vAlign w:val="bottom"/>
            <w:hideMark/>
          </w:tcPr>
          <w:p w14:paraId="0712C13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3 283</w:t>
            </w:r>
          </w:p>
        </w:tc>
        <w:tc>
          <w:tcPr>
            <w:tcW w:w="1208" w:type="dxa"/>
            <w:tcBorders>
              <w:top w:val="nil"/>
              <w:left w:val="nil"/>
              <w:bottom w:val="nil"/>
              <w:right w:val="nil"/>
            </w:tcBorders>
            <w:vAlign w:val="bottom"/>
            <w:hideMark/>
          </w:tcPr>
          <w:p w14:paraId="758B72D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2 935</w:t>
            </w:r>
          </w:p>
        </w:tc>
        <w:tc>
          <w:tcPr>
            <w:tcW w:w="1208" w:type="dxa"/>
            <w:tcBorders>
              <w:top w:val="nil"/>
              <w:left w:val="nil"/>
              <w:bottom w:val="nil"/>
              <w:right w:val="nil"/>
            </w:tcBorders>
            <w:vAlign w:val="bottom"/>
            <w:hideMark/>
          </w:tcPr>
          <w:p w14:paraId="01C242E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2 947</w:t>
            </w:r>
          </w:p>
        </w:tc>
      </w:tr>
      <w:tr w:rsidR="0088157C" w:rsidRPr="004F2B6F" w14:paraId="42A79ED9" w14:textId="77777777" w:rsidTr="0088157C">
        <w:trPr>
          <w:trHeight w:val="450"/>
        </w:trPr>
        <w:tc>
          <w:tcPr>
            <w:tcW w:w="3883" w:type="dxa"/>
            <w:tcBorders>
              <w:top w:val="nil"/>
              <w:left w:val="nil"/>
              <w:bottom w:val="nil"/>
              <w:right w:val="nil"/>
            </w:tcBorders>
            <w:vAlign w:val="bottom"/>
            <w:hideMark/>
          </w:tcPr>
          <w:p w14:paraId="6F187B5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Goodwill</w:t>
            </w:r>
          </w:p>
        </w:tc>
        <w:tc>
          <w:tcPr>
            <w:tcW w:w="1208" w:type="dxa"/>
            <w:tcBorders>
              <w:top w:val="nil"/>
              <w:left w:val="nil"/>
              <w:bottom w:val="nil"/>
              <w:right w:val="nil"/>
            </w:tcBorders>
            <w:vAlign w:val="bottom"/>
            <w:hideMark/>
          </w:tcPr>
          <w:p w14:paraId="19406C7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8 907</w:t>
            </w:r>
          </w:p>
        </w:tc>
        <w:tc>
          <w:tcPr>
            <w:tcW w:w="1208" w:type="dxa"/>
            <w:tcBorders>
              <w:top w:val="nil"/>
              <w:left w:val="nil"/>
              <w:bottom w:val="nil"/>
              <w:right w:val="nil"/>
            </w:tcBorders>
            <w:vAlign w:val="bottom"/>
            <w:hideMark/>
          </w:tcPr>
          <w:p w14:paraId="578D92A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8 731</w:t>
            </w:r>
          </w:p>
        </w:tc>
        <w:tc>
          <w:tcPr>
            <w:tcW w:w="1208" w:type="dxa"/>
            <w:tcBorders>
              <w:top w:val="nil"/>
              <w:left w:val="nil"/>
              <w:bottom w:val="nil"/>
              <w:right w:val="nil"/>
            </w:tcBorders>
            <w:vAlign w:val="bottom"/>
            <w:hideMark/>
          </w:tcPr>
          <w:p w14:paraId="6D3FFBD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8 886</w:t>
            </w:r>
          </w:p>
        </w:tc>
        <w:tc>
          <w:tcPr>
            <w:tcW w:w="1208" w:type="dxa"/>
            <w:tcBorders>
              <w:top w:val="nil"/>
              <w:left w:val="nil"/>
              <w:bottom w:val="nil"/>
              <w:right w:val="nil"/>
            </w:tcBorders>
            <w:vAlign w:val="bottom"/>
            <w:hideMark/>
          </w:tcPr>
          <w:p w14:paraId="4AAC510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8 872</w:t>
            </w:r>
          </w:p>
        </w:tc>
        <w:tc>
          <w:tcPr>
            <w:tcW w:w="1208" w:type="dxa"/>
            <w:tcBorders>
              <w:top w:val="nil"/>
              <w:left w:val="nil"/>
              <w:bottom w:val="nil"/>
              <w:right w:val="nil"/>
            </w:tcBorders>
            <w:vAlign w:val="bottom"/>
            <w:hideMark/>
          </w:tcPr>
          <w:p w14:paraId="4FAD33C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9 073</w:t>
            </w:r>
          </w:p>
        </w:tc>
      </w:tr>
      <w:tr w:rsidR="0088157C" w:rsidRPr="004F2B6F" w14:paraId="7A56165F" w14:textId="77777777" w:rsidTr="0088157C">
        <w:trPr>
          <w:trHeight w:val="450"/>
        </w:trPr>
        <w:tc>
          <w:tcPr>
            <w:tcW w:w="3883" w:type="dxa"/>
            <w:tcBorders>
              <w:top w:val="nil"/>
              <w:left w:val="nil"/>
              <w:bottom w:val="nil"/>
              <w:right w:val="nil"/>
            </w:tcBorders>
            <w:shd w:val="clear" w:color="000000" w:fill="F3F4F6"/>
            <w:vAlign w:val="bottom"/>
            <w:hideMark/>
          </w:tcPr>
          <w:p w14:paraId="3385D0F6"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intangible assets</w:t>
            </w:r>
          </w:p>
        </w:tc>
        <w:tc>
          <w:tcPr>
            <w:tcW w:w="1208" w:type="dxa"/>
            <w:tcBorders>
              <w:top w:val="nil"/>
              <w:left w:val="nil"/>
              <w:bottom w:val="nil"/>
              <w:right w:val="nil"/>
            </w:tcBorders>
            <w:shd w:val="clear" w:color="000000" w:fill="F3F4F6"/>
            <w:vAlign w:val="bottom"/>
            <w:hideMark/>
          </w:tcPr>
          <w:p w14:paraId="2FAE36F3"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19 243</w:t>
            </w:r>
          </w:p>
        </w:tc>
        <w:tc>
          <w:tcPr>
            <w:tcW w:w="1208" w:type="dxa"/>
            <w:tcBorders>
              <w:top w:val="nil"/>
              <w:left w:val="nil"/>
              <w:bottom w:val="nil"/>
              <w:right w:val="nil"/>
            </w:tcBorders>
            <w:shd w:val="clear" w:color="000000" w:fill="F3F4F6"/>
            <w:vAlign w:val="bottom"/>
            <w:hideMark/>
          </w:tcPr>
          <w:p w14:paraId="497EC9FD"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18 219</w:t>
            </w:r>
          </w:p>
        </w:tc>
        <w:tc>
          <w:tcPr>
            <w:tcW w:w="1208" w:type="dxa"/>
            <w:tcBorders>
              <w:top w:val="nil"/>
              <w:left w:val="nil"/>
              <w:bottom w:val="nil"/>
              <w:right w:val="nil"/>
            </w:tcBorders>
            <w:shd w:val="clear" w:color="000000" w:fill="F3F4F6"/>
            <w:vAlign w:val="bottom"/>
            <w:hideMark/>
          </w:tcPr>
          <w:p w14:paraId="2017D437"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18 076</w:t>
            </w:r>
          </w:p>
        </w:tc>
        <w:tc>
          <w:tcPr>
            <w:tcW w:w="1208" w:type="dxa"/>
            <w:tcBorders>
              <w:top w:val="nil"/>
              <w:left w:val="nil"/>
              <w:bottom w:val="nil"/>
              <w:right w:val="nil"/>
            </w:tcBorders>
            <w:shd w:val="clear" w:color="000000" w:fill="F3F4F6"/>
            <w:vAlign w:val="bottom"/>
            <w:hideMark/>
          </w:tcPr>
          <w:p w14:paraId="4D350BA2"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17 619</w:t>
            </w:r>
          </w:p>
        </w:tc>
        <w:tc>
          <w:tcPr>
            <w:tcW w:w="1208" w:type="dxa"/>
            <w:tcBorders>
              <w:top w:val="nil"/>
              <w:left w:val="nil"/>
              <w:bottom w:val="nil"/>
              <w:right w:val="nil"/>
            </w:tcBorders>
            <w:shd w:val="clear" w:color="000000" w:fill="F3F4F6"/>
            <w:vAlign w:val="bottom"/>
            <w:hideMark/>
          </w:tcPr>
          <w:p w14:paraId="070C34E6"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17 999</w:t>
            </w:r>
          </w:p>
        </w:tc>
      </w:tr>
      <w:tr w:rsidR="0088157C" w:rsidRPr="004F2B6F" w14:paraId="38140FF6" w14:textId="77777777" w:rsidTr="0088157C">
        <w:trPr>
          <w:trHeight w:val="450"/>
        </w:trPr>
        <w:tc>
          <w:tcPr>
            <w:tcW w:w="3883" w:type="dxa"/>
            <w:tcBorders>
              <w:top w:val="nil"/>
              <w:left w:val="nil"/>
              <w:bottom w:val="nil"/>
              <w:right w:val="nil"/>
            </w:tcBorders>
            <w:vAlign w:val="bottom"/>
            <w:hideMark/>
          </w:tcPr>
          <w:p w14:paraId="53A52AE7"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Equity method investments</w:t>
            </w:r>
          </w:p>
        </w:tc>
        <w:tc>
          <w:tcPr>
            <w:tcW w:w="1208" w:type="dxa"/>
            <w:tcBorders>
              <w:top w:val="nil"/>
              <w:left w:val="nil"/>
              <w:bottom w:val="nil"/>
              <w:right w:val="nil"/>
            </w:tcBorders>
            <w:vAlign w:val="bottom"/>
            <w:hideMark/>
          </w:tcPr>
          <w:p w14:paraId="026BCB7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298</w:t>
            </w:r>
          </w:p>
        </w:tc>
        <w:tc>
          <w:tcPr>
            <w:tcW w:w="1208" w:type="dxa"/>
            <w:tcBorders>
              <w:top w:val="nil"/>
              <w:left w:val="nil"/>
              <w:bottom w:val="nil"/>
              <w:right w:val="nil"/>
            </w:tcBorders>
            <w:vAlign w:val="bottom"/>
            <w:hideMark/>
          </w:tcPr>
          <w:p w14:paraId="7C687AA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298</w:t>
            </w:r>
          </w:p>
        </w:tc>
        <w:tc>
          <w:tcPr>
            <w:tcW w:w="1208" w:type="dxa"/>
            <w:tcBorders>
              <w:top w:val="nil"/>
              <w:left w:val="nil"/>
              <w:bottom w:val="nil"/>
              <w:right w:val="nil"/>
            </w:tcBorders>
            <w:vAlign w:val="bottom"/>
            <w:hideMark/>
          </w:tcPr>
          <w:p w14:paraId="4F353E6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308</w:t>
            </w:r>
          </w:p>
        </w:tc>
        <w:tc>
          <w:tcPr>
            <w:tcW w:w="1208" w:type="dxa"/>
            <w:tcBorders>
              <w:top w:val="nil"/>
              <w:left w:val="nil"/>
              <w:bottom w:val="nil"/>
              <w:right w:val="nil"/>
            </w:tcBorders>
            <w:vAlign w:val="bottom"/>
            <w:hideMark/>
          </w:tcPr>
          <w:p w14:paraId="48A7733F"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335</w:t>
            </w:r>
          </w:p>
        </w:tc>
        <w:tc>
          <w:tcPr>
            <w:tcW w:w="1208" w:type="dxa"/>
            <w:tcBorders>
              <w:top w:val="nil"/>
              <w:left w:val="nil"/>
              <w:bottom w:val="nil"/>
              <w:right w:val="nil"/>
            </w:tcBorders>
            <w:vAlign w:val="bottom"/>
            <w:hideMark/>
          </w:tcPr>
          <w:p w14:paraId="5AFD077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387</w:t>
            </w:r>
          </w:p>
        </w:tc>
      </w:tr>
      <w:tr w:rsidR="0088157C" w:rsidRPr="004F2B6F" w14:paraId="5ABE9756" w14:textId="77777777" w:rsidTr="0088157C">
        <w:trPr>
          <w:trHeight w:val="450"/>
        </w:trPr>
        <w:tc>
          <w:tcPr>
            <w:tcW w:w="3883" w:type="dxa"/>
            <w:tcBorders>
              <w:top w:val="nil"/>
              <w:left w:val="nil"/>
              <w:bottom w:val="nil"/>
              <w:right w:val="nil"/>
            </w:tcBorders>
            <w:vAlign w:val="bottom"/>
            <w:hideMark/>
          </w:tcPr>
          <w:p w14:paraId="74B51EE4"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Notes receivable, net</w:t>
            </w:r>
          </w:p>
        </w:tc>
        <w:tc>
          <w:tcPr>
            <w:tcW w:w="1208" w:type="dxa"/>
            <w:tcBorders>
              <w:top w:val="nil"/>
              <w:left w:val="nil"/>
              <w:bottom w:val="nil"/>
              <w:right w:val="nil"/>
            </w:tcBorders>
            <w:vAlign w:val="bottom"/>
            <w:hideMark/>
          </w:tcPr>
          <w:p w14:paraId="636EF87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151</w:t>
            </w:r>
          </w:p>
        </w:tc>
        <w:tc>
          <w:tcPr>
            <w:tcW w:w="1208" w:type="dxa"/>
            <w:tcBorders>
              <w:top w:val="nil"/>
              <w:left w:val="nil"/>
              <w:bottom w:val="nil"/>
              <w:right w:val="nil"/>
            </w:tcBorders>
            <w:vAlign w:val="bottom"/>
            <w:hideMark/>
          </w:tcPr>
          <w:p w14:paraId="333E5C1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136</w:t>
            </w:r>
          </w:p>
        </w:tc>
        <w:tc>
          <w:tcPr>
            <w:tcW w:w="1208" w:type="dxa"/>
            <w:tcBorders>
              <w:top w:val="nil"/>
              <w:left w:val="nil"/>
              <w:bottom w:val="nil"/>
              <w:right w:val="nil"/>
            </w:tcBorders>
            <w:vAlign w:val="bottom"/>
            <w:hideMark/>
          </w:tcPr>
          <w:p w14:paraId="7A5F07E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138</w:t>
            </w:r>
          </w:p>
        </w:tc>
        <w:tc>
          <w:tcPr>
            <w:tcW w:w="1208" w:type="dxa"/>
            <w:tcBorders>
              <w:top w:val="nil"/>
              <w:left w:val="nil"/>
              <w:bottom w:val="nil"/>
              <w:right w:val="nil"/>
            </w:tcBorders>
            <w:vAlign w:val="bottom"/>
            <w:hideMark/>
          </w:tcPr>
          <w:p w14:paraId="2ABE782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152</w:t>
            </w:r>
          </w:p>
        </w:tc>
        <w:tc>
          <w:tcPr>
            <w:tcW w:w="1208" w:type="dxa"/>
            <w:tcBorders>
              <w:top w:val="nil"/>
              <w:left w:val="nil"/>
              <w:bottom w:val="nil"/>
              <w:right w:val="nil"/>
            </w:tcBorders>
            <w:vAlign w:val="bottom"/>
            <w:hideMark/>
          </w:tcPr>
          <w:p w14:paraId="6813CD7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144</w:t>
            </w:r>
          </w:p>
        </w:tc>
      </w:tr>
      <w:tr w:rsidR="0088157C" w:rsidRPr="004F2B6F" w14:paraId="4ED51BB1" w14:textId="77777777" w:rsidTr="0088157C">
        <w:trPr>
          <w:trHeight w:val="450"/>
        </w:trPr>
        <w:tc>
          <w:tcPr>
            <w:tcW w:w="3883" w:type="dxa"/>
            <w:tcBorders>
              <w:top w:val="nil"/>
              <w:left w:val="nil"/>
              <w:bottom w:val="nil"/>
              <w:right w:val="nil"/>
            </w:tcBorders>
            <w:vAlign w:val="bottom"/>
            <w:hideMark/>
          </w:tcPr>
          <w:p w14:paraId="5CC0AC29"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Deferred tax assets</w:t>
            </w:r>
          </w:p>
        </w:tc>
        <w:tc>
          <w:tcPr>
            <w:tcW w:w="1208" w:type="dxa"/>
            <w:tcBorders>
              <w:top w:val="nil"/>
              <w:left w:val="nil"/>
              <w:bottom w:val="nil"/>
              <w:right w:val="nil"/>
            </w:tcBorders>
            <w:vAlign w:val="bottom"/>
            <w:hideMark/>
          </w:tcPr>
          <w:p w14:paraId="66998CA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570</w:t>
            </w:r>
          </w:p>
        </w:tc>
        <w:tc>
          <w:tcPr>
            <w:tcW w:w="1208" w:type="dxa"/>
            <w:tcBorders>
              <w:top w:val="nil"/>
              <w:left w:val="nil"/>
              <w:bottom w:val="nil"/>
              <w:right w:val="nil"/>
            </w:tcBorders>
            <w:vAlign w:val="bottom"/>
            <w:hideMark/>
          </w:tcPr>
          <w:p w14:paraId="2BB5511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650</w:t>
            </w:r>
          </w:p>
        </w:tc>
        <w:tc>
          <w:tcPr>
            <w:tcW w:w="1208" w:type="dxa"/>
            <w:tcBorders>
              <w:top w:val="nil"/>
              <w:left w:val="nil"/>
              <w:bottom w:val="nil"/>
              <w:right w:val="nil"/>
            </w:tcBorders>
            <w:vAlign w:val="bottom"/>
            <w:hideMark/>
          </w:tcPr>
          <w:p w14:paraId="65F3925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673</w:t>
            </w:r>
          </w:p>
        </w:tc>
        <w:tc>
          <w:tcPr>
            <w:tcW w:w="1208" w:type="dxa"/>
            <w:tcBorders>
              <w:top w:val="nil"/>
              <w:left w:val="nil"/>
              <w:bottom w:val="nil"/>
              <w:right w:val="nil"/>
            </w:tcBorders>
            <w:vAlign w:val="bottom"/>
            <w:hideMark/>
          </w:tcPr>
          <w:p w14:paraId="4C4261B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240</w:t>
            </w:r>
          </w:p>
        </w:tc>
        <w:tc>
          <w:tcPr>
            <w:tcW w:w="1208" w:type="dxa"/>
            <w:tcBorders>
              <w:top w:val="nil"/>
              <w:left w:val="nil"/>
              <w:bottom w:val="nil"/>
              <w:right w:val="nil"/>
            </w:tcBorders>
            <w:vAlign w:val="bottom"/>
            <w:hideMark/>
          </w:tcPr>
          <w:p w14:paraId="29AC376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228</w:t>
            </w:r>
          </w:p>
        </w:tc>
      </w:tr>
      <w:tr w:rsidR="0088157C" w:rsidRPr="004F2B6F" w14:paraId="1F389741" w14:textId="77777777" w:rsidTr="0088157C">
        <w:trPr>
          <w:trHeight w:val="450"/>
        </w:trPr>
        <w:tc>
          <w:tcPr>
            <w:tcW w:w="3883" w:type="dxa"/>
            <w:tcBorders>
              <w:top w:val="nil"/>
              <w:left w:val="nil"/>
              <w:bottom w:val="nil"/>
              <w:right w:val="nil"/>
            </w:tcBorders>
            <w:vAlign w:val="bottom"/>
            <w:hideMark/>
          </w:tcPr>
          <w:p w14:paraId="6094298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Operating lease assets</w:t>
            </w:r>
          </w:p>
        </w:tc>
        <w:tc>
          <w:tcPr>
            <w:tcW w:w="1208" w:type="dxa"/>
            <w:tcBorders>
              <w:top w:val="nil"/>
              <w:left w:val="nil"/>
              <w:bottom w:val="nil"/>
              <w:right w:val="nil"/>
            </w:tcBorders>
            <w:vAlign w:val="bottom"/>
            <w:hideMark/>
          </w:tcPr>
          <w:p w14:paraId="2F09B37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941</w:t>
            </w:r>
          </w:p>
        </w:tc>
        <w:tc>
          <w:tcPr>
            <w:tcW w:w="1208" w:type="dxa"/>
            <w:tcBorders>
              <w:top w:val="nil"/>
              <w:left w:val="nil"/>
              <w:bottom w:val="nil"/>
              <w:right w:val="nil"/>
            </w:tcBorders>
            <w:vAlign w:val="bottom"/>
            <w:hideMark/>
          </w:tcPr>
          <w:p w14:paraId="22361E5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845</w:t>
            </w:r>
          </w:p>
        </w:tc>
        <w:tc>
          <w:tcPr>
            <w:tcW w:w="1208" w:type="dxa"/>
            <w:tcBorders>
              <w:top w:val="nil"/>
              <w:left w:val="nil"/>
              <w:bottom w:val="nil"/>
              <w:right w:val="nil"/>
            </w:tcBorders>
            <w:vAlign w:val="bottom"/>
            <w:hideMark/>
          </w:tcPr>
          <w:p w14:paraId="1136C81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929</w:t>
            </w:r>
          </w:p>
        </w:tc>
        <w:tc>
          <w:tcPr>
            <w:tcW w:w="1208" w:type="dxa"/>
            <w:tcBorders>
              <w:top w:val="nil"/>
              <w:left w:val="nil"/>
              <w:bottom w:val="nil"/>
              <w:right w:val="nil"/>
            </w:tcBorders>
            <w:vAlign w:val="bottom"/>
            <w:hideMark/>
          </w:tcPr>
          <w:p w14:paraId="7DA72E6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987</w:t>
            </w:r>
          </w:p>
        </w:tc>
        <w:tc>
          <w:tcPr>
            <w:tcW w:w="1208" w:type="dxa"/>
            <w:tcBorders>
              <w:top w:val="nil"/>
              <w:left w:val="nil"/>
              <w:bottom w:val="nil"/>
              <w:right w:val="nil"/>
            </w:tcBorders>
            <w:vAlign w:val="bottom"/>
            <w:hideMark/>
          </w:tcPr>
          <w:p w14:paraId="11AC6F5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1 062</w:t>
            </w:r>
          </w:p>
        </w:tc>
      </w:tr>
      <w:tr w:rsidR="0088157C" w:rsidRPr="004F2B6F" w14:paraId="10768B69" w14:textId="77777777" w:rsidTr="0088157C">
        <w:trPr>
          <w:trHeight w:val="450"/>
        </w:trPr>
        <w:tc>
          <w:tcPr>
            <w:tcW w:w="3883" w:type="dxa"/>
            <w:tcBorders>
              <w:top w:val="nil"/>
              <w:left w:val="nil"/>
              <w:bottom w:val="nil"/>
              <w:right w:val="nil"/>
            </w:tcBorders>
            <w:vAlign w:val="bottom"/>
            <w:hideMark/>
          </w:tcPr>
          <w:p w14:paraId="590F5DFF"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 noncurrent assets</w:t>
            </w:r>
          </w:p>
        </w:tc>
        <w:tc>
          <w:tcPr>
            <w:tcW w:w="1208" w:type="dxa"/>
            <w:tcBorders>
              <w:top w:val="nil"/>
              <w:left w:val="nil"/>
              <w:bottom w:val="nil"/>
              <w:right w:val="nil"/>
            </w:tcBorders>
            <w:vAlign w:val="bottom"/>
            <w:hideMark/>
          </w:tcPr>
          <w:p w14:paraId="3D95E11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799</w:t>
            </w:r>
          </w:p>
        </w:tc>
        <w:tc>
          <w:tcPr>
            <w:tcW w:w="1208" w:type="dxa"/>
            <w:tcBorders>
              <w:top w:val="nil"/>
              <w:left w:val="nil"/>
              <w:bottom w:val="nil"/>
              <w:right w:val="nil"/>
            </w:tcBorders>
            <w:vAlign w:val="bottom"/>
            <w:hideMark/>
          </w:tcPr>
          <w:p w14:paraId="39EA21C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716</w:t>
            </w:r>
          </w:p>
        </w:tc>
        <w:tc>
          <w:tcPr>
            <w:tcW w:w="1208" w:type="dxa"/>
            <w:tcBorders>
              <w:top w:val="nil"/>
              <w:left w:val="nil"/>
              <w:bottom w:val="nil"/>
              <w:right w:val="nil"/>
            </w:tcBorders>
            <w:vAlign w:val="bottom"/>
            <w:hideMark/>
          </w:tcPr>
          <w:p w14:paraId="661F908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658</w:t>
            </w:r>
          </w:p>
        </w:tc>
        <w:tc>
          <w:tcPr>
            <w:tcW w:w="1208" w:type="dxa"/>
            <w:tcBorders>
              <w:top w:val="nil"/>
              <w:left w:val="nil"/>
              <w:bottom w:val="nil"/>
              <w:right w:val="nil"/>
            </w:tcBorders>
            <w:vAlign w:val="bottom"/>
            <w:hideMark/>
          </w:tcPr>
          <w:p w14:paraId="63F7BFA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584</w:t>
            </w:r>
          </w:p>
        </w:tc>
        <w:tc>
          <w:tcPr>
            <w:tcW w:w="1208" w:type="dxa"/>
            <w:tcBorders>
              <w:top w:val="nil"/>
              <w:left w:val="nil"/>
              <w:bottom w:val="nil"/>
              <w:right w:val="nil"/>
            </w:tcBorders>
            <w:vAlign w:val="bottom"/>
            <w:hideMark/>
          </w:tcPr>
          <w:p w14:paraId="3280C0F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604</w:t>
            </w:r>
          </w:p>
        </w:tc>
      </w:tr>
      <w:tr w:rsidR="0088157C" w:rsidRPr="004F2B6F" w14:paraId="6F5392BF" w14:textId="77777777" w:rsidTr="0088157C">
        <w:trPr>
          <w:trHeight w:val="450"/>
        </w:trPr>
        <w:tc>
          <w:tcPr>
            <w:tcW w:w="3883" w:type="dxa"/>
            <w:tcBorders>
              <w:top w:val="nil"/>
              <w:left w:val="nil"/>
              <w:bottom w:val="nil"/>
              <w:right w:val="nil"/>
            </w:tcBorders>
            <w:shd w:val="clear" w:color="000000" w:fill="E2F0D9"/>
            <w:vAlign w:val="bottom"/>
            <w:hideMark/>
          </w:tcPr>
          <w:p w14:paraId="2ECEF4EA"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ASSETS</w:t>
            </w:r>
          </w:p>
        </w:tc>
        <w:tc>
          <w:tcPr>
            <w:tcW w:w="1208" w:type="dxa"/>
            <w:tcBorders>
              <w:top w:val="nil"/>
              <w:left w:val="nil"/>
              <w:bottom w:val="nil"/>
              <w:right w:val="nil"/>
            </w:tcBorders>
            <w:shd w:val="clear" w:color="000000" w:fill="E2F0D9"/>
            <w:vAlign w:val="bottom"/>
            <w:hideMark/>
          </w:tcPr>
          <w:p w14:paraId="54969092"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27 540</w:t>
            </w:r>
          </w:p>
        </w:tc>
        <w:tc>
          <w:tcPr>
            <w:tcW w:w="1208" w:type="dxa"/>
            <w:tcBorders>
              <w:top w:val="nil"/>
              <w:left w:val="nil"/>
              <w:bottom w:val="nil"/>
              <w:right w:val="nil"/>
            </w:tcBorders>
            <w:shd w:val="clear" w:color="000000" w:fill="E2F0D9"/>
            <w:vAlign w:val="bottom"/>
            <w:hideMark/>
          </w:tcPr>
          <w:p w14:paraId="2F350988"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26 182</w:t>
            </w:r>
          </w:p>
        </w:tc>
        <w:tc>
          <w:tcPr>
            <w:tcW w:w="1208" w:type="dxa"/>
            <w:tcBorders>
              <w:top w:val="nil"/>
              <w:left w:val="nil"/>
              <w:bottom w:val="nil"/>
              <w:right w:val="nil"/>
            </w:tcBorders>
            <w:shd w:val="clear" w:color="000000" w:fill="E2F0D9"/>
            <w:vAlign w:val="bottom"/>
            <w:hideMark/>
          </w:tcPr>
          <w:p w14:paraId="20BB6DBD"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25 674</w:t>
            </w:r>
          </w:p>
        </w:tc>
        <w:tc>
          <w:tcPr>
            <w:tcW w:w="1208" w:type="dxa"/>
            <w:tcBorders>
              <w:top w:val="nil"/>
              <w:left w:val="nil"/>
              <w:bottom w:val="nil"/>
              <w:right w:val="nil"/>
            </w:tcBorders>
            <w:shd w:val="clear" w:color="000000" w:fill="E2F0D9"/>
            <w:vAlign w:val="bottom"/>
            <w:hideMark/>
          </w:tcPr>
          <w:p w14:paraId="516DC280"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24 815</w:t>
            </w:r>
          </w:p>
        </w:tc>
        <w:tc>
          <w:tcPr>
            <w:tcW w:w="1208" w:type="dxa"/>
            <w:tcBorders>
              <w:top w:val="nil"/>
              <w:left w:val="nil"/>
              <w:bottom w:val="nil"/>
              <w:right w:val="nil"/>
            </w:tcBorders>
            <w:shd w:val="clear" w:color="000000" w:fill="E2F0D9"/>
            <w:vAlign w:val="bottom"/>
            <w:hideMark/>
          </w:tcPr>
          <w:p w14:paraId="7ACB9657"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25 553</w:t>
            </w:r>
          </w:p>
        </w:tc>
      </w:tr>
      <w:tr w:rsidR="0088157C" w:rsidRPr="004F2B6F" w14:paraId="6A3FAB96" w14:textId="77777777" w:rsidTr="0088157C">
        <w:trPr>
          <w:trHeight w:val="450"/>
        </w:trPr>
        <w:tc>
          <w:tcPr>
            <w:tcW w:w="3883" w:type="dxa"/>
            <w:tcBorders>
              <w:top w:val="nil"/>
              <w:left w:val="nil"/>
              <w:bottom w:val="nil"/>
              <w:right w:val="nil"/>
            </w:tcBorders>
            <w:vAlign w:val="bottom"/>
            <w:hideMark/>
          </w:tcPr>
          <w:p w14:paraId="74318F10"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p>
        </w:tc>
        <w:tc>
          <w:tcPr>
            <w:tcW w:w="1208" w:type="dxa"/>
            <w:tcBorders>
              <w:top w:val="nil"/>
              <w:left w:val="nil"/>
              <w:bottom w:val="nil"/>
              <w:right w:val="nil"/>
            </w:tcBorders>
            <w:vAlign w:val="bottom"/>
            <w:hideMark/>
          </w:tcPr>
          <w:p w14:paraId="2C4A4563" w14:textId="77777777" w:rsidR="0088157C" w:rsidRPr="004F2B6F" w:rsidRDefault="0088157C" w:rsidP="004F2B6F">
            <w:pPr>
              <w:spacing w:after="0" w:line="360" w:lineRule="auto"/>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3854A216"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21DAE589"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65A46D71"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70077C7D"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r>
      <w:tr w:rsidR="0088157C" w:rsidRPr="004F2B6F" w14:paraId="05731F34" w14:textId="77777777" w:rsidTr="0088157C">
        <w:trPr>
          <w:trHeight w:val="450"/>
        </w:trPr>
        <w:tc>
          <w:tcPr>
            <w:tcW w:w="3883" w:type="dxa"/>
            <w:tcBorders>
              <w:top w:val="nil"/>
              <w:left w:val="nil"/>
              <w:bottom w:val="nil"/>
              <w:right w:val="nil"/>
            </w:tcBorders>
            <w:shd w:val="clear" w:color="000000" w:fill="DDEBF7"/>
            <w:vAlign w:val="bottom"/>
            <w:hideMark/>
          </w:tcPr>
          <w:p w14:paraId="27A69427"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LIABILITIES</w:t>
            </w:r>
          </w:p>
        </w:tc>
        <w:tc>
          <w:tcPr>
            <w:tcW w:w="1208" w:type="dxa"/>
            <w:tcBorders>
              <w:top w:val="nil"/>
              <w:left w:val="nil"/>
              <w:bottom w:val="nil"/>
              <w:right w:val="nil"/>
            </w:tcBorders>
            <w:shd w:val="clear" w:color="000000" w:fill="DDEBF7"/>
            <w:vAlign w:val="bottom"/>
            <w:hideMark/>
          </w:tcPr>
          <w:p w14:paraId="3C8E5CE8"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 </w:t>
            </w:r>
          </w:p>
        </w:tc>
        <w:tc>
          <w:tcPr>
            <w:tcW w:w="1208" w:type="dxa"/>
            <w:tcBorders>
              <w:top w:val="nil"/>
              <w:left w:val="nil"/>
              <w:bottom w:val="nil"/>
              <w:right w:val="nil"/>
            </w:tcBorders>
            <w:shd w:val="clear" w:color="000000" w:fill="DDEBF7"/>
            <w:vAlign w:val="bottom"/>
            <w:hideMark/>
          </w:tcPr>
          <w:p w14:paraId="3C8F07B9"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 </w:t>
            </w:r>
          </w:p>
        </w:tc>
        <w:tc>
          <w:tcPr>
            <w:tcW w:w="1208" w:type="dxa"/>
            <w:tcBorders>
              <w:top w:val="nil"/>
              <w:left w:val="nil"/>
              <w:bottom w:val="nil"/>
              <w:right w:val="nil"/>
            </w:tcBorders>
            <w:shd w:val="clear" w:color="000000" w:fill="DDEBF7"/>
            <w:vAlign w:val="bottom"/>
            <w:hideMark/>
          </w:tcPr>
          <w:p w14:paraId="56281D12"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 </w:t>
            </w:r>
          </w:p>
        </w:tc>
        <w:tc>
          <w:tcPr>
            <w:tcW w:w="1208" w:type="dxa"/>
            <w:tcBorders>
              <w:top w:val="nil"/>
              <w:left w:val="nil"/>
              <w:bottom w:val="nil"/>
              <w:right w:val="nil"/>
            </w:tcBorders>
            <w:shd w:val="clear" w:color="000000" w:fill="DDEBF7"/>
            <w:vAlign w:val="bottom"/>
            <w:hideMark/>
          </w:tcPr>
          <w:p w14:paraId="5BF025B6"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 </w:t>
            </w:r>
          </w:p>
        </w:tc>
        <w:tc>
          <w:tcPr>
            <w:tcW w:w="1208" w:type="dxa"/>
            <w:tcBorders>
              <w:top w:val="nil"/>
              <w:left w:val="nil"/>
              <w:bottom w:val="nil"/>
              <w:right w:val="nil"/>
            </w:tcBorders>
            <w:shd w:val="clear" w:color="000000" w:fill="DDEBF7"/>
            <w:vAlign w:val="bottom"/>
            <w:hideMark/>
          </w:tcPr>
          <w:p w14:paraId="26E39FB8" w14:textId="77777777" w:rsidR="0088157C" w:rsidRPr="004F2B6F" w:rsidRDefault="0088157C" w:rsidP="004F2B6F">
            <w:pPr>
              <w:spacing w:after="0" w:line="360" w:lineRule="auto"/>
              <w:rPr>
                <w:rFonts w:ascii="Arial" w:eastAsia="Times New Roman" w:hAnsi="Arial" w:cs="Arial"/>
                <w:b/>
                <w:bCs/>
                <w:color w:val="1F4E79"/>
                <w:sz w:val="26"/>
                <w:szCs w:val="26"/>
                <w:lang w:val="en-US" w:eastAsia="en-US"/>
              </w:rPr>
            </w:pPr>
            <w:r w:rsidRPr="004F2B6F">
              <w:rPr>
                <w:rFonts w:ascii="Arial" w:eastAsia="Times New Roman" w:hAnsi="Arial" w:cs="Arial"/>
                <w:b/>
                <w:bCs/>
                <w:color w:val="1F4E79"/>
                <w:sz w:val="26"/>
                <w:szCs w:val="26"/>
                <w:lang w:val="en-US" w:eastAsia="en-US"/>
              </w:rPr>
              <w:t> </w:t>
            </w:r>
          </w:p>
        </w:tc>
      </w:tr>
      <w:tr w:rsidR="0088157C" w:rsidRPr="004F2B6F" w14:paraId="35273C6C" w14:textId="77777777" w:rsidTr="0088157C">
        <w:trPr>
          <w:trHeight w:val="450"/>
        </w:trPr>
        <w:tc>
          <w:tcPr>
            <w:tcW w:w="3883" w:type="dxa"/>
            <w:tcBorders>
              <w:top w:val="nil"/>
              <w:left w:val="nil"/>
              <w:bottom w:val="nil"/>
              <w:right w:val="nil"/>
            </w:tcBorders>
            <w:shd w:val="clear" w:color="000000" w:fill="E7E6E6"/>
            <w:vAlign w:val="bottom"/>
            <w:hideMark/>
          </w:tcPr>
          <w:p w14:paraId="2C80BAB3"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Current liabilities</w:t>
            </w:r>
          </w:p>
        </w:tc>
        <w:tc>
          <w:tcPr>
            <w:tcW w:w="1208" w:type="dxa"/>
            <w:tcBorders>
              <w:top w:val="nil"/>
              <w:left w:val="nil"/>
              <w:bottom w:val="nil"/>
              <w:right w:val="nil"/>
            </w:tcBorders>
            <w:shd w:val="clear" w:color="000000" w:fill="E7E6E6"/>
            <w:vAlign w:val="bottom"/>
            <w:hideMark/>
          </w:tcPr>
          <w:p w14:paraId="61873054"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1A55F56A"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6EB49063"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20141E9A"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3EE6BE81"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r>
      <w:tr w:rsidR="0088157C" w:rsidRPr="004F2B6F" w14:paraId="30B99F41" w14:textId="77777777" w:rsidTr="0088157C">
        <w:trPr>
          <w:trHeight w:val="450"/>
        </w:trPr>
        <w:tc>
          <w:tcPr>
            <w:tcW w:w="3883" w:type="dxa"/>
            <w:tcBorders>
              <w:top w:val="nil"/>
              <w:left w:val="nil"/>
              <w:bottom w:val="nil"/>
              <w:right w:val="nil"/>
            </w:tcBorders>
            <w:vAlign w:val="bottom"/>
            <w:hideMark/>
          </w:tcPr>
          <w:p w14:paraId="3D45C1BE"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lastRenderedPageBreak/>
              <w:t>Current portion of long-term debt</w:t>
            </w:r>
          </w:p>
        </w:tc>
        <w:tc>
          <w:tcPr>
            <w:tcW w:w="1208" w:type="dxa"/>
            <w:tcBorders>
              <w:top w:val="nil"/>
              <w:left w:val="nil"/>
              <w:bottom w:val="nil"/>
              <w:right w:val="nil"/>
            </w:tcBorders>
            <w:vAlign w:val="bottom"/>
            <w:hideMark/>
          </w:tcPr>
          <w:p w14:paraId="38266CF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1 209</w:t>
            </w:r>
          </w:p>
        </w:tc>
        <w:tc>
          <w:tcPr>
            <w:tcW w:w="1208" w:type="dxa"/>
            <w:tcBorders>
              <w:top w:val="nil"/>
              <w:left w:val="nil"/>
              <w:bottom w:val="nil"/>
              <w:right w:val="nil"/>
            </w:tcBorders>
            <w:vAlign w:val="bottom"/>
            <w:hideMark/>
          </w:tcPr>
          <w:p w14:paraId="352E280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1 309</w:t>
            </w:r>
          </w:p>
        </w:tc>
        <w:tc>
          <w:tcPr>
            <w:tcW w:w="1208" w:type="dxa"/>
            <w:tcBorders>
              <w:top w:val="nil"/>
              <w:left w:val="nil"/>
              <w:bottom w:val="nil"/>
              <w:right w:val="nil"/>
            </w:tcBorders>
            <w:vAlign w:val="bottom"/>
            <w:hideMark/>
          </w:tcPr>
          <w:p w14:paraId="46C168A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553</w:t>
            </w:r>
          </w:p>
        </w:tc>
        <w:tc>
          <w:tcPr>
            <w:tcW w:w="1208" w:type="dxa"/>
            <w:tcBorders>
              <w:top w:val="nil"/>
              <w:left w:val="nil"/>
              <w:bottom w:val="nil"/>
              <w:right w:val="nil"/>
            </w:tcBorders>
            <w:vAlign w:val="bottom"/>
            <w:hideMark/>
          </w:tcPr>
          <w:p w14:paraId="04D8DB0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684</w:t>
            </w:r>
          </w:p>
        </w:tc>
        <w:tc>
          <w:tcPr>
            <w:tcW w:w="1208" w:type="dxa"/>
            <w:tcBorders>
              <w:top w:val="nil"/>
              <w:left w:val="nil"/>
              <w:bottom w:val="nil"/>
              <w:right w:val="nil"/>
            </w:tcBorders>
            <w:vAlign w:val="bottom"/>
            <w:hideMark/>
          </w:tcPr>
          <w:p w14:paraId="0E56BDB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805</w:t>
            </w:r>
          </w:p>
        </w:tc>
      </w:tr>
      <w:tr w:rsidR="0088157C" w:rsidRPr="004F2B6F" w14:paraId="29BC2495" w14:textId="77777777" w:rsidTr="0088157C">
        <w:trPr>
          <w:trHeight w:val="450"/>
        </w:trPr>
        <w:tc>
          <w:tcPr>
            <w:tcW w:w="3883" w:type="dxa"/>
            <w:tcBorders>
              <w:top w:val="nil"/>
              <w:left w:val="nil"/>
              <w:bottom w:val="nil"/>
              <w:right w:val="nil"/>
            </w:tcBorders>
            <w:vAlign w:val="bottom"/>
            <w:hideMark/>
          </w:tcPr>
          <w:p w14:paraId="5C1F3ECD"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Accounts payable</w:t>
            </w:r>
          </w:p>
        </w:tc>
        <w:tc>
          <w:tcPr>
            <w:tcW w:w="1208" w:type="dxa"/>
            <w:tcBorders>
              <w:top w:val="nil"/>
              <w:left w:val="nil"/>
              <w:bottom w:val="nil"/>
              <w:right w:val="nil"/>
            </w:tcBorders>
            <w:vAlign w:val="bottom"/>
            <w:hideMark/>
          </w:tcPr>
          <w:p w14:paraId="35B9358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814</w:t>
            </w:r>
          </w:p>
        </w:tc>
        <w:tc>
          <w:tcPr>
            <w:tcW w:w="1208" w:type="dxa"/>
            <w:tcBorders>
              <w:top w:val="nil"/>
              <w:left w:val="nil"/>
              <w:bottom w:val="nil"/>
              <w:right w:val="nil"/>
            </w:tcBorders>
            <w:vAlign w:val="bottom"/>
            <w:hideMark/>
          </w:tcPr>
          <w:p w14:paraId="1D47944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763</w:t>
            </w:r>
          </w:p>
        </w:tc>
        <w:tc>
          <w:tcPr>
            <w:tcW w:w="1208" w:type="dxa"/>
            <w:tcBorders>
              <w:top w:val="nil"/>
              <w:left w:val="nil"/>
              <w:bottom w:val="nil"/>
              <w:right w:val="nil"/>
            </w:tcBorders>
            <w:vAlign w:val="bottom"/>
            <w:hideMark/>
          </w:tcPr>
          <w:p w14:paraId="5E11050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738</w:t>
            </w:r>
          </w:p>
        </w:tc>
        <w:tc>
          <w:tcPr>
            <w:tcW w:w="1208" w:type="dxa"/>
            <w:tcBorders>
              <w:top w:val="nil"/>
              <w:left w:val="nil"/>
              <w:bottom w:val="nil"/>
              <w:right w:val="nil"/>
            </w:tcBorders>
            <w:vAlign w:val="bottom"/>
            <w:hideMark/>
          </w:tcPr>
          <w:p w14:paraId="4DFB643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746</w:t>
            </w:r>
          </w:p>
        </w:tc>
        <w:tc>
          <w:tcPr>
            <w:tcW w:w="1208" w:type="dxa"/>
            <w:tcBorders>
              <w:top w:val="nil"/>
              <w:left w:val="nil"/>
              <w:bottom w:val="nil"/>
              <w:right w:val="nil"/>
            </w:tcBorders>
            <w:vAlign w:val="bottom"/>
            <w:hideMark/>
          </w:tcPr>
          <w:p w14:paraId="404171E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726</w:t>
            </w:r>
          </w:p>
        </w:tc>
      </w:tr>
      <w:tr w:rsidR="0088157C" w:rsidRPr="004F2B6F" w14:paraId="00E5BC74" w14:textId="77777777" w:rsidTr="0088157C">
        <w:trPr>
          <w:trHeight w:val="450"/>
        </w:trPr>
        <w:tc>
          <w:tcPr>
            <w:tcW w:w="3883" w:type="dxa"/>
            <w:tcBorders>
              <w:top w:val="nil"/>
              <w:left w:val="nil"/>
              <w:bottom w:val="nil"/>
              <w:right w:val="nil"/>
            </w:tcBorders>
            <w:vAlign w:val="bottom"/>
            <w:hideMark/>
          </w:tcPr>
          <w:p w14:paraId="31D4244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Accrued payroll and benefits</w:t>
            </w:r>
          </w:p>
        </w:tc>
        <w:tc>
          <w:tcPr>
            <w:tcW w:w="1208" w:type="dxa"/>
            <w:tcBorders>
              <w:top w:val="nil"/>
              <w:left w:val="nil"/>
              <w:bottom w:val="nil"/>
              <w:right w:val="nil"/>
            </w:tcBorders>
            <w:vAlign w:val="bottom"/>
            <w:hideMark/>
          </w:tcPr>
          <w:p w14:paraId="32814BF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1 438</w:t>
            </w:r>
          </w:p>
        </w:tc>
        <w:tc>
          <w:tcPr>
            <w:tcW w:w="1208" w:type="dxa"/>
            <w:tcBorders>
              <w:top w:val="nil"/>
              <w:left w:val="nil"/>
              <w:bottom w:val="nil"/>
              <w:right w:val="nil"/>
            </w:tcBorders>
            <w:vAlign w:val="bottom"/>
            <w:hideMark/>
          </w:tcPr>
          <w:p w14:paraId="254CA3E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1 449</w:t>
            </w:r>
          </w:p>
        </w:tc>
        <w:tc>
          <w:tcPr>
            <w:tcW w:w="1208" w:type="dxa"/>
            <w:tcBorders>
              <w:top w:val="nil"/>
              <w:left w:val="nil"/>
              <w:bottom w:val="nil"/>
              <w:right w:val="nil"/>
            </w:tcBorders>
            <w:vAlign w:val="bottom"/>
            <w:hideMark/>
          </w:tcPr>
          <w:p w14:paraId="0838352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1 390</w:t>
            </w:r>
          </w:p>
        </w:tc>
        <w:tc>
          <w:tcPr>
            <w:tcW w:w="1208" w:type="dxa"/>
            <w:tcBorders>
              <w:top w:val="nil"/>
              <w:left w:val="nil"/>
              <w:bottom w:val="nil"/>
              <w:right w:val="nil"/>
            </w:tcBorders>
            <w:vAlign w:val="bottom"/>
            <w:hideMark/>
          </w:tcPr>
          <w:p w14:paraId="6F5BCC0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1 299</w:t>
            </w:r>
          </w:p>
        </w:tc>
        <w:tc>
          <w:tcPr>
            <w:tcW w:w="1208" w:type="dxa"/>
            <w:tcBorders>
              <w:top w:val="nil"/>
              <w:left w:val="nil"/>
              <w:bottom w:val="nil"/>
              <w:right w:val="nil"/>
            </w:tcBorders>
            <w:vAlign w:val="bottom"/>
            <w:hideMark/>
          </w:tcPr>
          <w:p w14:paraId="2FAFA8A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1 187</w:t>
            </w:r>
          </w:p>
        </w:tc>
      </w:tr>
      <w:tr w:rsidR="0088157C" w:rsidRPr="004F2B6F" w14:paraId="38CBBD79" w14:textId="77777777" w:rsidTr="0088157C">
        <w:trPr>
          <w:trHeight w:val="450"/>
        </w:trPr>
        <w:tc>
          <w:tcPr>
            <w:tcW w:w="3883" w:type="dxa"/>
            <w:tcBorders>
              <w:top w:val="nil"/>
              <w:left w:val="nil"/>
              <w:bottom w:val="nil"/>
              <w:right w:val="nil"/>
            </w:tcBorders>
            <w:vAlign w:val="bottom"/>
            <w:hideMark/>
          </w:tcPr>
          <w:p w14:paraId="087B60F2"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Liability for guest loyalty program (current)</w:t>
            </w:r>
          </w:p>
        </w:tc>
        <w:tc>
          <w:tcPr>
            <w:tcW w:w="1208" w:type="dxa"/>
            <w:tcBorders>
              <w:top w:val="nil"/>
              <w:left w:val="nil"/>
              <w:bottom w:val="nil"/>
              <w:right w:val="nil"/>
            </w:tcBorders>
            <w:vAlign w:val="bottom"/>
            <w:hideMark/>
          </w:tcPr>
          <w:p w14:paraId="0042DD3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3 497</w:t>
            </w:r>
          </w:p>
        </w:tc>
        <w:tc>
          <w:tcPr>
            <w:tcW w:w="1208" w:type="dxa"/>
            <w:tcBorders>
              <w:top w:val="nil"/>
              <w:left w:val="nil"/>
              <w:bottom w:val="nil"/>
              <w:right w:val="nil"/>
            </w:tcBorders>
            <w:vAlign w:val="bottom"/>
            <w:hideMark/>
          </w:tcPr>
          <w:p w14:paraId="202E2A6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3 487</w:t>
            </w:r>
          </w:p>
        </w:tc>
        <w:tc>
          <w:tcPr>
            <w:tcW w:w="1208" w:type="dxa"/>
            <w:tcBorders>
              <w:top w:val="nil"/>
              <w:left w:val="nil"/>
              <w:bottom w:val="nil"/>
              <w:right w:val="nil"/>
            </w:tcBorders>
            <w:vAlign w:val="bottom"/>
            <w:hideMark/>
          </w:tcPr>
          <w:p w14:paraId="261DFE0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3 328</w:t>
            </w:r>
          </w:p>
        </w:tc>
        <w:tc>
          <w:tcPr>
            <w:tcW w:w="1208" w:type="dxa"/>
            <w:tcBorders>
              <w:top w:val="nil"/>
              <w:left w:val="nil"/>
              <w:bottom w:val="nil"/>
              <w:right w:val="nil"/>
            </w:tcBorders>
            <w:vAlign w:val="bottom"/>
            <w:hideMark/>
          </w:tcPr>
          <w:p w14:paraId="67A68CF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3 314</w:t>
            </w:r>
          </w:p>
        </w:tc>
        <w:tc>
          <w:tcPr>
            <w:tcW w:w="1208" w:type="dxa"/>
            <w:tcBorders>
              <w:top w:val="nil"/>
              <w:left w:val="nil"/>
              <w:bottom w:val="nil"/>
              <w:right w:val="nil"/>
            </w:tcBorders>
            <w:vAlign w:val="bottom"/>
            <w:hideMark/>
          </w:tcPr>
          <w:p w14:paraId="7B7B006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2 522</w:t>
            </w:r>
          </w:p>
        </w:tc>
      </w:tr>
      <w:tr w:rsidR="0088157C" w:rsidRPr="004F2B6F" w14:paraId="389F4879" w14:textId="77777777" w:rsidTr="0088157C">
        <w:trPr>
          <w:trHeight w:val="450"/>
        </w:trPr>
        <w:tc>
          <w:tcPr>
            <w:tcW w:w="3883" w:type="dxa"/>
            <w:tcBorders>
              <w:top w:val="nil"/>
              <w:left w:val="nil"/>
              <w:bottom w:val="nil"/>
              <w:right w:val="nil"/>
            </w:tcBorders>
            <w:vAlign w:val="bottom"/>
            <w:hideMark/>
          </w:tcPr>
          <w:p w14:paraId="7B309236"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Accrued expenses and other</w:t>
            </w:r>
          </w:p>
        </w:tc>
        <w:tc>
          <w:tcPr>
            <w:tcW w:w="1208" w:type="dxa"/>
            <w:tcBorders>
              <w:top w:val="nil"/>
              <w:left w:val="nil"/>
              <w:bottom w:val="nil"/>
              <w:right w:val="nil"/>
            </w:tcBorders>
            <w:vAlign w:val="bottom"/>
            <w:hideMark/>
          </w:tcPr>
          <w:p w14:paraId="116617D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1 440</w:t>
            </w:r>
          </w:p>
        </w:tc>
        <w:tc>
          <w:tcPr>
            <w:tcW w:w="1208" w:type="dxa"/>
            <w:tcBorders>
              <w:top w:val="nil"/>
              <w:left w:val="nil"/>
              <w:bottom w:val="nil"/>
              <w:right w:val="nil"/>
            </w:tcBorders>
            <w:vAlign w:val="bottom"/>
            <w:hideMark/>
          </w:tcPr>
          <w:p w14:paraId="14ADF85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1 641</w:t>
            </w:r>
          </w:p>
        </w:tc>
        <w:tc>
          <w:tcPr>
            <w:tcW w:w="1208" w:type="dxa"/>
            <w:tcBorders>
              <w:top w:val="nil"/>
              <w:left w:val="nil"/>
              <w:bottom w:val="nil"/>
              <w:right w:val="nil"/>
            </w:tcBorders>
            <w:vAlign w:val="bottom"/>
            <w:hideMark/>
          </w:tcPr>
          <w:p w14:paraId="711BE10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1 753</w:t>
            </w:r>
          </w:p>
        </w:tc>
        <w:tc>
          <w:tcPr>
            <w:tcW w:w="1208" w:type="dxa"/>
            <w:tcBorders>
              <w:top w:val="nil"/>
              <w:left w:val="nil"/>
              <w:bottom w:val="nil"/>
              <w:right w:val="nil"/>
            </w:tcBorders>
            <w:vAlign w:val="bottom"/>
            <w:hideMark/>
          </w:tcPr>
          <w:p w14:paraId="55951D8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1 296</w:t>
            </w:r>
          </w:p>
        </w:tc>
        <w:tc>
          <w:tcPr>
            <w:tcW w:w="1208" w:type="dxa"/>
            <w:tcBorders>
              <w:top w:val="nil"/>
              <w:left w:val="nil"/>
              <w:bottom w:val="nil"/>
              <w:right w:val="nil"/>
            </w:tcBorders>
            <w:vAlign w:val="bottom"/>
            <w:hideMark/>
          </w:tcPr>
          <w:p w14:paraId="549A258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1 167</w:t>
            </w:r>
          </w:p>
        </w:tc>
      </w:tr>
      <w:tr w:rsidR="0088157C" w:rsidRPr="004F2B6F" w14:paraId="03472040" w14:textId="77777777" w:rsidTr="0088157C">
        <w:trPr>
          <w:trHeight w:val="450"/>
        </w:trPr>
        <w:tc>
          <w:tcPr>
            <w:tcW w:w="3883" w:type="dxa"/>
            <w:tcBorders>
              <w:top w:val="nil"/>
              <w:left w:val="nil"/>
              <w:bottom w:val="nil"/>
              <w:right w:val="nil"/>
            </w:tcBorders>
            <w:shd w:val="clear" w:color="000000" w:fill="F3F4F6"/>
            <w:vAlign w:val="bottom"/>
            <w:hideMark/>
          </w:tcPr>
          <w:p w14:paraId="51AC10EA"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current liabilities</w:t>
            </w:r>
          </w:p>
        </w:tc>
        <w:tc>
          <w:tcPr>
            <w:tcW w:w="1208" w:type="dxa"/>
            <w:tcBorders>
              <w:top w:val="nil"/>
              <w:left w:val="nil"/>
              <w:bottom w:val="nil"/>
              <w:right w:val="nil"/>
            </w:tcBorders>
            <w:shd w:val="clear" w:color="000000" w:fill="F3F4F6"/>
            <w:vAlign w:val="bottom"/>
            <w:hideMark/>
          </w:tcPr>
          <w:p w14:paraId="5111BB5F"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8 398</w:t>
            </w:r>
          </w:p>
        </w:tc>
        <w:tc>
          <w:tcPr>
            <w:tcW w:w="1208" w:type="dxa"/>
            <w:tcBorders>
              <w:top w:val="nil"/>
              <w:left w:val="nil"/>
              <w:bottom w:val="nil"/>
              <w:right w:val="nil"/>
            </w:tcBorders>
            <w:shd w:val="clear" w:color="000000" w:fill="F3F4F6"/>
            <w:vAlign w:val="bottom"/>
            <w:hideMark/>
          </w:tcPr>
          <w:p w14:paraId="304E079A"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8 649</w:t>
            </w:r>
          </w:p>
        </w:tc>
        <w:tc>
          <w:tcPr>
            <w:tcW w:w="1208" w:type="dxa"/>
            <w:tcBorders>
              <w:top w:val="nil"/>
              <w:left w:val="nil"/>
              <w:bottom w:val="nil"/>
              <w:right w:val="nil"/>
            </w:tcBorders>
            <w:shd w:val="clear" w:color="000000" w:fill="F3F4F6"/>
            <w:vAlign w:val="bottom"/>
            <w:hideMark/>
          </w:tcPr>
          <w:p w14:paraId="3C865B7D"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7 762</w:t>
            </w:r>
          </w:p>
        </w:tc>
        <w:tc>
          <w:tcPr>
            <w:tcW w:w="1208" w:type="dxa"/>
            <w:tcBorders>
              <w:top w:val="nil"/>
              <w:left w:val="nil"/>
              <w:bottom w:val="nil"/>
              <w:right w:val="nil"/>
            </w:tcBorders>
            <w:shd w:val="clear" w:color="000000" w:fill="F3F4F6"/>
            <w:vAlign w:val="bottom"/>
            <w:hideMark/>
          </w:tcPr>
          <w:p w14:paraId="09709B43"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7 339</w:t>
            </w:r>
          </w:p>
        </w:tc>
        <w:tc>
          <w:tcPr>
            <w:tcW w:w="1208" w:type="dxa"/>
            <w:tcBorders>
              <w:top w:val="nil"/>
              <w:left w:val="nil"/>
              <w:bottom w:val="nil"/>
              <w:right w:val="nil"/>
            </w:tcBorders>
            <w:shd w:val="clear" w:color="000000" w:fill="F3F4F6"/>
            <w:vAlign w:val="bottom"/>
            <w:hideMark/>
          </w:tcPr>
          <w:p w14:paraId="40010C71"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6 407</w:t>
            </w:r>
          </w:p>
        </w:tc>
      </w:tr>
      <w:tr w:rsidR="0088157C" w:rsidRPr="004F2B6F" w14:paraId="4E3EF528" w14:textId="77777777" w:rsidTr="0088157C">
        <w:trPr>
          <w:trHeight w:val="450"/>
        </w:trPr>
        <w:tc>
          <w:tcPr>
            <w:tcW w:w="3883" w:type="dxa"/>
            <w:tcBorders>
              <w:top w:val="nil"/>
              <w:left w:val="nil"/>
              <w:bottom w:val="nil"/>
              <w:right w:val="nil"/>
            </w:tcBorders>
            <w:shd w:val="clear" w:color="000000" w:fill="E7E6E6"/>
            <w:vAlign w:val="bottom"/>
            <w:hideMark/>
          </w:tcPr>
          <w:p w14:paraId="5AACD884"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Non-current liabilities</w:t>
            </w:r>
          </w:p>
        </w:tc>
        <w:tc>
          <w:tcPr>
            <w:tcW w:w="1208" w:type="dxa"/>
            <w:tcBorders>
              <w:top w:val="nil"/>
              <w:left w:val="nil"/>
              <w:bottom w:val="nil"/>
              <w:right w:val="nil"/>
            </w:tcBorders>
            <w:shd w:val="clear" w:color="000000" w:fill="E7E6E6"/>
            <w:vAlign w:val="bottom"/>
            <w:hideMark/>
          </w:tcPr>
          <w:p w14:paraId="33FB32AC"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6D3BE7C"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43F7842"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51F55451"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c>
          <w:tcPr>
            <w:tcW w:w="1208" w:type="dxa"/>
            <w:tcBorders>
              <w:top w:val="nil"/>
              <w:left w:val="nil"/>
              <w:bottom w:val="nil"/>
              <w:right w:val="nil"/>
            </w:tcBorders>
            <w:shd w:val="clear" w:color="000000" w:fill="E7E6E6"/>
            <w:vAlign w:val="bottom"/>
            <w:hideMark/>
          </w:tcPr>
          <w:p w14:paraId="4BB0872F" w14:textId="77777777" w:rsidR="0088157C" w:rsidRPr="004F2B6F" w:rsidRDefault="0088157C" w:rsidP="004F2B6F">
            <w:pPr>
              <w:spacing w:after="0" w:line="360" w:lineRule="auto"/>
              <w:rPr>
                <w:rFonts w:ascii="Arial" w:eastAsia="Times New Roman" w:hAnsi="Arial" w:cs="Arial"/>
                <w:b/>
                <w:bCs/>
                <w:i/>
                <w:iCs/>
                <w:sz w:val="22"/>
                <w:szCs w:val="22"/>
                <w:lang w:val="en-US" w:eastAsia="en-US"/>
              </w:rPr>
            </w:pPr>
            <w:r w:rsidRPr="004F2B6F">
              <w:rPr>
                <w:rFonts w:ascii="Arial" w:eastAsia="Times New Roman" w:hAnsi="Arial" w:cs="Arial"/>
                <w:b/>
                <w:bCs/>
                <w:i/>
                <w:iCs/>
                <w:sz w:val="22"/>
                <w:szCs w:val="22"/>
                <w:lang w:val="en-US" w:eastAsia="en-US"/>
              </w:rPr>
              <w:t> </w:t>
            </w:r>
          </w:p>
        </w:tc>
      </w:tr>
      <w:tr w:rsidR="0088157C" w:rsidRPr="004F2B6F" w14:paraId="2D04FAA0" w14:textId="77777777" w:rsidTr="0088157C">
        <w:trPr>
          <w:trHeight w:val="450"/>
        </w:trPr>
        <w:tc>
          <w:tcPr>
            <w:tcW w:w="3883" w:type="dxa"/>
            <w:tcBorders>
              <w:top w:val="nil"/>
              <w:left w:val="nil"/>
              <w:bottom w:val="nil"/>
              <w:right w:val="nil"/>
            </w:tcBorders>
            <w:vAlign w:val="bottom"/>
            <w:hideMark/>
          </w:tcPr>
          <w:p w14:paraId="604FECA0"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Long-term debt</w:t>
            </w:r>
          </w:p>
        </w:tc>
        <w:tc>
          <w:tcPr>
            <w:tcW w:w="1208" w:type="dxa"/>
            <w:tcBorders>
              <w:top w:val="nil"/>
              <w:left w:val="nil"/>
              <w:bottom w:val="nil"/>
              <w:right w:val="nil"/>
            </w:tcBorders>
            <w:vAlign w:val="bottom"/>
            <w:hideMark/>
          </w:tcPr>
          <w:p w14:paraId="7535A1F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14 995</w:t>
            </w:r>
          </w:p>
        </w:tc>
        <w:tc>
          <w:tcPr>
            <w:tcW w:w="1208" w:type="dxa"/>
            <w:tcBorders>
              <w:top w:val="nil"/>
              <w:left w:val="nil"/>
              <w:bottom w:val="nil"/>
              <w:right w:val="nil"/>
            </w:tcBorders>
            <w:vAlign w:val="bottom"/>
            <w:hideMark/>
          </w:tcPr>
          <w:p w14:paraId="2592A95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13 138</w:t>
            </w:r>
          </w:p>
        </w:tc>
        <w:tc>
          <w:tcPr>
            <w:tcW w:w="1208" w:type="dxa"/>
            <w:tcBorders>
              <w:top w:val="nil"/>
              <w:left w:val="nil"/>
              <w:bottom w:val="nil"/>
              <w:right w:val="nil"/>
            </w:tcBorders>
            <w:vAlign w:val="bottom"/>
            <w:hideMark/>
          </w:tcPr>
          <w:p w14:paraId="067836B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11 320</w:t>
            </w:r>
          </w:p>
        </w:tc>
        <w:tc>
          <w:tcPr>
            <w:tcW w:w="1208" w:type="dxa"/>
            <w:tcBorders>
              <w:top w:val="nil"/>
              <w:left w:val="nil"/>
              <w:bottom w:val="nil"/>
              <w:right w:val="nil"/>
            </w:tcBorders>
            <w:vAlign w:val="bottom"/>
            <w:hideMark/>
          </w:tcPr>
          <w:p w14:paraId="4CD7F3D4"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9 380</w:t>
            </w:r>
          </w:p>
        </w:tc>
        <w:tc>
          <w:tcPr>
            <w:tcW w:w="1208" w:type="dxa"/>
            <w:tcBorders>
              <w:top w:val="nil"/>
              <w:left w:val="nil"/>
              <w:bottom w:val="nil"/>
              <w:right w:val="nil"/>
            </w:tcBorders>
            <w:vAlign w:val="bottom"/>
            <w:hideMark/>
          </w:tcPr>
          <w:p w14:paraId="13B1F4B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9 333</w:t>
            </w:r>
          </w:p>
        </w:tc>
      </w:tr>
      <w:tr w:rsidR="0088157C" w:rsidRPr="004F2B6F" w14:paraId="34262754" w14:textId="77777777" w:rsidTr="0088157C">
        <w:trPr>
          <w:trHeight w:val="450"/>
        </w:trPr>
        <w:tc>
          <w:tcPr>
            <w:tcW w:w="3883" w:type="dxa"/>
            <w:tcBorders>
              <w:top w:val="nil"/>
              <w:left w:val="nil"/>
              <w:bottom w:val="nil"/>
              <w:right w:val="nil"/>
            </w:tcBorders>
            <w:vAlign w:val="bottom"/>
            <w:hideMark/>
          </w:tcPr>
          <w:p w14:paraId="330F9B2D"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Liability for guest loyalty program (non-current)</w:t>
            </w:r>
          </w:p>
        </w:tc>
        <w:tc>
          <w:tcPr>
            <w:tcW w:w="1208" w:type="dxa"/>
            <w:tcBorders>
              <w:top w:val="nil"/>
              <w:left w:val="nil"/>
              <w:bottom w:val="nil"/>
              <w:right w:val="nil"/>
            </w:tcBorders>
            <w:vAlign w:val="bottom"/>
            <w:hideMark/>
          </w:tcPr>
          <w:p w14:paraId="78C0D90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4 495</w:t>
            </w:r>
          </w:p>
        </w:tc>
        <w:tc>
          <w:tcPr>
            <w:tcW w:w="1208" w:type="dxa"/>
            <w:tcBorders>
              <w:top w:val="nil"/>
              <w:left w:val="nil"/>
              <w:bottom w:val="nil"/>
              <w:right w:val="nil"/>
            </w:tcBorders>
            <w:vAlign w:val="bottom"/>
            <w:hideMark/>
          </w:tcPr>
          <w:p w14:paraId="1952A68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4 032</w:t>
            </w:r>
          </w:p>
        </w:tc>
        <w:tc>
          <w:tcPr>
            <w:tcW w:w="1208" w:type="dxa"/>
            <w:tcBorders>
              <w:top w:val="nil"/>
              <w:left w:val="nil"/>
              <w:bottom w:val="nil"/>
              <w:right w:val="nil"/>
            </w:tcBorders>
            <w:vAlign w:val="bottom"/>
            <w:hideMark/>
          </w:tcPr>
          <w:p w14:paraId="12CC544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3 678</w:t>
            </w:r>
          </w:p>
        </w:tc>
        <w:tc>
          <w:tcPr>
            <w:tcW w:w="1208" w:type="dxa"/>
            <w:tcBorders>
              <w:top w:val="nil"/>
              <w:left w:val="nil"/>
              <w:bottom w:val="nil"/>
              <w:right w:val="nil"/>
            </w:tcBorders>
            <w:vAlign w:val="bottom"/>
            <w:hideMark/>
          </w:tcPr>
          <w:p w14:paraId="43CAE91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3 280</w:t>
            </w:r>
          </w:p>
        </w:tc>
        <w:tc>
          <w:tcPr>
            <w:tcW w:w="1208" w:type="dxa"/>
            <w:tcBorders>
              <w:top w:val="nil"/>
              <w:left w:val="nil"/>
              <w:bottom w:val="nil"/>
              <w:right w:val="nil"/>
            </w:tcBorders>
            <w:vAlign w:val="bottom"/>
            <w:hideMark/>
          </w:tcPr>
          <w:p w14:paraId="5A5CC60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3 949</w:t>
            </w:r>
          </w:p>
        </w:tc>
      </w:tr>
      <w:tr w:rsidR="0088157C" w:rsidRPr="004F2B6F" w14:paraId="48AA0087" w14:textId="77777777" w:rsidTr="0088157C">
        <w:trPr>
          <w:trHeight w:val="450"/>
        </w:trPr>
        <w:tc>
          <w:tcPr>
            <w:tcW w:w="3883" w:type="dxa"/>
            <w:tcBorders>
              <w:top w:val="nil"/>
              <w:left w:val="nil"/>
              <w:bottom w:val="nil"/>
              <w:right w:val="nil"/>
            </w:tcBorders>
            <w:vAlign w:val="bottom"/>
            <w:hideMark/>
          </w:tcPr>
          <w:p w14:paraId="36BF961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Deferred tax liabilities</w:t>
            </w:r>
          </w:p>
        </w:tc>
        <w:tc>
          <w:tcPr>
            <w:tcW w:w="1208" w:type="dxa"/>
            <w:tcBorders>
              <w:top w:val="nil"/>
              <w:left w:val="nil"/>
              <w:bottom w:val="nil"/>
              <w:right w:val="nil"/>
            </w:tcBorders>
            <w:vAlign w:val="bottom"/>
            <w:hideMark/>
          </w:tcPr>
          <w:p w14:paraId="6EEE8CC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79</w:t>
            </w:r>
          </w:p>
        </w:tc>
        <w:tc>
          <w:tcPr>
            <w:tcW w:w="1208" w:type="dxa"/>
            <w:tcBorders>
              <w:top w:val="nil"/>
              <w:left w:val="nil"/>
              <w:bottom w:val="nil"/>
              <w:right w:val="nil"/>
            </w:tcBorders>
            <w:vAlign w:val="bottom"/>
            <w:hideMark/>
          </w:tcPr>
          <w:p w14:paraId="509BC1F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81</w:t>
            </w:r>
          </w:p>
        </w:tc>
        <w:tc>
          <w:tcPr>
            <w:tcW w:w="1208" w:type="dxa"/>
            <w:tcBorders>
              <w:top w:val="nil"/>
              <w:left w:val="nil"/>
              <w:bottom w:val="nil"/>
              <w:right w:val="nil"/>
            </w:tcBorders>
            <w:vAlign w:val="bottom"/>
            <w:hideMark/>
          </w:tcPr>
          <w:p w14:paraId="026D6E4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209</w:t>
            </w:r>
          </w:p>
        </w:tc>
        <w:tc>
          <w:tcPr>
            <w:tcW w:w="1208" w:type="dxa"/>
            <w:tcBorders>
              <w:top w:val="nil"/>
              <w:left w:val="nil"/>
              <w:bottom w:val="nil"/>
              <w:right w:val="nil"/>
            </w:tcBorders>
            <w:vAlign w:val="bottom"/>
            <w:hideMark/>
          </w:tcPr>
          <w:p w14:paraId="3B2BBD0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313</w:t>
            </w:r>
          </w:p>
        </w:tc>
        <w:tc>
          <w:tcPr>
            <w:tcW w:w="1208" w:type="dxa"/>
            <w:tcBorders>
              <w:top w:val="nil"/>
              <w:left w:val="nil"/>
              <w:bottom w:val="nil"/>
              <w:right w:val="nil"/>
            </w:tcBorders>
            <w:vAlign w:val="bottom"/>
            <w:hideMark/>
          </w:tcPr>
          <w:p w14:paraId="17FFBAB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169</w:t>
            </w:r>
          </w:p>
        </w:tc>
      </w:tr>
      <w:tr w:rsidR="0088157C" w:rsidRPr="004F2B6F" w14:paraId="635BEE99" w14:textId="77777777" w:rsidTr="0088157C">
        <w:trPr>
          <w:trHeight w:val="450"/>
        </w:trPr>
        <w:tc>
          <w:tcPr>
            <w:tcW w:w="3883" w:type="dxa"/>
            <w:tcBorders>
              <w:top w:val="nil"/>
              <w:left w:val="nil"/>
              <w:bottom w:val="nil"/>
              <w:right w:val="nil"/>
            </w:tcBorders>
            <w:vAlign w:val="bottom"/>
            <w:hideMark/>
          </w:tcPr>
          <w:p w14:paraId="3CE307EB"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Deferred revenue</w:t>
            </w:r>
          </w:p>
        </w:tc>
        <w:tc>
          <w:tcPr>
            <w:tcW w:w="1208" w:type="dxa"/>
            <w:tcBorders>
              <w:top w:val="nil"/>
              <w:left w:val="nil"/>
              <w:bottom w:val="nil"/>
              <w:right w:val="nil"/>
            </w:tcBorders>
            <w:vAlign w:val="bottom"/>
            <w:hideMark/>
          </w:tcPr>
          <w:p w14:paraId="6CB3AA2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1 200</w:t>
            </w:r>
          </w:p>
        </w:tc>
        <w:tc>
          <w:tcPr>
            <w:tcW w:w="1208" w:type="dxa"/>
            <w:tcBorders>
              <w:top w:val="nil"/>
              <w:left w:val="nil"/>
              <w:bottom w:val="nil"/>
              <w:right w:val="nil"/>
            </w:tcBorders>
            <w:vAlign w:val="bottom"/>
            <w:hideMark/>
          </w:tcPr>
          <w:p w14:paraId="43933D3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1 103</w:t>
            </w:r>
          </w:p>
        </w:tc>
        <w:tc>
          <w:tcPr>
            <w:tcW w:w="1208" w:type="dxa"/>
            <w:tcBorders>
              <w:top w:val="nil"/>
              <w:left w:val="nil"/>
              <w:bottom w:val="nil"/>
              <w:right w:val="nil"/>
            </w:tcBorders>
            <w:vAlign w:val="bottom"/>
            <w:hideMark/>
          </w:tcPr>
          <w:p w14:paraId="02A100F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1 018</w:t>
            </w:r>
          </w:p>
        </w:tc>
        <w:tc>
          <w:tcPr>
            <w:tcW w:w="1208" w:type="dxa"/>
            <w:tcBorders>
              <w:top w:val="nil"/>
              <w:left w:val="nil"/>
              <w:bottom w:val="nil"/>
              <w:right w:val="nil"/>
            </w:tcBorders>
            <w:vAlign w:val="bottom"/>
            <w:hideMark/>
          </w:tcPr>
          <w:p w14:paraId="75ADBE5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1 059</w:t>
            </w:r>
          </w:p>
        </w:tc>
        <w:tc>
          <w:tcPr>
            <w:tcW w:w="1208" w:type="dxa"/>
            <w:tcBorders>
              <w:top w:val="nil"/>
              <w:left w:val="nil"/>
              <w:bottom w:val="nil"/>
              <w:right w:val="nil"/>
            </w:tcBorders>
            <w:vAlign w:val="bottom"/>
            <w:hideMark/>
          </w:tcPr>
          <w:p w14:paraId="256D0B6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1 181</w:t>
            </w:r>
          </w:p>
        </w:tc>
      </w:tr>
      <w:tr w:rsidR="0088157C" w:rsidRPr="004F2B6F" w14:paraId="4AA90A1C" w14:textId="77777777" w:rsidTr="0088157C">
        <w:trPr>
          <w:trHeight w:val="450"/>
        </w:trPr>
        <w:tc>
          <w:tcPr>
            <w:tcW w:w="3883" w:type="dxa"/>
            <w:tcBorders>
              <w:top w:val="nil"/>
              <w:left w:val="nil"/>
              <w:bottom w:val="nil"/>
              <w:right w:val="nil"/>
            </w:tcBorders>
            <w:vAlign w:val="bottom"/>
            <w:hideMark/>
          </w:tcPr>
          <w:p w14:paraId="58DD3E8B"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Operating lease liabilities</w:t>
            </w:r>
          </w:p>
        </w:tc>
        <w:tc>
          <w:tcPr>
            <w:tcW w:w="1208" w:type="dxa"/>
            <w:tcBorders>
              <w:top w:val="nil"/>
              <w:left w:val="nil"/>
              <w:bottom w:val="nil"/>
              <w:right w:val="nil"/>
            </w:tcBorders>
            <w:vAlign w:val="bottom"/>
            <w:hideMark/>
          </w:tcPr>
          <w:p w14:paraId="3AB547F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879</w:t>
            </w:r>
          </w:p>
        </w:tc>
        <w:tc>
          <w:tcPr>
            <w:tcW w:w="1208" w:type="dxa"/>
            <w:tcBorders>
              <w:top w:val="nil"/>
              <w:left w:val="nil"/>
              <w:bottom w:val="nil"/>
              <w:right w:val="nil"/>
            </w:tcBorders>
            <w:vAlign w:val="bottom"/>
            <w:hideMark/>
          </w:tcPr>
          <w:p w14:paraId="5796B70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794</w:t>
            </w:r>
          </w:p>
        </w:tc>
        <w:tc>
          <w:tcPr>
            <w:tcW w:w="1208" w:type="dxa"/>
            <w:tcBorders>
              <w:top w:val="nil"/>
              <w:left w:val="nil"/>
              <w:bottom w:val="nil"/>
              <w:right w:val="nil"/>
            </w:tcBorders>
            <w:vAlign w:val="bottom"/>
            <w:hideMark/>
          </w:tcPr>
          <w:p w14:paraId="4BF881C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887</w:t>
            </w:r>
          </w:p>
        </w:tc>
        <w:tc>
          <w:tcPr>
            <w:tcW w:w="1208" w:type="dxa"/>
            <w:tcBorders>
              <w:top w:val="nil"/>
              <w:left w:val="nil"/>
              <w:bottom w:val="nil"/>
              <w:right w:val="nil"/>
            </w:tcBorders>
            <w:vAlign w:val="bottom"/>
            <w:hideMark/>
          </w:tcPr>
          <w:p w14:paraId="1796866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1 034</w:t>
            </w:r>
          </w:p>
        </w:tc>
        <w:tc>
          <w:tcPr>
            <w:tcW w:w="1208" w:type="dxa"/>
            <w:tcBorders>
              <w:top w:val="nil"/>
              <w:left w:val="nil"/>
              <w:bottom w:val="nil"/>
              <w:right w:val="nil"/>
            </w:tcBorders>
            <w:vAlign w:val="bottom"/>
            <w:hideMark/>
          </w:tcPr>
          <w:p w14:paraId="04AF0D9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1 098</w:t>
            </w:r>
          </w:p>
        </w:tc>
      </w:tr>
      <w:tr w:rsidR="0088157C" w:rsidRPr="004F2B6F" w14:paraId="50C974AF" w14:textId="77777777" w:rsidTr="0088157C">
        <w:trPr>
          <w:trHeight w:val="450"/>
        </w:trPr>
        <w:tc>
          <w:tcPr>
            <w:tcW w:w="3883" w:type="dxa"/>
            <w:tcBorders>
              <w:top w:val="nil"/>
              <w:left w:val="nil"/>
              <w:bottom w:val="nil"/>
              <w:right w:val="nil"/>
            </w:tcBorders>
            <w:vAlign w:val="bottom"/>
            <w:hideMark/>
          </w:tcPr>
          <w:p w14:paraId="51F5AD1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 noncurrent liabilities</w:t>
            </w:r>
          </w:p>
        </w:tc>
        <w:tc>
          <w:tcPr>
            <w:tcW w:w="1208" w:type="dxa"/>
            <w:tcBorders>
              <w:top w:val="nil"/>
              <w:left w:val="nil"/>
              <w:bottom w:val="nil"/>
              <w:right w:val="nil"/>
            </w:tcBorders>
            <w:vAlign w:val="bottom"/>
            <w:hideMark/>
          </w:tcPr>
          <w:p w14:paraId="58FEFC5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1 265</w:t>
            </w:r>
          </w:p>
        </w:tc>
        <w:tc>
          <w:tcPr>
            <w:tcW w:w="1208" w:type="dxa"/>
            <w:tcBorders>
              <w:top w:val="nil"/>
              <w:left w:val="nil"/>
              <w:bottom w:val="nil"/>
              <w:right w:val="nil"/>
            </w:tcBorders>
            <w:vAlign w:val="bottom"/>
            <w:hideMark/>
          </w:tcPr>
          <w:p w14:paraId="49226D8B"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1 377</w:t>
            </w:r>
          </w:p>
        </w:tc>
        <w:tc>
          <w:tcPr>
            <w:tcW w:w="1208" w:type="dxa"/>
            <w:tcBorders>
              <w:top w:val="nil"/>
              <w:left w:val="nil"/>
              <w:bottom w:val="nil"/>
              <w:right w:val="nil"/>
            </w:tcBorders>
            <w:vAlign w:val="bottom"/>
            <w:hideMark/>
          </w:tcPr>
          <w:p w14:paraId="48D1373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1 482</w:t>
            </w:r>
          </w:p>
        </w:tc>
        <w:tc>
          <w:tcPr>
            <w:tcW w:w="1208" w:type="dxa"/>
            <w:tcBorders>
              <w:top w:val="nil"/>
              <w:left w:val="nil"/>
              <w:bottom w:val="nil"/>
              <w:right w:val="nil"/>
            </w:tcBorders>
            <w:vAlign w:val="bottom"/>
            <w:hideMark/>
          </w:tcPr>
          <w:p w14:paraId="1D407BB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1 842</w:t>
            </w:r>
          </w:p>
        </w:tc>
        <w:tc>
          <w:tcPr>
            <w:tcW w:w="1208" w:type="dxa"/>
            <w:tcBorders>
              <w:top w:val="nil"/>
              <w:left w:val="nil"/>
              <w:bottom w:val="nil"/>
              <w:right w:val="nil"/>
            </w:tcBorders>
            <w:vAlign w:val="bottom"/>
            <w:hideMark/>
          </w:tcPr>
          <w:p w14:paraId="4DD71EE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2 002</w:t>
            </w:r>
          </w:p>
        </w:tc>
      </w:tr>
      <w:tr w:rsidR="0088157C" w:rsidRPr="004F2B6F" w14:paraId="50B90F32" w14:textId="77777777" w:rsidTr="0088157C">
        <w:trPr>
          <w:trHeight w:val="450"/>
        </w:trPr>
        <w:tc>
          <w:tcPr>
            <w:tcW w:w="3883" w:type="dxa"/>
            <w:tcBorders>
              <w:top w:val="nil"/>
              <w:left w:val="nil"/>
              <w:bottom w:val="nil"/>
              <w:right w:val="nil"/>
            </w:tcBorders>
            <w:shd w:val="clear" w:color="000000" w:fill="DDEBF7"/>
            <w:vAlign w:val="bottom"/>
            <w:hideMark/>
          </w:tcPr>
          <w:p w14:paraId="5B8E4593"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LIABILITIES</w:t>
            </w:r>
          </w:p>
        </w:tc>
        <w:tc>
          <w:tcPr>
            <w:tcW w:w="1208" w:type="dxa"/>
            <w:tcBorders>
              <w:top w:val="nil"/>
              <w:left w:val="nil"/>
              <w:bottom w:val="nil"/>
              <w:right w:val="nil"/>
            </w:tcBorders>
            <w:shd w:val="clear" w:color="000000" w:fill="DDEBF7"/>
            <w:vAlign w:val="bottom"/>
            <w:hideMark/>
          </w:tcPr>
          <w:p w14:paraId="7C0FF6B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31 311</w:t>
            </w:r>
          </w:p>
        </w:tc>
        <w:tc>
          <w:tcPr>
            <w:tcW w:w="1208" w:type="dxa"/>
            <w:tcBorders>
              <w:top w:val="nil"/>
              <w:left w:val="nil"/>
              <w:bottom w:val="nil"/>
              <w:right w:val="nil"/>
            </w:tcBorders>
            <w:shd w:val="clear" w:color="000000" w:fill="DDEBF7"/>
            <w:vAlign w:val="bottom"/>
            <w:hideMark/>
          </w:tcPr>
          <w:p w14:paraId="0B797E70"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29 174</w:t>
            </w:r>
          </w:p>
        </w:tc>
        <w:tc>
          <w:tcPr>
            <w:tcW w:w="1208" w:type="dxa"/>
            <w:tcBorders>
              <w:top w:val="nil"/>
              <w:left w:val="nil"/>
              <w:bottom w:val="nil"/>
              <w:right w:val="nil"/>
            </w:tcBorders>
            <w:shd w:val="clear" w:color="000000" w:fill="DDEBF7"/>
            <w:vAlign w:val="bottom"/>
            <w:hideMark/>
          </w:tcPr>
          <w:p w14:paraId="4EF45724"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26 356</w:t>
            </w:r>
          </w:p>
        </w:tc>
        <w:tc>
          <w:tcPr>
            <w:tcW w:w="1208" w:type="dxa"/>
            <w:tcBorders>
              <w:top w:val="nil"/>
              <w:left w:val="nil"/>
              <w:bottom w:val="nil"/>
              <w:right w:val="nil"/>
            </w:tcBorders>
            <w:shd w:val="clear" w:color="000000" w:fill="DDEBF7"/>
            <w:vAlign w:val="bottom"/>
            <w:hideMark/>
          </w:tcPr>
          <w:p w14:paraId="0EBFF2B9"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24 247</w:t>
            </w:r>
          </w:p>
        </w:tc>
        <w:tc>
          <w:tcPr>
            <w:tcW w:w="1208" w:type="dxa"/>
            <w:tcBorders>
              <w:top w:val="nil"/>
              <w:left w:val="nil"/>
              <w:bottom w:val="nil"/>
              <w:right w:val="nil"/>
            </w:tcBorders>
            <w:shd w:val="clear" w:color="000000" w:fill="DDEBF7"/>
            <w:vAlign w:val="bottom"/>
            <w:hideMark/>
          </w:tcPr>
          <w:p w14:paraId="74CF533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24 139</w:t>
            </w:r>
          </w:p>
        </w:tc>
      </w:tr>
      <w:tr w:rsidR="0088157C" w:rsidRPr="004F2B6F" w14:paraId="48B9A5C8" w14:textId="77777777" w:rsidTr="0088157C">
        <w:trPr>
          <w:trHeight w:val="450"/>
        </w:trPr>
        <w:tc>
          <w:tcPr>
            <w:tcW w:w="3883" w:type="dxa"/>
            <w:tcBorders>
              <w:top w:val="nil"/>
              <w:left w:val="nil"/>
              <w:bottom w:val="nil"/>
              <w:right w:val="nil"/>
            </w:tcBorders>
            <w:vAlign w:val="bottom"/>
            <w:hideMark/>
          </w:tcPr>
          <w:p w14:paraId="6688C84E"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p>
        </w:tc>
        <w:tc>
          <w:tcPr>
            <w:tcW w:w="1208" w:type="dxa"/>
            <w:tcBorders>
              <w:top w:val="nil"/>
              <w:left w:val="nil"/>
              <w:bottom w:val="nil"/>
              <w:right w:val="nil"/>
            </w:tcBorders>
            <w:vAlign w:val="bottom"/>
            <w:hideMark/>
          </w:tcPr>
          <w:p w14:paraId="28793BB1" w14:textId="77777777" w:rsidR="0088157C" w:rsidRPr="004F2B6F" w:rsidRDefault="0088157C" w:rsidP="004F2B6F">
            <w:pPr>
              <w:spacing w:after="0" w:line="360" w:lineRule="auto"/>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4DF3C998"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1C89B353"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69B1283A"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4C61384C"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r>
      <w:tr w:rsidR="0088157C" w:rsidRPr="004F2B6F" w14:paraId="26212E14" w14:textId="77777777" w:rsidTr="0088157C">
        <w:trPr>
          <w:trHeight w:val="450"/>
        </w:trPr>
        <w:tc>
          <w:tcPr>
            <w:tcW w:w="3883" w:type="dxa"/>
            <w:tcBorders>
              <w:top w:val="nil"/>
              <w:left w:val="nil"/>
              <w:bottom w:val="nil"/>
              <w:right w:val="nil"/>
            </w:tcBorders>
            <w:shd w:val="clear" w:color="000000" w:fill="FCE4D6"/>
            <w:vAlign w:val="bottom"/>
            <w:hideMark/>
          </w:tcPr>
          <w:p w14:paraId="1519D242"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SHAREHOLDERS' EQUITY (DEFICIT)</w:t>
            </w:r>
          </w:p>
        </w:tc>
        <w:tc>
          <w:tcPr>
            <w:tcW w:w="1208" w:type="dxa"/>
            <w:tcBorders>
              <w:top w:val="nil"/>
              <w:left w:val="nil"/>
              <w:bottom w:val="nil"/>
              <w:right w:val="nil"/>
            </w:tcBorders>
            <w:shd w:val="clear" w:color="000000" w:fill="FCE4D6"/>
            <w:vAlign w:val="bottom"/>
            <w:hideMark/>
          </w:tcPr>
          <w:p w14:paraId="1AA3F755"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 </w:t>
            </w:r>
          </w:p>
        </w:tc>
        <w:tc>
          <w:tcPr>
            <w:tcW w:w="1208" w:type="dxa"/>
            <w:tcBorders>
              <w:top w:val="nil"/>
              <w:left w:val="nil"/>
              <w:bottom w:val="nil"/>
              <w:right w:val="nil"/>
            </w:tcBorders>
            <w:shd w:val="clear" w:color="000000" w:fill="FCE4D6"/>
            <w:vAlign w:val="bottom"/>
            <w:hideMark/>
          </w:tcPr>
          <w:p w14:paraId="1F544B0D"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 </w:t>
            </w:r>
          </w:p>
        </w:tc>
        <w:tc>
          <w:tcPr>
            <w:tcW w:w="1208" w:type="dxa"/>
            <w:tcBorders>
              <w:top w:val="nil"/>
              <w:left w:val="nil"/>
              <w:bottom w:val="nil"/>
              <w:right w:val="nil"/>
            </w:tcBorders>
            <w:shd w:val="clear" w:color="000000" w:fill="FCE4D6"/>
            <w:vAlign w:val="bottom"/>
            <w:hideMark/>
          </w:tcPr>
          <w:p w14:paraId="7FCFFD06"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 </w:t>
            </w:r>
          </w:p>
        </w:tc>
        <w:tc>
          <w:tcPr>
            <w:tcW w:w="1208" w:type="dxa"/>
            <w:tcBorders>
              <w:top w:val="nil"/>
              <w:left w:val="nil"/>
              <w:bottom w:val="nil"/>
              <w:right w:val="nil"/>
            </w:tcBorders>
            <w:shd w:val="clear" w:color="000000" w:fill="FCE4D6"/>
            <w:vAlign w:val="bottom"/>
            <w:hideMark/>
          </w:tcPr>
          <w:p w14:paraId="692ABE12"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 </w:t>
            </w:r>
          </w:p>
        </w:tc>
        <w:tc>
          <w:tcPr>
            <w:tcW w:w="1208" w:type="dxa"/>
            <w:tcBorders>
              <w:top w:val="nil"/>
              <w:left w:val="nil"/>
              <w:bottom w:val="nil"/>
              <w:right w:val="nil"/>
            </w:tcBorders>
            <w:shd w:val="clear" w:color="000000" w:fill="FCE4D6"/>
            <w:vAlign w:val="bottom"/>
            <w:hideMark/>
          </w:tcPr>
          <w:p w14:paraId="27CAB226" w14:textId="77777777" w:rsidR="0088157C" w:rsidRPr="004F2B6F" w:rsidRDefault="0088157C" w:rsidP="004F2B6F">
            <w:pPr>
              <w:spacing w:after="0" w:line="360" w:lineRule="auto"/>
              <w:rPr>
                <w:rFonts w:ascii="Arial" w:eastAsia="Times New Roman" w:hAnsi="Arial" w:cs="Arial"/>
                <w:b/>
                <w:bCs/>
                <w:color w:val="C65911"/>
                <w:sz w:val="26"/>
                <w:szCs w:val="26"/>
                <w:lang w:val="en-US" w:eastAsia="en-US"/>
              </w:rPr>
            </w:pPr>
            <w:r w:rsidRPr="004F2B6F">
              <w:rPr>
                <w:rFonts w:ascii="Arial" w:eastAsia="Times New Roman" w:hAnsi="Arial" w:cs="Arial"/>
                <w:b/>
                <w:bCs/>
                <w:color w:val="C65911"/>
                <w:sz w:val="26"/>
                <w:szCs w:val="26"/>
                <w:lang w:val="en-US" w:eastAsia="en-US"/>
              </w:rPr>
              <w:t> </w:t>
            </w:r>
          </w:p>
        </w:tc>
      </w:tr>
      <w:tr w:rsidR="0088157C" w:rsidRPr="004F2B6F" w14:paraId="5C8B2594" w14:textId="77777777" w:rsidTr="0088157C">
        <w:trPr>
          <w:trHeight w:val="450"/>
        </w:trPr>
        <w:tc>
          <w:tcPr>
            <w:tcW w:w="3883" w:type="dxa"/>
            <w:tcBorders>
              <w:top w:val="nil"/>
              <w:left w:val="nil"/>
              <w:bottom w:val="nil"/>
              <w:right w:val="nil"/>
            </w:tcBorders>
            <w:vAlign w:val="bottom"/>
            <w:hideMark/>
          </w:tcPr>
          <w:p w14:paraId="61F179AC"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Class A Common Stock</w:t>
            </w:r>
          </w:p>
        </w:tc>
        <w:tc>
          <w:tcPr>
            <w:tcW w:w="1208" w:type="dxa"/>
            <w:tcBorders>
              <w:top w:val="nil"/>
              <w:left w:val="nil"/>
              <w:bottom w:val="nil"/>
              <w:right w:val="nil"/>
            </w:tcBorders>
            <w:vAlign w:val="bottom"/>
            <w:hideMark/>
          </w:tcPr>
          <w:p w14:paraId="07D5B57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208" w:type="dxa"/>
            <w:tcBorders>
              <w:top w:val="nil"/>
              <w:left w:val="nil"/>
              <w:bottom w:val="nil"/>
              <w:right w:val="nil"/>
            </w:tcBorders>
            <w:vAlign w:val="bottom"/>
            <w:hideMark/>
          </w:tcPr>
          <w:p w14:paraId="2C9F8B5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208" w:type="dxa"/>
            <w:tcBorders>
              <w:top w:val="nil"/>
              <w:left w:val="nil"/>
              <w:bottom w:val="nil"/>
              <w:right w:val="nil"/>
            </w:tcBorders>
            <w:vAlign w:val="bottom"/>
            <w:hideMark/>
          </w:tcPr>
          <w:p w14:paraId="7FB1852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208" w:type="dxa"/>
            <w:tcBorders>
              <w:top w:val="nil"/>
              <w:left w:val="nil"/>
              <w:bottom w:val="nil"/>
              <w:right w:val="nil"/>
            </w:tcBorders>
            <w:vAlign w:val="bottom"/>
            <w:hideMark/>
          </w:tcPr>
          <w:p w14:paraId="584D6535"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208" w:type="dxa"/>
            <w:tcBorders>
              <w:top w:val="nil"/>
              <w:left w:val="nil"/>
              <w:bottom w:val="nil"/>
              <w:right w:val="nil"/>
            </w:tcBorders>
            <w:vAlign w:val="bottom"/>
            <w:hideMark/>
          </w:tcPr>
          <w:p w14:paraId="2C3085D6"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r>
      <w:tr w:rsidR="0088157C" w:rsidRPr="004F2B6F" w14:paraId="0CC1C164" w14:textId="77777777" w:rsidTr="0088157C">
        <w:trPr>
          <w:trHeight w:val="450"/>
        </w:trPr>
        <w:tc>
          <w:tcPr>
            <w:tcW w:w="3883" w:type="dxa"/>
            <w:tcBorders>
              <w:top w:val="nil"/>
              <w:left w:val="nil"/>
              <w:bottom w:val="nil"/>
              <w:right w:val="nil"/>
            </w:tcBorders>
            <w:vAlign w:val="bottom"/>
            <w:hideMark/>
          </w:tcPr>
          <w:p w14:paraId="612D7981"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Additional paid-in-capital</w:t>
            </w:r>
          </w:p>
        </w:tc>
        <w:tc>
          <w:tcPr>
            <w:tcW w:w="1208" w:type="dxa"/>
            <w:tcBorders>
              <w:top w:val="nil"/>
              <w:left w:val="nil"/>
              <w:bottom w:val="nil"/>
              <w:right w:val="nil"/>
            </w:tcBorders>
            <w:vAlign w:val="bottom"/>
            <w:hideMark/>
          </w:tcPr>
          <w:p w14:paraId="289B226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6 352</w:t>
            </w:r>
          </w:p>
        </w:tc>
        <w:tc>
          <w:tcPr>
            <w:tcW w:w="1208" w:type="dxa"/>
            <w:tcBorders>
              <w:top w:val="nil"/>
              <w:left w:val="nil"/>
              <w:bottom w:val="nil"/>
              <w:right w:val="nil"/>
            </w:tcBorders>
            <w:vAlign w:val="bottom"/>
            <w:hideMark/>
          </w:tcPr>
          <w:p w14:paraId="6284A44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6 179</w:t>
            </w:r>
          </w:p>
        </w:tc>
        <w:tc>
          <w:tcPr>
            <w:tcW w:w="1208" w:type="dxa"/>
            <w:tcBorders>
              <w:top w:val="nil"/>
              <w:left w:val="nil"/>
              <w:bottom w:val="nil"/>
              <w:right w:val="nil"/>
            </w:tcBorders>
            <w:vAlign w:val="bottom"/>
            <w:hideMark/>
          </w:tcPr>
          <w:p w14:paraId="159E711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6 051</w:t>
            </w:r>
          </w:p>
        </w:tc>
        <w:tc>
          <w:tcPr>
            <w:tcW w:w="1208" w:type="dxa"/>
            <w:tcBorders>
              <w:top w:val="nil"/>
              <w:left w:val="nil"/>
              <w:bottom w:val="nil"/>
              <w:right w:val="nil"/>
            </w:tcBorders>
            <w:vAlign w:val="bottom"/>
            <w:hideMark/>
          </w:tcPr>
          <w:p w14:paraId="7A643AA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5 965</w:t>
            </w:r>
          </w:p>
        </w:tc>
        <w:tc>
          <w:tcPr>
            <w:tcW w:w="1208" w:type="dxa"/>
            <w:tcBorders>
              <w:top w:val="nil"/>
              <w:left w:val="nil"/>
              <w:bottom w:val="nil"/>
              <w:right w:val="nil"/>
            </w:tcBorders>
            <w:vAlign w:val="bottom"/>
            <w:hideMark/>
          </w:tcPr>
          <w:p w14:paraId="722B936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5 892</w:t>
            </w:r>
          </w:p>
        </w:tc>
      </w:tr>
      <w:tr w:rsidR="0088157C" w:rsidRPr="004F2B6F" w14:paraId="6268790D" w14:textId="77777777" w:rsidTr="0088157C">
        <w:trPr>
          <w:trHeight w:val="450"/>
        </w:trPr>
        <w:tc>
          <w:tcPr>
            <w:tcW w:w="3883" w:type="dxa"/>
            <w:tcBorders>
              <w:top w:val="nil"/>
              <w:left w:val="nil"/>
              <w:bottom w:val="nil"/>
              <w:right w:val="nil"/>
            </w:tcBorders>
            <w:vAlign w:val="bottom"/>
            <w:hideMark/>
          </w:tcPr>
          <w:p w14:paraId="0024C20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Retained earnings</w:t>
            </w:r>
          </w:p>
        </w:tc>
        <w:tc>
          <w:tcPr>
            <w:tcW w:w="1208" w:type="dxa"/>
            <w:tcBorders>
              <w:top w:val="nil"/>
              <w:left w:val="nil"/>
              <w:bottom w:val="nil"/>
              <w:right w:val="nil"/>
            </w:tcBorders>
            <w:vAlign w:val="bottom"/>
            <w:hideMark/>
          </w:tcPr>
          <w:p w14:paraId="1D33DF2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18 414</w:t>
            </w:r>
          </w:p>
        </w:tc>
        <w:tc>
          <w:tcPr>
            <w:tcW w:w="1208" w:type="dxa"/>
            <w:tcBorders>
              <w:top w:val="nil"/>
              <w:left w:val="nil"/>
              <w:bottom w:val="nil"/>
              <w:right w:val="nil"/>
            </w:tcBorders>
            <w:vAlign w:val="bottom"/>
            <w:hideMark/>
          </w:tcPr>
          <w:p w14:paraId="6A03E05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16 531</w:t>
            </w:r>
          </w:p>
        </w:tc>
        <w:tc>
          <w:tcPr>
            <w:tcW w:w="1208" w:type="dxa"/>
            <w:tcBorders>
              <w:top w:val="nil"/>
              <w:left w:val="nil"/>
              <w:bottom w:val="nil"/>
              <w:right w:val="nil"/>
            </w:tcBorders>
            <w:vAlign w:val="bottom"/>
            <w:hideMark/>
          </w:tcPr>
          <w:p w14:paraId="31C31CD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14 838</w:t>
            </w:r>
          </w:p>
        </w:tc>
        <w:tc>
          <w:tcPr>
            <w:tcW w:w="1208" w:type="dxa"/>
            <w:tcBorders>
              <w:top w:val="nil"/>
              <w:left w:val="nil"/>
              <w:bottom w:val="nil"/>
              <w:right w:val="nil"/>
            </w:tcBorders>
            <w:vAlign w:val="bottom"/>
            <w:hideMark/>
          </w:tcPr>
          <w:p w14:paraId="253526EA"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12 342</w:t>
            </w:r>
          </w:p>
        </w:tc>
        <w:tc>
          <w:tcPr>
            <w:tcW w:w="1208" w:type="dxa"/>
            <w:tcBorders>
              <w:top w:val="nil"/>
              <w:left w:val="nil"/>
              <w:bottom w:val="nil"/>
              <w:right w:val="nil"/>
            </w:tcBorders>
            <w:vAlign w:val="bottom"/>
            <w:hideMark/>
          </w:tcPr>
          <w:p w14:paraId="0322A033"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10 305</w:t>
            </w:r>
          </w:p>
        </w:tc>
      </w:tr>
      <w:tr w:rsidR="0088157C" w:rsidRPr="004F2B6F" w14:paraId="408805D7" w14:textId="77777777" w:rsidTr="0088157C">
        <w:trPr>
          <w:trHeight w:val="450"/>
        </w:trPr>
        <w:tc>
          <w:tcPr>
            <w:tcW w:w="3883" w:type="dxa"/>
            <w:tcBorders>
              <w:top w:val="nil"/>
              <w:left w:val="nil"/>
              <w:bottom w:val="nil"/>
              <w:right w:val="nil"/>
            </w:tcBorders>
            <w:vAlign w:val="bottom"/>
            <w:hideMark/>
          </w:tcPr>
          <w:p w14:paraId="5CF8CE3A"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Treasury stock, at cost</w:t>
            </w:r>
          </w:p>
        </w:tc>
        <w:tc>
          <w:tcPr>
            <w:tcW w:w="1208" w:type="dxa"/>
            <w:tcBorders>
              <w:top w:val="nil"/>
              <w:left w:val="nil"/>
              <w:bottom w:val="nil"/>
              <w:right w:val="nil"/>
            </w:tcBorders>
            <w:vAlign w:val="bottom"/>
            <w:hideMark/>
          </w:tcPr>
          <w:p w14:paraId="500C6421"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(27 900)</w:t>
            </w:r>
          </w:p>
        </w:tc>
        <w:tc>
          <w:tcPr>
            <w:tcW w:w="1208" w:type="dxa"/>
            <w:tcBorders>
              <w:top w:val="nil"/>
              <w:left w:val="nil"/>
              <w:bottom w:val="nil"/>
              <w:right w:val="nil"/>
            </w:tcBorders>
            <w:vAlign w:val="bottom"/>
            <w:hideMark/>
          </w:tcPr>
          <w:p w14:paraId="066A36C2"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(24 644)</w:t>
            </w:r>
          </w:p>
        </w:tc>
        <w:tc>
          <w:tcPr>
            <w:tcW w:w="1208" w:type="dxa"/>
            <w:tcBorders>
              <w:top w:val="nil"/>
              <w:left w:val="nil"/>
              <w:bottom w:val="nil"/>
              <w:right w:val="nil"/>
            </w:tcBorders>
            <w:vAlign w:val="bottom"/>
            <w:hideMark/>
          </w:tcPr>
          <w:p w14:paraId="33C3721D"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(20 929)</w:t>
            </w:r>
          </w:p>
        </w:tc>
        <w:tc>
          <w:tcPr>
            <w:tcW w:w="1208" w:type="dxa"/>
            <w:tcBorders>
              <w:top w:val="nil"/>
              <w:left w:val="nil"/>
              <w:bottom w:val="nil"/>
              <w:right w:val="nil"/>
            </w:tcBorders>
            <w:vAlign w:val="bottom"/>
            <w:hideMark/>
          </w:tcPr>
          <w:p w14:paraId="6BFDA0DE"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(17 015)</w:t>
            </w:r>
          </w:p>
        </w:tc>
        <w:tc>
          <w:tcPr>
            <w:tcW w:w="1208" w:type="dxa"/>
            <w:tcBorders>
              <w:top w:val="nil"/>
              <w:left w:val="nil"/>
              <w:bottom w:val="nil"/>
              <w:right w:val="nil"/>
            </w:tcBorders>
            <w:vAlign w:val="bottom"/>
            <w:hideMark/>
          </w:tcPr>
          <w:p w14:paraId="7C1158C9"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(14 446)</w:t>
            </w:r>
          </w:p>
        </w:tc>
      </w:tr>
      <w:tr w:rsidR="0088157C" w:rsidRPr="004F2B6F" w14:paraId="59F10647" w14:textId="77777777" w:rsidTr="0088157C">
        <w:trPr>
          <w:trHeight w:val="450"/>
        </w:trPr>
        <w:tc>
          <w:tcPr>
            <w:tcW w:w="3883" w:type="dxa"/>
            <w:tcBorders>
              <w:top w:val="nil"/>
              <w:left w:val="nil"/>
              <w:bottom w:val="nil"/>
              <w:right w:val="nil"/>
            </w:tcBorders>
            <w:vAlign w:val="bottom"/>
            <w:hideMark/>
          </w:tcPr>
          <w:p w14:paraId="3D54D575" w14:textId="77777777" w:rsidR="0088157C" w:rsidRPr="004F2B6F" w:rsidRDefault="0088157C"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Accumulated other comprehensive loss</w:t>
            </w:r>
          </w:p>
        </w:tc>
        <w:tc>
          <w:tcPr>
            <w:tcW w:w="1208" w:type="dxa"/>
            <w:tcBorders>
              <w:top w:val="nil"/>
              <w:left w:val="nil"/>
              <w:bottom w:val="nil"/>
              <w:right w:val="nil"/>
            </w:tcBorders>
            <w:vAlign w:val="bottom"/>
            <w:hideMark/>
          </w:tcPr>
          <w:p w14:paraId="7A8DC6DC"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(642)</w:t>
            </w:r>
          </w:p>
        </w:tc>
        <w:tc>
          <w:tcPr>
            <w:tcW w:w="1208" w:type="dxa"/>
            <w:tcBorders>
              <w:top w:val="nil"/>
              <w:left w:val="nil"/>
              <w:bottom w:val="nil"/>
              <w:right w:val="nil"/>
            </w:tcBorders>
            <w:vAlign w:val="bottom"/>
            <w:hideMark/>
          </w:tcPr>
          <w:p w14:paraId="2C12F290"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(1 063)</w:t>
            </w:r>
          </w:p>
        </w:tc>
        <w:tc>
          <w:tcPr>
            <w:tcW w:w="1208" w:type="dxa"/>
            <w:tcBorders>
              <w:top w:val="nil"/>
              <w:left w:val="nil"/>
              <w:bottom w:val="nil"/>
              <w:right w:val="nil"/>
            </w:tcBorders>
            <w:vAlign w:val="bottom"/>
            <w:hideMark/>
          </w:tcPr>
          <w:p w14:paraId="6DF055E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(647)</w:t>
            </w:r>
          </w:p>
        </w:tc>
        <w:tc>
          <w:tcPr>
            <w:tcW w:w="1208" w:type="dxa"/>
            <w:tcBorders>
              <w:top w:val="nil"/>
              <w:left w:val="nil"/>
              <w:bottom w:val="nil"/>
              <w:right w:val="nil"/>
            </w:tcBorders>
            <w:vAlign w:val="bottom"/>
            <w:hideMark/>
          </w:tcPr>
          <w:p w14:paraId="381C65B8"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(729)</w:t>
            </w:r>
          </w:p>
        </w:tc>
        <w:tc>
          <w:tcPr>
            <w:tcW w:w="1208" w:type="dxa"/>
            <w:tcBorders>
              <w:top w:val="nil"/>
              <w:left w:val="nil"/>
              <w:bottom w:val="nil"/>
              <w:right w:val="nil"/>
            </w:tcBorders>
            <w:vAlign w:val="bottom"/>
            <w:hideMark/>
          </w:tcPr>
          <w:p w14:paraId="347725C7" w14:textId="77777777" w:rsidR="0088157C" w:rsidRPr="004F2B6F" w:rsidRDefault="0088157C"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(342)</w:t>
            </w:r>
          </w:p>
        </w:tc>
      </w:tr>
      <w:tr w:rsidR="0088157C" w:rsidRPr="004F2B6F" w14:paraId="3B5459DA" w14:textId="77777777" w:rsidTr="0088157C">
        <w:trPr>
          <w:trHeight w:val="450"/>
        </w:trPr>
        <w:tc>
          <w:tcPr>
            <w:tcW w:w="3883" w:type="dxa"/>
            <w:tcBorders>
              <w:top w:val="nil"/>
              <w:left w:val="nil"/>
              <w:bottom w:val="nil"/>
              <w:right w:val="nil"/>
            </w:tcBorders>
            <w:shd w:val="clear" w:color="000000" w:fill="FCE4D6"/>
            <w:vAlign w:val="bottom"/>
            <w:hideMark/>
          </w:tcPr>
          <w:p w14:paraId="0E8ABA79" w14:textId="77777777" w:rsidR="0088157C" w:rsidRPr="004F2B6F" w:rsidRDefault="0088157C"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SHAREHOLDERS' EQUITY (DEFICIT)</w:t>
            </w:r>
          </w:p>
        </w:tc>
        <w:tc>
          <w:tcPr>
            <w:tcW w:w="1208" w:type="dxa"/>
            <w:tcBorders>
              <w:top w:val="nil"/>
              <w:left w:val="nil"/>
              <w:bottom w:val="nil"/>
              <w:right w:val="nil"/>
            </w:tcBorders>
            <w:shd w:val="clear" w:color="000000" w:fill="FCE4D6"/>
            <w:vAlign w:val="bottom"/>
            <w:hideMark/>
          </w:tcPr>
          <w:p w14:paraId="7B205DEA"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(3 771)</w:t>
            </w:r>
          </w:p>
        </w:tc>
        <w:tc>
          <w:tcPr>
            <w:tcW w:w="1208" w:type="dxa"/>
            <w:tcBorders>
              <w:top w:val="nil"/>
              <w:left w:val="nil"/>
              <w:bottom w:val="nil"/>
              <w:right w:val="nil"/>
            </w:tcBorders>
            <w:shd w:val="clear" w:color="000000" w:fill="FCE4D6"/>
            <w:vAlign w:val="bottom"/>
            <w:hideMark/>
          </w:tcPr>
          <w:p w14:paraId="23BFCF6C"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(2 992)</w:t>
            </w:r>
          </w:p>
        </w:tc>
        <w:tc>
          <w:tcPr>
            <w:tcW w:w="1208" w:type="dxa"/>
            <w:tcBorders>
              <w:top w:val="nil"/>
              <w:left w:val="nil"/>
              <w:bottom w:val="nil"/>
              <w:right w:val="nil"/>
            </w:tcBorders>
            <w:shd w:val="clear" w:color="000000" w:fill="FCE4D6"/>
            <w:vAlign w:val="bottom"/>
            <w:hideMark/>
          </w:tcPr>
          <w:p w14:paraId="10852DFD"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(682)</w:t>
            </w:r>
          </w:p>
        </w:tc>
        <w:tc>
          <w:tcPr>
            <w:tcW w:w="1208" w:type="dxa"/>
            <w:tcBorders>
              <w:top w:val="nil"/>
              <w:left w:val="nil"/>
              <w:bottom w:val="nil"/>
              <w:right w:val="nil"/>
            </w:tcBorders>
            <w:shd w:val="clear" w:color="000000" w:fill="FCE4D6"/>
            <w:vAlign w:val="bottom"/>
            <w:hideMark/>
          </w:tcPr>
          <w:p w14:paraId="60420EE3"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568</w:t>
            </w:r>
          </w:p>
        </w:tc>
        <w:tc>
          <w:tcPr>
            <w:tcW w:w="1208" w:type="dxa"/>
            <w:tcBorders>
              <w:top w:val="nil"/>
              <w:left w:val="nil"/>
              <w:bottom w:val="nil"/>
              <w:right w:val="nil"/>
            </w:tcBorders>
            <w:shd w:val="clear" w:color="000000" w:fill="FCE4D6"/>
            <w:vAlign w:val="bottom"/>
            <w:hideMark/>
          </w:tcPr>
          <w:p w14:paraId="6141FB58" w14:textId="77777777" w:rsidR="0088157C" w:rsidRPr="004F2B6F" w:rsidRDefault="0088157C"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1 414</w:t>
            </w:r>
          </w:p>
        </w:tc>
      </w:tr>
      <w:tr w:rsidR="0088157C" w:rsidRPr="004F2B6F" w14:paraId="54BF9FFE" w14:textId="77777777" w:rsidTr="0088157C">
        <w:trPr>
          <w:trHeight w:val="450"/>
        </w:trPr>
        <w:tc>
          <w:tcPr>
            <w:tcW w:w="3883" w:type="dxa"/>
            <w:tcBorders>
              <w:top w:val="nil"/>
              <w:left w:val="nil"/>
              <w:bottom w:val="nil"/>
              <w:right w:val="nil"/>
            </w:tcBorders>
            <w:shd w:val="clear" w:color="000000" w:fill="1F4E78"/>
            <w:vAlign w:val="bottom"/>
            <w:hideMark/>
          </w:tcPr>
          <w:p w14:paraId="526045D3" w14:textId="77777777" w:rsidR="0088157C" w:rsidRPr="004F2B6F" w:rsidRDefault="0088157C"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TOTAL LIABILITIES &amp; SHAREHOLDERS' EQUITY</w:t>
            </w:r>
          </w:p>
        </w:tc>
        <w:tc>
          <w:tcPr>
            <w:tcW w:w="1208" w:type="dxa"/>
            <w:tcBorders>
              <w:top w:val="nil"/>
              <w:left w:val="nil"/>
              <w:bottom w:val="nil"/>
              <w:right w:val="nil"/>
            </w:tcBorders>
            <w:shd w:val="clear" w:color="000000" w:fill="1F4E78"/>
            <w:vAlign w:val="bottom"/>
            <w:hideMark/>
          </w:tcPr>
          <w:p w14:paraId="5263A13E"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27 540</w:t>
            </w:r>
          </w:p>
        </w:tc>
        <w:tc>
          <w:tcPr>
            <w:tcW w:w="1208" w:type="dxa"/>
            <w:tcBorders>
              <w:top w:val="nil"/>
              <w:left w:val="nil"/>
              <w:bottom w:val="nil"/>
              <w:right w:val="nil"/>
            </w:tcBorders>
            <w:shd w:val="clear" w:color="000000" w:fill="1F4E78"/>
            <w:vAlign w:val="bottom"/>
            <w:hideMark/>
          </w:tcPr>
          <w:p w14:paraId="532DAF73"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26 182</w:t>
            </w:r>
          </w:p>
        </w:tc>
        <w:tc>
          <w:tcPr>
            <w:tcW w:w="1208" w:type="dxa"/>
            <w:tcBorders>
              <w:top w:val="nil"/>
              <w:left w:val="nil"/>
              <w:bottom w:val="nil"/>
              <w:right w:val="nil"/>
            </w:tcBorders>
            <w:shd w:val="clear" w:color="000000" w:fill="1F4E78"/>
            <w:vAlign w:val="bottom"/>
            <w:hideMark/>
          </w:tcPr>
          <w:p w14:paraId="1AB0A625"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25 674</w:t>
            </w:r>
          </w:p>
        </w:tc>
        <w:tc>
          <w:tcPr>
            <w:tcW w:w="1208" w:type="dxa"/>
            <w:tcBorders>
              <w:top w:val="nil"/>
              <w:left w:val="nil"/>
              <w:bottom w:val="nil"/>
              <w:right w:val="nil"/>
            </w:tcBorders>
            <w:shd w:val="clear" w:color="000000" w:fill="1F4E78"/>
            <w:vAlign w:val="bottom"/>
            <w:hideMark/>
          </w:tcPr>
          <w:p w14:paraId="05E2AB58"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24 815</w:t>
            </w:r>
          </w:p>
        </w:tc>
        <w:tc>
          <w:tcPr>
            <w:tcW w:w="1208" w:type="dxa"/>
            <w:tcBorders>
              <w:top w:val="nil"/>
              <w:left w:val="nil"/>
              <w:bottom w:val="nil"/>
              <w:right w:val="nil"/>
            </w:tcBorders>
            <w:shd w:val="clear" w:color="000000" w:fill="1F4E78"/>
            <w:vAlign w:val="bottom"/>
            <w:hideMark/>
          </w:tcPr>
          <w:p w14:paraId="63D3F089"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25 553</w:t>
            </w:r>
          </w:p>
        </w:tc>
      </w:tr>
      <w:tr w:rsidR="0088157C" w:rsidRPr="004F2B6F" w14:paraId="6FA13E33" w14:textId="77777777" w:rsidTr="0088157C">
        <w:trPr>
          <w:trHeight w:val="450"/>
        </w:trPr>
        <w:tc>
          <w:tcPr>
            <w:tcW w:w="3883" w:type="dxa"/>
            <w:tcBorders>
              <w:top w:val="nil"/>
              <w:left w:val="nil"/>
              <w:bottom w:val="nil"/>
              <w:right w:val="nil"/>
            </w:tcBorders>
            <w:vAlign w:val="bottom"/>
            <w:hideMark/>
          </w:tcPr>
          <w:p w14:paraId="5669C683" w14:textId="77777777" w:rsidR="0088157C" w:rsidRPr="004F2B6F" w:rsidRDefault="0088157C" w:rsidP="004F2B6F">
            <w:pPr>
              <w:spacing w:after="0" w:line="360" w:lineRule="auto"/>
              <w:jc w:val="right"/>
              <w:rPr>
                <w:rFonts w:ascii="Arial" w:eastAsia="Times New Roman" w:hAnsi="Arial" w:cs="Arial"/>
                <w:b/>
                <w:bCs/>
                <w:color w:val="FFFFFF"/>
                <w:sz w:val="22"/>
                <w:szCs w:val="22"/>
                <w:lang w:val="en-US" w:eastAsia="en-US"/>
              </w:rPr>
            </w:pPr>
          </w:p>
        </w:tc>
        <w:tc>
          <w:tcPr>
            <w:tcW w:w="1208" w:type="dxa"/>
            <w:tcBorders>
              <w:top w:val="nil"/>
              <w:left w:val="nil"/>
              <w:bottom w:val="nil"/>
              <w:right w:val="nil"/>
            </w:tcBorders>
            <w:vAlign w:val="bottom"/>
            <w:hideMark/>
          </w:tcPr>
          <w:p w14:paraId="32F1775E" w14:textId="77777777" w:rsidR="0088157C" w:rsidRPr="004F2B6F" w:rsidRDefault="0088157C" w:rsidP="004F2B6F">
            <w:pPr>
              <w:spacing w:after="0" w:line="360" w:lineRule="auto"/>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747D1A93"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7E7179E7"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625E8089"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c>
          <w:tcPr>
            <w:tcW w:w="1208" w:type="dxa"/>
            <w:tcBorders>
              <w:top w:val="nil"/>
              <w:left w:val="nil"/>
              <w:bottom w:val="nil"/>
              <w:right w:val="nil"/>
            </w:tcBorders>
            <w:vAlign w:val="bottom"/>
            <w:hideMark/>
          </w:tcPr>
          <w:p w14:paraId="5E75FE14"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p>
        </w:tc>
      </w:tr>
      <w:tr w:rsidR="0088157C" w:rsidRPr="004F2B6F" w14:paraId="2499D326" w14:textId="77777777" w:rsidTr="0088157C">
        <w:trPr>
          <w:trHeight w:val="450"/>
        </w:trPr>
        <w:tc>
          <w:tcPr>
            <w:tcW w:w="3883" w:type="dxa"/>
            <w:tcBorders>
              <w:top w:val="nil"/>
              <w:left w:val="nil"/>
              <w:bottom w:val="nil"/>
              <w:right w:val="nil"/>
            </w:tcBorders>
            <w:shd w:val="clear" w:color="000000" w:fill="FFF2CC"/>
            <w:vAlign w:val="bottom"/>
            <w:hideMark/>
          </w:tcPr>
          <w:p w14:paraId="17DC0AD0" w14:textId="77777777" w:rsidR="0088157C" w:rsidRPr="004F2B6F" w:rsidRDefault="0088157C" w:rsidP="004F2B6F">
            <w:pPr>
              <w:spacing w:after="0" w:line="360" w:lineRule="auto"/>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Source</w:t>
            </w:r>
          </w:p>
        </w:tc>
        <w:tc>
          <w:tcPr>
            <w:tcW w:w="6040" w:type="dxa"/>
            <w:gridSpan w:val="5"/>
            <w:tcBorders>
              <w:top w:val="nil"/>
              <w:left w:val="nil"/>
              <w:bottom w:val="nil"/>
              <w:right w:val="nil"/>
            </w:tcBorders>
            <w:shd w:val="clear" w:color="000000" w:fill="FFF2CC"/>
            <w:vAlign w:val="bottom"/>
            <w:hideMark/>
          </w:tcPr>
          <w:p w14:paraId="6F9790C5"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Marriott International Annual Reports 2021-2025, Consolidated Balance Sheets</w:t>
            </w:r>
          </w:p>
        </w:tc>
      </w:tr>
      <w:tr w:rsidR="0088157C" w:rsidRPr="004F2B6F" w14:paraId="3620595A" w14:textId="77777777" w:rsidTr="0088157C">
        <w:trPr>
          <w:trHeight w:val="450"/>
        </w:trPr>
        <w:tc>
          <w:tcPr>
            <w:tcW w:w="3883" w:type="dxa"/>
            <w:tcBorders>
              <w:top w:val="nil"/>
              <w:left w:val="nil"/>
              <w:bottom w:val="nil"/>
              <w:right w:val="nil"/>
            </w:tcBorders>
            <w:shd w:val="clear" w:color="000000" w:fill="FFF2CC"/>
            <w:vAlign w:val="bottom"/>
            <w:hideMark/>
          </w:tcPr>
          <w:p w14:paraId="3C461CC4" w14:textId="77777777" w:rsidR="0088157C" w:rsidRPr="004F2B6F" w:rsidRDefault="0088157C" w:rsidP="004F2B6F">
            <w:pPr>
              <w:spacing w:after="0" w:line="360" w:lineRule="auto"/>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Official annual reports page</w:t>
            </w:r>
          </w:p>
        </w:tc>
        <w:tc>
          <w:tcPr>
            <w:tcW w:w="6040" w:type="dxa"/>
            <w:gridSpan w:val="5"/>
            <w:tcBorders>
              <w:top w:val="nil"/>
              <w:left w:val="nil"/>
              <w:bottom w:val="nil"/>
              <w:right w:val="nil"/>
            </w:tcBorders>
            <w:shd w:val="clear" w:color="000000" w:fill="FFF2CC"/>
            <w:vAlign w:val="bottom"/>
            <w:hideMark/>
          </w:tcPr>
          <w:p w14:paraId="68CA5B60" w14:textId="77777777" w:rsidR="0088157C" w:rsidRPr="004F2B6F" w:rsidRDefault="0088157C" w:rsidP="004F2B6F">
            <w:pPr>
              <w:spacing w:after="0" w:line="360" w:lineRule="auto"/>
              <w:jc w:val="right"/>
              <w:rPr>
                <w:rFonts w:ascii="Arial" w:eastAsia="Times New Roman" w:hAnsi="Arial" w:cs="Arial"/>
                <w:sz w:val="20"/>
                <w:szCs w:val="20"/>
                <w:lang w:val="en-US" w:eastAsia="en-US"/>
              </w:rPr>
            </w:pPr>
            <w:r w:rsidRPr="004F2B6F">
              <w:rPr>
                <w:rFonts w:ascii="Arial" w:eastAsia="Times New Roman" w:hAnsi="Arial" w:cs="Arial"/>
                <w:sz w:val="20"/>
                <w:szCs w:val="20"/>
                <w:lang w:val="en-US" w:eastAsia="en-US"/>
              </w:rPr>
              <w:t>https://marriott.gcs-web.com/annual</w:t>
            </w:r>
          </w:p>
        </w:tc>
      </w:tr>
    </w:tbl>
    <w:p w14:paraId="23B43444" w14:textId="77777777" w:rsidR="00B9519C" w:rsidRPr="004F2B6F" w:rsidRDefault="00B9519C" w:rsidP="004F2B6F">
      <w:pPr>
        <w:spacing w:line="360" w:lineRule="auto"/>
        <w:rPr>
          <w:rFonts w:ascii="Arial" w:hAnsi="Arial" w:cs="Arial"/>
          <w:b/>
          <w:bCs/>
          <w:lang w:val="en-US"/>
        </w:rPr>
      </w:pPr>
      <w:r w:rsidRPr="004F2B6F">
        <w:rPr>
          <w:rFonts w:ascii="Arial" w:hAnsi="Arial" w:cs="Arial"/>
          <w:b/>
          <w:bCs/>
          <w:lang w:val="en-US"/>
        </w:rPr>
        <w:lastRenderedPageBreak/>
        <w:t>Appendix C – Consolidated Statements of Cash Flows (2021–2025)</w:t>
      </w:r>
    </w:p>
    <w:p w14:paraId="07E411FC" w14:textId="54150383" w:rsidR="0088157C" w:rsidRPr="004F2B6F" w:rsidRDefault="00377CA9" w:rsidP="004F2B6F">
      <w:pPr>
        <w:spacing w:line="360" w:lineRule="auto"/>
        <w:rPr>
          <w:rFonts w:ascii="Arial" w:hAnsi="Arial" w:cs="Arial"/>
          <w:b/>
          <w:bCs/>
          <w:lang w:val="en-US"/>
        </w:rPr>
      </w:pPr>
      <w:r w:rsidRPr="004F2B6F">
        <w:rPr>
          <w:rFonts w:ascii="Arial" w:hAnsi="Arial" w:cs="Arial"/>
          <w:b/>
          <w:bCs/>
        </w:rPr>
        <w:t>Table C1. Consolidated Statement of Cash Flows (2021–2025). Source: Marriott International Annual Reports and author.</w:t>
      </w:r>
    </w:p>
    <w:tbl>
      <w:tblPr>
        <w:tblW w:w="9800" w:type="dxa"/>
        <w:tblLook w:val="04A0" w:firstRow="1" w:lastRow="0" w:firstColumn="1" w:lastColumn="0" w:noHBand="0" w:noVBand="1"/>
      </w:tblPr>
      <w:tblGrid>
        <w:gridCol w:w="4164"/>
        <w:gridCol w:w="1133"/>
        <w:gridCol w:w="1133"/>
        <w:gridCol w:w="1133"/>
        <w:gridCol w:w="1103"/>
        <w:gridCol w:w="1134"/>
      </w:tblGrid>
      <w:tr w:rsidR="004A45B0" w:rsidRPr="004F2B6F" w14:paraId="2B775347" w14:textId="77777777" w:rsidTr="004A45B0">
        <w:trPr>
          <w:trHeight w:val="287"/>
        </w:trPr>
        <w:tc>
          <w:tcPr>
            <w:tcW w:w="9800" w:type="dxa"/>
            <w:gridSpan w:val="6"/>
            <w:tcBorders>
              <w:top w:val="nil"/>
              <w:left w:val="nil"/>
              <w:bottom w:val="nil"/>
              <w:right w:val="nil"/>
            </w:tcBorders>
            <w:shd w:val="clear" w:color="000000" w:fill="1F4E78"/>
            <w:vAlign w:val="center"/>
            <w:hideMark/>
          </w:tcPr>
          <w:p w14:paraId="210DDA2A" w14:textId="77777777" w:rsidR="004A45B0" w:rsidRPr="004F2B6F" w:rsidRDefault="004A45B0"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MARRIOTT INTERNATIONAL, INC.</w:t>
            </w:r>
          </w:p>
        </w:tc>
      </w:tr>
      <w:tr w:rsidR="004A45B0" w:rsidRPr="004F2B6F" w14:paraId="12754C15" w14:textId="77777777" w:rsidTr="004A45B0">
        <w:trPr>
          <w:trHeight w:val="287"/>
        </w:trPr>
        <w:tc>
          <w:tcPr>
            <w:tcW w:w="9800" w:type="dxa"/>
            <w:gridSpan w:val="6"/>
            <w:tcBorders>
              <w:top w:val="nil"/>
              <w:left w:val="nil"/>
              <w:bottom w:val="nil"/>
              <w:right w:val="nil"/>
            </w:tcBorders>
            <w:shd w:val="clear" w:color="000000" w:fill="1F4E78"/>
            <w:vAlign w:val="center"/>
            <w:hideMark/>
          </w:tcPr>
          <w:p w14:paraId="1BC2925A" w14:textId="77777777" w:rsidR="004A45B0" w:rsidRPr="004F2B6F" w:rsidRDefault="004A45B0"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CONSOLIDATED STATEMENTS OF CASH FLOWS</w:t>
            </w:r>
          </w:p>
        </w:tc>
      </w:tr>
      <w:tr w:rsidR="004A45B0" w:rsidRPr="004F2B6F" w14:paraId="1662914B" w14:textId="77777777" w:rsidTr="004A45B0">
        <w:trPr>
          <w:trHeight w:val="287"/>
        </w:trPr>
        <w:tc>
          <w:tcPr>
            <w:tcW w:w="9800" w:type="dxa"/>
            <w:gridSpan w:val="6"/>
            <w:tcBorders>
              <w:top w:val="nil"/>
              <w:left w:val="nil"/>
              <w:bottom w:val="nil"/>
              <w:right w:val="nil"/>
            </w:tcBorders>
            <w:shd w:val="clear" w:color="000000" w:fill="1F4E78"/>
            <w:vAlign w:val="center"/>
            <w:hideMark/>
          </w:tcPr>
          <w:p w14:paraId="38F47CC0" w14:textId="77777777" w:rsidR="004A45B0" w:rsidRPr="004F2B6F" w:rsidRDefault="004A45B0"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Fiscal Years 2025, 2024, 2023, 2022, and 2021 (in millions)</w:t>
            </w:r>
          </w:p>
        </w:tc>
      </w:tr>
      <w:tr w:rsidR="004A45B0" w:rsidRPr="004F2B6F" w14:paraId="32FDC1C9" w14:textId="77777777" w:rsidTr="004A45B0">
        <w:trPr>
          <w:trHeight w:val="287"/>
        </w:trPr>
        <w:tc>
          <w:tcPr>
            <w:tcW w:w="4164" w:type="dxa"/>
            <w:tcBorders>
              <w:top w:val="nil"/>
              <w:left w:val="nil"/>
              <w:bottom w:val="nil"/>
              <w:right w:val="nil"/>
            </w:tcBorders>
            <w:vAlign w:val="center"/>
            <w:hideMark/>
          </w:tcPr>
          <w:p w14:paraId="5E6C9EEB" w14:textId="77777777" w:rsidR="004A45B0" w:rsidRPr="004F2B6F" w:rsidRDefault="004A45B0" w:rsidP="004F2B6F">
            <w:pPr>
              <w:spacing w:after="0" w:line="360" w:lineRule="auto"/>
              <w:jc w:val="center"/>
              <w:rPr>
                <w:rFonts w:ascii="Arial" w:eastAsia="Times New Roman" w:hAnsi="Arial" w:cs="Arial"/>
                <w:b/>
                <w:bCs/>
                <w:color w:val="FFFFFF"/>
                <w:sz w:val="22"/>
                <w:szCs w:val="22"/>
                <w:lang w:val="en-US" w:eastAsia="en-US"/>
              </w:rPr>
            </w:pPr>
          </w:p>
        </w:tc>
        <w:tc>
          <w:tcPr>
            <w:tcW w:w="1133" w:type="dxa"/>
            <w:tcBorders>
              <w:top w:val="nil"/>
              <w:left w:val="nil"/>
              <w:bottom w:val="nil"/>
              <w:right w:val="nil"/>
            </w:tcBorders>
            <w:vAlign w:val="center"/>
            <w:hideMark/>
          </w:tcPr>
          <w:p w14:paraId="081991D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57FB966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69C4DB7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03" w:type="dxa"/>
            <w:tcBorders>
              <w:top w:val="nil"/>
              <w:left w:val="nil"/>
              <w:bottom w:val="nil"/>
              <w:right w:val="nil"/>
            </w:tcBorders>
            <w:vAlign w:val="center"/>
            <w:hideMark/>
          </w:tcPr>
          <w:p w14:paraId="4023F7A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3EE003C7"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13DE8495" w14:textId="77777777" w:rsidTr="004A45B0">
        <w:trPr>
          <w:trHeight w:val="287"/>
        </w:trPr>
        <w:tc>
          <w:tcPr>
            <w:tcW w:w="4164" w:type="dxa"/>
            <w:tcBorders>
              <w:top w:val="nil"/>
              <w:left w:val="nil"/>
              <w:bottom w:val="nil"/>
              <w:right w:val="nil"/>
            </w:tcBorders>
            <w:shd w:val="clear" w:color="000000" w:fill="1F4E78"/>
            <w:vAlign w:val="center"/>
            <w:hideMark/>
          </w:tcPr>
          <w:p w14:paraId="4C00035A" w14:textId="77777777" w:rsidR="004A45B0" w:rsidRPr="004F2B6F" w:rsidRDefault="004A45B0" w:rsidP="004F2B6F">
            <w:pPr>
              <w:spacing w:after="0" w:line="360" w:lineRule="auto"/>
              <w:jc w:val="center"/>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Cash Flow Statement (USD millions)</w:t>
            </w:r>
          </w:p>
        </w:tc>
        <w:tc>
          <w:tcPr>
            <w:tcW w:w="1133" w:type="dxa"/>
            <w:tcBorders>
              <w:top w:val="nil"/>
              <w:left w:val="nil"/>
              <w:bottom w:val="nil"/>
              <w:right w:val="nil"/>
            </w:tcBorders>
            <w:shd w:val="clear" w:color="000000" w:fill="1F4E78"/>
            <w:vAlign w:val="center"/>
            <w:hideMark/>
          </w:tcPr>
          <w:p w14:paraId="378D6A8A" w14:textId="77777777" w:rsidR="004A45B0" w:rsidRPr="004F2B6F" w:rsidRDefault="004A45B0"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2025</w:t>
            </w:r>
          </w:p>
        </w:tc>
        <w:tc>
          <w:tcPr>
            <w:tcW w:w="1133" w:type="dxa"/>
            <w:tcBorders>
              <w:top w:val="nil"/>
              <w:left w:val="nil"/>
              <w:bottom w:val="nil"/>
              <w:right w:val="nil"/>
            </w:tcBorders>
            <w:shd w:val="clear" w:color="000000" w:fill="1F4E78"/>
            <w:vAlign w:val="center"/>
            <w:hideMark/>
          </w:tcPr>
          <w:p w14:paraId="473CF79D" w14:textId="77777777" w:rsidR="004A45B0" w:rsidRPr="004F2B6F" w:rsidRDefault="004A45B0"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2024</w:t>
            </w:r>
          </w:p>
        </w:tc>
        <w:tc>
          <w:tcPr>
            <w:tcW w:w="1133" w:type="dxa"/>
            <w:tcBorders>
              <w:top w:val="nil"/>
              <w:left w:val="nil"/>
              <w:bottom w:val="nil"/>
              <w:right w:val="nil"/>
            </w:tcBorders>
            <w:shd w:val="clear" w:color="000000" w:fill="1F4E78"/>
            <w:vAlign w:val="center"/>
            <w:hideMark/>
          </w:tcPr>
          <w:p w14:paraId="08F426D1" w14:textId="77777777" w:rsidR="004A45B0" w:rsidRPr="004F2B6F" w:rsidRDefault="004A45B0"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2023</w:t>
            </w:r>
          </w:p>
        </w:tc>
        <w:tc>
          <w:tcPr>
            <w:tcW w:w="1103" w:type="dxa"/>
            <w:tcBorders>
              <w:top w:val="nil"/>
              <w:left w:val="nil"/>
              <w:bottom w:val="nil"/>
              <w:right w:val="nil"/>
            </w:tcBorders>
            <w:shd w:val="clear" w:color="000000" w:fill="1F4E78"/>
            <w:vAlign w:val="center"/>
            <w:hideMark/>
          </w:tcPr>
          <w:p w14:paraId="1981DF2B" w14:textId="77777777" w:rsidR="004A45B0" w:rsidRPr="004F2B6F" w:rsidRDefault="004A45B0"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2022</w:t>
            </w:r>
          </w:p>
        </w:tc>
        <w:tc>
          <w:tcPr>
            <w:tcW w:w="1133" w:type="dxa"/>
            <w:tcBorders>
              <w:top w:val="nil"/>
              <w:left w:val="nil"/>
              <w:bottom w:val="nil"/>
              <w:right w:val="nil"/>
            </w:tcBorders>
            <w:shd w:val="clear" w:color="000000" w:fill="1F4E78"/>
            <w:vAlign w:val="center"/>
            <w:hideMark/>
          </w:tcPr>
          <w:p w14:paraId="265B33CA" w14:textId="77777777" w:rsidR="004A45B0" w:rsidRPr="004F2B6F" w:rsidRDefault="004A45B0" w:rsidP="004F2B6F">
            <w:pPr>
              <w:spacing w:after="0" w:line="360" w:lineRule="auto"/>
              <w:jc w:val="right"/>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2021</w:t>
            </w:r>
          </w:p>
        </w:tc>
      </w:tr>
      <w:tr w:rsidR="004A45B0" w:rsidRPr="004F2B6F" w14:paraId="47811C9C" w14:textId="77777777" w:rsidTr="004A45B0">
        <w:trPr>
          <w:trHeight w:val="287"/>
        </w:trPr>
        <w:tc>
          <w:tcPr>
            <w:tcW w:w="4164" w:type="dxa"/>
            <w:tcBorders>
              <w:top w:val="nil"/>
              <w:left w:val="nil"/>
              <w:bottom w:val="nil"/>
              <w:right w:val="nil"/>
            </w:tcBorders>
            <w:shd w:val="clear" w:color="000000" w:fill="C6EFCE"/>
            <w:vAlign w:val="center"/>
            <w:hideMark/>
          </w:tcPr>
          <w:p w14:paraId="5A910472"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OPERATING ACTIVITIES</w:t>
            </w:r>
          </w:p>
        </w:tc>
        <w:tc>
          <w:tcPr>
            <w:tcW w:w="1133" w:type="dxa"/>
            <w:tcBorders>
              <w:top w:val="nil"/>
              <w:left w:val="nil"/>
              <w:bottom w:val="nil"/>
              <w:right w:val="nil"/>
            </w:tcBorders>
            <w:shd w:val="clear" w:color="000000" w:fill="C6EFCE"/>
            <w:vAlign w:val="center"/>
            <w:hideMark/>
          </w:tcPr>
          <w:p w14:paraId="08646BB9"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C6EFCE"/>
            <w:vAlign w:val="center"/>
            <w:hideMark/>
          </w:tcPr>
          <w:p w14:paraId="0F8557AD"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C6EFCE"/>
            <w:vAlign w:val="center"/>
            <w:hideMark/>
          </w:tcPr>
          <w:p w14:paraId="0981358F"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03" w:type="dxa"/>
            <w:tcBorders>
              <w:top w:val="nil"/>
              <w:left w:val="nil"/>
              <w:bottom w:val="nil"/>
              <w:right w:val="nil"/>
            </w:tcBorders>
            <w:shd w:val="clear" w:color="000000" w:fill="C6EFCE"/>
            <w:vAlign w:val="center"/>
            <w:hideMark/>
          </w:tcPr>
          <w:p w14:paraId="3CF05AC8"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C6EFCE"/>
            <w:vAlign w:val="center"/>
            <w:hideMark/>
          </w:tcPr>
          <w:p w14:paraId="6BD78E75"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r>
      <w:tr w:rsidR="004A45B0" w:rsidRPr="004F2B6F" w14:paraId="2CDF6390" w14:textId="77777777" w:rsidTr="004A45B0">
        <w:trPr>
          <w:trHeight w:val="287"/>
        </w:trPr>
        <w:tc>
          <w:tcPr>
            <w:tcW w:w="4164" w:type="dxa"/>
            <w:tcBorders>
              <w:top w:val="nil"/>
              <w:left w:val="nil"/>
              <w:bottom w:val="nil"/>
              <w:right w:val="nil"/>
            </w:tcBorders>
            <w:vAlign w:val="center"/>
            <w:hideMark/>
          </w:tcPr>
          <w:p w14:paraId="3F335B1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Net income</w:t>
            </w:r>
          </w:p>
        </w:tc>
        <w:tc>
          <w:tcPr>
            <w:tcW w:w="1133" w:type="dxa"/>
            <w:tcBorders>
              <w:top w:val="nil"/>
              <w:left w:val="nil"/>
              <w:bottom w:val="nil"/>
              <w:right w:val="nil"/>
            </w:tcBorders>
            <w:vAlign w:val="center"/>
            <w:hideMark/>
          </w:tcPr>
          <w:p w14:paraId="303B94E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2 601</w:t>
            </w:r>
          </w:p>
        </w:tc>
        <w:tc>
          <w:tcPr>
            <w:tcW w:w="1133" w:type="dxa"/>
            <w:tcBorders>
              <w:top w:val="nil"/>
              <w:left w:val="nil"/>
              <w:bottom w:val="nil"/>
              <w:right w:val="nil"/>
            </w:tcBorders>
            <w:vAlign w:val="center"/>
            <w:hideMark/>
          </w:tcPr>
          <w:p w14:paraId="78CCE15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2 375</w:t>
            </w:r>
          </w:p>
        </w:tc>
        <w:tc>
          <w:tcPr>
            <w:tcW w:w="1133" w:type="dxa"/>
            <w:tcBorders>
              <w:top w:val="nil"/>
              <w:left w:val="nil"/>
              <w:bottom w:val="nil"/>
              <w:right w:val="nil"/>
            </w:tcBorders>
            <w:vAlign w:val="center"/>
            <w:hideMark/>
          </w:tcPr>
          <w:p w14:paraId="66EDF55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3 083</w:t>
            </w:r>
          </w:p>
        </w:tc>
        <w:tc>
          <w:tcPr>
            <w:tcW w:w="1103" w:type="dxa"/>
            <w:tcBorders>
              <w:top w:val="nil"/>
              <w:left w:val="nil"/>
              <w:bottom w:val="nil"/>
              <w:right w:val="nil"/>
            </w:tcBorders>
            <w:vAlign w:val="center"/>
            <w:hideMark/>
          </w:tcPr>
          <w:p w14:paraId="51E9D48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2 358</w:t>
            </w:r>
          </w:p>
        </w:tc>
        <w:tc>
          <w:tcPr>
            <w:tcW w:w="1133" w:type="dxa"/>
            <w:tcBorders>
              <w:top w:val="nil"/>
              <w:left w:val="nil"/>
              <w:bottom w:val="nil"/>
              <w:right w:val="nil"/>
            </w:tcBorders>
            <w:vAlign w:val="center"/>
            <w:hideMark/>
          </w:tcPr>
          <w:p w14:paraId="128C568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1 099</w:t>
            </w:r>
          </w:p>
        </w:tc>
      </w:tr>
      <w:tr w:rsidR="004A45B0" w:rsidRPr="004F2B6F" w14:paraId="63573B8D" w14:textId="77777777" w:rsidTr="004A45B0">
        <w:trPr>
          <w:trHeight w:val="287"/>
        </w:trPr>
        <w:tc>
          <w:tcPr>
            <w:tcW w:w="4164" w:type="dxa"/>
            <w:tcBorders>
              <w:top w:val="nil"/>
              <w:left w:val="nil"/>
              <w:bottom w:val="nil"/>
              <w:right w:val="nil"/>
            </w:tcBorders>
            <w:vAlign w:val="center"/>
            <w:hideMark/>
          </w:tcPr>
          <w:p w14:paraId="10FB56D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Depreciation, amortization, and other</w:t>
            </w:r>
          </w:p>
        </w:tc>
        <w:tc>
          <w:tcPr>
            <w:tcW w:w="1133" w:type="dxa"/>
            <w:tcBorders>
              <w:top w:val="nil"/>
              <w:left w:val="nil"/>
              <w:bottom w:val="nil"/>
              <w:right w:val="nil"/>
            </w:tcBorders>
            <w:vAlign w:val="center"/>
            <w:hideMark/>
          </w:tcPr>
          <w:p w14:paraId="153F538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599</w:t>
            </w:r>
          </w:p>
        </w:tc>
        <w:tc>
          <w:tcPr>
            <w:tcW w:w="1133" w:type="dxa"/>
            <w:tcBorders>
              <w:top w:val="nil"/>
              <w:left w:val="nil"/>
              <w:bottom w:val="nil"/>
              <w:right w:val="nil"/>
            </w:tcBorders>
            <w:vAlign w:val="center"/>
            <w:hideMark/>
          </w:tcPr>
          <w:p w14:paraId="3974C26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492</w:t>
            </w:r>
          </w:p>
        </w:tc>
        <w:tc>
          <w:tcPr>
            <w:tcW w:w="1133" w:type="dxa"/>
            <w:tcBorders>
              <w:top w:val="nil"/>
              <w:left w:val="nil"/>
              <w:bottom w:val="nil"/>
              <w:right w:val="nil"/>
            </w:tcBorders>
            <w:vAlign w:val="center"/>
            <w:hideMark/>
          </w:tcPr>
          <w:p w14:paraId="4F51D6A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277</w:t>
            </w:r>
          </w:p>
        </w:tc>
        <w:tc>
          <w:tcPr>
            <w:tcW w:w="1103" w:type="dxa"/>
            <w:tcBorders>
              <w:top w:val="nil"/>
              <w:left w:val="nil"/>
              <w:bottom w:val="nil"/>
              <w:right w:val="nil"/>
            </w:tcBorders>
            <w:vAlign w:val="center"/>
            <w:hideMark/>
          </w:tcPr>
          <w:p w14:paraId="11A3E51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282</w:t>
            </w:r>
          </w:p>
        </w:tc>
        <w:tc>
          <w:tcPr>
            <w:tcW w:w="1133" w:type="dxa"/>
            <w:tcBorders>
              <w:top w:val="nil"/>
              <w:left w:val="nil"/>
              <w:bottom w:val="nil"/>
              <w:right w:val="nil"/>
            </w:tcBorders>
            <w:vAlign w:val="center"/>
            <w:hideMark/>
          </w:tcPr>
          <w:p w14:paraId="579752F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295</w:t>
            </w:r>
          </w:p>
        </w:tc>
      </w:tr>
      <w:tr w:rsidR="004A45B0" w:rsidRPr="004F2B6F" w14:paraId="01FD5DCB" w14:textId="77777777" w:rsidTr="004A45B0">
        <w:trPr>
          <w:trHeight w:val="287"/>
        </w:trPr>
        <w:tc>
          <w:tcPr>
            <w:tcW w:w="4164" w:type="dxa"/>
            <w:tcBorders>
              <w:top w:val="nil"/>
              <w:left w:val="nil"/>
              <w:bottom w:val="nil"/>
              <w:right w:val="nil"/>
            </w:tcBorders>
            <w:vAlign w:val="center"/>
            <w:hideMark/>
          </w:tcPr>
          <w:p w14:paraId="24947E4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Stock-based compensation</w:t>
            </w:r>
          </w:p>
        </w:tc>
        <w:tc>
          <w:tcPr>
            <w:tcW w:w="1133" w:type="dxa"/>
            <w:tcBorders>
              <w:top w:val="nil"/>
              <w:left w:val="nil"/>
              <w:bottom w:val="nil"/>
              <w:right w:val="nil"/>
            </w:tcBorders>
            <w:vAlign w:val="center"/>
            <w:hideMark/>
          </w:tcPr>
          <w:p w14:paraId="6FBDD69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236</w:t>
            </w:r>
          </w:p>
        </w:tc>
        <w:tc>
          <w:tcPr>
            <w:tcW w:w="1133" w:type="dxa"/>
            <w:tcBorders>
              <w:top w:val="nil"/>
              <w:left w:val="nil"/>
              <w:bottom w:val="nil"/>
              <w:right w:val="nil"/>
            </w:tcBorders>
            <w:vAlign w:val="center"/>
            <w:hideMark/>
          </w:tcPr>
          <w:p w14:paraId="60DD51E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237</w:t>
            </w:r>
          </w:p>
        </w:tc>
        <w:tc>
          <w:tcPr>
            <w:tcW w:w="1133" w:type="dxa"/>
            <w:tcBorders>
              <w:top w:val="nil"/>
              <w:left w:val="nil"/>
              <w:bottom w:val="nil"/>
              <w:right w:val="nil"/>
            </w:tcBorders>
            <w:vAlign w:val="center"/>
            <w:hideMark/>
          </w:tcPr>
          <w:p w14:paraId="259C64B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205</w:t>
            </w:r>
          </w:p>
        </w:tc>
        <w:tc>
          <w:tcPr>
            <w:tcW w:w="1103" w:type="dxa"/>
            <w:tcBorders>
              <w:top w:val="nil"/>
              <w:left w:val="nil"/>
              <w:bottom w:val="nil"/>
              <w:right w:val="nil"/>
            </w:tcBorders>
            <w:vAlign w:val="center"/>
            <w:hideMark/>
          </w:tcPr>
          <w:p w14:paraId="7BD15B4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192</w:t>
            </w:r>
          </w:p>
        </w:tc>
        <w:tc>
          <w:tcPr>
            <w:tcW w:w="1133" w:type="dxa"/>
            <w:tcBorders>
              <w:top w:val="nil"/>
              <w:left w:val="nil"/>
              <w:bottom w:val="nil"/>
              <w:right w:val="nil"/>
            </w:tcBorders>
            <w:vAlign w:val="center"/>
            <w:hideMark/>
          </w:tcPr>
          <w:p w14:paraId="29A6E07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182</w:t>
            </w:r>
          </w:p>
        </w:tc>
      </w:tr>
      <w:tr w:rsidR="004A45B0" w:rsidRPr="004F2B6F" w14:paraId="0D700E1B" w14:textId="77777777" w:rsidTr="004A45B0">
        <w:trPr>
          <w:trHeight w:val="287"/>
        </w:trPr>
        <w:tc>
          <w:tcPr>
            <w:tcW w:w="4164" w:type="dxa"/>
            <w:tcBorders>
              <w:top w:val="nil"/>
              <w:left w:val="nil"/>
              <w:bottom w:val="nil"/>
              <w:right w:val="nil"/>
            </w:tcBorders>
            <w:vAlign w:val="center"/>
            <w:hideMark/>
          </w:tcPr>
          <w:p w14:paraId="7003E93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Income taxes</w:t>
            </w:r>
          </w:p>
        </w:tc>
        <w:tc>
          <w:tcPr>
            <w:tcW w:w="1133" w:type="dxa"/>
            <w:tcBorders>
              <w:top w:val="nil"/>
              <w:left w:val="nil"/>
              <w:bottom w:val="nil"/>
              <w:right w:val="nil"/>
            </w:tcBorders>
            <w:vAlign w:val="center"/>
            <w:hideMark/>
          </w:tcPr>
          <w:p w14:paraId="611602B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(277)</w:t>
            </w:r>
          </w:p>
        </w:tc>
        <w:tc>
          <w:tcPr>
            <w:tcW w:w="1133" w:type="dxa"/>
            <w:tcBorders>
              <w:top w:val="nil"/>
              <w:left w:val="nil"/>
              <w:bottom w:val="nil"/>
              <w:right w:val="nil"/>
            </w:tcBorders>
            <w:vAlign w:val="center"/>
            <w:hideMark/>
          </w:tcPr>
          <w:p w14:paraId="24726E3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(172)</w:t>
            </w:r>
          </w:p>
        </w:tc>
        <w:tc>
          <w:tcPr>
            <w:tcW w:w="1133" w:type="dxa"/>
            <w:tcBorders>
              <w:top w:val="nil"/>
              <w:left w:val="nil"/>
              <w:bottom w:val="nil"/>
              <w:right w:val="nil"/>
            </w:tcBorders>
            <w:vAlign w:val="center"/>
            <w:hideMark/>
          </w:tcPr>
          <w:p w14:paraId="54FAD7A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(612)</w:t>
            </w:r>
          </w:p>
        </w:tc>
        <w:tc>
          <w:tcPr>
            <w:tcW w:w="1103" w:type="dxa"/>
            <w:tcBorders>
              <w:top w:val="nil"/>
              <w:left w:val="nil"/>
              <w:bottom w:val="nil"/>
              <w:right w:val="nil"/>
            </w:tcBorders>
            <w:vAlign w:val="center"/>
            <w:hideMark/>
          </w:tcPr>
          <w:p w14:paraId="362FC07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280</w:t>
            </w:r>
          </w:p>
        </w:tc>
        <w:tc>
          <w:tcPr>
            <w:tcW w:w="1133" w:type="dxa"/>
            <w:tcBorders>
              <w:top w:val="nil"/>
              <w:left w:val="nil"/>
              <w:bottom w:val="nil"/>
              <w:right w:val="nil"/>
            </w:tcBorders>
            <w:vAlign w:val="center"/>
            <w:hideMark/>
          </w:tcPr>
          <w:p w14:paraId="60F761C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(281)</w:t>
            </w:r>
          </w:p>
        </w:tc>
      </w:tr>
      <w:tr w:rsidR="004A45B0" w:rsidRPr="004F2B6F" w14:paraId="2265EC88" w14:textId="77777777" w:rsidTr="004A45B0">
        <w:trPr>
          <w:trHeight w:val="287"/>
        </w:trPr>
        <w:tc>
          <w:tcPr>
            <w:tcW w:w="4164" w:type="dxa"/>
            <w:tcBorders>
              <w:top w:val="nil"/>
              <w:left w:val="nil"/>
              <w:bottom w:val="nil"/>
              <w:right w:val="nil"/>
            </w:tcBorders>
            <w:vAlign w:val="center"/>
            <w:hideMark/>
          </w:tcPr>
          <w:p w14:paraId="1ED9D55D"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Liability for guest loyalty program</w:t>
            </w:r>
          </w:p>
        </w:tc>
        <w:tc>
          <w:tcPr>
            <w:tcW w:w="1133" w:type="dxa"/>
            <w:tcBorders>
              <w:top w:val="nil"/>
              <w:left w:val="nil"/>
              <w:bottom w:val="nil"/>
              <w:right w:val="nil"/>
            </w:tcBorders>
            <w:vAlign w:val="center"/>
            <w:hideMark/>
          </w:tcPr>
          <w:p w14:paraId="25DB031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473</w:t>
            </w:r>
          </w:p>
        </w:tc>
        <w:tc>
          <w:tcPr>
            <w:tcW w:w="1133" w:type="dxa"/>
            <w:tcBorders>
              <w:top w:val="nil"/>
              <w:left w:val="nil"/>
              <w:bottom w:val="nil"/>
              <w:right w:val="nil"/>
            </w:tcBorders>
            <w:vAlign w:val="center"/>
            <w:hideMark/>
          </w:tcPr>
          <w:p w14:paraId="5E11521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514</w:t>
            </w:r>
          </w:p>
        </w:tc>
        <w:tc>
          <w:tcPr>
            <w:tcW w:w="1133" w:type="dxa"/>
            <w:tcBorders>
              <w:top w:val="nil"/>
              <w:left w:val="nil"/>
              <w:bottom w:val="nil"/>
              <w:right w:val="nil"/>
            </w:tcBorders>
            <w:vAlign w:val="center"/>
            <w:hideMark/>
          </w:tcPr>
          <w:p w14:paraId="5986BE3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301</w:t>
            </w:r>
          </w:p>
        </w:tc>
        <w:tc>
          <w:tcPr>
            <w:tcW w:w="1103" w:type="dxa"/>
            <w:tcBorders>
              <w:top w:val="nil"/>
              <w:left w:val="nil"/>
              <w:bottom w:val="nil"/>
              <w:right w:val="nil"/>
            </w:tcBorders>
            <w:vAlign w:val="center"/>
            <w:hideMark/>
          </w:tcPr>
          <w:p w14:paraId="213CA5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(119)</w:t>
            </w:r>
          </w:p>
        </w:tc>
        <w:tc>
          <w:tcPr>
            <w:tcW w:w="1133" w:type="dxa"/>
            <w:tcBorders>
              <w:top w:val="nil"/>
              <w:left w:val="nil"/>
              <w:bottom w:val="nil"/>
              <w:right w:val="nil"/>
            </w:tcBorders>
            <w:vAlign w:val="center"/>
            <w:hideMark/>
          </w:tcPr>
          <w:p w14:paraId="2EAC487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(28)</w:t>
            </w:r>
          </w:p>
        </w:tc>
      </w:tr>
      <w:tr w:rsidR="004A45B0" w:rsidRPr="004F2B6F" w14:paraId="7552AE22" w14:textId="77777777" w:rsidTr="004A45B0">
        <w:trPr>
          <w:trHeight w:val="287"/>
        </w:trPr>
        <w:tc>
          <w:tcPr>
            <w:tcW w:w="4164" w:type="dxa"/>
            <w:tcBorders>
              <w:top w:val="nil"/>
              <w:left w:val="nil"/>
              <w:bottom w:val="nil"/>
              <w:right w:val="nil"/>
            </w:tcBorders>
            <w:vAlign w:val="center"/>
            <w:hideMark/>
          </w:tcPr>
          <w:p w14:paraId="3B2FE05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Contract acquisition costs</w:t>
            </w:r>
          </w:p>
        </w:tc>
        <w:tc>
          <w:tcPr>
            <w:tcW w:w="1133" w:type="dxa"/>
            <w:tcBorders>
              <w:top w:val="nil"/>
              <w:left w:val="nil"/>
              <w:bottom w:val="nil"/>
              <w:right w:val="nil"/>
            </w:tcBorders>
            <w:vAlign w:val="center"/>
            <w:hideMark/>
          </w:tcPr>
          <w:p w14:paraId="36BD652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(434)</w:t>
            </w:r>
          </w:p>
        </w:tc>
        <w:tc>
          <w:tcPr>
            <w:tcW w:w="1133" w:type="dxa"/>
            <w:tcBorders>
              <w:top w:val="nil"/>
              <w:left w:val="nil"/>
              <w:bottom w:val="nil"/>
              <w:right w:val="nil"/>
            </w:tcBorders>
            <w:vAlign w:val="center"/>
            <w:hideMark/>
          </w:tcPr>
          <w:p w14:paraId="1ADD9DC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(341)</w:t>
            </w:r>
          </w:p>
        </w:tc>
        <w:tc>
          <w:tcPr>
            <w:tcW w:w="1133" w:type="dxa"/>
            <w:tcBorders>
              <w:top w:val="nil"/>
              <w:left w:val="nil"/>
              <w:bottom w:val="nil"/>
              <w:right w:val="nil"/>
            </w:tcBorders>
            <w:vAlign w:val="center"/>
            <w:hideMark/>
          </w:tcPr>
          <w:p w14:paraId="42FB69C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(221)</w:t>
            </w:r>
          </w:p>
        </w:tc>
        <w:tc>
          <w:tcPr>
            <w:tcW w:w="1103" w:type="dxa"/>
            <w:tcBorders>
              <w:top w:val="nil"/>
              <w:left w:val="nil"/>
              <w:bottom w:val="nil"/>
              <w:right w:val="nil"/>
            </w:tcBorders>
            <w:vAlign w:val="center"/>
            <w:hideMark/>
          </w:tcPr>
          <w:p w14:paraId="4216133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(149)</w:t>
            </w:r>
          </w:p>
        </w:tc>
        <w:tc>
          <w:tcPr>
            <w:tcW w:w="1133" w:type="dxa"/>
            <w:tcBorders>
              <w:top w:val="nil"/>
              <w:left w:val="nil"/>
              <w:bottom w:val="nil"/>
              <w:right w:val="nil"/>
            </w:tcBorders>
            <w:vAlign w:val="center"/>
            <w:hideMark/>
          </w:tcPr>
          <w:p w14:paraId="63EC24F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(210)</w:t>
            </w:r>
          </w:p>
        </w:tc>
      </w:tr>
      <w:tr w:rsidR="004A45B0" w:rsidRPr="004F2B6F" w14:paraId="719B91C6" w14:textId="77777777" w:rsidTr="004A45B0">
        <w:trPr>
          <w:trHeight w:val="287"/>
        </w:trPr>
        <w:tc>
          <w:tcPr>
            <w:tcW w:w="4164" w:type="dxa"/>
            <w:tcBorders>
              <w:top w:val="nil"/>
              <w:left w:val="nil"/>
              <w:bottom w:val="nil"/>
              <w:right w:val="nil"/>
            </w:tcBorders>
            <w:vAlign w:val="center"/>
            <w:hideMark/>
          </w:tcPr>
          <w:p w14:paraId="7FEF341A"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Merger-related charges and other</w:t>
            </w:r>
          </w:p>
        </w:tc>
        <w:tc>
          <w:tcPr>
            <w:tcW w:w="1133" w:type="dxa"/>
            <w:tcBorders>
              <w:top w:val="nil"/>
              <w:left w:val="nil"/>
              <w:bottom w:val="nil"/>
              <w:right w:val="nil"/>
            </w:tcBorders>
            <w:vAlign w:val="center"/>
            <w:hideMark/>
          </w:tcPr>
          <w:p w14:paraId="16AEBD1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w:t>
            </w:r>
          </w:p>
        </w:tc>
        <w:tc>
          <w:tcPr>
            <w:tcW w:w="1133" w:type="dxa"/>
            <w:tcBorders>
              <w:top w:val="nil"/>
              <w:left w:val="nil"/>
              <w:bottom w:val="nil"/>
              <w:right w:val="nil"/>
            </w:tcBorders>
            <w:vAlign w:val="center"/>
            <w:hideMark/>
          </w:tcPr>
          <w:p w14:paraId="4897CCC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(278)</w:t>
            </w:r>
          </w:p>
        </w:tc>
        <w:tc>
          <w:tcPr>
            <w:tcW w:w="1133" w:type="dxa"/>
            <w:tcBorders>
              <w:top w:val="nil"/>
              <w:left w:val="nil"/>
              <w:bottom w:val="nil"/>
              <w:right w:val="nil"/>
            </w:tcBorders>
            <w:vAlign w:val="center"/>
            <w:hideMark/>
          </w:tcPr>
          <w:p w14:paraId="0297D07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47</w:t>
            </w:r>
          </w:p>
        </w:tc>
        <w:tc>
          <w:tcPr>
            <w:tcW w:w="1103" w:type="dxa"/>
            <w:tcBorders>
              <w:top w:val="nil"/>
              <w:left w:val="nil"/>
              <w:bottom w:val="nil"/>
              <w:right w:val="nil"/>
            </w:tcBorders>
            <w:vAlign w:val="center"/>
            <w:hideMark/>
          </w:tcPr>
          <w:p w14:paraId="1524A3A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w:t>
            </w:r>
          </w:p>
        </w:tc>
        <w:tc>
          <w:tcPr>
            <w:tcW w:w="1133" w:type="dxa"/>
            <w:tcBorders>
              <w:top w:val="nil"/>
              <w:left w:val="nil"/>
              <w:bottom w:val="nil"/>
              <w:right w:val="nil"/>
            </w:tcBorders>
            <w:vAlign w:val="center"/>
            <w:hideMark/>
          </w:tcPr>
          <w:p w14:paraId="39A7B37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r>
      <w:tr w:rsidR="004A45B0" w:rsidRPr="004F2B6F" w14:paraId="7423B821" w14:textId="77777777" w:rsidTr="004A45B0">
        <w:trPr>
          <w:trHeight w:val="287"/>
        </w:trPr>
        <w:tc>
          <w:tcPr>
            <w:tcW w:w="4164" w:type="dxa"/>
            <w:tcBorders>
              <w:top w:val="nil"/>
              <w:left w:val="nil"/>
              <w:bottom w:val="nil"/>
              <w:right w:val="nil"/>
            </w:tcBorders>
            <w:vAlign w:val="center"/>
            <w:hideMark/>
          </w:tcPr>
          <w:p w14:paraId="78343AB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Working capital changes</w:t>
            </w:r>
          </w:p>
        </w:tc>
        <w:tc>
          <w:tcPr>
            <w:tcW w:w="1133" w:type="dxa"/>
            <w:tcBorders>
              <w:top w:val="nil"/>
              <w:left w:val="nil"/>
              <w:bottom w:val="nil"/>
              <w:right w:val="nil"/>
            </w:tcBorders>
            <w:vAlign w:val="center"/>
            <w:hideMark/>
          </w:tcPr>
          <w:p w14:paraId="06BD33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(147)</w:t>
            </w:r>
          </w:p>
        </w:tc>
        <w:tc>
          <w:tcPr>
            <w:tcW w:w="1133" w:type="dxa"/>
            <w:tcBorders>
              <w:top w:val="nil"/>
              <w:left w:val="nil"/>
              <w:bottom w:val="nil"/>
              <w:right w:val="nil"/>
            </w:tcBorders>
            <w:vAlign w:val="center"/>
            <w:hideMark/>
          </w:tcPr>
          <w:p w14:paraId="237192E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(82)</w:t>
            </w:r>
          </w:p>
        </w:tc>
        <w:tc>
          <w:tcPr>
            <w:tcW w:w="1133" w:type="dxa"/>
            <w:tcBorders>
              <w:top w:val="nil"/>
              <w:left w:val="nil"/>
              <w:bottom w:val="nil"/>
              <w:right w:val="nil"/>
            </w:tcBorders>
            <w:vAlign w:val="center"/>
            <w:hideMark/>
          </w:tcPr>
          <w:p w14:paraId="571DA0B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69</w:t>
            </w:r>
          </w:p>
        </w:tc>
        <w:tc>
          <w:tcPr>
            <w:tcW w:w="1103" w:type="dxa"/>
            <w:tcBorders>
              <w:top w:val="nil"/>
              <w:left w:val="nil"/>
              <w:bottom w:val="nil"/>
              <w:right w:val="nil"/>
            </w:tcBorders>
            <w:vAlign w:val="center"/>
            <w:hideMark/>
          </w:tcPr>
          <w:p w14:paraId="26AAEBB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(542)</w:t>
            </w:r>
          </w:p>
        </w:tc>
        <w:tc>
          <w:tcPr>
            <w:tcW w:w="1133" w:type="dxa"/>
            <w:tcBorders>
              <w:top w:val="nil"/>
              <w:left w:val="nil"/>
              <w:bottom w:val="nil"/>
              <w:right w:val="nil"/>
            </w:tcBorders>
            <w:vAlign w:val="center"/>
            <w:hideMark/>
          </w:tcPr>
          <w:p w14:paraId="06227D0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110</w:t>
            </w:r>
          </w:p>
        </w:tc>
      </w:tr>
      <w:tr w:rsidR="004A45B0" w:rsidRPr="004F2B6F" w14:paraId="1787E15A" w14:textId="77777777" w:rsidTr="004A45B0">
        <w:trPr>
          <w:trHeight w:val="287"/>
        </w:trPr>
        <w:tc>
          <w:tcPr>
            <w:tcW w:w="4164" w:type="dxa"/>
            <w:tcBorders>
              <w:top w:val="nil"/>
              <w:left w:val="nil"/>
              <w:bottom w:val="nil"/>
              <w:right w:val="nil"/>
            </w:tcBorders>
            <w:vAlign w:val="center"/>
            <w:hideMark/>
          </w:tcPr>
          <w:p w14:paraId="195BBF7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Loss on extinguishment of debt</w:t>
            </w:r>
          </w:p>
        </w:tc>
        <w:tc>
          <w:tcPr>
            <w:tcW w:w="1133" w:type="dxa"/>
            <w:tcBorders>
              <w:top w:val="nil"/>
              <w:left w:val="nil"/>
              <w:bottom w:val="nil"/>
              <w:right w:val="nil"/>
            </w:tcBorders>
            <w:vAlign w:val="center"/>
            <w:hideMark/>
          </w:tcPr>
          <w:p w14:paraId="6FCD7DF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396653F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25B0A9B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03" w:type="dxa"/>
            <w:tcBorders>
              <w:top w:val="nil"/>
              <w:left w:val="nil"/>
              <w:bottom w:val="nil"/>
              <w:right w:val="nil"/>
            </w:tcBorders>
            <w:vAlign w:val="center"/>
            <w:hideMark/>
          </w:tcPr>
          <w:p w14:paraId="056B89A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098D948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164</w:t>
            </w:r>
          </w:p>
        </w:tc>
      </w:tr>
      <w:tr w:rsidR="004A45B0" w:rsidRPr="004F2B6F" w14:paraId="375F06B1" w14:textId="77777777" w:rsidTr="004A45B0">
        <w:trPr>
          <w:trHeight w:val="287"/>
        </w:trPr>
        <w:tc>
          <w:tcPr>
            <w:tcW w:w="4164" w:type="dxa"/>
            <w:tcBorders>
              <w:top w:val="nil"/>
              <w:left w:val="nil"/>
              <w:bottom w:val="nil"/>
              <w:right w:val="nil"/>
            </w:tcBorders>
            <w:vAlign w:val="center"/>
            <w:hideMark/>
          </w:tcPr>
          <w:p w14:paraId="52DCF92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w:t>
            </w:r>
          </w:p>
        </w:tc>
        <w:tc>
          <w:tcPr>
            <w:tcW w:w="1133" w:type="dxa"/>
            <w:tcBorders>
              <w:top w:val="nil"/>
              <w:left w:val="nil"/>
              <w:bottom w:val="nil"/>
              <w:right w:val="nil"/>
            </w:tcBorders>
            <w:vAlign w:val="center"/>
            <w:hideMark/>
          </w:tcPr>
          <w:p w14:paraId="024F6DF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176</w:t>
            </w:r>
          </w:p>
        </w:tc>
        <w:tc>
          <w:tcPr>
            <w:tcW w:w="1133" w:type="dxa"/>
            <w:tcBorders>
              <w:top w:val="nil"/>
              <w:left w:val="nil"/>
              <w:bottom w:val="nil"/>
              <w:right w:val="nil"/>
            </w:tcBorders>
            <w:vAlign w:val="center"/>
            <w:hideMark/>
          </w:tcPr>
          <w:p w14:paraId="3C3A6EE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w:t>
            </w:r>
          </w:p>
        </w:tc>
        <w:tc>
          <w:tcPr>
            <w:tcW w:w="1133" w:type="dxa"/>
            <w:tcBorders>
              <w:top w:val="nil"/>
              <w:left w:val="nil"/>
              <w:bottom w:val="nil"/>
              <w:right w:val="nil"/>
            </w:tcBorders>
            <w:vAlign w:val="center"/>
            <w:hideMark/>
          </w:tcPr>
          <w:p w14:paraId="28BE5DE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21</w:t>
            </w:r>
          </w:p>
        </w:tc>
        <w:tc>
          <w:tcPr>
            <w:tcW w:w="1103" w:type="dxa"/>
            <w:tcBorders>
              <w:top w:val="nil"/>
              <w:left w:val="nil"/>
              <w:bottom w:val="nil"/>
              <w:right w:val="nil"/>
            </w:tcBorders>
            <w:vAlign w:val="center"/>
            <w:hideMark/>
          </w:tcPr>
          <w:p w14:paraId="2A2555A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69</w:t>
            </w:r>
          </w:p>
        </w:tc>
        <w:tc>
          <w:tcPr>
            <w:tcW w:w="1133" w:type="dxa"/>
            <w:tcBorders>
              <w:top w:val="nil"/>
              <w:left w:val="nil"/>
              <w:bottom w:val="nil"/>
              <w:right w:val="nil"/>
            </w:tcBorders>
            <w:vAlign w:val="center"/>
            <w:hideMark/>
          </w:tcPr>
          <w:p w14:paraId="7554201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(144)</w:t>
            </w:r>
          </w:p>
        </w:tc>
      </w:tr>
      <w:tr w:rsidR="004A45B0" w:rsidRPr="004F2B6F" w14:paraId="0126DBEB" w14:textId="77777777" w:rsidTr="004A45B0">
        <w:trPr>
          <w:trHeight w:val="287"/>
        </w:trPr>
        <w:tc>
          <w:tcPr>
            <w:tcW w:w="4164" w:type="dxa"/>
            <w:tcBorders>
              <w:top w:val="nil"/>
              <w:left w:val="nil"/>
              <w:bottom w:val="nil"/>
              <w:right w:val="nil"/>
            </w:tcBorders>
            <w:shd w:val="clear" w:color="000000" w:fill="F2F2F2"/>
            <w:vAlign w:val="center"/>
            <w:hideMark/>
          </w:tcPr>
          <w:p w14:paraId="539077F6"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Net cash provided by operating activities</w:t>
            </w:r>
          </w:p>
        </w:tc>
        <w:tc>
          <w:tcPr>
            <w:tcW w:w="1133" w:type="dxa"/>
            <w:tcBorders>
              <w:top w:val="nil"/>
              <w:left w:val="nil"/>
              <w:bottom w:val="nil"/>
              <w:right w:val="nil"/>
            </w:tcBorders>
            <w:shd w:val="clear" w:color="000000" w:fill="F2F2F2"/>
            <w:vAlign w:val="center"/>
            <w:hideMark/>
          </w:tcPr>
          <w:p w14:paraId="6856F307"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3 212</w:t>
            </w:r>
          </w:p>
        </w:tc>
        <w:tc>
          <w:tcPr>
            <w:tcW w:w="1133" w:type="dxa"/>
            <w:tcBorders>
              <w:top w:val="nil"/>
              <w:left w:val="nil"/>
              <w:bottom w:val="nil"/>
              <w:right w:val="nil"/>
            </w:tcBorders>
            <w:shd w:val="clear" w:color="000000" w:fill="F2F2F2"/>
            <w:vAlign w:val="center"/>
            <w:hideMark/>
          </w:tcPr>
          <w:p w14:paraId="6AB64B80"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2 749</w:t>
            </w:r>
          </w:p>
        </w:tc>
        <w:tc>
          <w:tcPr>
            <w:tcW w:w="1133" w:type="dxa"/>
            <w:tcBorders>
              <w:top w:val="nil"/>
              <w:left w:val="nil"/>
              <w:bottom w:val="nil"/>
              <w:right w:val="nil"/>
            </w:tcBorders>
            <w:shd w:val="clear" w:color="000000" w:fill="F2F2F2"/>
            <w:vAlign w:val="center"/>
            <w:hideMark/>
          </w:tcPr>
          <w:p w14:paraId="6E7B6648"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3 170</w:t>
            </w:r>
          </w:p>
        </w:tc>
        <w:tc>
          <w:tcPr>
            <w:tcW w:w="1103" w:type="dxa"/>
            <w:tcBorders>
              <w:top w:val="nil"/>
              <w:left w:val="nil"/>
              <w:bottom w:val="nil"/>
              <w:right w:val="nil"/>
            </w:tcBorders>
            <w:shd w:val="clear" w:color="000000" w:fill="F2F2F2"/>
            <w:vAlign w:val="center"/>
            <w:hideMark/>
          </w:tcPr>
          <w:p w14:paraId="0F0FD0DE"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2 363</w:t>
            </w:r>
          </w:p>
        </w:tc>
        <w:tc>
          <w:tcPr>
            <w:tcW w:w="1133" w:type="dxa"/>
            <w:tcBorders>
              <w:top w:val="nil"/>
              <w:left w:val="nil"/>
              <w:bottom w:val="nil"/>
              <w:right w:val="nil"/>
            </w:tcBorders>
            <w:shd w:val="clear" w:color="000000" w:fill="F2F2F2"/>
            <w:vAlign w:val="center"/>
            <w:hideMark/>
          </w:tcPr>
          <w:p w14:paraId="6CCCA019"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1 177</w:t>
            </w:r>
          </w:p>
        </w:tc>
      </w:tr>
      <w:tr w:rsidR="004A45B0" w:rsidRPr="004F2B6F" w14:paraId="6F5A2161" w14:textId="77777777" w:rsidTr="004A45B0">
        <w:trPr>
          <w:trHeight w:val="287"/>
        </w:trPr>
        <w:tc>
          <w:tcPr>
            <w:tcW w:w="4164" w:type="dxa"/>
            <w:tcBorders>
              <w:top w:val="nil"/>
              <w:left w:val="nil"/>
              <w:bottom w:val="nil"/>
              <w:right w:val="nil"/>
            </w:tcBorders>
            <w:vAlign w:val="center"/>
            <w:hideMark/>
          </w:tcPr>
          <w:p w14:paraId="4ACF6B29"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p>
        </w:tc>
        <w:tc>
          <w:tcPr>
            <w:tcW w:w="1133" w:type="dxa"/>
            <w:tcBorders>
              <w:top w:val="nil"/>
              <w:left w:val="nil"/>
              <w:bottom w:val="nil"/>
              <w:right w:val="nil"/>
            </w:tcBorders>
            <w:vAlign w:val="center"/>
            <w:hideMark/>
          </w:tcPr>
          <w:p w14:paraId="124EE4D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77AE6625"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7891894E"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03" w:type="dxa"/>
            <w:tcBorders>
              <w:top w:val="nil"/>
              <w:left w:val="nil"/>
              <w:bottom w:val="nil"/>
              <w:right w:val="nil"/>
            </w:tcBorders>
            <w:vAlign w:val="center"/>
            <w:hideMark/>
          </w:tcPr>
          <w:p w14:paraId="024D7CE3"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71BCB434"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r>
      <w:tr w:rsidR="004A45B0" w:rsidRPr="004F2B6F" w14:paraId="70A81F4B" w14:textId="77777777" w:rsidTr="004A45B0">
        <w:trPr>
          <w:trHeight w:val="287"/>
        </w:trPr>
        <w:tc>
          <w:tcPr>
            <w:tcW w:w="4164" w:type="dxa"/>
            <w:tcBorders>
              <w:top w:val="nil"/>
              <w:left w:val="nil"/>
              <w:bottom w:val="nil"/>
              <w:right w:val="nil"/>
            </w:tcBorders>
            <w:shd w:val="clear" w:color="000000" w:fill="D9EAF7"/>
            <w:vAlign w:val="center"/>
            <w:hideMark/>
          </w:tcPr>
          <w:p w14:paraId="6FBF8C22"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INVESTING ACTIVITIES</w:t>
            </w:r>
          </w:p>
        </w:tc>
        <w:tc>
          <w:tcPr>
            <w:tcW w:w="1133" w:type="dxa"/>
            <w:tcBorders>
              <w:top w:val="nil"/>
              <w:left w:val="nil"/>
              <w:bottom w:val="nil"/>
              <w:right w:val="nil"/>
            </w:tcBorders>
            <w:shd w:val="clear" w:color="000000" w:fill="D9EAF7"/>
            <w:vAlign w:val="center"/>
            <w:hideMark/>
          </w:tcPr>
          <w:p w14:paraId="226FE4F9"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D9EAF7"/>
            <w:vAlign w:val="center"/>
            <w:hideMark/>
          </w:tcPr>
          <w:p w14:paraId="39AFD83C"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D9EAF7"/>
            <w:vAlign w:val="center"/>
            <w:hideMark/>
          </w:tcPr>
          <w:p w14:paraId="2A073CFB"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03" w:type="dxa"/>
            <w:tcBorders>
              <w:top w:val="nil"/>
              <w:left w:val="nil"/>
              <w:bottom w:val="nil"/>
              <w:right w:val="nil"/>
            </w:tcBorders>
            <w:shd w:val="clear" w:color="000000" w:fill="D9EAF7"/>
            <w:vAlign w:val="center"/>
            <w:hideMark/>
          </w:tcPr>
          <w:p w14:paraId="72BB3216"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D9EAF7"/>
            <w:vAlign w:val="center"/>
            <w:hideMark/>
          </w:tcPr>
          <w:p w14:paraId="127D6C15"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r>
      <w:tr w:rsidR="004A45B0" w:rsidRPr="004F2B6F" w14:paraId="4E7E7858" w14:textId="77777777" w:rsidTr="004A45B0">
        <w:trPr>
          <w:trHeight w:val="287"/>
        </w:trPr>
        <w:tc>
          <w:tcPr>
            <w:tcW w:w="4164" w:type="dxa"/>
            <w:tcBorders>
              <w:top w:val="nil"/>
              <w:left w:val="nil"/>
              <w:bottom w:val="nil"/>
              <w:right w:val="nil"/>
            </w:tcBorders>
            <w:vAlign w:val="center"/>
            <w:hideMark/>
          </w:tcPr>
          <w:p w14:paraId="7CC56CE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Capital and technology expenditures</w:t>
            </w:r>
          </w:p>
        </w:tc>
        <w:tc>
          <w:tcPr>
            <w:tcW w:w="1133" w:type="dxa"/>
            <w:tcBorders>
              <w:top w:val="nil"/>
              <w:left w:val="nil"/>
              <w:bottom w:val="nil"/>
              <w:right w:val="nil"/>
            </w:tcBorders>
            <w:vAlign w:val="center"/>
            <w:hideMark/>
          </w:tcPr>
          <w:p w14:paraId="3CEF4F5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(604)</w:t>
            </w:r>
          </w:p>
        </w:tc>
        <w:tc>
          <w:tcPr>
            <w:tcW w:w="1133" w:type="dxa"/>
            <w:tcBorders>
              <w:top w:val="nil"/>
              <w:left w:val="nil"/>
              <w:bottom w:val="nil"/>
              <w:right w:val="nil"/>
            </w:tcBorders>
            <w:vAlign w:val="center"/>
            <w:hideMark/>
          </w:tcPr>
          <w:p w14:paraId="43C4188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(750)</w:t>
            </w:r>
          </w:p>
        </w:tc>
        <w:tc>
          <w:tcPr>
            <w:tcW w:w="1133" w:type="dxa"/>
            <w:tcBorders>
              <w:top w:val="nil"/>
              <w:left w:val="nil"/>
              <w:bottom w:val="nil"/>
              <w:right w:val="nil"/>
            </w:tcBorders>
            <w:vAlign w:val="center"/>
            <w:hideMark/>
          </w:tcPr>
          <w:p w14:paraId="54ED849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(452)</w:t>
            </w:r>
          </w:p>
        </w:tc>
        <w:tc>
          <w:tcPr>
            <w:tcW w:w="1103" w:type="dxa"/>
            <w:tcBorders>
              <w:top w:val="nil"/>
              <w:left w:val="nil"/>
              <w:bottom w:val="nil"/>
              <w:right w:val="nil"/>
            </w:tcBorders>
            <w:vAlign w:val="center"/>
            <w:hideMark/>
          </w:tcPr>
          <w:p w14:paraId="3703E89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(332)</w:t>
            </w:r>
          </w:p>
        </w:tc>
        <w:tc>
          <w:tcPr>
            <w:tcW w:w="1133" w:type="dxa"/>
            <w:tcBorders>
              <w:top w:val="nil"/>
              <w:left w:val="nil"/>
              <w:bottom w:val="nil"/>
              <w:right w:val="nil"/>
            </w:tcBorders>
            <w:vAlign w:val="center"/>
            <w:hideMark/>
          </w:tcPr>
          <w:p w14:paraId="2BFE1BD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(183)</w:t>
            </w:r>
          </w:p>
        </w:tc>
      </w:tr>
      <w:tr w:rsidR="004A45B0" w:rsidRPr="004F2B6F" w14:paraId="5B48569B" w14:textId="77777777" w:rsidTr="004A45B0">
        <w:trPr>
          <w:trHeight w:val="287"/>
        </w:trPr>
        <w:tc>
          <w:tcPr>
            <w:tcW w:w="4164" w:type="dxa"/>
            <w:tcBorders>
              <w:top w:val="nil"/>
              <w:left w:val="nil"/>
              <w:bottom w:val="nil"/>
              <w:right w:val="nil"/>
            </w:tcBorders>
            <w:vAlign w:val="center"/>
            <w:hideMark/>
          </w:tcPr>
          <w:p w14:paraId="64DBAA1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Asset acquisition(s)</w:t>
            </w:r>
          </w:p>
        </w:tc>
        <w:tc>
          <w:tcPr>
            <w:tcW w:w="1133" w:type="dxa"/>
            <w:tcBorders>
              <w:top w:val="nil"/>
              <w:left w:val="nil"/>
              <w:bottom w:val="nil"/>
              <w:right w:val="nil"/>
            </w:tcBorders>
            <w:vAlign w:val="center"/>
            <w:hideMark/>
          </w:tcPr>
          <w:p w14:paraId="5A1A658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(350)</w:t>
            </w:r>
          </w:p>
        </w:tc>
        <w:tc>
          <w:tcPr>
            <w:tcW w:w="1133" w:type="dxa"/>
            <w:tcBorders>
              <w:top w:val="nil"/>
              <w:left w:val="nil"/>
              <w:bottom w:val="nil"/>
              <w:right w:val="nil"/>
            </w:tcBorders>
            <w:vAlign w:val="center"/>
            <w:hideMark/>
          </w:tcPr>
          <w:p w14:paraId="41B5554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(26)</w:t>
            </w:r>
          </w:p>
        </w:tc>
        <w:tc>
          <w:tcPr>
            <w:tcW w:w="1133" w:type="dxa"/>
            <w:tcBorders>
              <w:top w:val="nil"/>
              <w:left w:val="nil"/>
              <w:bottom w:val="nil"/>
              <w:right w:val="nil"/>
            </w:tcBorders>
            <w:vAlign w:val="center"/>
            <w:hideMark/>
          </w:tcPr>
          <w:p w14:paraId="6494E32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(101)</w:t>
            </w:r>
          </w:p>
        </w:tc>
        <w:tc>
          <w:tcPr>
            <w:tcW w:w="1103" w:type="dxa"/>
            <w:tcBorders>
              <w:top w:val="nil"/>
              <w:left w:val="nil"/>
              <w:bottom w:val="nil"/>
              <w:right w:val="nil"/>
            </w:tcBorders>
            <w:vAlign w:val="center"/>
            <w:hideMark/>
          </w:tcPr>
          <w:p w14:paraId="3EDB13A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758DC84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r>
      <w:tr w:rsidR="004A45B0" w:rsidRPr="004F2B6F" w14:paraId="0D7CC958" w14:textId="77777777" w:rsidTr="004A45B0">
        <w:trPr>
          <w:trHeight w:val="287"/>
        </w:trPr>
        <w:tc>
          <w:tcPr>
            <w:tcW w:w="4164" w:type="dxa"/>
            <w:tcBorders>
              <w:top w:val="nil"/>
              <w:left w:val="nil"/>
              <w:bottom w:val="nil"/>
              <w:right w:val="nil"/>
            </w:tcBorders>
            <w:vAlign w:val="center"/>
            <w:hideMark/>
          </w:tcPr>
          <w:p w14:paraId="012F4ED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Dispositions</w:t>
            </w:r>
          </w:p>
        </w:tc>
        <w:tc>
          <w:tcPr>
            <w:tcW w:w="1133" w:type="dxa"/>
            <w:tcBorders>
              <w:top w:val="nil"/>
              <w:left w:val="nil"/>
              <w:bottom w:val="nil"/>
              <w:right w:val="nil"/>
            </w:tcBorders>
            <w:vAlign w:val="center"/>
            <w:hideMark/>
          </w:tcPr>
          <w:p w14:paraId="0EF0D32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w:t>
            </w:r>
          </w:p>
        </w:tc>
        <w:tc>
          <w:tcPr>
            <w:tcW w:w="1133" w:type="dxa"/>
            <w:tcBorders>
              <w:top w:val="nil"/>
              <w:left w:val="nil"/>
              <w:bottom w:val="nil"/>
              <w:right w:val="nil"/>
            </w:tcBorders>
            <w:vAlign w:val="center"/>
            <w:hideMark/>
          </w:tcPr>
          <w:p w14:paraId="47E1E78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w:t>
            </w:r>
          </w:p>
        </w:tc>
        <w:tc>
          <w:tcPr>
            <w:tcW w:w="1133" w:type="dxa"/>
            <w:tcBorders>
              <w:top w:val="nil"/>
              <w:left w:val="nil"/>
              <w:bottom w:val="nil"/>
              <w:right w:val="nil"/>
            </w:tcBorders>
            <w:vAlign w:val="center"/>
            <w:hideMark/>
          </w:tcPr>
          <w:p w14:paraId="407BC8E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71</w:t>
            </w:r>
          </w:p>
        </w:tc>
        <w:tc>
          <w:tcPr>
            <w:tcW w:w="1103" w:type="dxa"/>
            <w:tcBorders>
              <w:top w:val="nil"/>
              <w:left w:val="nil"/>
              <w:bottom w:val="nil"/>
              <w:right w:val="nil"/>
            </w:tcBorders>
            <w:vAlign w:val="center"/>
            <w:hideMark/>
          </w:tcPr>
          <w:p w14:paraId="67D7E19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w:t>
            </w:r>
          </w:p>
        </w:tc>
        <w:tc>
          <w:tcPr>
            <w:tcW w:w="1133" w:type="dxa"/>
            <w:tcBorders>
              <w:top w:val="nil"/>
              <w:left w:val="nil"/>
              <w:bottom w:val="nil"/>
              <w:right w:val="nil"/>
            </w:tcBorders>
            <w:vAlign w:val="center"/>
            <w:hideMark/>
          </w:tcPr>
          <w:p w14:paraId="5FF6789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w:t>
            </w:r>
          </w:p>
        </w:tc>
      </w:tr>
      <w:tr w:rsidR="004A45B0" w:rsidRPr="004F2B6F" w14:paraId="4D9AF241" w14:textId="77777777" w:rsidTr="004A45B0">
        <w:trPr>
          <w:trHeight w:val="287"/>
        </w:trPr>
        <w:tc>
          <w:tcPr>
            <w:tcW w:w="4164" w:type="dxa"/>
            <w:tcBorders>
              <w:top w:val="nil"/>
              <w:left w:val="nil"/>
              <w:bottom w:val="nil"/>
              <w:right w:val="nil"/>
            </w:tcBorders>
            <w:vAlign w:val="center"/>
            <w:hideMark/>
          </w:tcPr>
          <w:p w14:paraId="0744E6F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Loan advances</w:t>
            </w:r>
          </w:p>
        </w:tc>
        <w:tc>
          <w:tcPr>
            <w:tcW w:w="1133" w:type="dxa"/>
            <w:tcBorders>
              <w:top w:val="nil"/>
              <w:left w:val="nil"/>
              <w:bottom w:val="nil"/>
              <w:right w:val="nil"/>
            </w:tcBorders>
            <w:vAlign w:val="center"/>
            <w:hideMark/>
          </w:tcPr>
          <w:p w14:paraId="795CB1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(35)</w:t>
            </w:r>
          </w:p>
        </w:tc>
        <w:tc>
          <w:tcPr>
            <w:tcW w:w="1133" w:type="dxa"/>
            <w:tcBorders>
              <w:top w:val="nil"/>
              <w:left w:val="nil"/>
              <w:bottom w:val="nil"/>
              <w:right w:val="nil"/>
            </w:tcBorders>
            <w:vAlign w:val="center"/>
            <w:hideMark/>
          </w:tcPr>
          <w:p w14:paraId="7418F29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1133" w:type="dxa"/>
            <w:tcBorders>
              <w:top w:val="nil"/>
              <w:left w:val="nil"/>
              <w:bottom w:val="nil"/>
              <w:right w:val="nil"/>
            </w:tcBorders>
            <w:vAlign w:val="center"/>
            <w:hideMark/>
          </w:tcPr>
          <w:p w14:paraId="7C1E91D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(77)</w:t>
            </w:r>
          </w:p>
        </w:tc>
        <w:tc>
          <w:tcPr>
            <w:tcW w:w="1103" w:type="dxa"/>
            <w:tcBorders>
              <w:top w:val="nil"/>
              <w:left w:val="nil"/>
              <w:bottom w:val="nil"/>
              <w:right w:val="nil"/>
            </w:tcBorders>
            <w:vAlign w:val="center"/>
            <w:hideMark/>
          </w:tcPr>
          <w:p w14:paraId="3BCDFE5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133" w:type="dxa"/>
            <w:tcBorders>
              <w:top w:val="nil"/>
              <w:left w:val="nil"/>
              <w:bottom w:val="nil"/>
              <w:right w:val="nil"/>
            </w:tcBorders>
            <w:vAlign w:val="center"/>
            <w:hideMark/>
          </w:tcPr>
          <w:p w14:paraId="68A2EE4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w:t>
            </w:r>
          </w:p>
        </w:tc>
      </w:tr>
      <w:tr w:rsidR="004A45B0" w:rsidRPr="004F2B6F" w14:paraId="6F94E0D5" w14:textId="77777777" w:rsidTr="004A45B0">
        <w:trPr>
          <w:trHeight w:val="287"/>
        </w:trPr>
        <w:tc>
          <w:tcPr>
            <w:tcW w:w="4164" w:type="dxa"/>
            <w:tcBorders>
              <w:top w:val="nil"/>
              <w:left w:val="nil"/>
              <w:bottom w:val="nil"/>
              <w:right w:val="nil"/>
            </w:tcBorders>
            <w:vAlign w:val="center"/>
            <w:hideMark/>
          </w:tcPr>
          <w:p w14:paraId="4C4C7BC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Loan collections</w:t>
            </w:r>
          </w:p>
        </w:tc>
        <w:tc>
          <w:tcPr>
            <w:tcW w:w="1133" w:type="dxa"/>
            <w:tcBorders>
              <w:top w:val="nil"/>
              <w:left w:val="nil"/>
              <w:bottom w:val="nil"/>
              <w:right w:val="nil"/>
            </w:tcBorders>
            <w:vAlign w:val="center"/>
            <w:hideMark/>
          </w:tcPr>
          <w:p w14:paraId="2D349AA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w:t>
            </w:r>
          </w:p>
        </w:tc>
        <w:tc>
          <w:tcPr>
            <w:tcW w:w="1133" w:type="dxa"/>
            <w:tcBorders>
              <w:top w:val="nil"/>
              <w:left w:val="nil"/>
              <w:bottom w:val="nil"/>
              <w:right w:val="nil"/>
            </w:tcBorders>
            <w:vAlign w:val="center"/>
            <w:hideMark/>
          </w:tcPr>
          <w:p w14:paraId="561D654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36</w:t>
            </w:r>
          </w:p>
        </w:tc>
        <w:tc>
          <w:tcPr>
            <w:tcW w:w="1133" w:type="dxa"/>
            <w:tcBorders>
              <w:top w:val="nil"/>
              <w:left w:val="nil"/>
              <w:bottom w:val="nil"/>
              <w:right w:val="nil"/>
            </w:tcBorders>
            <w:vAlign w:val="center"/>
            <w:hideMark/>
          </w:tcPr>
          <w:p w14:paraId="40C2937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61</w:t>
            </w:r>
          </w:p>
        </w:tc>
        <w:tc>
          <w:tcPr>
            <w:tcW w:w="1103" w:type="dxa"/>
            <w:tcBorders>
              <w:top w:val="nil"/>
              <w:left w:val="nil"/>
              <w:bottom w:val="nil"/>
              <w:right w:val="nil"/>
            </w:tcBorders>
            <w:vAlign w:val="center"/>
            <w:hideMark/>
          </w:tcPr>
          <w:p w14:paraId="039FBA5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w:t>
            </w:r>
          </w:p>
        </w:tc>
        <w:tc>
          <w:tcPr>
            <w:tcW w:w="1133" w:type="dxa"/>
            <w:tcBorders>
              <w:top w:val="nil"/>
              <w:left w:val="nil"/>
              <w:bottom w:val="nil"/>
              <w:right w:val="nil"/>
            </w:tcBorders>
            <w:vAlign w:val="center"/>
            <w:hideMark/>
          </w:tcPr>
          <w:p w14:paraId="21BD208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40</w:t>
            </w:r>
          </w:p>
        </w:tc>
      </w:tr>
      <w:tr w:rsidR="004A45B0" w:rsidRPr="004F2B6F" w14:paraId="0FC02591" w14:textId="77777777" w:rsidTr="004A45B0">
        <w:trPr>
          <w:trHeight w:val="287"/>
        </w:trPr>
        <w:tc>
          <w:tcPr>
            <w:tcW w:w="4164" w:type="dxa"/>
            <w:tcBorders>
              <w:top w:val="nil"/>
              <w:left w:val="nil"/>
              <w:bottom w:val="nil"/>
              <w:right w:val="nil"/>
            </w:tcBorders>
            <w:vAlign w:val="center"/>
            <w:hideMark/>
          </w:tcPr>
          <w:p w14:paraId="3D8241C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w:t>
            </w:r>
          </w:p>
        </w:tc>
        <w:tc>
          <w:tcPr>
            <w:tcW w:w="1133" w:type="dxa"/>
            <w:tcBorders>
              <w:top w:val="nil"/>
              <w:left w:val="nil"/>
              <w:bottom w:val="nil"/>
              <w:right w:val="nil"/>
            </w:tcBorders>
            <w:vAlign w:val="center"/>
            <w:hideMark/>
          </w:tcPr>
          <w:p w14:paraId="4921D5B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1133" w:type="dxa"/>
            <w:tcBorders>
              <w:top w:val="nil"/>
              <w:left w:val="nil"/>
              <w:bottom w:val="nil"/>
              <w:right w:val="nil"/>
            </w:tcBorders>
            <w:vAlign w:val="center"/>
            <w:hideMark/>
          </w:tcPr>
          <w:p w14:paraId="3211B63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6C8712F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33</w:t>
            </w:r>
          </w:p>
        </w:tc>
        <w:tc>
          <w:tcPr>
            <w:tcW w:w="1103" w:type="dxa"/>
            <w:tcBorders>
              <w:top w:val="nil"/>
              <w:left w:val="nil"/>
              <w:bottom w:val="nil"/>
              <w:right w:val="nil"/>
            </w:tcBorders>
            <w:vAlign w:val="center"/>
            <w:hideMark/>
          </w:tcPr>
          <w:p w14:paraId="14EEC10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31</w:t>
            </w:r>
          </w:p>
        </w:tc>
        <w:tc>
          <w:tcPr>
            <w:tcW w:w="1133" w:type="dxa"/>
            <w:tcBorders>
              <w:top w:val="nil"/>
              <w:left w:val="nil"/>
              <w:bottom w:val="nil"/>
              <w:right w:val="nil"/>
            </w:tcBorders>
            <w:vAlign w:val="center"/>
            <w:hideMark/>
          </w:tcPr>
          <w:p w14:paraId="266F1D3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w:t>
            </w:r>
          </w:p>
        </w:tc>
      </w:tr>
      <w:tr w:rsidR="004A45B0" w:rsidRPr="004F2B6F" w14:paraId="4DA40220" w14:textId="77777777" w:rsidTr="004A45B0">
        <w:trPr>
          <w:trHeight w:val="287"/>
        </w:trPr>
        <w:tc>
          <w:tcPr>
            <w:tcW w:w="4164" w:type="dxa"/>
            <w:tcBorders>
              <w:top w:val="nil"/>
              <w:left w:val="nil"/>
              <w:bottom w:val="nil"/>
              <w:right w:val="nil"/>
            </w:tcBorders>
            <w:shd w:val="clear" w:color="000000" w:fill="F2F2F2"/>
            <w:vAlign w:val="center"/>
            <w:hideMark/>
          </w:tcPr>
          <w:p w14:paraId="596DDEB3"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Net cash used in investing activities</w:t>
            </w:r>
          </w:p>
        </w:tc>
        <w:tc>
          <w:tcPr>
            <w:tcW w:w="1133" w:type="dxa"/>
            <w:tcBorders>
              <w:top w:val="nil"/>
              <w:left w:val="nil"/>
              <w:bottom w:val="nil"/>
              <w:right w:val="nil"/>
            </w:tcBorders>
            <w:shd w:val="clear" w:color="000000" w:fill="F2F2F2"/>
            <w:vAlign w:val="center"/>
            <w:hideMark/>
          </w:tcPr>
          <w:p w14:paraId="67056D9D"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(948)</w:t>
            </w:r>
          </w:p>
        </w:tc>
        <w:tc>
          <w:tcPr>
            <w:tcW w:w="1133" w:type="dxa"/>
            <w:tcBorders>
              <w:top w:val="nil"/>
              <w:left w:val="nil"/>
              <w:bottom w:val="nil"/>
              <w:right w:val="nil"/>
            </w:tcBorders>
            <w:shd w:val="clear" w:color="000000" w:fill="F2F2F2"/>
            <w:vAlign w:val="center"/>
            <w:hideMark/>
          </w:tcPr>
          <w:p w14:paraId="564B1226"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(734)</w:t>
            </w:r>
          </w:p>
        </w:tc>
        <w:tc>
          <w:tcPr>
            <w:tcW w:w="1133" w:type="dxa"/>
            <w:tcBorders>
              <w:top w:val="nil"/>
              <w:left w:val="nil"/>
              <w:bottom w:val="nil"/>
              <w:right w:val="nil"/>
            </w:tcBorders>
            <w:shd w:val="clear" w:color="000000" w:fill="F2F2F2"/>
            <w:vAlign w:val="center"/>
            <w:hideMark/>
          </w:tcPr>
          <w:p w14:paraId="19042E26"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(465)</w:t>
            </w:r>
          </w:p>
        </w:tc>
        <w:tc>
          <w:tcPr>
            <w:tcW w:w="1103" w:type="dxa"/>
            <w:tcBorders>
              <w:top w:val="nil"/>
              <w:left w:val="nil"/>
              <w:bottom w:val="nil"/>
              <w:right w:val="nil"/>
            </w:tcBorders>
            <w:shd w:val="clear" w:color="000000" w:fill="F2F2F2"/>
            <w:vAlign w:val="center"/>
            <w:hideMark/>
          </w:tcPr>
          <w:p w14:paraId="506B2253"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(297)</w:t>
            </w:r>
          </w:p>
        </w:tc>
        <w:tc>
          <w:tcPr>
            <w:tcW w:w="1133" w:type="dxa"/>
            <w:tcBorders>
              <w:top w:val="nil"/>
              <w:left w:val="nil"/>
              <w:bottom w:val="nil"/>
              <w:right w:val="nil"/>
            </w:tcBorders>
            <w:shd w:val="clear" w:color="000000" w:fill="F2F2F2"/>
            <w:vAlign w:val="center"/>
            <w:hideMark/>
          </w:tcPr>
          <w:p w14:paraId="39109EAC"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(187)</w:t>
            </w:r>
          </w:p>
        </w:tc>
      </w:tr>
      <w:tr w:rsidR="004A45B0" w:rsidRPr="004F2B6F" w14:paraId="5F6A7B85" w14:textId="77777777" w:rsidTr="004A45B0">
        <w:trPr>
          <w:trHeight w:val="287"/>
        </w:trPr>
        <w:tc>
          <w:tcPr>
            <w:tcW w:w="4164" w:type="dxa"/>
            <w:tcBorders>
              <w:top w:val="nil"/>
              <w:left w:val="nil"/>
              <w:bottom w:val="nil"/>
              <w:right w:val="nil"/>
            </w:tcBorders>
            <w:vAlign w:val="center"/>
            <w:hideMark/>
          </w:tcPr>
          <w:p w14:paraId="27F27711"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p>
        </w:tc>
        <w:tc>
          <w:tcPr>
            <w:tcW w:w="1133" w:type="dxa"/>
            <w:tcBorders>
              <w:top w:val="nil"/>
              <w:left w:val="nil"/>
              <w:bottom w:val="nil"/>
              <w:right w:val="nil"/>
            </w:tcBorders>
            <w:vAlign w:val="center"/>
            <w:hideMark/>
          </w:tcPr>
          <w:p w14:paraId="1BCEA12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6109A7DD"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4A79C0CC"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03" w:type="dxa"/>
            <w:tcBorders>
              <w:top w:val="nil"/>
              <w:left w:val="nil"/>
              <w:bottom w:val="nil"/>
              <w:right w:val="nil"/>
            </w:tcBorders>
            <w:vAlign w:val="center"/>
            <w:hideMark/>
          </w:tcPr>
          <w:p w14:paraId="3BE62116"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06900DB5"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r>
      <w:tr w:rsidR="004A45B0" w:rsidRPr="004F2B6F" w14:paraId="3CCC4165" w14:textId="77777777" w:rsidTr="004A45B0">
        <w:trPr>
          <w:trHeight w:val="287"/>
        </w:trPr>
        <w:tc>
          <w:tcPr>
            <w:tcW w:w="4164" w:type="dxa"/>
            <w:tcBorders>
              <w:top w:val="nil"/>
              <w:left w:val="nil"/>
              <w:bottom w:val="nil"/>
              <w:right w:val="nil"/>
            </w:tcBorders>
            <w:shd w:val="clear" w:color="000000" w:fill="FCE4D6"/>
            <w:vAlign w:val="center"/>
            <w:hideMark/>
          </w:tcPr>
          <w:p w14:paraId="131181F3"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FINANCING ACTIVITIES</w:t>
            </w:r>
          </w:p>
        </w:tc>
        <w:tc>
          <w:tcPr>
            <w:tcW w:w="1133" w:type="dxa"/>
            <w:tcBorders>
              <w:top w:val="nil"/>
              <w:left w:val="nil"/>
              <w:bottom w:val="nil"/>
              <w:right w:val="nil"/>
            </w:tcBorders>
            <w:shd w:val="clear" w:color="000000" w:fill="FCE4D6"/>
            <w:vAlign w:val="center"/>
            <w:hideMark/>
          </w:tcPr>
          <w:p w14:paraId="21B2F895"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FCE4D6"/>
            <w:vAlign w:val="center"/>
            <w:hideMark/>
          </w:tcPr>
          <w:p w14:paraId="69F73389"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FCE4D6"/>
            <w:vAlign w:val="center"/>
            <w:hideMark/>
          </w:tcPr>
          <w:p w14:paraId="4B80EC94"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03" w:type="dxa"/>
            <w:tcBorders>
              <w:top w:val="nil"/>
              <w:left w:val="nil"/>
              <w:bottom w:val="nil"/>
              <w:right w:val="nil"/>
            </w:tcBorders>
            <w:shd w:val="clear" w:color="000000" w:fill="FCE4D6"/>
            <w:vAlign w:val="center"/>
            <w:hideMark/>
          </w:tcPr>
          <w:p w14:paraId="2C00D37E"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c>
          <w:tcPr>
            <w:tcW w:w="1133" w:type="dxa"/>
            <w:tcBorders>
              <w:top w:val="nil"/>
              <w:left w:val="nil"/>
              <w:bottom w:val="nil"/>
              <w:right w:val="nil"/>
            </w:tcBorders>
            <w:shd w:val="clear" w:color="000000" w:fill="FCE4D6"/>
            <w:vAlign w:val="center"/>
            <w:hideMark/>
          </w:tcPr>
          <w:p w14:paraId="36BE4790"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 </w:t>
            </w:r>
          </w:p>
        </w:tc>
      </w:tr>
      <w:tr w:rsidR="004A45B0" w:rsidRPr="004F2B6F" w14:paraId="6414628B" w14:textId="77777777" w:rsidTr="004A45B0">
        <w:trPr>
          <w:trHeight w:val="287"/>
        </w:trPr>
        <w:tc>
          <w:tcPr>
            <w:tcW w:w="4164" w:type="dxa"/>
            <w:tcBorders>
              <w:top w:val="nil"/>
              <w:left w:val="nil"/>
              <w:bottom w:val="nil"/>
              <w:right w:val="nil"/>
            </w:tcBorders>
            <w:vAlign w:val="center"/>
            <w:hideMark/>
          </w:tcPr>
          <w:p w14:paraId="02F5909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Commercial paper/Credit Facility, net</w:t>
            </w:r>
          </w:p>
        </w:tc>
        <w:tc>
          <w:tcPr>
            <w:tcW w:w="1133" w:type="dxa"/>
            <w:tcBorders>
              <w:top w:val="nil"/>
              <w:left w:val="nil"/>
              <w:bottom w:val="nil"/>
              <w:right w:val="nil"/>
            </w:tcBorders>
            <w:vAlign w:val="center"/>
            <w:hideMark/>
          </w:tcPr>
          <w:p w14:paraId="21B9B77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(403)</w:t>
            </w:r>
          </w:p>
        </w:tc>
        <w:tc>
          <w:tcPr>
            <w:tcW w:w="1133" w:type="dxa"/>
            <w:tcBorders>
              <w:top w:val="nil"/>
              <w:left w:val="nil"/>
              <w:bottom w:val="nil"/>
              <w:right w:val="nil"/>
            </w:tcBorders>
            <w:vAlign w:val="center"/>
            <w:hideMark/>
          </w:tcPr>
          <w:p w14:paraId="6CC047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163</w:t>
            </w:r>
          </w:p>
        </w:tc>
        <w:tc>
          <w:tcPr>
            <w:tcW w:w="1133" w:type="dxa"/>
            <w:tcBorders>
              <w:top w:val="nil"/>
              <w:left w:val="nil"/>
              <w:bottom w:val="nil"/>
              <w:right w:val="nil"/>
            </w:tcBorders>
            <w:vAlign w:val="center"/>
            <w:hideMark/>
          </w:tcPr>
          <w:p w14:paraId="278A4A2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546</w:t>
            </w:r>
          </w:p>
        </w:tc>
        <w:tc>
          <w:tcPr>
            <w:tcW w:w="1103" w:type="dxa"/>
            <w:tcBorders>
              <w:top w:val="nil"/>
              <w:left w:val="nil"/>
              <w:bottom w:val="nil"/>
              <w:right w:val="nil"/>
            </w:tcBorders>
            <w:vAlign w:val="center"/>
            <w:hideMark/>
          </w:tcPr>
          <w:p w14:paraId="7F4ABA1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(182)</w:t>
            </w:r>
          </w:p>
        </w:tc>
        <w:tc>
          <w:tcPr>
            <w:tcW w:w="1133" w:type="dxa"/>
            <w:tcBorders>
              <w:top w:val="nil"/>
              <w:left w:val="nil"/>
              <w:bottom w:val="nil"/>
              <w:right w:val="nil"/>
            </w:tcBorders>
            <w:vAlign w:val="center"/>
            <w:hideMark/>
          </w:tcPr>
          <w:p w14:paraId="70D2DA7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150</w:t>
            </w:r>
          </w:p>
        </w:tc>
      </w:tr>
      <w:tr w:rsidR="004A45B0" w:rsidRPr="004F2B6F" w14:paraId="4F2EBBC4" w14:textId="77777777" w:rsidTr="004A45B0">
        <w:trPr>
          <w:trHeight w:val="287"/>
        </w:trPr>
        <w:tc>
          <w:tcPr>
            <w:tcW w:w="4164" w:type="dxa"/>
            <w:tcBorders>
              <w:top w:val="nil"/>
              <w:left w:val="nil"/>
              <w:bottom w:val="nil"/>
              <w:right w:val="nil"/>
            </w:tcBorders>
            <w:vAlign w:val="center"/>
            <w:hideMark/>
          </w:tcPr>
          <w:p w14:paraId="7D1561C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Issuance of long-term debt</w:t>
            </w:r>
          </w:p>
        </w:tc>
        <w:tc>
          <w:tcPr>
            <w:tcW w:w="1133" w:type="dxa"/>
            <w:tcBorders>
              <w:top w:val="nil"/>
              <w:left w:val="nil"/>
              <w:bottom w:val="nil"/>
              <w:right w:val="nil"/>
            </w:tcBorders>
            <w:vAlign w:val="center"/>
            <w:hideMark/>
          </w:tcPr>
          <w:p w14:paraId="385630F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3 436</w:t>
            </w:r>
          </w:p>
        </w:tc>
        <w:tc>
          <w:tcPr>
            <w:tcW w:w="1133" w:type="dxa"/>
            <w:tcBorders>
              <w:top w:val="nil"/>
              <w:left w:val="nil"/>
              <w:bottom w:val="nil"/>
              <w:right w:val="nil"/>
            </w:tcBorders>
            <w:vAlign w:val="center"/>
            <w:hideMark/>
          </w:tcPr>
          <w:p w14:paraId="5DA0795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2 948</w:t>
            </w:r>
          </w:p>
        </w:tc>
        <w:tc>
          <w:tcPr>
            <w:tcW w:w="1133" w:type="dxa"/>
            <w:tcBorders>
              <w:top w:val="nil"/>
              <w:left w:val="nil"/>
              <w:bottom w:val="nil"/>
              <w:right w:val="nil"/>
            </w:tcBorders>
            <w:vAlign w:val="center"/>
            <w:hideMark/>
          </w:tcPr>
          <w:p w14:paraId="705D19F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1 918</w:t>
            </w:r>
          </w:p>
        </w:tc>
        <w:tc>
          <w:tcPr>
            <w:tcW w:w="1103" w:type="dxa"/>
            <w:tcBorders>
              <w:top w:val="nil"/>
              <w:left w:val="nil"/>
              <w:bottom w:val="nil"/>
              <w:right w:val="nil"/>
            </w:tcBorders>
            <w:vAlign w:val="center"/>
            <w:hideMark/>
          </w:tcPr>
          <w:p w14:paraId="3EB9D42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983</w:t>
            </w:r>
          </w:p>
        </w:tc>
        <w:tc>
          <w:tcPr>
            <w:tcW w:w="1133" w:type="dxa"/>
            <w:tcBorders>
              <w:top w:val="nil"/>
              <w:left w:val="nil"/>
              <w:bottom w:val="nil"/>
              <w:right w:val="nil"/>
            </w:tcBorders>
            <w:vAlign w:val="center"/>
            <w:hideMark/>
          </w:tcPr>
          <w:p w14:paraId="7A0C914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1 793</w:t>
            </w:r>
          </w:p>
        </w:tc>
      </w:tr>
      <w:tr w:rsidR="004A45B0" w:rsidRPr="004F2B6F" w14:paraId="4FC96306" w14:textId="77777777" w:rsidTr="004A45B0">
        <w:trPr>
          <w:trHeight w:val="287"/>
        </w:trPr>
        <w:tc>
          <w:tcPr>
            <w:tcW w:w="4164" w:type="dxa"/>
            <w:tcBorders>
              <w:top w:val="nil"/>
              <w:left w:val="nil"/>
              <w:bottom w:val="nil"/>
              <w:right w:val="nil"/>
            </w:tcBorders>
            <w:vAlign w:val="center"/>
            <w:hideMark/>
          </w:tcPr>
          <w:p w14:paraId="4EE6400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Repayment of long-term debt</w:t>
            </w:r>
          </w:p>
        </w:tc>
        <w:tc>
          <w:tcPr>
            <w:tcW w:w="1133" w:type="dxa"/>
            <w:tcBorders>
              <w:top w:val="nil"/>
              <w:left w:val="nil"/>
              <w:bottom w:val="nil"/>
              <w:right w:val="nil"/>
            </w:tcBorders>
            <w:vAlign w:val="center"/>
            <w:hideMark/>
          </w:tcPr>
          <w:p w14:paraId="7232D64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(1 309)</w:t>
            </w:r>
          </w:p>
        </w:tc>
        <w:tc>
          <w:tcPr>
            <w:tcW w:w="1133" w:type="dxa"/>
            <w:tcBorders>
              <w:top w:val="nil"/>
              <w:left w:val="nil"/>
              <w:bottom w:val="nil"/>
              <w:right w:val="nil"/>
            </w:tcBorders>
            <w:vAlign w:val="center"/>
            <w:hideMark/>
          </w:tcPr>
          <w:p w14:paraId="2353798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(558)</w:t>
            </w:r>
          </w:p>
        </w:tc>
        <w:tc>
          <w:tcPr>
            <w:tcW w:w="1133" w:type="dxa"/>
            <w:tcBorders>
              <w:top w:val="nil"/>
              <w:left w:val="nil"/>
              <w:bottom w:val="nil"/>
              <w:right w:val="nil"/>
            </w:tcBorders>
            <w:vAlign w:val="center"/>
            <w:hideMark/>
          </w:tcPr>
          <w:p w14:paraId="5469DCC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(684)</w:t>
            </w:r>
          </w:p>
        </w:tc>
        <w:tc>
          <w:tcPr>
            <w:tcW w:w="1103" w:type="dxa"/>
            <w:tcBorders>
              <w:top w:val="nil"/>
              <w:left w:val="nil"/>
              <w:bottom w:val="nil"/>
              <w:right w:val="nil"/>
            </w:tcBorders>
            <w:vAlign w:val="center"/>
            <w:hideMark/>
          </w:tcPr>
          <w:p w14:paraId="7C4782A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(804)</w:t>
            </w:r>
          </w:p>
        </w:tc>
        <w:tc>
          <w:tcPr>
            <w:tcW w:w="1133" w:type="dxa"/>
            <w:tcBorders>
              <w:top w:val="nil"/>
              <w:left w:val="nil"/>
              <w:bottom w:val="nil"/>
              <w:right w:val="nil"/>
            </w:tcBorders>
            <w:vAlign w:val="center"/>
            <w:hideMark/>
          </w:tcPr>
          <w:p w14:paraId="5E6B272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(2 174)</w:t>
            </w:r>
          </w:p>
        </w:tc>
      </w:tr>
      <w:tr w:rsidR="004A45B0" w:rsidRPr="004F2B6F" w14:paraId="32A41521" w14:textId="77777777" w:rsidTr="004A45B0">
        <w:trPr>
          <w:trHeight w:val="287"/>
        </w:trPr>
        <w:tc>
          <w:tcPr>
            <w:tcW w:w="4164" w:type="dxa"/>
            <w:tcBorders>
              <w:top w:val="nil"/>
              <w:left w:val="nil"/>
              <w:bottom w:val="nil"/>
              <w:right w:val="nil"/>
            </w:tcBorders>
            <w:vAlign w:val="center"/>
            <w:hideMark/>
          </w:tcPr>
          <w:p w14:paraId="7BE8B9F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lastRenderedPageBreak/>
              <w:t>Issuance of Class A Common Stock</w:t>
            </w:r>
          </w:p>
        </w:tc>
        <w:tc>
          <w:tcPr>
            <w:tcW w:w="1133" w:type="dxa"/>
            <w:tcBorders>
              <w:top w:val="nil"/>
              <w:left w:val="nil"/>
              <w:bottom w:val="nil"/>
              <w:right w:val="nil"/>
            </w:tcBorders>
            <w:vAlign w:val="center"/>
            <w:hideMark/>
          </w:tcPr>
          <w:p w14:paraId="2A32277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w:t>
            </w:r>
          </w:p>
        </w:tc>
        <w:tc>
          <w:tcPr>
            <w:tcW w:w="1133" w:type="dxa"/>
            <w:tcBorders>
              <w:top w:val="nil"/>
              <w:left w:val="nil"/>
              <w:bottom w:val="nil"/>
              <w:right w:val="nil"/>
            </w:tcBorders>
            <w:vAlign w:val="center"/>
            <w:hideMark/>
          </w:tcPr>
          <w:p w14:paraId="612012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w:t>
            </w:r>
          </w:p>
        </w:tc>
        <w:tc>
          <w:tcPr>
            <w:tcW w:w="1133" w:type="dxa"/>
            <w:tcBorders>
              <w:top w:val="nil"/>
              <w:left w:val="nil"/>
              <w:bottom w:val="nil"/>
              <w:right w:val="nil"/>
            </w:tcBorders>
            <w:vAlign w:val="center"/>
            <w:hideMark/>
          </w:tcPr>
          <w:p w14:paraId="2676CE7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w:t>
            </w:r>
          </w:p>
        </w:tc>
        <w:tc>
          <w:tcPr>
            <w:tcW w:w="1103" w:type="dxa"/>
            <w:tcBorders>
              <w:top w:val="nil"/>
              <w:left w:val="nil"/>
              <w:bottom w:val="nil"/>
              <w:right w:val="nil"/>
            </w:tcBorders>
            <w:vAlign w:val="center"/>
            <w:hideMark/>
          </w:tcPr>
          <w:p w14:paraId="36DBF61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2F7B923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w:t>
            </w:r>
          </w:p>
        </w:tc>
      </w:tr>
      <w:tr w:rsidR="004A45B0" w:rsidRPr="004F2B6F" w14:paraId="10577B63" w14:textId="77777777" w:rsidTr="004A45B0">
        <w:trPr>
          <w:trHeight w:val="287"/>
        </w:trPr>
        <w:tc>
          <w:tcPr>
            <w:tcW w:w="4164" w:type="dxa"/>
            <w:tcBorders>
              <w:top w:val="nil"/>
              <w:left w:val="nil"/>
              <w:bottom w:val="nil"/>
              <w:right w:val="nil"/>
            </w:tcBorders>
            <w:vAlign w:val="center"/>
            <w:hideMark/>
          </w:tcPr>
          <w:p w14:paraId="5BCB56B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Debt extinguishment costs</w:t>
            </w:r>
          </w:p>
        </w:tc>
        <w:tc>
          <w:tcPr>
            <w:tcW w:w="1133" w:type="dxa"/>
            <w:tcBorders>
              <w:top w:val="nil"/>
              <w:left w:val="nil"/>
              <w:bottom w:val="nil"/>
              <w:right w:val="nil"/>
            </w:tcBorders>
            <w:vAlign w:val="center"/>
            <w:hideMark/>
          </w:tcPr>
          <w:p w14:paraId="22CAD8D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5AED7D9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63F78FE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03" w:type="dxa"/>
            <w:tcBorders>
              <w:top w:val="nil"/>
              <w:left w:val="nil"/>
              <w:bottom w:val="nil"/>
              <w:right w:val="nil"/>
            </w:tcBorders>
            <w:vAlign w:val="center"/>
            <w:hideMark/>
          </w:tcPr>
          <w:p w14:paraId="2B5945E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1ADC4BD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(155)</w:t>
            </w:r>
          </w:p>
        </w:tc>
      </w:tr>
      <w:tr w:rsidR="004A45B0" w:rsidRPr="004F2B6F" w14:paraId="446FC3C2" w14:textId="77777777" w:rsidTr="004A45B0">
        <w:trPr>
          <w:trHeight w:val="287"/>
        </w:trPr>
        <w:tc>
          <w:tcPr>
            <w:tcW w:w="4164" w:type="dxa"/>
            <w:tcBorders>
              <w:top w:val="nil"/>
              <w:left w:val="nil"/>
              <w:bottom w:val="nil"/>
              <w:right w:val="nil"/>
            </w:tcBorders>
            <w:vAlign w:val="center"/>
            <w:hideMark/>
          </w:tcPr>
          <w:p w14:paraId="0725427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Dividends paid</w:t>
            </w:r>
          </w:p>
        </w:tc>
        <w:tc>
          <w:tcPr>
            <w:tcW w:w="1133" w:type="dxa"/>
            <w:tcBorders>
              <w:top w:val="nil"/>
              <w:left w:val="nil"/>
              <w:bottom w:val="nil"/>
              <w:right w:val="nil"/>
            </w:tcBorders>
            <w:vAlign w:val="center"/>
            <w:hideMark/>
          </w:tcPr>
          <w:p w14:paraId="3B74476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(718)</w:t>
            </w:r>
          </w:p>
        </w:tc>
        <w:tc>
          <w:tcPr>
            <w:tcW w:w="1133" w:type="dxa"/>
            <w:tcBorders>
              <w:top w:val="nil"/>
              <w:left w:val="nil"/>
              <w:bottom w:val="nil"/>
              <w:right w:val="nil"/>
            </w:tcBorders>
            <w:vAlign w:val="center"/>
            <w:hideMark/>
          </w:tcPr>
          <w:p w14:paraId="76E3B7F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(682)</w:t>
            </w:r>
          </w:p>
        </w:tc>
        <w:tc>
          <w:tcPr>
            <w:tcW w:w="1133" w:type="dxa"/>
            <w:tcBorders>
              <w:top w:val="nil"/>
              <w:left w:val="nil"/>
              <w:bottom w:val="nil"/>
              <w:right w:val="nil"/>
            </w:tcBorders>
            <w:vAlign w:val="center"/>
            <w:hideMark/>
          </w:tcPr>
          <w:p w14:paraId="191498F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(587)</w:t>
            </w:r>
          </w:p>
        </w:tc>
        <w:tc>
          <w:tcPr>
            <w:tcW w:w="1103" w:type="dxa"/>
            <w:tcBorders>
              <w:top w:val="nil"/>
              <w:left w:val="nil"/>
              <w:bottom w:val="nil"/>
              <w:right w:val="nil"/>
            </w:tcBorders>
            <w:vAlign w:val="center"/>
            <w:hideMark/>
          </w:tcPr>
          <w:p w14:paraId="463D958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(321)</w:t>
            </w:r>
          </w:p>
        </w:tc>
        <w:tc>
          <w:tcPr>
            <w:tcW w:w="1133" w:type="dxa"/>
            <w:tcBorders>
              <w:top w:val="nil"/>
              <w:left w:val="nil"/>
              <w:bottom w:val="nil"/>
              <w:right w:val="nil"/>
            </w:tcBorders>
            <w:vAlign w:val="center"/>
            <w:hideMark/>
          </w:tcPr>
          <w:p w14:paraId="439EF6D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r>
      <w:tr w:rsidR="004A45B0" w:rsidRPr="004F2B6F" w14:paraId="20976973" w14:textId="77777777" w:rsidTr="004A45B0">
        <w:trPr>
          <w:trHeight w:val="287"/>
        </w:trPr>
        <w:tc>
          <w:tcPr>
            <w:tcW w:w="4164" w:type="dxa"/>
            <w:tcBorders>
              <w:top w:val="nil"/>
              <w:left w:val="nil"/>
              <w:bottom w:val="nil"/>
              <w:right w:val="nil"/>
            </w:tcBorders>
            <w:vAlign w:val="center"/>
            <w:hideMark/>
          </w:tcPr>
          <w:p w14:paraId="0EB5D1C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Purchase of treasury stock</w:t>
            </w:r>
          </w:p>
        </w:tc>
        <w:tc>
          <w:tcPr>
            <w:tcW w:w="1133" w:type="dxa"/>
            <w:tcBorders>
              <w:top w:val="nil"/>
              <w:left w:val="nil"/>
              <w:bottom w:val="nil"/>
              <w:right w:val="nil"/>
            </w:tcBorders>
            <w:vAlign w:val="center"/>
            <w:hideMark/>
          </w:tcPr>
          <w:p w14:paraId="703D932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(3 300)</w:t>
            </w:r>
          </w:p>
        </w:tc>
        <w:tc>
          <w:tcPr>
            <w:tcW w:w="1133" w:type="dxa"/>
            <w:tcBorders>
              <w:top w:val="nil"/>
              <w:left w:val="nil"/>
              <w:bottom w:val="nil"/>
              <w:right w:val="nil"/>
            </w:tcBorders>
            <w:vAlign w:val="center"/>
            <w:hideMark/>
          </w:tcPr>
          <w:p w14:paraId="0542896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(3 762)</w:t>
            </w:r>
          </w:p>
        </w:tc>
        <w:tc>
          <w:tcPr>
            <w:tcW w:w="1133" w:type="dxa"/>
            <w:tcBorders>
              <w:top w:val="nil"/>
              <w:left w:val="nil"/>
              <w:bottom w:val="nil"/>
              <w:right w:val="nil"/>
            </w:tcBorders>
            <w:vAlign w:val="center"/>
            <w:hideMark/>
          </w:tcPr>
          <w:p w14:paraId="649CCB7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(3 953)</w:t>
            </w:r>
          </w:p>
        </w:tc>
        <w:tc>
          <w:tcPr>
            <w:tcW w:w="1103" w:type="dxa"/>
            <w:tcBorders>
              <w:top w:val="nil"/>
              <w:left w:val="nil"/>
              <w:bottom w:val="nil"/>
              <w:right w:val="nil"/>
            </w:tcBorders>
            <w:vAlign w:val="center"/>
            <w:hideMark/>
          </w:tcPr>
          <w:p w14:paraId="6E3678C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(2 566)</w:t>
            </w:r>
          </w:p>
        </w:tc>
        <w:tc>
          <w:tcPr>
            <w:tcW w:w="1133" w:type="dxa"/>
            <w:tcBorders>
              <w:top w:val="nil"/>
              <w:left w:val="nil"/>
              <w:bottom w:val="nil"/>
              <w:right w:val="nil"/>
            </w:tcBorders>
            <w:vAlign w:val="center"/>
            <w:hideMark/>
          </w:tcPr>
          <w:p w14:paraId="3AC487B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r>
      <w:tr w:rsidR="004A45B0" w:rsidRPr="004F2B6F" w14:paraId="73CD5F9C" w14:textId="77777777" w:rsidTr="004A45B0">
        <w:trPr>
          <w:trHeight w:val="287"/>
        </w:trPr>
        <w:tc>
          <w:tcPr>
            <w:tcW w:w="4164" w:type="dxa"/>
            <w:tcBorders>
              <w:top w:val="nil"/>
              <w:left w:val="nil"/>
              <w:bottom w:val="nil"/>
              <w:right w:val="nil"/>
            </w:tcBorders>
            <w:vAlign w:val="center"/>
            <w:hideMark/>
          </w:tcPr>
          <w:p w14:paraId="6BB51ED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Stock-based compensation withholding taxes</w:t>
            </w:r>
          </w:p>
        </w:tc>
        <w:tc>
          <w:tcPr>
            <w:tcW w:w="1133" w:type="dxa"/>
            <w:tcBorders>
              <w:top w:val="nil"/>
              <w:left w:val="nil"/>
              <w:bottom w:val="nil"/>
              <w:right w:val="nil"/>
            </w:tcBorders>
            <w:vAlign w:val="center"/>
            <w:hideMark/>
          </w:tcPr>
          <w:p w14:paraId="1E6C210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(116)</w:t>
            </w:r>
          </w:p>
        </w:tc>
        <w:tc>
          <w:tcPr>
            <w:tcW w:w="1133" w:type="dxa"/>
            <w:tcBorders>
              <w:top w:val="nil"/>
              <w:left w:val="nil"/>
              <w:bottom w:val="nil"/>
              <w:right w:val="nil"/>
            </w:tcBorders>
            <w:vAlign w:val="center"/>
            <w:hideMark/>
          </w:tcPr>
          <w:p w14:paraId="353CC39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(138)</w:t>
            </w:r>
          </w:p>
        </w:tc>
        <w:tc>
          <w:tcPr>
            <w:tcW w:w="1133" w:type="dxa"/>
            <w:tcBorders>
              <w:top w:val="nil"/>
              <w:left w:val="nil"/>
              <w:bottom w:val="nil"/>
              <w:right w:val="nil"/>
            </w:tcBorders>
            <w:vAlign w:val="center"/>
            <w:hideMark/>
          </w:tcPr>
          <w:p w14:paraId="7727755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(108)</w:t>
            </w:r>
          </w:p>
        </w:tc>
        <w:tc>
          <w:tcPr>
            <w:tcW w:w="1103" w:type="dxa"/>
            <w:tcBorders>
              <w:top w:val="nil"/>
              <w:left w:val="nil"/>
              <w:bottom w:val="nil"/>
              <w:right w:val="nil"/>
            </w:tcBorders>
            <w:vAlign w:val="center"/>
            <w:hideMark/>
          </w:tcPr>
          <w:p w14:paraId="3FCD07A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(89)</w:t>
            </w:r>
          </w:p>
        </w:tc>
        <w:tc>
          <w:tcPr>
            <w:tcW w:w="1133" w:type="dxa"/>
            <w:tcBorders>
              <w:top w:val="nil"/>
              <w:left w:val="nil"/>
              <w:bottom w:val="nil"/>
              <w:right w:val="nil"/>
            </w:tcBorders>
            <w:vAlign w:val="center"/>
            <w:hideMark/>
          </w:tcPr>
          <w:p w14:paraId="37AC9B4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(90)</w:t>
            </w:r>
          </w:p>
        </w:tc>
      </w:tr>
      <w:tr w:rsidR="004A45B0" w:rsidRPr="004F2B6F" w14:paraId="49466490" w14:textId="77777777" w:rsidTr="004A45B0">
        <w:trPr>
          <w:trHeight w:val="287"/>
        </w:trPr>
        <w:tc>
          <w:tcPr>
            <w:tcW w:w="4164" w:type="dxa"/>
            <w:tcBorders>
              <w:top w:val="nil"/>
              <w:left w:val="nil"/>
              <w:bottom w:val="nil"/>
              <w:right w:val="nil"/>
            </w:tcBorders>
            <w:vAlign w:val="center"/>
            <w:hideMark/>
          </w:tcPr>
          <w:p w14:paraId="28D9D0B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Other</w:t>
            </w:r>
          </w:p>
        </w:tc>
        <w:tc>
          <w:tcPr>
            <w:tcW w:w="1133" w:type="dxa"/>
            <w:tcBorders>
              <w:top w:val="nil"/>
              <w:left w:val="nil"/>
              <w:bottom w:val="nil"/>
              <w:right w:val="nil"/>
            </w:tcBorders>
            <w:vAlign w:val="center"/>
            <w:hideMark/>
          </w:tcPr>
          <w:p w14:paraId="4727FB3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63DDD3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w:t>
            </w:r>
          </w:p>
        </w:tc>
        <w:tc>
          <w:tcPr>
            <w:tcW w:w="1133" w:type="dxa"/>
            <w:tcBorders>
              <w:top w:val="nil"/>
              <w:left w:val="nil"/>
              <w:bottom w:val="nil"/>
              <w:right w:val="nil"/>
            </w:tcBorders>
            <w:vAlign w:val="center"/>
            <w:hideMark/>
          </w:tcPr>
          <w:p w14:paraId="500BE4F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w:t>
            </w:r>
          </w:p>
        </w:tc>
        <w:tc>
          <w:tcPr>
            <w:tcW w:w="1103" w:type="dxa"/>
            <w:tcBorders>
              <w:top w:val="nil"/>
              <w:left w:val="nil"/>
              <w:bottom w:val="nil"/>
              <w:right w:val="nil"/>
            </w:tcBorders>
            <w:vAlign w:val="center"/>
            <w:hideMark/>
          </w:tcPr>
          <w:p w14:paraId="735B6A4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w:t>
            </w:r>
          </w:p>
        </w:tc>
        <w:tc>
          <w:tcPr>
            <w:tcW w:w="1133" w:type="dxa"/>
            <w:tcBorders>
              <w:top w:val="nil"/>
              <w:left w:val="nil"/>
              <w:bottom w:val="nil"/>
              <w:right w:val="nil"/>
            </w:tcBorders>
            <w:vAlign w:val="center"/>
            <w:hideMark/>
          </w:tcPr>
          <w:p w14:paraId="150A5AB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r>
      <w:tr w:rsidR="004A45B0" w:rsidRPr="004F2B6F" w14:paraId="59A3CDC5" w14:textId="77777777" w:rsidTr="004A45B0">
        <w:trPr>
          <w:trHeight w:val="287"/>
        </w:trPr>
        <w:tc>
          <w:tcPr>
            <w:tcW w:w="4164" w:type="dxa"/>
            <w:tcBorders>
              <w:top w:val="nil"/>
              <w:left w:val="nil"/>
              <w:bottom w:val="nil"/>
              <w:right w:val="nil"/>
            </w:tcBorders>
            <w:shd w:val="clear" w:color="000000" w:fill="F2F2F2"/>
            <w:vAlign w:val="center"/>
            <w:hideMark/>
          </w:tcPr>
          <w:p w14:paraId="2C8CB27E"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Net cash used in financing activities</w:t>
            </w:r>
          </w:p>
        </w:tc>
        <w:tc>
          <w:tcPr>
            <w:tcW w:w="1133" w:type="dxa"/>
            <w:tcBorders>
              <w:top w:val="nil"/>
              <w:left w:val="nil"/>
              <w:bottom w:val="nil"/>
              <w:right w:val="nil"/>
            </w:tcBorders>
            <w:shd w:val="clear" w:color="000000" w:fill="F2F2F2"/>
            <w:vAlign w:val="center"/>
            <w:hideMark/>
          </w:tcPr>
          <w:p w14:paraId="2CA85EDF"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(2 318)</w:t>
            </w:r>
          </w:p>
        </w:tc>
        <w:tc>
          <w:tcPr>
            <w:tcW w:w="1133" w:type="dxa"/>
            <w:tcBorders>
              <w:top w:val="nil"/>
              <w:left w:val="nil"/>
              <w:bottom w:val="nil"/>
              <w:right w:val="nil"/>
            </w:tcBorders>
            <w:shd w:val="clear" w:color="000000" w:fill="F2F2F2"/>
            <w:vAlign w:val="center"/>
            <w:hideMark/>
          </w:tcPr>
          <w:p w14:paraId="524C5558"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(1 956)</w:t>
            </w:r>
          </w:p>
        </w:tc>
        <w:tc>
          <w:tcPr>
            <w:tcW w:w="1133" w:type="dxa"/>
            <w:tcBorders>
              <w:top w:val="nil"/>
              <w:left w:val="nil"/>
              <w:bottom w:val="nil"/>
              <w:right w:val="nil"/>
            </w:tcBorders>
            <w:shd w:val="clear" w:color="000000" w:fill="F2F2F2"/>
            <w:vAlign w:val="center"/>
            <w:hideMark/>
          </w:tcPr>
          <w:p w14:paraId="557303FC"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(2 864)</w:t>
            </w:r>
          </w:p>
        </w:tc>
        <w:tc>
          <w:tcPr>
            <w:tcW w:w="1103" w:type="dxa"/>
            <w:tcBorders>
              <w:top w:val="nil"/>
              <w:left w:val="nil"/>
              <w:bottom w:val="nil"/>
              <w:right w:val="nil"/>
            </w:tcBorders>
            <w:shd w:val="clear" w:color="000000" w:fill="F2F2F2"/>
            <w:vAlign w:val="center"/>
            <w:hideMark/>
          </w:tcPr>
          <w:p w14:paraId="386CAD6B"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(2 962)</w:t>
            </w:r>
          </w:p>
        </w:tc>
        <w:tc>
          <w:tcPr>
            <w:tcW w:w="1133" w:type="dxa"/>
            <w:tcBorders>
              <w:top w:val="nil"/>
              <w:left w:val="nil"/>
              <w:bottom w:val="nil"/>
              <w:right w:val="nil"/>
            </w:tcBorders>
            <w:shd w:val="clear" w:color="000000" w:fill="F2F2F2"/>
            <w:vAlign w:val="center"/>
            <w:hideMark/>
          </w:tcPr>
          <w:p w14:paraId="3C45B7AA"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(463)</w:t>
            </w:r>
          </w:p>
        </w:tc>
      </w:tr>
      <w:tr w:rsidR="004A45B0" w:rsidRPr="004F2B6F" w14:paraId="6236978A" w14:textId="77777777" w:rsidTr="004A45B0">
        <w:trPr>
          <w:trHeight w:val="287"/>
        </w:trPr>
        <w:tc>
          <w:tcPr>
            <w:tcW w:w="4164" w:type="dxa"/>
            <w:tcBorders>
              <w:top w:val="nil"/>
              <w:left w:val="nil"/>
              <w:bottom w:val="nil"/>
              <w:right w:val="nil"/>
            </w:tcBorders>
            <w:vAlign w:val="center"/>
            <w:hideMark/>
          </w:tcPr>
          <w:p w14:paraId="7C19F6AC"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p>
        </w:tc>
        <w:tc>
          <w:tcPr>
            <w:tcW w:w="1133" w:type="dxa"/>
            <w:tcBorders>
              <w:top w:val="nil"/>
              <w:left w:val="nil"/>
              <w:bottom w:val="nil"/>
              <w:right w:val="nil"/>
            </w:tcBorders>
            <w:vAlign w:val="center"/>
            <w:hideMark/>
          </w:tcPr>
          <w:p w14:paraId="0B192B3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5F9B5A82"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65EC074A"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03" w:type="dxa"/>
            <w:tcBorders>
              <w:top w:val="nil"/>
              <w:left w:val="nil"/>
              <w:bottom w:val="nil"/>
              <w:right w:val="nil"/>
            </w:tcBorders>
            <w:vAlign w:val="center"/>
            <w:hideMark/>
          </w:tcPr>
          <w:p w14:paraId="2AE08876"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02DFE3E6" w14:textId="77777777" w:rsidR="004A45B0" w:rsidRPr="004F2B6F" w:rsidRDefault="004A45B0" w:rsidP="004F2B6F">
            <w:pPr>
              <w:spacing w:after="0" w:line="360" w:lineRule="auto"/>
              <w:jc w:val="right"/>
              <w:rPr>
                <w:rFonts w:ascii="Arial" w:eastAsia="Times New Roman" w:hAnsi="Arial" w:cs="Arial"/>
                <w:sz w:val="20"/>
                <w:szCs w:val="20"/>
                <w:lang w:val="en-US" w:eastAsia="en-US"/>
              </w:rPr>
            </w:pPr>
          </w:p>
        </w:tc>
      </w:tr>
      <w:tr w:rsidR="004A45B0" w:rsidRPr="004F2B6F" w14:paraId="567E7B0D" w14:textId="77777777" w:rsidTr="004A45B0">
        <w:trPr>
          <w:trHeight w:val="555"/>
        </w:trPr>
        <w:tc>
          <w:tcPr>
            <w:tcW w:w="4164" w:type="dxa"/>
            <w:tcBorders>
              <w:top w:val="nil"/>
              <w:left w:val="nil"/>
              <w:bottom w:val="nil"/>
              <w:right w:val="nil"/>
            </w:tcBorders>
            <w:shd w:val="clear" w:color="000000" w:fill="F2F2F2"/>
            <w:vAlign w:val="center"/>
            <w:hideMark/>
          </w:tcPr>
          <w:p w14:paraId="636070AF"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(DECREASE) INCREASE IN CASH, CASH EQUIVALENTS, AND RESTRICTED CASH</w:t>
            </w:r>
          </w:p>
        </w:tc>
        <w:tc>
          <w:tcPr>
            <w:tcW w:w="1133" w:type="dxa"/>
            <w:tcBorders>
              <w:top w:val="nil"/>
              <w:left w:val="nil"/>
              <w:bottom w:val="nil"/>
              <w:right w:val="nil"/>
            </w:tcBorders>
            <w:shd w:val="clear" w:color="000000" w:fill="F2F2F2"/>
            <w:vAlign w:val="center"/>
            <w:hideMark/>
          </w:tcPr>
          <w:p w14:paraId="05CFDB78"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(54)</w:t>
            </w:r>
          </w:p>
        </w:tc>
        <w:tc>
          <w:tcPr>
            <w:tcW w:w="1133" w:type="dxa"/>
            <w:tcBorders>
              <w:top w:val="nil"/>
              <w:left w:val="nil"/>
              <w:bottom w:val="nil"/>
              <w:right w:val="nil"/>
            </w:tcBorders>
            <w:shd w:val="clear" w:color="000000" w:fill="F2F2F2"/>
            <w:vAlign w:val="center"/>
            <w:hideMark/>
          </w:tcPr>
          <w:p w14:paraId="122341AB"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59</w:t>
            </w:r>
          </w:p>
        </w:tc>
        <w:tc>
          <w:tcPr>
            <w:tcW w:w="1133" w:type="dxa"/>
            <w:tcBorders>
              <w:top w:val="nil"/>
              <w:left w:val="nil"/>
              <w:bottom w:val="nil"/>
              <w:right w:val="nil"/>
            </w:tcBorders>
            <w:shd w:val="clear" w:color="000000" w:fill="F2F2F2"/>
            <w:vAlign w:val="center"/>
            <w:hideMark/>
          </w:tcPr>
          <w:p w14:paraId="6D9B0400"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(159)</w:t>
            </w:r>
          </w:p>
        </w:tc>
        <w:tc>
          <w:tcPr>
            <w:tcW w:w="1103" w:type="dxa"/>
            <w:tcBorders>
              <w:top w:val="nil"/>
              <w:left w:val="nil"/>
              <w:bottom w:val="nil"/>
              <w:right w:val="nil"/>
            </w:tcBorders>
            <w:shd w:val="clear" w:color="000000" w:fill="F2F2F2"/>
            <w:vAlign w:val="center"/>
            <w:hideMark/>
          </w:tcPr>
          <w:p w14:paraId="6EF56DC2"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(896)</w:t>
            </w:r>
          </w:p>
        </w:tc>
        <w:tc>
          <w:tcPr>
            <w:tcW w:w="1133" w:type="dxa"/>
            <w:tcBorders>
              <w:top w:val="nil"/>
              <w:left w:val="nil"/>
              <w:bottom w:val="nil"/>
              <w:right w:val="nil"/>
            </w:tcBorders>
            <w:shd w:val="clear" w:color="000000" w:fill="F2F2F2"/>
            <w:vAlign w:val="center"/>
            <w:hideMark/>
          </w:tcPr>
          <w:p w14:paraId="58808BC2"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527</w:t>
            </w:r>
          </w:p>
        </w:tc>
      </w:tr>
      <w:tr w:rsidR="004A45B0" w:rsidRPr="004F2B6F" w14:paraId="29C8D3E7" w14:textId="77777777" w:rsidTr="004A45B0">
        <w:trPr>
          <w:trHeight w:val="575"/>
        </w:trPr>
        <w:tc>
          <w:tcPr>
            <w:tcW w:w="4164" w:type="dxa"/>
            <w:tcBorders>
              <w:top w:val="nil"/>
              <w:left w:val="nil"/>
              <w:bottom w:val="nil"/>
              <w:right w:val="nil"/>
            </w:tcBorders>
            <w:vAlign w:val="center"/>
            <w:hideMark/>
          </w:tcPr>
          <w:p w14:paraId="4D4378F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CASH, CASH EQUIVALENTS, AND RESTRICTED CASH, beginning of period</w:t>
            </w:r>
          </w:p>
        </w:tc>
        <w:tc>
          <w:tcPr>
            <w:tcW w:w="1133" w:type="dxa"/>
            <w:tcBorders>
              <w:top w:val="nil"/>
              <w:left w:val="nil"/>
              <w:bottom w:val="nil"/>
              <w:right w:val="nil"/>
            </w:tcBorders>
            <w:vAlign w:val="center"/>
            <w:hideMark/>
          </w:tcPr>
          <w:p w14:paraId="3083798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425</w:t>
            </w:r>
          </w:p>
        </w:tc>
        <w:tc>
          <w:tcPr>
            <w:tcW w:w="1133" w:type="dxa"/>
            <w:tcBorders>
              <w:top w:val="nil"/>
              <w:left w:val="nil"/>
              <w:bottom w:val="nil"/>
              <w:right w:val="nil"/>
            </w:tcBorders>
            <w:vAlign w:val="center"/>
            <w:hideMark/>
          </w:tcPr>
          <w:p w14:paraId="3ED966C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366</w:t>
            </w:r>
          </w:p>
        </w:tc>
        <w:tc>
          <w:tcPr>
            <w:tcW w:w="1133" w:type="dxa"/>
            <w:tcBorders>
              <w:top w:val="nil"/>
              <w:left w:val="nil"/>
              <w:bottom w:val="nil"/>
              <w:right w:val="nil"/>
            </w:tcBorders>
            <w:vAlign w:val="center"/>
            <w:hideMark/>
          </w:tcPr>
          <w:p w14:paraId="35482E5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525</w:t>
            </w:r>
          </w:p>
        </w:tc>
        <w:tc>
          <w:tcPr>
            <w:tcW w:w="1103" w:type="dxa"/>
            <w:tcBorders>
              <w:top w:val="nil"/>
              <w:left w:val="nil"/>
              <w:bottom w:val="nil"/>
              <w:right w:val="nil"/>
            </w:tcBorders>
            <w:vAlign w:val="center"/>
            <w:hideMark/>
          </w:tcPr>
          <w:p w14:paraId="2D25AD5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1 421</w:t>
            </w:r>
          </w:p>
        </w:tc>
        <w:tc>
          <w:tcPr>
            <w:tcW w:w="1133" w:type="dxa"/>
            <w:tcBorders>
              <w:top w:val="nil"/>
              <w:left w:val="nil"/>
              <w:bottom w:val="nil"/>
              <w:right w:val="nil"/>
            </w:tcBorders>
            <w:vAlign w:val="center"/>
            <w:hideMark/>
          </w:tcPr>
          <w:p w14:paraId="1977F39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894</w:t>
            </w:r>
          </w:p>
        </w:tc>
      </w:tr>
      <w:tr w:rsidR="004A45B0" w:rsidRPr="004F2B6F" w14:paraId="560F2352" w14:textId="77777777" w:rsidTr="004A45B0">
        <w:trPr>
          <w:trHeight w:val="773"/>
        </w:trPr>
        <w:tc>
          <w:tcPr>
            <w:tcW w:w="4164" w:type="dxa"/>
            <w:tcBorders>
              <w:top w:val="nil"/>
              <w:left w:val="nil"/>
              <w:bottom w:val="nil"/>
              <w:right w:val="nil"/>
            </w:tcBorders>
            <w:shd w:val="clear" w:color="000000" w:fill="F2F2F2"/>
            <w:vAlign w:val="center"/>
            <w:hideMark/>
          </w:tcPr>
          <w:p w14:paraId="18761BEA" w14:textId="77777777" w:rsidR="004A45B0" w:rsidRPr="004F2B6F" w:rsidRDefault="004A45B0" w:rsidP="004F2B6F">
            <w:pPr>
              <w:spacing w:after="0" w:line="360" w:lineRule="auto"/>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CASH, CASH EQUIVALENTS, AND RESTRICTED CASH, end of period</w:t>
            </w:r>
          </w:p>
        </w:tc>
        <w:tc>
          <w:tcPr>
            <w:tcW w:w="1133" w:type="dxa"/>
            <w:tcBorders>
              <w:top w:val="nil"/>
              <w:left w:val="nil"/>
              <w:bottom w:val="nil"/>
              <w:right w:val="nil"/>
            </w:tcBorders>
            <w:shd w:val="clear" w:color="000000" w:fill="F2F2F2"/>
            <w:vAlign w:val="center"/>
            <w:hideMark/>
          </w:tcPr>
          <w:p w14:paraId="06198F11"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371</w:t>
            </w:r>
          </w:p>
        </w:tc>
        <w:tc>
          <w:tcPr>
            <w:tcW w:w="1133" w:type="dxa"/>
            <w:tcBorders>
              <w:top w:val="nil"/>
              <w:left w:val="nil"/>
              <w:bottom w:val="nil"/>
              <w:right w:val="nil"/>
            </w:tcBorders>
            <w:shd w:val="clear" w:color="000000" w:fill="F2F2F2"/>
            <w:vAlign w:val="center"/>
            <w:hideMark/>
          </w:tcPr>
          <w:p w14:paraId="1D92355A"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425</w:t>
            </w:r>
          </w:p>
        </w:tc>
        <w:tc>
          <w:tcPr>
            <w:tcW w:w="1133" w:type="dxa"/>
            <w:tcBorders>
              <w:top w:val="nil"/>
              <w:left w:val="nil"/>
              <w:bottom w:val="nil"/>
              <w:right w:val="nil"/>
            </w:tcBorders>
            <w:shd w:val="clear" w:color="000000" w:fill="F2F2F2"/>
            <w:vAlign w:val="center"/>
            <w:hideMark/>
          </w:tcPr>
          <w:p w14:paraId="0D157DB0"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366</w:t>
            </w:r>
          </w:p>
        </w:tc>
        <w:tc>
          <w:tcPr>
            <w:tcW w:w="1103" w:type="dxa"/>
            <w:tcBorders>
              <w:top w:val="nil"/>
              <w:left w:val="nil"/>
              <w:bottom w:val="nil"/>
              <w:right w:val="nil"/>
            </w:tcBorders>
            <w:shd w:val="clear" w:color="000000" w:fill="F2F2F2"/>
            <w:vAlign w:val="center"/>
            <w:hideMark/>
          </w:tcPr>
          <w:p w14:paraId="0C838110"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525</w:t>
            </w:r>
          </w:p>
        </w:tc>
        <w:tc>
          <w:tcPr>
            <w:tcW w:w="1133" w:type="dxa"/>
            <w:tcBorders>
              <w:top w:val="nil"/>
              <w:left w:val="nil"/>
              <w:bottom w:val="nil"/>
              <w:right w:val="nil"/>
            </w:tcBorders>
            <w:shd w:val="clear" w:color="000000" w:fill="F2F2F2"/>
            <w:vAlign w:val="center"/>
            <w:hideMark/>
          </w:tcPr>
          <w:p w14:paraId="2BFAF82A"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r w:rsidRPr="004F2B6F">
              <w:rPr>
                <w:rFonts w:ascii="Arial" w:eastAsia="Times New Roman" w:hAnsi="Arial" w:cs="Arial"/>
                <w:b/>
                <w:bCs/>
                <w:sz w:val="22"/>
                <w:szCs w:val="22"/>
                <w:lang w:val="en-US" w:eastAsia="en-US"/>
              </w:rPr>
              <w:t>1 421</w:t>
            </w:r>
          </w:p>
        </w:tc>
      </w:tr>
      <w:tr w:rsidR="004A45B0" w:rsidRPr="004F2B6F" w14:paraId="4D7A89E9" w14:textId="77777777" w:rsidTr="004A45B0">
        <w:trPr>
          <w:trHeight w:val="287"/>
        </w:trPr>
        <w:tc>
          <w:tcPr>
            <w:tcW w:w="4164" w:type="dxa"/>
            <w:tcBorders>
              <w:top w:val="nil"/>
              <w:left w:val="nil"/>
              <w:bottom w:val="nil"/>
              <w:right w:val="nil"/>
            </w:tcBorders>
            <w:vAlign w:val="center"/>
            <w:hideMark/>
          </w:tcPr>
          <w:p w14:paraId="1DCAE63F" w14:textId="77777777" w:rsidR="004A45B0" w:rsidRPr="004F2B6F" w:rsidRDefault="004A45B0" w:rsidP="004F2B6F">
            <w:pPr>
              <w:spacing w:after="0" w:line="360" w:lineRule="auto"/>
              <w:jc w:val="right"/>
              <w:rPr>
                <w:rFonts w:ascii="Arial" w:eastAsia="Times New Roman" w:hAnsi="Arial" w:cs="Arial"/>
                <w:b/>
                <w:bCs/>
                <w:sz w:val="22"/>
                <w:szCs w:val="22"/>
                <w:lang w:val="en-US" w:eastAsia="en-US"/>
              </w:rPr>
            </w:pPr>
          </w:p>
        </w:tc>
        <w:tc>
          <w:tcPr>
            <w:tcW w:w="1133" w:type="dxa"/>
            <w:tcBorders>
              <w:top w:val="nil"/>
              <w:left w:val="nil"/>
              <w:bottom w:val="nil"/>
              <w:right w:val="nil"/>
            </w:tcBorders>
            <w:vAlign w:val="center"/>
            <w:hideMark/>
          </w:tcPr>
          <w:p w14:paraId="0BEFB01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05442F5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23D8D82D"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03" w:type="dxa"/>
            <w:tcBorders>
              <w:top w:val="nil"/>
              <w:left w:val="nil"/>
              <w:bottom w:val="nil"/>
              <w:right w:val="nil"/>
            </w:tcBorders>
            <w:vAlign w:val="center"/>
            <w:hideMark/>
          </w:tcPr>
          <w:p w14:paraId="50E9F95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133" w:type="dxa"/>
            <w:tcBorders>
              <w:top w:val="nil"/>
              <w:left w:val="nil"/>
              <w:bottom w:val="nil"/>
              <w:right w:val="nil"/>
            </w:tcBorders>
            <w:vAlign w:val="center"/>
            <w:hideMark/>
          </w:tcPr>
          <w:p w14:paraId="3B0F1A8E"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477CDDB" w14:textId="77777777" w:rsidTr="004A45B0">
        <w:trPr>
          <w:trHeight w:val="476"/>
        </w:trPr>
        <w:tc>
          <w:tcPr>
            <w:tcW w:w="4164" w:type="dxa"/>
            <w:tcBorders>
              <w:top w:val="nil"/>
              <w:left w:val="nil"/>
              <w:bottom w:val="nil"/>
              <w:right w:val="nil"/>
            </w:tcBorders>
            <w:shd w:val="clear" w:color="000000" w:fill="F2F2F2"/>
            <w:vAlign w:val="center"/>
            <w:hideMark/>
          </w:tcPr>
          <w:p w14:paraId="71097EB1"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Sources</w:t>
            </w:r>
          </w:p>
        </w:tc>
        <w:tc>
          <w:tcPr>
            <w:tcW w:w="1133" w:type="dxa"/>
            <w:tcBorders>
              <w:top w:val="nil"/>
              <w:left w:val="nil"/>
              <w:bottom w:val="nil"/>
              <w:right w:val="nil"/>
            </w:tcBorders>
            <w:shd w:val="clear" w:color="000000" w:fill="F2F2F2"/>
            <w:vAlign w:val="center"/>
            <w:hideMark/>
          </w:tcPr>
          <w:p w14:paraId="144E3E58"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2025 Annual Report</w:t>
            </w:r>
          </w:p>
        </w:tc>
        <w:tc>
          <w:tcPr>
            <w:tcW w:w="1133" w:type="dxa"/>
            <w:tcBorders>
              <w:top w:val="nil"/>
              <w:left w:val="nil"/>
              <w:bottom w:val="nil"/>
              <w:right w:val="nil"/>
            </w:tcBorders>
            <w:shd w:val="clear" w:color="000000" w:fill="F2F2F2"/>
            <w:vAlign w:val="center"/>
            <w:hideMark/>
          </w:tcPr>
          <w:p w14:paraId="18BA7B21"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2025 Annual Report</w:t>
            </w:r>
          </w:p>
        </w:tc>
        <w:tc>
          <w:tcPr>
            <w:tcW w:w="1133" w:type="dxa"/>
            <w:tcBorders>
              <w:top w:val="nil"/>
              <w:left w:val="nil"/>
              <w:bottom w:val="nil"/>
              <w:right w:val="nil"/>
            </w:tcBorders>
            <w:shd w:val="clear" w:color="000000" w:fill="F2F2F2"/>
            <w:vAlign w:val="center"/>
            <w:hideMark/>
          </w:tcPr>
          <w:p w14:paraId="45126D91"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2025 / 2023 Annual Reports</w:t>
            </w:r>
          </w:p>
        </w:tc>
        <w:tc>
          <w:tcPr>
            <w:tcW w:w="1103" w:type="dxa"/>
            <w:tcBorders>
              <w:top w:val="nil"/>
              <w:left w:val="nil"/>
              <w:bottom w:val="nil"/>
              <w:right w:val="nil"/>
            </w:tcBorders>
            <w:shd w:val="clear" w:color="000000" w:fill="F2F2F2"/>
            <w:vAlign w:val="center"/>
            <w:hideMark/>
          </w:tcPr>
          <w:p w14:paraId="6F021F93"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2023 Annual Report</w:t>
            </w:r>
          </w:p>
        </w:tc>
        <w:tc>
          <w:tcPr>
            <w:tcW w:w="1133" w:type="dxa"/>
            <w:tcBorders>
              <w:top w:val="nil"/>
              <w:left w:val="nil"/>
              <w:bottom w:val="nil"/>
              <w:right w:val="nil"/>
            </w:tcBorders>
            <w:shd w:val="clear" w:color="000000" w:fill="F2F2F2"/>
            <w:vAlign w:val="center"/>
            <w:hideMark/>
          </w:tcPr>
          <w:p w14:paraId="3F824AAE" w14:textId="77777777" w:rsidR="004A45B0" w:rsidRPr="004F2B6F" w:rsidRDefault="004A45B0" w:rsidP="004F2B6F">
            <w:pPr>
              <w:spacing w:after="0" w:line="360" w:lineRule="auto"/>
              <w:rPr>
                <w:rFonts w:ascii="Arial" w:eastAsia="Times New Roman" w:hAnsi="Arial" w:cs="Arial"/>
                <w:i/>
                <w:iCs/>
                <w:sz w:val="18"/>
                <w:szCs w:val="18"/>
                <w:lang w:val="en-US" w:eastAsia="en-US"/>
              </w:rPr>
            </w:pPr>
            <w:r w:rsidRPr="004F2B6F">
              <w:rPr>
                <w:rFonts w:ascii="Arial" w:eastAsia="Times New Roman" w:hAnsi="Arial" w:cs="Arial"/>
                <w:i/>
                <w:iCs/>
                <w:sz w:val="18"/>
                <w:szCs w:val="18"/>
                <w:lang w:val="en-US" w:eastAsia="en-US"/>
              </w:rPr>
              <w:t>2023 Annual Report</w:t>
            </w:r>
          </w:p>
        </w:tc>
      </w:tr>
    </w:tbl>
    <w:p w14:paraId="3CC4FF2E" w14:textId="77777777" w:rsidR="0088157C" w:rsidRPr="004F2B6F" w:rsidRDefault="0088157C" w:rsidP="004F2B6F">
      <w:pPr>
        <w:spacing w:line="360" w:lineRule="auto"/>
        <w:rPr>
          <w:rFonts w:ascii="Arial" w:hAnsi="Arial" w:cs="Arial"/>
          <w:lang w:val="en-US"/>
        </w:rPr>
      </w:pPr>
    </w:p>
    <w:p w14:paraId="45E6D4A4" w14:textId="77777777" w:rsidR="004A45B0" w:rsidRPr="004F2B6F" w:rsidRDefault="004A45B0" w:rsidP="004F2B6F">
      <w:pPr>
        <w:spacing w:line="360" w:lineRule="auto"/>
        <w:rPr>
          <w:rFonts w:ascii="Arial" w:hAnsi="Arial" w:cs="Arial"/>
          <w:b/>
          <w:bCs/>
          <w:lang w:val="en-US"/>
        </w:rPr>
      </w:pPr>
    </w:p>
    <w:p w14:paraId="0089B1B1" w14:textId="77777777" w:rsidR="004A45B0" w:rsidRPr="004F2B6F" w:rsidRDefault="004A45B0" w:rsidP="004F2B6F">
      <w:pPr>
        <w:spacing w:line="360" w:lineRule="auto"/>
        <w:rPr>
          <w:rFonts w:ascii="Arial" w:hAnsi="Arial" w:cs="Arial"/>
          <w:b/>
          <w:bCs/>
          <w:lang w:val="en-US"/>
        </w:rPr>
      </w:pPr>
    </w:p>
    <w:p w14:paraId="7606E59F" w14:textId="77777777" w:rsidR="005025C3" w:rsidRPr="004F2B6F" w:rsidRDefault="005025C3" w:rsidP="004F2B6F">
      <w:pPr>
        <w:spacing w:line="360" w:lineRule="auto"/>
        <w:rPr>
          <w:rFonts w:ascii="Arial" w:hAnsi="Arial" w:cs="Arial"/>
          <w:b/>
          <w:bCs/>
          <w:lang w:val="en-US"/>
        </w:rPr>
      </w:pPr>
    </w:p>
    <w:p w14:paraId="0CAFC5DC" w14:textId="77777777" w:rsidR="005025C3" w:rsidRPr="004F2B6F" w:rsidRDefault="005025C3" w:rsidP="004F2B6F">
      <w:pPr>
        <w:spacing w:line="360" w:lineRule="auto"/>
        <w:rPr>
          <w:rFonts w:ascii="Arial" w:hAnsi="Arial" w:cs="Arial"/>
          <w:b/>
          <w:bCs/>
          <w:lang w:val="en-US"/>
        </w:rPr>
      </w:pPr>
    </w:p>
    <w:p w14:paraId="7876877E" w14:textId="77777777" w:rsidR="005025C3" w:rsidRPr="004F2B6F" w:rsidRDefault="005025C3" w:rsidP="004F2B6F">
      <w:pPr>
        <w:spacing w:line="360" w:lineRule="auto"/>
        <w:rPr>
          <w:rFonts w:ascii="Arial" w:hAnsi="Arial" w:cs="Arial"/>
          <w:b/>
          <w:bCs/>
          <w:lang w:val="en-US"/>
        </w:rPr>
      </w:pPr>
    </w:p>
    <w:p w14:paraId="7DC60892" w14:textId="77777777" w:rsidR="005025C3" w:rsidRPr="004F2B6F" w:rsidRDefault="005025C3" w:rsidP="004F2B6F">
      <w:pPr>
        <w:spacing w:line="360" w:lineRule="auto"/>
        <w:rPr>
          <w:rFonts w:ascii="Arial" w:hAnsi="Arial" w:cs="Arial"/>
          <w:b/>
          <w:bCs/>
          <w:lang w:val="en-US"/>
        </w:rPr>
      </w:pPr>
    </w:p>
    <w:p w14:paraId="1052A3DC" w14:textId="77777777" w:rsidR="005025C3" w:rsidRPr="004F2B6F" w:rsidRDefault="005025C3" w:rsidP="004F2B6F">
      <w:pPr>
        <w:spacing w:line="360" w:lineRule="auto"/>
        <w:rPr>
          <w:rFonts w:ascii="Arial" w:hAnsi="Arial" w:cs="Arial"/>
          <w:b/>
          <w:bCs/>
          <w:lang w:val="en-US"/>
        </w:rPr>
      </w:pPr>
    </w:p>
    <w:p w14:paraId="3422BFA6" w14:textId="77777777" w:rsidR="005025C3" w:rsidRPr="004F2B6F" w:rsidRDefault="005025C3" w:rsidP="004F2B6F">
      <w:pPr>
        <w:spacing w:line="360" w:lineRule="auto"/>
        <w:rPr>
          <w:rFonts w:ascii="Arial" w:hAnsi="Arial" w:cs="Arial"/>
          <w:b/>
          <w:bCs/>
          <w:lang w:val="en-US"/>
        </w:rPr>
      </w:pPr>
    </w:p>
    <w:p w14:paraId="25AE68A5" w14:textId="77777777" w:rsidR="005025C3" w:rsidRPr="004F2B6F" w:rsidRDefault="005025C3" w:rsidP="004F2B6F">
      <w:pPr>
        <w:spacing w:line="360" w:lineRule="auto"/>
        <w:rPr>
          <w:rFonts w:ascii="Arial" w:hAnsi="Arial" w:cs="Arial"/>
          <w:b/>
          <w:bCs/>
          <w:lang w:val="en-US"/>
        </w:rPr>
      </w:pPr>
    </w:p>
    <w:p w14:paraId="5345CC99" w14:textId="43787E15" w:rsidR="00B9519C" w:rsidRPr="004F2B6F" w:rsidRDefault="00B9519C" w:rsidP="004F2B6F">
      <w:pPr>
        <w:spacing w:line="360" w:lineRule="auto"/>
        <w:rPr>
          <w:rFonts w:ascii="Arial" w:hAnsi="Arial" w:cs="Arial"/>
          <w:b/>
          <w:bCs/>
          <w:lang w:val="en-US"/>
        </w:rPr>
      </w:pPr>
      <w:r w:rsidRPr="004F2B6F">
        <w:rPr>
          <w:rFonts w:ascii="Arial" w:hAnsi="Arial" w:cs="Arial"/>
          <w:b/>
          <w:bCs/>
          <w:lang w:val="en-US"/>
        </w:rPr>
        <w:lastRenderedPageBreak/>
        <w:t>Appendix D – Financial Ratio Analysis and Supporting Calculations (2021–2025)</w:t>
      </w:r>
    </w:p>
    <w:p w14:paraId="6CB4FCF5" w14:textId="5AE38134" w:rsidR="004A45B0" w:rsidRPr="004F2B6F" w:rsidRDefault="00377CA9" w:rsidP="004F2B6F">
      <w:pPr>
        <w:spacing w:line="360" w:lineRule="auto"/>
        <w:rPr>
          <w:rFonts w:ascii="Arial" w:hAnsi="Arial" w:cs="Arial"/>
          <w:b/>
          <w:bCs/>
          <w:lang w:val="en-US"/>
        </w:rPr>
      </w:pPr>
      <w:r w:rsidRPr="004F2B6F">
        <w:rPr>
          <w:rFonts w:ascii="Arial" w:hAnsi="Arial" w:cs="Arial"/>
          <w:b/>
          <w:bCs/>
        </w:rPr>
        <w:t>Table D1. Financial Ratio Analysis (2021–2025). Source: Annual reports and author's calculations.</w:t>
      </w:r>
    </w:p>
    <w:tbl>
      <w:tblPr>
        <w:tblW w:w="7360" w:type="dxa"/>
        <w:tblLook w:val="04A0" w:firstRow="1" w:lastRow="0" w:firstColumn="1" w:lastColumn="0" w:noHBand="0" w:noVBand="1"/>
      </w:tblPr>
      <w:tblGrid>
        <w:gridCol w:w="2560"/>
        <w:gridCol w:w="960"/>
        <w:gridCol w:w="960"/>
        <w:gridCol w:w="960"/>
        <w:gridCol w:w="960"/>
        <w:gridCol w:w="960"/>
      </w:tblGrid>
      <w:tr w:rsidR="004A45B0" w:rsidRPr="004F2B6F" w14:paraId="50280BF4" w14:textId="77777777" w:rsidTr="004A45B0">
        <w:trPr>
          <w:trHeight w:val="290"/>
        </w:trPr>
        <w:tc>
          <w:tcPr>
            <w:tcW w:w="2560" w:type="dxa"/>
            <w:tcBorders>
              <w:top w:val="nil"/>
              <w:left w:val="nil"/>
              <w:bottom w:val="nil"/>
              <w:right w:val="nil"/>
            </w:tcBorders>
            <w:shd w:val="clear" w:color="000000" w:fill="1F4E78"/>
            <w:noWrap/>
            <w:vAlign w:val="bottom"/>
            <w:hideMark/>
          </w:tcPr>
          <w:p w14:paraId="00F9274B"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Ratio</w:t>
            </w:r>
          </w:p>
        </w:tc>
        <w:tc>
          <w:tcPr>
            <w:tcW w:w="960" w:type="dxa"/>
            <w:tcBorders>
              <w:top w:val="nil"/>
              <w:left w:val="nil"/>
              <w:bottom w:val="nil"/>
              <w:right w:val="nil"/>
            </w:tcBorders>
            <w:shd w:val="clear" w:color="000000" w:fill="1F4E78"/>
            <w:noWrap/>
            <w:vAlign w:val="bottom"/>
            <w:hideMark/>
          </w:tcPr>
          <w:p w14:paraId="71651DD1"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2025</w:t>
            </w:r>
          </w:p>
        </w:tc>
        <w:tc>
          <w:tcPr>
            <w:tcW w:w="960" w:type="dxa"/>
            <w:tcBorders>
              <w:top w:val="nil"/>
              <w:left w:val="nil"/>
              <w:bottom w:val="nil"/>
              <w:right w:val="nil"/>
            </w:tcBorders>
            <w:shd w:val="clear" w:color="000000" w:fill="1F4E78"/>
            <w:noWrap/>
            <w:vAlign w:val="bottom"/>
            <w:hideMark/>
          </w:tcPr>
          <w:p w14:paraId="4F35D642"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2024</w:t>
            </w:r>
          </w:p>
        </w:tc>
        <w:tc>
          <w:tcPr>
            <w:tcW w:w="960" w:type="dxa"/>
            <w:tcBorders>
              <w:top w:val="nil"/>
              <w:left w:val="nil"/>
              <w:bottom w:val="nil"/>
              <w:right w:val="nil"/>
            </w:tcBorders>
            <w:shd w:val="clear" w:color="000000" w:fill="1F4E78"/>
            <w:noWrap/>
            <w:vAlign w:val="bottom"/>
            <w:hideMark/>
          </w:tcPr>
          <w:p w14:paraId="5F69869B"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2023</w:t>
            </w:r>
          </w:p>
        </w:tc>
        <w:tc>
          <w:tcPr>
            <w:tcW w:w="960" w:type="dxa"/>
            <w:tcBorders>
              <w:top w:val="nil"/>
              <w:left w:val="nil"/>
              <w:bottom w:val="nil"/>
              <w:right w:val="nil"/>
            </w:tcBorders>
            <w:shd w:val="clear" w:color="000000" w:fill="1F4E78"/>
            <w:noWrap/>
            <w:vAlign w:val="bottom"/>
            <w:hideMark/>
          </w:tcPr>
          <w:p w14:paraId="6E5DBFF9"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2022</w:t>
            </w:r>
          </w:p>
        </w:tc>
        <w:tc>
          <w:tcPr>
            <w:tcW w:w="960" w:type="dxa"/>
            <w:tcBorders>
              <w:top w:val="nil"/>
              <w:left w:val="nil"/>
              <w:bottom w:val="nil"/>
              <w:right w:val="nil"/>
            </w:tcBorders>
            <w:shd w:val="clear" w:color="000000" w:fill="1F4E78"/>
            <w:noWrap/>
            <w:vAlign w:val="bottom"/>
            <w:hideMark/>
          </w:tcPr>
          <w:p w14:paraId="1D9AA13B"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2021</w:t>
            </w:r>
          </w:p>
        </w:tc>
      </w:tr>
      <w:tr w:rsidR="004A45B0" w:rsidRPr="004F2B6F" w14:paraId="6278345D" w14:textId="77777777" w:rsidTr="00377CA9">
        <w:trPr>
          <w:trHeight w:val="290"/>
        </w:trPr>
        <w:tc>
          <w:tcPr>
            <w:tcW w:w="2560" w:type="dxa"/>
            <w:tcBorders>
              <w:top w:val="single" w:sz="4" w:space="0" w:color="auto"/>
              <w:left w:val="single" w:sz="4" w:space="0" w:color="auto"/>
              <w:bottom w:val="single" w:sz="4" w:space="0" w:color="auto"/>
              <w:right w:val="single" w:sz="4" w:space="0" w:color="auto"/>
            </w:tcBorders>
            <w:shd w:val="clear" w:color="auto" w:fill="DAE9F7" w:themeFill="text2" w:themeFillTint="1A"/>
            <w:noWrap/>
            <w:vAlign w:val="bottom"/>
            <w:hideMark/>
          </w:tcPr>
          <w:p w14:paraId="2B5F8056"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Gross Margin %</w:t>
            </w:r>
          </w:p>
        </w:tc>
        <w:tc>
          <w:tcPr>
            <w:tcW w:w="960" w:type="dxa"/>
            <w:tcBorders>
              <w:top w:val="single" w:sz="4" w:space="0" w:color="auto"/>
              <w:left w:val="nil"/>
              <w:bottom w:val="single" w:sz="4" w:space="0" w:color="auto"/>
              <w:right w:val="single" w:sz="4" w:space="0" w:color="auto"/>
            </w:tcBorders>
            <w:noWrap/>
            <w:vAlign w:val="bottom"/>
            <w:hideMark/>
          </w:tcPr>
          <w:p w14:paraId="09CB1DE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19,94</w:t>
            </w:r>
          </w:p>
        </w:tc>
        <w:tc>
          <w:tcPr>
            <w:tcW w:w="960" w:type="dxa"/>
            <w:tcBorders>
              <w:top w:val="single" w:sz="4" w:space="0" w:color="auto"/>
              <w:left w:val="nil"/>
              <w:bottom w:val="single" w:sz="4" w:space="0" w:color="auto"/>
              <w:right w:val="single" w:sz="4" w:space="0" w:color="auto"/>
            </w:tcBorders>
            <w:noWrap/>
            <w:vAlign w:val="bottom"/>
            <w:hideMark/>
          </w:tcPr>
          <w:p w14:paraId="5047561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19,81</w:t>
            </w:r>
          </w:p>
        </w:tc>
        <w:tc>
          <w:tcPr>
            <w:tcW w:w="960" w:type="dxa"/>
            <w:tcBorders>
              <w:top w:val="single" w:sz="4" w:space="0" w:color="auto"/>
              <w:left w:val="nil"/>
              <w:bottom w:val="single" w:sz="4" w:space="0" w:color="auto"/>
              <w:right w:val="single" w:sz="4" w:space="0" w:color="auto"/>
            </w:tcBorders>
            <w:noWrap/>
            <w:vAlign w:val="bottom"/>
            <w:hideMark/>
          </w:tcPr>
          <w:p w14:paraId="5BBEF0D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21</w:t>
            </w:r>
          </w:p>
        </w:tc>
        <w:tc>
          <w:tcPr>
            <w:tcW w:w="960" w:type="dxa"/>
            <w:tcBorders>
              <w:top w:val="single" w:sz="4" w:space="0" w:color="auto"/>
              <w:left w:val="nil"/>
              <w:bottom w:val="single" w:sz="4" w:space="0" w:color="auto"/>
              <w:right w:val="single" w:sz="4" w:space="0" w:color="auto"/>
            </w:tcBorders>
            <w:noWrap/>
            <w:vAlign w:val="bottom"/>
            <w:hideMark/>
          </w:tcPr>
          <w:p w14:paraId="472A80A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21,94</w:t>
            </w:r>
          </w:p>
        </w:tc>
        <w:tc>
          <w:tcPr>
            <w:tcW w:w="960" w:type="dxa"/>
            <w:tcBorders>
              <w:top w:val="single" w:sz="4" w:space="0" w:color="auto"/>
              <w:left w:val="nil"/>
              <w:bottom w:val="single" w:sz="4" w:space="0" w:color="auto"/>
              <w:right w:val="single" w:sz="4" w:space="0" w:color="auto"/>
            </w:tcBorders>
            <w:noWrap/>
            <w:vAlign w:val="bottom"/>
            <w:hideMark/>
          </w:tcPr>
          <w:p w14:paraId="4496A65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20,21</w:t>
            </w:r>
          </w:p>
        </w:tc>
      </w:tr>
      <w:tr w:rsidR="004A45B0" w:rsidRPr="004F2B6F" w14:paraId="6F74A1A0"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387DCF0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Operating Margin %</w:t>
            </w:r>
          </w:p>
        </w:tc>
        <w:tc>
          <w:tcPr>
            <w:tcW w:w="960" w:type="dxa"/>
            <w:tcBorders>
              <w:top w:val="nil"/>
              <w:left w:val="nil"/>
              <w:bottom w:val="single" w:sz="4" w:space="0" w:color="auto"/>
              <w:right w:val="single" w:sz="4" w:space="0" w:color="auto"/>
            </w:tcBorders>
            <w:noWrap/>
            <w:vAlign w:val="bottom"/>
            <w:hideMark/>
          </w:tcPr>
          <w:p w14:paraId="4D7CAB1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15,81</w:t>
            </w:r>
          </w:p>
        </w:tc>
        <w:tc>
          <w:tcPr>
            <w:tcW w:w="960" w:type="dxa"/>
            <w:tcBorders>
              <w:top w:val="nil"/>
              <w:left w:val="nil"/>
              <w:bottom w:val="single" w:sz="4" w:space="0" w:color="auto"/>
              <w:right w:val="single" w:sz="4" w:space="0" w:color="auto"/>
            </w:tcBorders>
            <w:noWrap/>
            <w:vAlign w:val="bottom"/>
            <w:hideMark/>
          </w:tcPr>
          <w:p w14:paraId="42BD7AB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15,31</w:t>
            </w:r>
          </w:p>
        </w:tc>
        <w:tc>
          <w:tcPr>
            <w:tcW w:w="960" w:type="dxa"/>
            <w:tcBorders>
              <w:top w:val="nil"/>
              <w:left w:val="nil"/>
              <w:bottom w:val="single" w:sz="4" w:space="0" w:color="auto"/>
              <w:right w:val="single" w:sz="4" w:space="0" w:color="auto"/>
            </w:tcBorders>
            <w:noWrap/>
            <w:vAlign w:val="bottom"/>
            <w:hideMark/>
          </w:tcPr>
          <w:p w14:paraId="7A1A5A2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16,59</w:t>
            </w:r>
          </w:p>
        </w:tc>
        <w:tc>
          <w:tcPr>
            <w:tcW w:w="960" w:type="dxa"/>
            <w:tcBorders>
              <w:top w:val="nil"/>
              <w:left w:val="nil"/>
              <w:bottom w:val="single" w:sz="4" w:space="0" w:color="auto"/>
              <w:right w:val="single" w:sz="4" w:space="0" w:color="auto"/>
            </w:tcBorders>
            <w:noWrap/>
            <w:vAlign w:val="bottom"/>
            <w:hideMark/>
          </w:tcPr>
          <w:p w14:paraId="6001A4E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16,72</w:t>
            </w:r>
          </w:p>
        </w:tc>
        <w:tc>
          <w:tcPr>
            <w:tcW w:w="960" w:type="dxa"/>
            <w:tcBorders>
              <w:top w:val="nil"/>
              <w:left w:val="nil"/>
              <w:bottom w:val="single" w:sz="4" w:space="0" w:color="auto"/>
              <w:right w:val="single" w:sz="4" w:space="0" w:color="auto"/>
            </w:tcBorders>
            <w:noWrap/>
            <w:vAlign w:val="bottom"/>
            <w:hideMark/>
          </w:tcPr>
          <w:p w14:paraId="3A1FC27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12,69</w:t>
            </w:r>
          </w:p>
        </w:tc>
      </w:tr>
      <w:tr w:rsidR="004A45B0" w:rsidRPr="004F2B6F" w14:paraId="50103610"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6869792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Net Profit Margin %</w:t>
            </w:r>
          </w:p>
        </w:tc>
        <w:tc>
          <w:tcPr>
            <w:tcW w:w="960" w:type="dxa"/>
            <w:tcBorders>
              <w:top w:val="nil"/>
              <w:left w:val="nil"/>
              <w:bottom w:val="single" w:sz="4" w:space="0" w:color="auto"/>
              <w:right w:val="single" w:sz="4" w:space="0" w:color="auto"/>
            </w:tcBorders>
            <w:noWrap/>
            <w:vAlign w:val="bottom"/>
            <w:hideMark/>
          </w:tcPr>
          <w:p w14:paraId="3158A02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9,93</w:t>
            </w:r>
          </w:p>
        </w:tc>
        <w:tc>
          <w:tcPr>
            <w:tcW w:w="960" w:type="dxa"/>
            <w:tcBorders>
              <w:top w:val="nil"/>
              <w:left w:val="nil"/>
              <w:bottom w:val="single" w:sz="4" w:space="0" w:color="auto"/>
              <w:right w:val="single" w:sz="4" w:space="0" w:color="auto"/>
            </w:tcBorders>
            <w:noWrap/>
            <w:vAlign w:val="bottom"/>
            <w:hideMark/>
          </w:tcPr>
          <w:p w14:paraId="30050F1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9,46</w:t>
            </w:r>
          </w:p>
        </w:tc>
        <w:tc>
          <w:tcPr>
            <w:tcW w:w="960" w:type="dxa"/>
            <w:tcBorders>
              <w:top w:val="nil"/>
              <w:left w:val="nil"/>
              <w:bottom w:val="single" w:sz="4" w:space="0" w:color="auto"/>
              <w:right w:val="single" w:sz="4" w:space="0" w:color="auto"/>
            </w:tcBorders>
            <w:noWrap/>
            <w:vAlign w:val="bottom"/>
            <w:hideMark/>
          </w:tcPr>
          <w:p w14:paraId="4D201EF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w:t>
            </w:r>
          </w:p>
        </w:tc>
        <w:tc>
          <w:tcPr>
            <w:tcW w:w="960" w:type="dxa"/>
            <w:tcBorders>
              <w:top w:val="nil"/>
              <w:left w:val="nil"/>
              <w:bottom w:val="single" w:sz="4" w:space="0" w:color="auto"/>
              <w:right w:val="single" w:sz="4" w:space="0" w:color="auto"/>
            </w:tcBorders>
            <w:noWrap/>
            <w:vAlign w:val="bottom"/>
            <w:hideMark/>
          </w:tcPr>
          <w:p w14:paraId="6452075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11,35</w:t>
            </w:r>
          </w:p>
        </w:tc>
        <w:tc>
          <w:tcPr>
            <w:tcW w:w="960" w:type="dxa"/>
            <w:tcBorders>
              <w:top w:val="nil"/>
              <w:left w:val="nil"/>
              <w:bottom w:val="single" w:sz="4" w:space="0" w:color="auto"/>
              <w:right w:val="single" w:sz="4" w:space="0" w:color="auto"/>
            </w:tcBorders>
            <w:noWrap/>
            <w:vAlign w:val="bottom"/>
            <w:hideMark/>
          </w:tcPr>
          <w:p w14:paraId="39F03AE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7,93</w:t>
            </w:r>
          </w:p>
        </w:tc>
      </w:tr>
      <w:tr w:rsidR="004A45B0" w:rsidRPr="004F2B6F" w14:paraId="7568EC37"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18F6D99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Current Ratio</w:t>
            </w:r>
          </w:p>
        </w:tc>
        <w:tc>
          <w:tcPr>
            <w:tcW w:w="960" w:type="dxa"/>
            <w:tcBorders>
              <w:top w:val="nil"/>
              <w:left w:val="nil"/>
              <w:bottom w:val="single" w:sz="4" w:space="0" w:color="auto"/>
              <w:right w:val="single" w:sz="4" w:space="0" w:color="auto"/>
            </w:tcBorders>
            <w:noWrap/>
            <w:vAlign w:val="bottom"/>
            <w:hideMark/>
          </w:tcPr>
          <w:p w14:paraId="5106E85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0,43</w:t>
            </w:r>
          </w:p>
        </w:tc>
        <w:tc>
          <w:tcPr>
            <w:tcW w:w="960" w:type="dxa"/>
            <w:tcBorders>
              <w:top w:val="nil"/>
              <w:left w:val="nil"/>
              <w:bottom w:val="single" w:sz="4" w:space="0" w:color="auto"/>
              <w:right w:val="single" w:sz="4" w:space="0" w:color="auto"/>
            </w:tcBorders>
            <w:noWrap/>
            <w:vAlign w:val="bottom"/>
            <w:hideMark/>
          </w:tcPr>
          <w:p w14:paraId="110B89E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w:t>
            </w:r>
          </w:p>
        </w:tc>
        <w:tc>
          <w:tcPr>
            <w:tcW w:w="960" w:type="dxa"/>
            <w:tcBorders>
              <w:top w:val="nil"/>
              <w:left w:val="nil"/>
              <w:bottom w:val="single" w:sz="4" w:space="0" w:color="auto"/>
              <w:right w:val="single" w:sz="4" w:space="0" w:color="auto"/>
            </w:tcBorders>
            <w:noWrap/>
            <w:vAlign w:val="bottom"/>
            <w:hideMark/>
          </w:tcPr>
          <w:p w14:paraId="02B61CE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0,43</w:t>
            </w:r>
          </w:p>
        </w:tc>
        <w:tc>
          <w:tcPr>
            <w:tcW w:w="960" w:type="dxa"/>
            <w:tcBorders>
              <w:top w:val="nil"/>
              <w:left w:val="nil"/>
              <w:bottom w:val="single" w:sz="4" w:space="0" w:color="auto"/>
              <w:right w:val="single" w:sz="4" w:space="0" w:color="auto"/>
            </w:tcBorders>
            <w:noWrap/>
            <w:vAlign w:val="bottom"/>
            <w:hideMark/>
          </w:tcPr>
          <w:p w14:paraId="1F80071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0,45</w:t>
            </w:r>
          </w:p>
        </w:tc>
        <w:tc>
          <w:tcPr>
            <w:tcW w:w="960" w:type="dxa"/>
            <w:tcBorders>
              <w:top w:val="nil"/>
              <w:left w:val="nil"/>
              <w:bottom w:val="single" w:sz="4" w:space="0" w:color="auto"/>
              <w:right w:val="single" w:sz="4" w:space="0" w:color="auto"/>
            </w:tcBorders>
            <w:noWrap/>
            <w:vAlign w:val="bottom"/>
            <w:hideMark/>
          </w:tcPr>
          <w:p w14:paraId="0D9DAF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0,57</w:t>
            </w:r>
          </w:p>
        </w:tc>
      </w:tr>
      <w:tr w:rsidR="004A45B0" w:rsidRPr="004F2B6F" w14:paraId="6E323B18"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553AE38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Quick Ratio</w:t>
            </w:r>
          </w:p>
        </w:tc>
        <w:tc>
          <w:tcPr>
            <w:tcW w:w="960" w:type="dxa"/>
            <w:tcBorders>
              <w:top w:val="nil"/>
              <w:left w:val="nil"/>
              <w:bottom w:val="single" w:sz="4" w:space="0" w:color="auto"/>
              <w:right w:val="single" w:sz="4" w:space="0" w:color="auto"/>
            </w:tcBorders>
            <w:noWrap/>
            <w:vAlign w:val="bottom"/>
            <w:hideMark/>
          </w:tcPr>
          <w:p w14:paraId="4F3895E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0,39</w:t>
            </w:r>
          </w:p>
        </w:tc>
        <w:tc>
          <w:tcPr>
            <w:tcW w:w="960" w:type="dxa"/>
            <w:tcBorders>
              <w:top w:val="nil"/>
              <w:left w:val="nil"/>
              <w:bottom w:val="single" w:sz="4" w:space="0" w:color="auto"/>
              <w:right w:val="single" w:sz="4" w:space="0" w:color="auto"/>
            </w:tcBorders>
            <w:noWrap/>
            <w:vAlign w:val="bottom"/>
            <w:hideMark/>
          </w:tcPr>
          <w:p w14:paraId="48DAA3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0,37</w:t>
            </w:r>
          </w:p>
        </w:tc>
        <w:tc>
          <w:tcPr>
            <w:tcW w:w="960" w:type="dxa"/>
            <w:tcBorders>
              <w:top w:val="nil"/>
              <w:left w:val="nil"/>
              <w:bottom w:val="single" w:sz="4" w:space="0" w:color="auto"/>
              <w:right w:val="single" w:sz="4" w:space="0" w:color="auto"/>
            </w:tcBorders>
            <w:noWrap/>
            <w:vAlign w:val="bottom"/>
            <w:hideMark/>
          </w:tcPr>
          <w:p w14:paraId="06C5A32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0,39</w:t>
            </w:r>
          </w:p>
        </w:tc>
        <w:tc>
          <w:tcPr>
            <w:tcW w:w="960" w:type="dxa"/>
            <w:tcBorders>
              <w:top w:val="nil"/>
              <w:left w:val="nil"/>
              <w:bottom w:val="single" w:sz="4" w:space="0" w:color="auto"/>
              <w:right w:val="single" w:sz="4" w:space="0" w:color="auto"/>
            </w:tcBorders>
            <w:noWrap/>
            <w:vAlign w:val="bottom"/>
            <w:hideMark/>
          </w:tcPr>
          <w:p w14:paraId="6711B6D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0,42</w:t>
            </w:r>
          </w:p>
        </w:tc>
        <w:tc>
          <w:tcPr>
            <w:tcW w:w="960" w:type="dxa"/>
            <w:tcBorders>
              <w:top w:val="nil"/>
              <w:left w:val="nil"/>
              <w:bottom w:val="single" w:sz="4" w:space="0" w:color="auto"/>
              <w:right w:val="single" w:sz="4" w:space="0" w:color="auto"/>
            </w:tcBorders>
            <w:noWrap/>
            <w:vAlign w:val="bottom"/>
            <w:hideMark/>
          </w:tcPr>
          <w:p w14:paraId="2DA0002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0,53</w:t>
            </w:r>
          </w:p>
        </w:tc>
      </w:tr>
      <w:tr w:rsidR="004A45B0" w:rsidRPr="004F2B6F" w14:paraId="40871567"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1811F5A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Cash Ratio</w:t>
            </w:r>
          </w:p>
        </w:tc>
        <w:tc>
          <w:tcPr>
            <w:tcW w:w="960" w:type="dxa"/>
            <w:tcBorders>
              <w:top w:val="nil"/>
              <w:left w:val="nil"/>
              <w:bottom w:val="single" w:sz="4" w:space="0" w:color="auto"/>
              <w:right w:val="single" w:sz="4" w:space="0" w:color="auto"/>
            </w:tcBorders>
            <w:noWrap/>
            <w:vAlign w:val="bottom"/>
            <w:hideMark/>
          </w:tcPr>
          <w:p w14:paraId="04095A0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0,04</w:t>
            </w:r>
          </w:p>
        </w:tc>
        <w:tc>
          <w:tcPr>
            <w:tcW w:w="960" w:type="dxa"/>
            <w:tcBorders>
              <w:top w:val="nil"/>
              <w:left w:val="nil"/>
              <w:bottom w:val="single" w:sz="4" w:space="0" w:color="auto"/>
              <w:right w:val="single" w:sz="4" w:space="0" w:color="auto"/>
            </w:tcBorders>
            <w:noWrap/>
            <w:vAlign w:val="bottom"/>
            <w:hideMark/>
          </w:tcPr>
          <w:p w14:paraId="75CFF3B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0,05</w:t>
            </w:r>
          </w:p>
        </w:tc>
        <w:tc>
          <w:tcPr>
            <w:tcW w:w="960" w:type="dxa"/>
            <w:tcBorders>
              <w:top w:val="nil"/>
              <w:left w:val="nil"/>
              <w:bottom w:val="single" w:sz="4" w:space="0" w:color="auto"/>
              <w:right w:val="single" w:sz="4" w:space="0" w:color="auto"/>
            </w:tcBorders>
            <w:noWrap/>
            <w:vAlign w:val="bottom"/>
            <w:hideMark/>
          </w:tcPr>
          <w:p w14:paraId="45C5BBA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0,04</w:t>
            </w:r>
          </w:p>
        </w:tc>
        <w:tc>
          <w:tcPr>
            <w:tcW w:w="960" w:type="dxa"/>
            <w:tcBorders>
              <w:top w:val="nil"/>
              <w:left w:val="nil"/>
              <w:bottom w:val="single" w:sz="4" w:space="0" w:color="auto"/>
              <w:right w:val="single" w:sz="4" w:space="0" w:color="auto"/>
            </w:tcBorders>
            <w:noWrap/>
            <w:vAlign w:val="bottom"/>
            <w:hideMark/>
          </w:tcPr>
          <w:p w14:paraId="4DBBC49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0,07</w:t>
            </w:r>
          </w:p>
        </w:tc>
        <w:tc>
          <w:tcPr>
            <w:tcW w:w="960" w:type="dxa"/>
            <w:tcBorders>
              <w:top w:val="nil"/>
              <w:left w:val="nil"/>
              <w:bottom w:val="single" w:sz="4" w:space="0" w:color="auto"/>
              <w:right w:val="single" w:sz="4" w:space="0" w:color="auto"/>
            </w:tcBorders>
            <w:noWrap/>
            <w:vAlign w:val="bottom"/>
            <w:hideMark/>
          </w:tcPr>
          <w:p w14:paraId="37728C8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0,22</w:t>
            </w:r>
          </w:p>
        </w:tc>
      </w:tr>
      <w:tr w:rsidR="004A45B0" w:rsidRPr="004F2B6F" w14:paraId="4C4FC1BD"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194CE6E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Asset Turnover</w:t>
            </w:r>
          </w:p>
        </w:tc>
        <w:tc>
          <w:tcPr>
            <w:tcW w:w="960" w:type="dxa"/>
            <w:tcBorders>
              <w:top w:val="nil"/>
              <w:left w:val="nil"/>
              <w:bottom w:val="single" w:sz="4" w:space="0" w:color="auto"/>
              <w:right w:val="single" w:sz="4" w:space="0" w:color="auto"/>
            </w:tcBorders>
            <w:noWrap/>
            <w:vAlign w:val="bottom"/>
            <w:hideMark/>
          </w:tcPr>
          <w:p w14:paraId="36425D7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0,95</w:t>
            </w:r>
          </w:p>
        </w:tc>
        <w:tc>
          <w:tcPr>
            <w:tcW w:w="960" w:type="dxa"/>
            <w:tcBorders>
              <w:top w:val="nil"/>
              <w:left w:val="nil"/>
              <w:bottom w:val="single" w:sz="4" w:space="0" w:color="auto"/>
              <w:right w:val="single" w:sz="4" w:space="0" w:color="auto"/>
            </w:tcBorders>
            <w:noWrap/>
            <w:vAlign w:val="bottom"/>
            <w:hideMark/>
          </w:tcPr>
          <w:p w14:paraId="2B08979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0,96</w:t>
            </w:r>
          </w:p>
        </w:tc>
        <w:tc>
          <w:tcPr>
            <w:tcW w:w="960" w:type="dxa"/>
            <w:tcBorders>
              <w:top w:val="nil"/>
              <w:left w:val="nil"/>
              <w:bottom w:val="single" w:sz="4" w:space="0" w:color="auto"/>
              <w:right w:val="single" w:sz="4" w:space="0" w:color="auto"/>
            </w:tcBorders>
            <w:noWrap/>
            <w:vAlign w:val="bottom"/>
            <w:hideMark/>
          </w:tcPr>
          <w:p w14:paraId="03AD45C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0,92</w:t>
            </w:r>
          </w:p>
        </w:tc>
        <w:tc>
          <w:tcPr>
            <w:tcW w:w="960" w:type="dxa"/>
            <w:tcBorders>
              <w:top w:val="nil"/>
              <w:left w:val="nil"/>
              <w:bottom w:val="single" w:sz="4" w:space="0" w:color="auto"/>
              <w:right w:val="single" w:sz="4" w:space="0" w:color="auto"/>
            </w:tcBorders>
            <w:noWrap/>
            <w:vAlign w:val="bottom"/>
            <w:hideMark/>
          </w:tcPr>
          <w:p w14:paraId="295A40F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0,84</w:t>
            </w:r>
          </w:p>
        </w:tc>
        <w:tc>
          <w:tcPr>
            <w:tcW w:w="960" w:type="dxa"/>
            <w:tcBorders>
              <w:top w:val="nil"/>
              <w:left w:val="nil"/>
              <w:bottom w:val="single" w:sz="4" w:space="0" w:color="auto"/>
              <w:right w:val="single" w:sz="4" w:space="0" w:color="auto"/>
            </w:tcBorders>
            <w:noWrap/>
            <w:vAlign w:val="bottom"/>
            <w:hideMark/>
          </w:tcPr>
          <w:p w14:paraId="067B895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0,54</w:t>
            </w:r>
          </w:p>
        </w:tc>
      </w:tr>
      <w:tr w:rsidR="004A45B0" w:rsidRPr="004F2B6F" w14:paraId="32005E86"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2AC85D4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Fixed Asset Turnover</w:t>
            </w:r>
          </w:p>
        </w:tc>
        <w:tc>
          <w:tcPr>
            <w:tcW w:w="960" w:type="dxa"/>
            <w:tcBorders>
              <w:top w:val="nil"/>
              <w:left w:val="nil"/>
              <w:bottom w:val="single" w:sz="4" w:space="0" w:color="auto"/>
              <w:right w:val="single" w:sz="4" w:space="0" w:color="auto"/>
            </w:tcBorders>
            <w:noWrap/>
            <w:vAlign w:val="bottom"/>
            <w:hideMark/>
          </w:tcPr>
          <w:p w14:paraId="63AF630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13,4</w:t>
            </w:r>
          </w:p>
        </w:tc>
        <w:tc>
          <w:tcPr>
            <w:tcW w:w="960" w:type="dxa"/>
            <w:tcBorders>
              <w:top w:val="nil"/>
              <w:left w:val="nil"/>
              <w:bottom w:val="single" w:sz="4" w:space="0" w:color="auto"/>
              <w:right w:val="single" w:sz="4" w:space="0" w:color="auto"/>
            </w:tcBorders>
            <w:noWrap/>
            <w:vAlign w:val="bottom"/>
            <w:hideMark/>
          </w:tcPr>
          <w:p w14:paraId="5A76F58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13,69</w:t>
            </w:r>
          </w:p>
        </w:tc>
        <w:tc>
          <w:tcPr>
            <w:tcW w:w="960" w:type="dxa"/>
            <w:tcBorders>
              <w:top w:val="nil"/>
              <w:left w:val="nil"/>
              <w:bottom w:val="single" w:sz="4" w:space="0" w:color="auto"/>
              <w:right w:val="single" w:sz="4" w:space="0" w:color="auto"/>
            </w:tcBorders>
            <w:noWrap/>
            <w:vAlign w:val="bottom"/>
            <w:hideMark/>
          </w:tcPr>
          <w:p w14:paraId="20B560A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w:t>
            </w:r>
          </w:p>
        </w:tc>
        <w:tc>
          <w:tcPr>
            <w:tcW w:w="960" w:type="dxa"/>
            <w:tcBorders>
              <w:top w:val="nil"/>
              <w:left w:val="nil"/>
              <w:bottom w:val="single" w:sz="4" w:space="0" w:color="auto"/>
              <w:right w:val="single" w:sz="4" w:space="0" w:color="auto"/>
            </w:tcBorders>
            <w:noWrap/>
            <w:vAlign w:val="bottom"/>
            <w:hideMark/>
          </w:tcPr>
          <w:p w14:paraId="6948E9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13,11</w:t>
            </w:r>
          </w:p>
        </w:tc>
        <w:tc>
          <w:tcPr>
            <w:tcW w:w="960" w:type="dxa"/>
            <w:tcBorders>
              <w:top w:val="nil"/>
              <w:left w:val="nil"/>
              <w:bottom w:val="single" w:sz="4" w:space="0" w:color="auto"/>
              <w:right w:val="single" w:sz="4" w:space="0" w:color="auto"/>
            </w:tcBorders>
            <w:noWrap/>
            <w:vAlign w:val="bottom"/>
            <w:hideMark/>
          </w:tcPr>
          <w:p w14:paraId="2D36FFC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9,22</w:t>
            </w:r>
          </w:p>
        </w:tc>
      </w:tr>
      <w:tr w:rsidR="004A45B0" w:rsidRPr="004F2B6F" w14:paraId="282B09F3"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5337089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Interest Coverage</w:t>
            </w:r>
          </w:p>
        </w:tc>
        <w:tc>
          <w:tcPr>
            <w:tcW w:w="960" w:type="dxa"/>
            <w:tcBorders>
              <w:top w:val="nil"/>
              <w:left w:val="nil"/>
              <w:bottom w:val="single" w:sz="4" w:space="0" w:color="auto"/>
              <w:right w:val="single" w:sz="4" w:space="0" w:color="auto"/>
            </w:tcBorders>
            <w:noWrap/>
            <w:vAlign w:val="bottom"/>
            <w:hideMark/>
          </w:tcPr>
          <w:p w14:paraId="0151F88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5,61</w:t>
            </w:r>
          </w:p>
        </w:tc>
        <w:tc>
          <w:tcPr>
            <w:tcW w:w="960" w:type="dxa"/>
            <w:tcBorders>
              <w:top w:val="nil"/>
              <w:left w:val="nil"/>
              <w:bottom w:val="single" w:sz="4" w:space="0" w:color="auto"/>
              <w:right w:val="single" w:sz="4" w:space="0" w:color="auto"/>
            </w:tcBorders>
            <w:noWrap/>
            <w:vAlign w:val="bottom"/>
            <w:hideMark/>
          </w:tcPr>
          <w:p w14:paraId="40B915A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5,87</w:t>
            </w:r>
          </w:p>
        </w:tc>
        <w:tc>
          <w:tcPr>
            <w:tcW w:w="960" w:type="dxa"/>
            <w:tcBorders>
              <w:top w:val="nil"/>
              <w:left w:val="nil"/>
              <w:bottom w:val="single" w:sz="4" w:space="0" w:color="auto"/>
              <w:right w:val="single" w:sz="4" w:space="0" w:color="auto"/>
            </w:tcBorders>
            <w:noWrap/>
            <w:vAlign w:val="bottom"/>
            <w:hideMark/>
          </w:tcPr>
          <w:p w14:paraId="1781B9F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7,36</w:t>
            </w:r>
          </w:p>
        </w:tc>
        <w:tc>
          <w:tcPr>
            <w:tcW w:w="960" w:type="dxa"/>
            <w:tcBorders>
              <w:top w:val="nil"/>
              <w:left w:val="nil"/>
              <w:bottom w:val="single" w:sz="4" w:space="0" w:color="auto"/>
              <w:right w:val="single" w:sz="4" w:space="0" w:color="auto"/>
            </w:tcBorders>
            <w:noWrap/>
            <w:vAlign w:val="bottom"/>
            <w:hideMark/>
          </w:tcPr>
          <w:p w14:paraId="66C7DA1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9,21</w:t>
            </w:r>
          </w:p>
        </w:tc>
        <w:tc>
          <w:tcPr>
            <w:tcW w:w="960" w:type="dxa"/>
            <w:tcBorders>
              <w:top w:val="nil"/>
              <w:left w:val="nil"/>
              <w:bottom w:val="single" w:sz="4" w:space="0" w:color="auto"/>
              <w:right w:val="single" w:sz="4" w:space="0" w:color="auto"/>
            </w:tcBorders>
            <w:noWrap/>
            <w:vAlign w:val="bottom"/>
            <w:hideMark/>
          </w:tcPr>
          <w:p w14:paraId="1C05DE3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4,48</w:t>
            </w:r>
          </w:p>
        </w:tc>
      </w:tr>
      <w:tr w:rsidR="004A45B0" w:rsidRPr="004F2B6F" w14:paraId="473BD781" w14:textId="77777777" w:rsidTr="00377CA9">
        <w:trPr>
          <w:trHeight w:val="290"/>
        </w:trPr>
        <w:tc>
          <w:tcPr>
            <w:tcW w:w="2560" w:type="dxa"/>
            <w:tcBorders>
              <w:top w:val="nil"/>
              <w:left w:val="single" w:sz="4" w:space="0" w:color="auto"/>
              <w:bottom w:val="single" w:sz="4" w:space="0" w:color="auto"/>
              <w:right w:val="single" w:sz="4" w:space="0" w:color="auto"/>
            </w:tcBorders>
            <w:shd w:val="clear" w:color="auto" w:fill="DAE9F7" w:themeFill="text2" w:themeFillTint="1A"/>
            <w:noWrap/>
            <w:vAlign w:val="bottom"/>
            <w:hideMark/>
          </w:tcPr>
          <w:p w14:paraId="16296F9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Debt/Equity</w:t>
            </w:r>
          </w:p>
        </w:tc>
        <w:tc>
          <w:tcPr>
            <w:tcW w:w="960" w:type="dxa"/>
            <w:tcBorders>
              <w:top w:val="nil"/>
              <w:left w:val="nil"/>
              <w:bottom w:val="single" w:sz="4" w:space="0" w:color="auto"/>
              <w:right w:val="single" w:sz="4" w:space="0" w:color="auto"/>
            </w:tcBorders>
            <w:noWrap/>
            <w:vAlign w:val="bottom"/>
            <w:hideMark/>
          </w:tcPr>
          <w:p w14:paraId="4EA9E1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w:t>
            </w:r>
          </w:p>
        </w:tc>
        <w:tc>
          <w:tcPr>
            <w:tcW w:w="960" w:type="dxa"/>
            <w:tcBorders>
              <w:top w:val="nil"/>
              <w:left w:val="nil"/>
              <w:bottom w:val="single" w:sz="4" w:space="0" w:color="auto"/>
              <w:right w:val="single" w:sz="4" w:space="0" w:color="auto"/>
            </w:tcBorders>
            <w:noWrap/>
            <w:vAlign w:val="bottom"/>
            <w:hideMark/>
          </w:tcPr>
          <w:p w14:paraId="66434EB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4,83</w:t>
            </w:r>
          </w:p>
        </w:tc>
        <w:tc>
          <w:tcPr>
            <w:tcW w:w="960" w:type="dxa"/>
            <w:tcBorders>
              <w:top w:val="nil"/>
              <w:left w:val="nil"/>
              <w:bottom w:val="single" w:sz="4" w:space="0" w:color="auto"/>
              <w:right w:val="single" w:sz="4" w:space="0" w:color="auto"/>
            </w:tcBorders>
            <w:noWrap/>
            <w:vAlign w:val="bottom"/>
            <w:hideMark/>
          </w:tcPr>
          <w:p w14:paraId="3F2F840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17,41</w:t>
            </w:r>
          </w:p>
        </w:tc>
        <w:tc>
          <w:tcPr>
            <w:tcW w:w="960" w:type="dxa"/>
            <w:tcBorders>
              <w:top w:val="nil"/>
              <w:left w:val="nil"/>
              <w:bottom w:val="single" w:sz="4" w:space="0" w:color="auto"/>
              <w:right w:val="single" w:sz="4" w:space="0" w:color="auto"/>
            </w:tcBorders>
            <w:noWrap/>
            <w:vAlign w:val="bottom"/>
            <w:hideMark/>
          </w:tcPr>
          <w:p w14:paraId="1CE9715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17,72</w:t>
            </w:r>
          </w:p>
        </w:tc>
        <w:tc>
          <w:tcPr>
            <w:tcW w:w="960" w:type="dxa"/>
            <w:tcBorders>
              <w:top w:val="nil"/>
              <w:left w:val="nil"/>
              <w:bottom w:val="single" w:sz="4" w:space="0" w:color="auto"/>
              <w:right w:val="single" w:sz="4" w:space="0" w:color="auto"/>
            </w:tcBorders>
            <w:noWrap/>
            <w:vAlign w:val="bottom"/>
            <w:hideMark/>
          </w:tcPr>
          <w:p w14:paraId="42AECEA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7,17</w:t>
            </w:r>
          </w:p>
        </w:tc>
      </w:tr>
      <w:tr w:rsidR="004A45B0" w:rsidRPr="004F2B6F" w14:paraId="4A3F987B"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92D050"/>
            <w:noWrap/>
            <w:vAlign w:val="bottom"/>
            <w:hideMark/>
          </w:tcPr>
          <w:p w14:paraId="5DC7581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Additional Ratios</w:t>
            </w:r>
          </w:p>
        </w:tc>
        <w:tc>
          <w:tcPr>
            <w:tcW w:w="960" w:type="dxa"/>
            <w:tcBorders>
              <w:top w:val="nil"/>
              <w:left w:val="nil"/>
              <w:bottom w:val="single" w:sz="4" w:space="0" w:color="auto"/>
              <w:right w:val="single" w:sz="4" w:space="0" w:color="auto"/>
            </w:tcBorders>
            <w:shd w:val="clear" w:color="000000" w:fill="92D050"/>
            <w:noWrap/>
            <w:vAlign w:val="bottom"/>
            <w:hideMark/>
          </w:tcPr>
          <w:p w14:paraId="438B373B"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2025</w:t>
            </w:r>
          </w:p>
        </w:tc>
        <w:tc>
          <w:tcPr>
            <w:tcW w:w="960" w:type="dxa"/>
            <w:tcBorders>
              <w:top w:val="nil"/>
              <w:left w:val="nil"/>
              <w:bottom w:val="single" w:sz="4" w:space="0" w:color="auto"/>
              <w:right w:val="single" w:sz="4" w:space="0" w:color="auto"/>
            </w:tcBorders>
            <w:shd w:val="clear" w:color="000000" w:fill="92D050"/>
            <w:noWrap/>
            <w:vAlign w:val="bottom"/>
            <w:hideMark/>
          </w:tcPr>
          <w:p w14:paraId="4ED2BA35"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2024</w:t>
            </w:r>
          </w:p>
        </w:tc>
        <w:tc>
          <w:tcPr>
            <w:tcW w:w="960" w:type="dxa"/>
            <w:tcBorders>
              <w:top w:val="nil"/>
              <w:left w:val="nil"/>
              <w:bottom w:val="single" w:sz="4" w:space="0" w:color="auto"/>
              <w:right w:val="single" w:sz="4" w:space="0" w:color="auto"/>
            </w:tcBorders>
            <w:shd w:val="clear" w:color="000000" w:fill="92D050"/>
            <w:noWrap/>
            <w:vAlign w:val="bottom"/>
            <w:hideMark/>
          </w:tcPr>
          <w:p w14:paraId="053E730D"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2023</w:t>
            </w:r>
          </w:p>
        </w:tc>
        <w:tc>
          <w:tcPr>
            <w:tcW w:w="960" w:type="dxa"/>
            <w:tcBorders>
              <w:top w:val="nil"/>
              <w:left w:val="nil"/>
              <w:bottom w:val="single" w:sz="4" w:space="0" w:color="auto"/>
              <w:right w:val="single" w:sz="4" w:space="0" w:color="auto"/>
            </w:tcBorders>
            <w:shd w:val="clear" w:color="000000" w:fill="92D050"/>
            <w:noWrap/>
            <w:vAlign w:val="bottom"/>
            <w:hideMark/>
          </w:tcPr>
          <w:p w14:paraId="47D06D7F"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2022</w:t>
            </w:r>
          </w:p>
        </w:tc>
        <w:tc>
          <w:tcPr>
            <w:tcW w:w="960" w:type="dxa"/>
            <w:tcBorders>
              <w:top w:val="nil"/>
              <w:left w:val="nil"/>
              <w:bottom w:val="single" w:sz="4" w:space="0" w:color="auto"/>
              <w:right w:val="single" w:sz="4" w:space="0" w:color="auto"/>
            </w:tcBorders>
            <w:shd w:val="clear" w:color="000000" w:fill="92D050"/>
            <w:noWrap/>
            <w:vAlign w:val="bottom"/>
            <w:hideMark/>
          </w:tcPr>
          <w:p w14:paraId="22058EAF"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2021</w:t>
            </w:r>
          </w:p>
        </w:tc>
      </w:tr>
      <w:tr w:rsidR="004A45B0" w:rsidRPr="004F2B6F" w14:paraId="019A207C"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D9EAD3"/>
            <w:noWrap/>
            <w:vAlign w:val="bottom"/>
            <w:hideMark/>
          </w:tcPr>
          <w:p w14:paraId="04C9766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ROE</w:t>
            </w:r>
          </w:p>
        </w:tc>
        <w:tc>
          <w:tcPr>
            <w:tcW w:w="960" w:type="dxa"/>
            <w:tcBorders>
              <w:top w:val="nil"/>
              <w:left w:val="nil"/>
              <w:bottom w:val="single" w:sz="4" w:space="0" w:color="auto"/>
              <w:right w:val="single" w:sz="4" w:space="0" w:color="auto"/>
            </w:tcBorders>
            <w:noWrap/>
            <w:vAlign w:val="bottom"/>
            <w:hideMark/>
          </w:tcPr>
          <w:p w14:paraId="3FD057D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960" w:type="dxa"/>
            <w:tcBorders>
              <w:top w:val="nil"/>
              <w:left w:val="nil"/>
              <w:bottom w:val="single" w:sz="4" w:space="0" w:color="auto"/>
              <w:right w:val="single" w:sz="4" w:space="0" w:color="auto"/>
            </w:tcBorders>
            <w:noWrap/>
            <w:vAlign w:val="bottom"/>
            <w:hideMark/>
          </w:tcPr>
          <w:p w14:paraId="36C58CD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960" w:type="dxa"/>
            <w:tcBorders>
              <w:top w:val="nil"/>
              <w:left w:val="nil"/>
              <w:bottom w:val="single" w:sz="4" w:space="0" w:color="auto"/>
              <w:right w:val="single" w:sz="4" w:space="0" w:color="auto"/>
            </w:tcBorders>
            <w:noWrap/>
            <w:vAlign w:val="bottom"/>
            <w:hideMark/>
          </w:tcPr>
          <w:p w14:paraId="53B922D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960" w:type="dxa"/>
            <w:tcBorders>
              <w:top w:val="nil"/>
              <w:left w:val="nil"/>
              <w:bottom w:val="single" w:sz="4" w:space="0" w:color="auto"/>
              <w:right w:val="single" w:sz="4" w:space="0" w:color="auto"/>
            </w:tcBorders>
            <w:noWrap/>
            <w:vAlign w:val="bottom"/>
            <w:hideMark/>
          </w:tcPr>
          <w:p w14:paraId="007A934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960" w:type="dxa"/>
            <w:tcBorders>
              <w:top w:val="nil"/>
              <w:left w:val="nil"/>
              <w:bottom w:val="single" w:sz="4" w:space="0" w:color="auto"/>
              <w:right w:val="single" w:sz="4" w:space="0" w:color="auto"/>
            </w:tcBorders>
            <w:noWrap/>
            <w:vAlign w:val="bottom"/>
            <w:hideMark/>
          </w:tcPr>
          <w:p w14:paraId="797110B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r>
      <w:tr w:rsidR="004A45B0" w:rsidRPr="004F2B6F" w14:paraId="6B6E957C"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D9EAD3"/>
            <w:noWrap/>
            <w:vAlign w:val="bottom"/>
            <w:hideMark/>
          </w:tcPr>
          <w:p w14:paraId="10DCED5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ROA (%)</w:t>
            </w:r>
          </w:p>
        </w:tc>
        <w:tc>
          <w:tcPr>
            <w:tcW w:w="960" w:type="dxa"/>
            <w:tcBorders>
              <w:top w:val="nil"/>
              <w:left w:val="nil"/>
              <w:bottom w:val="single" w:sz="4" w:space="0" w:color="auto"/>
              <w:right w:val="single" w:sz="4" w:space="0" w:color="auto"/>
            </w:tcBorders>
            <w:noWrap/>
            <w:vAlign w:val="bottom"/>
            <w:hideMark/>
          </w:tcPr>
          <w:p w14:paraId="0689261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9,4</w:t>
            </w:r>
          </w:p>
        </w:tc>
        <w:tc>
          <w:tcPr>
            <w:tcW w:w="960" w:type="dxa"/>
            <w:tcBorders>
              <w:top w:val="nil"/>
              <w:left w:val="nil"/>
              <w:bottom w:val="single" w:sz="4" w:space="0" w:color="auto"/>
              <w:right w:val="single" w:sz="4" w:space="0" w:color="auto"/>
            </w:tcBorders>
            <w:noWrap/>
            <w:vAlign w:val="bottom"/>
            <w:hideMark/>
          </w:tcPr>
          <w:p w14:paraId="5686909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8,8</w:t>
            </w:r>
          </w:p>
        </w:tc>
        <w:tc>
          <w:tcPr>
            <w:tcW w:w="960" w:type="dxa"/>
            <w:tcBorders>
              <w:top w:val="nil"/>
              <w:left w:val="nil"/>
              <w:bottom w:val="single" w:sz="4" w:space="0" w:color="auto"/>
              <w:right w:val="single" w:sz="4" w:space="0" w:color="auto"/>
            </w:tcBorders>
            <w:noWrap/>
            <w:vAlign w:val="bottom"/>
            <w:hideMark/>
          </w:tcPr>
          <w:p w14:paraId="0365BF5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11,2</w:t>
            </w:r>
          </w:p>
        </w:tc>
        <w:tc>
          <w:tcPr>
            <w:tcW w:w="960" w:type="dxa"/>
            <w:tcBorders>
              <w:top w:val="nil"/>
              <w:left w:val="nil"/>
              <w:bottom w:val="single" w:sz="4" w:space="0" w:color="auto"/>
              <w:right w:val="single" w:sz="4" w:space="0" w:color="auto"/>
            </w:tcBorders>
            <w:noWrap/>
            <w:vAlign w:val="bottom"/>
            <w:hideMark/>
          </w:tcPr>
          <w:p w14:paraId="716A63E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w:t>
            </w:r>
          </w:p>
        </w:tc>
        <w:tc>
          <w:tcPr>
            <w:tcW w:w="960" w:type="dxa"/>
            <w:tcBorders>
              <w:top w:val="nil"/>
              <w:left w:val="nil"/>
              <w:bottom w:val="single" w:sz="4" w:space="0" w:color="auto"/>
              <w:right w:val="single" w:sz="4" w:space="0" w:color="auto"/>
            </w:tcBorders>
            <w:noWrap/>
            <w:vAlign w:val="bottom"/>
            <w:hideMark/>
          </w:tcPr>
          <w:p w14:paraId="1987024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4,8</w:t>
            </w:r>
          </w:p>
        </w:tc>
      </w:tr>
      <w:tr w:rsidR="004A45B0" w:rsidRPr="004F2B6F" w14:paraId="4F8583FD"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D9EAD3"/>
            <w:noWrap/>
            <w:vAlign w:val="bottom"/>
            <w:hideMark/>
          </w:tcPr>
          <w:p w14:paraId="0C69AB6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P/E Ratio</w:t>
            </w:r>
          </w:p>
        </w:tc>
        <w:tc>
          <w:tcPr>
            <w:tcW w:w="960" w:type="dxa"/>
            <w:tcBorders>
              <w:top w:val="nil"/>
              <w:left w:val="nil"/>
              <w:bottom w:val="single" w:sz="4" w:space="0" w:color="auto"/>
              <w:right w:val="single" w:sz="4" w:space="0" w:color="auto"/>
            </w:tcBorders>
            <w:noWrap/>
            <w:vAlign w:val="bottom"/>
            <w:hideMark/>
          </w:tcPr>
          <w:p w14:paraId="4CE0B9D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29,1</w:t>
            </w:r>
          </w:p>
        </w:tc>
        <w:tc>
          <w:tcPr>
            <w:tcW w:w="960" w:type="dxa"/>
            <w:tcBorders>
              <w:top w:val="nil"/>
              <w:left w:val="nil"/>
              <w:bottom w:val="single" w:sz="4" w:space="0" w:color="auto"/>
              <w:right w:val="single" w:sz="4" w:space="0" w:color="auto"/>
            </w:tcBorders>
            <w:noWrap/>
            <w:vAlign w:val="bottom"/>
            <w:hideMark/>
          </w:tcPr>
          <w:p w14:paraId="6445AAB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33,4</w:t>
            </w:r>
          </w:p>
        </w:tc>
        <w:tc>
          <w:tcPr>
            <w:tcW w:w="960" w:type="dxa"/>
            <w:tcBorders>
              <w:top w:val="nil"/>
              <w:left w:val="nil"/>
              <w:bottom w:val="single" w:sz="4" w:space="0" w:color="auto"/>
              <w:right w:val="single" w:sz="4" w:space="0" w:color="auto"/>
            </w:tcBorders>
            <w:noWrap/>
            <w:vAlign w:val="bottom"/>
            <w:hideMark/>
          </w:tcPr>
          <w:p w14:paraId="5FB3313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22,1</w:t>
            </w:r>
          </w:p>
        </w:tc>
        <w:tc>
          <w:tcPr>
            <w:tcW w:w="960" w:type="dxa"/>
            <w:tcBorders>
              <w:top w:val="nil"/>
              <w:left w:val="nil"/>
              <w:bottom w:val="single" w:sz="4" w:space="0" w:color="auto"/>
              <w:right w:val="single" w:sz="4" w:space="0" w:color="auto"/>
            </w:tcBorders>
            <w:noWrap/>
            <w:vAlign w:val="bottom"/>
            <w:hideMark/>
          </w:tcPr>
          <w:p w14:paraId="78747CD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20,6</w:t>
            </w:r>
          </w:p>
        </w:tc>
        <w:tc>
          <w:tcPr>
            <w:tcW w:w="960" w:type="dxa"/>
            <w:tcBorders>
              <w:top w:val="nil"/>
              <w:left w:val="nil"/>
              <w:bottom w:val="single" w:sz="4" w:space="0" w:color="auto"/>
              <w:right w:val="single" w:sz="4" w:space="0" w:color="auto"/>
            </w:tcBorders>
            <w:noWrap/>
            <w:vAlign w:val="bottom"/>
            <w:hideMark/>
          </w:tcPr>
          <w:p w14:paraId="27E6778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42,5</w:t>
            </w:r>
          </w:p>
        </w:tc>
      </w:tr>
      <w:tr w:rsidR="004A45B0" w:rsidRPr="004F2B6F" w14:paraId="033B0CC0"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D9EAD3"/>
            <w:noWrap/>
            <w:vAlign w:val="bottom"/>
            <w:hideMark/>
          </w:tcPr>
          <w:p w14:paraId="50254EF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Operating Cash Flow Ratio</w:t>
            </w:r>
          </w:p>
        </w:tc>
        <w:tc>
          <w:tcPr>
            <w:tcW w:w="960" w:type="dxa"/>
            <w:tcBorders>
              <w:top w:val="nil"/>
              <w:left w:val="nil"/>
              <w:bottom w:val="single" w:sz="4" w:space="0" w:color="auto"/>
              <w:right w:val="single" w:sz="4" w:space="0" w:color="auto"/>
            </w:tcBorders>
            <w:noWrap/>
            <w:vAlign w:val="bottom"/>
            <w:hideMark/>
          </w:tcPr>
          <w:p w14:paraId="4253FDBA" w14:textId="57FF1029"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0,3</w:t>
            </w:r>
            <w:r w:rsidR="002D3181" w:rsidRPr="004F2B6F">
              <w:rPr>
                <w:rFonts w:ascii="Arial" w:eastAsia="Times New Roman" w:hAnsi="Arial" w:cs="Arial"/>
                <w:color w:val="000000"/>
                <w:sz w:val="22"/>
                <w:szCs w:val="22"/>
                <w:lang w:val="en-US" w:eastAsia="en-US"/>
              </w:rPr>
              <w:t>8</w:t>
            </w:r>
          </w:p>
        </w:tc>
        <w:tc>
          <w:tcPr>
            <w:tcW w:w="960" w:type="dxa"/>
            <w:tcBorders>
              <w:top w:val="nil"/>
              <w:left w:val="nil"/>
              <w:bottom w:val="single" w:sz="4" w:space="0" w:color="auto"/>
              <w:right w:val="single" w:sz="4" w:space="0" w:color="auto"/>
            </w:tcBorders>
            <w:noWrap/>
            <w:vAlign w:val="bottom"/>
            <w:hideMark/>
          </w:tcPr>
          <w:p w14:paraId="2B399CCB" w14:textId="658483D5"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w:t>
            </w:r>
            <w:r w:rsidR="002D3181" w:rsidRPr="004F2B6F">
              <w:rPr>
                <w:rFonts w:ascii="Arial" w:eastAsia="Times New Roman" w:hAnsi="Arial" w:cs="Arial"/>
                <w:color w:val="000000"/>
                <w:sz w:val="22"/>
                <w:szCs w:val="22"/>
                <w:lang w:val="en-US" w:eastAsia="en-US"/>
              </w:rPr>
              <w:t>32</w:t>
            </w:r>
          </w:p>
        </w:tc>
        <w:tc>
          <w:tcPr>
            <w:tcW w:w="960" w:type="dxa"/>
            <w:tcBorders>
              <w:top w:val="nil"/>
              <w:left w:val="nil"/>
              <w:bottom w:val="single" w:sz="4" w:space="0" w:color="auto"/>
              <w:right w:val="single" w:sz="4" w:space="0" w:color="auto"/>
            </w:tcBorders>
            <w:noWrap/>
            <w:vAlign w:val="bottom"/>
            <w:hideMark/>
          </w:tcPr>
          <w:p w14:paraId="5C40D184" w14:textId="690A82FA"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w:t>
            </w:r>
            <w:r w:rsidR="002D3181" w:rsidRPr="004F2B6F">
              <w:rPr>
                <w:rFonts w:ascii="Arial" w:eastAsia="Times New Roman" w:hAnsi="Arial" w:cs="Arial"/>
                <w:color w:val="000000"/>
                <w:sz w:val="22"/>
                <w:szCs w:val="22"/>
                <w:lang w:val="en-US" w:eastAsia="en-US"/>
              </w:rPr>
              <w:t>1</w:t>
            </w:r>
          </w:p>
        </w:tc>
        <w:tc>
          <w:tcPr>
            <w:tcW w:w="960" w:type="dxa"/>
            <w:tcBorders>
              <w:top w:val="nil"/>
              <w:left w:val="nil"/>
              <w:bottom w:val="single" w:sz="4" w:space="0" w:color="auto"/>
              <w:right w:val="single" w:sz="4" w:space="0" w:color="auto"/>
            </w:tcBorders>
            <w:noWrap/>
            <w:vAlign w:val="bottom"/>
            <w:hideMark/>
          </w:tcPr>
          <w:p w14:paraId="3DB29084" w14:textId="2EB7F95C"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0,3</w:t>
            </w:r>
            <w:r w:rsidR="002D3181" w:rsidRPr="004F2B6F">
              <w:rPr>
                <w:rFonts w:ascii="Arial" w:eastAsia="Times New Roman" w:hAnsi="Arial" w:cs="Arial"/>
                <w:color w:val="000000"/>
                <w:sz w:val="22"/>
                <w:szCs w:val="22"/>
                <w:lang w:val="en-US" w:eastAsia="en-US"/>
              </w:rPr>
              <w:t>2</w:t>
            </w:r>
          </w:p>
        </w:tc>
        <w:tc>
          <w:tcPr>
            <w:tcW w:w="960" w:type="dxa"/>
            <w:tcBorders>
              <w:top w:val="nil"/>
              <w:left w:val="nil"/>
              <w:bottom w:val="single" w:sz="4" w:space="0" w:color="auto"/>
              <w:right w:val="single" w:sz="4" w:space="0" w:color="auto"/>
            </w:tcBorders>
            <w:noWrap/>
            <w:vAlign w:val="bottom"/>
            <w:hideMark/>
          </w:tcPr>
          <w:p w14:paraId="065EF073" w14:textId="0A09238C"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w:t>
            </w:r>
            <w:r w:rsidR="002D3181" w:rsidRPr="004F2B6F">
              <w:rPr>
                <w:rFonts w:ascii="Arial" w:eastAsia="Times New Roman" w:hAnsi="Arial" w:cs="Arial"/>
                <w:color w:val="000000"/>
                <w:sz w:val="22"/>
                <w:szCs w:val="22"/>
                <w:lang w:val="en-US" w:eastAsia="en-US"/>
              </w:rPr>
              <w:t>18</w:t>
            </w:r>
          </w:p>
        </w:tc>
      </w:tr>
      <w:tr w:rsidR="004A45B0" w:rsidRPr="004F2B6F" w14:paraId="1AA08205" w14:textId="77777777" w:rsidTr="004A45B0">
        <w:trPr>
          <w:trHeight w:val="290"/>
        </w:trPr>
        <w:tc>
          <w:tcPr>
            <w:tcW w:w="2560" w:type="dxa"/>
            <w:tcBorders>
              <w:top w:val="nil"/>
              <w:left w:val="single" w:sz="4" w:space="0" w:color="auto"/>
              <w:bottom w:val="single" w:sz="4" w:space="0" w:color="auto"/>
              <w:right w:val="single" w:sz="4" w:space="0" w:color="auto"/>
            </w:tcBorders>
            <w:shd w:val="clear" w:color="000000" w:fill="D9EAD3"/>
            <w:noWrap/>
            <w:vAlign w:val="bottom"/>
            <w:hideMark/>
          </w:tcPr>
          <w:p w14:paraId="0B64D23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Free Cash Flow Margin (%)</w:t>
            </w:r>
          </w:p>
        </w:tc>
        <w:tc>
          <w:tcPr>
            <w:tcW w:w="960" w:type="dxa"/>
            <w:tcBorders>
              <w:top w:val="nil"/>
              <w:left w:val="nil"/>
              <w:bottom w:val="single" w:sz="4" w:space="0" w:color="auto"/>
              <w:right w:val="single" w:sz="4" w:space="0" w:color="auto"/>
            </w:tcBorders>
            <w:noWrap/>
            <w:vAlign w:val="bottom"/>
            <w:hideMark/>
          </w:tcPr>
          <w:p w14:paraId="35E1E8E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960" w:type="dxa"/>
            <w:tcBorders>
              <w:top w:val="nil"/>
              <w:left w:val="nil"/>
              <w:bottom w:val="single" w:sz="4" w:space="0" w:color="auto"/>
              <w:right w:val="single" w:sz="4" w:space="0" w:color="auto"/>
            </w:tcBorders>
            <w:noWrap/>
            <w:vAlign w:val="bottom"/>
            <w:hideMark/>
          </w:tcPr>
          <w:p w14:paraId="36B154C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w:t>
            </w:r>
          </w:p>
        </w:tc>
        <w:tc>
          <w:tcPr>
            <w:tcW w:w="960" w:type="dxa"/>
            <w:tcBorders>
              <w:top w:val="nil"/>
              <w:left w:val="nil"/>
              <w:bottom w:val="single" w:sz="4" w:space="0" w:color="auto"/>
              <w:right w:val="single" w:sz="4" w:space="0" w:color="auto"/>
            </w:tcBorders>
            <w:noWrap/>
            <w:vAlign w:val="bottom"/>
            <w:hideMark/>
          </w:tcPr>
          <w:p w14:paraId="4C0E49E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11,5</w:t>
            </w:r>
          </w:p>
        </w:tc>
        <w:tc>
          <w:tcPr>
            <w:tcW w:w="960" w:type="dxa"/>
            <w:tcBorders>
              <w:top w:val="nil"/>
              <w:left w:val="nil"/>
              <w:bottom w:val="single" w:sz="4" w:space="0" w:color="auto"/>
              <w:right w:val="single" w:sz="4" w:space="0" w:color="auto"/>
            </w:tcBorders>
            <w:noWrap/>
            <w:vAlign w:val="bottom"/>
            <w:hideMark/>
          </w:tcPr>
          <w:p w14:paraId="5B362D8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9,8</w:t>
            </w:r>
          </w:p>
        </w:tc>
        <w:tc>
          <w:tcPr>
            <w:tcW w:w="960" w:type="dxa"/>
            <w:tcBorders>
              <w:top w:val="nil"/>
              <w:left w:val="nil"/>
              <w:bottom w:val="single" w:sz="4" w:space="0" w:color="auto"/>
              <w:right w:val="single" w:sz="4" w:space="0" w:color="auto"/>
            </w:tcBorders>
            <w:noWrap/>
            <w:vAlign w:val="bottom"/>
            <w:hideMark/>
          </w:tcPr>
          <w:p w14:paraId="487DBBF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7,2</w:t>
            </w:r>
          </w:p>
        </w:tc>
      </w:tr>
    </w:tbl>
    <w:p w14:paraId="561B808A" w14:textId="77777777" w:rsidR="004A45B0" w:rsidRPr="004F2B6F" w:rsidRDefault="004A45B0" w:rsidP="004F2B6F">
      <w:pPr>
        <w:spacing w:line="360" w:lineRule="auto"/>
        <w:rPr>
          <w:rFonts w:ascii="Arial" w:hAnsi="Arial" w:cs="Arial"/>
          <w:lang w:val="en-US"/>
        </w:rPr>
      </w:pPr>
    </w:p>
    <w:p w14:paraId="1E25D4E7" w14:textId="77777777" w:rsidR="005025C3" w:rsidRPr="004F2B6F" w:rsidRDefault="005025C3" w:rsidP="004F2B6F">
      <w:pPr>
        <w:spacing w:line="360" w:lineRule="auto"/>
        <w:rPr>
          <w:rFonts w:ascii="Arial" w:hAnsi="Arial" w:cs="Arial"/>
          <w:lang w:val="en-US"/>
        </w:rPr>
      </w:pPr>
    </w:p>
    <w:p w14:paraId="4866FFE5" w14:textId="77777777" w:rsidR="005025C3" w:rsidRPr="004F2B6F" w:rsidRDefault="005025C3" w:rsidP="004F2B6F">
      <w:pPr>
        <w:spacing w:line="360" w:lineRule="auto"/>
        <w:rPr>
          <w:rFonts w:ascii="Arial" w:hAnsi="Arial" w:cs="Arial"/>
          <w:lang w:val="en-US"/>
        </w:rPr>
      </w:pPr>
    </w:p>
    <w:p w14:paraId="2099D03C" w14:textId="77777777" w:rsidR="005025C3" w:rsidRPr="004F2B6F" w:rsidRDefault="005025C3" w:rsidP="004F2B6F">
      <w:pPr>
        <w:spacing w:line="360" w:lineRule="auto"/>
        <w:rPr>
          <w:rFonts w:ascii="Arial" w:hAnsi="Arial" w:cs="Arial"/>
          <w:lang w:val="en-US"/>
        </w:rPr>
      </w:pPr>
    </w:p>
    <w:p w14:paraId="03D791FB" w14:textId="77777777" w:rsidR="005025C3" w:rsidRPr="004F2B6F" w:rsidRDefault="005025C3" w:rsidP="004F2B6F">
      <w:pPr>
        <w:spacing w:line="360" w:lineRule="auto"/>
        <w:rPr>
          <w:rFonts w:ascii="Arial" w:hAnsi="Arial" w:cs="Arial"/>
          <w:lang w:val="en-US"/>
        </w:rPr>
      </w:pPr>
    </w:p>
    <w:p w14:paraId="4F447AED" w14:textId="77777777" w:rsidR="005025C3" w:rsidRPr="004F2B6F" w:rsidRDefault="005025C3" w:rsidP="004F2B6F">
      <w:pPr>
        <w:spacing w:line="360" w:lineRule="auto"/>
        <w:rPr>
          <w:rFonts w:ascii="Arial" w:hAnsi="Arial" w:cs="Arial"/>
          <w:lang w:val="en-US"/>
        </w:rPr>
      </w:pPr>
    </w:p>
    <w:p w14:paraId="7AEAA38B" w14:textId="77777777" w:rsidR="005025C3" w:rsidRPr="004F2B6F" w:rsidRDefault="005025C3" w:rsidP="004F2B6F">
      <w:pPr>
        <w:spacing w:line="360" w:lineRule="auto"/>
        <w:rPr>
          <w:rFonts w:ascii="Arial" w:hAnsi="Arial" w:cs="Arial"/>
          <w:lang w:val="en-US"/>
        </w:rPr>
      </w:pPr>
    </w:p>
    <w:p w14:paraId="5615DCCA" w14:textId="77777777" w:rsidR="005025C3" w:rsidRPr="004F2B6F" w:rsidRDefault="005025C3" w:rsidP="004F2B6F">
      <w:pPr>
        <w:spacing w:line="360" w:lineRule="auto"/>
        <w:rPr>
          <w:rFonts w:ascii="Arial" w:hAnsi="Arial" w:cs="Arial"/>
          <w:lang w:val="en-US"/>
        </w:rPr>
      </w:pPr>
    </w:p>
    <w:p w14:paraId="37C6F6C1" w14:textId="77777777" w:rsidR="00B9519C" w:rsidRPr="004F2B6F" w:rsidRDefault="00B9519C" w:rsidP="004F2B6F">
      <w:pPr>
        <w:spacing w:line="360" w:lineRule="auto"/>
        <w:rPr>
          <w:rFonts w:ascii="Arial" w:hAnsi="Arial" w:cs="Arial"/>
          <w:b/>
          <w:bCs/>
          <w:lang w:val="en-US"/>
        </w:rPr>
      </w:pPr>
      <w:r w:rsidRPr="004F2B6F">
        <w:rPr>
          <w:rFonts w:ascii="Arial" w:hAnsi="Arial" w:cs="Arial"/>
          <w:b/>
          <w:bCs/>
          <w:lang w:val="en-US"/>
        </w:rPr>
        <w:lastRenderedPageBreak/>
        <w:t>Appendix E – Industry Benchmark Analysis</w:t>
      </w:r>
    </w:p>
    <w:tbl>
      <w:tblPr>
        <w:tblW w:w="9860" w:type="dxa"/>
        <w:tblLook w:val="04A0" w:firstRow="1" w:lastRow="0" w:firstColumn="1" w:lastColumn="0" w:noHBand="0" w:noVBand="1"/>
      </w:tblPr>
      <w:tblGrid>
        <w:gridCol w:w="1820"/>
        <w:gridCol w:w="1460"/>
        <w:gridCol w:w="1900"/>
        <w:gridCol w:w="1560"/>
        <w:gridCol w:w="3120"/>
      </w:tblGrid>
      <w:tr w:rsidR="004A45B0" w:rsidRPr="004F2B6F" w14:paraId="6868AB79" w14:textId="77777777" w:rsidTr="004A45B0">
        <w:trPr>
          <w:trHeight w:val="290"/>
        </w:trPr>
        <w:tc>
          <w:tcPr>
            <w:tcW w:w="1820" w:type="dxa"/>
            <w:tcBorders>
              <w:top w:val="nil"/>
              <w:left w:val="nil"/>
              <w:bottom w:val="nil"/>
              <w:right w:val="nil"/>
            </w:tcBorders>
            <w:noWrap/>
            <w:vAlign w:val="bottom"/>
            <w:hideMark/>
          </w:tcPr>
          <w:p w14:paraId="1BEEABFD" w14:textId="77777777" w:rsidR="004A45B0" w:rsidRPr="004F2B6F" w:rsidRDefault="004A45B0" w:rsidP="004F2B6F">
            <w:pPr>
              <w:spacing w:after="0" w:line="360" w:lineRule="auto"/>
              <w:rPr>
                <w:rFonts w:ascii="Arial" w:eastAsia="Times New Roman" w:hAnsi="Arial" w:cs="Arial"/>
                <w:lang w:val="en-US" w:eastAsia="en-US"/>
              </w:rPr>
            </w:pPr>
          </w:p>
        </w:tc>
        <w:tc>
          <w:tcPr>
            <w:tcW w:w="1460" w:type="dxa"/>
            <w:tcBorders>
              <w:top w:val="nil"/>
              <w:left w:val="nil"/>
              <w:bottom w:val="nil"/>
              <w:right w:val="nil"/>
            </w:tcBorders>
            <w:noWrap/>
            <w:vAlign w:val="bottom"/>
            <w:hideMark/>
          </w:tcPr>
          <w:p w14:paraId="2E48BCFD"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900" w:type="dxa"/>
            <w:tcBorders>
              <w:top w:val="nil"/>
              <w:left w:val="nil"/>
              <w:bottom w:val="nil"/>
              <w:right w:val="nil"/>
            </w:tcBorders>
            <w:noWrap/>
            <w:vAlign w:val="bottom"/>
            <w:hideMark/>
          </w:tcPr>
          <w:p w14:paraId="3786F29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60" w:type="dxa"/>
            <w:tcBorders>
              <w:top w:val="nil"/>
              <w:left w:val="nil"/>
              <w:bottom w:val="nil"/>
              <w:right w:val="nil"/>
            </w:tcBorders>
            <w:noWrap/>
            <w:vAlign w:val="bottom"/>
            <w:hideMark/>
          </w:tcPr>
          <w:p w14:paraId="4F15DCB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3120" w:type="dxa"/>
            <w:tcBorders>
              <w:top w:val="nil"/>
              <w:left w:val="nil"/>
              <w:bottom w:val="nil"/>
              <w:right w:val="nil"/>
            </w:tcBorders>
            <w:noWrap/>
            <w:vAlign w:val="bottom"/>
            <w:hideMark/>
          </w:tcPr>
          <w:p w14:paraId="14C1C329"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377CA9" w:rsidRPr="004F2B6F" w14:paraId="270EF512" w14:textId="77777777" w:rsidTr="00D95D3F">
        <w:trPr>
          <w:trHeight w:val="290"/>
        </w:trPr>
        <w:tc>
          <w:tcPr>
            <w:tcW w:w="9860" w:type="dxa"/>
            <w:gridSpan w:val="5"/>
            <w:tcBorders>
              <w:top w:val="nil"/>
              <w:left w:val="nil"/>
              <w:bottom w:val="nil"/>
              <w:right w:val="nil"/>
            </w:tcBorders>
            <w:shd w:val="clear" w:color="000000" w:fill="9BC2E6"/>
            <w:noWrap/>
            <w:vAlign w:val="bottom"/>
            <w:hideMark/>
          </w:tcPr>
          <w:p w14:paraId="7D0795E9" w14:textId="27F7D105" w:rsidR="00377CA9" w:rsidRPr="004F2B6F" w:rsidRDefault="00377CA9" w:rsidP="004F2B6F">
            <w:pPr>
              <w:spacing w:after="0" w:line="360" w:lineRule="auto"/>
              <w:rPr>
                <w:rFonts w:ascii="Arial" w:eastAsia="Times New Roman" w:hAnsi="Arial" w:cs="Arial"/>
                <w:b/>
                <w:bCs/>
                <w:sz w:val="20"/>
                <w:szCs w:val="20"/>
                <w:lang w:val="en-US" w:eastAsia="en-US"/>
              </w:rPr>
            </w:pPr>
            <w:r w:rsidRPr="004F2B6F">
              <w:rPr>
                <w:rFonts w:ascii="Arial" w:eastAsia="Times New Roman" w:hAnsi="Arial" w:cs="Arial"/>
                <w:b/>
                <w:bCs/>
                <w:color w:val="000000"/>
                <w:sz w:val="22"/>
                <w:szCs w:val="22"/>
                <w:lang w:val="en-US" w:eastAsia="en-US"/>
              </w:rPr>
              <w:t xml:space="preserve">Table 1E– Financial Ratio Benchmark Comparison (2025). </w:t>
            </w:r>
            <w:r w:rsidRPr="004F2B6F">
              <w:rPr>
                <w:rFonts w:ascii="Arial" w:eastAsia="Times New Roman" w:hAnsi="Arial" w:cs="Arial"/>
                <w:b/>
                <w:bCs/>
                <w:color w:val="000000"/>
                <w:sz w:val="22"/>
                <w:szCs w:val="22"/>
                <w:lang w:eastAsia="en-US"/>
              </w:rPr>
              <w:t xml:space="preserve"> Source: Marriott, Hilton and Hyatt annual reports and author's calculations.</w:t>
            </w:r>
          </w:p>
        </w:tc>
      </w:tr>
      <w:tr w:rsidR="004A45B0" w:rsidRPr="004F2B6F" w14:paraId="696A9476" w14:textId="77777777" w:rsidTr="004A45B0">
        <w:trPr>
          <w:trHeight w:val="290"/>
        </w:trPr>
        <w:tc>
          <w:tcPr>
            <w:tcW w:w="18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03DC7CE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Ratio</w:t>
            </w:r>
          </w:p>
        </w:tc>
        <w:tc>
          <w:tcPr>
            <w:tcW w:w="1460" w:type="dxa"/>
            <w:tcBorders>
              <w:top w:val="single" w:sz="4" w:space="0" w:color="auto"/>
              <w:left w:val="nil"/>
              <w:bottom w:val="single" w:sz="4" w:space="0" w:color="auto"/>
              <w:right w:val="single" w:sz="4" w:space="0" w:color="auto"/>
            </w:tcBorders>
            <w:shd w:val="clear" w:color="000000" w:fill="92D050"/>
            <w:noWrap/>
            <w:vAlign w:val="bottom"/>
            <w:hideMark/>
          </w:tcPr>
          <w:p w14:paraId="3CB0305D"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Marriott</w:t>
            </w:r>
          </w:p>
        </w:tc>
        <w:tc>
          <w:tcPr>
            <w:tcW w:w="1900" w:type="dxa"/>
            <w:tcBorders>
              <w:top w:val="single" w:sz="4" w:space="0" w:color="auto"/>
              <w:left w:val="nil"/>
              <w:bottom w:val="single" w:sz="4" w:space="0" w:color="auto"/>
              <w:right w:val="single" w:sz="4" w:space="0" w:color="auto"/>
            </w:tcBorders>
            <w:shd w:val="clear" w:color="000000" w:fill="92D050"/>
            <w:noWrap/>
            <w:vAlign w:val="bottom"/>
            <w:hideMark/>
          </w:tcPr>
          <w:p w14:paraId="4E3C2B1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Hilton</w:t>
            </w:r>
          </w:p>
        </w:tc>
        <w:tc>
          <w:tcPr>
            <w:tcW w:w="1560" w:type="dxa"/>
            <w:tcBorders>
              <w:top w:val="single" w:sz="4" w:space="0" w:color="auto"/>
              <w:left w:val="nil"/>
              <w:bottom w:val="single" w:sz="4" w:space="0" w:color="auto"/>
              <w:right w:val="single" w:sz="4" w:space="0" w:color="auto"/>
            </w:tcBorders>
            <w:shd w:val="clear" w:color="000000" w:fill="92D050"/>
            <w:noWrap/>
            <w:vAlign w:val="bottom"/>
            <w:hideMark/>
          </w:tcPr>
          <w:p w14:paraId="754DD9E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Hyatt</w:t>
            </w:r>
          </w:p>
        </w:tc>
        <w:tc>
          <w:tcPr>
            <w:tcW w:w="3120" w:type="dxa"/>
            <w:tcBorders>
              <w:top w:val="single" w:sz="4" w:space="0" w:color="auto"/>
              <w:left w:val="nil"/>
              <w:bottom w:val="single" w:sz="4" w:space="0" w:color="auto"/>
              <w:right w:val="single" w:sz="4" w:space="0" w:color="auto"/>
            </w:tcBorders>
            <w:shd w:val="clear" w:color="000000" w:fill="92D050"/>
            <w:noWrap/>
            <w:vAlign w:val="bottom"/>
            <w:hideMark/>
          </w:tcPr>
          <w:p w14:paraId="46ACACB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Comment</w:t>
            </w:r>
          </w:p>
        </w:tc>
      </w:tr>
      <w:tr w:rsidR="004A45B0" w:rsidRPr="004F2B6F" w14:paraId="442423AC" w14:textId="77777777" w:rsidTr="004A45B0">
        <w:trPr>
          <w:trHeight w:val="290"/>
        </w:trPr>
        <w:tc>
          <w:tcPr>
            <w:tcW w:w="1820" w:type="dxa"/>
            <w:tcBorders>
              <w:top w:val="nil"/>
              <w:left w:val="single" w:sz="4" w:space="0" w:color="auto"/>
              <w:bottom w:val="single" w:sz="4" w:space="0" w:color="auto"/>
              <w:right w:val="single" w:sz="4" w:space="0" w:color="auto"/>
            </w:tcBorders>
            <w:noWrap/>
            <w:vAlign w:val="bottom"/>
            <w:hideMark/>
          </w:tcPr>
          <w:p w14:paraId="38CE649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Operating Margin</w:t>
            </w:r>
          </w:p>
        </w:tc>
        <w:tc>
          <w:tcPr>
            <w:tcW w:w="1460" w:type="dxa"/>
            <w:tcBorders>
              <w:top w:val="nil"/>
              <w:left w:val="nil"/>
              <w:bottom w:val="single" w:sz="4" w:space="0" w:color="auto"/>
              <w:right w:val="single" w:sz="4" w:space="0" w:color="auto"/>
            </w:tcBorders>
            <w:noWrap/>
            <w:vAlign w:val="bottom"/>
            <w:hideMark/>
          </w:tcPr>
          <w:p w14:paraId="60F6842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15,81%</w:t>
            </w:r>
          </w:p>
        </w:tc>
        <w:tc>
          <w:tcPr>
            <w:tcW w:w="1900" w:type="dxa"/>
            <w:tcBorders>
              <w:top w:val="nil"/>
              <w:left w:val="nil"/>
              <w:bottom w:val="single" w:sz="4" w:space="0" w:color="auto"/>
              <w:right w:val="single" w:sz="4" w:space="0" w:color="auto"/>
            </w:tcBorders>
            <w:noWrap/>
            <w:vAlign w:val="bottom"/>
            <w:hideMark/>
          </w:tcPr>
          <w:p w14:paraId="6C395B1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22,37%</w:t>
            </w:r>
          </w:p>
        </w:tc>
        <w:tc>
          <w:tcPr>
            <w:tcW w:w="1560" w:type="dxa"/>
            <w:tcBorders>
              <w:top w:val="nil"/>
              <w:left w:val="nil"/>
              <w:bottom w:val="single" w:sz="4" w:space="0" w:color="auto"/>
              <w:right w:val="single" w:sz="4" w:space="0" w:color="auto"/>
            </w:tcBorders>
            <w:noWrap/>
            <w:vAlign w:val="bottom"/>
            <w:hideMark/>
          </w:tcPr>
          <w:p w14:paraId="6F6913D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15,20%</w:t>
            </w:r>
          </w:p>
        </w:tc>
        <w:tc>
          <w:tcPr>
            <w:tcW w:w="3120" w:type="dxa"/>
            <w:tcBorders>
              <w:top w:val="nil"/>
              <w:left w:val="nil"/>
              <w:bottom w:val="single" w:sz="4" w:space="0" w:color="auto"/>
              <w:right w:val="single" w:sz="4" w:space="0" w:color="auto"/>
            </w:tcBorders>
            <w:noWrap/>
            <w:vAlign w:val="bottom"/>
            <w:hideMark/>
          </w:tcPr>
          <w:p w14:paraId="2D2A204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Hilton highest</w:t>
            </w:r>
          </w:p>
        </w:tc>
      </w:tr>
      <w:tr w:rsidR="004A45B0" w:rsidRPr="004F2B6F" w14:paraId="124889CD" w14:textId="77777777" w:rsidTr="004A45B0">
        <w:trPr>
          <w:trHeight w:val="290"/>
        </w:trPr>
        <w:tc>
          <w:tcPr>
            <w:tcW w:w="1820" w:type="dxa"/>
            <w:tcBorders>
              <w:top w:val="nil"/>
              <w:left w:val="single" w:sz="4" w:space="0" w:color="auto"/>
              <w:bottom w:val="single" w:sz="4" w:space="0" w:color="auto"/>
              <w:right w:val="single" w:sz="4" w:space="0" w:color="auto"/>
            </w:tcBorders>
            <w:noWrap/>
            <w:vAlign w:val="bottom"/>
            <w:hideMark/>
          </w:tcPr>
          <w:p w14:paraId="397950F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Net Margin</w:t>
            </w:r>
          </w:p>
        </w:tc>
        <w:tc>
          <w:tcPr>
            <w:tcW w:w="1460" w:type="dxa"/>
            <w:tcBorders>
              <w:top w:val="nil"/>
              <w:left w:val="nil"/>
              <w:bottom w:val="single" w:sz="4" w:space="0" w:color="auto"/>
              <w:right w:val="single" w:sz="4" w:space="0" w:color="auto"/>
            </w:tcBorders>
            <w:noWrap/>
            <w:vAlign w:val="bottom"/>
            <w:hideMark/>
          </w:tcPr>
          <w:p w14:paraId="7E2387D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9,93%</w:t>
            </w:r>
          </w:p>
        </w:tc>
        <w:tc>
          <w:tcPr>
            <w:tcW w:w="1900" w:type="dxa"/>
            <w:tcBorders>
              <w:top w:val="nil"/>
              <w:left w:val="nil"/>
              <w:bottom w:val="single" w:sz="4" w:space="0" w:color="auto"/>
              <w:right w:val="single" w:sz="4" w:space="0" w:color="auto"/>
            </w:tcBorders>
            <w:noWrap/>
            <w:vAlign w:val="bottom"/>
            <w:hideMark/>
          </w:tcPr>
          <w:p w14:paraId="341E3B5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12,10%</w:t>
            </w:r>
          </w:p>
        </w:tc>
        <w:tc>
          <w:tcPr>
            <w:tcW w:w="1560" w:type="dxa"/>
            <w:tcBorders>
              <w:top w:val="nil"/>
              <w:left w:val="nil"/>
              <w:bottom w:val="single" w:sz="4" w:space="0" w:color="auto"/>
              <w:right w:val="single" w:sz="4" w:space="0" w:color="auto"/>
            </w:tcBorders>
            <w:noWrap/>
            <w:vAlign w:val="bottom"/>
            <w:hideMark/>
          </w:tcPr>
          <w:p w14:paraId="06D726F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8,90%</w:t>
            </w:r>
          </w:p>
        </w:tc>
        <w:tc>
          <w:tcPr>
            <w:tcW w:w="3120" w:type="dxa"/>
            <w:tcBorders>
              <w:top w:val="nil"/>
              <w:left w:val="nil"/>
              <w:bottom w:val="single" w:sz="4" w:space="0" w:color="auto"/>
              <w:right w:val="single" w:sz="4" w:space="0" w:color="auto"/>
            </w:tcBorders>
            <w:noWrap/>
            <w:vAlign w:val="bottom"/>
            <w:hideMark/>
          </w:tcPr>
          <w:p w14:paraId="06FF7C1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Marriott above Hyatt</w:t>
            </w:r>
          </w:p>
        </w:tc>
      </w:tr>
      <w:tr w:rsidR="004A45B0" w:rsidRPr="004F2B6F" w14:paraId="2E2F2B61" w14:textId="77777777" w:rsidTr="004A45B0">
        <w:trPr>
          <w:trHeight w:val="290"/>
        </w:trPr>
        <w:tc>
          <w:tcPr>
            <w:tcW w:w="1820" w:type="dxa"/>
            <w:tcBorders>
              <w:top w:val="nil"/>
              <w:left w:val="single" w:sz="4" w:space="0" w:color="auto"/>
              <w:bottom w:val="single" w:sz="4" w:space="0" w:color="auto"/>
              <w:right w:val="single" w:sz="4" w:space="0" w:color="auto"/>
            </w:tcBorders>
            <w:noWrap/>
            <w:vAlign w:val="bottom"/>
            <w:hideMark/>
          </w:tcPr>
          <w:p w14:paraId="03DB323A"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Current Ratio</w:t>
            </w:r>
          </w:p>
        </w:tc>
        <w:tc>
          <w:tcPr>
            <w:tcW w:w="1460" w:type="dxa"/>
            <w:tcBorders>
              <w:top w:val="nil"/>
              <w:left w:val="nil"/>
              <w:bottom w:val="single" w:sz="4" w:space="0" w:color="auto"/>
              <w:right w:val="single" w:sz="4" w:space="0" w:color="auto"/>
            </w:tcBorders>
            <w:noWrap/>
            <w:vAlign w:val="bottom"/>
            <w:hideMark/>
          </w:tcPr>
          <w:p w14:paraId="0B2289C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0,43</w:t>
            </w:r>
          </w:p>
        </w:tc>
        <w:tc>
          <w:tcPr>
            <w:tcW w:w="1900" w:type="dxa"/>
            <w:tcBorders>
              <w:top w:val="nil"/>
              <w:left w:val="nil"/>
              <w:bottom w:val="single" w:sz="4" w:space="0" w:color="auto"/>
              <w:right w:val="single" w:sz="4" w:space="0" w:color="auto"/>
            </w:tcBorders>
            <w:noWrap/>
            <w:vAlign w:val="bottom"/>
            <w:hideMark/>
          </w:tcPr>
          <w:p w14:paraId="470B6AC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0,61</w:t>
            </w:r>
          </w:p>
        </w:tc>
        <w:tc>
          <w:tcPr>
            <w:tcW w:w="1560" w:type="dxa"/>
            <w:tcBorders>
              <w:top w:val="nil"/>
              <w:left w:val="nil"/>
              <w:bottom w:val="single" w:sz="4" w:space="0" w:color="auto"/>
              <w:right w:val="single" w:sz="4" w:space="0" w:color="auto"/>
            </w:tcBorders>
            <w:noWrap/>
            <w:vAlign w:val="bottom"/>
            <w:hideMark/>
          </w:tcPr>
          <w:p w14:paraId="1C0D5BC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0,74</w:t>
            </w:r>
          </w:p>
        </w:tc>
        <w:tc>
          <w:tcPr>
            <w:tcW w:w="3120" w:type="dxa"/>
            <w:tcBorders>
              <w:top w:val="nil"/>
              <w:left w:val="nil"/>
              <w:bottom w:val="single" w:sz="4" w:space="0" w:color="auto"/>
              <w:right w:val="single" w:sz="4" w:space="0" w:color="auto"/>
            </w:tcBorders>
            <w:noWrap/>
            <w:vAlign w:val="bottom"/>
            <w:hideMark/>
          </w:tcPr>
          <w:p w14:paraId="4787575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Marriott lowest liquidity</w:t>
            </w:r>
          </w:p>
        </w:tc>
      </w:tr>
      <w:tr w:rsidR="004A45B0" w:rsidRPr="004F2B6F" w14:paraId="256865DF" w14:textId="77777777" w:rsidTr="004A45B0">
        <w:trPr>
          <w:trHeight w:val="290"/>
        </w:trPr>
        <w:tc>
          <w:tcPr>
            <w:tcW w:w="1820" w:type="dxa"/>
            <w:tcBorders>
              <w:top w:val="nil"/>
              <w:left w:val="single" w:sz="4" w:space="0" w:color="auto"/>
              <w:bottom w:val="single" w:sz="4" w:space="0" w:color="auto"/>
              <w:right w:val="single" w:sz="4" w:space="0" w:color="auto"/>
            </w:tcBorders>
            <w:noWrap/>
            <w:vAlign w:val="bottom"/>
            <w:hideMark/>
          </w:tcPr>
          <w:p w14:paraId="62A0029A"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Asset Turnover</w:t>
            </w:r>
          </w:p>
        </w:tc>
        <w:tc>
          <w:tcPr>
            <w:tcW w:w="1460" w:type="dxa"/>
            <w:tcBorders>
              <w:top w:val="nil"/>
              <w:left w:val="nil"/>
              <w:bottom w:val="single" w:sz="4" w:space="0" w:color="auto"/>
              <w:right w:val="single" w:sz="4" w:space="0" w:color="auto"/>
            </w:tcBorders>
            <w:noWrap/>
            <w:vAlign w:val="bottom"/>
            <w:hideMark/>
          </w:tcPr>
          <w:p w14:paraId="2F90AA0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0,95</w:t>
            </w:r>
          </w:p>
        </w:tc>
        <w:tc>
          <w:tcPr>
            <w:tcW w:w="1900" w:type="dxa"/>
            <w:tcBorders>
              <w:top w:val="nil"/>
              <w:left w:val="nil"/>
              <w:bottom w:val="single" w:sz="4" w:space="0" w:color="auto"/>
              <w:right w:val="single" w:sz="4" w:space="0" w:color="auto"/>
            </w:tcBorders>
            <w:noWrap/>
            <w:vAlign w:val="bottom"/>
            <w:hideMark/>
          </w:tcPr>
          <w:p w14:paraId="5BD7D7C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0,72</w:t>
            </w:r>
          </w:p>
        </w:tc>
        <w:tc>
          <w:tcPr>
            <w:tcW w:w="1560" w:type="dxa"/>
            <w:tcBorders>
              <w:top w:val="nil"/>
              <w:left w:val="nil"/>
              <w:bottom w:val="single" w:sz="4" w:space="0" w:color="auto"/>
              <w:right w:val="single" w:sz="4" w:space="0" w:color="auto"/>
            </w:tcBorders>
            <w:noWrap/>
            <w:vAlign w:val="bottom"/>
            <w:hideMark/>
          </w:tcPr>
          <w:p w14:paraId="027F176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0,58</w:t>
            </w:r>
          </w:p>
        </w:tc>
        <w:tc>
          <w:tcPr>
            <w:tcW w:w="3120" w:type="dxa"/>
            <w:tcBorders>
              <w:top w:val="nil"/>
              <w:left w:val="nil"/>
              <w:bottom w:val="single" w:sz="4" w:space="0" w:color="auto"/>
              <w:right w:val="single" w:sz="4" w:space="0" w:color="auto"/>
            </w:tcBorders>
            <w:noWrap/>
            <w:vAlign w:val="bottom"/>
            <w:hideMark/>
          </w:tcPr>
          <w:p w14:paraId="60B1F09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Marriott most efficient</w:t>
            </w:r>
          </w:p>
        </w:tc>
      </w:tr>
      <w:tr w:rsidR="004A45B0" w:rsidRPr="004F2B6F" w14:paraId="673A91BD" w14:textId="77777777" w:rsidTr="004A45B0">
        <w:trPr>
          <w:trHeight w:val="290"/>
        </w:trPr>
        <w:tc>
          <w:tcPr>
            <w:tcW w:w="1820" w:type="dxa"/>
            <w:tcBorders>
              <w:top w:val="nil"/>
              <w:left w:val="nil"/>
              <w:bottom w:val="nil"/>
              <w:right w:val="nil"/>
            </w:tcBorders>
            <w:noWrap/>
            <w:vAlign w:val="bottom"/>
            <w:hideMark/>
          </w:tcPr>
          <w:p w14:paraId="3118D44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p>
        </w:tc>
        <w:tc>
          <w:tcPr>
            <w:tcW w:w="1460" w:type="dxa"/>
            <w:tcBorders>
              <w:top w:val="nil"/>
              <w:left w:val="nil"/>
              <w:bottom w:val="nil"/>
              <w:right w:val="nil"/>
            </w:tcBorders>
            <w:noWrap/>
            <w:vAlign w:val="bottom"/>
            <w:hideMark/>
          </w:tcPr>
          <w:p w14:paraId="2094B7C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900" w:type="dxa"/>
            <w:tcBorders>
              <w:top w:val="nil"/>
              <w:left w:val="nil"/>
              <w:bottom w:val="nil"/>
              <w:right w:val="nil"/>
            </w:tcBorders>
            <w:noWrap/>
            <w:vAlign w:val="bottom"/>
            <w:hideMark/>
          </w:tcPr>
          <w:p w14:paraId="045C380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60" w:type="dxa"/>
            <w:tcBorders>
              <w:top w:val="nil"/>
              <w:left w:val="nil"/>
              <w:bottom w:val="nil"/>
              <w:right w:val="nil"/>
            </w:tcBorders>
            <w:noWrap/>
            <w:vAlign w:val="bottom"/>
            <w:hideMark/>
          </w:tcPr>
          <w:p w14:paraId="60DDFE0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3120" w:type="dxa"/>
            <w:tcBorders>
              <w:top w:val="nil"/>
              <w:left w:val="nil"/>
              <w:bottom w:val="nil"/>
              <w:right w:val="nil"/>
            </w:tcBorders>
            <w:noWrap/>
            <w:vAlign w:val="bottom"/>
            <w:hideMark/>
          </w:tcPr>
          <w:p w14:paraId="3F66D65D"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CCD9BB9" w14:textId="77777777" w:rsidTr="004A45B0">
        <w:trPr>
          <w:trHeight w:val="290"/>
        </w:trPr>
        <w:tc>
          <w:tcPr>
            <w:tcW w:w="1820" w:type="dxa"/>
            <w:tcBorders>
              <w:top w:val="nil"/>
              <w:left w:val="nil"/>
              <w:bottom w:val="nil"/>
              <w:right w:val="nil"/>
            </w:tcBorders>
            <w:noWrap/>
            <w:vAlign w:val="bottom"/>
            <w:hideMark/>
          </w:tcPr>
          <w:p w14:paraId="4CF5E55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460" w:type="dxa"/>
            <w:tcBorders>
              <w:top w:val="nil"/>
              <w:left w:val="nil"/>
              <w:bottom w:val="nil"/>
              <w:right w:val="nil"/>
            </w:tcBorders>
            <w:noWrap/>
            <w:vAlign w:val="bottom"/>
            <w:hideMark/>
          </w:tcPr>
          <w:p w14:paraId="106C00B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900" w:type="dxa"/>
            <w:tcBorders>
              <w:top w:val="nil"/>
              <w:left w:val="nil"/>
              <w:bottom w:val="nil"/>
              <w:right w:val="nil"/>
            </w:tcBorders>
            <w:noWrap/>
            <w:vAlign w:val="bottom"/>
            <w:hideMark/>
          </w:tcPr>
          <w:p w14:paraId="1A652D1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60" w:type="dxa"/>
            <w:tcBorders>
              <w:top w:val="nil"/>
              <w:left w:val="nil"/>
              <w:bottom w:val="nil"/>
              <w:right w:val="nil"/>
            </w:tcBorders>
            <w:noWrap/>
            <w:vAlign w:val="bottom"/>
            <w:hideMark/>
          </w:tcPr>
          <w:p w14:paraId="367FFB2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3120" w:type="dxa"/>
            <w:tcBorders>
              <w:top w:val="nil"/>
              <w:left w:val="nil"/>
              <w:bottom w:val="nil"/>
              <w:right w:val="nil"/>
            </w:tcBorders>
            <w:noWrap/>
            <w:vAlign w:val="bottom"/>
            <w:hideMark/>
          </w:tcPr>
          <w:p w14:paraId="66D24C7F"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377CA9" w:rsidRPr="004F2B6F" w14:paraId="6B0261FB" w14:textId="77777777" w:rsidTr="00745C6D">
        <w:trPr>
          <w:trHeight w:val="290"/>
        </w:trPr>
        <w:tc>
          <w:tcPr>
            <w:tcW w:w="9860" w:type="dxa"/>
            <w:gridSpan w:val="5"/>
            <w:tcBorders>
              <w:top w:val="nil"/>
              <w:left w:val="nil"/>
              <w:bottom w:val="nil"/>
              <w:right w:val="nil"/>
            </w:tcBorders>
            <w:shd w:val="clear" w:color="000000" w:fill="9BC2E6"/>
            <w:noWrap/>
            <w:vAlign w:val="bottom"/>
            <w:hideMark/>
          </w:tcPr>
          <w:p w14:paraId="1BE63EC2" w14:textId="1A9EB5EA" w:rsidR="00377CA9" w:rsidRPr="004F2B6F" w:rsidRDefault="00377CA9"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eastAsia="en-US"/>
              </w:rPr>
              <w:t>Table E2. Additional Industry Ratio Benchmark Comparison (2025). Source: Marriott, Hilton and Hyatt annual reports and author's calculations.</w:t>
            </w:r>
          </w:p>
        </w:tc>
      </w:tr>
      <w:tr w:rsidR="004A45B0" w:rsidRPr="004F2B6F" w14:paraId="3C5B607C" w14:textId="77777777" w:rsidTr="004A45B0">
        <w:trPr>
          <w:trHeight w:val="580"/>
        </w:trPr>
        <w:tc>
          <w:tcPr>
            <w:tcW w:w="1820"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575BB4A"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Additional Ratio (2025)</w:t>
            </w:r>
          </w:p>
        </w:tc>
        <w:tc>
          <w:tcPr>
            <w:tcW w:w="1460" w:type="dxa"/>
            <w:tcBorders>
              <w:top w:val="single" w:sz="4" w:space="0" w:color="auto"/>
              <w:left w:val="nil"/>
              <w:bottom w:val="single" w:sz="4" w:space="0" w:color="auto"/>
              <w:right w:val="single" w:sz="4" w:space="0" w:color="auto"/>
            </w:tcBorders>
            <w:shd w:val="clear" w:color="000000" w:fill="A9D08E"/>
            <w:vAlign w:val="center"/>
            <w:hideMark/>
          </w:tcPr>
          <w:p w14:paraId="209EEF4F"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Marriott</w:t>
            </w:r>
          </w:p>
        </w:tc>
        <w:tc>
          <w:tcPr>
            <w:tcW w:w="1900" w:type="dxa"/>
            <w:tcBorders>
              <w:top w:val="single" w:sz="4" w:space="0" w:color="auto"/>
              <w:left w:val="nil"/>
              <w:bottom w:val="single" w:sz="4" w:space="0" w:color="auto"/>
              <w:right w:val="single" w:sz="4" w:space="0" w:color="auto"/>
            </w:tcBorders>
            <w:shd w:val="clear" w:color="000000" w:fill="A9D08E"/>
            <w:vAlign w:val="center"/>
            <w:hideMark/>
          </w:tcPr>
          <w:p w14:paraId="0C4F72FC"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Hilton</w:t>
            </w:r>
          </w:p>
        </w:tc>
        <w:tc>
          <w:tcPr>
            <w:tcW w:w="1560" w:type="dxa"/>
            <w:tcBorders>
              <w:top w:val="single" w:sz="4" w:space="0" w:color="auto"/>
              <w:left w:val="nil"/>
              <w:bottom w:val="single" w:sz="4" w:space="0" w:color="auto"/>
              <w:right w:val="single" w:sz="4" w:space="0" w:color="auto"/>
            </w:tcBorders>
            <w:shd w:val="clear" w:color="000000" w:fill="A9D08E"/>
            <w:vAlign w:val="center"/>
            <w:hideMark/>
          </w:tcPr>
          <w:p w14:paraId="5EFAD362"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Hyatt</w:t>
            </w:r>
          </w:p>
        </w:tc>
        <w:tc>
          <w:tcPr>
            <w:tcW w:w="3120" w:type="dxa"/>
            <w:tcBorders>
              <w:top w:val="single" w:sz="4" w:space="0" w:color="auto"/>
              <w:left w:val="nil"/>
              <w:bottom w:val="single" w:sz="4" w:space="0" w:color="auto"/>
              <w:right w:val="single" w:sz="4" w:space="0" w:color="auto"/>
            </w:tcBorders>
            <w:shd w:val="clear" w:color="000000" w:fill="A9D08E"/>
            <w:vAlign w:val="center"/>
            <w:hideMark/>
          </w:tcPr>
          <w:p w14:paraId="578C4C63"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Benchmark Analysis</w:t>
            </w:r>
          </w:p>
        </w:tc>
      </w:tr>
      <w:tr w:rsidR="004A45B0" w:rsidRPr="004F2B6F" w14:paraId="7AB9FA24" w14:textId="77777777" w:rsidTr="004A45B0">
        <w:trPr>
          <w:trHeight w:val="1740"/>
        </w:trPr>
        <w:tc>
          <w:tcPr>
            <w:tcW w:w="1820" w:type="dxa"/>
            <w:tcBorders>
              <w:top w:val="nil"/>
              <w:left w:val="single" w:sz="4" w:space="0" w:color="auto"/>
              <w:bottom w:val="single" w:sz="4" w:space="0" w:color="auto"/>
              <w:right w:val="single" w:sz="4" w:space="0" w:color="auto"/>
            </w:tcBorders>
            <w:vAlign w:val="center"/>
            <w:hideMark/>
          </w:tcPr>
          <w:p w14:paraId="18914BD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ROE</w:t>
            </w:r>
          </w:p>
        </w:tc>
        <w:tc>
          <w:tcPr>
            <w:tcW w:w="1460" w:type="dxa"/>
            <w:tcBorders>
              <w:top w:val="nil"/>
              <w:left w:val="nil"/>
              <w:bottom w:val="single" w:sz="4" w:space="0" w:color="auto"/>
              <w:right w:val="single" w:sz="4" w:space="0" w:color="auto"/>
            </w:tcBorders>
            <w:vAlign w:val="center"/>
            <w:hideMark/>
          </w:tcPr>
          <w:p w14:paraId="1916517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1900" w:type="dxa"/>
            <w:tcBorders>
              <w:top w:val="nil"/>
              <w:left w:val="nil"/>
              <w:bottom w:val="single" w:sz="4" w:space="0" w:color="auto"/>
              <w:right w:val="single" w:sz="4" w:space="0" w:color="auto"/>
            </w:tcBorders>
            <w:vAlign w:val="center"/>
            <w:hideMark/>
          </w:tcPr>
          <w:p w14:paraId="083F1E9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NM</w:t>
            </w:r>
          </w:p>
        </w:tc>
        <w:tc>
          <w:tcPr>
            <w:tcW w:w="1560" w:type="dxa"/>
            <w:tcBorders>
              <w:top w:val="nil"/>
              <w:left w:val="nil"/>
              <w:bottom w:val="single" w:sz="4" w:space="0" w:color="auto"/>
              <w:right w:val="single" w:sz="4" w:space="0" w:color="auto"/>
            </w:tcBorders>
            <w:vAlign w:val="center"/>
            <w:hideMark/>
          </w:tcPr>
          <w:p w14:paraId="788545B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5.8%</w:t>
            </w:r>
          </w:p>
        </w:tc>
        <w:tc>
          <w:tcPr>
            <w:tcW w:w="3120" w:type="dxa"/>
            <w:tcBorders>
              <w:top w:val="nil"/>
              <w:left w:val="nil"/>
              <w:bottom w:val="single" w:sz="4" w:space="0" w:color="auto"/>
              <w:right w:val="single" w:sz="4" w:space="0" w:color="auto"/>
            </w:tcBorders>
            <w:vAlign w:val="center"/>
            <w:hideMark/>
          </w:tcPr>
          <w:p w14:paraId="2BD08CE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xml:space="preserve">Marriott and Hilton report shareholders' deficits due to significant share repurchases, making ROE not meaningful. Hyatt reports positive equity and a positive ROE. </w:t>
            </w:r>
          </w:p>
        </w:tc>
      </w:tr>
      <w:tr w:rsidR="004A45B0" w:rsidRPr="004F2B6F" w14:paraId="302CCC33" w14:textId="77777777" w:rsidTr="004A45B0">
        <w:trPr>
          <w:trHeight w:val="1450"/>
        </w:trPr>
        <w:tc>
          <w:tcPr>
            <w:tcW w:w="1820" w:type="dxa"/>
            <w:tcBorders>
              <w:top w:val="nil"/>
              <w:left w:val="single" w:sz="4" w:space="0" w:color="auto"/>
              <w:bottom w:val="single" w:sz="4" w:space="0" w:color="auto"/>
              <w:right w:val="single" w:sz="4" w:space="0" w:color="auto"/>
            </w:tcBorders>
            <w:vAlign w:val="center"/>
            <w:hideMark/>
          </w:tcPr>
          <w:p w14:paraId="4BBE25D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ROA (%)</w:t>
            </w:r>
          </w:p>
        </w:tc>
        <w:tc>
          <w:tcPr>
            <w:tcW w:w="1460" w:type="dxa"/>
            <w:tcBorders>
              <w:top w:val="nil"/>
              <w:left w:val="nil"/>
              <w:bottom w:val="single" w:sz="4" w:space="0" w:color="auto"/>
              <w:right w:val="single" w:sz="4" w:space="0" w:color="auto"/>
            </w:tcBorders>
            <w:vAlign w:val="center"/>
            <w:hideMark/>
          </w:tcPr>
          <w:p w14:paraId="58BDD51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9.4%</w:t>
            </w:r>
          </w:p>
        </w:tc>
        <w:tc>
          <w:tcPr>
            <w:tcW w:w="1900" w:type="dxa"/>
            <w:tcBorders>
              <w:top w:val="nil"/>
              <w:left w:val="nil"/>
              <w:bottom w:val="single" w:sz="4" w:space="0" w:color="auto"/>
              <w:right w:val="single" w:sz="4" w:space="0" w:color="auto"/>
            </w:tcBorders>
            <w:vAlign w:val="center"/>
            <w:hideMark/>
          </w:tcPr>
          <w:p w14:paraId="05A57BA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8.5%</w:t>
            </w:r>
          </w:p>
        </w:tc>
        <w:tc>
          <w:tcPr>
            <w:tcW w:w="1560" w:type="dxa"/>
            <w:tcBorders>
              <w:top w:val="nil"/>
              <w:left w:val="nil"/>
              <w:bottom w:val="single" w:sz="4" w:space="0" w:color="auto"/>
              <w:right w:val="single" w:sz="4" w:space="0" w:color="auto"/>
            </w:tcBorders>
            <w:vAlign w:val="center"/>
            <w:hideMark/>
          </w:tcPr>
          <w:p w14:paraId="3884648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4.2%</w:t>
            </w:r>
          </w:p>
        </w:tc>
        <w:tc>
          <w:tcPr>
            <w:tcW w:w="3120" w:type="dxa"/>
            <w:tcBorders>
              <w:top w:val="nil"/>
              <w:left w:val="nil"/>
              <w:bottom w:val="single" w:sz="4" w:space="0" w:color="auto"/>
              <w:right w:val="single" w:sz="4" w:space="0" w:color="auto"/>
            </w:tcBorders>
            <w:vAlign w:val="center"/>
            <w:hideMark/>
          </w:tcPr>
          <w:p w14:paraId="4A1203E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xml:space="preserve">Marriott achieved the highest return on assets, indicating it generated more profit from each dollar invested in assets than Hilton or Hyatt. </w:t>
            </w:r>
          </w:p>
        </w:tc>
      </w:tr>
      <w:tr w:rsidR="004A45B0" w:rsidRPr="004F2B6F" w14:paraId="156C17D9" w14:textId="77777777" w:rsidTr="004A45B0">
        <w:trPr>
          <w:trHeight w:val="1450"/>
        </w:trPr>
        <w:tc>
          <w:tcPr>
            <w:tcW w:w="1820" w:type="dxa"/>
            <w:tcBorders>
              <w:top w:val="nil"/>
              <w:left w:val="single" w:sz="4" w:space="0" w:color="auto"/>
              <w:bottom w:val="single" w:sz="4" w:space="0" w:color="auto"/>
              <w:right w:val="single" w:sz="4" w:space="0" w:color="auto"/>
            </w:tcBorders>
            <w:vAlign w:val="center"/>
            <w:hideMark/>
          </w:tcPr>
          <w:p w14:paraId="41A2901A"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P/E Ratio</w:t>
            </w:r>
          </w:p>
        </w:tc>
        <w:tc>
          <w:tcPr>
            <w:tcW w:w="1460" w:type="dxa"/>
            <w:tcBorders>
              <w:top w:val="nil"/>
              <w:left w:val="nil"/>
              <w:bottom w:val="single" w:sz="4" w:space="0" w:color="auto"/>
              <w:right w:val="single" w:sz="4" w:space="0" w:color="auto"/>
            </w:tcBorders>
            <w:vAlign w:val="center"/>
            <w:hideMark/>
          </w:tcPr>
          <w:p w14:paraId="147F0B8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29,1</w:t>
            </w:r>
          </w:p>
        </w:tc>
        <w:tc>
          <w:tcPr>
            <w:tcW w:w="1900" w:type="dxa"/>
            <w:tcBorders>
              <w:top w:val="nil"/>
              <w:left w:val="nil"/>
              <w:bottom w:val="single" w:sz="4" w:space="0" w:color="auto"/>
              <w:right w:val="single" w:sz="4" w:space="0" w:color="auto"/>
            </w:tcBorders>
            <w:vAlign w:val="center"/>
            <w:hideMark/>
          </w:tcPr>
          <w:p w14:paraId="68EA7BA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35,1</w:t>
            </w:r>
          </w:p>
        </w:tc>
        <w:tc>
          <w:tcPr>
            <w:tcW w:w="1560" w:type="dxa"/>
            <w:tcBorders>
              <w:top w:val="nil"/>
              <w:left w:val="nil"/>
              <w:bottom w:val="single" w:sz="4" w:space="0" w:color="auto"/>
              <w:right w:val="single" w:sz="4" w:space="0" w:color="auto"/>
            </w:tcBorders>
            <w:vAlign w:val="center"/>
            <w:hideMark/>
          </w:tcPr>
          <w:p w14:paraId="0696C3A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31,8</w:t>
            </w:r>
          </w:p>
        </w:tc>
        <w:tc>
          <w:tcPr>
            <w:tcW w:w="3120" w:type="dxa"/>
            <w:tcBorders>
              <w:top w:val="nil"/>
              <w:left w:val="nil"/>
              <w:bottom w:val="single" w:sz="4" w:space="0" w:color="auto"/>
              <w:right w:val="single" w:sz="4" w:space="0" w:color="auto"/>
            </w:tcBorders>
            <w:vAlign w:val="center"/>
            <w:hideMark/>
          </w:tcPr>
          <w:p w14:paraId="60DCE5E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 xml:space="preserve">Marriott's valuation is lower than Hilton's but slightly below Hyatt's, suggesting investors expect continued growth while valuing Hilton more highly. </w:t>
            </w:r>
          </w:p>
        </w:tc>
      </w:tr>
      <w:tr w:rsidR="004A45B0" w:rsidRPr="004F2B6F" w14:paraId="6C2632B6" w14:textId="77777777" w:rsidTr="004A45B0">
        <w:trPr>
          <w:trHeight w:val="1740"/>
        </w:trPr>
        <w:tc>
          <w:tcPr>
            <w:tcW w:w="1820" w:type="dxa"/>
            <w:tcBorders>
              <w:top w:val="nil"/>
              <w:left w:val="single" w:sz="4" w:space="0" w:color="auto"/>
              <w:bottom w:val="single" w:sz="4" w:space="0" w:color="auto"/>
              <w:right w:val="single" w:sz="4" w:space="0" w:color="auto"/>
            </w:tcBorders>
            <w:vAlign w:val="center"/>
            <w:hideMark/>
          </w:tcPr>
          <w:p w14:paraId="6EDBA64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lastRenderedPageBreak/>
              <w:t>Operating Cash Flow Ratio</w:t>
            </w:r>
          </w:p>
        </w:tc>
        <w:tc>
          <w:tcPr>
            <w:tcW w:w="1460" w:type="dxa"/>
            <w:tcBorders>
              <w:top w:val="nil"/>
              <w:left w:val="nil"/>
              <w:bottom w:val="single" w:sz="4" w:space="0" w:color="auto"/>
              <w:right w:val="single" w:sz="4" w:space="0" w:color="auto"/>
            </w:tcBorders>
            <w:vAlign w:val="center"/>
            <w:hideMark/>
          </w:tcPr>
          <w:p w14:paraId="7B864EA6" w14:textId="6F491094"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w:t>
            </w:r>
            <w:r w:rsidR="002D3181" w:rsidRPr="004F2B6F">
              <w:rPr>
                <w:rFonts w:ascii="Arial" w:eastAsia="Times New Roman" w:hAnsi="Arial" w:cs="Arial"/>
                <w:color w:val="000000"/>
                <w:sz w:val="22"/>
                <w:szCs w:val="22"/>
                <w:lang w:val="en-US" w:eastAsia="en-US"/>
              </w:rPr>
              <w:t>38</w:t>
            </w:r>
          </w:p>
        </w:tc>
        <w:tc>
          <w:tcPr>
            <w:tcW w:w="1900" w:type="dxa"/>
            <w:tcBorders>
              <w:top w:val="nil"/>
              <w:left w:val="nil"/>
              <w:bottom w:val="single" w:sz="4" w:space="0" w:color="auto"/>
              <w:right w:val="single" w:sz="4" w:space="0" w:color="auto"/>
            </w:tcBorders>
            <w:vAlign w:val="center"/>
            <w:hideMark/>
          </w:tcPr>
          <w:p w14:paraId="6A842F5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0.49</w:t>
            </w:r>
          </w:p>
        </w:tc>
        <w:tc>
          <w:tcPr>
            <w:tcW w:w="1560" w:type="dxa"/>
            <w:tcBorders>
              <w:top w:val="nil"/>
              <w:left w:val="nil"/>
              <w:bottom w:val="single" w:sz="4" w:space="0" w:color="auto"/>
              <w:right w:val="single" w:sz="4" w:space="0" w:color="auto"/>
            </w:tcBorders>
            <w:vAlign w:val="center"/>
            <w:hideMark/>
          </w:tcPr>
          <w:p w14:paraId="6C17F76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0.44</w:t>
            </w:r>
          </w:p>
        </w:tc>
        <w:tc>
          <w:tcPr>
            <w:tcW w:w="3120" w:type="dxa"/>
            <w:tcBorders>
              <w:top w:val="nil"/>
              <w:left w:val="nil"/>
              <w:bottom w:val="single" w:sz="4" w:space="0" w:color="auto"/>
              <w:right w:val="single" w:sz="4" w:space="0" w:color="auto"/>
            </w:tcBorders>
            <w:vAlign w:val="center"/>
            <w:hideMark/>
          </w:tcPr>
          <w:p w14:paraId="6E7A7D4F" w14:textId="1B570EF2" w:rsidR="004A45B0" w:rsidRPr="004F2B6F" w:rsidRDefault="002D3181" w:rsidP="004F2B6F">
            <w:pPr>
              <w:spacing w:line="360" w:lineRule="auto"/>
              <w:rPr>
                <w:rFonts w:ascii="Arial" w:eastAsia="Times New Roman" w:hAnsi="Arial" w:cs="Arial"/>
                <w:color w:val="000000"/>
                <w:sz w:val="22"/>
                <w:szCs w:val="22"/>
                <w:lang w:eastAsia="en-US"/>
              </w:rPr>
            </w:pPr>
            <w:r w:rsidRPr="004F2B6F">
              <w:rPr>
                <w:rFonts w:ascii="Arial" w:hAnsi="Arial" w:cs="Arial"/>
                <w:color w:val="000000"/>
                <w:sz w:val="22"/>
                <w:szCs w:val="22"/>
              </w:rPr>
              <w:t>Marriott generated an operating cash flow ratio of 0.38, below Hilton and Hyatt in this benchmark, indicating weaker operating cash coverage of current liabilities in 2025.</w:t>
            </w:r>
          </w:p>
        </w:tc>
      </w:tr>
      <w:tr w:rsidR="004A45B0" w:rsidRPr="004F2B6F" w14:paraId="4743D4C4" w14:textId="77777777" w:rsidTr="004A45B0">
        <w:trPr>
          <w:trHeight w:val="1740"/>
        </w:trPr>
        <w:tc>
          <w:tcPr>
            <w:tcW w:w="1820" w:type="dxa"/>
            <w:tcBorders>
              <w:top w:val="nil"/>
              <w:left w:val="single" w:sz="4" w:space="0" w:color="auto"/>
              <w:bottom w:val="single" w:sz="4" w:space="0" w:color="auto"/>
              <w:right w:val="single" w:sz="4" w:space="0" w:color="auto"/>
            </w:tcBorders>
            <w:vAlign w:val="center"/>
            <w:hideMark/>
          </w:tcPr>
          <w:p w14:paraId="1074696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Free Cash Flow Margin (%)</w:t>
            </w:r>
          </w:p>
        </w:tc>
        <w:tc>
          <w:tcPr>
            <w:tcW w:w="1460" w:type="dxa"/>
            <w:tcBorders>
              <w:top w:val="nil"/>
              <w:left w:val="nil"/>
              <w:bottom w:val="single" w:sz="4" w:space="0" w:color="auto"/>
              <w:right w:val="single" w:sz="4" w:space="0" w:color="auto"/>
            </w:tcBorders>
            <w:vAlign w:val="center"/>
            <w:hideMark/>
          </w:tcPr>
          <w:p w14:paraId="5CFD576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10.0%</w:t>
            </w:r>
          </w:p>
        </w:tc>
        <w:tc>
          <w:tcPr>
            <w:tcW w:w="1900" w:type="dxa"/>
            <w:tcBorders>
              <w:top w:val="nil"/>
              <w:left w:val="nil"/>
              <w:bottom w:val="single" w:sz="4" w:space="0" w:color="auto"/>
              <w:right w:val="single" w:sz="4" w:space="0" w:color="auto"/>
            </w:tcBorders>
            <w:vAlign w:val="center"/>
            <w:hideMark/>
          </w:tcPr>
          <w:p w14:paraId="7E10192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8.6%</w:t>
            </w:r>
          </w:p>
        </w:tc>
        <w:tc>
          <w:tcPr>
            <w:tcW w:w="1560" w:type="dxa"/>
            <w:tcBorders>
              <w:top w:val="nil"/>
              <w:left w:val="nil"/>
              <w:bottom w:val="single" w:sz="4" w:space="0" w:color="auto"/>
              <w:right w:val="single" w:sz="4" w:space="0" w:color="auto"/>
            </w:tcBorders>
            <w:vAlign w:val="center"/>
            <w:hideMark/>
          </w:tcPr>
          <w:p w14:paraId="4AA3147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7.8%</w:t>
            </w:r>
          </w:p>
        </w:tc>
        <w:tc>
          <w:tcPr>
            <w:tcW w:w="3120" w:type="dxa"/>
            <w:tcBorders>
              <w:top w:val="nil"/>
              <w:left w:val="nil"/>
              <w:bottom w:val="single" w:sz="4" w:space="0" w:color="auto"/>
              <w:right w:val="single" w:sz="4" w:space="0" w:color="auto"/>
            </w:tcBorders>
            <w:vAlign w:val="center"/>
            <w:hideMark/>
          </w:tcPr>
          <w:p w14:paraId="6D53E9F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Marriott generated the highest proportion of free cash flow from revenue, providing greater financial flexibility for dividends, share buybacks and future investment.</w:t>
            </w:r>
          </w:p>
        </w:tc>
      </w:tr>
    </w:tbl>
    <w:p w14:paraId="0CD2AA53" w14:textId="77777777" w:rsidR="004A45B0" w:rsidRPr="004F2B6F" w:rsidRDefault="004A45B0" w:rsidP="004F2B6F">
      <w:pPr>
        <w:spacing w:line="360" w:lineRule="auto"/>
        <w:rPr>
          <w:rFonts w:ascii="Arial" w:hAnsi="Arial" w:cs="Arial"/>
          <w:b/>
          <w:bCs/>
          <w:lang w:val="en-US"/>
        </w:rPr>
      </w:pPr>
    </w:p>
    <w:p w14:paraId="1BCFCC43" w14:textId="77777777" w:rsidR="004A45B0" w:rsidRDefault="004A45B0" w:rsidP="004F2B6F">
      <w:pPr>
        <w:spacing w:line="360" w:lineRule="auto"/>
        <w:rPr>
          <w:rFonts w:ascii="Arial" w:hAnsi="Arial" w:cs="Arial"/>
          <w:lang w:val="en-US"/>
        </w:rPr>
      </w:pPr>
    </w:p>
    <w:p w14:paraId="67759588" w14:textId="77777777" w:rsidR="004F2B6F" w:rsidRDefault="004F2B6F" w:rsidP="004F2B6F">
      <w:pPr>
        <w:spacing w:line="360" w:lineRule="auto"/>
        <w:rPr>
          <w:rFonts w:ascii="Arial" w:hAnsi="Arial" w:cs="Arial"/>
          <w:lang w:val="en-US"/>
        </w:rPr>
      </w:pPr>
    </w:p>
    <w:p w14:paraId="1BE9FB4B" w14:textId="77777777" w:rsidR="004F2B6F" w:rsidRDefault="004F2B6F" w:rsidP="004F2B6F">
      <w:pPr>
        <w:spacing w:line="360" w:lineRule="auto"/>
        <w:rPr>
          <w:rFonts w:ascii="Arial" w:hAnsi="Arial" w:cs="Arial"/>
          <w:lang w:val="en-US"/>
        </w:rPr>
      </w:pPr>
    </w:p>
    <w:p w14:paraId="6E65EF0A" w14:textId="77777777" w:rsidR="004F2B6F" w:rsidRDefault="004F2B6F" w:rsidP="004F2B6F">
      <w:pPr>
        <w:spacing w:line="360" w:lineRule="auto"/>
        <w:rPr>
          <w:rFonts w:ascii="Arial" w:hAnsi="Arial" w:cs="Arial"/>
          <w:lang w:val="en-US"/>
        </w:rPr>
      </w:pPr>
    </w:p>
    <w:p w14:paraId="56877055" w14:textId="77777777" w:rsidR="004F2B6F" w:rsidRDefault="004F2B6F" w:rsidP="004F2B6F">
      <w:pPr>
        <w:spacing w:line="360" w:lineRule="auto"/>
        <w:rPr>
          <w:rFonts w:ascii="Arial" w:hAnsi="Arial" w:cs="Arial"/>
          <w:lang w:val="en-US"/>
        </w:rPr>
      </w:pPr>
    </w:p>
    <w:p w14:paraId="40CF8F36" w14:textId="77777777" w:rsidR="004F2B6F" w:rsidRDefault="004F2B6F" w:rsidP="004F2B6F">
      <w:pPr>
        <w:spacing w:line="360" w:lineRule="auto"/>
        <w:rPr>
          <w:rFonts w:ascii="Arial" w:hAnsi="Arial" w:cs="Arial"/>
          <w:lang w:val="en-US"/>
        </w:rPr>
      </w:pPr>
    </w:p>
    <w:p w14:paraId="5C18E48C" w14:textId="77777777" w:rsidR="004F2B6F" w:rsidRDefault="004F2B6F" w:rsidP="004F2B6F">
      <w:pPr>
        <w:spacing w:line="360" w:lineRule="auto"/>
        <w:rPr>
          <w:rFonts w:ascii="Arial" w:hAnsi="Arial" w:cs="Arial"/>
          <w:lang w:val="en-US"/>
        </w:rPr>
      </w:pPr>
    </w:p>
    <w:p w14:paraId="4B15C6AD" w14:textId="77777777" w:rsidR="004F2B6F" w:rsidRDefault="004F2B6F" w:rsidP="004F2B6F">
      <w:pPr>
        <w:spacing w:line="360" w:lineRule="auto"/>
        <w:rPr>
          <w:rFonts w:ascii="Arial" w:hAnsi="Arial" w:cs="Arial"/>
          <w:lang w:val="en-US"/>
        </w:rPr>
      </w:pPr>
    </w:p>
    <w:p w14:paraId="7D3D7AB5" w14:textId="77777777" w:rsidR="004F2B6F" w:rsidRDefault="004F2B6F" w:rsidP="004F2B6F">
      <w:pPr>
        <w:spacing w:line="360" w:lineRule="auto"/>
        <w:rPr>
          <w:rFonts w:ascii="Arial" w:hAnsi="Arial" w:cs="Arial"/>
          <w:lang w:val="en-US"/>
        </w:rPr>
      </w:pPr>
    </w:p>
    <w:p w14:paraId="29AA6D4A" w14:textId="77777777" w:rsidR="004F2B6F" w:rsidRDefault="004F2B6F" w:rsidP="004F2B6F">
      <w:pPr>
        <w:spacing w:line="360" w:lineRule="auto"/>
        <w:rPr>
          <w:rFonts w:ascii="Arial" w:hAnsi="Arial" w:cs="Arial"/>
          <w:lang w:val="en-US"/>
        </w:rPr>
      </w:pPr>
    </w:p>
    <w:p w14:paraId="5B28425F" w14:textId="77777777" w:rsidR="004F2B6F" w:rsidRDefault="004F2B6F" w:rsidP="004F2B6F">
      <w:pPr>
        <w:spacing w:line="360" w:lineRule="auto"/>
        <w:rPr>
          <w:rFonts w:ascii="Arial" w:hAnsi="Arial" w:cs="Arial"/>
          <w:lang w:val="en-US"/>
        </w:rPr>
      </w:pPr>
    </w:p>
    <w:p w14:paraId="048DA739" w14:textId="77777777" w:rsidR="004F2B6F" w:rsidRDefault="004F2B6F" w:rsidP="004F2B6F">
      <w:pPr>
        <w:spacing w:line="360" w:lineRule="auto"/>
        <w:rPr>
          <w:rFonts w:ascii="Arial" w:hAnsi="Arial" w:cs="Arial"/>
          <w:lang w:val="en-US"/>
        </w:rPr>
      </w:pPr>
    </w:p>
    <w:p w14:paraId="5820F1A7" w14:textId="77777777" w:rsidR="004F2B6F" w:rsidRDefault="004F2B6F" w:rsidP="004F2B6F">
      <w:pPr>
        <w:spacing w:line="360" w:lineRule="auto"/>
        <w:rPr>
          <w:rFonts w:ascii="Arial" w:hAnsi="Arial" w:cs="Arial"/>
          <w:lang w:val="en-US"/>
        </w:rPr>
      </w:pPr>
    </w:p>
    <w:p w14:paraId="6B14F893" w14:textId="77777777" w:rsidR="004F2B6F" w:rsidRPr="004F2B6F" w:rsidRDefault="004F2B6F" w:rsidP="004F2B6F">
      <w:pPr>
        <w:spacing w:line="360" w:lineRule="auto"/>
        <w:rPr>
          <w:rFonts w:ascii="Arial" w:hAnsi="Arial" w:cs="Arial"/>
          <w:lang w:val="en-US"/>
        </w:rPr>
      </w:pPr>
    </w:p>
    <w:p w14:paraId="66F5168A" w14:textId="77777777" w:rsidR="00B9519C" w:rsidRPr="004F2B6F" w:rsidRDefault="00B9519C" w:rsidP="004F2B6F">
      <w:pPr>
        <w:spacing w:line="360" w:lineRule="auto"/>
        <w:rPr>
          <w:rFonts w:ascii="Arial" w:hAnsi="Arial" w:cs="Arial"/>
          <w:lang w:val="en-US"/>
        </w:rPr>
      </w:pPr>
      <w:r w:rsidRPr="004F2B6F">
        <w:rPr>
          <w:rFonts w:ascii="Arial" w:hAnsi="Arial" w:cs="Arial"/>
          <w:b/>
          <w:bCs/>
          <w:lang w:val="en-US"/>
        </w:rPr>
        <w:lastRenderedPageBreak/>
        <w:t>Appendix F – Cash Conversion Cycle (CCC) Analysis</w:t>
      </w:r>
    </w:p>
    <w:p w14:paraId="6E07BFB8" w14:textId="0FCF6E0B" w:rsidR="00B9519C" w:rsidRPr="004F2B6F" w:rsidRDefault="00377CA9" w:rsidP="004F2B6F">
      <w:pPr>
        <w:spacing w:line="360" w:lineRule="auto"/>
        <w:rPr>
          <w:rFonts w:ascii="Arial" w:hAnsi="Arial" w:cs="Arial"/>
          <w:b/>
          <w:bCs/>
          <w:lang w:val="en-US"/>
        </w:rPr>
      </w:pPr>
      <w:r w:rsidRPr="004F2B6F">
        <w:rPr>
          <w:rFonts w:ascii="Arial" w:hAnsi="Arial" w:cs="Arial"/>
          <w:b/>
          <w:bCs/>
        </w:rPr>
        <w:t>Table F1. Cash Conversion Cycle Analysis (2021–2025). Source: Annual reports and author's calculations.</w:t>
      </w:r>
    </w:p>
    <w:tbl>
      <w:tblPr>
        <w:tblW w:w="10180" w:type="dxa"/>
        <w:tblLook w:val="04A0" w:firstRow="1" w:lastRow="0" w:firstColumn="1" w:lastColumn="0" w:noHBand="0" w:noVBand="1"/>
      </w:tblPr>
      <w:tblGrid>
        <w:gridCol w:w="2440"/>
        <w:gridCol w:w="1940"/>
        <w:gridCol w:w="1320"/>
        <w:gridCol w:w="1500"/>
        <w:gridCol w:w="1500"/>
        <w:gridCol w:w="1480"/>
      </w:tblGrid>
      <w:tr w:rsidR="004A45B0" w:rsidRPr="004F2B6F" w14:paraId="4DDBBC30" w14:textId="77777777" w:rsidTr="004A45B0">
        <w:trPr>
          <w:trHeight w:val="290"/>
        </w:trPr>
        <w:tc>
          <w:tcPr>
            <w:tcW w:w="2440" w:type="dxa"/>
            <w:tcBorders>
              <w:top w:val="nil"/>
              <w:left w:val="nil"/>
              <w:bottom w:val="nil"/>
              <w:right w:val="nil"/>
            </w:tcBorders>
            <w:noWrap/>
            <w:vAlign w:val="bottom"/>
            <w:hideMark/>
          </w:tcPr>
          <w:p w14:paraId="70778CDA" w14:textId="77777777" w:rsidR="004A45B0" w:rsidRPr="004F2B6F" w:rsidRDefault="004A45B0" w:rsidP="004F2B6F">
            <w:pPr>
              <w:spacing w:after="0" w:line="360" w:lineRule="auto"/>
              <w:rPr>
                <w:rFonts w:ascii="Arial" w:eastAsia="Times New Roman" w:hAnsi="Arial" w:cs="Arial"/>
                <w:lang w:val="en-US" w:eastAsia="en-US"/>
              </w:rPr>
            </w:pPr>
          </w:p>
        </w:tc>
        <w:tc>
          <w:tcPr>
            <w:tcW w:w="1940" w:type="dxa"/>
            <w:tcBorders>
              <w:top w:val="nil"/>
              <w:left w:val="nil"/>
              <w:bottom w:val="nil"/>
              <w:right w:val="nil"/>
            </w:tcBorders>
            <w:noWrap/>
            <w:vAlign w:val="bottom"/>
            <w:hideMark/>
          </w:tcPr>
          <w:p w14:paraId="35638BE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20" w:type="dxa"/>
            <w:tcBorders>
              <w:top w:val="nil"/>
              <w:left w:val="nil"/>
              <w:bottom w:val="nil"/>
              <w:right w:val="nil"/>
            </w:tcBorders>
            <w:noWrap/>
            <w:vAlign w:val="bottom"/>
            <w:hideMark/>
          </w:tcPr>
          <w:p w14:paraId="46FA9E0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00" w:type="dxa"/>
            <w:tcBorders>
              <w:top w:val="nil"/>
              <w:left w:val="nil"/>
              <w:bottom w:val="nil"/>
              <w:right w:val="nil"/>
            </w:tcBorders>
            <w:noWrap/>
            <w:vAlign w:val="bottom"/>
            <w:hideMark/>
          </w:tcPr>
          <w:p w14:paraId="178DDB4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00" w:type="dxa"/>
            <w:tcBorders>
              <w:top w:val="nil"/>
              <w:left w:val="nil"/>
              <w:bottom w:val="nil"/>
              <w:right w:val="nil"/>
            </w:tcBorders>
            <w:noWrap/>
            <w:vAlign w:val="bottom"/>
            <w:hideMark/>
          </w:tcPr>
          <w:p w14:paraId="3821C6A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480" w:type="dxa"/>
            <w:tcBorders>
              <w:top w:val="nil"/>
              <w:left w:val="nil"/>
              <w:bottom w:val="nil"/>
              <w:right w:val="nil"/>
            </w:tcBorders>
            <w:noWrap/>
            <w:vAlign w:val="bottom"/>
            <w:hideMark/>
          </w:tcPr>
          <w:p w14:paraId="02CEAD5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6358029" w14:textId="77777777" w:rsidTr="004A45B0">
        <w:trPr>
          <w:trHeight w:val="290"/>
        </w:trPr>
        <w:tc>
          <w:tcPr>
            <w:tcW w:w="2440"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1CF6D63"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Calculation</w:t>
            </w:r>
          </w:p>
        </w:tc>
        <w:tc>
          <w:tcPr>
            <w:tcW w:w="1940" w:type="dxa"/>
            <w:tcBorders>
              <w:top w:val="single" w:sz="4" w:space="0" w:color="auto"/>
              <w:left w:val="nil"/>
              <w:bottom w:val="single" w:sz="4" w:space="0" w:color="auto"/>
              <w:right w:val="single" w:sz="4" w:space="0" w:color="auto"/>
            </w:tcBorders>
            <w:shd w:val="clear" w:color="000000" w:fill="A9D08E"/>
            <w:vAlign w:val="center"/>
            <w:hideMark/>
          </w:tcPr>
          <w:p w14:paraId="0DA42152"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2025</w:t>
            </w:r>
          </w:p>
        </w:tc>
        <w:tc>
          <w:tcPr>
            <w:tcW w:w="1320" w:type="dxa"/>
            <w:tcBorders>
              <w:top w:val="single" w:sz="4" w:space="0" w:color="auto"/>
              <w:left w:val="nil"/>
              <w:bottom w:val="single" w:sz="4" w:space="0" w:color="auto"/>
              <w:right w:val="single" w:sz="4" w:space="0" w:color="auto"/>
            </w:tcBorders>
            <w:shd w:val="clear" w:color="000000" w:fill="A9D08E"/>
            <w:vAlign w:val="center"/>
            <w:hideMark/>
          </w:tcPr>
          <w:p w14:paraId="6C9EFCAA"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2024</w:t>
            </w:r>
          </w:p>
        </w:tc>
        <w:tc>
          <w:tcPr>
            <w:tcW w:w="1500" w:type="dxa"/>
            <w:tcBorders>
              <w:top w:val="single" w:sz="4" w:space="0" w:color="auto"/>
              <w:left w:val="nil"/>
              <w:bottom w:val="single" w:sz="4" w:space="0" w:color="auto"/>
              <w:right w:val="single" w:sz="4" w:space="0" w:color="auto"/>
            </w:tcBorders>
            <w:shd w:val="clear" w:color="000000" w:fill="A9D08E"/>
            <w:vAlign w:val="center"/>
            <w:hideMark/>
          </w:tcPr>
          <w:p w14:paraId="2A4FE73E"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2023</w:t>
            </w:r>
          </w:p>
        </w:tc>
        <w:tc>
          <w:tcPr>
            <w:tcW w:w="1500" w:type="dxa"/>
            <w:tcBorders>
              <w:top w:val="single" w:sz="4" w:space="0" w:color="auto"/>
              <w:left w:val="nil"/>
              <w:bottom w:val="single" w:sz="4" w:space="0" w:color="auto"/>
              <w:right w:val="single" w:sz="4" w:space="0" w:color="auto"/>
            </w:tcBorders>
            <w:shd w:val="clear" w:color="000000" w:fill="A9D08E"/>
            <w:vAlign w:val="center"/>
            <w:hideMark/>
          </w:tcPr>
          <w:p w14:paraId="5666F523"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2022</w:t>
            </w:r>
          </w:p>
        </w:tc>
        <w:tc>
          <w:tcPr>
            <w:tcW w:w="1480" w:type="dxa"/>
            <w:tcBorders>
              <w:top w:val="single" w:sz="4" w:space="0" w:color="auto"/>
              <w:left w:val="nil"/>
              <w:bottom w:val="single" w:sz="4" w:space="0" w:color="auto"/>
              <w:right w:val="single" w:sz="4" w:space="0" w:color="auto"/>
            </w:tcBorders>
            <w:shd w:val="clear" w:color="000000" w:fill="A9D08E"/>
            <w:vAlign w:val="center"/>
            <w:hideMark/>
          </w:tcPr>
          <w:p w14:paraId="46D721B9"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2021</w:t>
            </w:r>
          </w:p>
        </w:tc>
      </w:tr>
      <w:tr w:rsidR="004A45B0" w:rsidRPr="004F2B6F" w14:paraId="6CCD7EB1"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D82897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Opening receivables</w:t>
            </w:r>
          </w:p>
        </w:tc>
        <w:tc>
          <w:tcPr>
            <w:tcW w:w="1940" w:type="dxa"/>
            <w:tcBorders>
              <w:top w:val="nil"/>
              <w:left w:val="nil"/>
              <w:bottom w:val="single" w:sz="4" w:space="0" w:color="auto"/>
              <w:right w:val="single" w:sz="4" w:space="0" w:color="auto"/>
            </w:tcBorders>
            <w:vAlign w:val="center"/>
            <w:hideMark/>
          </w:tcPr>
          <w:p w14:paraId="63DFD17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2,795</w:t>
            </w:r>
          </w:p>
        </w:tc>
        <w:tc>
          <w:tcPr>
            <w:tcW w:w="1320" w:type="dxa"/>
            <w:tcBorders>
              <w:top w:val="nil"/>
              <w:left w:val="nil"/>
              <w:bottom w:val="single" w:sz="4" w:space="0" w:color="auto"/>
              <w:right w:val="single" w:sz="4" w:space="0" w:color="auto"/>
            </w:tcBorders>
            <w:vAlign w:val="center"/>
            <w:hideMark/>
          </w:tcPr>
          <w:p w14:paraId="1C7400D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2,712</w:t>
            </w:r>
          </w:p>
        </w:tc>
        <w:tc>
          <w:tcPr>
            <w:tcW w:w="1500" w:type="dxa"/>
            <w:tcBorders>
              <w:top w:val="nil"/>
              <w:left w:val="nil"/>
              <w:bottom w:val="single" w:sz="4" w:space="0" w:color="auto"/>
              <w:right w:val="single" w:sz="4" w:space="0" w:color="auto"/>
            </w:tcBorders>
            <w:vAlign w:val="center"/>
            <w:hideMark/>
          </w:tcPr>
          <w:p w14:paraId="2951624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2,571</w:t>
            </w:r>
          </w:p>
        </w:tc>
        <w:tc>
          <w:tcPr>
            <w:tcW w:w="1500" w:type="dxa"/>
            <w:tcBorders>
              <w:top w:val="nil"/>
              <w:left w:val="nil"/>
              <w:bottom w:val="single" w:sz="4" w:space="0" w:color="auto"/>
              <w:right w:val="single" w:sz="4" w:space="0" w:color="auto"/>
            </w:tcBorders>
            <w:vAlign w:val="center"/>
            <w:hideMark/>
          </w:tcPr>
          <w:p w14:paraId="3233B7F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1,982</w:t>
            </w:r>
          </w:p>
        </w:tc>
        <w:tc>
          <w:tcPr>
            <w:tcW w:w="1480" w:type="dxa"/>
            <w:tcBorders>
              <w:top w:val="nil"/>
              <w:left w:val="nil"/>
              <w:bottom w:val="single" w:sz="4" w:space="0" w:color="auto"/>
              <w:right w:val="single" w:sz="4" w:space="0" w:color="auto"/>
            </w:tcBorders>
            <w:vAlign w:val="center"/>
            <w:hideMark/>
          </w:tcPr>
          <w:p w14:paraId="0524B8A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1,768</w:t>
            </w:r>
          </w:p>
        </w:tc>
      </w:tr>
      <w:tr w:rsidR="004A45B0" w:rsidRPr="004F2B6F" w14:paraId="5E9FF6FD"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2822ED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Closing receivables</w:t>
            </w:r>
          </w:p>
        </w:tc>
        <w:tc>
          <w:tcPr>
            <w:tcW w:w="1940" w:type="dxa"/>
            <w:tcBorders>
              <w:top w:val="nil"/>
              <w:left w:val="nil"/>
              <w:bottom w:val="single" w:sz="4" w:space="0" w:color="auto"/>
              <w:right w:val="single" w:sz="4" w:space="0" w:color="auto"/>
            </w:tcBorders>
            <w:vAlign w:val="center"/>
            <w:hideMark/>
          </w:tcPr>
          <w:p w14:paraId="774B75D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2,909</w:t>
            </w:r>
          </w:p>
        </w:tc>
        <w:tc>
          <w:tcPr>
            <w:tcW w:w="1320" w:type="dxa"/>
            <w:tcBorders>
              <w:top w:val="nil"/>
              <w:left w:val="nil"/>
              <w:bottom w:val="single" w:sz="4" w:space="0" w:color="auto"/>
              <w:right w:val="single" w:sz="4" w:space="0" w:color="auto"/>
            </w:tcBorders>
            <w:vAlign w:val="center"/>
            <w:hideMark/>
          </w:tcPr>
          <w:p w14:paraId="24F3EE5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2,795</w:t>
            </w:r>
          </w:p>
        </w:tc>
        <w:tc>
          <w:tcPr>
            <w:tcW w:w="1500" w:type="dxa"/>
            <w:tcBorders>
              <w:top w:val="nil"/>
              <w:left w:val="nil"/>
              <w:bottom w:val="single" w:sz="4" w:space="0" w:color="auto"/>
              <w:right w:val="single" w:sz="4" w:space="0" w:color="auto"/>
            </w:tcBorders>
            <w:vAlign w:val="center"/>
            <w:hideMark/>
          </w:tcPr>
          <w:p w14:paraId="3D0ADBD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2,712</w:t>
            </w:r>
          </w:p>
        </w:tc>
        <w:tc>
          <w:tcPr>
            <w:tcW w:w="1500" w:type="dxa"/>
            <w:tcBorders>
              <w:top w:val="nil"/>
              <w:left w:val="nil"/>
              <w:bottom w:val="single" w:sz="4" w:space="0" w:color="auto"/>
              <w:right w:val="single" w:sz="4" w:space="0" w:color="auto"/>
            </w:tcBorders>
            <w:vAlign w:val="center"/>
            <w:hideMark/>
          </w:tcPr>
          <w:p w14:paraId="64A194D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2,571</w:t>
            </w:r>
          </w:p>
        </w:tc>
        <w:tc>
          <w:tcPr>
            <w:tcW w:w="1480" w:type="dxa"/>
            <w:tcBorders>
              <w:top w:val="nil"/>
              <w:left w:val="nil"/>
              <w:bottom w:val="single" w:sz="4" w:space="0" w:color="auto"/>
              <w:right w:val="single" w:sz="4" w:space="0" w:color="auto"/>
            </w:tcBorders>
            <w:vAlign w:val="center"/>
            <w:hideMark/>
          </w:tcPr>
          <w:p w14:paraId="25D7B0A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1,982</w:t>
            </w:r>
          </w:p>
        </w:tc>
      </w:tr>
      <w:tr w:rsidR="004A45B0" w:rsidRPr="004F2B6F" w14:paraId="2503CA81"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9D3345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Average receivables</w:t>
            </w:r>
          </w:p>
        </w:tc>
        <w:tc>
          <w:tcPr>
            <w:tcW w:w="1940" w:type="dxa"/>
            <w:tcBorders>
              <w:top w:val="nil"/>
              <w:left w:val="nil"/>
              <w:bottom w:val="single" w:sz="4" w:space="0" w:color="auto"/>
              <w:right w:val="single" w:sz="4" w:space="0" w:color="auto"/>
            </w:tcBorders>
            <w:vAlign w:val="center"/>
            <w:hideMark/>
          </w:tcPr>
          <w:p w14:paraId="768B745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2,852.0</w:t>
            </w:r>
          </w:p>
        </w:tc>
        <w:tc>
          <w:tcPr>
            <w:tcW w:w="1320" w:type="dxa"/>
            <w:tcBorders>
              <w:top w:val="nil"/>
              <w:left w:val="nil"/>
              <w:bottom w:val="single" w:sz="4" w:space="0" w:color="auto"/>
              <w:right w:val="single" w:sz="4" w:space="0" w:color="auto"/>
            </w:tcBorders>
            <w:vAlign w:val="center"/>
            <w:hideMark/>
          </w:tcPr>
          <w:p w14:paraId="5EFB618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2,753.5</w:t>
            </w:r>
          </w:p>
        </w:tc>
        <w:tc>
          <w:tcPr>
            <w:tcW w:w="1500" w:type="dxa"/>
            <w:tcBorders>
              <w:top w:val="nil"/>
              <w:left w:val="nil"/>
              <w:bottom w:val="single" w:sz="4" w:space="0" w:color="auto"/>
              <w:right w:val="single" w:sz="4" w:space="0" w:color="auto"/>
            </w:tcBorders>
            <w:vAlign w:val="center"/>
            <w:hideMark/>
          </w:tcPr>
          <w:p w14:paraId="6CD896B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2,641.5</w:t>
            </w:r>
          </w:p>
        </w:tc>
        <w:tc>
          <w:tcPr>
            <w:tcW w:w="1500" w:type="dxa"/>
            <w:tcBorders>
              <w:top w:val="nil"/>
              <w:left w:val="nil"/>
              <w:bottom w:val="single" w:sz="4" w:space="0" w:color="auto"/>
              <w:right w:val="single" w:sz="4" w:space="0" w:color="auto"/>
            </w:tcBorders>
            <w:vAlign w:val="center"/>
            <w:hideMark/>
          </w:tcPr>
          <w:p w14:paraId="4C1A9FD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2,276.5</w:t>
            </w:r>
          </w:p>
        </w:tc>
        <w:tc>
          <w:tcPr>
            <w:tcW w:w="1480" w:type="dxa"/>
            <w:tcBorders>
              <w:top w:val="nil"/>
              <w:left w:val="nil"/>
              <w:bottom w:val="single" w:sz="4" w:space="0" w:color="auto"/>
              <w:right w:val="single" w:sz="4" w:space="0" w:color="auto"/>
            </w:tcBorders>
            <w:vAlign w:val="center"/>
            <w:hideMark/>
          </w:tcPr>
          <w:p w14:paraId="34726E7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1,875.0</w:t>
            </w:r>
          </w:p>
        </w:tc>
      </w:tr>
      <w:tr w:rsidR="004A45B0" w:rsidRPr="004F2B6F" w14:paraId="755E214C"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1D7C8E7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Revenue</w:t>
            </w:r>
          </w:p>
        </w:tc>
        <w:tc>
          <w:tcPr>
            <w:tcW w:w="1940" w:type="dxa"/>
            <w:tcBorders>
              <w:top w:val="nil"/>
              <w:left w:val="nil"/>
              <w:bottom w:val="single" w:sz="4" w:space="0" w:color="auto"/>
              <w:right w:val="single" w:sz="4" w:space="0" w:color="auto"/>
            </w:tcBorders>
            <w:vAlign w:val="center"/>
            <w:hideMark/>
          </w:tcPr>
          <w:p w14:paraId="4E71DEF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26,186</w:t>
            </w:r>
          </w:p>
        </w:tc>
        <w:tc>
          <w:tcPr>
            <w:tcW w:w="1320" w:type="dxa"/>
            <w:tcBorders>
              <w:top w:val="nil"/>
              <w:left w:val="nil"/>
              <w:bottom w:val="single" w:sz="4" w:space="0" w:color="auto"/>
              <w:right w:val="single" w:sz="4" w:space="0" w:color="auto"/>
            </w:tcBorders>
            <w:vAlign w:val="center"/>
            <w:hideMark/>
          </w:tcPr>
          <w:p w14:paraId="0182A57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25,1</w:t>
            </w:r>
          </w:p>
        </w:tc>
        <w:tc>
          <w:tcPr>
            <w:tcW w:w="1500" w:type="dxa"/>
            <w:tcBorders>
              <w:top w:val="nil"/>
              <w:left w:val="nil"/>
              <w:bottom w:val="single" w:sz="4" w:space="0" w:color="auto"/>
              <w:right w:val="single" w:sz="4" w:space="0" w:color="auto"/>
            </w:tcBorders>
            <w:vAlign w:val="center"/>
            <w:hideMark/>
          </w:tcPr>
          <w:p w14:paraId="0C13490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23,713</w:t>
            </w:r>
          </w:p>
        </w:tc>
        <w:tc>
          <w:tcPr>
            <w:tcW w:w="1500" w:type="dxa"/>
            <w:tcBorders>
              <w:top w:val="nil"/>
              <w:left w:val="nil"/>
              <w:bottom w:val="single" w:sz="4" w:space="0" w:color="auto"/>
              <w:right w:val="single" w:sz="4" w:space="0" w:color="auto"/>
            </w:tcBorders>
            <w:vAlign w:val="center"/>
            <w:hideMark/>
          </w:tcPr>
          <w:p w14:paraId="5AE5A09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20,773</w:t>
            </w:r>
          </w:p>
        </w:tc>
        <w:tc>
          <w:tcPr>
            <w:tcW w:w="1480" w:type="dxa"/>
            <w:tcBorders>
              <w:top w:val="nil"/>
              <w:left w:val="nil"/>
              <w:bottom w:val="single" w:sz="4" w:space="0" w:color="auto"/>
              <w:right w:val="single" w:sz="4" w:space="0" w:color="auto"/>
            </w:tcBorders>
            <w:vAlign w:val="center"/>
            <w:hideMark/>
          </w:tcPr>
          <w:p w14:paraId="364E4FF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13,857</w:t>
            </w:r>
          </w:p>
        </w:tc>
      </w:tr>
      <w:tr w:rsidR="004A45B0" w:rsidRPr="004F2B6F" w14:paraId="32C7437B"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73062C3"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Receivable Days</w:t>
            </w:r>
          </w:p>
        </w:tc>
        <w:tc>
          <w:tcPr>
            <w:tcW w:w="1940" w:type="dxa"/>
            <w:tcBorders>
              <w:top w:val="nil"/>
              <w:left w:val="nil"/>
              <w:bottom w:val="single" w:sz="4" w:space="0" w:color="auto"/>
              <w:right w:val="single" w:sz="4" w:space="0" w:color="auto"/>
            </w:tcBorders>
            <w:vAlign w:val="center"/>
            <w:hideMark/>
          </w:tcPr>
          <w:p w14:paraId="564999F2"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39.75</w:t>
            </w:r>
          </w:p>
        </w:tc>
        <w:tc>
          <w:tcPr>
            <w:tcW w:w="1320" w:type="dxa"/>
            <w:tcBorders>
              <w:top w:val="nil"/>
              <w:left w:val="nil"/>
              <w:bottom w:val="single" w:sz="4" w:space="0" w:color="auto"/>
              <w:right w:val="single" w:sz="4" w:space="0" w:color="auto"/>
            </w:tcBorders>
            <w:vAlign w:val="center"/>
            <w:hideMark/>
          </w:tcPr>
          <w:p w14:paraId="60A3C136"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40.04</w:t>
            </w:r>
          </w:p>
        </w:tc>
        <w:tc>
          <w:tcPr>
            <w:tcW w:w="1500" w:type="dxa"/>
            <w:tcBorders>
              <w:top w:val="nil"/>
              <w:left w:val="nil"/>
              <w:bottom w:val="single" w:sz="4" w:space="0" w:color="auto"/>
              <w:right w:val="single" w:sz="4" w:space="0" w:color="auto"/>
            </w:tcBorders>
            <w:vAlign w:val="center"/>
            <w:hideMark/>
          </w:tcPr>
          <w:p w14:paraId="05382ED4"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40.66</w:t>
            </w:r>
          </w:p>
        </w:tc>
        <w:tc>
          <w:tcPr>
            <w:tcW w:w="1500" w:type="dxa"/>
            <w:tcBorders>
              <w:top w:val="nil"/>
              <w:left w:val="nil"/>
              <w:bottom w:val="single" w:sz="4" w:space="0" w:color="auto"/>
              <w:right w:val="single" w:sz="4" w:space="0" w:color="auto"/>
            </w:tcBorders>
            <w:vAlign w:val="center"/>
            <w:hideMark/>
          </w:tcPr>
          <w:p w14:paraId="5769384E"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40.00</w:t>
            </w:r>
          </w:p>
        </w:tc>
        <w:tc>
          <w:tcPr>
            <w:tcW w:w="1480" w:type="dxa"/>
            <w:tcBorders>
              <w:top w:val="nil"/>
              <w:left w:val="nil"/>
              <w:bottom w:val="single" w:sz="4" w:space="0" w:color="auto"/>
              <w:right w:val="single" w:sz="4" w:space="0" w:color="auto"/>
            </w:tcBorders>
            <w:vAlign w:val="center"/>
            <w:hideMark/>
          </w:tcPr>
          <w:p w14:paraId="7AA1F880"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49.39</w:t>
            </w:r>
          </w:p>
        </w:tc>
      </w:tr>
      <w:tr w:rsidR="004A45B0" w:rsidRPr="004F2B6F" w14:paraId="15787A7B" w14:textId="77777777" w:rsidTr="00377CA9">
        <w:trPr>
          <w:trHeight w:val="58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1749EA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Opening accounts payable</w:t>
            </w:r>
          </w:p>
        </w:tc>
        <w:tc>
          <w:tcPr>
            <w:tcW w:w="1940" w:type="dxa"/>
            <w:tcBorders>
              <w:top w:val="nil"/>
              <w:left w:val="nil"/>
              <w:bottom w:val="single" w:sz="4" w:space="0" w:color="auto"/>
              <w:right w:val="single" w:sz="4" w:space="0" w:color="auto"/>
            </w:tcBorders>
            <w:vAlign w:val="center"/>
            <w:hideMark/>
          </w:tcPr>
          <w:p w14:paraId="11F62AE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763</w:t>
            </w:r>
          </w:p>
        </w:tc>
        <w:tc>
          <w:tcPr>
            <w:tcW w:w="1320" w:type="dxa"/>
            <w:tcBorders>
              <w:top w:val="nil"/>
              <w:left w:val="nil"/>
              <w:bottom w:val="single" w:sz="4" w:space="0" w:color="auto"/>
              <w:right w:val="single" w:sz="4" w:space="0" w:color="auto"/>
            </w:tcBorders>
            <w:vAlign w:val="center"/>
            <w:hideMark/>
          </w:tcPr>
          <w:p w14:paraId="2BD8C46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738</w:t>
            </w:r>
          </w:p>
        </w:tc>
        <w:tc>
          <w:tcPr>
            <w:tcW w:w="1500" w:type="dxa"/>
            <w:tcBorders>
              <w:top w:val="nil"/>
              <w:left w:val="nil"/>
              <w:bottom w:val="single" w:sz="4" w:space="0" w:color="auto"/>
              <w:right w:val="single" w:sz="4" w:space="0" w:color="auto"/>
            </w:tcBorders>
            <w:vAlign w:val="center"/>
            <w:hideMark/>
          </w:tcPr>
          <w:p w14:paraId="35F346C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746</w:t>
            </w:r>
          </w:p>
        </w:tc>
        <w:tc>
          <w:tcPr>
            <w:tcW w:w="1500" w:type="dxa"/>
            <w:tcBorders>
              <w:top w:val="nil"/>
              <w:left w:val="nil"/>
              <w:bottom w:val="single" w:sz="4" w:space="0" w:color="auto"/>
              <w:right w:val="single" w:sz="4" w:space="0" w:color="auto"/>
            </w:tcBorders>
            <w:vAlign w:val="center"/>
            <w:hideMark/>
          </w:tcPr>
          <w:p w14:paraId="50EF5C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726</w:t>
            </w:r>
          </w:p>
        </w:tc>
        <w:tc>
          <w:tcPr>
            <w:tcW w:w="1480" w:type="dxa"/>
            <w:tcBorders>
              <w:top w:val="nil"/>
              <w:left w:val="nil"/>
              <w:bottom w:val="single" w:sz="4" w:space="0" w:color="auto"/>
              <w:right w:val="single" w:sz="4" w:space="0" w:color="auto"/>
            </w:tcBorders>
            <w:vAlign w:val="center"/>
            <w:hideMark/>
          </w:tcPr>
          <w:p w14:paraId="09C2E93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527</w:t>
            </w:r>
          </w:p>
        </w:tc>
      </w:tr>
      <w:tr w:rsidR="004A45B0" w:rsidRPr="004F2B6F" w14:paraId="57C58D71"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9FF825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Closing accounts payable</w:t>
            </w:r>
          </w:p>
        </w:tc>
        <w:tc>
          <w:tcPr>
            <w:tcW w:w="1940" w:type="dxa"/>
            <w:tcBorders>
              <w:top w:val="nil"/>
              <w:left w:val="nil"/>
              <w:bottom w:val="single" w:sz="4" w:space="0" w:color="auto"/>
              <w:right w:val="single" w:sz="4" w:space="0" w:color="auto"/>
            </w:tcBorders>
            <w:vAlign w:val="center"/>
            <w:hideMark/>
          </w:tcPr>
          <w:p w14:paraId="6A37621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814</w:t>
            </w:r>
          </w:p>
        </w:tc>
        <w:tc>
          <w:tcPr>
            <w:tcW w:w="1320" w:type="dxa"/>
            <w:tcBorders>
              <w:top w:val="nil"/>
              <w:left w:val="nil"/>
              <w:bottom w:val="single" w:sz="4" w:space="0" w:color="auto"/>
              <w:right w:val="single" w:sz="4" w:space="0" w:color="auto"/>
            </w:tcBorders>
            <w:vAlign w:val="center"/>
            <w:hideMark/>
          </w:tcPr>
          <w:p w14:paraId="69BC336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763</w:t>
            </w:r>
          </w:p>
        </w:tc>
        <w:tc>
          <w:tcPr>
            <w:tcW w:w="1500" w:type="dxa"/>
            <w:tcBorders>
              <w:top w:val="nil"/>
              <w:left w:val="nil"/>
              <w:bottom w:val="single" w:sz="4" w:space="0" w:color="auto"/>
              <w:right w:val="single" w:sz="4" w:space="0" w:color="auto"/>
            </w:tcBorders>
            <w:vAlign w:val="center"/>
            <w:hideMark/>
          </w:tcPr>
          <w:p w14:paraId="740CBEB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738</w:t>
            </w:r>
          </w:p>
        </w:tc>
        <w:tc>
          <w:tcPr>
            <w:tcW w:w="1500" w:type="dxa"/>
            <w:tcBorders>
              <w:top w:val="nil"/>
              <w:left w:val="nil"/>
              <w:bottom w:val="single" w:sz="4" w:space="0" w:color="auto"/>
              <w:right w:val="single" w:sz="4" w:space="0" w:color="auto"/>
            </w:tcBorders>
            <w:vAlign w:val="center"/>
            <w:hideMark/>
          </w:tcPr>
          <w:p w14:paraId="27FDA3E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746</w:t>
            </w:r>
          </w:p>
        </w:tc>
        <w:tc>
          <w:tcPr>
            <w:tcW w:w="1480" w:type="dxa"/>
            <w:tcBorders>
              <w:top w:val="nil"/>
              <w:left w:val="nil"/>
              <w:bottom w:val="single" w:sz="4" w:space="0" w:color="auto"/>
              <w:right w:val="single" w:sz="4" w:space="0" w:color="auto"/>
            </w:tcBorders>
            <w:vAlign w:val="center"/>
            <w:hideMark/>
          </w:tcPr>
          <w:p w14:paraId="4886004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726</w:t>
            </w:r>
          </w:p>
        </w:tc>
      </w:tr>
      <w:tr w:rsidR="004A45B0" w:rsidRPr="004F2B6F" w14:paraId="1FD40079" w14:textId="77777777" w:rsidTr="00377CA9">
        <w:trPr>
          <w:trHeight w:val="58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0D0063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Average accounts payable</w:t>
            </w:r>
          </w:p>
        </w:tc>
        <w:tc>
          <w:tcPr>
            <w:tcW w:w="1940" w:type="dxa"/>
            <w:tcBorders>
              <w:top w:val="nil"/>
              <w:left w:val="nil"/>
              <w:bottom w:val="single" w:sz="4" w:space="0" w:color="auto"/>
              <w:right w:val="single" w:sz="4" w:space="0" w:color="auto"/>
            </w:tcBorders>
            <w:vAlign w:val="center"/>
            <w:hideMark/>
          </w:tcPr>
          <w:p w14:paraId="578C11F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788.5</w:t>
            </w:r>
          </w:p>
        </w:tc>
        <w:tc>
          <w:tcPr>
            <w:tcW w:w="1320" w:type="dxa"/>
            <w:tcBorders>
              <w:top w:val="nil"/>
              <w:left w:val="nil"/>
              <w:bottom w:val="single" w:sz="4" w:space="0" w:color="auto"/>
              <w:right w:val="single" w:sz="4" w:space="0" w:color="auto"/>
            </w:tcBorders>
            <w:vAlign w:val="center"/>
            <w:hideMark/>
          </w:tcPr>
          <w:p w14:paraId="339B5A8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750.5</w:t>
            </w:r>
          </w:p>
        </w:tc>
        <w:tc>
          <w:tcPr>
            <w:tcW w:w="1500" w:type="dxa"/>
            <w:tcBorders>
              <w:top w:val="nil"/>
              <w:left w:val="nil"/>
              <w:bottom w:val="single" w:sz="4" w:space="0" w:color="auto"/>
              <w:right w:val="single" w:sz="4" w:space="0" w:color="auto"/>
            </w:tcBorders>
            <w:vAlign w:val="center"/>
            <w:hideMark/>
          </w:tcPr>
          <w:p w14:paraId="69ED90D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742.0</w:t>
            </w:r>
          </w:p>
        </w:tc>
        <w:tc>
          <w:tcPr>
            <w:tcW w:w="1500" w:type="dxa"/>
            <w:tcBorders>
              <w:top w:val="nil"/>
              <w:left w:val="nil"/>
              <w:bottom w:val="single" w:sz="4" w:space="0" w:color="auto"/>
              <w:right w:val="single" w:sz="4" w:space="0" w:color="auto"/>
            </w:tcBorders>
            <w:vAlign w:val="center"/>
            <w:hideMark/>
          </w:tcPr>
          <w:p w14:paraId="59D9613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736.0</w:t>
            </w:r>
          </w:p>
        </w:tc>
        <w:tc>
          <w:tcPr>
            <w:tcW w:w="1480" w:type="dxa"/>
            <w:tcBorders>
              <w:top w:val="nil"/>
              <w:left w:val="nil"/>
              <w:bottom w:val="single" w:sz="4" w:space="0" w:color="auto"/>
              <w:right w:val="single" w:sz="4" w:space="0" w:color="auto"/>
            </w:tcBorders>
            <w:vAlign w:val="center"/>
            <w:hideMark/>
          </w:tcPr>
          <w:p w14:paraId="03744DA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626.5</w:t>
            </w:r>
          </w:p>
        </w:tc>
      </w:tr>
      <w:tr w:rsidR="004A45B0" w:rsidRPr="004F2B6F" w14:paraId="614D22D3"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322DEA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Cost of revenues</w:t>
            </w:r>
          </w:p>
        </w:tc>
        <w:tc>
          <w:tcPr>
            <w:tcW w:w="1940" w:type="dxa"/>
            <w:tcBorders>
              <w:top w:val="nil"/>
              <w:left w:val="nil"/>
              <w:bottom w:val="single" w:sz="4" w:space="0" w:color="auto"/>
              <w:right w:val="single" w:sz="4" w:space="0" w:color="auto"/>
            </w:tcBorders>
            <w:vAlign w:val="center"/>
            <w:hideMark/>
          </w:tcPr>
          <w:p w14:paraId="0BC4651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20,964</w:t>
            </w:r>
          </w:p>
        </w:tc>
        <w:tc>
          <w:tcPr>
            <w:tcW w:w="1320" w:type="dxa"/>
            <w:tcBorders>
              <w:top w:val="nil"/>
              <w:left w:val="nil"/>
              <w:bottom w:val="single" w:sz="4" w:space="0" w:color="auto"/>
              <w:right w:val="single" w:sz="4" w:space="0" w:color="auto"/>
            </w:tcBorders>
            <w:vAlign w:val="center"/>
            <w:hideMark/>
          </w:tcPr>
          <w:p w14:paraId="0866F49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20,128</w:t>
            </w:r>
          </w:p>
        </w:tc>
        <w:tc>
          <w:tcPr>
            <w:tcW w:w="1500" w:type="dxa"/>
            <w:tcBorders>
              <w:top w:val="nil"/>
              <w:left w:val="nil"/>
              <w:bottom w:val="single" w:sz="4" w:space="0" w:color="auto"/>
              <w:right w:val="single" w:sz="4" w:space="0" w:color="auto"/>
            </w:tcBorders>
            <w:vAlign w:val="center"/>
            <w:hideMark/>
          </w:tcPr>
          <w:p w14:paraId="70C1A7B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18,733</w:t>
            </w:r>
          </w:p>
        </w:tc>
        <w:tc>
          <w:tcPr>
            <w:tcW w:w="1500" w:type="dxa"/>
            <w:tcBorders>
              <w:top w:val="nil"/>
              <w:left w:val="nil"/>
              <w:bottom w:val="single" w:sz="4" w:space="0" w:color="auto"/>
              <w:right w:val="single" w:sz="4" w:space="0" w:color="auto"/>
            </w:tcBorders>
            <w:vAlign w:val="center"/>
            <w:hideMark/>
          </w:tcPr>
          <w:p w14:paraId="504BB1B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16,215</w:t>
            </w:r>
          </w:p>
        </w:tc>
        <w:tc>
          <w:tcPr>
            <w:tcW w:w="1480" w:type="dxa"/>
            <w:tcBorders>
              <w:top w:val="nil"/>
              <w:left w:val="nil"/>
              <w:bottom w:val="single" w:sz="4" w:space="0" w:color="auto"/>
              <w:right w:val="single" w:sz="4" w:space="0" w:color="auto"/>
            </w:tcBorders>
            <w:vAlign w:val="center"/>
            <w:hideMark/>
          </w:tcPr>
          <w:p w14:paraId="02ED366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11,056</w:t>
            </w:r>
          </w:p>
        </w:tc>
      </w:tr>
      <w:tr w:rsidR="004A45B0" w:rsidRPr="004F2B6F" w14:paraId="2FECC1F7"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673DD9D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Payable Days</w:t>
            </w:r>
          </w:p>
        </w:tc>
        <w:tc>
          <w:tcPr>
            <w:tcW w:w="1940" w:type="dxa"/>
            <w:tcBorders>
              <w:top w:val="nil"/>
              <w:left w:val="nil"/>
              <w:bottom w:val="single" w:sz="4" w:space="0" w:color="auto"/>
              <w:right w:val="single" w:sz="4" w:space="0" w:color="auto"/>
            </w:tcBorders>
            <w:vAlign w:val="center"/>
            <w:hideMark/>
          </w:tcPr>
          <w:p w14:paraId="4ADAC7C6"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13.73</w:t>
            </w:r>
          </w:p>
        </w:tc>
        <w:tc>
          <w:tcPr>
            <w:tcW w:w="1320" w:type="dxa"/>
            <w:tcBorders>
              <w:top w:val="nil"/>
              <w:left w:val="nil"/>
              <w:bottom w:val="single" w:sz="4" w:space="0" w:color="auto"/>
              <w:right w:val="single" w:sz="4" w:space="0" w:color="auto"/>
            </w:tcBorders>
            <w:vAlign w:val="center"/>
            <w:hideMark/>
          </w:tcPr>
          <w:p w14:paraId="462ED963"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13.61</w:t>
            </w:r>
          </w:p>
        </w:tc>
        <w:tc>
          <w:tcPr>
            <w:tcW w:w="1500" w:type="dxa"/>
            <w:tcBorders>
              <w:top w:val="nil"/>
              <w:left w:val="nil"/>
              <w:bottom w:val="single" w:sz="4" w:space="0" w:color="auto"/>
              <w:right w:val="single" w:sz="4" w:space="0" w:color="auto"/>
            </w:tcBorders>
            <w:vAlign w:val="center"/>
            <w:hideMark/>
          </w:tcPr>
          <w:p w14:paraId="0E56785E"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14.46</w:t>
            </w:r>
          </w:p>
        </w:tc>
        <w:tc>
          <w:tcPr>
            <w:tcW w:w="1500" w:type="dxa"/>
            <w:tcBorders>
              <w:top w:val="nil"/>
              <w:left w:val="nil"/>
              <w:bottom w:val="single" w:sz="4" w:space="0" w:color="auto"/>
              <w:right w:val="single" w:sz="4" w:space="0" w:color="auto"/>
            </w:tcBorders>
            <w:vAlign w:val="center"/>
            <w:hideMark/>
          </w:tcPr>
          <w:p w14:paraId="265479FA"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16.57</w:t>
            </w:r>
          </w:p>
        </w:tc>
        <w:tc>
          <w:tcPr>
            <w:tcW w:w="1480" w:type="dxa"/>
            <w:tcBorders>
              <w:top w:val="nil"/>
              <w:left w:val="nil"/>
              <w:bottom w:val="single" w:sz="4" w:space="0" w:color="auto"/>
              <w:right w:val="single" w:sz="4" w:space="0" w:color="auto"/>
            </w:tcBorders>
            <w:vAlign w:val="center"/>
            <w:hideMark/>
          </w:tcPr>
          <w:p w14:paraId="11D83EC5"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20.68</w:t>
            </w:r>
          </w:p>
        </w:tc>
      </w:tr>
      <w:tr w:rsidR="004A45B0" w:rsidRPr="004F2B6F" w14:paraId="0F36762F"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8D9F5A0"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Inventory Days</w:t>
            </w:r>
          </w:p>
        </w:tc>
        <w:tc>
          <w:tcPr>
            <w:tcW w:w="1940" w:type="dxa"/>
            <w:tcBorders>
              <w:top w:val="nil"/>
              <w:left w:val="nil"/>
              <w:bottom w:val="single" w:sz="4" w:space="0" w:color="auto"/>
              <w:right w:val="single" w:sz="4" w:space="0" w:color="auto"/>
            </w:tcBorders>
            <w:vAlign w:val="center"/>
            <w:hideMark/>
          </w:tcPr>
          <w:p w14:paraId="4CB0CD3F"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0.00</w:t>
            </w:r>
          </w:p>
        </w:tc>
        <w:tc>
          <w:tcPr>
            <w:tcW w:w="1320" w:type="dxa"/>
            <w:tcBorders>
              <w:top w:val="nil"/>
              <w:left w:val="nil"/>
              <w:bottom w:val="single" w:sz="4" w:space="0" w:color="auto"/>
              <w:right w:val="single" w:sz="4" w:space="0" w:color="auto"/>
            </w:tcBorders>
            <w:vAlign w:val="center"/>
            <w:hideMark/>
          </w:tcPr>
          <w:p w14:paraId="35BEC6B9"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0.00</w:t>
            </w:r>
          </w:p>
        </w:tc>
        <w:tc>
          <w:tcPr>
            <w:tcW w:w="1500" w:type="dxa"/>
            <w:tcBorders>
              <w:top w:val="nil"/>
              <w:left w:val="nil"/>
              <w:bottom w:val="single" w:sz="4" w:space="0" w:color="auto"/>
              <w:right w:val="single" w:sz="4" w:space="0" w:color="auto"/>
            </w:tcBorders>
            <w:vAlign w:val="center"/>
            <w:hideMark/>
          </w:tcPr>
          <w:p w14:paraId="72DA8311"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0.00</w:t>
            </w:r>
          </w:p>
        </w:tc>
        <w:tc>
          <w:tcPr>
            <w:tcW w:w="1500" w:type="dxa"/>
            <w:tcBorders>
              <w:top w:val="nil"/>
              <w:left w:val="nil"/>
              <w:bottom w:val="single" w:sz="4" w:space="0" w:color="auto"/>
              <w:right w:val="single" w:sz="4" w:space="0" w:color="auto"/>
            </w:tcBorders>
            <w:vAlign w:val="center"/>
            <w:hideMark/>
          </w:tcPr>
          <w:p w14:paraId="43E3178A"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0.00</w:t>
            </w:r>
          </w:p>
        </w:tc>
        <w:tc>
          <w:tcPr>
            <w:tcW w:w="1480" w:type="dxa"/>
            <w:tcBorders>
              <w:top w:val="nil"/>
              <w:left w:val="nil"/>
              <w:bottom w:val="single" w:sz="4" w:space="0" w:color="auto"/>
              <w:right w:val="single" w:sz="4" w:space="0" w:color="auto"/>
            </w:tcBorders>
            <w:vAlign w:val="center"/>
            <w:hideMark/>
          </w:tcPr>
          <w:p w14:paraId="7A0AE66A"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0.00</w:t>
            </w:r>
          </w:p>
        </w:tc>
      </w:tr>
      <w:tr w:rsidR="004A45B0" w:rsidRPr="004F2B6F" w14:paraId="4EA7E5B9" w14:textId="77777777" w:rsidTr="00377CA9">
        <w:trPr>
          <w:trHeight w:val="290"/>
        </w:trPr>
        <w:tc>
          <w:tcPr>
            <w:tcW w:w="244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7609E59"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Cash Conversion Cycle</w:t>
            </w:r>
          </w:p>
        </w:tc>
        <w:tc>
          <w:tcPr>
            <w:tcW w:w="1940" w:type="dxa"/>
            <w:tcBorders>
              <w:top w:val="nil"/>
              <w:left w:val="nil"/>
              <w:bottom w:val="single" w:sz="4" w:space="0" w:color="auto"/>
              <w:right w:val="single" w:sz="4" w:space="0" w:color="auto"/>
            </w:tcBorders>
            <w:vAlign w:val="center"/>
            <w:hideMark/>
          </w:tcPr>
          <w:p w14:paraId="10A79BCB"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26.02 days</w:t>
            </w:r>
          </w:p>
        </w:tc>
        <w:tc>
          <w:tcPr>
            <w:tcW w:w="1320" w:type="dxa"/>
            <w:tcBorders>
              <w:top w:val="nil"/>
              <w:left w:val="nil"/>
              <w:bottom w:val="single" w:sz="4" w:space="0" w:color="auto"/>
              <w:right w:val="single" w:sz="4" w:space="0" w:color="auto"/>
            </w:tcBorders>
            <w:vAlign w:val="center"/>
            <w:hideMark/>
          </w:tcPr>
          <w:p w14:paraId="09107DF6"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26.43 days</w:t>
            </w:r>
          </w:p>
        </w:tc>
        <w:tc>
          <w:tcPr>
            <w:tcW w:w="1500" w:type="dxa"/>
            <w:tcBorders>
              <w:top w:val="nil"/>
              <w:left w:val="nil"/>
              <w:bottom w:val="single" w:sz="4" w:space="0" w:color="auto"/>
              <w:right w:val="single" w:sz="4" w:space="0" w:color="auto"/>
            </w:tcBorders>
            <w:vAlign w:val="center"/>
            <w:hideMark/>
          </w:tcPr>
          <w:p w14:paraId="58BCF738"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26.20 days</w:t>
            </w:r>
          </w:p>
        </w:tc>
        <w:tc>
          <w:tcPr>
            <w:tcW w:w="1500" w:type="dxa"/>
            <w:tcBorders>
              <w:top w:val="nil"/>
              <w:left w:val="nil"/>
              <w:bottom w:val="single" w:sz="4" w:space="0" w:color="auto"/>
              <w:right w:val="single" w:sz="4" w:space="0" w:color="auto"/>
            </w:tcBorders>
            <w:vAlign w:val="center"/>
            <w:hideMark/>
          </w:tcPr>
          <w:p w14:paraId="646509AA"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23.43 days</w:t>
            </w:r>
          </w:p>
        </w:tc>
        <w:tc>
          <w:tcPr>
            <w:tcW w:w="1480" w:type="dxa"/>
            <w:tcBorders>
              <w:top w:val="nil"/>
              <w:left w:val="nil"/>
              <w:bottom w:val="single" w:sz="4" w:space="0" w:color="auto"/>
              <w:right w:val="single" w:sz="4" w:space="0" w:color="auto"/>
            </w:tcBorders>
            <w:vAlign w:val="center"/>
            <w:hideMark/>
          </w:tcPr>
          <w:p w14:paraId="1330B54C"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28.71 days</w:t>
            </w:r>
          </w:p>
        </w:tc>
      </w:tr>
      <w:tr w:rsidR="004A45B0" w:rsidRPr="004F2B6F" w14:paraId="75CF0B1A" w14:textId="77777777" w:rsidTr="004A45B0">
        <w:trPr>
          <w:trHeight w:val="290"/>
        </w:trPr>
        <w:tc>
          <w:tcPr>
            <w:tcW w:w="2440" w:type="dxa"/>
            <w:tcBorders>
              <w:top w:val="nil"/>
              <w:left w:val="nil"/>
              <w:bottom w:val="nil"/>
              <w:right w:val="nil"/>
            </w:tcBorders>
            <w:noWrap/>
            <w:vAlign w:val="bottom"/>
            <w:hideMark/>
          </w:tcPr>
          <w:p w14:paraId="1A24BE21" w14:textId="77777777" w:rsidR="004A45B0" w:rsidRPr="004F2B6F" w:rsidRDefault="004A45B0" w:rsidP="004F2B6F">
            <w:pPr>
              <w:spacing w:after="0" w:line="360" w:lineRule="auto"/>
              <w:jc w:val="right"/>
              <w:rPr>
                <w:rFonts w:ascii="Arial" w:eastAsia="Times New Roman" w:hAnsi="Arial" w:cs="Arial"/>
                <w:b/>
                <w:bCs/>
                <w:color w:val="000000"/>
                <w:sz w:val="22"/>
                <w:szCs w:val="22"/>
                <w:lang w:val="en-US" w:eastAsia="en-US"/>
              </w:rPr>
            </w:pPr>
          </w:p>
        </w:tc>
        <w:tc>
          <w:tcPr>
            <w:tcW w:w="1940" w:type="dxa"/>
            <w:tcBorders>
              <w:top w:val="nil"/>
              <w:left w:val="nil"/>
              <w:bottom w:val="nil"/>
              <w:right w:val="nil"/>
            </w:tcBorders>
            <w:noWrap/>
            <w:vAlign w:val="bottom"/>
            <w:hideMark/>
          </w:tcPr>
          <w:p w14:paraId="0E9EBC4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20" w:type="dxa"/>
            <w:tcBorders>
              <w:top w:val="nil"/>
              <w:left w:val="nil"/>
              <w:bottom w:val="nil"/>
              <w:right w:val="nil"/>
            </w:tcBorders>
            <w:noWrap/>
            <w:vAlign w:val="bottom"/>
            <w:hideMark/>
          </w:tcPr>
          <w:p w14:paraId="7AA8A8E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00" w:type="dxa"/>
            <w:tcBorders>
              <w:top w:val="nil"/>
              <w:left w:val="nil"/>
              <w:bottom w:val="nil"/>
              <w:right w:val="nil"/>
            </w:tcBorders>
            <w:noWrap/>
            <w:vAlign w:val="bottom"/>
            <w:hideMark/>
          </w:tcPr>
          <w:p w14:paraId="3365AFD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500" w:type="dxa"/>
            <w:tcBorders>
              <w:top w:val="nil"/>
              <w:left w:val="nil"/>
              <w:bottom w:val="nil"/>
              <w:right w:val="nil"/>
            </w:tcBorders>
            <w:noWrap/>
            <w:vAlign w:val="bottom"/>
            <w:hideMark/>
          </w:tcPr>
          <w:p w14:paraId="5F16BA6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480" w:type="dxa"/>
            <w:tcBorders>
              <w:top w:val="nil"/>
              <w:left w:val="nil"/>
              <w:bottom w:val="nil"/>
              <w:right w:val="nil"/>
            </w:tcBorders>
            <w:noWrap/>
            <w:vAlign w:val="bottom"/>
            <w:hideMark/>
          </w:tcPr>
          <w:p w14:paraId="05FA7E6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bl>
    <w:p w14:paraId="068C9372" w14:textId="77777777" w:rsidR="00AA15B1" w:rsidRPr="004F2B6F" w:rsidRDefault="00AA15B1" w:rsidP="004F2B6F">
      <w:pPr>
        <w:spacing w:line="360" w:lineRule="auto"/>
        <w:rPr>
          <w:rFonts w:ascii="Arial" w:hAnsi="Arial" w:cs="Arial"/>
        </w:rPr>
      </w:pPr>
    </w:p>
    <w:p w14:paraId="2471CA15" w14:textId="77777777" w:rsidR="004A45B0" w:rsidRPr="004F2B6F" w:rsidRDefault="004A45B0" w:rsidP="004F2B6F">
      <w:pPr>
        <w:spacing w:line="360" w:lineRule="auto"/>
        <w:rPr>
          <w:rFonts w:ascii="Arial" w:hAnsi="Arial" w:cs="Arial"/>
        </w:rPr>
      </w:pPr>
    </w:p>
    <w:p w14:paraId="5D34D784" w14:textId="77777777" w:rsidR="005025C3" w:rsidRPr="004F2B6F" w:rsidRDefault="005025C3" w:rsidP="004F2B6F">
      <w:pPr>
        <w:spacing w:line="360" w:lineRule="auto"/>
        <w:rPr>
          <w:rFonts w:ascii="Arial" w:hAnsi="Arial" w:cs="Arial"/>
        </w:rPr>
      </w:pPr>
    </w:p>
    <w:p w14:paraId="6AE6A99A" w14:textId="77777777" w:rsidR="005025C3" w:rsidRPr="004F2B6F" w:rsidRDefault="005025C3" w:rsidP="004F2B6F">
      <w:pPr>
        <w:spacing w:line="360" w:lineRule="auto"/>
        <w:rPr>
          <w:rFonts w:ascii="Arial" w:hAnsi="Arial" w:cs="Arial"/>
        </w:rPr>
      </w:pPr>
    </w:p>
    <w:p w14:paraId="20819586" w14:textId="77777777" w:rsidR="005025C3" w:rsidRPr="004F2B6F" w:rsidRDefault="005025C3" w:rsidP="004F2B6F">
      <w:pPr>
        <w:spacing w:line="360" w:lineRule="auto"/>
        <w:rPr>
          <w:rFonts w:ascii="Arial" w:hAnsi="Arial" w:cs="Arial"/>
        </w:rPr>
      </w:pPr>
    </w:p>
    <w:p w14:paraId="30C085D1" w14:textId="77777777" w:rsidR="005025C3" w:rsidRPr="004F2B6F" w:rsidRDefault="005025C3" w:rsidP="004F2B6F">
      <w:pPr>
        <w:spacing w:line="360" w:lineRule="auto"/>
        <w:rPr>
          <w:rFonts w:ascii="Arial" w:hAnsi="Arial" w:cs="Arial"/>
        </w:rPr>
      </w:pPr>
    </w:p>
    <w:p w14:paraId="285F5183" w14:textId="77777777" w:rsidR="005025C3" w:rsidRPr="004F2B6F" w:rsidRDefault="005025C3" w:rsidP="004F2B6F">
      <w:pPr>
        <w:spacing w:line="360" w:lineRule="auto"/>
        <w:rPr>
          <w:rFonts w:ascii="Arial" w:hAnsi="Arial" w:cs="Arial"/>
        </w:rPr>
      </w:pPr>
    </w:p>
    <w:p w14:paraId="472348E7" w14:textId="77777777" w:rsidR="005025C3" w:rsidRDefault="005025C3" w:rsidP="004F2B6F">
      <w:pPr>
        <w:spacing w:line="360" w:lineRule="auto"/>
        <w:rPr>
          <w:rFonts w:ascii="Arial" w:hAnsi="Arial" w:cs="Arial"/>
        </w:rPr>
      </w:pPr>
    </w:p>
    <w:p w14:paraId="0C821813" w14:textId="77777777" w:rsidR="00697AE0" w:rsidRPr="004F2B6F" w:rsidRDefault="00697AE0" w:rsidP="004F2B6F">
      <w:pPr>
        <w:spacing w:line="360" w:lineRule="auto"/>
        <w:rPr>
          <w:rFonts w:ascii="Arial" w:hAnsi="Arial" w:cs="Arial"/>
        </w:rPr>
      </w:pPr>
    </w:p>
    <w:p w14:paraId="24D7AF0D" w14:textId="4824EA97" w:rsidR="004A45B0" w:rsidRPr="004F2B6F" w:rsidRDefault="0052796D" w:rsidP="004F2B6F">
      <w:pPr>
        <w:spacing w:line="360" w:lineRule="auto"/>
        <w:rPr>
          <w:rFonts w:ascii="Arial" w:hAnsi="Arial" w:cs="Arial"/>
        </w:rPr>
      </w:pPr>
      <w:r w:rsidRPr="004F2B6F">
        <w:rPr>
          <w:rFonts w:ascii="Arial" w:hAnsi="Arial" w:cs="Arial"/>
          <w:b/>
          <w:bCs/>
        </w:rPr>
        <w:lastRenderedPageBreak/>
        <w:t>Appendix G – Investment Appraisal and Capital Budgeting Calculations</w:t>
      </w:r>
    </w:p>
    <w:tbl>
      <w:tblPr>
        <w:tblW w:w="10291" w:type="dxa"/>
        <w:tblLook w:val="04A0" w:firstRow="1" w:lastRow="0" w:firstColumn="1" w:lastColumn="0" w:noHBand="0" w:noVBand="1"/>
      </w:tblPr>
      <w:tblGrid>
        <w:gridCol w:w="4014"/>
        <w:gridCol w:w="1793"/>
        <w:gridCol w:w="1378"/>
        <w:gridCol w:w="1292"/>
        <w:gridCol w:w="1814"/>
      </w:tblGrid>
      <w:tr w:rsidR="004A45B0" w:rsidRPr="004F2B6F" w14:paraId="6455BDDB" w14:textId="77777777" w:rsidTr="004F2B6F">
        <w:trPr>
          <w:trHeight w:val="267"/>
        </w:trPr>
        <w:tc>
          <w:tcPr>
            <w:tcW w:w="4014" w:type="dxa"/>
            <w:tcBorders>
              <w:top w:val="nil"/>
              <w:left w:val="nil"/>
              <w:bottom w:val="nil"/>
              <w:right w:val="nil"/>
            </w:tcBorders>
            <w:shd w:val="clear" w:color="000000" w:fill="1F4E78"/>
            <w:noWrap/>
            <w:vAlign w:val="bottom"/>
            <w:hideMark/>
          </w:tcPr>
          <w:p w14:paraId="12E2C86D"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Project Information</w:t>
            </w:r>
          </w:p>
        </w:tc>
        <w:tc>
          <w:tcPr>
            <w:tcW w:w="1793" w:type="dxa"/>
            <w:tcBorders>
              <w:top w:val="nil"/>
              <w:left w:val="nil"/>
              <w:bottom w:val="nil"/>
              <w:right w:val="nil"/>
            </w:tcBorders>
            <w:noWrap/>
            <w:vAlign w:val="bottom"/>
            <w:hideMark/>
          </w:tcPr>
          <w:p w14:paraId="212FBE30"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3FA000F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7850FEA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56465C74"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DBE8CDC"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48617418"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5DAF8805"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Initial Investment (£m)</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320216B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Discount Rate</w:t>
            </w:r>
          </w:p>
        </w:tc>
        <w:tc>
          <w:tcPr>
            <w:tcW w:w="1292" w:type="dxa"/>
            <w:tcBorders>
              <w:top w:val="single" w:sz="8" w:space="0" w:color="000000"/>
              <w:left w:val="nil"/>
              <w:bottom w:val="single" w:sz="8" w:space="0" w:color="000000"/>
              <w:right w:val="single" w:sz="8" w:space="0" w:color="000000"/>
            </w:tcBorders>
            <w:shd w:val="clear" w:color="000000" w:fill="D9EAD3"/>
            <w:noWrap/>
            <w:vAlign w:val="bottom"/>
            <w:hideMark/>
          </w:tcPr>
          <w:p w14:paraId="152E175E"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Life (Years)</w:t>
            </w:r>
          </w:p>
        </w:tc>
        <w:tc>
          <w:tcPr>
            <w:tcW w:w="1814" w:type="dxa"/>
            <w:tcBorders>
              <w:top w:val="nil"/>
              <w:left w:val="nil"/>
              <w:bottom w:val="nil"/>
              <w:right w:val="nil"/>
            </w:tcBorders>
            <w:noWrap/>
            <w:vAlign w:val="bottom"/>
            <w:hideMark/>
          </w:tcPr>
          <w:p w14:paraId="24431D0F"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r>
      <w:tr w:rsidR="004A45B0" w:rsidRPr="004F2B6F" w14:paraId="5E90554C"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522EA78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62DE4E3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378" w:type="dxa"/>
            <w:tcBorders>
              <w:top w:val="nil"/>
              <w:left w:val="nil"/>
              <w:bottom w:val="single" w:sz="8" w:space="0" w:color="000000"/>
              <w:right w:val="single" w:sz="8" w:space="0" w:color="000000"/>
            </w:tcBorders>
            <w:noWrap/>
            <w:vAlign w:val="bottom"/>
            <w:hideMark/>
          </w:tcPr>
          <w:p w14:paraId="056C9D0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0,08</w:t>
            </w:r>
          </w:p>
        </w:tc>
        <w:tc>
          <w:tcPr>
            <w:tcW w:w="1292" w:type="dxa"/>
            <w:tcBorders>
              <w:top w:val="nil"/>
              <w:left w:val="nil"/>
              <w:bottom w:val="single" w:sz="8" w:space="0" w:color="000000"/>
              <w:right w:val="single" w:sz="8" w:space="0" w:color="000000"/>
            </w:tcBorders>
            <w:noWrap/>
            <w:vAlign w:val="bottom"/>
            <w:hideMark/>
          </w:tcPr>
          <w:p w14:paraId="32D1F79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814" w:type="dxa"/>
            <w:tcBorders>
              <w:top w:val="nil"/>
              <w:left w:val="nil"/>
              <w:bottom w:val="nil"/>
              <w:right w:val="nil"/>
            </w:tcBorders>
            <w:noWrap/>
            <w:vAlign w:val="bottom"/>
            <w:hideMark/>
          </w:tcPr>
          <w:p w14:paraId="3C13CC4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54031C33"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6225237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w:t>
            </w:r>
          </w:p>
        </w:tc>
        <w:tc>
          <w:tcPr>
            <w:tcW w:w="1793" w:type="dxa"/>
            <w:tcBorders>
              <w:top w:val="nil"/>
              <w:left w:val="nil"/>
              <w:bottom w:val="single" w:sz="8" w:space="0" w:color="000000"/>
              <w:right w:val="single" w:sz="8" w:space="0" w:color="000000"/>
            </w:tcBorders>
            <w:noWrap/>
            <w:vAlign w:val="bottom"/>
            <w:hideMark/>
          </w:tcPr>
          <w:p w14:paraId="45CE8AC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378" w:type="dxa"/>
            <w:tcBorders>
              <w:top w:val="nil"/>
              <w:left w:val="nil"/>
              <w:bottom w:val="single" w:sz="8" w:space="0" w:color="000000"/>
              <w:right w:val="single" w:sz="8" w:space="0" w:color="000000"/>
            </w:tcBorders>
            <w:noWrap/>
            <w:vAlign w:val="bottom"/>
            <w:hideMark/>
          </w:tcPr>
          <w:p w14:paraId="1FAF12D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0,08</w:t>
            </w:r>
          </w:p>
        </w:tc>
        <w:tc>
          <w:tcPr>
            <w:tcW w:w="1292" w:type="dxa"/>
            <w:tcBorders>
              <w:top w:val="nil"/>
              <w:left w:val="nil"/>
              <w:bottom w:val="single" w:sz="8" w:space="0" w:color="000000"/>
              <w:right w:val="single" w:sz="8" w:space="0" w:color="000000"/>
            </w:tcBorders>
            <w:noWrap/>
            <w:vAlign w:val="bottom"/>
            <w:hideMark/>
          </w:tcPr>
          <w:p w14:paraId="1A72A96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814" w:type="dxa"/>
            <w:tcBorders>
              <w:top w:val="nil"/>
              <w:left w:val="nil"/>
              <w:bottom w:val="nil"/>
              <w:right w:val="nil"/>
            </w:tcBorders>
            <w:noWrap/>
            <w:vAlign w:val="bottom"/>
            <w:hideMark/>
          </w:tcPr>
          <w:p w14:paraId="3BDACD4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6A269B3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65DBBD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24FB6BB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378" w:type="dxa"/>
            <w:tcBorders>
              <w:top w:val="nil"/>
              <w:left w:val="nil"/>
              <w:bottom w:val="single" w:sz="8" w:space="0" w:color="000000"/>
              <w:right w:val="single" w:sz="8" w:space="0" w:color="000000"/>
            </w:tcBorders>
            <w:noWrap/>
            <w:vAlign w:val="bottom"/>
            <w:hideMark/>
          </w:tcPr>
          <w:p w14:paraId="5C5F173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0,08</w:t>
            </w:r>
          </w:p>
        </w:tc>
        <w:tc>
          <w:tcPr>
            <w:tcW w:w="1292" w:type="dxa"/>
            <w:tcBorders>
              <w:top w:val="nil"/>
              <w:left w:val="nil"/>
              <w:bottom w:val="single" w:sz="8" w:space="0" w:color="000000"/>
              <w:right w:val="single" w:sz="8" w:space="0" w:color="000000"/>
            </w:tcBorders>
            <w:noWrap/>
            <w:vAlign w:val="bottom"/>
            <w:hideMark/>
          </w:tcPr>
          <w:p w14:paraId="4709FEA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814" w:type="dxa"/>
            <w:tcBorders>
              <w:top w:val="nil"/>
              <w:left w:val="nil"/>
              <w:bottom w:val="nil"/>
              <w:right w:val="nil"/>
            </w:tcBorders>
            <w:noWrap/>
            <w:vAlign w:val="bottom"/>
            <w:hideMark/>
          </w:tcPr>
          <w:p w14:paraId="657C3C6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4308CFDC" w14:textId="77777777" w:rsidTr="004F2B6F">
        <w:trPr>
          <w:trHeight w:val="258"/>
        </w:trPr>
        <w:tc>
          <w:tcPr>
            <w:tcW w:w="4014" w:type="dxa"/>
            <w:tcBorders>
              <w:top w:val="nil"/>
              <w:left w:val="nil"/>
              <w:bottom w:val="nil"/>
              <w:right w:val="nil"/>
            </w:tcBorders>
            <w:noWrap/>
            <w:vAlign w:val="bottom"/>
            <w:hideMark/>
          </w:tcPr>
          <w:p w14:paraId="661DEF6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25768C3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4FED606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60996F5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95167D2"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5A2739FD" w14:textId="77777777" w:rsidTr="004F2B6F">
        <w:trPr>
          <w:trHeight w:val="258"/>
        </w:trPr>
        <w:tc>
          <w:tcPr>
            <w:tcW w:w="4014" w:type="dxa"/>
            <w:tcBorders>
              <w:top w:val="nil"/>
              <w:left w:val="nil"/>
              <w:bottom w:val="nil"/>
              <w:right w:val="nil"/>
            </w:tcBorders>
            <w:noWrap/>
            <w:vAlign w:val="bottom"/>
            <w:hideMark/>
          </w:tcPr>
          <w:p w14:paraId="441B0C6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5CB7B15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0E1A71D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278DA01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F43768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A4EB2F9" w14:textId="77777777" w:rsidTr="004F2B6F">
        <w:trPr>
          <w:trHeight w:val="267"/>
        </w:trPr>
        <w:tc>
          <w:tcPr>
            <w:tcW w:w="4014" w:type="dxa"/>
            <w:tcBorders>
              <w:top w:val="nil"/>
              <w:left w:val="nil"/>
              <w:bottom w:val="nil"/>
              <w:right w:val="nil"/>
            </w:tcBorders>
            <w:shd w:val="clear" w:color="000000" w:fill="1F4E78"/>
            <w:noWrap/>
            <w:vAlign w:val="bottom"/>
            <w:hideMark/>
          </w:tcPr>
          <w:p w14:paraId="2DE87F0B"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G1. Project Cash Flows</w:t>
            </w:r>
          </w:p>
        </w:tc>
        <w:tc>
          <w:tcPr>
            <w:tcW w:w="1793" w:type="dxa"/>
            <w:tcBorders>
              <w:top w:val="nil"/>
              <w:left w:val="nil"/>
              <w:bottom w:val="nil"/>
              <w:right w:val="nil"/>
            </w:tcBorders>
            <w:noWrap/>
            <w:vAlign w:val="bottom"/>
            <w:hideMark/>
          </w:tcPr>
          <w:p w14:paraId="4B5EA48F"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08DBDA7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7557E86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487ACE7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4C6F60E"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2834BFD8"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Year</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0AB07C97"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A</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2FA86C65"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B</w:t>
            </w:r>
          </w:p>
        </w:tc>
        <w:tc>
          <w:tcPr>
            <w:tcW w:w="1292" w:type="dxa"/>
            <w:tcBorders>
              <w:top w:val="single" w:sz="8" w:space="0" w:color="000000"/>
              <w:left w:val="nil"/>
              <w:bottom w:val="single" w:sz="8" w:space="0" w:color="000000"/>
              <w:right w:val="single" w:sz="8" w:space="0" w:color="000000"/>
            </w:tcBorders>
            <w:shd w:val="clear" w:color="000000" w:fill="D9EAD3"/>
            <w:noWrap/>
            <w:vAlign w:val="bottom"/>
            <w:hideMark/>
          </w:tcPr>
          <w:p w14:paraId="6B5339BA"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C</w:t>
            </w:r>
          </w:p>
        </w:tc>
        <w:tc>
          <w:tcPr>
            <w:tcW w:w="1814" w:type="dxa"/>
            <w:tcBorders>
              <w:top w:val="nil"/>
              <w:left w:val="nil"/>
              <w:bottom w:val="nil"/>
              <w:right w:val="nil"/>
            </w:tcBorders>
            <w:noWrap/>
            <w:vAlign w:val="bottom"/>
            <w:hideMark/>
          </w:tcPr>
          <w:p w14:paraId="72DA890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r>
      <w:tr w:rsidR="004A45B0" w:rsidRPr="004F2B6F" w14:paraId="08BA31F1"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FDA595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Initial Investment</w:t>
            </w:r>
          </w:p>
        </w:tc>
        <w:tc>
          <w:tcPr>
            <w:tcW w:w="1793" w:type="dxa"/>
            <w:tcBorders>
              <w:top w:val="nil"/>
              <w:left w:val="nil"/>
              <w:bottom w:val="single" w:sz="8" w:space="0" w:color="000000"/>
              <w:right w:val="single" w:sz="8" w:space="0" w:color="000000"/>
            </w:tcBorders>
            <w:noWrap/>
            <w:vAlign w:val="bottom"/>
            <w:hideMark/>
          </w:tcPr>
          <w:p w14:paraId="16A1574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378" w:type="dxa"/>
            <w:tcBorders>
              <w:top w:val="nil"/>
              <w:left w:val="nil"/>
              <w:bottom w:val="single" w:sz="8" w:space="0" w:color="000000"/>
              <w:right w:val="single" w:sz="8" w:space="0" w:color="000000"/>
            </w:tcBorders>
            <w:noWrap/>
            <w:vAlign w:val="bottom"/>
            <w:hideMark/>
          </w:tcPr>
          <w:p w14:paraId="469E63B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292" w:type="dxa"/>
            <w:tcBorders>
              <w:top w:val="nil"/>
              <w:left w:val="nil"/>
              <w:bottom w:val="single" w:sz="8" w:space="0" w:color="000000"/>
              <w:right w:val="single" w:sz="8" w:space="0" w:color="000000"/>
            </w:tcBorders>
            <w:noWrap/>
            <w:vAlign w:val="bottom"/>
            <w:hideMark/>
          </w:tcPr>
          <w:p w14:paraId="45640EF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814" w:type="dxa"/>
            <w:tcBorders>
              <w:top w:val="nil"/>
              <w:left w:val="nil"/>
              <w:bottom w:val="nil"/>
              <w:right w:val="nil"/>
            </w:tcBorders>
            <w:noWrap/>
            <w:vAlign w:val="bottom"/>
            <w:hideMark/>
          </w:tcPr>
          <w:p w14:paraId="2A9DF48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7CB4E036"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6A1A90B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Year 1</w:t>
            </w:r>
          </w:p>
        </w:tc>
        <w:tc>
          <w:tcPr>
            <w:tcW w:w="1793" w:type="dxa"/>
            <w:tcBorders>
              <w:top w:val="nil"/>
              <w:left w:val="nil"/>
              <w:bottom w:val="single" w:sz="8" w:space="0" w:color="000000"/>
              <w:right w:val="single" w:sz="8" w:space="0" w:color="000000"/>
            </w:tcBorders>
            <w:noWrap/>
            <w:vAlign w:val="bottom"/>
            <w:hideMark/>
          </w:tcPr>
          <w:p w14:paraId="182D9B3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1378" w:type="dxa"/>
            <w:tcBorders>
              <w:top w:val="nil"/>
              <w:left w:val="nil"/>
              <w:bottom w:val="single" w:sz="8" w:space="0" w:color="000000"/>
              <w:right w:val="single" w:sz="8" w:space="0" w:color="000000"/>
            </w:tcBorders>
            <w:noWrap/>
            <w:vAlign w:val="bottom"/>
            <w:hideMark/>
          </w:tcPr>
          <w:p w14:paraId="28A92AD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92" w:type="dxa"/>
            <w:tcBorders>
              <w:top w:val="nil"/>
              <w:left w:val="nil"/>
              <w:bottom w:val="single" w:sz="8" w:space="0" w:color="000000"/>
              <w:right w:val="single" w:sz="8" w:space="0" w:color="000000"/>
            </w:tcBorders>
            <w:noWrap/>
            <w:vAlign w:val="bottom"/>
            <w:hideMark/>
          </w:tcPr>
          <w:p w14:paraId="7CDD05A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814" w:type="dxa"/>
            <w:tcBorders>
              <w:top w:val="nil"/>
              <w:left w:val="nil"/>
              <w:bottom w:val="nil"/>
              <w:right w:val="nil"/>
            </w:tcBorders>
            <w:noWrap/>
            <w:vAlign w:val="bottom"/>
            <w:hideMark/>
          </w:tcPr>
          <w:p w14:paraId="462E63B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391454E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420A6B4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Year 2</w:t>
            </w:r>
          </w:p>
        </w:tc>
        <w:tc>
          <w:tcPr>
            <w:tcW w:w="1793" w:type="dxa"/>
            <w:tcBorders>
              <w:top w:val="nil"/>
              <w:left w:val="nil"/>
              <w:bottom w:val="single" w:sz="8" w:space="0" w:color="000000"/>
              <w:right w:val="single" w:sz="8" w:space="0" w:color="000000"/>
            </w:tcBorders>
            <w:noWrap/>
            <w:vAlign w:val="bottom"/>
            <w:hideMark/>
          </w:tcPr>
          <w:p w14:paraId="24C37A8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w:t>
            </w:r>
          </w:p>
        </w:tc>
        <w:tc>
          <w:tcPr>
            <w:tcW w:w="1378" w:type="dxa"/>
            <w:tcBorders>
              <w:top w:val="nil"/>
              <w:left w:val="nil"/>
              <w:bottom w:val="single" w:sz="8" w:space="0" w:color="000000"/>
              <w:right w:val="single" w:sz="8" w:space="0" w:color="000000"/>
            </w:tcBorders>
            <w:noWrap/>
            <w:vAlign w:val="bottom"/>
            <w:hideMark/>
          </w:tcPr>
          <w:p w14:paraId="7A41970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92" w:type="dxa"/>
            <w:tcBorders>
              <w:top w:val="nil"/>
              <w:left w:val="nil"/>
              <w:bottom w:val="single" w:sz="8" w:space="0" w:color="000000"/>
              <w:right w:val="single" w:sz="8" w:space="0" w:color="000000"/>
            </w:tcBorders>
            <w:noWrap/>
            <w:vAlign w:val="bottom"/>
            <w:hideMark/>
          </w:tcPr>
          <w:p w14:paraId="414B50D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1814" w:type="dxa"/>
            <w:tcBorders>
              <w:top w:val="nil"/>
              <w:left w:val="nil"/>
              <w:bottom w:val="nil"/>
              <w:right w:val="nil"/>
            </w:tcBorders>
            <w:noWrap/>
            <w:vAlign w:val="bottom"/>
            <w:hideMark/>
          </w:tcPr>
          <w:p w14:paraId="0169209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53103319"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5C0A6BD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Year 3</w:t>
            </w:r>
          </w:p>
        </w:tc>
        <w:tc>
          <w:tcPr>
            <w:tcW w:w="1793" w:type="dxa"/>
            <w:tcBorders>
              <w:top w:val="nil"/>
              <w:left w:val="nil"/>
              <w:bottom w:val="single" w:sz="8" w:space="0" w:color="000000"/>
              <w:right w:val="single" w:sz="8" w:space="0" w:color="000000"/>
            </w:tcBorders>
            <w:noWrap/>
            <w:vAlign w:val="bottom"/>
            <w:hideMark/>
          </w:tcPr>
          <w:p w14:paraId="16D85D2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14</w:t>
            </w:r>
          </w:p>
        </w:tc>
        <w:tc>
          <w:tcPr>
            <w:tcW w:w="1378" w:type="dxa"/>
            <w:tcBorders>
              <w:top w:val="nil"/>
              <w:left w:val="nil"/>
              <w:bottom w:val="single" w:sz="8" w:space="0" w:color="000000"/>
              <w:right w:val="single" w:sz="8" w:space="0" w:color="000000"/>
            </w:tcBorders>
            <w:noWrap/>
            <w:vAlign w:val="bottom"/>
            <w:hideMark/>
          </w:tcPr>
          <w:p w14:paraId="057A0AD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92" w:type="dxa"/>
            <w:tcBorders>
              <w:top w:val="nil"/>
              <w:left w:val="nil"/>
              <w:bottom w:val="single" w:sz="8" w:space="0" w:color="000000"/>
              <w:right w:val="single" w:sz="8" w:space="0" w:color="000000"/>
            </w:tcBorders>
            <w:noWrap/>
            <w:vAlign w:val="bottom"/>
            <w:hideMark/>
          </w:tcPr>
          <w:p w14:paraId="35FEAF0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20</w:t>
            </w:r>
          </w:p>
        </w:tc>
        <w:tc>
          <w:tcPr>
            <w:tcW w:w="1814" w:type="dxa"/>
            <w:tcBorders>
              <w:top w:val="nil"/>
              <w:left w:val="nil"/>
              <w:bottom w:val="nil"/>
              <w:right w:val="nil"/>
            </w:tcBorders>
            <w:noWrap/>
            <w:vAlign w:val="bottom"/>
            <w:hideMark/>
          </w:tcPr>
          <w:p w14:paraId="068C652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603FC0E8"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2F8521F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Year 4</w:t>
            </w:r>
          </w:p>
        </w:tc>
        <w:tc>
          <w:tcPr>
            <w:tcW w:w="1793" w:type="dxa"/>
            <w:tcBorders>
              <w:top w:val="nil"/>
              <w:left w:val="nil"/>
              <w:bottom w:val="single" w:sz="8" w:space="0" w:color="000000"/>
              <w:right w:val="single" w:sz="8" w:space="0" w:color="000000"/>
            </w:tcBorders>
            <w:noWrap/>
            <w:vAlign w:val="bottom"/>
            <w:hideMark/>
          </w:tcPr>
          <w:p w14:paraId="21740EE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w:t>
            </w:r>
          </w:p>
        </w:tc>
        <w:tc>
          <w:tcPr>
            <w:tcW w:w="1378" w:type="dxa"/>
            <w:tcBorders>
              <w:top w:val="nil"/>
              <w:left w:val="nil"/>
              <w:bottom w:val="single" w:sz="8" w:space="0" w:color="000000"/>
              <w:right w:val="single" w:sz="8" w:space="0" w:color="000000"/>
            </w:tcBorders>
            <w:noWrap/>
            <w:vAlign w:val="bottom"/>
            <w:hideMark/>
          </w:tcPr>
          <w:p w14:paraId="7C6D043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92" w:type="dxa"/>
            <w:tcBorders>
              <w:top w:val="nil"/>
              <w:left w:val="nil"/>
              <w:bottom w:val="single" w:sz="8" w:space="0" w:color="000000"/>
              <w:right w:val="single" w:sz="8" w:space="0" w:color="000000"/>
            </w:tcBorders>
            <w:noWrap/>
            <w:vAlign w:val="bottom"/>
            <w:hideMark/>
          </w:tcPr>
          <w:p w14:paraId="7D47B0A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25</w:t>
            </w:r>
          </w:p>
        </w:tc>
        <w:tc>
          <w:tcPr>
            <w:tcW w:w="1814" w:type="dxa"/>
            <w:tcBorders>
              <w:top w:val="nil"/>
              <w:left w:val="nil"/>
              <w:bottom w:val="nil"/>
              <w:right w:val="nil"/>
            </w:tcBorders>
            <w:noWrap/>
            <w:vAlign w:val="bottom"/>
            <w:hideMark/>
          </w:tcPr>
          <w:p w14:paraId="4252096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38B5D4F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8D8743A"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Year 5</w:t>
            </w:r>
          </w:p>
        </w:tc>
        <w:tc>
          <w:tcPr>
            <w:tcW w:w="1793" w:type="dxa"/>
            <w:tcBorders>
              <w:top w:val="nil"/>
              <w:left w:val="nil"/>
              <w:bottom w:val="single" w:sz="8" w:space="0" w:color="000000"/>
              <w:right w:val="single" w:sz="8" w:space="0" w:color="000000"/>
            </w:tcBorders>
            <w:noWrap/>
            <w:vAlign w:val="bottom"/>
            <w:hideMark/>
          </w:tcPr>
          <w:p w14:paraId="72EF96C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w:t>
            </w:r>
          </w:p>
        </w:tc>
        <w:tc>
          <w:tcPr>
            <w:tcW w:w="1378" w:type="dxa"/>
            <w:tcBorders>
              <w:top w:val="nil"/>
              <w:left w:val="nil"/>
              <w:bottom w:val="single" w:sz="8" w:space="0" w:color="000000"/>
              <w:right w:val="single" w:sz="8" w:space="0" w:color="000000"/>
            </w:tcBorders>
            <w:noWrap/>
            <w:vAlign w:val="bottom"/>
            <w:hideMark/>
          </w:tcPr>
          <w:p w14:paraId="6C785BF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w:t>
            </w:r>
          </w:p>
        </w:tc>
        <w:tc>
          <w:tcPr>
            <w:tcW w:w="1292" w:type="dxa"/>
            <w:tcBorders>
              <w:top w:val="nil"/>
              <w:left w:val="nil"/>
              <w:bottom w:val="single" w:sz="8" w:space="0" w:color="000000"/>
              <w:right w:val="single" w:sz="8" w:space="0" w:color="000000"/>
            </w:tcBorders>
            <w:noWrap/>
            <w:vAlign w:val="bottom"/>
            <w:hideMark/>
          </w:tcPr>
          <w:p w14:paraId="606CB60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814" w:type="dxa"/>
            <w:tcBorders>
              <w:top w:val="nil"/>
              <w:left w:val="nil"/>
              <w:bottom w:val="nil"/>
              <w:right w:val="nil"/>
            </w:tcBorders>
            <w:noWrap/>
            <w:vAlign w:val="bottom"/>
            <w:hideMark/>
          </w:tcPr>
          <w:p w14:paraId="458FCCE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69CAEC59" w14:textId="77777777" w:rsidTr="004F2B6F">
        <w:trPr>
          <w:trHeight w:val="258"/>
        </w:trPr>
        <w:tc>
          <w:tcPr>
            <w:tcW w:w="4014" w:type="dxa"/>
            <w:tcBorders>
              <w:top w:val="nil"/>
              <w:left w:val="nil"/>
              <w:bottom w:val="nil"/>
              <w:right w:val="nil"/>
            </w:tcBorders>
            <w:noWrap/>
            <w:vAlign w:val="bottom"/>
            <w:hideMark/>
          </w:tcPr>
          <w:p w14:paraId="32B840B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61980B7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20FCC3A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1BEA94F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161A385"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2660C62" w14:textId="77777777" w:rsidTr="004F2B6F">
        <w:trPr>
          <w:trHeight w:val="258"/>
        </w:trPr>
        <w:tc>
          <w:tcPr>
            <w:tcW w:w="4014" w:type="dxa"/>
            <w:tcBorders>
              <w:top w:val="nil"/>
              <w:left w:val="nil"/>
              <w:bottom w:val="nil"/>
              <w:right w:val="nil"/>
            </w:tcBorders>
            <w:noWrap/>
            <w:vAlign w:val="bottom"/>
            <w:hideMark/>
          </w:tcPr>
          <w:p w14:paraId="28D9F3A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4C6598B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70A0D47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65048CB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A97F384"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AAFC341" w14:textId="77777777" w:rsidTr="004F2B6F">
        <w:trPr>
          <w:trHeight w:val="267"/>
        </w:trPr>
        <w:tc>
          <w:tcPr>
            <w:tcW w:w="4014" w:type="dxa"/>
            <w:tcBorders>
              <w:top w:val="nil"/>
              <w:left w:val="nil"/>
              <w:bottom w:val="nil"/>
              <w:right w:val="nil"/>
            </w:tcBorders>
            <w:shd w:val="clear" w:color="000000" w:fill="1F4E78"/>
            <w:noWrap/>
            <w:vAlign w:val="bottom"/>
            <w:hideMark/>
          </w:tcPr>
          <w:p w14:paraId="0FF5E824"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G2. Discount Factors (8%)</w:t>
            </w:r>
          </w:p>
        </w:tc>
        <w:tc>
          <w:tcPr>
            <w:tcW w:w="1793" w:type="dxa"/>
            <w:tcBorders>
              <w:top w:val="nil"/>
              <w:left w:val="nil"/>
              <w:bottom w:val="nil"/>
              <w:right w:val="nil"/>
            </w:tcBorders>
            <w:noWrap/>
            <w:vAlign w:val="bottom"/>
            <w:hideMark/>
          </w:tcPr>
          <w:p w14:paraId="67D76D11"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4E8003A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2019461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4A3603D"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D6FBF1B"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13E245D8"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Year</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6A9E2FE8"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Factor</w:t>
            </w:r>
          </w:p>
        </w:tc>
        <w:tc>
          <w:tcPr>
            <w:tcW w:w="1378" w:type="dxa"/>
            <w:tcBorders>
              <w:top w:val="nil"/>
              <w:left w:val="nil"/>
              <w:bottom w:val="nil"/>
              <w:right w:val="nil"/>
            </w:tcBorders>
            <w:noWrap/>
            <w:vAlign w:val="bottom"/>
            <w:hideMark/>
          </w:tcPr>
          <w:p w14:paraId="51A0B93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c>
          <w:tcPr>
            <w:tcW w:w="1292" w:type="dxa"/>
            <w:tcBorders>
              <w:top w:val="nil"/>
              <w:left w:val="nil"/>
              <w:bottom w:val="nil"/>
              <w:right w:val="nil"/>
            </w:tcBorders>
            <w:noWrap/>
            <w:vAlign w:val="bottom"/>
            <w:hideMark/>
          </w:tcPr>
          <w:p w14:paraId="1DEE35F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56992D67"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E0E7C28"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53033DD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w:t>
            </w:r>
          </w:p>
        </w:tc>
        <w:tc>
          <w:tcPr>
            <w:tcW w:w="1793" w:type="dxa"/>
            <w:tcBorders>
              <w:top w:val="nil"/>
              <w:left w:val="nil"/>
              <w:bottom w:val="single" w:sz="8" w:space="0" w:color="000000"/>
              <w:right w:val="single" w:sz="8" w:space="0" w:color="000000"/>
            </w:tcBorders>
            <w:noWrap/>
            <w:vAlign w:val="bottom"/>
            <w:hideMark/>
          </w:tcPr>
          <w:p w14:paraId="3E68EC9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0,9259</w:t>
            </w:r>
          </w:p>
        </w:tc>
        <w:tc>
          <w:tcPr>
            <w:tcW w:w="1378" w:type="dxa"/>
            <w:tcBorders>
              <w:top w:val="nil"/>
              <w:left w:val="nil"/>
              <w:bottom w:val="nil"/>
              <w:right w:val="nil"/>
            </w:tcBorders>
            <w:noWrap/>
            <w:vAlign w:val="bottom"/>
            <w:hideMark/>
          </w:tcPr>
          <w:p w14:paraId="5A4994F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53E439A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5844315"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B08C4B6"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3CBDEA5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w:t>
            </w:r>
          </w:p>
        </w:tc>
        <w:tc>
          <w:tcPr>
            <w:tcW w:w="1793" w:type="dxa"/>
            <w:tcBorders>
              <w:top w:val="nil"/>
              <w:left w:val="nil"/>
              <w:bottom w:val="single" w:sz="8" w:space="0" w:color="000000"/>
              <w:right w:val="single" w:sz="8" w:space="0" w:color="000000"/>
            </w:tcBorders>
            <w:noWrap/>
            <w:vAlign w:val="bottom"/>
            <w:hideMark/>
          </w:tcPr>
          <w:p w14:paraId="5CD4D7E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0,8573</w:t>
            </w:r>
          </w:p>
        </w:tc>
        <w:tc>
          <w:tcPr>
            <w:tcW w:w="1378" w:type="dxa"/>
            <w:tcBorders>
              <w:top w:val="nil"/>
              <w:left w:val="nil"/>
              <w:bottom w:val="nil"/>
              <w:right w:val="nil"/>
            </w:tcBorders>
            <w:noWrap/>
            <w:vAlign w:val="bottom"/>
            <w:hideMark/>
          </w:tcPr>
          <w:p w14:paraId="6C6BF59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04B9639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572D970D"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1C286165"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6A6F3EA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w:t>
            </w:r>
          </w:p>
        </w:tc>
        <w:tc>
          <w:tcPr>
            <w:tcW w:w="1793" w:type="dxa"/>
            <w:tcBorders>
              <w:top w:val="nil"/>
              <w:left w:val="nil"/>
              <w:bottom w:val="single" w:sz="8" w:space="0" w:color="000000"/>
              <w:right w:val="single" w:sz="8" w:space="0" w:color="000000"/>
            </w:tcBorders>
            <w:noWrap/>
            <w:vAlign w:val="bottom"/>
            <w:hideMark/>
          </w:tcPr>
          <w:p w14:paraId="48C4546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0,7938</w:t>
            </w:r>
          </w:p>
        </w:tc>
        <w:tc>
          <w:tcPr>
            <w:tcW w:w="1378" w:type="dxa"/>
            <w:tcBorders>
              <w:top w:val="nil"/>
              <w:left w:val="nil"/>
              <w:bottom w:val="nil"/>
              <w:right w:val="nil"/>
            </w:tcBorders>
            <w:noWrap/>
            <w:vAlign w:val="bottom"/>
            <w:hideMark/>
          </w:tcPr>
          <w:p w14:paraId="2EE6E04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6A374DC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6B07FEC"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81A9EA9"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542D1F4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w:t>
            </w:r>
          </w:p>
        </w:tc>
        <w:tc>
          <w:tcPr>
            <w:tcW w:w="1793" w:type="dxa"/>
            <w:tcBorders>
              <w:top w:val="nil"/>
              <w:left w:val="nil"/>
              <w:bottom w:val="single" w:sz="8" w:space="0" w:color="000000"/>
              <w:right w:val="single" w:sz="8" w:space="0" w:color="000000"/>
            </w:tcBorders>
            <w:noWrap/>
            <w:vAlign w:val="bottom"/>
            <w:hideMark/>
          </w:tcPr>
          <w:p w14:paraId="6216D55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0,735</w:t>
            </w:r>
          </w:p>
        </w:tc>
        <w:tc>
          <w:tcPr>
            <w:tcW w:w="1378" w:type="dxa"/>
            <w:tcBorders>
              <w:top w:val="nil"/>
              <w:left w:val="nil"/>
              <w:bottom w:val="nil"/>
              <w:right w:val="nil"/>
            </w:tcBorders>
            <w:noWrap/>
            <w:vAlign w:val="bottom"/>
            <w:hideMark/>
          </w:tcPr>
          <w:p w14:paraId="21035AE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18C3F44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07F8B95"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B540EF7"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2045707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w:t>
            </w:r>
          </w:p>
        </w:tc>
        <w:tc>
          <w:tcPr>
            <w:tcW w:w="1793" w:type="dxa"/>
            <w:tcBorders>
              <w:top w:val="nil"/>
              <w:left w:val="nil"/>
              <w:bottom w:val="single" w:sz="8" w:space="0" w:color="000000"/>
              <w:right w:val="single" w:sz="8" w:space="0" w:color="000000"/>
            </w:tcBorders>
            <w:noWrap/>
            <w:vAlign w:val="bottom"/>
            <w:hideMark/>
          </w:tcPr>
          <w:p w14:paraId="22F8727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0,6806</w:t>
            </w:r>
          </w:p>
        </w:tc>
        <w:tc>
          <w:tcPr>
            <w:tcW w:w="1378" w:type="dxa"/>
            <w:tcBorders>
              <w:top w:val="nil"/>
              <w:left w:val="nil"/>
              <w:bottom w:val="nil"/>
              <w:right w:val="nil"/>
            </w:tcBorders>
            <w:noWrap/>
            <w:vAlign w:val="bottom"/>
            <w:hideMark/>
          </w:tcPr>
          <w:p w14:paraId="304C85B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02B29DB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9584B79"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795D99C2" w14:textId="77777777" w:rsidTr="004F2B6F">
        <w:trPr>
          <w:trHeight w:val="258"/>
        </w:trPr>
        <w:tc>
          <w:tcPr>
            <w:tcW w:w="4014" w:type="dxa"/>
            <w:tcBorders>
              <w:top w:val="nil"/>
              <w:left w:val="nil"/>
              <w:bottom w:val="nil"/>
              <w:right w:val="nil"/>
            </w:tcBorders>
            <w:noWrap/>
            <w:vAlign w:val="bottom"/>
            <w:hideMark/>
          </w:tcPr>
          <w:p w14:paraId="3954A56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7F5B6E9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71AE537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7C520D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08A0137"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B8EF446" w14:textId="77777777" w:rsidTr="004F2B6F">
        <w:trPr>
          <w:trHeight w:val="267"/>
        </w:trPr>
        <w:tc>
          <w:tcPr>
            <w:tcW w:w="4014" w:type="dxa"/>
            <w:tcBorders>
              <w:top w:val="nil"/>
              <w:left w:val="nil"/>
              <w:bottom w:val="nil"/>
              <w:right w:val="nil"/>
            </w:tcBorders>
            <w:shd w:val="clear" w:color="000000" w:fill="1F4E78"/>
            <w:noWrap/>
            <w:vAlign w:val="bottom"/>
            <w:hideMark/>
          </w:tcPr>
          <w:p w14:paraId="16E08E35"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G3. Present Value of Cash Inflows</w:t>
            </w:r>
          </w:p>
        </w:tc>
        <w:tc>
          <w:tcPr>
            <w:tcW w:w="1793" w:type="dxa"/>
            <w:tcBorders>
              <w:top w:val="nil"/>
              <w:left w:val="nil"/>
              <w:bottom w:val="nil"/>
              <w:right w:val="nil"/>
            </w:tcBorders>
            <w:noWrap/>
            <w:vAlign w:val="bottom"/>
            <w:hideMark/>
          </w:tcPr>
          <w:p w14:paraId="3FBC3BEE"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3353E78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34E656F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3A27C80"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BD472C9"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063DD6A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Year</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0D5FB6FB"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A</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2BFB8284"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B</w:t>
            </w:r>
          </w:p>
        </w:tc>
        <w:tc>
          <w:tcPr>
            <w:tcW w:w="1292" w:type="dxa"/>
            <w:tcBorders>
              <w:top w:val="single" w:sz="8" w:space="0" w:color="000000"/>
              <w:left w:val="nil"/>
              <w:bottom w:val="single" w:sz="8" w:space="0" w:color="000000"/>
              <w:right w:val="single" w:sz="8" w:space="0" w:color="000000"/>
            </w:tcBorders>
            <w:shd w:val="clear" w:color="000000" w:fill="D9EAD3"/>
            <w:noWrap/>
            <w:vAlign w:val="bottom"/>
            <w:hideMark/>
          </w:tcPr>
          <w:p w14:paraId="6ACAD8CB"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C</w:t>
            </w:r>
          </w:p>
        </w:tc>
        <w:tc>
          <w:tcPr>
            <w:tcW w:w="1814" w:type="dxa"/>
            <w:tcBorders>
              <w:top w:val="nil"/>
              <w:left w:val="nil"/>
              <w:bottom w:val="nil"/>
              <w:right w:val="nil"/>
            </w:tcBorders>
            <w:noWrap/>
            <w:vAlign w:val="bottom"/>
            <w:hideMark/>
          </w:tcPr>
          <w:p w14:paraId="02EBD198"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r>
      <w:tr w:rsidR="004A45B0" w:rsidRPr="004F2B6F" w14:paraId="5A2D25D8"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044563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w:t>
            </w:r>
          </w:p>
        </w:tc>
        <w:tc>
          <w:tcPr>
            <w:tcW w:w="1793" w:type="dxa"/>
            <w:tcBorders>
              <w:top w:val="nil"/>
              <w:left w:val="nil"/>
              <w:bottom w:val="single" w:sz="8" w:space="0" w:color="000000"/>
              <w:right w:val="single" w:sz="8" w:space="0" w:color="000000"/>
            </w:tcBorders>
            <w:noWrap/>
            <w:vAlign w:val="bottom"/>
            <w:hideMark/>
          </w:tcPr>
          <w:p w14:paraId="28ABB074"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9,26</w:t>
            </w:r>
          </w:p>
        </w:tc>
        <w:tc>
          <w:tcPr>
            <w:tcW w:w="1378" w:type="dxa"/>
            <w:tcBorders>
              <w:top w:val="nil"/>
              <w:left w:val="nil"/>
              <w:bottom w:val="single" w:sz="8" w:space="0" w:color="000000"/>
              <w:right w:val="single" w:sz="8" w:space="0" w:color="000000"/>
            </w:tcBorders>
            <w:noWrap/>
            <w:vAlign w:val="bottom"/>
            <w:hideMark/>
          </w:tcPr>
          <w:p w14:paraId="5D9D286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10,19</w:t>
            </w:r>
          </w:p>
        </w:tc>
        <w:tc>
          <w:tcPr>
            <w:tcW w:w="1292" w:type="dxa"/>
            <w:tcBorders>
              <w:top w:val="nil"/>
              <w:left w:val="nil"/>
              <w:bottom w:val="single" w:sz="8" w:space="0" w:color="000000"/>
              <w:right w:val="single" w:sz="8" w:space="0" w:color="000000"/>
            </w:tcBorders>
            <w:noWrap/>
            <w:vAlign w:val="bottom"/>
            <w:hideMark/>
          </w:tcPr>
          <w:p w14:paraId="7123140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4,63</w:t>
            </w:r>
          </w:p>
        </w:tc>
        <w:tc>
          <w:tcPr>
            <w:tcW w:w="1814" w:type="dxa"/>
            <w:tcBorders>
              <w:top w:val="nil"/>
              <w:left w:val="nil"/>
              <w:bottom w:val="nil"/>
              <w:right w:val="nil"/>
            </w:tcBorders>
            <w:noWrap/>
            <w:vAlign w:val="bottom"/>
            <w:hideMark/>
          </w:tcPr>
          <w:p w14:paraId="69C5893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176E135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111B1C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w:t>
            </w:r>
          </w:p>
        </w:tc>
        <w:tc>
          <w:tcPr>
            <w:tcW w:w="1793" w:type="dxa"/>
            <w:tcBorders>
              <w:top w:val="nil"/>
              <w:left w:val="nil"/>
              <w:bottom w:val="single" w:sz="8" w:space="0" w:color="000000"/>
              <w:right w:val="single" w:sz="8" w:space="0" w:color="000000"/>
            </w:tcBorders>
            <w:noWrap/>
            <w:vAlign w:val="bottom"/>
            <w:hideMark/>
          </w:tcPr>
          <w:p w14:paraId="6EDDDEC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10,29</w:t>
            </w:r>
          </w:p>
        </w:tc>
        <w:tc>
          <w:tcPr>
            <w:tcW w:w="1378" w:type="dxa"/>
            <w:tcBorders>
              <w:top w:val="nil"/>
              <w:left w:val="nil"/>
              <w:bottom w:val="single" w:sz="8" w:space="0" w:color="000000"/>
              <w:right w:val="single" w:sz="8" w:space="0" w:color="000000"/>
            </w:tcBorders>
            <w:noWrap/>
            <w:vAlign w:val="bottom"/>
            <w:hideMark/>
          </w:tcPr>
          <w:p w14:paraId="50B78C8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9,43</w:t>
            </w:r>
          </w:p>
        </w:tc>
        <w:tc>
          <w:tcPr>
            <w:tcW w:w="1292" w:type="dxa"/>
            <w:tcBorders>
              <w:top w:val="nil"/>
              <w:left w:val="nil"/>
              <w:bottom w:val="single" w:sz="8" w:space="0" w:color="000000"/>
              <w:right w:val="single" w:sz="8" w:space="0" w:color="000000"/>
            </w:tcBorders>
            <w:noWrap/>
            <w:vAlign w:val="bottom"/>
            <w:hideMark/>
          </w:tcPr>
          <w:p w14:paraId="2C97A93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8,57</w:t>
            </w:r>
          </w:p>
        </w:tc>
        <w:tc>
          <w:tcPr>
            <w:tcW w:w="1814" w:type="dxa"/>
            <w:tcBorders>
              <w:top w:val="nil"/>
              <w:left w:val="nil"/>
              <w:bottom w:val="nil"/>
              <w:right w:val="nil"/>
            </w:tcBorders>
            <w:noWrap/>
            <w:vAlign w:val="bottom"/>
            <w:hideMark/>
          </w:tcPr>
          <w:p w14:paraId="514321A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10C5796C"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74E932D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w:t>
            </w:r>
          </w:p>
        </w:tc>
        <w:tc>
          <w:tcPr>
            <w:tcW w:w="1793" w:type="dxa"/>
            <w:tcBorders>
              <w:top w:val="nil"/>
              <w:left w:val="nil"/>
              <w:bottom w:val="single" w:sz="8" w:space="0" w:color="000000"/>
              <w:right w:val="single" w:sz="8" w:space="0" w:color="000000"/>
            </w:tcBorders>
            <w:noWrap/>
            <w:vAlign w:val="bottom"/>
            <w:hideMark/>
          </w:tcPr>
          <w:p w14:paraId="314F74F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11,11</w:t>
            </w:r>
          </w:p>
        </w:tc>
        <w:tc>
          <w:tcPr>
            <w:tcW w:w="1378" w:type="dxa"/>
            <w:tcBorders>
              <w:top w:val="nil"/>
              <w:left w:val="nil"/>
              <w:bottom w:val="single" w:sz="8" w:space="0" w:color="000000"/>
              <w:right w:val="single" w:sz="8" w:space="0" w:color="000000"/>
            </w:tcBorders>
            <w:noWrap/>
            <w:vAlign w:val="bottom"/>
            <w:hideMark/>
          </w:tcPr>
          <w:p w14:paraId="5045DC2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8,73</w:t>
            </w:r>
          </w:p>
        </w:tc>
        <w:tc>
          <w:tcPr>
            <w:tcW w:w="1292" w:type="dxa"/>
            <w:tcBorders>
              <w:top w:val="nil"/>
              <w:left w:val="nil"/>
              <w:bottom w:val="single" w:sz="8" w:space="0" w:color="000000"/>
              <w:right w:val="single" w:sz="8" w:space="0" w:color="000000"/>
            </w:tcBorders>
            <w:noWrap/>
            <w:vAlign w:val="bottom"/>
            <w:hideMark/>
          </w:tcPr>
          <w:p w14:paraId="231B8A27"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15,88</w:t>
            </w:r>
          </w:p>
        </w:tc>
        <w:tc>
          <w:tcPr>
            <w:tcW w:w="1814" w:type="dxa"/>
            <w:tcBorders>
              <w:top w:val="nil"/>
              <w:left w:val="nil"/>
              <w:bottom w:val="nil"/>
              <w:right w:val="nil"/>
            </w:tcBorders>
            <w:noWrap/>
            <w:vAlign w:val="bottom"/>
            <w:hideMark/>
          </w:tcPr>
          <w:p w14:paraId="728FC6A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02B3EFB2"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2CFDBE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w:t>
            </w:r>
          </w:p>
        </w:tc>
        <w:tc>
          <w:tcPr>
            <w:tcW w:w="1793" w:type="dxa"/>
            <w:tcBorders>
              <w:top w:val="nil"/>
              <w:left w:val="nil"/>
              <w:bottom w:val="single" w:sz="8" w:space="0" w:color="000000"/>
              <w:right w:val="single" w:sz="8" w:space="0" w:color="000000"/>
            </w:tcBorders>
            <w:noWrap/>
            <w:vAlign w:val="bottom"/>
            <w:hideMark/>
          </w:tcPr>
          <w:p w14:paraId="7B342B8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7,35</w:t>
            </w:r>
          </w:p>
        </w:tc>
        <w:tc>
          <w:tcPr>
            <w:tcW w:w="1378" w:type="dxa"/>
            <w:tcBorders>
              <w:top w:val="nil"/>
              <w:left w:val="nil"/>
              <w:bottom w:val="single" w:sz="8" w:space="0" w:color="000000"/>
              <w:right w:val="single" w:sz="8" w:space="0" w:color="000000"/>
            </w:tcBorders>
            <w:noWrap/>
            <w:vAlign w:val="bottom"/>
            <w:hideMark/>
          </w:tcPr>
          <w:p w14:paraId="1B7772A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8,09</w:t>
            </w:r>
          </w:p>
        </w:tc>
        <w:tc>
          <w:tcPr>
            <w:tcW w:w="1292" w:type="dxa"/>
            <w:tcBorders>
              <w:top w:val="nil"/>
              <w:left w:val="nil"/>
              <w:bottom w:val="single" w:sz="8" w:space="0" w:color="000000"/>
              <w:right w:val="single" w:sz="8" w:space="0" w:color="000000"/>
            </w:tcBorders>
            <w:noWrap/>
            <w:vAlign w:val="bottom"/>
            <w:hideMark/>
          </w:tcPr>
          <w:p w14:paraId="5076448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18,38</w:t>
            </w:r>
          </w:p>
        </w:tc>
        <w:tc>
          <w:tcPr>
            <w:tcW w:w="1814" w:type="dxa"/>
            <w:tcBorders>
              <w:top w:val="nil"/>
              <w:left w:val="nil"/>
              <w:bottom w:val="nil"/>
              <w:right w:val="nil"/>
            </w:tcBorders>
            <w:noWrap/>
            <w:vAlign w:val="bottom"/>
            <w:hideMark/>
          </w:tcPr>
          <w:p w14:paraId="642F393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53FBAEAE"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4BFF2FE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lastRenderedPageBreak/>
              <w:t>5</w:t>
            </w:r>
          </w:p>
        </w:tc>
        <w:tc>
          <w:tcPr>
            <w:tcW w:w="1793" w:type="dxa"/>
            <w:tcBorders>
              <w:top w:val="nil"/>
              <w:left w:val="nil"/>
              <w:bottom w:val="single" w:sz="8" w:space="0" w:color="000000"/>
              <w:right w:val="single" w:sz="8" w:space="0" w:color="000000"/>
            </w:tcBorders>
            <w:noWrap/>
            <w:vAlign w:val="bottom"/>
            <w:hideMark/>
          </w:tcPr>
          <w:p w14:paraId="17DE235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5,44</w:t>
            </w:r>
          </w:p>
        </w:tc>
        <w:tc>
          <w:tcPr>
            <w:tcW w:w="1378" w:type="dxa"/>
            <w:tcBorders>
              <w:top w:val="nil"/>
              <w:left w:val="nil"/>
              <w:bottom w:val="single" w:sz="8" w:space="0" w:color="000000"/>
              <w:right w:val="single" w:sz="8" w:space="0" w:color="000000"/>
            </w:tcBorders>
            <w:noWrap/>
            <w:vAlign w:val="bottom"/>
            <w:hideMark/>
          </w:tcPr>
          <w:p w14:paraId="3FFD95D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7,49</w:t>
            </w:r>
          </w:p>
        </w:tc>
        <w:tc>
          <w:tcPr>
            <w:tcW w:w="1292" w:type="dxa"/>
            <w:tcBorders>
              <w:top w:val="nil"/>
              <w:left w:val="nil"/>
              <w:bottom w:val="single" w:sz="8" w:space="0" w:color="000000"/>
              <w:right w:val="single" w:sz="8" w:space="0" w:color="000000"/>
            </w:tcBorders>
            <w:noWrap/>
            <w:vAlign w:val="bottom"/>
            <w:hideMark/>
          </w:tcPr>
          <w:p w14:paraId="7E6A5AE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3,4</w:t>
            </w:r>
          </w:p>
        </w:tc>
        <w:tc>
          <w:tcPr>
            <w:tcW w:w="1814" w:type="dxa"/>
            <w:tcBorders>
              <w:top w:val="nil"/>
              <w:left w:val="nil"/>
              <w:bottom w:val="nil"/>
              <w:right w:val="nil"/>
            </w:tcBorders>
            <w:noWrap/>
            <w:vAlign w:val="bottom"/>
            <w:hideMark/>
          </w:tcPr>
          <w:p w14:paraId="512D5AA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45BE8138"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7969264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Total PV</w:t>
            </w:r>
          </w:p>
        </w:tc>
        <w:tc>
          <w:tcPr>
            <w:tcW w:w="1793" w:type="dxa"/>
            <w:tcBorders>
              <w:top w:val="nil"/>
              <w:left w:val="nil"/>
              <w:bottom w:val="single" w:sz="8" w:space="0" w:color="000000"/>
              <w:right w:val="single" w:sz="8" w:space="0" w:color="000000"/>
            </w:tcBorders>
            <w:noWrap/>
            <w:vAlign w:val="bottom"/>
            <w:hideMark/>
          </w:tcPr>
          <w:p w14:paraId="51EE15D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43,46</w:t>
            </w:r>
          </w:p>
        </w:tc>
        <w:tc>
          <w:tcPr>
            <w:tcW w:w="1378" w:type="dxa"/>
            <w:tcBorders>
              <w:top w:val="nil"/>
              <w:left w:val="nil"/>
              <w:bottom w:val="single" w:sz="8" w:space="0" w:color="000000"/>
              <w:right w:val="single" w:sz="8" w:space="0" w:color="000000"/>
            </w:tcBorders>
            <w:noWrap/>
            <w:vAlign w:val="bottom"/>
            <w:hideMark/>
          </w:tcPr>
          <w:p w14:paraId="35C8747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43,92</w:t>
            </w:r>
          </w:p>
        </w:tc>
        <w:tc>
          <w:tcPr>
            <w:tcW w:w="1292" w:type="dxa"/>
            <w:tcBorders>
              <w:top w:val="nil"/>
              <w:left w:val="nil"/>
              <w:bottom w:val="single" w:sz="8" w:space="0" w:color="000000"/>
              <w:right w:val="single" w:sz="8" w:space="0" w:color="000000"/>
            </w:tcBorders>
            <w:noWrap/>
            <w:vAlign w:val="bottom"/>
            <w:hideMark/>
          </w:tcPr>
          <w:p w14:paraId="66286B7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50,86</w:t>
            </w:r>
          </w:p>
        </w:tc>
        <w:tc>
          <w:tcPr>
            <w:tcW w:w="1814" w:type="dxa"/>
            <w:tcBorders>
              <w:top w:val="nil"/>
              <w:left w:val="nil"/>
              <w:bottom w:val="nil"/>
              <w:right w:val="nil"/>
            </w:tcBorders>
            <w:noWrap/>
            <w:vAlign w:val="bottom"/>
            <w:hideMark/>
          </w:tcPr>
          <w:p w14:paraId="37AEBE1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1133405A" w14:textId="77777777" w:rsidTr="004F2B6F">
        <w:trPr>
          <w:trHeight w:val="258"/>
        </w:trPr>
        <w:tc>
          <w:tcPr>
            <w:tcW w:w="4014" w:type="dxa"/>
            <w:tcBorders>
              <w:top w:val="nil"/>
              <w:left w:val="nil"/>
              <w:bottom w:val="nil"/>
              <w:right w:val="nil"/>
            </w:tcBorders>
            <w:noWrap/>
            <w:vAlign w:val="bottom"/>
            <w:hideMark/>
          </w:tcPr>
          <w:p w14:paraId="3870228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40E95F1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53F1210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648E2F6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DBCDB3B"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1A61D968" w14:textId="77777777" w:rsidTr="004F2B6F">
        <w:trPr>
          <w:trHeight w:val="258"/>
        </w:trPr>
        <w:tc>
          <w:tcPr>
            <w:tcW w:w="4014" w:type="dxa"/>
            <w:tcBorders>
              <w:top w:val="nil"/>
              <w:left w:val="nil"/>
              <w:bottom w:val="nil"/>
              <w:right w:val="nil"/>
            </w:tcBorders>
            <w:noWrap/>
            <w:vAlign w:val="bottom"/>
            <w:hideMark/>
          </w:tcPr>
          <w:p w14:paraId="76386EF8"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6E061BB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7B627D5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0C6E890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78BD472"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64BFC7A" w14:textId="77777777" w:rsidTr="004F2B6F">
        <w:trPr>
          <w:trHeight w:val="267"/>
        </w:trPr>
        <w:tc>
          <w:tcPr>
            <w:tcW w:w="4014" w:type="dxa"/>
            <w:tcBorders>
              <w:top w:val="nil"/>
              <w:left w:val="nil"/>
              <w:bottom w:val="nil"/>
              <w:right w:val="nil"/>
            </w:tcBorders>
            <w:shd w:val="clear" w:color="000000" w:fill="1F4E78"/>
            <w:noWrap/>
            <w:vAlign w:val="bottom"/>
            <w:hideMark/>
          </w:tcPr>
          <w:p w14:paraId="36DE22E7"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G4. Payback Period</w:t>
            </w:r>
          </w:p>
        </w:tc>
        <w:tc>
          <w:tcPr>
            <w:tcW w:w="1793" w:type="dxa"/>
            <w:tcBorders>
              <w:top w:val="nil"/>
              <w:left w:val="nil"/>
              <w:bottom w:val="nil"/>
              <w:right w:val="nil"/>
            </w:tcBorders>
            <w:noWrap/>
            <w:vAlign w:val="bottom"/>
            <w:hideMark/>
          </w:tcPr>
          <w:p w14:paraId="02EDD3A2"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78DCADE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508CF7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E0BD08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2A5936E1"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4C218C97"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3E1B6681"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Payback (Years)</w:t>
            </w:r>
          </w:p>
        </w:tc>
        <w:tc>
          <w:tcPr>
            <w:tcW w:w="1378" w:type="dxa"/>
            <w:tcBorders>
              <w:top w:val="nil"/>
              <w:left w:val="nil"/>
              <w:bottom w:val="nil"/>
              <w:right w:val="nil"/>
            </w:tcBorders>
            <w:noWrap/>
            <w:vAlign w:val="bottom"/>
            <w:hideMark/>
          </w:tcPr>
          <w:p w14:paraId="3C38410C"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c>
          <w:tcPr>
            <w:tcW w:w="1292" w:type="dxa"/>
            <w:tcBorders>
              <w:top w:val="nil"/>
              <w:left w:val="nil"/>
              <w:bottom w:val="nil"/>
              <w:right w:val="nil"/>
            </w:tcBorders>
            <w:noWrap/>
            <w:vAlign w:val="bottom"/>
            <w:hideMark/>
          </w:tcPr>
          <w:p w14:paraId="55244F9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D0D17DC"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0F3B1F4"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3B9B153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47893FF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4,5</w:t>
            </w:r>
          </w:p>
        </w:tc>
        <w:tc>
          <w:tcPr>
            <w:tcW w:w="1378" w:type="dxa"/>
            <w:tcBorders>
              <w:top w:val="nil"/>
              <w:left w:val="nil"/>
              <w:bottom w:val="nil"/>
              <w:right w:val="nil"/>
            </w:tcBorders>
            <w:noWrap/>
            <w:vAlign w:val="bottom"/>
            <w:hideMark/>
          </w:tcPr>
          <w:p w14:paraId="7767928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5B6E821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98290A4"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AB7A010"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7FFEB75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w:t>
            </w:r>
          </w:p>
        </w:tc>
        <w:tc>
          <w:tcPr>
            <w:tcW w:w="1793" w:type="dxa"/>
            <w:tcBorders>
              <w:top w:val="nil"/>
              <w:left w:val="nil"/>
              <w:bottom w:val="single" w:sz="8" w:space="0" w:color="000000"/>
              <w:right w:val="single" w:sz="8" w:space="0" w:color="000000"/>
            </w:tcBorders>
            <w:noWrap/>
            <w:vAlign w:val="bottom"/>
            <w:hideMark/>
          </w:tcPr>
          <w:p w14:paraId="69CBFB9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4,55</w:t>
            </w:r>
          </w:p>
        </w:tc>
        <w:tc>
          <w:tcPr>
            <w:tcW w:w="1378" w:type="dxa"/>
            <w:tcBorders>
              <w:top w:val="nil"/>
              <w:left w:val="nil"/>
              <w:bottom w:val="nil"/>
              <w:right w:val="nil"/>
            </w:tcBorders>
            <w:noWrap/>
            <w:vAlign w:val="bottom"/>
            <w:hideMark/>
          </w:tcPr>
          <w:p w14:paraId="518097A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4D47489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42B8E86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F51EFC4"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18462F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4ED4D5A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3,6</w:t>
            </w:r>
          </w:p>
        </w:tc>
        <w:tc>
          <w:tcPr>
            <w:tcW w:w="1378" w:type="dxa"/>
            <w:tcBorders>
              <w:top w:val="nil"/>
              <w:left w:val="nil"/>
              <w:bottom w:val="nil"/>
              <w:right w:val="nil"/>
            </w:tcBorders>
            <w:noWrap/>
            <w:vAlign w:val="bottom"/>
            <w:hideMark/>
          </w:tcPr>
          <w:p w14:paraId="5615252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0440664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59F677D"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56740384" w14:textId="77777777" w:rsidTr="004F2B6F">
        <w:trPr>
          <w:trHeight w:val="258"/>
        </w:trPr>
        <w:tc>
          <w:tcPr>
            <w:tcW w:w="4014" w:type="dxa"/>
            <w:tcBorders>
              <w:top w:val="nil"/>
              <w:left w:val="nil"/>
              <w:bottom w:val="nil"/>
              <w:right w:val="nil"/>
            </w:tcBorders>
            <w:noWrap/>
            <w:vAlign w:val="bottom"/>
            <w:hideMark/>
          </w:tcPr>
          <w:p w14:paraId="6979E07F" w14:textId="77777777" w:rsidR="004A45B0" w:rsidRPr="004F2B6F" w:rsidRDefault="004A45B0" w:rsidP="004F2B6F">
            <w:pPr>
              <w:spacing w:after="0" w:line="360" w:lineRule="auto"/>
              <w:rPr>
                <w:rFonts w:ascii="Arial" w:eastAsia="Times New Roman" w:hAnsi="Arial" w:cs="Arial"/>
                <w:sz w:val="20"/>
                <w:szCs w:val="20"/>
                <w:lang w:val="en-US" w:eastAsia="en-US"/>
              </w:rPr>
            </w:pPr>
          </w:p>
          <w:p w14:paraId="209C1330" w14:textId="77777777" w:rsidR="005025C3" w:rsidRPr="004F2B6F" w:rsidRDefault="005025C3" w:rsidP="004F2B6F">
            <w:pPr>
              <w:spacing w:after="0" w:line="360" w:lineRule="auto"/>
              <w:rPr>
                <w:rFonts w:ascii="Arial" w:eastAsia="Times New Roman" w:hAnsi="Arial" w:cs="Arial"/>
                <w:sz w:val="20"/>
                <w:szCs w:val="20"/>
                <w:lang w:val="en-US" w:eastAsia="en-US"/>
              </w:rPr>
            </w:pPr>
          </w:p>
          <w:p w14:paraId="67FBB45B" w14:textId="77777777" w:rsidR="005025C3" w:rsidRPr="004F2B6F" w:rsidRDefault="005025C3" w:rsidP="004F2B6F">
            <w:pPr>
              <w:spacing w:after="0" w:line="360" w:lineRule="auto"/>
              <w:rPr>
                <w:rFonts w:ascii="Arial" w:eastAsia="Times New Roman" w:hAnsi="Arial" w:cs="Arial"/>
                <w:sz w:val="20"/>
                <w:szCs w:val="20"/>
                <w:lang w:val="en-US" w:eastAsia="en-US"/>
              </w:rPr>
            </w:pPr>
          </w:p>
          <w:p w14:paraId="45680560" w14:textId="77777777" w:rsidR="005025C3" w:rsidRPr="004F2B6F" w:rsidRDefault="005025C3"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42A2FF2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0224503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6272DC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813B0D7"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52299C1F" w14:textId="77777777" w:rsidTr="004F2B6F">
        <w:trPr>
          <w:trHeight w:val="258"/>
        </w:trPr>
        <w:tc>
          <w:tcPr>
            <w:tcW w:w="4014" w:type="dxa"/>
            <w:tcBorders>
              <w:top w:val="nil"/>
              <w:left w:val="nil"/>
              <w:bottom w:val="nil"/>
              <w:right w:val="nil"/>
            </w:tcBorders>
            <w:noWrap/>
            <w:vAlign w:val="bottom"/>
            <w:hideMark/>
          </w:tcPr>
          <w:p w14:paraId="3BB7CFD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15AE6D9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5FAEE99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5443EE0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4D0EF714"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1EBBF68" w14:textId="77777777" w:rsidTr="004F2B6F">
        <w:trPr>
          <w:trHeight w:val="267"/>
        </w:trPr>
        <w:tc>
          <w:tcPr>
            <w:tcW w:w="4014" w:type="dxa"/>
            <w:tcBorders>
              <w:top w:val="nil"/>
              <w:left w:val="nil"/>
              <w:bottom w:val="nil"/>
              <w:right w:val="nil"/>
            </w:tcBorders>
            <w:shd w:val="clear" w:color="000000" w:fill="1F4E78"/>
            <w:noWrap/>
            <w:vAlign w:val="bottom"/>
            <w:hideMark/>
          </w:tcPr>
          <w:p w14:paraId="215733A5"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G5. Accounting Rate of Return (ARR)</w:t>
            </w:r>
          </w:p>
        </w:tc>
        <w:tc>
          <w:tcPr>
            <w:tcW w:w="1793" w:type="dxa"/>
            <w:tcBorders>
              <w:top w:val="nil"/>
              <w:left w:val="nil"/>
              <w:bottom w:val="nil"/>
              <w:right w:val="nil"/>
            </w:tcBorders>
            <w:noWrap/>
            <w:vAlign w:val="bottom"/>
            <w:hideMark/>
          </w:tcPr>
          <w:p w14:paraId="29650760"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23D8BDD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CF71A39"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EB5DCFE"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5541248"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2C1AEF65"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205EBDC6"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Average Annual Profit (£m)</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6DA324BA"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ARR (%)</w:t>
            </w:r>
          </w:p>
        </w:tc>
        <w:tc>
          <w:tcPr>
            <w:tcW w:w="1292" w:type="dxa"/>
            <w:tcBorders>
              <w:top w:val="nil"/>
              <w:left w:val="nil"/>
              <w:bottom w:val="nil"/>
              <w:right w:val="nil"/>
            </w:tcBorders>
            <w:noWrap/>
            <w:vAlign w:val="bottom"/>
            <w:hideMark/>
          </w:tcPr>
          <w:p w14:paraId="26C4DE9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c>
          <w:tcPr>
            <w:tcW w:w="1814" w:type="dxa"/>
            <w:tcBorders>
              <w:top w:val="nil"/>
              <w:left w:val="nil"/>
              <w:bottom w:val="nil"/>
              <w:right w:val="nil"/>
            </w:tcBorders>
            <w:noWrap/>
            <w:vAlign w:val="bottom"/>
            <w:hideMark/>
          </w:tcPr>
          <w:p w14:paraId="699B4933"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8BB1B29"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54E051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1D25E7E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w:t>
            </w:r>
          </w:p>
        </w:tc>
        <w:tc>
          <w:tcPr>
            <w:tcW w:w="1378" w:type="dxa"/>
            <w:tcBorders>
              <w:top w:val="nil"/>
              <w:left w:val="nil"/>
              <w:bottom w:val="single" w:sz="8" w:space="0" w:color="000000"/>
              <w:right w:val="single" w:sz="8" w:space="0" w:color="000000"/>
            </w:tcBorders>
            <w:noWrap/>
            <w:vAlign w:val="bottom"/>
            <w:hideMark/>
          </w:tcPr>
          <w:p w14:paraId="523F14C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w:t>
            </w:r>
          </w:p>
        </w:tc>
        <w:tc>
          <w:tcPr>
            <w:tcW w:w="1292" w:type="dxa"/>
            <w:tcBorders>
              <w:top w:val="nil"/>
              <w:left w:val="nil"/>
              <w:bottom w:val="nil"/>
              <w:right w:val="nil"/>
            </w:tcBorders>
            <w:noWrap/>
            <w:vAlign w:val="bottom"/>
            <w:hideMark/>
          </w:tcPr>
          <w:p w14:paraId="590D4AD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814" w:type="dxa"/>
            <w:tcBorders>
              <w:top w:val="nil"/>
              <w:left w:val="nil"/>
              <w:bottom w:val="nil"/>
              <w:right w:val="nil"/>
            </w:tcBorders>
            <w:noWrap/>
            <w:vAlign w:val="bottom"/>
            <w:hideMark/>
          </w:tcPr>
          <w:p w14:paraId="6DFE1D6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30F870E"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4D0DE1D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w:t>
            </w:r>
          </w:p>
        </w:tc>
        <w:tc>
          <w:tcPr>
            <w:tcW w:w="1793" w:type="dxa"/>
            <w:tcBorders>
              <w:top w:val="nil"/>
              <w:left w:val="nil"/>
              <w:bottom w:val="single" w:sz="8" w:space="0" w:color="000000"/>
              <w:right w:val="single" w:sz="8" w:space="0" w:color="000000"/>
            </w:tcBorders>
            <w:noWrap/>
            <w:vAlign w:val="bottom"/>
            <w:hideMark/>
          </w:tcPr>
          <w:p w14:paraId="289CD45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w:t>
            </w:r>
          </w:p>
        </w:tc>
        <w:tc>
          <w:tcPr>
            <w:tcW w:w="1378" w:type="dxa"/>
            <w:tcBorders>
              <w:top w:val="nil"/>
              <w:left w:val="nil"/>
              <w:bottom w:val="single" w:sz="8" w:space="0" w:color="000000"/>
              <w:right w:val="single" w:sz="8" w:space="0" w:color="000000"/>
            </w:tcBorders>
            <w:noWrap/>
            <w:vAlign w:val="bottom"/>
            <w:hideMark/>
          </w:tcPr>
          <w:p w14:paraId="2389BC2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w:t>
            </w:r>
          </w:p>
        </w:tc>
        <w:tc>
          <w:tcPr>
            <w:tcW w:w="1292" w:type="dxa"/>
            <w:tcBorders>
              <w:top w:val="nil"/>
              <w:left w:val="nil"/>
              <w:bottom w:val="nil"/>
              <w:right w:val="nil"/>
            </w:tcBorders>
            <w:noWrap/>
            <w:vAlign w:val="bottom"/>
            <w:hideMark/>
          </w:tcPr>
          <w:p w14:paraId="760516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814" w:type="dxa"/>
            <w:tcBorders>
              <w:top w:val="nil"/>
              <w:left w:val="nil"/>
              <w:bottom w:val="nil"/>
              <w:right w:val="nil"/>
            </w:tcBorders>
            <w:noWrap/>
            <w:vAlign w:val="bottom"/>
            <w:hideMark/>
          </w:tcPr>
          <w:p w14:paraId="3C416013"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5365ECC"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75BCE8D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6B3E831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w:t>
            </w:r>
          </w:p>
        </w:tc>
        <w:tc>
          <w:tcPr>
            <w:tcW w:w="1378" w:type="dxa"/>
            <w:tcBorders>
              <w:top w:val="nil"/>
              <w:left w:val="nil"/>
              <w:bottom w:val="single" w:sz="8" w:space="0" w:color="000000"/>
              <w:right w:val="single" w:sz="8" w:space="0" w:color="000000"/>
            </w:tcBorders>
            <w:noWrap/>
            <w:vAlign w:val="bottom"/>
            <w:hideMark/>
          </w:tcPr>
          <w:p w14:paraId="5838A9C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w:t>
            </w:r>
          </w:p>
        </w:tc>
        <w:tc>
          <w:tcPr>
            <w:tcW w:w="1292" w:type="dxa"/>
            <w:tcBorders>
              <w:top w:val="nil"/>
              <w:left w:val="nil"/>
              <w:bottom w:val="nil"/>
              <w:right w:val="nil"/>
            </w:tcBorders>
            <w:noWrap/>
            <w:vAlign w:val="bottom"/>
            <w:hideMark/>
          </w:tcPr>
          <w:p w14:paraId="10D5303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814" w:type="dxa"/>
            <w:tcBorders>
              <w:top w:val="nil"/>
              <w:left w:val="nil"/>
              <w:bottom w:val="nil"/>
              <w:right w:val="nil"/>
            </w:tcBorders>
            <w:noWrap/>
            <w:vAlign w:val="bottom"/>
            <w:hideMark/>
          </w:tcPr>
          <w:p w14:paraId="5DA6DB42"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7DFCE02" w14:textId="77777777" w:rsidTr="004F2B6F">
        <w:trPr>
          <w:trHeight w:val="258"/>
        </w:trPr>
        <w:tc>
          <w:tcPr>
            <w:tcW w:w="4014" w:type="dxa"/>
            <w:tcBorders>
              <w:top w:val="nil"/>
              <w:left w:val="nil"/>
              <w:bottom w:val="nil"/>
              <w:right w:val="nil"/>
            </w:tcBorders>
            <w:noWrap/>
            <w:vAlign w:val="bottom"/>
            <w:hideMark/>
          </w:tcPr>
          <w:p w14:paraId="71DFA08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2B1F6FB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700E346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6BFDE4C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63DB1EF"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C2D021F" w14:textId="77777777" w:rsidTr="004F2B6F">
        <w:trPr>
          <w:trHeight w:val="258"/>
        </w:trPr>
        <w:tc>
          <w:tcPr>
            <w:tcW w:w="4014" w:type="dxa"/>
            <w:tcBorders>
              <w:top w:val="nil"/>
              <w:left w:val="nil"/>
              <w:bottom w:val="nil"/>
              <w:right w:val="nil"/>
            </w:tcBorders>
            <w:noWrap/>
            <w:vAlign w:val="bottom"/>
            <w:hideMark/>
          </w:tcPr>
          <w:p w14:paraId="2FEECE5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776E882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6669B12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7FBF255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307C56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0F34ADD" w14:textId="77777777" w:rsidTr="004F2B6F">
        <w:trPr>
          <w:trHeight w:val="267"/>
        </w:trPr>
        <w:tc>
          <w:tcPr>
            <w:tcW w:w="4014" w:type="dxa"/>
            <w:tcBorders>
              <w:top w:val="nil"/>
              <w:left w:val="nil"/>
              <w:bottom w:val="nil"/>
              <w:right w:val="nil"/>
            </w:tcBorders>
            <w:shd w:val="clear" w:color="000000" w:fill="1F4E78"/>
            <w:noWrap/>
            <w:vAlign w:val="bottom"/>
            <w:hideMark/>
          </w:tcPr>
          <w:p w14:paraId="25B722D9"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G6. Net Present Value (NPV)</w:t>
            </w:r>
          </w:p>
        </w:tc>
        <w:tc>
          <w:tcPr>
            <w:tcW w:w="1793" w:type="dxa"/>
            <w:tcBorders>
              <w:top w:val="nil"/>
              <w:left w:val="nil"/>
              <w:bottom w:val="nil"/>
              <w:right w:val="nil"/>
            </w:tcBorders>
            <w:noWrap/>
            <w:vAlign w:val="bottom"/>
            <w:hideMark/>
          </w:tcPr>
          <w:p w14:paraId="7DC0B286"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648DBAC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2C429CE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2898656"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BAAAAC0"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508BCDE9"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1E674461"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Total PV</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7AB703D1"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Initial Investment</w:t>
            </w:r>
          </w:p>
        </w:tc>
        <w:tc>
          <w:tcPr>
            <w:tcW w:w="1292" w:type="dxa"/>
            <w:tcBorders>
              <w:top w:val="single" w:sz="8" w:space="0" w:color="000000"/>
              <w:left w:val="nil"/>
              <w:bottom w:val="single" w:sz="8" w:space="0" w:color="000000"/>
              <w:right w:val="single" w:sz="8" w:space="0" w:color="000000"/>
            </w:tcBorders>
            <w:shd w:val="clear" w:color="000000" w:fill="D9EAD3"/>
            <w:noWrap/>
            <w:vAlign w:val="bottom"/>
            <w:hideMark/>
          </w:tcPr>
          <w:p w14:paraId="5A1A6D2C"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NPV (£m)</w:t>
            </w:r>
          </w:p>
        </w:tc>
        <w:tc>
          <w:tcPr>
            <w:tcW w:w="1814" w:type="dxa"/>
            <w:tcBorders>
              <w:top w:val="nil"/>
              <w:left w:val="nil"/>
              <w:bottom w:val="nil"/>
              <w:right w:val="nil"/>
            </w:tcBorders>
            <w:noWrap/>
            <w:vAlign w:val="bottom"/>
            <w:hideMark/>
          </w:tcPr>
          <w:p w14:paraId="42DB21C0"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r>
      <w:tr w:rsidR="004A45B0" w:rsidRPr="004F2B6F" w14:paraId="621CB78D"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D65661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060A27D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43,46</w:t>
            </w:r>
          </w:p>
        </w:tc>
        <w:tc>
          <w:tcPr>
            <w:tcW w:w="1378" w:type="dxa"/>
            <w:tcBorders>
              <w:top w:val="nil"/>
              <w:left w:val="nil"/>
              <w:bottom w:val="single" w:sz="8" w:space="0" w:color="000000"/>
              <w:right w:val="single" w:sz="8" w:space="0" w:color="000000"/>
            </w:tcBorders>
            <w:noWrap/>
            <w:vAlign w:val="bottom"/>
            <w:hideMark/>
          </w:tcPr>
          <w:p w14:paraId="4EA758B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292" w:type="dxa"/>
            <w:tcBorders>
              <w:top w:val="nil"/>
              <w:left w:val="nil"/>
              <w:bottom w:val="single" w:sz="8" w:space="0" w:color="000000"/>
              <w:right w:val="single" w:sz="8" w:space="0" w:color="000000"/>
            </w:tcBorders>
            <w:noWrap/>
            <w:vAlign w:val="bottom"/>
            <w:hideMark/>
          </w:tcPr>
          <w:p w14:paraId="0504519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-6,54</w:t>
            </w:r>
          </w:p>
        </w:tc>
        <w:tc>
          <w:tcPr>
            <w:tcW w:w="1814" w:type="dxa"/>
            <w:tcBorders>
              <w:top w:val="nil"/>
              <w:left w:val="nil"/>
              <w:bottom w:val="nil"/>
              <w:right w:val="nil"/>
            </w:tcBorders>
            <w:noWrap/>
            <w:vAlign w:val="bottom"/>
            <w:hideMark/>
          </w:tcPr>
          <w:p w14:paraId="11BB865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4DD717B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2BA8C2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w:t>
            </w:r>
          </w:p>
        </w:tc>
        <w:tc>
          <w:tcPr>
            <w:tcW w:w="1793" w:type="dxa"/>
            <w:tcBorders>
              <w:top w:val="nil"/>
              <w:left w:val="nil"/>
              <w:bottom w:val="single" w:sz="8" w:space="0" w:color="000000"/>
              <w:right w:val="single" w:sz="8" w:space="0" w:color="000000"/>
            </w:tcBorders>
            <w:noWrap/>
            <w:vAlign w:val="bottom"/>
            <w:hideMark/>
          </w:tcPr>
          <w:p w14:paraId="49A00F5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43,92</w:t>
            </w:r>
          </w:p>
        </w:tc>
        <w:tc>
          <w:tcPr>
            <w:tcW w:w="1378" w:type="dxa"/>
            <w:tcBorders>
              <w:top w:val="nil"/>
              <w:left w:val="nil"/>
              <w:bottom w:val="single" w:sz="8" w:space="0" w:color="000000"/>
              <w:right w:val="single" w:sz="8" w:space="0" w:color="000000"/>
            </w:tcBorders>
            <w:noWrap/>
            <w:vAlign w:val="bottom"/>
            <w:hideMark/>
          </w:tcPr>
          <w:p w14:paraId="1C79153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292" w:type="dxa"/>
            <w:tcBorders>
              <w:top w:val="nil"/>
              <w:left w:val="nil"/>
              <w:bottom w:val="single" w:sz="8" w:space="0" w:color="000000"/>
              <w:right w:val="single" w:sz="8" w:space="0" w:color="000000"/>
            </w:tcBorders>
            <w:noWrap/>
            <w:vAlign w:val="bottom"/>
            <w:hideMark/>
          </w:tcPr>
          <w:p w14:paraId="6C2E8CB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-6,08</w:t>
            </w:r>
          </w:p>
        </w:tc>
        <w:tc>
          <w:tcPr>
            <w:tcW w:w="1814" w:type="dxa"/>
            <w:tcBorders>
              <w:top w:val="nil"/>
              <w:left w:val="nil"/>
              <w:bottom w:val="nil"/>
              <w:right w:val="nil"/>
            </w:tcBorders>
            <w:noWrap/>
            <w:vAlign w:val="bottom"/>
            <w:hideMark/>
          </w:tcPr>
          <w:p w14:paraId="50D9C7E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40BEDC58"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4FB60B7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15E3C136"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50,86</w:t>
            </w:r>
          </w:p>
        </w:tc>
        <w:tc>
          <w:tcPr>
            <w:tcW w:w="1378" w:type="dxa"/>
            <w:tcBorders>
              <w:top w:val="nil"/>
              <w:left w:val="nil"/>
              <w:bottom w:val="single" w:sz="8" w:space="0" w:color="000000"/>
              <w:right w:val="single" w:sz="8" w:space="0" w:color="000000"/>
            </w:tcBorders>
            <w:noWrap/>
            <w:vAlign w:val="bottom"/>
            <w:hideMark/>
          </w:tcPr>
          <w:p w14:paraId="5D77DF53"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50</w:t>
            </w:r>
          </w:p>
        </w:tc>
        <w:tc>
          <w:tcPr>
            <w:tcW w:w="1292" w:type="dxa"/>
            <w:tcBorders>
              <w:top w:val="nil"/>
              <w:left w:val="nil"/>
              <w:bottom w:val="single" w:sz="8" w:space="0" w:color="000000"/>
              <w:right w:val="single" w:sz="8" w:space="0" w:color="000000"/>
            </w:tcBorders>
            <w:noWrap/>
            <w:vAlign w:val="bottom"/>
            <w:hideMark/>
          </w:tcPr>
          <w:p w14:paraId="5ABF6185"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0,86</w:t>
            </w:r>
          </w:p>
        </w:tc>
        <w:tc>
          <w:tcPr>
            <w:tcW w:w="1814" w:type="dxa"/>
            <w:tcBorders>
              <w:top w:val="nil"/>
              <w:left w:val="nil"/>
              <w:bottom w:val="nil"/>
              <w:right w:val="nil"/>
            </w:tcBorders>
            <w:noWrap/>
            <w:vAlign w:val="bottom"/>
            <w:hideMark/>
          </w:tcPr>
          <w:p w14:paraId="7B0D1A8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r>
      <w:tr w:rsidR="004A45B0" w:rsidRPr="004F2B6F" w14:paraId="520B5815" w14:textId="77777777" w:rsidTr="004F2B6F">
        <w:trPr>
          <w:trHeight w:val="258"/>
        </w:trPr>
        <w:tc>
          <w:tcPr>
            <w:tcW w:w="4014" w:type="dxa"/>
            <w:tcBorders>
              <w:top w:val="nil"/>
              <w:left w:val="nil"/>
              <w:bottom w:val="nil"/>
              <w:right w:val="nil"/>
            </w:tcBorders>
            <w:noWrap/>
            <w:vAlign w:val="bottom"/>
            <w:hideMark/>
          </w:tcPr>
          <w:p w14:paraId="7518043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3565BF0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1B5ECA9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1E8DA75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B58A053"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5A55D24" w14:textId="77777777" w:rsidTr="004F2B6F">
        <w:trPr>
          <w:trHeight w:val="258"/>
        </w:trPr>
        <w:tc>
          <w:tcPr>
            <w:tcW w:w="4014" w:type="dxa"/>
            <w:tcBorders>
              <w:top w:val="nil"/>
              <w:left w:val="nil"/>
              <w:bottom w:val="nil"/>
              <w:right w:val="nil"/>
            </w:tcBorders>
            <w:noWrap/>
            <w:vAlign w:val="bottom"/>
            <w:hideMark/>
          </w:tcPr>
          <w:p w14:paraId="183F05DB"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44D06F6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0B4FDD1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11E1F7E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24EF2684"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517FC9C" w14:textId="77777777" w:rsidTr="004F2B6F">
        <w:trPr>
          <w:trHeight w:val="267"/>
        </w:trPr>
        <w:tc>
          <w:tcPr>
            <w:tcW w:w="4014" w:type="dxa"/>
            <w:tcBorders>
              <w:top w:val="nil"/>
              <w:left w:val="nil"/>
              <w:bottom w:val="nil"/>
              <w:right w:val="nil"/>
            </w:tcBorders>
            <w:shd w:val="clear" w:color="000000" w:fill="1F4E78"/>
            <w:noWrap/>
            <w:vAlign w:val="bottom"/>
            <w:hideMark/>
          </w:tcPr>
          <w:p w14:paraId="33F2D09F"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G7. Profitability Index (PI)</w:t>
            </w:r>
          </w:p>
        </w:tc>
        <w:tc>
          <w:tcPr>
            <w:tcW w:w="1793" w:type="dxa"/>
            <w:tcBorders>
              <w:top w:val="nil"/>
              <w:left w:val="nil"/>
              <w:bottom w:val="nil"/>
              <w:right w:val="nil"/>
            </w:tcBorders>
            <w:noWrap/>
            <w:vAlign w:val="bottom"/>
            <w:hideMark/>
          </w:tcPr>
          <w:p w14:paraId="053A337D"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24D6001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0CDC58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120743C"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75BCD2C"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4442CC35"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51A0D76F"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PI</w:t>
            </w:r>
          </w:p>
        </w:tc>
        <w:tc>
          <w:tcPr>
            <w:tcW w:w="1378" w:type="dxa"/>
            <w:tcBorders>
              <w:top w:val="nil"/>
              <w:left w:val="nil"/>
              <w:bottom w:val="nil"/>
              <w:right w:val="nil"/>
            </w:tcBorders>
            <w:noWrap/>
            <w:vAlign w:val="bottom"/>
            <w:hideMark/>
          </w:tcPr>
          <w:p w14:paraId="2275906C"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c>
          <w:tcPr>
            <w:tcW w:w="1292" w:type="dxa"/>
            <w:tcBorders>
              <w:top w:val="nil"/>
              <w:left w:val="nil"/>
              <w:bottom w:val="nil"/>
              <w:right w:val="nil"/>
            </w:tcBorders>
            <w:noWrap/>
            <w:vAlign w:val="bottom"/>
            <w:hideMark/>
          </w:tcPr>
          <w:p w14:paraId="1332439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A5704B2"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70523165"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27DAE6C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13D4395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0,869</w:t>
            </w:r>
          </w:p>
        </w:tc>
        <w:tc>
          <w:tcPr>
            <w:tcW w:w="1378" w:type="dxa"/>
            <w:tcBorders>
              <w:top w:val="nil"/>
              <w:left w:val="nil"/>
              <w:bottom w:val="nil"/>
              <w:right w:val="nil"/>
            </w:tcBorders>
            <w:noWrap/>
            <w:vAlign w:val="bottom"/>
            <w:hideMark/>
          </w:tcPr>
          <w:p w14:paraId="4FA75D7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62B8BEC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47B7C0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1B796D16"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C3DDE8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lastRenderedPageBreak/>
              <w:t>Project B</w:t>
            </w:r>
          </w:p>
        </w:tc>
        <w:tc>
          <w:tcPr>
            <w:tcW w:w="1793" w:type="dxa"/>
            <w:tcBorders>
              <w:top w:val="nil"/>
              <w:left w:val="nil"/>
              <w:bottom w:val="single" w:sz="8" w:space="0" w:color="000000"/>
              <w:right w:val="single" w:sz="8" w:space="0" w:color="000000"/>
            </w:tcBorders>
            <w:noWrap/>
            <w:vAlign w:val="bottom"/>
            <w:hideMark/>
          </w:tcPr>
          <w:p w14:paraId="0C8E13F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0,878</w:t>
            </w:r>
          </w:p>
        </w:tc>
        <w:tc>
          <w:tcPr>
            <w:tcW w:w="1378" w:type="dxa"/>
            <w:tcBorders>
              <w:top w:val="nil"/>
              <w:left w:val="nil"/>
              <w:bottom w:val="nil"/>
              <w:right w:val="nil"/>
            </w:tcBorders>
            <w:noWrap/>
            <w:vAlign w:val="bottom"/>
            <w:hideMark/>
          </w:tcPr>
          <w:p w14:paraId="419FE1E9"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2DAA8DE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3136E4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4AC21C21"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C5AA4B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5C6CA73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1,017</w:t>
            </w:r>
          </w:p>
        </w:tc>
        <w:tc>
          <w:tcPr>
            <w:tcW w:w="1378" w:type="dxa"/>
            <w:tcBorders>
              <w:top w:val="nil"/>
              <w:left w:val="nil"/>
              <w:bottom w:val="nil"/>
              <w:right w:val="nil"/>
            </w:tcBorders>
            <w:noWrap/>
            <w:vAlign w:val="bottom"/>
            <w:hideMark/>
          </w:tcPr>
          <w:p w14:paraId="4F56BF9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4E00036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190600F"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DB9F230" w14:textId="77777777" w:rsidTr="004F2B6F">
        <w:trPr>
          <w:trHeight w:val="258"/>
        </w:trPr>
        <w:tc>
          <w:tcPr>
            <w:tcW w:w="4014" w:type="dxa"/>
            <w:tcBorders>
              <w:top w:val="nil"/>
              <w:left w:val="nil"/>
              <w:bottom w:val="nil"/>
              <w:right w:val="nil"/>
            </w:tcBorders>
            <w:noWrap/>
            <w:vAlign w:val="bottom"/>
            <w:hideMark/>
          </w:tcPr>
          <w:p w14:paraId="13BE016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7B49412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44549855"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7C64CCC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42107DE1"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4678F45" w14:textId="77777777" w:rsidTr="004F2B6F">
        <w:trPr>
          <w:trHeight w:val="258"/>
        </w:trPr>
        <w:tc>
          <w:tcPr>
            <w:tcW w:w="4014" w:type="dxa"/>
            <w:tcBorders>
              <w:top w:val="nil"/>
              <w:left w:val="nil"/>
              <w:bottom w:val="nil"/>
              <w:right w:val="nil"/>
            </w:tcBorders>
            <w:noWrap/>
            <w:vAlign w:val="bottom"/>
            <w:hideMark/>
          </w:tcPr>
          <w:p w14:paraId="318CDFE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04773B5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6D2BA9C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3F1D3433"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5E685A93"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D7D011E" w14:textId="77777777" w:rsidTr="004F2B6F">
        <w:trPr>
          <w:trHeight w:val="267"/>
        </w:trPr>
        <w:tc>
          <w:tcPr>
            <w:tcW w:w="4014" w:type="dxa"/>
            <w:tcBorders>
              <w:top w:val="nil"/>
              <w:left w:val="nil"/>
              <w:bottom w:val="nil"/>
              <w:right w:val="nil"/>
            </w:tcBorders>
            <w:shd w:val="clear" w:color="000000" w:fill="1F4E78"/>
            <w:noWrap/>
            <w:vAlign w:val="bottom"/>
            <w:hideMark/>
          </w:tcPr>
          <w:p w14:paraId="73F02A0C"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G8. Internal Rate of Return (IRR)</w:t>
            </w:r>
          </w:p>
        </w:tc>
        <w:tc>
          <w:tcPr>
            <w:tcW w:w="1793" w:type="dxa"/>
            <w:tcBorders>
              <w:top w:val="nil"/>
              <w:left w:val="nil"/>
              <w:bottom w:val="nil"/>
              <w:right w:val="nil"/>
            </w:tcBorders>
            <w:noWrap/>
            <w:vAlign w:val="bottom"/>
            <w:hideMark/>
          </w:tcPr>
          <w:p w14:paraId="5F8A0259"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4C88F11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3C94DFC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658F35D"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7E447F9"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0FA0969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1EBD1B22"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IRR (%)</w:t>
            </w:r>
          </w:p>
        </w:tc>
        <w:tc>
          <w:tcPr>
            <w:tcW w:w="1378" w:type="dxa"/>
            <w:tcBorders>
              <w:top w:val="nil"/>
              <w:left w:val="nil"/>
              <w:bottom w:val="nil"/>
              <w:right w:val="nil"/>
            </w:tcBorders>
            <w:noWrap/>
            <w:vAlign w:val="bottom"/>
            <w:hideMark/>
          </w:tcPr>
          <w:p w14:paraId="57C6B4C0"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p>
        </w:tc>
        <w:tc>
          <w:tcPr>
            <w:tcW w:w="1292" w:type="dxa"/>
            <w:tcBorders>
              <w:top w:val="nil"/>
              <w:left w:val="nil"/>
              <w:bottom w:val="nil"/>
              <w:right w:val="nil"/>
            </w:tcBorders>
            <w:noWrap/>
            <w:vAlign w:val="bottom"/>
            <w:hideMark/>
          </w:tcPr>
          <w:p w14:paraId="7D111BF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469BF80"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248EAD6"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4BA9F75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w:t>
            </w:r>
          </w:p>
        </w:tc>
        <w:tc>
          <w:tcPr>
            <w:tcW w:w="1793" w:type="dxa"/>
            <w:tcBorders>
              <w:top w:val="nil"/>
              <w:left w:val="nil"/>
              <w:bottom w:val="single" w:sz="8" w:space="0" w:color="000000"/>
              <w:right w:val="single" w:sz="8" w:space="0" w:color="000000"/>
            </w:tcBorders>
            <w:noWrap/>
            <w:vAlign w:val="bottom"/>
            <w:hideMark/>
          </w:tcPr>
          <w:p w14:paraId="5281D2C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2,72</w:t>
            </w:r>
          </w:p>
        </w:tc>
        <w:tc>
          <w:tcPr>
            <w:tcW w:w="1378" w:type="dxa"/>
            <w:tcBorders>
              <w:top w:val="nil"/>
              <w:left w:val="nil"/>
              <w:bottom w:val="nil"/>
              <w:right w:val="nil"/>
            </w:tcBorders>
            <w:noWrap/>
            <w:vAlign w:val="bottom"/>
            <w:hideMark/>
          </w:tcPr>
          <w:p w14:paraId="59806C9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2ED2DB9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6A3DDCB5"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F245EC6"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226600D7"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w:t>
            </w:r>
          </w:p>
        </w:tc>
        <w:tc>
          <w:tcPr>
            <w:tcW w:w="1793" w:type="dxa"/>
            <w:tcBorders>
              <w:top w:val="nil"/>
              <w:left w:val="nil"/>
              <w:bottom w:val="single" w:sz="8" w:space="0" w:color="000000"/>
              <w:right w:val="single" w:sz="8" w:space="0" w:color="000000"/>
            </w:tcBorders>
            <w:noWrap/>
            <w:vAlign w:val="bottom"/>
            <w:hideMark/>
          </w:tcPr>
          <w:p w14:paraId="3E3AFD9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3,26</w:t>
            </w:r>
          </w:p>
        </w:tc>
        <w:tc>
          <w:tcPr>
            <w:tcW w:w="1378" w:type="dxa"/>
            <w:tcBorders>
              <w:top w:val="nil"/>
              <w:left w:val="nil"/>
              <w:bottom w:val="nil"/>
              <w:right w:val="nil"/>
            </w:tcBorders>
            <w:noWrap/>
            <w:vAlign w:val="bottom"/>
            <w:hideMark/>
          </w:tcPr>
          <w:p w14:paraId="781E65C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4132CB9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54BA6E40"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5E4FF69A"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1549D6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c>
          <w:tcPr>
            <w:tcW w:w="1793" w:type="dxa"/>
            <w:tcBorders>
              <w:top w:val="nil"/>
              <w:left w:val="nil"/>
              <w:bottom w:val="single" w:sz="8" w:space="0" w:color="000000"/>
              <w:right w:val="single" w:sz="8" w:space="0" w:color="000000"/>
            </w:tcBorders>
            <w:noWrap/>
            <w:vAlign w:val="bottom"/>
            <w:hideMark/>
          </w:tcPr>
          <w:p w14:paraId="26268F1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8,59</w:t>
            </w:r>
          </w:p>
        </w:tc>
        <w:tc>
          <w:tcPr>
            <w:tcW w:w="1378" w:type="dxa"/>
            <w:tcBorders>
              <w:top w:val="nil"/>
              <w:left w:val="nil"/>
              <w:bottom w:val="nil"/>
              <w:right w:val="nil"/>
            </w:tcBorders>
            <w:noWrap/>
            <w:vAlign w:val="bottom"/>
            <w:hideMark/>
          </w:tcPr>
          <w:p w14:paraId="304B708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p>
        </w:tc>
        <w:tc>
          <w:tcPr>
            <w:tcW w:w="1292" w:type="dxa"/>
            <w:tcBorders>
              <w:top w:val="nil"/>
              <w:left w:val="nil"/>
              <w:bottom w:val="nil"/>
              <w:right w:val="nil"/>
            </w:tcBorders>
            <w:noWrap/>
            <w:vAlign w:val="bottom"/>
            <w:hideMark/>
          </w:tcPr>
          <w:p w14:paraId="5929630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23C882D5"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3D0C8CD8" w14:textId="77777777" w:rsidTr="004F2B6F">
        <w:trPr>
          <w:trHeight w:val="258"/>
        </w:trPr>
        <w:tc>
          <w:tcPr>
            <w:tcW w:w="4014" w:type="dxa"/>
            <w:tcBorders>
              <w:top w:val="nil"/>
              <w:left w:val="nil"/>
              <w:bottom w:val="nil"/>
              <w:right w:val="nil"/>
            </w:tcBorders>
            <w:noWrap/>
            <w:vAlign w:val="bottom"/>
            <w:hideMark/>
          </w:tcPr>
          <w:p w14:paraId="4863F503" w14:textId="77777777" w:rsidR="004A45B0" w:rsidRPr="004F2B6F" w:rsidRDefault="004A45B0" w:rsidP="004F2B6F">
            <w:pPr>
              <w:spacing w:after="0" w:line="360" w:lineRule="auto"/>
              <w:rPr>
                <w:rFonts w:ascii="Arial" w:eastAsia="Times New Roman" w:hAnsi="Arial" w:cs="Arial"/>
                <w:sz w:val="20"/>
                <w:szCs w:val="20"/>
                <w:lang w:val="en-US" w:eastAsia="en-US"/>
              </w:rPr>
            </w:pPr>
          </w:p>
          <w:p w14:paraId="3CB447E3" w14:textId="77777777" w:rsidR="0033539D" w:rsidRPr="004F2B6F" w:rsidRDefault="0033539D"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6B36B66A"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2D00F06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1812740F"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6FB2D7B"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33539D" w:rsidRPr="004F2B6F" w14:paraId="658A83D9" w14:textId="77777777" w:rsidTr="004F2B6F">
        <w:trPr>
          <w:trHeight w:val="258"/>
        </w:trPr>
        <w:tc>
          <w:tcPr>
            <w:tcW w:w="10291" w:type="dxa"/>
            <w:gridSpan w:val="5"/>
            <w:tcBorders>
              <w:top w:val="nil"/>
              <w:left w:val="nil"/>
              <w:bottom w:val="nil"/>
              <w:right w:val="nil"/>
            </w:tcBorders>
            <w:noWrap/>
            <w:vAlign w:val="bottom"/>
            <w:hideMark/>
          </w:tcPr>
          <w:p w14:paraId="57ABFDFB" w14:textId="6821ECF0" w:rsidR="0033539D" w:rsidRPr="004F2B6F" w:rsidRDefault="0033539D" w:rsidP="004F2B6F">
            <w:pPr>
              <w:spacing w:after="0" w:line="360" w:lineRule="auto"/>
              <w:rPr>
                <w:rFonts w:ascii="Arial" w:eastAsia="Times New Roman" w:hAnsi="Arial" w:cs="Arial"/>
                <w:b/>
                <w:bCs/>
                <w:lang w:eastAsia="en-US"/>
              </w:rPr>
            </w:pPr>
            <w:r w:rsidRPr="004F2B6F">
              <w:rPr>
                <w:rFonts w:ascii="Arial" w:eastAsia="Times New Roman" w:hAnsi="Arial" w:cs="Arial"/>
                <w:b/>
                <w:bCs/>
                <w:lang w:eastAsia="en-US"/>
              </w:rPr>
              <w:t>Table G9. Investment Appraisal Results. Source: Assessment data and author's calculations.</w:t>
            </w:r>
          </w:p>
          <w:p w14:paraId="697FC3E1" w14:textId="74390CCD" w:rsidR="0033539D" w:rsidRPr="004F2B6F" w:rsidRDefault="0033539D" w:rsidP="004F2B6F">
            <w:pPr>
              <w:spacing w:after="0" w:line="360" w:lineRule="auto"/>
              <w:rPr>
                <w:rFonts w:ascii="Arial" w:eastAsia="Times New Roman" w:hAnsi="Arial" w:cs="Arial"/>
                <w:sz w:val="20"/>
                <w:szCs w:val="20"/>
                <w:lang w:val="en-US" w:eastAsia="en-US"/>
              </w:rPr>
            </w:pPr>
          </w:p>
        </w:tc>
      </w:tr>
      <w:tr w:rsidR="004A45B0" w:rsidRPr="004F2B6F" w14:paraId="51B4B6EC" w14:textId="77777777" w:rsidTr="004F2B6F">
        <w:trPr>
          <w:trHeight w:val="267"/>
        </w:trPr>
        <w:tc>
          <w:tcPr>
            <w:tcW w:w="4014" w:type="dxa"/>
            <w:tcBorders>
              <w:top w:val="nil"/>
              <w:left w:val="nil"/>
              <w:bottom w:val="nil"/>
              <w:right w:val="nil"/>
            </w:tcBorders>
            <w:shd w:val="clear" w:color="000000" w:fill="1F4E78"/>
            <w:noWrap/>
            <w:vAlign w:val="bottom"/>
            <w:hideMark/>
          </w:tcPr>
          <w:p w14:paraId="0DF1185E"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r w:rsidRPr="004F2B6F">
              <w:rPr>
                <w:rFonts w:ascii="Arial" w:eastAsia="Times New Roman" w:hAnsi="Arial" w:cs="Arial"/>
                <w:b/>
                <w:bCs/>
                <w:color w:val="FFFFFF"/>
                <w:sz w:val="22"/>
                <w:szCs w:val="22"/>
                <w:lang w:val="en-US" w:eastAsia="en-US"/>
              </w:rPr>
              <w:t>Table G9. Summary of Investment Appraisal Results</w:t>
            </w:r>
          </w:p>
        </w:tc>
        <w:tc>
          <w:tcPr>
            <w:tcW w:w="1793" w:type="dxa"/>
            <w:tcBorders>
              <w:top w:val="nil"/>
              <w:left w:val="nil"/>
              <w:bottom w:val="nil"/>
              <w:right w:val="nil"/>
            </w:tcBorders>
            <w:noWrap/>
            <w:vAlign w:val="bottom"/>
            <w:hideMark/>
          </w:tcPr>
          <w:p w14:paraId="75407D47" w14:textId="77777777" w:rsidR="004A45B0" w:rsidRPr="004F2B6F" w:rsidRDefault="004A45B0" w:rsidP="004F2B6F">
            <w:pPr>
              <w:spacing w:after="0" w:line="360" w:lineRule="auto"/>
              <w:rPr>
                <w:rFonts w:ascii="Arial" w:eastAsia="Times New Roman" w:hAnsi="Arial" w:cs="Arial"/>
                <w:b/>
                <w:bCs/>
                <w:color w:val="FFFFFF"/>
                <w:sz w:val="22"/>
                <w:szCs w:val="22"/>
                <w:lang w:val="en-US" w:eastAsia="en-US"/>
              </w:rPr>
            </w:pPr>
          </w:p>
        </w:tc>
        <w:tc>
          <w:tcPr>
            <w:tcW w:w="1378" w:type="dxa"/>
            <w:tcBorders>
              <w:top w:val="nil"/>
              <w:left w:val="nil"/>
              <w:bottom w:val="nil"/>
              <w:right w:val="nil"/>
            </w:tcBorders>
            <w:noWrap/>
            <w:vAlign w:val="bottom"/>
            <w:hideMark/>
          </w:tcPr>
          <w:p w14:paraId="4612F04C"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5F9975D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1D4A97F8"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010DFEE4" w14:textId="77777777" w:rsidTr="004F2B6F">
        <w:trPr>
          <w:trHeight w:val="267"/>
        </w:trPr>
        <w:tc>
          <w:tcPr>
            <w:tcW w:w="4014" w:type="dxa"/>
            <w:tcBorders>
              <w:top w:val="single" w:sz="8" w:space="0" w:color="000000"/>
              <w:left w:val="single" w:sz="8" w:space="0" w:color="000000"/>
              <w:bottom w:val="single" w:sz="8" w:space="0" w:color="000000"/>
              <w:right w:val="single" w:sz="8" w:space="0" w:color="000000"/>
            </w:tcBorders>
            <w:shd w:val="clear" w:color="000000" w:fill="D9EAD3"/>
            <w:noWrap/>
            <w:vAlign w:val="bottom"/>
            <w:hideMark/>
          </w:tcPr>
          <w:p w14:paraId="1CDA4D8F"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Method</w:t>
            </w:r>
          </w:p>
        </w:tc>
        <w:tc>
          <w:tcPr>
            <w:tcW w:w="1793" w:type="dxa"/>
            <w:tcBorders>
              <w:top w:val="single" w:sz="8" w:space="0" w:color="000000"/>
              <w:left w:val="nil"/>
              <w:bottom w:val="single" w:sz="8" w:space="0" w:color="000000"/>
              <w:right w:val="single" w:sz="8" w:space="0" w:color="000000"/>
            </w:tcBorders>
            <w:shd w:val="clear" w:color="000000" w:fill="D9EAD3"/>
            <w:noWrap/>
            <w:vAlign w:val="bottom"/>
            <w:hideMark/>
          </w:tcPr>
          <w:p w14:paraId="7DDE27E9"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A</w:t>
            </w:r>
          </w:p>
        </w:tc>
        <w:tc>
          <w:tcPr>
            <w:tcW w:w="1378" w:type="dxa"/>
            <w:tcBorders>
              <w:top w:val="single" w:sz="8" w:space="0" w:color="000000"/>
              <w:left w:val="nil"/>
              <w:bottom w:val="single" w:sz="8" w:space="0" w:color="000000"/>
              <w:right w:val="single" w:sz="8" w:space="0" w:color="000000"/>
            </w:tcBorders>
            <w:shd w:val="clear" w:color="000000" w:fill="D9EAD3"/>
            <w:noWrap/>
            <w:vAlign w:val="bottom"/>
            <w:hideMark/>
          </w:tcPr>
          <w:p w14:paraId="4EAE01FE"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B</w:t>
            </w:r>
          </w:p>
        </w:tc>
        <w:tc>
          <w:tcPr>
            <w:tcW w:w="1292" w:type="dxa"/>
            <w:tcBorders>
              <w:top w:val="single" w:sz="8" w:space="0" w:color="000000"/>
              <w:left w:val="nil"/>
              <w:bottom w:val="single" w:sz="8" w:space="0" w:color="000000"/>
              <w:right w:val="single" w:sz="8" w:space="0" w:color="000000"/>
            </w:tcBorders>
            <w:shd w:val="clear" w:color="000000" w:fill="D9EAD3"/>
            <w:noWrap/>
            <w:vAlign w:val="bottom"/>
            <w:hideMark/>
          </w:tcPr>
          <w:p w14:paraId="048F39EE"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Project C</w:t>
            </w:r>
          </w:p>
        </w:tc>
        <w:tc>
          <w:tcPr>
            <w:tcW w:w="1814" w:type="dxa"/>
            <w:tcBorders>
              <w:top w:val="single" w:sz="8" w:space="0" w:color="000000"/>
              <w:left w:val="nil"/>
              <w:bottom w:val="single" w:sz="8" w:space="0" w:color="000000"/>
              <w:right w:val="single" w:sz="8" w:space="0" w:color="000000"/>
            </w:tcBorders>
            <w:shd w:val="clear" w:color="000000" w:fill="D9EAD3"/>
            <w:noWrap/>
            <w:vAlign w:val="bottom"/>
            <w:hideMark/>
          </w:tcPr>
          <w:p w14:paraId="05AE0BF9" w14:textId="77777777" w:rsidR="004A45B0" w:rsidRPr="004F2B6F" w:rsidRDefault="004A45B0" w:rsidP="004F2B6F">
            <w:pPr>
              <w:spacing w:after="0" w:line="360" w:lineRule="auto"/>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Preferred</w:t>
            </w:r>
          </w:p>
        </w:tc>
      </w:tr>
      <w:tr w:rsidR="004A45B0" w:rsidRPr="004F2B6F" w14:paraId="66A18074"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10F8237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Payback Period</w:t>
            </w:r>
          </w:p>
        </w:tc>
        <w:tc>
          <w:tcPr>
            <w:tcW w:w="1793" w:type="dxa"/>
            <w:tcBorders>
              <w:top w:val="nil"/>
              <w:left w:val="nil"/>
              <w:bottom w:val="single" w:sz="8" w:space="0" w:color="000000"/>
              <w:right w:val="single" w:sz="8" w:space="0" w:color="000000"/>
            </w:tcBorders>
            <w:noWrap/>
            <w:vAlign w:val="bottom"/>
            <w:hideMark/>
          </w:tcPr>
          <w:p w14:paraId="1A75F76F"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4,5</w:t>
            </w:r>
          </w:p>
        </w:tc>
        <w:tc>
          <w:tcPr>
            <w:tcW w:w="1378" w:type="dxa"/>
            <w:tcBorders>
              <w:top w:val="nil"/>
              <w:left w:val="nil"/>
              <w:bottom w:val="single" w:sz="8" w:space="0" w:color="000000"/>
              <w:right w:val="single" w:sz="8" w:space="0" w:color="000000"/>
            </w:tcBorders>
            <w:noWrap/>
            <w:vAlign w:val="bottom"/>
            <w:hideMark/>
          </w:tcPr>
          <w:p w14:paraId="3AA222D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4,55</w:t>
            </w:r>
          </w:p>
        </w:tc>
        <w:tc>
          <w:tcPr>
            <w:tcW w:w="1292" w:type="dxa"/>
            <w:tcBorders>
              <w:top w:val="nil"/>
              <w:left w:val="nil"/>
              <w:bottom w:val="single" w:sz="8" w:space="0" w:color="000000"/>
              <w:right w:val="single" w:sz="8" w:space="0" w:color="000000"/>
            </w:tcBorders>
            <w:noWrap/>
            <w:vAlign w:val="bottom"/>
            <w:hideMark/>
          </w:tcPr>
          <w:p w14:paraId="791EAB0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3,6</w:t>
            </w:r>
          </w:p>
        </w:tc>
        <w:tc>
          <w:tcPr>
            <w:tcW w:w="1814" w:type="dxa"/>
            <w:tcBorders>
              <w:top w:val="nil"/>
              <w:left w:val="nil"/>
              <w:bottom w:val="single" w:sz="8" w:space="0" w:color="000000"/>
              <w:right w:val="single" w:sz="8" w:space="0" w:color="000000"/>
            </w:tcBorders>
            <w:noWrap/>
            <w:vAlign w:val="bottom"/>
            <w:hideMark/>
          </w:tcPr>
          <w:p w14:paraId="28949193"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r>
      <w:tr w:rsidR="004A45B0" w:rsidRPr="004F2B6F" w14:paraId="4C782FE1"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5CC9C9FD"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ARR (%)</w:t>
            </w:r>
          </w:p>
        </w:tc>
        <w:tc>
          <w:tcPr>
            <w:tcW w:w="1793" w:type="dxa"/>
            <w:tcBorders>
              <w:top w:val="nil"/>
              <w:left w:val="nil"/>
              <w:bottom w:val="single" w:sz="8" w:space="0" w:color="000000"/>
              <w:right w:val="single" w:sz="8" w:space="0" w:color="000000"/>
            </w:tcBorders>
            <w:noWrap/>
            <w:vAlign w:val="bottom"/>
            <w:hideMark/>
          </w:tcPr>
          <w:p w14:paraId="4456E5AC"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1,6</w:t>
            </w:r>
          </w:p>
        </w:tc>
        <w:tc>
          <w:tcPr>
            <w:tcW w:w="1378" w:type="dxa"/>
            <w:tcBorders>
              <w:top w:val="nil"/>
              <w:left w:val="nil"/>
              <w:bottom w:val="single" w:sz="8" w:space="0" w:color="000000"/>
              <w:right w:val="single" w:sz="8" w:space="0" w:color="000000"/>
            </w:tcBorders>
            <w:noWrap/>
            <w:vAlign w:val="bottom"/>
            <w:hideMark/>
          </w:tcPr>
          <w:p w14:paraId="54B5CD80"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w:t>
            </w:r>
          </w:p>
        </w:tc>
        <w:tc>
          <w:tcPr>
            <w:tcW w:w="1292" w:type="dxa"/>
            <w:tcBorders>
              <w:top w:val="nil"/>
              <w:left w:val="nil"/>
              <w:bottom w:val="single" w:sz="8" w:space="0" w:color="000000"/>
              <w:right w:val="single" w:sz="8" w:space="0" w:color="000000"/>
            </w:tcBorders>
            <w:noWrap/>
            <w:vAlign w:val="bottom"/>
            <w:hideMark/>
          </w:tcPr>
          <w:p w14:paraId="5D99956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w:t>
            </w:r>
          </w:p>
        </w:tc>
        <w:tc>
          <w:tcPr>
            <w:tcW w:w="1814" w:type="dxa"/>
            <w:tcBorders>
              <w:top w:val="nil"/>
              <w:left w:val="nil"/>
              <w:bottom w:val="single" w:sz="8" w:space="0" w:color="000000"/>
              <w:right w:val="single" w:sz="8" w:space="0" w:color="000000"/>
            </w:tcBorders>
            <w:noWrap/>
            <w:vAlign w:val="bottom"/>
            <w:hideMark/>
          </w:tcPr>
          <w:p w14:paraId="6806159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r>
      <w:tr w:rsidR="004A45B0" w:rsidRPr="004F2B6F" w14:paraId="523615F5"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39D1B0A4"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NPV (£m)</w:t>
            </w:r>
          </w:p>
        </w:tc>
        <w:tc>
          <w:tcPr>
            <w:tcW w:w="1793" w:type="dxa"/>
            <w:tcBorders>
              <w:top w:val="nil"/>
              <w:left w:val="nil"/>
              <w:bottom w:val="single" w:sz="8" w:space="0" w:color="000000"/>
              <w:right w:val="single" w:sz="8" w:space="0" w:color="000000"/>
            </w:tcBorders>
            <w:noWrap/>
            <w:vAlign w:val="bottom"/>
            <w:hideMark/>
          </w:tcPr>
          <w:p w14:paraId="3C725E9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-6,54</w:t>
            </w:r>
          </w:p>
        </w:tc>
        <w:tc>
          <w:tcPr>
            <w:tcW w:w="1378" w:type="dxa"/>
            <w:tcBorders>
              <w:top w:val="nil"/>
              <w:left w:val="nil"/>
              <w:bottom w:val="single" w:sz="8" w:space="0" w:color="000000"/>
              <w:right w:val="single" w:sz="8" w:space="0" w:color="000000"/>
            </w:tcBorders>
            <w:noWrap/>
            <w:vAlign w:val="bottom"/>
            <w:hideMark/>
          </w:tcPr>
          <w:p w14:paraId="0AA4A17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-6,08</w:t>
            </w:r>
          </w:p>
        </w:tc>
        <w:tc>
          <w:tcPr>
            <w:tcW w:w="1292" w:type="dxa"/>
            <w:tcBorders>
              <w:top w:val="nil"/>
              <w:left w:val="nil"/>
              <w:bottom w:val="single" w:sz="8" w:space="0" w:color="000000"/>
              <w:right w:val="single" w:sz="8" w:space="0" w:color="000000"/>
            </w:tcBorders>
            <w:noWrap/>
            <w:vAlign w:val="bottom"/>
            <w:hideMark/>
          </w:tcPr>
          <w:p w14:paraId="68D3832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0,86</w:t>
            </w:r>
          </w:p>
        </w:tc>
        <w:tc>
          <w:tcPr>
            <w:tcW w:w="1814" w:type="dxa"/>
            <w:tcBorders>
              <w:top w:val="nil"/>
              <w:left w:val="nil"/>
              <w:bottom w:val="single" w:sz="8" w:space="0" w:color="000000"/>
              <w:right w:val="single" w:sz="8" w:space="0" w:color="000000"/>
            </w:tcBorders>
            <w:noWrap/>
            <w:vAlign w:val="bottom"/>
            <w:hideMark/>
          </w:tcPr>
          <w:p w14:paraId="155AA9F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r>
      <w:tr w:rsidR="004A45B0" w:rsidRPr="004F2B6F" w14:paraId="0F8876EB"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7FF5339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PI</w:t>
            </w:r>
          </w:p>
        </w:tc>
        <w:tc>
          <w:tcPr>
            <w:tcW w:w="1793" w:type="dxa"/>
            <w:tcBorders>
              <w:top w:val="nil"/>
              <w:left w:val="nil"/>
              <w:bottom w:val="single" w:sz="8" w:space="0" w:color="000000"/>
              <w:right w:val="single" w:sz="8" w:space="0" w:color="000000"/>
            </w:tcBorders>
            <w:noWrap/>
            <w:vAlign w:val="bottom"/>
            <w:hideMark/>
          </w:tcPr>
          <w:p w14:paraId="7CC81A2A"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0,869</w:t>
            </w:r>
          </w:p>
        </w:tc>
        <w:tc>
          <w:tcPr>
            <w:tcW w:w="1378" w:type="dxa"/>
            <w:tcBorders>
              <w:top w:val="nil"/>
              <w:left w:val="nil"/>
              <w:bottom w:val="single" w:sz="8" w:space="0" w:color="000000"/>
              <w:right w:val="single" w:sz="8" w:space="0" w:color="000000"/>
            </w:tcBorders>
            <w:noWrap/>
            <w:vAlign w:val="bottom"/>
            <w:hideMark/>
          </w:tcPr>
          <w:p w14:paraId="23A0AB0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0,878</w:t>
            </w:r>
          </w:p>
        </w:tc>
        <w:tc>
          <w:tcPr>
            <w:tcW w:w="1292" w:type="dxa"/>
            <w:tcBorders>
              <w:top w:val="nil"/>
              <w:left w:val="nil"/>
              <w:bottom w:val="single" w:sz="8" w:space="0" w:color="000000"/>
              <w:right w:val="single" w:sz="8" w:space="0" w:color="000000"/>
            </w:tcBorders>
            <w:noWrap/>
            <w:vAlign w:val="bottom"/>
            <w:hideMark/>
          </w:tcPr>
          <w:p w14:paraId="65CE096D"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1,017</w:t>
            </w:r>
          </w:p>
        </w:tc>
        <w:tc>
          <w:tcPr>
            <w:tcW w:w="1814" w:type="dxa"/>
            <w:tcBorders>
              <w:top w:val="nil"/>
              <w:left w:val="nil"/>
              <w:bottom w:val="single" w:sz="8" w:space="0" w:color="000000"/>
              <w:right w:val="single" w:sz="8" w:space="0" w:color="000000"/>
            </w:tcBorders>
            <w:noWrap/>
            <w:vAlign w:val="bottom"/>
            <w:hideMark/>
          </w:tcPr>
          <w:p w14:paraId="2C4C8B4B"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r>
      <w:tr w:rsidR="004A45B0" w:rsidRPr="004F2B6F" w14:paraId="490B3E4B" w14:textId="77777777" w:rsidTr="004F2B6F">
        <w:trPr>
          <w:trHeight w:val="267"/>
        </w:trPr>
        <w:tc>
          <w:tcPr>
            <w:tcW w:w="4014" w:type="dxa"/>
            <w:tcBorders>
              <w:top w:val="nil"/>
              <w:left w:val="single" w:sz="8" w:space="0" w:color="000000"/>
              <w:bottom w:val="single" w:sz="8" w:space="0" w:color="000000"/>
              <w:right w:val="single" w:sz="8" w:space="0" w:color="000000"/>
            </w:tcBorders>
            <w:noWrap/>
            <w:vAlign w:val="bottom"/>
            <w:hideMark/>
          </w:tcPr>
          <w:p w14:paraId="0146D178"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IRR (%)</w:t>
            </w:r>
          </w:p>
        </w:tc>
        <w:tc>
          <w:tcPr>
            <w:tcW w:w="1793" w:type="dxa"/>
            <w:tcBorders>
              <w:top w:val="nil"/>
              <w:left w:val="nil"/>
              <w:bottom w:val="single" w:sz="8" w:space="0" w:color="000000"/>
              <w:right w:val="single" w:sz="8" w:space="0" w:color="000000"/>
            </w:tcBorders>
            <w:noWrap/>
            <w:vAlign w:val="bottom"/>
            <w:hideMark/>
          </w:tcPr>
          <w:p w14:paraId="14DE8FA2"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2,72</w:t>
            </w:r>
          </w:p>
        </w:tc>
        <w:tc>
          <w:tcPr>
            <w:tcW w:w="1378" w:type="dxa"/>
            <w:tcBorders>
              <w:top w:val="nil"/>
              <w:left w:val="nil"/>
              <w:bottom w:val="single" w:sz="8" w:space="0" w:color="000000"/>
              <w:right w:val="single" w:sz="8" w:space="0" w:color="000000"/>
            </w:tcBorders>
            <w:noWrap/>
            <w:vAlign w:val="bottom"/>
            <w:hideMark/>
          </w:tcPr>
          <w:p w14:paraId="393905A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3,26</w:t>
            </w:r>
          </w:p>
        </w:tc>
        <w:tc>
          <w:tcPr>
            <w:tcW w:w="1292" w:type="dxa"/>
            <w:tcBorders>
              <w:top w:val="nil"/>
              <w:left w:val="nil"/>
              <w:bottom w:val="single" w:sz="8" w:space="0" w:color="000000"/>
              <w:right w:val="single" w:sz="8" w:space="0" w:color="000000"/>
            </w:tcBorders>
            <w:noWrap/>
            <w:vAlign w:val="bottom"/>
            <w:hideMark/>
          </w:tcPr>
          <w:p w14:paraId="5B9BC2A8"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8,59</w:t>
            </w:r>
          </w:p>
        </w:tc>
        <w:tc>
          <w:tcPr>
            <w:tcW w:w="1814" w:type="dxa"/>
            <w:tcBorders>
              <w:top w:val="nil"/>
              <w:left w:val="nil"/>
              <w:bottom w:val="single" w:sz="8" w:space="0" w:color="000000"/>
              <w:right w:val="single" w:sz="8" w:space="0" w:color="000000"/>
            </w:tcBorders>
            <w:noWrap/>
            <w:vAlign w:val="bottom"/>
            <w:hideMark/>
          </w:tcPr>
          <w:p w14:paraId="0187927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C</w:t>
            </w:r>
          </w:p>
        </w:tc>
      </w:tr>
      <w:tr w:rsidR="004A45B0" w:rsidRPr="004F2B6F" w14:paraId="3D204ED9" w14:textId="77777777" w:rsidTr="004F2B6F">
        <w:trPr>
          <w:trHeight w:val="258"/>
        </w:trPr>
        <w:tc>
          <w:tcPr>
            <w:tcW w:w="4014" w:type="dxa"/>
            <w:tcBorders>
              <w:top w:val="nil"/>
              <w:left w:val="nil"/>
              <w:bottom w:val="nil"/>
              <w:right w:val="nil"/>
            </w:tcBorders>
            <w:noWrap/>
            <w:vAlign w:val="bottom"/>
            <w:hideMark/>
          </w:tcPr>
          <w:p w14:paraId="4F61934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p>
        </w:tc>
        <w:tc>
          <w:tcPr>
            <w:tcW w:w="1793" w:type="dxa"/>
            <w:tcBorders>
              <w:top w:val="nil"/>
              <w:left w:val="nil"/>
              <w:bottom w:val="nil"/>
              <w:right w:val="nil"/>
            </w:tcBorders>
            <w:noWrap/>
            <w:vAlign w:val="bottom"/>
            <w:hideMark/>
          </w:tcPr>
          <w:p w14:paraId="6D5BA31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6F8BBDAE"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5EF8BBD0"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074A014B"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667531A0" w14:textId="77777777" w:rsidTr="004F2B6F">
        <w:trPr>
          <w:trHeight w:val="258"/>
        </w:trPr>
        <w:tc>
          <w:tcPr>
            <w:tcW w:w="4014" w:type="dxa"/>
            <w:tcBorders>
              <w:top w:val="nil"/>
              <w:left w:val="nil"/>
              <w:bottom w:val="nil"/>
              <w:right w:val="nil"/>
            </w:tcBorders>
            <w:noWrap/>
            <w:vAlign w:val="bottom"/>
            <w:hideMark/>
          </w:tcPr>
          <w:p w14:paraId="1B7DA1F1"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3DBA5C7D"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317AFB42"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5605D04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3813B0DF"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33539D" w:rsidRPr="004F2B6F" w14:paraId="574274C8" w14:textId="77777777" w:rsidTr="004F2B6F">
        <w:trPr>
          <w:trHeight w:val="258"/>
        </w:trPr>
        <w:tc>
          <w:tcPr>
            <w:tcW w:w="10291" w:type="dxa"/>
            <w:gridSpan w:val="5"/>
            <w:tcBorders>
              <w:top w:val="nil"/>
              <w:left w:val="nil"/>
              <w:bottom w:val="nil"/>
            </w:tcBorders>
            <w:noWrap/>
            <w:vAlign w:val="bottom"/>
            <w:hideMark/>
          </w:tcPr>
          <w:p w14:paraId="1F7099BC"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3DC671B3"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0104C6E8"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2F4F74D2"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16415B28"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6452DBB8" w14:textId="77777777" w:rsidR="0033539D" w:rsidRPr="004F2B6F" w:rsidRDefault="0033539D" w:rsidP="004F2B6F">
            <w:pPr>
              <w:spacing w:after="0" w:line="360" w:lineRule="auto"/>
              <w:rPr>
                <w:rFonts w:ascii="Arial" w:eastAsia="Times New Roman" w:hAnsi="Arial" w:cs="Arial"/>
                <w:b/>
                <w:bCs/>
                <w:color w:val="000000"/>
                <w:lang w:val="en-US" w:eastAsia="en-US"/>
              </w:rPr>
            </w:pPr>
          </w:p>
          <w:p w14:paraId="67AF9DB7" w14:textId="55673379" w:rsidR="0033539D" w:rsidRPr="004F2B6F" w:rsidRDefault="0033539D" w:rsidP="004F2B6F">
            <w:pPr>
              <w:spacing w:after="0" w:line="360" w:lineRule="auto"/>
              <w:rPr>
                <w:rFonts w:ascii="Arial" w:eastAsia="Times New Roman" w:hAnsi="Arial" w:cs="Arial"/>
                <w:b/>
                <w:bCs/>
                <w:lang w:val="en-US" w:eastAsia="en-US"/>
              </w:rPr>
            </w:pPr>
            <w:r w:rsidRPr="004F2B6F">
              <w:rPr>
                <w:rFonts w:ascii="Arial" w:eastAsia="Times New Roman" w:hAnsi="Arial" w:cs="Arial"/>
                <w:b/>
                <w:bCs/>
                <w:color w:val="000000"/>
                <w:lang w:eastAsia="en-US"/>
              </w:rPr>
              <w:t>Table G</w:t>
            </w:r>
            <w:r w:rsidR="004F73ED" w:rsidRPr="004F2B6F">
              <w:rPr>
                <w:rFonts w:ascii="Arial" w:eastAsia="Times New Roman" w:hAnsi="Arial" w:cs="Arial"/>
                <w:b/>
                <w:bCs/>
                <w:color w:val="000000"/>
                <w:lang w:eastAsia="en-US"/>
              </w:rPr>
              <w:t>10</w:t>
            </w:r>
            <w:r w:rsidRPr="004F2B6F">
              <w:rPr>
                <w:rFonts w:ascii="Arial" w:eastAsia="Times New Roman" w:hAnsi="Arial" w:cs="Arial"/>
                <w:b/>
                <w:bCs/>
                <w:color w:val="000000"/>
                <w:lang w:eastAsia="en-US"/>
              </w:rPr>
              <w:t>. Capital Rationing Analysis. Source: Assessment data and author's calculations.</w:t>
            </w:r>
          </w:p>
        </w:tc>
      </w:tr>
      <w:tr w:rsidR="004A45B0" w:rsidRPr="004F2B6F" w14:paraId="03E0CB7D" w14:textId="77777777" w:rsidTr="004F2B6F">
        <w:trPr>
          <w:trHeight w:val="258"/>
        </w:trPr>
        <w:tc>
          <w:tcPr>
            <w:tcW w:w="4014" w:type="dxa"/>
            <w:tcBorders>
              <w:top w:val="nil"/>
              <w:left w:val="nil"/>
              <w:bottom w:val="nil"/>
              <w:right w:val="nil"/>
            </w:tcBorders>
            <w:noWrap/>
            <w:vAlign w:val="bottom"/>
            <w:hideMark/>
          </w:tcPr>
          <w:p w14:paraId="2B870DCD"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793" w:type="dxa"/>
            <w:tcBorders>
              <w:top w:val="nil"/>
              <w:left w:val="nil"/>
              <w:bottom w:val="nil"/>
              <w:right w:val="nil"/>
            </w:tcBorders>
            <w:noWrap/>
            <w:vAlign w:val="bottom"/>
            <w:hideMark/>
          </w:tcPr>
          <w:p w14:paraId="77292F96"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378" w:type="dxa"/>
            <w:tcBorders>
              <w:top w:val="nil"/>
              <w:left w:val="nil"/>
              <w:bottom w:val="nil"/>
              <w:right w:val="nil"/>
            </w:tcBorders>
            <w:noWrap/>
            <w:vAlign w:val="bottom"/>
            <w:hideMark/>
          </w:tcPr>
          <w:p w14:paraId="02137D97"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292" w:type="dxa"/>
            <w:tcBorders>
              <w:top w:val="nil"/>
              <w:left w:val="nil"/>
              <w:bottom w:val="nil"/>
              <w:right w:val="nil"/>
            </w:tcBorders>
            <w:noWrap/>
            <w:vAlign w:val="bottom"/>
            <w:hideMark/>
          </w:tcPr>
          <w:p w14:paraId="40C5B324" w14:textId="77777777" w:rsidR="004A45B0" w:rsidRPr="004F2B6F" w:rsidRDefault="004A45B0" w:rsidP="004F2B6F">
            <w:pPr>
              <w:spacing w:after="0" w:line="360" w:lineRule="auto"/>
              <w:rPr>
                <w:rFonts w:ascii="Arial" w:eastAsia="Times New Roman" w:hAnsi="Arial" w:cs="Arial"/>
                <w:sz w:val="20"/>
                <w:szCs w:val="20"/>
                <w:lang w:val="en-US" w:eastAsia="en-US"/>
              </w:rPr>
            </w:pPr>
          </w:p>
        </w:tc>
        <w:tc>
          <w:tcPr>
            <w:tcW w:w="1814" w:type="dxa"/>
            <w:tcBorders>
              <w:top w:val="nil"/>
              <w:left w:val="nil"/>
              <w:bottom w:val="nil"/>
              <w:right w:val="nil"/>
            </w:tcBorders>
            <w:noWrap/>
            <w:vAlign w:val="bottom"/>
            <w:hideMark/>
          </w:tcPr>
          <w:p w14:paraId="7B764923" w14:textId="77777777" w:rsidR="004A45B0" w:rsidRPr="004F2B6F" w:rsidRDefault="004A45B0" w:rsidP="004F2B6F">
            <w:pPr>
              <w:spacing w:after="0" w:line="360" w:lineRule="auto"/>
              <w:rPr>
                <w:rFonts w:ascii="Arial" w:eastAsia="Times New Roman" w:hAnsi="Arial" w:cs="Arial"/>
                <w:sz w:val="20"/>
                <w:szCs w:val="20"/>
                <w:lang w:val="en-US" w:eastAsia="en-US"/>
              </w:rPr>
            </w:pPr>
          </w:p>
        </w:tc>
      </w:tr>
      <w:tr w:rsidR="004A45B0" w:rsidRPr="004F2B6F" w14:paraId="51FCC6D2" w14:textId="77777777" w:rsidTr="004F2B6F">
        <w:trPr>
          <w:trHeight w:val="276"/>
        </w:trPr>
        <w:tc>
          <w:tcPr>
            <w:tcW w:w="4014" w:type="dxa"/>
            <w:tcBorders>
              <w:top w:val="single" w:sz="4" w:space="0" w:color="auto"/>
              <w:left w:val="single" w:sz="4" w:space="0" w:color="auto"/>
              <w:bottom w:val="single" w:sz="4" w:space="0" w:color="auto"/>
              <w:right w:val="nil"/>
            </w:tcBorders>
            <w:shd w:val="clear" w:color="000000" w:fill="1F4E78"/>
            <w:noWrap/>
            <w:vAlign w:val="center"/>
            <w:hideMark/>
          </w:tcPr>
          <w:p w14:paraId="61EB32FB" w14:textId="77777777" w:rsidR="004A45B0" w:rsidRPr="004F2B6F" w:rsidRDefault="004A45B0" w:rsidP="004F2B6F">
            <w:pPr>
              <w:spacing w:after="0" w:line="360" w:lineRule="auto"/>
              <w:rPr>
                <w:rFonts w:ascii="Arial" w:eastAsia="Times New Roman" w:hAnsi="Arial" w:cs="Arial"/>
                <w:b/>
                <w:bCs/>
                <w:color w:val="FFFFFF"/>
                <w:lang w:val="en-US" w:eastAsia="en-US"/>
              </w:rPr>
            </w:pPr>
            <w:r w:rsidRPr="004F2B6F">
              <w:rPr>
                <w:rFonts w:ascii="Arial" w:eastAsia="Times New Roman" w:hAnsi="Arial" w:cs="Arial"/>
                <w:b/>
                <w:bCs/>
                <w:color w:val="FFFFFF"/>
                <w:lang w:val="en-US" w:eastAsia="en-US"/>
              </w:rPr>
              <w:lastRenderedPageBreak/>
              <w:t>Table G10. Capital Rationing Analysis (£100 Million Budget)</w:t>
            </w:r>
          </w:p>
        </w:tc>
        <w:tc>
          <w:tcPr>
            <w:tcW w:w="4463" w:type="dxa"/>
            <w:gridSpan w:val="3"/>
            <w:tcBorders>
              <w:top w:val="single" w:sz="4" w:space="0" w:color="auto"/>
              <w:left w:val="nil"/>
              <w:bottom w:val="single" w:sz="4" w:space="0" w:color="auto"/>
              <w:right w:val="single" w:sz="4" w:space="0" w:color="000000"/>
            </w:tcBorders>
            <w:shd w:val="clear" w:color="000000" w:fill="1F4E78"/>
            <w:noWrap/>
            <w:vAlign w:val="center"/>
            <w:hideMark/>
          </w:tcPr>
          <w:p w14:paraId="170FA658" w14:textId="77777777" w:rsidR="004A45B0" w:rsidRPr="004F2B6F" w:rsidRDefault="004A45B0" w:rsidP="004F2B6F">
            <w:pPr>
              <w:spacing w:after="0" w:line="360" w:lineRule="auto"/>
              <w:rPr>
                <w:rFonts w:ascii="Arial" w:eastAsia="Times New Roman" w:hAnsi="Arial" w:cs="Arial"/>
                <w:b/>
                <w:bCs/>
                <w:color w:val="FFFFFF"/>
                <w:lang w:val="en-US" w:eastAsia="en-US"/>
              </w:rPr>
            </w:pPr>
            <w:r w:rsidRPr="004F2B6F">
              <w:rPr>
                <w:rFonts w:ascii="Arial" w:eastAsia="Times New Roman" w:hAnsi="Arial" w:cs="Arial"/>
                <w:b/>
                <w:bCs/>
                <w:color w:val="FFFFFF"/>
                <w:lang w:val="en-US" w:eastAsia="en-US"/>
              </w:rPr>
              <w:t>Table G10. Capital Rationing Analysis (£100 Million Budget)</w:t>
            </w:r>
          </w:p>
        </w:tc>
        <w:tc>
          <w:tcPr>
            <w:tcW w:w="1814" w:type="dxa"/>
            <w:tcBorders>
              <w:top w:val="nil"/>
              <w:left w:val="nil"/>
              <w:bottom w:val="nil"/>
              <w:right w:val="nil"/>
            </w:tcBorders>
            <w:noWrap/>
            <w:vAlign w:val="bottom"/>
            <w:hideMark/>
          </w:tcPr>
          <w:p w14:paraId="4E6D4BAB" w14:textId="77777777" w:rsidR="004A45B0" w:rsidRPr="004F2B6F" w:rsidRDefault="004A45B0" w:rsidP="004F2B6F">
            <w:pPr>
              <w:spacing w:after="0" w:line="360" w:lineRule="auto"/>
              <w:rPr>
                <w:rFonts w:ascii="Arial" w:eastAsia="Times New Roman" w:hAnsi="Arial" w:cs="Arial"/>
                <w:b/>
                <w:bCs/>
                <w:color w:val="FFFFFF"/>
                <w:lang w:val="en-US" w:eastAsia="en-US"/>
              </w:rPr>
            </w:pPr>
          </w:p>
        </w:tc>
      </w:tr>
      <w:tr w:rsidR="004A45B0" w:rsidRPr="004F2B6F" w14:paraId="1595D4D9" w14:textId="77777777" w:rsidTr="004F2B6F">
        <w:trPr>
          <w:trHeight w:val="517"/>
        </w:trPr>
        <w:tc>
          <w:tcPr>
            <w:tcW w:w="4014" w:type="dxa"/>
            <w:tcBorders>
              <w:top w:val="nil"/>
              <w:left w:val="single" w:sz="4" w:space="0" w:color="auto"/>
              <w:bottom w:val="single" w:sz="4" w:space="0" w:color="auto"/>
              <w:right w:val="single" w:sz="4" w:space="0" w:color="auto"/>
            </w:tcBorders>
            <w:shd w:val="clear" w:color="000000" w:fill="E2EFDA"/>
            <w:vAlign w:val="center"/>
            <w:hideMark/>
          </w:tcPr>
          <w:p w14:paraId="69644F1D"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Combination</w:t>
            </w:r>
          </w:p>
        </w:tc>
        <w:tc>
          <w:tcPr>
            <w:tcW w:w="1793" w:type="dxa"/>
            <w:tcBorders>
              <w:top w:val="nil"/>
              <w:left w:val="nil"/>
              <w:bottom w:val="single" w:sz="4" w:space="0" w:color="auto"/>
              <w:right w:val="single" w:sz="4" w:space="0" w:color="auto"/>
            </w:tcBorders>
            <w:shd w:val="clear" w:color="000000" w:fill="E2EFDA"/>
            <w:vAlign w:val="center"/>
            <w:hideMark/>
          </w:tcPr>
          <w:p w14:paraId="483BE9CB"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Initial Investment (£m)</w:t>
            </w:r>
          </w:p>
        </w:tc>
        <w:tc>
          <w:tcPr>
            <w:tcW w:w="1378" w:type="dxa"/>
            <w:tcBorders>
              <w:top w:val="nil"/>
              <w:left w:val="nil"/>
              <w:bottom w:val="single" w:sz="4" w:space="0" w:color="auto"/>
              <w:right w:val="single" w:sz="4" w:space="0" w:color="auto"/>
            </w:tcBorders>
            <w:shd w:val="clear" w:color="000000" w:fill="E2EFDA"/>
            <w:vAlign w:val="center"/>
            <w:hideMark/>
          </w:tcPr>
          <w:p w14:paraId="3D84FDEB"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Combined NPV (£m)</w:t>
            </w:r>
          </w:p>
        </w:tc>
        <w:tc>
          <w:tcPr>
            <w:tcW w:w="1292" w:type="dxa"/>
            <w:tcBorders>
              <w:top w:val="nil"/>
              <w:left w:val="nil"/>
              <w:bottom w:val="single" w:sz="4" w:space="0" w:color="auto"/>
              <w:right w:val="single" w:sz="4" w:space="0" w:color="auto"/>
            </w:tcBorders>
            <w:shd w:val="clear" w:color="000000" w:fill="E2EFDA"/>
            <w:vAlign w:val="center"/>
            <w:hideMark/>
          </w:tcPr>
          <w:p w14:paraId="320DECCD"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Combined PI</w:t>
            </w:r>
          </w:p>
        </w:tc>
        <w:tc>
          <w:tcPr>
            <w:tcW w:w="1814" w:type="dxa"/>
            <w:tcBorders>
              <w:top w:val="single" w:sz="4" w:space="0" w:color="auto"/>
              <w:left w:val="nil"/>
              <w:bottom w:val="single" w:sz="4" w:space="0" w:color="auto"/>
              <w:right w:val="single" w:sz="4" w:space="0" w:color="auto"/>
            </w:tcBorders>
            <w:shd w:val="clear" w:color="000000" w:fill="E2EFDA"/>
            <w:vAlign w:val="center"/>
            <w:hideMark/>
          </w:tcPr>
          <w:p w14:paraId="5B423270" w14:textId="77777777" w:rsidR="004A45B0" w:rsidRPr="004F2B6F" w:rsidRDefault="004A45B0" w:rsidP="004F2B6F">
            <w:pPr>
              <w:spacing w:after="0" w:line="360" w:lineRule="auto"/>
              <w:jc w:val="center"/>
              <w:rPr>
                <w:rFonts w:ascii="Arial" w:eastAsia="Times New Roman" w:hAnsi="Arial" w:cs="Arial"/>
                <w:b/>
                <w:bCs/>
                <w:color w:val="000000"/>
                <w:sz w:val="22"/>
                <w:szCs w:val="22"/>
                <w:lang w:val="en-US" w:eastAsia="en-US"/>
              </w:rPr>
            </w:pPr>
            <w:r w:rsidRPr="004F2B6F">
              <w:rPr>
                <w:rFonts w:ascii="Arial" w:eastAsia="Times New Roman" w:hAnsi="Arial" w:cs="Arial"/>
                <w:b/>
                <w:bCs/>
                <w:color w:val="000000"/>
                <w:sz w:val="22"/>
                <w:szCs w:val="22"/>
                <w:lang w:val="en-US" w:eastAsia="en-US"/>
              </w:rPr>
              <w:t>Financial Decision</w:t>
            </w:r>
          </w:p>
        </w:tc>
      </w:tr>
      <w:tr w:rsidR="004A45B0" w:rsidRPr="004F2B6F" w14:paraId="200A6C78" w14:textId="77777777" w:rsidTr="004F2B6F">
        <w:trPr>
          <w:trHeight w:val="258"/>
        </w:trPr>
        <w:tc>
          <w:tcPr>
            <w:tcW w:w="4014" w:type="dxa"/>
            <w:tcBorders>
              <w:top w:val="nil"/>
              <w:left w:val="single" w:sz="4" w:space="0" w:color="auto"/>
              <w:bottom w:val="single" w:sz="4" w:space="0" w:color="auto"/>
              <w:right w:val="single" w:sz="4" w:space="0" w:color="auto"/>
            </w:tcBorders>
            <w:vAlign w:val="center"/>
            <w:hideMark/>
          </w:tcPr>
          <w:p w14:paraId="30133A5C"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 + Project B</w:t>
            </w:r>
          </w:p>
        </w:tc>
        <w:tc>
          <w:tcPr>
            <w:tcW w:w="1793" w:type="dxa"/>
            <w:tcBorders>
              <w:top w:val="nil"/>
              <w:left w:val="nil"/>
              <w:bottom w:val="single" w:sz="4" w:space="0" w:color="auto"/>
              <w:right w:val="single" w:sz="4" w:space="0" w:color="auto"/>
            </w:tcBorders>
            <w:vAlign w:val="center"/>
            <w:hideMark/>
          </w:tcPr>
          <w:p w14:paraId="6CB2B7BB"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100</w:t>
            </w:r>
          </w:p>
        </w:tc>
        <w:tc>
          <w:tcPr>
            <w:tcW w:w="1378" w:type="dxa"/>
            <w:tcBorders>
              <w:top w:val="nil"/>
              <w:left w:val="nil"/>
              <w:bottom w:val="single" w:sz="4" w:space="0" w:color="auto"/>
              <w:right w:val="single" w:sz="4" w:space="0" w:color="auto"/>
            </w:tcBorders>
            <w:vAlign w:val="center"/>
            <w:hideMark/>
          </w:tcPr>
          <w:p w14:paraId="1F3F78BF"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-12.62</w:t>
            </w:r>
          </w:p>
        </w:tc>
        <w:tc>
          <w:tcPr>
            <w:tcW w:w="1292" w:type="dxa"/>
            <w:tcBorders>
              <w:top w:val="nil"/>
              <w:left w:val="nil"/>
              <w:bottom w:val="single" w:sz="4" w:space="0" w:color="auto"/>
              <w:right w:val="single" w:sz="4" w:space="0" w:color="auto"/>
            </w:tcBorders>
            <w:vAlign w:val="center"/>
            <w:hideMark/>
          </w:tcPr>
          <w:p w14:paraId="6107FBF2"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0.874</w:t>
            </w:r>
          </w:p>
        </w:tc>
        <w:tc>
          <w:tcPr>
            <w:tcW w:w="1814" w:type="dxa"/>
            <w:tcBorders>
              <w:top w:val="nil"/>
              <w:left w:val="nil"/>
              <w:bottom w:val="single" w:sz="4" w:space="0" w:color="auto"/>
              <w:right w:val="single" w:sz="4" w:space="0" w:color="auto"/>
            </w:tcBorders>
            <w:vAlign w:val="center"/>
            <w:hideMark/>
          </w:tcPr>
          <w:p w14:paraId="0A595479"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Reject</w:t>
            </w:r>
          </w:p>
        </w:tc>
      </w:tr>
      <w:tr w:rsidR="004A45B0" w:rsidRPr="004F2B6F" w14:paraId="1B4E6F1A" w14:textId="77777777" w:rsidTr="004F2B6F">
        <w:trPr>
          <w:trHeight w:val="258"/>
        </w:trPr>
        <w:tc>
          <w:tcPr>
            <w:tcW w:w="4014" w:type="dxa"/>
            <w:tcBorders>
              <w:top w:val="nil"/>
              <w:left w:val="single" w:sz="4" w:space="0" w:color="auto"/>
              <w:bottom w:val="single" w:sz="4" w:space="0" w:color="auto"/>
              <w:right w:val="single" w:sz="4" w:space="0" w:color="auto"/>
            </w:tcBorders>
            <w:vAlign w:val="center"/>
            <w:hideMark/>
          </w:tcPr>
          <w:p w14:paraId="4AEFE826"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A + Project C</w:t>
            </w:r>
          </w:p>
        </w:tc>
        <w:tc>
          <w:tcPr>
            <w:tcW w:w="1793" w:type="dxa"/>
            <w:tcBorders>
              <w:top w:val="nil"/>
              <w:left w:val="nil"/>
              <w:bottom w:val="single" w:sz="4" w:space="0" w:color="auto"/>
              <w:right w:val="single" w:sz="4" w:space="0" w:color="auto"/>
            </w:tcBorders>
            <w:vAlign w:val="center"/>
            <w:hideMark/>
          </w:tcPr>
          <w:p w14:paraId="70A9C841"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100</w:t>
            </w:r>
          </w:p>
        </w:tc>
        <w:tc>
          <w:tcPr>
            <w:tcW w:w="1378" w:type="dxa"/>
            <w:tcBorders>
              <w:top w:val="nil"/>
              <w:left w:val="nil"/>
              <w:bottom w:val="single" w:sz="4" w:space="0" w:color="auto"/>
              <w:right w:val="single" w:sz="4" w:space="0" w:color="auto"/>
            </w:tcBorders>
            <w:vAlign w:val="center"/>
            <w:hideMark/>
          </w:tcPr>
          <w:p w14:paraId="3C744645"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-5.68</w:t>
            </w:r>
          </w:p>
        </w:tc>
        <w:tc>
          <w:tcPr>
            <w:tcW w:w="1292" w:type="dxa"/>
            <w:tcBorders>
              <w:top w:val="nil"/>
              <w:left w:val="nil"/>
              <w:bottom w:val="single" w:sz="4" w:space="0" w:color="auto"/>
              <w:right w:val="single" w:sz="4" w:space="0" w:color="auto"/>
            </w:tcBorders>
            <w:vAlign w:val="center"/>
            <w:hideMark/>
          </w:tcPr>
          <w:p w14:paraId="53B8AB3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0.943</w:t>
            </w:r>
          </w:p>
        </w:tc>
        <w:tc>
          <w:tcPr>
            <w:tcW w:w="1814" w:type="dxa"/>
            <w:tcBorders>
              <w:top w:val="nil"/>
              <w:left w:val="nil"/>
              <w:bottom w:val="single" w:sz="4" w:space="0" w:color="auto"/>
              <w:right w:val="single" w:sz="4" w:space="0" w:color="auto"/>
            </w:tcBorders>
            <w:vAlign w:val="center"/>
            <w:hideMark/>
          </w:tcPr>
          <w:p w14:paraId="6E8C66BE"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Reject</w:t>
            </w:r>
          </w:p>
        </w:tc>
      </w:tr>
      <w:tr w:rsidR="004A45B0" w:rsidRPr="004F2B6F" w14:paraId="15CBEE15" w14:textId="77777777" w:rsidTr="004F2B6F">
        <w:trPr>
          <w:trHeight w:val="1257"/>
        </w:trPr>
        <w:tc>
          <w:tcPr>
            <w:tcW w:w="4014" w:type="dxa"/>
            <w:tcBorders>
              <w:top w:val="nil"/>
              <w:left w:val="single" w:sz="4" w:space="0" w:color="auto"/>
              <w:bottom w:val="single" w:sz="4" w:space="0" w:color="auto"/>
              <w:right w:val="single" w:sz="4" w:space="0" w:color="auto"/>
            </w:tcBorders>
            <w:vAlign w:val="center"/>
            <w:hideMark/>
          </w:tcPr>
          <w:p w14:paraId="2B08F776"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Project B + Project C</w:t>
            </w:r>
          </w:p>
        </w:tc>
        <w:tc>
          <w:tcPr>
            <w:tcW w:w="1793" w:type="dxa"/>
            <w:tcBorders>
              <w:top w:val="nil"/>
              <w:left w:val="nil"/>
              <w:bottom w:val="single" w:sz="4" w:space="0" w:color="auto"/>
              <w:right w:val="single" w:sz="4" w:space="0" w:color="auto"/>
            </w:tcBorders>
            <w:vAlign w:val="center"/>
            <w:hideMark/>
          </w:tcPr>
          <w:p w14:paraId="120A3A7E" w14:textId="77777777" w:rsidR="004A45B0" w:rsidRPr="004F2B6F" w:rsidRDefault="004A45B0" w:rsidP="004F2B6F">
            <w:pPr>
              <w:spacing w:after="0" w:line="360" w:lineRule="auto"/>
              <w:jc w:val="right"/>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100</w:t>
            </w:r>
          </w:p>
        </w:tc>
        <w:tc>
          <w:tcPr>
            <w:tcW w:w="1378" w:type="dxa"/>
            <w:tcBorders>
              <w:top w:val="nil"/>
              <w:left w:val="nil"/>
              <w:bottom w:val="single" w:sz="4" w:space="0" w:color="auto"/>
              <w:right w:val="single" w:sz="4" w:space="0" w:color="auto"/>
            </w:tcBorders>
            <w:vAlign w:val="center"/>
            <w:hideMark/>
          </w:tcPr>
          <w:p w14:paraId="2D72B856"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-5.22</w:t>
            </w:r>
          </w:p>
        </w:tc>
        <w:tc>
          <w:tcPr>
            <w:tcW w:w="1292" w:type="dxa"/>
            <w:tcBorders>
              <w:top w:val="nil"/>
              <w:left w:val="nil"/>
              <w:bottom w:val="single" w:sz="4" w:space="0" w:color="auto"/>
              <w:right w:val="single" w:sz="4" w:space="0" w:color="auto"/>
            </w:tcBorders>
            <w:vAlign w:val="center"/>
            <w:hideMark/>
          </w:tcPr>
          <w:p w14:paraId="25167670"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0.948</w:t>
            </w:r>
          </w:p>
        </w:tc>
        <w:tc>
          <w:tcPr>
            <w:tcW w:w="1814" w:type="dxa"/>
            <w:tcBorders>
              <w:top w:val="nil"/>
              <w:left w:val="nil"/>
              <w:bottom w:val="single" w:sz="4" w:space="0" w:color="auto"/>
              <w:right w:val="single" w:sz="4" w:space="0" w:color="auto"/>
            </w:tcBorders>
            <w:vAlign w:val="center"/>
            <w:hideMark/>
          </w:tcPr>
          <w:p w14:paraId="69CA6D31" w14:textId="77777777" w:rsidR="004A45B0" w:rsidRPr="004F2B6F" w:rsidRDefault="004A45B0" w:rsidP="004F2B6F">
            <w:pPr>
              <w:spacing w:after="0" w:line="360" w:lineRule="auto"/>
              <w:rPr>
                <w:rFonts w:ascii="Arial" w:eastAsia="Times New Roman" w:hAnsi="Arial" w:cs="Arial"/>
                <w:color w:val="000000"/>
                <w:sz w:val="22"/>
                <w:szCs w:val="22"/>
                <w:lang w:val="en-US" w:eastAsia="en-US"/>
              </w:rPr>
            </w:pPr>
            <w:r w:rsidRPr="004F2B6F">
              <w:rPr>
                <w:rFonts w:ascii="Arial" w:eastAsia="Times New Roman" w:hAnsi="Arial" w:cs="Arial"/>
                <w:color w:val="000000"/>
                <w:sz w:val="22"/>
                <w:szCs w:val="22"/>
                <w:lang w:val="en-US" w:eastAsia="en-US"/>
              </w:rPr>
              <w:t>Best combination under the £100m constraint, but still reject because NPV is negative</w:t>
            </w:r>
          </w:p>
        </w:tc>
      </w:tr>
    </w:tbl>
    <w:p w14:paraId="5C1F4B71" w14:textId="77777777" w:rsidR="004A45B0" w:rsidRPr="004F2B6F" w:rsidRDefault="004A45B0" w:rsidP="004F2B6F">
      <w:pPr>
        <w:spacing w:line="360" w:lineRule="auto"/>
        <w:rPr>
          <w:rFonts w:ascii="Arial" w:hAnsi="Arial" w:cs="Arial"/>
          <w:lang w:val="en-US"/>
        </w:rPr>
      </w:pPr>
    </w:p>
    <w:sectPr w:rsidR="004A45B0" w:rsidRPr="004F2B6F" w:rsidSect="00697AE0">
      <w:footerReference w:type="default" r:id="rId27"/>
      <w:footerReference w:type="first" r:id="rId2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D1CB1" w14:textId="77777777" w:rsidR="00657DBF" w:rsidRDefault="00657DBF" w:rsidP="004F2B6F">
      <w:pPr>
        <w:spacing w:after="0" w:line="240" w:lineRule="auto"/>
      </w:pPr>
      <w:r>
        <w:separator/>
      </w:r>
    </w:p>
  </w:endnote>
  <w:endnote w:type="continuationSeparator" w:id="0">
    <w:p w14:paraId="01E0F197" w14:textId="77777777" w:rsidR="00657DBF" w:rsidRDefault="00657DBF" w:rsidP="004F2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008680"/>
      <w:docPartObj>
        <w:docPartGallery w:val="Page Numbers (Bottom of Page)"/>
        <w:docPartUnique/>
      </w:docPartObj>
    </w:sdtPr>
    <w:sdtEndPr>
      <w:rPr>
        <w:noProof/>
      </w:rPr>
    </w:sdtEndPr>
    <w:sdtContent>
      <w:p w14:paraId="5FA904BB" w14:textId="473A7B26" w:rsidR="00697AE0" w:rsidRDefault="00697AE0">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F6A954E" w14:textId="77777777" w:rsidR="00697AE0" w:rsidRDefault="00697AE0">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5ADC" w14:textId="4199C014" w:rsidR="00697AE0" w:rsidRDefault="00697AE0">
    <w:pPr>
      <w:pStyle w:val="a9"/>
      <w:jc w:val="center"/>
    </w:pPr>
  </w:p>
  <w:p w14:paraId="14D53142" w14:textId="77777777" w:rsidR="00697AE0" w:rsidRDefault="00697AE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F1C72" w14:textId="77777777" w:rsidR="00657DBF" w:rsidRDefault="00657DBF" w:rsidP="004F2B6F">
      <w:pPr>
        <w:spacing w:after="0" w:line="240" w:lineRule="auto"/>
      </w:pPr>
      <w:r>
        <w:separator/>
      </w:r>
    </w:p>
  </w:footnote>
  <w:footnote w:type="continuationSeparator" w:id="0">
    <w:p w14:paraId="09814588" w14:textId="77777777" w:rsidR="00657DBF" w:rsidRDefault="00657DBF" w:rsidP="004F2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56F26"/>
    <w:multiLevelType w:val="multilevel"/>
    <w:tmpl w:val="85A8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D180F"/>
    <w:multiLevelType w:val="multilevel"/>
    <w:tmpl w:val="7754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634BA"/>
    <w:multiLevelType w:val="hybridMultilevel"/>
    <w:tmpl w:val="E13C73D8"/>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E819CF"/>
    <w:multiLevelType w:val="multilevel"/>
    <w:tmpl w:val="7CA8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41485"/>
    <w:multiLevelType w:val="hybridMultilevel"/>
    <w:tmpl w:val="1BC6DEA8"/>
    <w:lvl w:ilvl="0" w:tplc="725A5ACC">
      <w:start w:val="1"/>
      <w:numFmt w:val="bullet"/>
      <w:lvlText w:val=""/>
      <w:lvlJc w:val="left"/>
      <w:pPr>
        <w:ind w:left="720" w:hanging="360"/>
      </w:pPr>
      <w:rPr>
        <w:rFonts w:ascii="Symbol" w:hAnsi="Symbol" w:hint="default"/>
      </w:rPr>
    </w:lvl>
    <w:lvl w:ilvl="1" w:tplc="C7F47A78">
      <w:start w:val="1"/>
      <w:numFmt w:val="bullet"/>
      <w:lvlText w:val="o"/>
      <w:lvlJc w:val="left"/>
      <w:pPr>
        <w:ind w:left="1440" w:hanging="360"/>
      </w:pPr>
      <w:rPr>
        <w:rFonts w:ascii="Courier New" w:hAnsi="Courier New" w:hint="default"/>
      </w:rPr>
    </w:lvl>
    <w:lvl w:ilvl="2" w:tplc="AA3EB7E0">
      <w:start w:val="1"/>
      <w:numFmt w:val="bullet"/>
      <w:lvlText w:val=""/>
      <w:lvlJc w:val="left"/>
      <w:pPr>
        <w:ind w:left="2160" w:hanging="360"/>
      </w:pPr>
      <w:rPr>
        <w:rFonts w:ascii="Wingdings" w:hAnsi="Wingdings" w:hint="default"/>
      </w:rPr>
    </w:lvl>
    <w:lvl w:ilvl="3" w:tplc="A5622EF0">
      <w:start w:val="1"/>
      <w:numFmt w:val="bullet"/>
      <w:lvlText w:val=""/>
      <w:lvlJc w:val="left"/>
      <w:pPr>
        <w:ind w:left="2880" w:hanging="360"/>
      </w:pPr>
      <w:rPr>
        <w:rFonts w:ascii="Symbol" w:hAnsi="Symbol" w:hint="default"/>
      </w:rPr>
    </w:lvl>
    <w:lvl w:ilvl="4" w:tplc="1554882A">
      <w:start w:val="1"/>
      <w:numFmt w:val="bullet"/>
      <w:lvlText w:val="o"/>
      <w:lvlJc w:val="left"/>
      <w:pPr>
        <w:ind w:left="3600" w:hanging="360"/>
      </w:pPr>
      <w:rPr>
        <w:rFonts w:ascii="Courier New" w:hAnsi="Courier New" w:hint="default"/>
      </w:rPr>
    </w:lvl>
    <w:lvl w:ilvl="5" w:tplc="2DAEFA0E">
      <w:start w:val="1"/>
      <w:numFmt w:val="bullet"/>
      <w:lvlText w:val=""/>
      <w:lvlJc w:val="left"/>
      <w:pPr>
        <w:ind w:left="4320" w:hanging="360"/>
      </w:pPr>
      <w:rPr>
        <w:rFonts w:ascii="Wingdings" w:hAnsi="Wingdings" w:hint="default"/>
      </w:rPr>
    </w:lvl>
    <w:lvl w:ilvl="6" w:tplc="8F44B866">
      <w:start w:val="1"/>
      <w:numFmt w:val="bullet"/>
      <w:lvlText w:val=""/>
      <w:lvlJc w:val="left"/>
      <w:pPr>
        <w:ind w:left="5040" w:hanging="360"/>
      </w:pPr>
      <w:rPr>
        <w:rFonts w:ascii="Symbol" w:hAnsi="Symbol" w:hint="default"/>
      </w:rPr>
    </w:lvl>
    <w:lvl w:ilvl="7" w:tplc="D0D04048">
      <w:start w:val="1"/>
      <w:numFmt w:val="bullet"/>
      <w:lvlText w:val="o"/>
      <w:lvlJc w:val="left"/>
      <w:pPr>
        <w:ind w:left="5760" w:hanging="360"/>
      </w:pPr>
      <w:rPr>
        <w:rFonts w:ascii="Courier New" w:hAnsi="Courier New" w:hint="default"/>
      </w:rPr>
    </w:lvl>
    <w:lvl w:ilvl="8" w:tplc="7B5855B8">
      <w:start w:val="1"/>
      <w:numFmt w:val="bullet"/>
      <w:lvlText w:val=""/>
      <w:lvlJc w:val="left"/>
      <w:pPr>
        <w:ind w:left="6480" w:hanging="360"/>
      </w:pPr>
      <w:rPr>
        <w:rFonts w:ascii="Wingdings" w:hAnsi="Wingdings" w:hint="default"/>
      </w:rPr>
    </w:lvl>
  </w:abstractNum>
  <w:abstractNum w:abstractNumId="5" w15:restartNumberingAfterBreak="0">
    <w:nsid w:val="64E2043F"/>
    <w:multiLevelType w:val="multilevel"/>
    <w:tmpl w:val="297E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364499">
    <w:abstractNumId w:val="4"/>
  </w:num>
  <w:num w:numId="2" w16cid:durableId="1943025133">
    <w:abstractNumId w:val="3"/>
  </w:num>
  <w:num w:numId="3" w16cid:durableId="2135949483">
    <w:abstractNumId w:val="0"/>
  </w:num>
  <w:num w:numId="4" w16cid:durableId="1566644091">
    <w:abstractNumId w:val="5"/>
  </w:num>
  <w:num w:numId="5" w16cid:durableId="297607259">
    <w:abstractNumId w:val="1"/>
  </w:num>
  <w:num w:numId="6" w16cid:durableId="867958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B3CCAD"/>
    <w:rsid w:val="00023B5F"/>
    <w:rsid w:val="000309A8"/>
    <w:rsid w:val="00082792"/>
    <w:rsid w:val="000B7D2E"/>
    <w:rsid w:val="00100F19"/>
    <w:rsid w:val="00111ADD"/>
    <w:rsid w:val="001132C9"/>
    <w:rsid w:val="00126988"/>
    <w:rsid w:val="001A3E0F"/>
    <w:rsid w:val="001A5797"/>
    <w:rsid w:val="001D3395"/>
    <w:rsid w:val="001F1CD8"/>
    <w:rsid w:val="002006F4"/>
    <w:rsid w:val="002312FC"/>
    <w:rsid w:val="00253C5F"/>
    <w:rsid w:val="00273BA3"/>
    <w:rsid w:val="00275AF8"/>
    <w:rsid w:val="002A505F"/>
    <w:rsid w:val="002B2652"/>
    <w:rsid w:val="002C0842"/>
    <w:rsid w:val="002D3181"/>
    <w:rsid w:val="002F4F66"/>
    <w:rsid w:val="003067D2"/>
    <w:rsid w:val="0031107E"/>
    <w:rsid w:val="00321C54"/>
    <w:rsid w:val="003350C0"/>
    <w:rsid w:val="0033539D"/>
    <w:rsid w:val="0035314C"/>
    <w:rsid w:val="00363852"/>
    <w:rsid w:val="00371141"/>
    <w:rsid w:val="00377CA9"/>
    <w:rsid w:val="0038303B"/>
    <w:rsid w:val="003A13DF"/>
    <w:rsid w:val="003C1E36"/>
    <w:rsid w:val="00401E76"/>
    <w:rsid w:val="00494F28"/>
    <w:rsid w:val="004A1EB1"/>
    <w:rsid w:val="004A45B0"/>
    <w:rsid w:val="004C02E4"/>
    <w:rsid w:val="004F2B6F"/>
    <w:rsid w:val="004F415C"/>
    <w:rsid w:val="004F6BE4"/>
    <w:rsid w:val="004F73ED"/>
    <w:rsid w:val="00500A21"/>
    <w:rsid w:val="005025C3"/>
    <w:rsid w:val="0051423B"/>
    <w:rsid w:val="0052796D"/>
    <w:rsid w:val="0053704A"/>
    <w:rsid w:val="0055794A"/>
    <w:rsid w:val="005945A7"/>
    <w:rsid w:val="005A6897"/>
    <w:rsid w:val="005B2FEA"/>
    <w:rsid w:val="005D7BF6"/>
    <w:rsid w:val="006064DE"/>
    <w:rsid w:val="006358D8"/>
    <w:rsid w:val="00657DBF"/>
    <w:rsid w:val="00697AE0"/>
    <w:rsid w:val="006E613B"/>
    <w:rsid w:val="006F7EE7"/>
    <w:rsid w:val="00716740"/>
    <w:rsid w:val="007549FD"/>
    <w:rsid w:val="007746DA"/>
    <w:rsid w:val="00790859"/>
    <w:rsid w:val="007921C1"/>
    <w:rsid w:val="007C5AD3"/>
    <w:rsid w:val="007F036C"/>
    <w:rsid w:val="00810843"/>
    <w:rsid w:val="00816959"/>
    <w:rsid w:val="008431DF"/>
    <w:rsid w:val="0088157C"/>
    <w:rsid w:val="00882D0E"/>
    <w:rsid w:val="00887544"/>
    <w:rsid w:val="008951AE"/>
    <w:rsid w:val="008A0926"/>
    <w:rsid w:val="008A0991"/>
    <w:rsid w:val="008D3C56"/>
    <w:rsid w:val="00945AFB"/>
    <w:rsid w:val="009809E0"/>
    <w:rsid w:val="009A5B13"/>
    <w:rsid w:val="009D1808"/>
    <w:rsid w:val="009D1D08"/>
    <w:rsid w:val="009D20A5"/>
    <w:rsid w:val="009E069C"/>
    <w:rsid w:val="009E7F65"/>
    <w:rsid w:val="00A2297B"/>
    <w:rsid w:val="00A347AE"/>
    <w:rsid w:val="00A36810"/>
    <w:rsid w:val="00A6395C"/>
    <w:rsid w:val="00A92AFE"/>
    <w:rsid w:val="00AA12F1"/>
    <w:rsid w:val="00AA15B1"/>
    <w:rsid w:val="00AA1888"/>
    <w:rsid w:val="00AA43DF"/>
    <w:rsid w:val="00AF3116"/>
    <w:rsid w:val="00B13F9E"/>
    <w:rsid w:val="00B16674"/>
    <w:rsid w:val="00B270DD"/>
    <w:rsid w:val="00B27DFD"/>
    <w:rsid w:val="00B7430F"/>
    <w:rsid w:val="00B7432C"/>
    <w:rsid w:val="00B9519C"/>
    <w:rsid w:val="00BA6962"/>
    <w:rsid w:val="00BF43F5"/>
    <w:rsid w:val="00C02F17"/>
    <w:rsid w:val="00C45153"/>
    <w:rsid w:val="00C65874"/>
    <w:rsid w:val="00C846CA"/>
    <w:rsid w:val="00C964F7"/>
    <w:rsid w:val="00CA1E9C"/>
    <w:rsid w:val="00D8532A"/>
    <w:rsid w:val="00D87857"/>
    <w:rsid w:val="00DA68AB"/>
    <w:rsid w:val="00DB4947"/>
    <w:rsid w:val="00DE298E"/>
    <w:rsid w:val="00E02E12"/>
    <w:rsid w:val="00E106AA"/>
    <w:rsid w:val="00E31F20"/>
    <w:rsid w:val="00E366A9"/>
    <w:rsid w:val="00E6764F"/>
    <w:rsid w:val="00E84A2A"/>
    <w:rsid w:val="00EB3E35"/>
    <w:rsid w:val="00EB6490"/>
    <w:rsid w:val="00ED588D"/>
    <w:rsid w:val="00EE51B0"/>
    <w:rsid w:val="00F20D0E"/>
    <w:rsid w:val="00F26D44"/>
    <w:rsid w:val="00F61AFE"/>
    <w:rsid w:val="00FA0D22"/>
    <w:rsid w:val="00FA7B59"/>
    <w:rsid w:val="00FB32DC"/>
    <w:rsid w:val="00FE0D43"/>
    <w:rsid w:val="00FF4B68"/>
    <w:rsid w:val="021D2362"/>
    <w:rsid w:val="0C1E8527"/>
    <w:rsid w:val="123A510E"/>
    <w:rsid w:val="15905128"/>
    <w:rsid w:val="1660A038"/>
    <w:rsid w:val="21681B1D"/>
    <w:rsid w:val="244F9850"/>
    <w:rsid w:val="29B3CCAD"/>
    <w:rsid w:val="35243E79"/>
    <w:rsid w:val="361388D2"/>
    <w:rsid w:val="36C2A92E"/>
    <w:rsid w:val="3BEAEB66"/>
    <w:rsid w:val="41104AAA"/>
    <w:rsid w:val="4277BE5E"/>
    <w:rsid w:val="498824C8"/>
    <w:rsid w:val="578F6B5D"/>
    <w:rsid w:val="5D412F85"/>
    <w:rsid w:val="5F53CE11"/>
    <w:rsid w:val="61C591CF"/>
    <w:rsid w:val="6AD14AD0"/>
    <w:rsid w:val="6FA0A147"/>
    <w:rsid w:val="743C5E13"/>
    <w:rsid w:val="7575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CE239"/>
  <w15:chartTrackingRefBased/>
  <w15:docId w15:val="{D8A5C694-5E6E-471C-B084-02E742E2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C1E8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uiPriority w:val="9"/>
    <w:unhideWhenUsed/>
    <w:qFormat/>
    <w:rsid w:val="0C1E8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uiPriority w:val="9"/>
    <w:unhideWhenUsed/>
    <w:qFormat/>
    <w:rsid w:val="0C1E852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5025C3"/>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uiPriority w:val="39"/>
    <w:unhideWhenUsed/>
    <w:rsid w:val="0C1E8527"/>
    <w:pPr>
      <w:spacing w:after="100"/>
    </w:pPr>
  </w:style>
  <w:style w:type="paragraph" w:styleId="a3">
    <w:name w:val="List Paragraph"/>
    <w:basedOn w:val="a"/>
    <w:uiPriority w:val="34"/>
    <w:qFormat/>
    <w:rsid w:val="0C1E8527"/>
    <w:pPr>
      <w:ind w:left="720"/>
      <w:contextualSpacing/>
    </w:pPr>
  </w:style>
  <w:style w:type="character" w:styleId="a4">
    <w:name w:val="Hyperlink"/>
    <w:basedOn w:val="a0"/>
    <w:uiPriority w:val="99"/>
    <w:unhideWhenUsed/>
    <w:rsid w:val="0C1E8527"/>
    <w:rPr>
      <w:color w:val="467886"/>
      <w:u w:val="single"/>
    </w:rPr>
  </w:style>
  <w:style w:type="paragraph" w:styleId="20">
    <w:name w:val="toc 2"/>
    <w:basedOn w:val="a"/>
    <w:next w:val="a"/>
    <w:uiPriority w:val="39"/>
    <w:unhideWhenUsed/>
    <w:rsid w:val="0C1E8527"/>
    <w:pPr>
      <w:spacing w:after="100"/>
      <w:ind w:left="220"/>
    </w:pPr>
  </w:style>
  <w:style w:type="table" w:styleId="a5">
    <w:name w:val="Table Grid"/>
    <w:basedOn w:val="a1"/>
    <w:uiPriority w:val="39"/>
    <w:rsid w:val="00816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C02F17"/>
    <w:rPr>
      <w:color w:val="605E5C"/>
      <w:shd w:val="clear" w:color="auto" w:fill="E1DFDD"/>
    </w:rPr>
  </w:style>
  <w:style w:type="paragraph" w:styleId="30">
    <w:name w:val="toc 3"/>
    <w:basedOn w:val="a"/>
    <w:next w:val="a"/>
    <w:autoRedefine/>
    <w:uiPriority w:val="39"/>
    <w:unhideWhenUsed/>
    <w:rsid w:val="005025C3"/>
    <w:pPr>
      <w:spacing w:after="100"/>
      <w:ind w:left="480"/>
    </w:pPr>
  </w:style>
  <w:style w:type="character" w:customStyle="1" w:styleId="40">
    <w:name w:val="Заголовок 4 Знак"/>
    <w:basedOn w:val="a0"/>
    <w:link w:val="4"/>
    <w:uiPriority w:val="9"/>
    <w:rsid w:val="005025C3"/>
    <w:rPr>
      <w:rFonts w:asciiTheme="majorHAnsi" w:eastAsiaTheme="majorEastAsia" w:hAnsiTheme="majorHAnsi" w:cstheme="majorBidi"/>
      <w:i/>
      <w:iCs/>
      <w:color w:val="0F4761" w:themeColor="accent1" w:themeShade="BF"/>
    </w:rPr>
  </w:style>
  <w:style w:type="paragraph" w:styleId="a7">
    <w:name w:val="header"/>
    <w:basedOn w:val="a"/>
    <w:link w:val="a8"/>
    <w:uiPriority w:val="99"/>
    <w:unhideWhenUsed/>
    <w:rsid w:val="004F2B6F"/>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4F2B6F"/>
  </w:style>
  <w:style w:type="paragraph" w:styleId="a9">
    <w:name w:val="footer"/>
    <w:basedOn w:val="a"/>
    <w:link w:val="aa"/>
    <w:uiPriority w:val="99"/>
    <w:unhideWhenUsed/>
    <w:rsid w:val="004F2B6F"/>
    <w:pPr>
      <w:tabs>
        <w:tab w:val="center" w:pos="4844"/>
        <w:tab w:val="right" w:pos="9689"/>
      </w:tabs>
      <w:spacing w:after="0" w:line="240" w:lineRule="auto"/>
    </w:pPr>
  </w:style>
  <w:style w:type="character" w:customStyle="1" w:styleId="aa">
    <w:name w:val="Нижний колонтитул Знак"/>
    <w:basedOn w:val="a0"/>
    <w:link w:val="a9"/>
    <w:uiPriority w:val="99"/>
    <w:rsid w:val="004F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arson.com/en-gb/subject-catalog/p/accounting-and-finance-for-non-specialists/P200000003619/9781292741734?utm_source=chatgpt.com" TargetMode="External"/><Relationship Id="rId18" Type="http://schemas.openxmlformats.org/officeDocument/2006/relationships/hyperlink" Target="https://ir.hilton.com/financial-reporting/annual-reports?utm_source=chatgpt.com" TargetMode="External"/><Relationship Id="rId26" Type="http://schemas.openxmlformats.org/officeDocument/2006/relationships/hyperlink" Target="https://arxiv.org/abs/2503.16974?utm_source=chatgpt.com" TargetMode="External"/><Relationship Id="rId3" Type="http://schemas.openxmlformats.org/officeDocument/2006/relationships/styles" Target="styles.xml"/><Relationship Id="rId21" Type="http://schemas.openxmlformats.org/officeDocument/2006/relationships/hyperlink" Target="https://education.ifac.org/part/ies-4?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r.hilton.com/financial-reporting/annual-reports?utm_source=chatgpt.com" TargetMode="External"/><Relationship Id="rId25" Type="http://schemas.openxmlformats.org/officeDocument/2006/relationships/hyperlink" Target="https://en.unwto-ap.org/news/worldtourismbarometer_jan2025/?utm_source=chatgpt.com" TargetMode="External"/><Relationship Id="rId2" Type="http://schemas.openxmlformats.org/officeDocument/2006/relationships/numbering" Target="numbering.xml"/><Relationship Id="rId16" Type="http://schemas.openxmlformats.org/officeDocument/2006/relationships/hyperlink" Target="https://journal.kci.go.kr/ipir/archive/articleView?artiId=ART002613664&amp;utm_source=chatgpt.com" TargetMode="External"/><Relationship Id="rId20" Type="http://schemas.openxmlformats.org/officeDocument/2006/relationships/hyperlink" Target="https://www.ifac.org/knowledge-gateway/discussion/artificial-intelligence-accounting?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arriott.gcs-web.com/sec-filings/sec-filing/10-k/0001048286-26-000007?utm_source=chatgpt.com" TargetMode="External"/><Relationship Id="rId5" Type="http://schemas.openxmlformats.org/officeDocument/2006/relationships/webSettings" Target="webSettings.xml"/><Relationship Id="rId15" Type="http://schemas.openxmlformats.org/officeDocument/2006/relationships/hyperlink" Target="https://www.cengage.com/c/etextbook-financial-management-theory-practice-16e-brigham-ehrhardt/9780357691977/?utm_source=chatgpt.com" TargetMode="External"/><Relationship Id="rId23" Type="http://schemas.openxmlformats.org/officeDocument/2006/relationships/hyperlink" Target="https://marriott.gcs-web.com/financial-information/annual-reports?utm_source=chatgpt.com"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ifac.org/knowledge-gateway/artificial-intelligence-technology?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heducation.co.uk/media/wysiwyg/pdp/ISE_Product_Flyer_Brealey_Principles_of_Corporate_Finance_14e.pdf?utm_source=chatgpt.com" TargetMode="External"/><Relationship Id="rId22" Type="http://schemas.openxmlformats.org/officeDocument/2006/relationships/hyperlink" Target="https://arxiv.org/abs/2407.17866?utm_source=chatgpt.com"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F33D2-E17A-4E33-81F2-39D622D2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41</Pages>
  <Words>9176</Words>
  <Characters>52304</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Putersevics (2242532)</dc:creator>
  <cp:keywords/>
  <dc:description/>
  <cp:lastModifiedBy>elena kokorieva</cp:lastModifiedBy>
  <cp:revision>46</cp:revision>
  <dcterms:created xsi:type="dcterms:W3CDTF">2026-07-09T20:55:00Z</dcterms:created>
  <dcterms:modified xsi:type="dcterms:W3CDTF">2026-08-12T10:18:00Z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c6c3f75b-7496-4b8c-9287-52b18d5bcb92</vt:lpwstr>
  </property>
</Properties>
</file>