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5CE93" w14:textId="72DB0328" w:rsidR="00B91F9D" w:rsidRPr="002342CF" w:rsidRDefault="003F7BCF" w:rsidP="006B5D85">
      <w:pPr>
        <w:spacing w:line="276" w:lineRule="auto"/>
        <w:jc w:val="both"/>
        <w:rPr>
          <w:rFonts w:ascii="Cambria" w:hAnsi="Cambria" w:cs="Calibri"/>
          <w:b/>
          <w:bCs/>
          <w:sz w:val="24"/>
          <w:szCs w:val="24"/>
        </w:rPr>
      </w:pPr>
      <w:r>
        <w:rPr>
          <w:rFonts w:ascii="Cambria" w:hAnsi="Cambria" w:cs="Calibri"/>
          <w:b/>
          <w:bCs/>
          <w:sz w:val="24"/>
          <w:szCs w:val="24"/>
        </w:rPr>
        <w:t>Introduction</w:t>
      </w:r>
    </w:p>
    <w:p w14:paraId="4276B4B4" w14:textId="77777777" w:rsidR="0098161D" w:rsidRDefault="0098161D" w:rsidP="006B5D85">
      <w:pPr>
        <w:pStyle w:val="NormalWeb"/>
        <w:spacing w:line="276" w:lineRule="auto"/>
        <w:jc w:val="both"/>
        <w:rPr>
          <w:rFonts w:ascii="Cambria" w:hAnsi="Cambria" w:cs="Calibri"/>
        </w:rPr>
      </w:pPr>
      <w:r w:rsidRPr="0098161D">
        <w:rPr>
          <w:rFonts w:ascii="Cambria" w:hAnsi="Cambria" w:cs="Calibri"/>
        </w:rPr>
        <w:t>This reflection examines my experience of completing a Level 7 academic portfolio on leadership and resilience within complex healthcare systems. While several challenges emerged, two interconnected issues were particularly significant. The first was difficulty maintaining clarity around the module structure and assessment expectations. The second concerned engaging in honest, critical reflection on my own leadership practice in a way that felt both authentic and academically credible. These experiences are explored using Gibbs’ Reflective Cycle as a guiding framework, supporting structured reflection beyond description and deeper learning from experience (Gibbs, 1988).</w:t>
      </w:r>
    </w:p>
    <w:p w14:paraId="2D777ADA" w14:textId="77777777" w:rsidR="003F7BCF" w:rsidRDefault="003F7BCF" w:rsidP="006B5D85">
      <w:pPr>
        <w:pStyle w:val="NormalWeb"/>
        <w:spacing w:line="276" w:lineRule="auto"/>
        <w:jc w:val="both"/>
        <w:rPr>
          <w:rFonts w:ascii="Cambria" w:hAnsi="Cambria" w:cs="Calibri"/>
        </w:rPr>
      </w:pPr>
    </w:p>
    <w:p w14:paraId="38206BA2" w14:textId="77777777" w:rsidR="003F7BCF" w:rsidRPr="002342CF" w:rsidRDefault="003F7BCF" w:rsidP="003F7BCF">
      <w:pPr>
        <w:spacing w:line="276" w:lineRule="auto"/>
        <w:jc w:val="both"/>
        <w:rPr>
          <w:rFonts w:ascii="Cambria" w:hAnsi="Cambria" w:cs="Calibri"/>
          <w:b/>
          <w:bCs/>
          <w:sz w:val="24"/>
          <w:szCs w:val="24"/>
        </w:rPr>
      </w:pPr>
      <w:r w:rsidRPr="002342CF">
        <w:rPr>
          <w:rFonts w:ascii="Cambria" w:hAnsi="Cambria" w:cs="Calibri"/>
          <w:b/>
          <w:bCs/>
          <w:sz w:val="24"/>
          <w:szCs w:val="24"/>
        </w:rPr>
        <w:t>Description and Feelings</w:t>
      </w:r>
    </w:p>
    <w:p w14:paraId="5EFF3115" w14:textId="69DC9F91" w:rsidR="0098161D" w:rsidRPr="0098161D" w:rsidRDefault="0098161D" w:rsidP="006B5D85">
      <w:pPr>
        <w:pStyle w:val="NormalWeb"/>
        <w:spacing w:line="276" w:lineRule="auto"/>
        <w:jc w:val="both"/>
        <w:rPr>
          <w:rFonts w:ascii="Cambria" w:hAnsi="Cambria" w:cs="Calibri"/>
        </w:rPr>
      </w:pPr>
      <w:r w:rsidRPr="0098161D">
        <w:rPr>
          <w:rFonts w:ascii="Cambria" w:hAnsi="Cambria" w:cs="Calibri"/>
        </w:rPr>
        <w:t>Throughout the module, I engaged repeatedly with tutors through telephone calls, video discussions, and email correspondence. After each interaction, I felt reassured and believed I understood the portfolio expectations. However, when returning to independent writing, this clarity often faded. I became uncertain about whether I was interpreting the learning outcomes appropriately or meeting the academic standard expected at Level 7. This recurring cycle generated frustration and self-doubt, reflecting the tension between knowing in action and reflecting on action described by Schön (1983).</w:t>
      </w:r>
    </w:p>
    <w:p w14:paraId="05AFDF2D" w14:textId="07EE1551" w:rsidR="0098161D" w:rsidRPr="0098161D" w:rsidRDefault="0098161D" w:rsidP="006B5D85">
      <w:pPr>
        <w:pStyle w:val="NormalWeb"/>
        <w:spacing w:line="276" w:lineRule="auto"/>
        <w:jc w:val="both"/>
        <w:rPr>
          <w:rFonts w:ascii="Cambria" w:hAnsi="Cambria" w:cs="Calibri"/>
        </w:rPr>
      </w:pPr>
      <w:r w:rsidRPr="0098161D">
        <w:rPr>
          <w:rFonts w:ascii="Cambria" w:hAnsi="Cambria" w:cs="Calibri"/>
        </w:rPr>
        <w:t xml:space="preserve">These feelings were amplified by sustained clinical pressures. During this period, my workload as a surgeon within the NHS and the British Army remained high, limiting my ability to attend scheduled teaching sessions where module requirements were clarified for other students. Although unavoidable, this absence contributed to a sense of isolation and an internal pressure to compensate through intensified </w:t>
      </w:r>
      <w:proofErr w:type="spellStart"/>
      <w:proofErr w:type="gramStart"/>
      <w:r w:rsidRPr="0098161D">
        <w:rPr>
          <w:rFonts w:ascii="Cambria" w:hAnsi="Cambria" w:cs="Calibri"/>
        </w:rPr>
        <w:t>self directed</w:t>
      </w:r>
      <w:proofErr w:type="spellEnd"/>
      <w:proofErr w:type="gramEnd"/>
      <w:r w:rsidRPr="0098161D">
        <w:rPr>
          <w:rFonts w:ascii="Cambria" w:hAnsi="Cambria" w:cs="Calibri"/>
        </w:rPr>
        <w:t xml:space="preserve"> effort. Evidence from healthcare leadership literature suggests that prolonged workload and cognitive load can impair reflective capacity, particularly when learning occurs alongside high stakes clinical responsibility (West et al., 20</w:t>
      </w:r>
      <w:r w:rsidR="00C209B7">
        <w:rPr>
          <w:rFonts w:ascii="Cambria" w:hAnsi="Cambria" w:cs="Calibri"/>
        </w:rPr>
        <w:t>15</w:t>
      </w:r>
      <w:r w:rsidRPr="0098161D">
        <w:rPr>
          <w:rFonts w:ascii="Cambria" w:hAnsi="Cambria" w:cs="Calibri"/>
        </w:rPr>
        <w:t>).</w:t>
      </w:r>
    </w:p>
    <w:p w14:paraId="47116264" w14:textId="77777777" w:rsidR="0098161D" w:rsidRPr="0098161D" w:rsidRDefault="0098161D" w:rsidP="006B5D85">
      <w:pPr>
        <w:pStyle w:val="NormalWeb"/>
        <w:spacing w:line="276" w:lineRule="auto"/>
        <w:jc w:val="both"/>
        <w:rPr>
          <w:rFonts w:ascii="Cambria" w:hAnsi="Cambria" w:cs="Calibri"/>
        </w:rPr>
      </w:pPr>
      <w:r w:rsidRPr="0098161D">
        <w:rPr>
          <w:rFonts w:ascii="Cambria" w:hAnsi="Cambria" w:cs="Calibri"/>
        </w:rPr>
        <w:t xml:space="preserve">Alongside this structural uncertainty, I encountered a more personal challenge when attempting to reflect critically on my own leadership. Despite extensive experience in coaching and mentoring, articulating my leadership values and behaviours in writing felt unexpectedly difficult. My leadership practice had been shaped primarily through action rather than deliberate reflection, revealing a reliance on </w:t>
      </w:r>
      <w:proofErr w:type="spellStart"/>
      <w:r w:rsidRPr="0098161D">
        <w:rPr>
          <w:rFonts w:ascii="Cambria" w:hAnsi="Cambria" w:cs="Calibri"/>
        </w:rPr>
        <w:t>self perception</w:t>
      </w:r>
      <w:proofErr w:type="spellEnd"/>
      <w:r w:rsidRPr="0098161D">
        <w:rPr>
          <w:rFonts w:ascii="Cambria" w:hAnsi="Cambria" w:cs="Calibri"/>
        </w:rPr>
        <w:t xml:space="preserve"> rather than consistent external feedback. This realisation evoked discomfort and resistance, particularly when identifying limitations in my practice. However, tutor feedback on successive drafts prompted deeper engagement. Revisiting moments where I had received honest feedback from colleagues became essential in grounding reflection, allowing discomfort to shift from something to avoid into a productive space for learning (London and Smither, 2002).</w:t>
      </w:r>
    </w:p>
    <w:p w14:paraId="2D30C423" w14:textId="55C435A2" w:rsidR="00E04589" w:rsidRPr="00E04589" w:rsidRDefault="00E04589" w:rsidP="006B5D85">
      <w:pPr>
        <w:pStyle w:val="NormalWeb"/>
        <w:spacing w:line="276" w:lineRule="auto"/>
        <w:jc w:val="both"/>
        <w:rPr>
          <w:rFonts w:ascii="Cambria" w:hAnsi="Cambria" w:cs="Calibri"/>
          <w:b/>
          <w:bCs/>
        </w:rPr>
      </w:pPr>
      <w:r w:rsidRPr="00E04589">
        <w:rPr>
          <w:rFonts w:ascii="Cambria" w:hAnsi="Cambria" w:cs="Calibri"/>
          <w:b/>
          <w:bCs/>
        </w:rPr>
        <w:lastRenderedPageBreak/>
        <w:t xml:space="preserve">Evaluation and Analysis </w:t>
      </w:r>
    </w:p>
    <w:p w14:paraId="7DD27561" w14:textId="77777777" w:rsidR="0098161D" w:rsidRPr="0098161D" w:rsidRDefault="0098161D" w:rsidP="006B5D85">
      <w:pPr>
        <w:spacing w:line="276" w:lineRule="auto"/>
        <w:jc w:val="both"/>
        <w:rPr>
          <w:rFonts w:ascii="Cambria" w:eastAsia="Times New Roman" w:hAnsi="Cambria" w:cs="Calibri"/>
          <w:kern w:val="0"/>
          <w:sz w:val="24"/>
          <w:szCs w:val="24"/>
          <w:lang w:eastAsia="en-GB"/>
          <w14:ligatures w14:val="none"/>
        </w:rPr>
      </w:pPr>
      <w:r w:rsidRPr="0098161D">
        <w:rPr>
          <w:rFonts w:ascii="Cambria" w:eastAsia="Times New Roman" w:hAnsi="Cambria" w:cs="Calibri"/>
          <w:kern w:val="0"/>
          <w:sz w:val="24"/>
          <w:szCs w:val="24"/>
          <w:lang w:eastAsia="en-GB"/>
          <w14:ligatures w14:val="none"/>
        </w:rPr>
        <w:t>The challenges encountered during the development of this portfolio became significant not because of academic complexity alone, but because they surfaced deeper tensions within my professional identity as a leader. What initially appeared to be difficulty managing workload and assessment requirements gradually revealed a limited tolerance for uncertainty. My repeated attempts to impose clarity on the module structure reflected an underlying reliance on control and familiar professional patterns, rather than an openness to ambiguity as part of the learning process.</w:t>
      </w:r>
    </w:p>
    <w:p w14:paraId="0DEE178E" w14:textId="77777777" w:rsidR="0098161D" w:rsidRPr="0098161D" w:rsidRDefault="0098161D" w:rsidP="006B5D85">
      <w:pPr>
        <w:spacing w:line="276" w:lineRule="auto"/>
        <w:jc w:val="both"/>
        <w:rPr>
          <w:rFonts w:ascii="Cambria" w:eastAsia="Times New Roman" w:hAnsi="Cambria" w:cs="Calibri"/>
          <w:kern w:val="0"/>
          <w:sz w:val="24"/>
          <w:szCs w:val="24"/>
          <w:lang w:eastAsia="en-GB"/>
          <w14:ligatures w14:val="none"/>
        </w:rPr>
      </w:pPr>
      <w:r w:rsidRPr="0098161D">
        <w:rPr>
          <w:rFonts w:ascii="Cambria" w:eastAsia="Times New Roman" w:hAnsi="Cambria" w:cs="Calibri"/>
          <w:kern w:val="0"/>
          <w:sz w:val="24"/>
          <w:szCs w:val="24"/>
          <w:lang w:eastAsia="en-GB"/>
          <w14:ligatures w14:val="none"/>
        </w:rPr>
        <w:t>My clinical background has conditioned me to operate in environments where decisiveness, structure, and procedural certainty are prioritised. In contrast, this academic task required iterative sense making, provisional understanding, and sustained critical openness. Rather than remaining with this uncertainty, my instinct was to seek repeated clarification and then compensate through solitary effort. This response aligns with Mezirow’s description of disorientating experiences that unsettle established assumptions and prompt perspective transformation when meaning structures are questioned (Mezirow, 1997). Viewed retrospectively, the discomfort I experienced was not a deficit in comprehension, but a necessary disruption to habitual ways of working.</w:t>
      </w:r>
    </w:p>
    <w:p w14:paraId="020A6C3F" w14:textId="2B45EC70" w:rsidR="0098161D" w:rsidRPr="0098161D" w:rsidRDefault="0098161D" w:rsidP="006B5D85">
      <w:pPr>
        <w:spacing w:line="276" w:lineRule="auto"/>
        <w:jc w:val="both"/>
        <w:rPr>
          <w:rFonts w:ascii="Cambria" w:eastAsia="Times New Roman" w:hAnsi="Cambria" w:cs="Calibri"/>
          <w:kern w:val="0"/>
          <w:sz w:val="24"/>
          <w:szCs w:val="24"/>
          <w:lang w:eastAsia="en-GB"/>
          <w14:ligatures w14:val="none"/>
        </w:rPr>
      </w:pPr>
      <w:r w:rsidRPr="0098161D">
        <w:rPr>
          <w:rFonts w:ascii="Cambria" w:eastAsia="Times New Roman" w:hAnsi="Cambria" w:cs="Calibri"/>
          <w:kern w:val="0"/>
          <w:sz w:val="24"/>
          <w:szCs w:val="24"/>
          <w:lang w:eastAsia="en-GB"/>
          <w14:ligatures w14:val="none"/>
        </w:rPr>
        <w:t xml:space="preserve">Engaging critically with my own leadership practice proved even more challenging. Despite extensive experience in coaching and mentoring, I became aware that my leadership identity had been shaped primarily through action and outcomes, with limited space for structured reflection. I noticed resistance when attempting to articulate limitations or uncertainty, suggesting an implicit belief that effectiveness and authority depended on maintaining confidence and control. This mirrors evidence that senior clinicians often receive infrequent developmental feedback, which can limit </w:t>
      </w:r>
      <w:proofErr w:type="spellStart"/>
      <w:r w:rsidRPr="0098161D">
        <w:rPr>
          <w:rFonts w:ascii="Cambria" w:eastAsia="Times New Roman" w:hAnsi="Cambria" w:cs="Calibri"/>
          <w:kern w:val="0"/>
          <w:sz w:val="24"/>
          <w:szCs w:val="24"/>
          <w:lang w:eastAsia="en-GB"/>
          <w14:ligatures w14:val="none"/>
        </w:rPr>
        <w:t>self awareness</w:t>
      </w:r>
      <w:proofErr w:type="spellEnd"/>
      <w:r w:rsidRPr="0098161D">
        <w:rPr>
          <w:rFonts w:ascii="Cambria" w:eastAsia="Times New Roman" w:hAnsi="Cambria" w:cs="Calibri"/>
          <w:kern w:val="0"/>
          <w:sz w:val="24"/>
          <w:szCs w:val="24"/>
          <w:lang w:eastAsia="en-GB"/>
          <w14:ligatures w14:val="none"/>
        </w:rPr>
        <w:t xml:space="preserve"> and reinforce unexamined assumptions (Sargeant et al., 200</w:t>
      </w:r>
      <w:r w:rsidR="00644374">
        <w:rPr>
          <w:rFonts w:ascii="Cambria" w:eastAsia="Times New Roman" w:hAnsi="Cambria" w:cs="Calibri"/>
          <w:kern w:val="0"/>
          <w:sz w:val="24"/>
          <w:szCs w:val="24"/>
          <w:lang w:eastAsia="en-GB"/>
          <w14:ligatures w14:val="none"/>
        </w:rPr>
        <w:t>6</w:t>
      </w:r>
      <w:r w:rsidRPr="0098161D">
        <w:rPr>
          <w:rFonts w:ascii="Cambria" w:eastAsia="Times New Roman" w:hAnsi="Cambria" w:cs="Calibri"/>
          <w:kern w:val="0"/>
          <w:sz w:val="24"/>
          <w:szCs w:val="24"/>
          <w:lang w:eastAsia="en-GB"/>
          <w14:ligatures w14:val="none"/>
        </w:rPr>
        <w:t>).</w:t>
      </w:r>
    </w:p>
    <w:p w14:paraId="64E74F34" w14:textId="7422B9E1" w:rsidR="0098161D" w:rsidRPr="0098161D" w:rsidRDefault="0098161D" w:rsidP="006B5D85">
      <w:pPr>
        <w:spacing w:line="276" w:lineRule="auto"/>
        <w:jc w:val="both"/>
        <w:rPr>
          <w:rFonts w:ascii="Cambria" w:eastAsia="Times New Roman" w:hAnsi="Cambria" w:cs="Calibri"/>
          <w:kern w:val="0"/>
          <w:sz w:val="24"/>
          <w:szCs w:val="24"/>
          <w:lang w:eastAsia="en-GB"/>
          <w14:ligatures w14:val="none"/>
        </w:rPr>
      </w:pPr>
      <w:r w:rsidRPr="0098161D">
        <w:rPr>
          <w:rFonts w:ascii="Cambria" w:eastAsia="Times New Roman" w:hAnsi="Cambria" w:cs="Calibri"/>
          <w:kern w:val="0"/>
          <w:sz w:val="24"/>
          <w:szCs w:val="24"/>
          <w:lang w:eastAsia="en-GB"/>
          <w14:ligatures w14:val="none"/>
        </w:rPr>
        <w:t>Tutor feedback played a critical role in interrupting this pattern. Although initially experienced as unsettling, the requirement to revise repeatedly forced deeper interrogation of my assumptions, behaviours, and intentions. Revisiting specific instances of candid feedback from colleagues enabled me to examine the gap between how I intended to lead and how my leadership may have been experienced. As Boud, Keogh and Walker (</w:t>
      </w:r>
      <w:r w:rsidR="00644374">
        <w:rPr>
          <w:rFonts w:ascii="Cambria" w:eastAsia="Times New Roman" w:hAnsi="Cambria" w:cs="Calibri"/>
          <w:kern w:val="0"/>
          <w:sz w:val="24"/>
          <w:szCs w:val="24"/>
          <w:lang w:eastAsia="en-GB"/>
          <w14:ligatures w14:val="none"/>
        </w:rPr>
        <w:t>1985</w:t>
      </w:r>
      <w:r w:rsidRPr="0098161D">
        <w:rPr>
          <w:rFonts w:ascii="Cambria" w:eastAsia="Times New Roman" w:hAnsi="Cambria" w:cs="Calibri"/>
          <w:kern w:val="0"/>
          <w:sz w:val="24"/>
          <w:szCs w:val="24"/>
          <w:lang w:eastAsia="en-GB"/>
          <w14:ligatures w14:val="none"/>
        </w:rPr>
        <w:t>) suggest, reflection becomes developmental only when individuals remain engaged with discomfort rather than avoiding it.</w:t>
      </w:r>
    </w:p>
    <w:p w14:paraId="18D65F14" w14:textId="77777777" w:rsidR="0098161D" w:rsidRPr="0098161D" w:rsidRDefault="0098161D" w:rsidP="006B5D85">
      <w:pPr>
        <w:spacing w:line="276" w:lineRule="auto"/>
        <w:jc w:val="both"/>
        <w:rPr>
          <w:rFonts w:ascii="Cambria" w:eastAsia="Times New Roman" w:hAnsi="Cambria" w:cs="Calibri"/>
          <w:kern w:val="0"/>
          <w:sz w:val="24"/>
          <w:szCs w:val="24"/>
          <w:lang w:eastAsia="en-GB"/>
          <w14:ligatures w14:val="none"/>
        </w:rPr>
      </w:pPr>
      <w:r w:rsidRPr="0098161D">
        <w:rPr>
          <w:rFonts w:ascii="Cambria" w:eastAsia="Times New Roman" w:hAnsi="Cambria" w:cs="Calibri"/>
          <w:kern w:val="0"/>
          <w:sz w:val="24"/>
          <w:szCs w:val="24"/>
          <w:lang w:eastAsia="en-GB"/>
          <w14:ligatures w14:val="none"/>
        </w:rPr>
        <w:t xml:space="preserve">When considered together, these experiences reveal a shared thread of vulnerability. Both academic uncertainty and leadership </w:t>
      </w:r>
      <w:proofErr w:type="spellStart"/>
      <w:r w:rsidRPr="0098161D">
        <w:rPr>
          <w:rFonts w:ascii="Cambria" w:eastAsia="Times New Roman" w:hAnsi="Cambria" w:cs="Calibri"/>
          <w:kern w:val="0"/>
          <w:sz w:val="24"/>
          <w:szCs w:val="24"/>
          <w:lang w:eastAsia="en-GB"/>
          <w14:ligatures w14:val="none"/>
        </w:rPr>
        <w:t>self scrutiny</w:t>
      </w:r>
      <w:proofErr w:type="spellEnd"/>
      <w:r w:rsidRPr="0098161D">
        <w:rPr>
          <w:rFonts w:ascii="Cambria" w:eastAsia="Times New Roman" w:hAnsi="Cambria" w:cs="Calibri"/>
          <w:kern w:val="0"/>
          <w:sz w:val="24"/>
          <w:szCs w:val="24"/>
          <w:lang w:eastAsia="en-GB"/>
          <w14:ligatures w14:val="none"/>
        </w:rPr>
        <w:t xml:space="preserve"> challenged long held narratives of competence and authority. Gibbs’ reflective framework supports understanding discomfort as a legitimate and necessary stage in learning, rather than an indicator of failure (Gibbs, 1988). Through this process, reflection shifted from a task requirement to a leadership capability. I have already noticed changes in my practice, including greater openness to feedback, increased transparency about uncertainty, and a more intentional approach to creating psychologically safe learning environments for others.</w:t>
      </w:r>
    </w:p>
    <w:p w14:paraId="2A7E7712" w14:textId="039E9C0F" w:rsidR="004E55BA" w:rsidRPr="004E55BA" w:rsidRDefault="004E55BA" w:rsidP="006B5D85">
      <w:pPr>
        <w:spacing w:line="276" w:lineRule="auto"/>
        <w:jc w:val="both"/>
        <w:rPr>
          <w:rFonts w:ascii="Cambria" w:hAnsi="Cambria" w:cs="Calibri"/>
          <w:b/>
          <w:bCs/>
          <w:sz w:val="24"/>
          <w:szCs w:val="24"/>
        </w:rPr>
      </w:pPr>
      <w:r w:rsidRPr="004E55BA">
        <w:rPr>
          <w:rFonts w:ascii="Cambria" w:hAnsi="Cambria" w:cs="Calibri"/>
          <w:b/>
          <w:bCs/>
          <w:sz w:val="24"/>
          <w:szCs w:val="24"/>
        </w:rPr>
        <w:lastRenderedPageBreak/>
        <w:t>Conclusion and Action Plan</w:t>
      </w:r>
    </w:p>
    <w:p w14:paraId="50AAC4C1" w14:textId="77777777" w:rsidR="004E55BA" w:rsidRPr="004E55BA" w:rsidRDefault="004E55BA" w:rsidP="006B5D85">
      <w:pPr>
        <w:spacing w:line="276" w:lineRule="auto"/>
        <w:jc w:val="both"/>
        <w:rPr>
          <w:rFonts w:ascii="Cambria" w:hAnsi="Cambria" w:cs="Calibri"/>
          <w:sz w:val="24"/>
          <w:szCs w:val="24"/>
        </w:rPr>
      </w:pPr>
      <w:r w:rsidRPr="004E55BA">
        <w:rPr>
          <w:rFonts w:ascii="Cambria" w:hAnsi="Cambria" w:cs="Calibri"/>
          <w:sz w:val="24"/>
          <w:szCs w:val="24"/>
        </w:rPr>
        <w:t xml:space="preserve">This reflective process has demonstrated that the challenges encountered while writing this portfolio were not isolated academic difficulties, but indicators of deeper learning needs within my leadership practice. The uncertainty surrounding module expectations and the discomfort associated with critically examining my own leadership exposed underlying assumptions about control, competence, and </w:t>
      </w:r>
      <w:proofErr w:type="spellStart"/>
      <w:r w:rsidRPr="004E55BA">
        <w:rPr>
          <w:rFonts w:ascii="Cambria" w:hAnsi="Cambria" w:cs="Calibri"/>
          <w:sz w:val="24"/>
          <w:szCs w:val="24"/>
        </w:rPr>
        <w:t>self awareness</w:t>
      </w:r>
      <w:proofErr w:type="spellEnd"/>
      <w:r w:rsidRPr="004E55BA">
        <w:rPr>
          <w:rFonts w:ascii="Cambria" w:hAnsi="Cambria" w:cs="Calibri"/>
          <w:sz w:val="24"/>
          <w:szCs w:val="24"/>
        </w:rPr>
        <w:t>. Engaging with these challenges through structured reflection enabled a shift from surface engagement towards more deliberate and meaningful leadership learning.</w:t>
      </w:r>
    </w:p>
    <w:p w14:paraId="424B0A70" w14:textId="225A5AA7" w:rsidR="004E55BA" w:rsidRPr="004E55BA" w:rsidRDefault="004E55BA" w:rsidP="006B5D85">
      <w:pPr>
        <w:spacing w:line="276" w:lineRule="auto"/>
        <w:jc w:val="both"/>
        <w:rPr>
          <w:rFonts w:ascii="Cambria" w:hAnsi="Cambria" w:cs="Calibri"/>
          <w:sz w:val="24"/>
          <w:szCs w:val="24"/>
        </w:rPr>
      </w:pPr>
      <w:r w:rsidRPr="004E55BA">
        <w:rPr>
          <w:rFonts w:ascii="Cambria" w:hAnsi="Cambria" w:cs="Calibri"/>
          <w:sz w:val="24"/>
          <w:szCs w:val="24"/>
        </w:rPr>
        <w:t>A central learning from this reflection is that effective leadership development requires tolerance of uncertainty and willingness to engage with challenge. Schön (1983) emphasises that professional growth occurs when practitioners critically interrogate their assumptions rather than relying solely on habitual action. This portfolio reinforced that reflection is not an automatic outcome of experience, but a skill that must be intentionally developed. Without structured reflection and external feedback, blind spots can persist even in experienced leaders (Sargeant et al., 200</w:t>
      </w:r>
      <w:r w:rsidR="00644374">
        <w:rPr>
          <w:rFonts w:ascii="Cambria" w:hAnsi="Cambria" w:cs="Calibri"/>
          <w:sz w:val="24"/>
          <w:szCs w:val="24"/>
        </w:rPr>
        <w:t>6</w:t>
      </w:r>
      <w:r w:rsidRPr="004E55BA">
        <w:rPr>
          <w:rFonts w:ascii="Cambria" w:hAnsi="Cambria" w:cs="Calibri"/>
          <w:sz w:val="24"/>
          <w:szCs w:val="24"/>
        </w:rPr>
        <w:t>).</w:t>
      </w:r>
    </w:p>
    <w:p w14:paraId="53DC3ADC" w14:textId="77777777" w:rsidR="004E55BA" w:rsidRPr="004E55BA" w:rsidRDefault="004E55BA" w:rsidP="006B5D85">
      <w:pPr>
        <w:spacing w:line="276" w:lineRule="auto"/>
        <w:jc w:val="both"/>
        <w:rPr>
          <w:rFonts w:ascii="Cambria" w:hAnsi="Cambria" w:cs="Calibri"/>
          <w:sz w:val="24"/>
          <w:szCs w:val="24"/>
        </w:rPr>
      </w:pPr>
      <w:r w:rsidRPr="004E55BA">
        <w:rPr>
          <w:rFonts w:ascii="Cambria" w:hAnsi="Cambria" w:cs="Calibri"/>
          <w:sz w:val="24"/>
          <w:szCs w:val="24"/>
        </w:rPr>
        <w:t xml:space="preserve">The action plan arising from this learning is both practical and developmental. First, I will adopt a more deliberate approach to reflective practice by scheduling protected time for structured reflection using models such as Gibbs’ cycle, ensuring that learning is consolidated rather than incidental (Gibbs, 1988). Second, I will actively seek regular, specific feedback following complex leadership situations to challenge </w:t>
      </w:r>
      <w:proofErr w:type="spellStart"/>
      <w:r w:rsidRPr="004E55BA">
        <w:rPr>
          <w:rFonts w:ascii="Cambria" w:hAnsi="Cambria" w:cs="Calibri"/>
          <w:sz w:val="24"/>
          <w:szCs w:val="24"/>
        </w:rPr>
        <w:t>self perception</w:t>
      </w:r>
      <w:proofErr w:type="spellEnd"/>
      <w:r w:rsidRPr="004E55BA">
        <w:rPr>
          <w:rFonts w:ascii="Cambria" w:hAnsi="Cambria" w:cs="Calibri"/>
          <w:sz w:val="24"/>
          <w:szCs w:val="24"/>
        </w:rPr>
        <w:t xml:space="preserve"> and support ongoing development. Evidence suggests that feedback seeking behaviours are critical to sustained leadership growth and </w:t>
      </w:r>
      <w:proofErr w:type="spellStart"/>
      <w:r w:rsidRPr="004E55BA">
        <w:rPr>
          <w:rFonts w:ascii="Cambria" w:hAnsi="Cambria" w:cs="Calibri"/>
          <w:sz w:val="24"/>
          <w:szCs w:val="24"/>
        </w:rPr>
        <w:t>self awareness</w:t>
      </w:r>
      <w:proofErr w:type="spellEnd"/>
      <w:r w:rsidRPr="004E55BA">
        <w:rPr>
          <w:rFonts w:ascii="Cambria" w:hAnsi="Cambria" w:cs="Calibri"/>
          <w:sz w:val="24"/>
          <w:szCs w:val="24"/>
        </w:rPr>
        <w:t xml:space="preserve"> (London and Smither, 2002). Third, I will embed these principles within my coaching and mentoring practice by creating environments where uncertainty and discomfort are normalised as integral to learning and development.</w:t>
      </w:r>
    </w:p>
    <w:p w14:paraId="217E77A6" w14:textId="301E1B27" w:rsidR="00F359C0" w:rsidRDefault="004E55BA" w:rsidP="006B5D85">
      <w:pPr>
        <w:spacing w:line="276" w:lineRule="auto"/>
        <w:jc w:val="both"/>
        <w:rPr>
          <w:rFonts w:ascii="Cambria" w:hAnsi="Cambria" w:cs="Calibri"/>
          <w:sz w:val="24"/>
          <w:szCs w:val="24"/>
        </w:rPr>
      </w:pPr>
      <w:r w:rsidRPr="004E55BA">
        <w:rPr>
          <w:rFonts w:ascii="Cambria" w:hAnsi="Cambria" w:cs="Calibri"/>
          <w:sz w:val="24"/>
          <w:szCs w:val="24"/>
        </w:rPr>
        <w:t>Through this process, reflection has shifted from being an academic requirement to a core leadership behaviour. This portfolio has therefore contributed not only to academic development, but to a more adaptive, self-aware, and reflective leadership approach that will continue to evolve across clinical and organisational contexts</w:t>
      </w:r>
      <w:r>
        <w:rPr>
          <w:rFonts w:ascii="Cambria" w:hAnsi="Cambria" w:cs="Calibri"/>
          <w:sz w:val="24"/>
          <w:szCs w:val="24"/>
        </w:rPr>
        <w:t>.</w:t>
      </w:r>
    </w:p>
    <w:p w14:paraId="005EEE19" w14:textId="77777777" w:rsidR="00F359C0" w:rsidRDefault="00F359C0" w:rsidP="002342CF">
      <w:pPr>
        <w:spacing w:line="276" w:lineRule="auto"/>
        <w:rPr>
          <w:rFonts w:ascii="Cambria" w:hAnsi="Cambria" w:cs="Calibri"/>
          <w:sz w:val="24"/>
          <w:szCs w:val="24"/>
        </w:rPr>
      </w:pPr>
    </w:p>
    <w:p w14:paraId="525DB219" w14:textId="77777777" w:rsidR="00F359C0" w:rsidRDefault="00F359C0" w:rsidP="002342CF">
      <w:pPr>
        <w:spacing w:line="276" w:lineRule="auto"/>
        <w:rPr>
          <w:rFonts w:ascii="Cambria" w:hAnsi="Cambria" w:cs="Calibri"/>
          <w:sz w:val="24"/>
          <w:szCs w:val="24"/>
        </w:rPr>
      </w:pPr>
    </w:p>
    <w:p w14:paraId="0D210524" w14:textId="77777777" w:rsidR="00F359C0" w:rsidRDefault="00F359C0" w:rsidP="002342CF">
      <w:pPr>
        <w:spacing w:line="276" w:lineRule="auto"/>
        <w:rPr>
          <w:rFonts w:ascii="Cambria" w:hAnsi="Cambria" w:cs="Calibri"/>
          <w:sz w:val="24"/>
          <w:szCs w:val="24"/>
        </w:rPr>
      </w:pPr>
    </w:p>
    <w:p w14:paraId="3CE20BAF" w14:textId="77777777" w:rsidR="00461A6C" w:rsidRDefault="00461A6C" w:rsidP="002342CF">
      <w:pPr>
        <w:spacing w:line="276" w:lineRule="auto"/>
        <w:rPr>
          <w:rFonts w:ascii="Cambria" w:hAnsi="Cambria" w:cs="Calibri"/>
          <w:sz w:val="24"/>
          <w:szCs w:val="24"/>
        </w:rPr>
      </w:pPr>
    </w:p>
    <w:p w14:paraId="2772B86F" w14:textId="77777777" w:rsidR="00461A6C" w:rsidRDefault="00461A6C" w:rsidP="002342CF">
      <w:pPr>
        <w:spacing w:line="276" w:lineRule="auto"/>
        <w:rPr>
          <w:rFonts w:ascii="Cambria" w:hAnsi="Cambria" w:cs="Calibri"/>
          <w:sz w:val="24"/>
          <w:szCs w:val="24"/>
        </w:rPr>
      </w:pPr>
    </w:p>
    <w:p w14:paraId="46EDCE82" w14:textId="77777777" w:rsidR="00461A6C" w:rsidRDefault="00461A6C" w:rsidP="002342CF">
      <w:pPr>
        <w:spacing w:line="276" w:lineRule="auto"/>
        <w:rPr>
          <w:rFonts w:ascii="Cambria" w:hAnsi="Cambria" w:cs="Calibri"/>
          <w:sz w:val="24"/>
          <w:szCs w:val="24"/>
        </w:rPr>
      </w:pPr>
    </w:p>
    <w:p w14:paraId="37C5AB00" w14:textId="77777777" w:rsidR="00461A6C" w:rsidRDefault="00461A6C" w:rsidP="002342CF">
      <w:pPr>
        <w:spacing w:line="276" w:lineRule="auto"/>
        <w:rPr>
          <w:rFonts w:ascii="Cambria" w:hAnsi="Cambria" w:cs="Calibri"/>
          <w:sz w:val="24"/>
          <w:szCs w:val="24"/>
        </w:rPr>
      </w:pPr>
    </w:p>
    <w:p w14:paraId="267196EA" w14:textId="77777777" w:rsidR="00461A6C" w:rsidRDefault="00461A6C" w:rsidP="002342CF">
      <w:pPr>
        <w:spacing w:line="276" w:lineRule="auto"/>
        <w:rPr>
          <w:rFonts w:ascii="Cambria" w:hAnsi="Cambria" w:cs="Calibri"/>
          <w:sz w:val="24"/>
          <w:szCs w:val="24"/>
        </w:rPr>
      </w:pPr>
    </w:p>
    <w:p w14:paraId="5E6AFFBB" w14:textId="77777777" w:rsidR="002375EB" w:rsidRPr="002375EB" w:rsidRDefault="002375EB" w:rsidP="002375EB">
      <w:pPr>
        <w:spacing w:after="0" w:line="276" w:lineRule="auto"/>
        <w:rPr>
          <w:rFonts w:ascii="Cambria" w:hAnsi="Cambria" w:cs="Calibri"/>
          <w:b/>
          <w:bCs/>
          <w:sz w:val="24"/>
          <w:szCs w:val="24"/>
        </w:rPr>
      </w:pPr>
      <w:r w:rsidRPr="002375EB">
        <w:rPr>
          <w:rFonts w:ascii="Cambria" w:hAnsi="Cambria" w:cs="Calibri"/>
          <w:b/>
          <w:bCs/>
          <w:sz w:val="24"/>
          <w:szCs w:val="24"/>
        </w:rPr>
        <w:lastRenderedPageBreak/>
        <w:t>Reference list</w:t>
      </w:r>
    </w:p>
    <w:p w14:paraId="49E189D1" w14:textId="77777777" w:rsid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Boud, D., Keogh, R. and Walker, D. (1985) </w:t>
      </w:r>
      <w:r w:rsidRPr="002375EB">
        <w:rPr>
          <w:rFonts w:ascii="Cambria" w:hAnsi="Cambria" w:cs="Calibri"/>
          <w:i/>
          <w:iCs/>
          <w:sz w:val="24"/>
          <w:szCs w:val="24"/>
        </w:rPr>
        <w:t>Reflection Turning Experience into Learning</w:t>
      </w:r>
      <w:r w:rsidRPr="002375EB">
        <w:rPr>
          <w:rFonts w:ascii="Cambria" w:hAnsi="Cambria" w:cs="Calibri"/>
          <w:sz w:val="24"/>
          <w:szCs w:val="24"/>
        </w:rPr>
        <w:t>. Independence Taylor and Francis.</w:t>
      </w:r>
    </w:p>
    <w:p w14:paraId="07EB4764" w14:textId="77777777" w:rsidR="002375EB" w:rsidRPr="002375EB" w:rsidRDefault="002375EB" w:rsidP="002375EB">
      <w:pPr>
        <w:pStyle w:val="ListParagraph"/>
        <w:spacing w:before="240" w:after="0" w:line="276" w:lineRule="auto"/>
        <w:ind w:left="360"/>
        <w:rPr>
          <w:rFonts w:ascii="Cambria" w:hAnsi="Cambria" w:cs="Calibri"/>
          <w:sz w:val="24"/>
          <w:szCs w:val="24"/>
        </w:rPr>
      </w:pPr>
    </w:p>
    <w:p w14:paraId="49B9F86B" w14:textId="48811DEA" w:rsidR="002375EB" w:rsidRP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Gibbs, G. (1988) </w:t>
      </w:r>
      <w:r w:rsidRPr="002375EB">
        <w:rPr>
          <w:rFonts w:ascii="Cambria" w:hAnsi="Cambria" w:cs="Calibri"/>
          <w:i/>
          <w:iCs/>
          <w:sz w:val="24"/>
          <w:szCs w:val="24"/>
        </w:rPr>
        <w:t>Learning by Doing: A Guide to Teaching and Learning Methods</w:t>
      </w:r>
      <w:r w:rsidRPr="002375EB">
        <w:rPr>
          <w:rFonts w:ascii="Cambria" w:hAnsi="Cambria" w:cs="Calibri"/>
          <w:sz w:val="24"/>
          <w:szCs w:val="24"/>
        </w:rPr>
        <w:t>. Oxford: Further Education Unit.</w:t>
      </w:r>
    </w:p>
    <w:p w14:paraId="7B003EAA" w14:textId="77777777" w:rsidR="002375EB" w:rsidRDefault="002375EB" w:rsidP="002375EB">
      <w:pPr>
        <w:pStyle w:val="ListParagraph"/>
        <w:spacing w:before="240" w:after="0" w:line="276" w:lineRule="auto"/>
        <w:ind w:left="360"/>
        <w:rPr>
          <w:rFonts w:ascii="Cambria" w:hAnsi="Cambria" w:cs="Calibri"/>
          <w:sz w:val="24"/>
          <w:szCs w:val="24"/>
        </w:rPr>
      </w:pPr>
    </w:p>
    <w:p w14:paraId="43054A0F" w14:textId="484D6019" w:rsidR="002375EB" w:rsidRP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London, M. and Smither, J.W. (2002) ‘Feedback orientation, feedback culture, and the longitudinal performance management process’. </w:t>
      </w:r>
      <w:r w:rsidRPr="002375EB">
        <w:rPr>
          <w:rFonts w:ascii="Cambria" w:hAnsi="Cambria" w:cs="Calibri"/>
          <w:i/>
          <w:iCs/>
          <w:sz w:val="24"/>
          <w:szCs w:val="24"/>
        </w:rPr>
        <w:t>Human Resource Management Review</w:t>
      </w:r>
      <w:r w:rsidRPr="002375EB">
        <w:rPr>
          <w:rFonts w:ascii="Cambria" w:hAnsi="Cambria" w:cs="Calibri"/>
          <w:sz w:val="24"/>
          <w:szCs w:val="24"/>
        </w:rPr>
        <w:t xml:space="preserve"> 12(1), pp. 81–100. </w:t>
      </w:r>
      <w:proofErr w:type="spellStart"/>
      <w:r w:rsidRPr="002375EB">
        <w:rPr>
          <w:rFonts w:ascii="Cambria" w:hAnsi="Cambria" w:cs="Calibri"/>
          <w:sz w:val="24"/>
          <w:szCs w:val="24"/>
        </w:rPr>
        <w:t>doi</w:t>
      </w:r>
      <w:proofErr w:type="spellEnd"/>
      <w:r w:rsidRPr="002375EB">
        <w:rPr>
          <w:rFonts w:ascii="Cambria" w:hAnsi="Cambria" w:cs="Calibri"/>
          <w:sz w:val="24"/>
          <w:szCs w:val="24"/>
        </w:rPr>
        <w:t xml:space="preserve">: </w:t>
      </w:r>
      <w:hyperlink r:id="rId5" w:history="1">
        <w:r w:rsidRPr="007A74C8">
          <w:rPr>
            <w:rStyle w:val="Hyperlink"/>
            <w:rFonts w:ascii="Cambria" w:hAnsi="Cambria" w:cs="Calibri"/>
            <w:sz w:val="24"/>
            <w:szCs w:val="24"/>
          </w:rPr>
          <w:t>https://doi.org/10.1016/s1053-4822(01)00043-2</w:t>
        </w:r>
      </w:hyperlink>
      <w:r w:rsidRPr="002375EB">
        <w:rPr>
          <w:rFonts w:ascii="Cambria" w:hAnsi="Cambria" w:cs="Calibri"/>
          <w:sz w:val="24"/>
          <w:szCs w:val="24"/>
        </w:rPr>
        <w:t>.</w:t>
      </w:r>
      <w:r>
        <w:rPr>
          <w:rFonts w:ascii="Cambria" w:hAnsi="Cambria" w:cs="Calibri"/>
          <w:sz w:val="24"/>
          <w:szCs w:val="24"/>
        </w:rPr>
        <w:t xml:space="preserve"> </w:t>
      </w:r>
    </w:p>
    <w:p w14:paraId="30D63504" w14:textId="77777777" w:rsidR="002375EB" w:rsidRDefault="002375EB" w:rsidP="002375EB">
      <w:pPr>
        <w:pStyle w:val="ListParagraph"/>
        <w:spacing w:before="240" w:after="0" w:line="276" w:lineRule="auto"/>
        <w:ind w:left="360"/>
        <w:rPr>
          <w:rFonts w:ascii="Cambria" w:hAnsi="Cambria" w:cs="Calibri"/>
          <w:sz w:val="24"/>
          <w:szCs w:val="24"/>
        </w:rPr>
      </w:pPr>
    </w:p>
    <w:p w14:paraId="3CF6EC9A" w14:textId="40CC5A75" w:rsidR="002375EB" w:rsidRP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Mezirow, J. (1997) ‘Transformation Theory out of Context’. </w:t>
      </w:r>
      <w:r w:rsidRPr="002375EB">
        <w:rPr>
          <w:rFonts w:ascii="Cambria" w:hAnsi="Cambria" w:cs="Calibri"/>
          <w:i/>
          <w:iCs/>
          <w:sz w:val="24"/>
          <w:szCs w:val="24"/>
        </w:rPr>
        <w:t>Adult Education Quarterly</w:t>
      </w:r>
      <w:r w:rsidRPr="002375EB">
        <w:rPr>
          <w:rFonts w:ascii="Cambria" w:hAnsi="Cambria" w:cs="Calibri"/>
          <w:sz w:val="24"/>
          <w:szCs w:val="24"/>
        </w:rPr>
        <w:t xml:space="preserve"> 48(1), pp. 60–62. </w:t>
      </w:r>
      <w:proofErr w:type="spellStart"/>
      <w:r w:rsidRPr="002375EB">
        <w:rPr>
          <w:rFonts w:ascii="Cambria" w:hAnsi="Cambria" w:cs="Calibri"/>
          <w:sz w:val="24"/>
          <w:szCs w:val="24"/>
        </w:rPr>
        <w:t>doi</w:t>
      </w:r>
      <w:proofErr w:type="spellEnd"/>
      <w:r w:rsidRPr="002375EB">
        <w:rPr>
          <w:rFonts w:ascii="Cambria" w:hAnsi="Cambria" w:cs="Calibri"/>
          <w:sz w:val="24"/>
          <w:szCs w:val="24"/>
        </w:rPr>
        <w:t xml:space="preserve">: </w:t>
      </w:r>
      <w:hyperlink r:id="rId6" w:history="1">
        <w:r w:rsidRPr="007A74C8">
          <w:rPr>
            <w:rStyle w:val="Hyperlink"/>
            <w:rFonts w:ascii="Cambria" w:hAnsi="Cambria" w:cs="Calibri"/>
            <w:sz w:val="24"/>
            <w:szCs w:val="24"/>
          </w:rPr>
          <w:t>https://doi.org/10.1177/074171369704800105</w:t>
        </w:r>
      </w:hyperlink>
      <w:r w:rsidRPr="002375EB">
        <w:rPr>
          <w:rFonts w:ascii="Cambria" w:hAnsi="Cambria" w:cs="Calibri"/>
          <w:sz w:val="24"/>
          <w:szCs w:val="24"/>
        </w:rPr>
        <w:t>.</w:t>
      </w:r>
      <w:r>
        <w:rPr>
          <w:rFonts w:ascii="Cambria" w:hAnsi="Cambria" w:cs="Calibri"/>
          <w:sz w:val="24"/>
          <w:szCs w:val="24"/>
        </w:rPr>
        <w:t xml:space="preserve"> </w:t>
      </w:r>
    </w:p>
    <w:p w14:paraId="734136BD" w14:textId="77777777" w:rsidR="002375EB" w:rsidRDefault="002375EB" w:rsidP="002375EB">
      <w:pPr>
        <w:pStyle w:val="ListParagraph"/>
        <w:spacing w:before="240" w:after="0" w:line="276" w:lineRule="auto"/>
        <w:ind w:left="360"/>
        <w:rPr>
          <w:rFonts w:ascii="Cambria" w:hAnsi="Cambria" w:cs="Calibri"/>
          <w:sz w:val="24"/>
          <w:szCs w:val="24"/>
        </w:rPr>
      </w:pPr>
    </w:p>
    <w:p w14:paraId="67DFB0E7" w14:textId="4DE3C795" w:rsidR="002375EB" w:rsidRP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 xml:space="preserve">Sargeant, J., Mann, K., Sinclair, D., Van der Vleuten, C. and </w:t>
      </w:r>
      <w:proofErr w:type="spellStart"/>
      <w:r w:rsidRPr="002375EB">
        <w:rPr>
          <w:rFonts w:ascii="Cambria" w:hAnsi="Cambria" w:cs="Calibri"/>
          <w:sz w:val="24"/>
          <w:szCs w:val="24"/>
        </w:rPr>
        <w:t>Metsemakers</w:t>
      </w:r>
      <w:proofErr w:type="spellEnd"/>
      <w:r w:rsidRPr="002375EB">
        <w:rPr>
          <w:rFonts w:ascii="Cambria" w:hAnsi="Cambria" w:cs="Calibri"/>
          <w:sz w:val="24"/>
          <w:szCs w:val="24"/>
        </w:rPr>
        <w:t>, J. (2006) ‘Understanding the influence of emotions and reflection upon multi-source feedback acceptance and use’. </w:t>
      </w:r>
      <w:r w:rsidRPr="002375EB">
        <w:rPr>
          <w:rFonts w:ascii="Cambria" w:hAnsi="Cambria" w:cs="Calibri"/>
          <w:i/>
          <w:iCs/>
          <w:sz w:val="24"/>
          <w:szCs w:val="24"/>
        </w:rPr>
        <w:t>Advances in Health Sciences Education</w:t>
      </w:r>
      <w:r w:rsidRPr="002375EB">
        <w:rPr>
          <w:rFonts w:ascii="Cambria" w:hAnsi="Cambria" w:cs="Calibri"/>
          <w:sz w:val="24"/>
          <w:szCs w:val="24"/>
        </w:rPr>
        <w:t xml:space="preserve"> 13(3), pp. 275–288. </w:t>
      </w:r>
      <w:proofErr w:type="spellStart"/>
      <w:r w:rsidRPr="002375EB">
        <w:rPr>
          <w:rFonts w:ascii="Cambria" w:hAnsi="Cambria" w:cs="Calibri"/>
          <w:sz w:val="24"/>
          <w:szCs w:val="24"/>
        </w:rPr>
        <w:t>doi</w:t>
      </w:r>
      <w:proofErr w:type="spellEnd"/>
      <w:r w:rsidRPr="002375EB">
        <w:rPr>
          <w:rFonts w:ascii="Cambria" w:hAnsi="Cambria" w:cs="Calibri"/>
          <w:sz w:val="24"/>
          <w:szCs w:val="24"/>
        </w:rPr>
        <w:t xml:space="preserve">: </w:t>
      </w:r>
      <w:hyperlink r:id="rId7" w:history="1">
        <w:r w:rsidRPr="007A74C8">
          <w:rPr>
            <w:rStyle w:val="Hyperlink"/>
            <w:rFonts w:ascii="Cambria" w:hAnsi="Cambria" w:cs="Calibri"/>
            <w:sz w:val="24"/>
            <w:szCs w:val="24"/>
          </w:rPr>
          <w:t>https://doi.org/10.1007/s10459-006-9039-x</w:t>
        </w:r>
      </w:hyperlink>
      <w:r w:rsidRPr="002375EB">
        <w:rPr>
          <w:rFonts w:ascii="Cambria" w:hAnsi="Cambria" w:cs="Calibri"/>
          <w:sz w:val="24"/>
          <w:szCs w:val="24"/>
        </w:rPr>
        <w:t>.</w:t>
      </w:r>
      <w:r>
        <w:rPr>
          <w:rFonts w:ascii="Cambria" w:hAnsi="Cambria" w:cs="Calibri"/>
          <w:sz w:val="24"/>
          <w:szCs w:val="24"/>
        </w:rPr>
        <w:t xml:space="preserve"> </w:t>
      </w:r>
    </w:p>
    <w:p w14:paraId="06F590E7" w14:textId="77777777" w:rsidR="002375EB" w:rsidRDefault="002375EB" w:rsidP="002375EB">
      <w:pPr>
        <w:pStyle w:val="ListParagraph"/>
        <w:spacing w:before="240" w:after="0" w:line="276" w:lineRule="auto"/>
        <w:ind w:left="360"/>
        <w:rPr>
          <w:rFonts w:ascii="Cambria" w:hAnsi="Cambria" w:cs="Calibri"/>
          <w:sz w:val="24"/>
          <w:szCs w:val="24"/>
        </w:rPr>
      </w:pPr>
    </w:p>
    <w:p w14:paraId="0B926969" w14:textId="27DDE70C" w:rsidR="002375EB" w:rsidRP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Schön, D.A. (1983) </w:t>
      </w:r>
      <w:r w:rsidRPr="002375EB">
        <w:rPr>
          <w:rFonts w:ascii="Cambria" w:hAnsi="Cambria" w:cs="Calibri"/>
          <w:i/>
          <w:iCs/>
          <w:sz w:val="24"/>
          <w:szCs w:val="24"/>
        </w:rPr>
        <w:t>The Reflective Practitioner: How Professionals Think in action.</w:t>
      </w:r>
      <w:r w:rsidRPr="002375EB">
        <w:rPr>
          <w:rFonts w:ascii="Cambria" w:hAnsi="Cambria" w:cs="Calibri"/>
          <w:sz w:val="24"/>
          <w:szCs w:val="24"/>
        </w:rPr>
        <w:t> London: Temple Smith.</w:t>
      </w:r>
    </w:p>
    <w:p w14:paraId="33C98D5B" w14:textId="77777777" w:rsidR="002375EB" w:rsidRDefault="002375EB" w:rsidP="002375EB">
      <w:pPr>
        <w:pStyle w:val="ListParagraph"/>
        <w:spacing w:before="240" w:after="0" w:line="276" w:lineRule="auto"/>
        <w:ind w:left="360"/>
        <w:rPr>
          <w:rFonts w:ascii="Cambria" w:hAnsi="Cambria" w:cs="Calibri"/>
          <w:sz w:val="24"/>
          <w:szCs w:val="24"/>
        </w:rPr>
      </w:pPr>
    </w:p>
    <w:p w14:paraId="0AE28C4F" w14:textId="31637788" w:rsidR="002375EB" w:rsidRPr="002375EB" w:rsidRDefault="002375EB" w:rsidP="002375EB">
      <w:pPr>
        <w:pStyle w:val="ListParagraph"/>
        <w:numPr>
          <w:ilvl w:val="0"/>
          <w:numId w:val="2"/>
        </w:numPr>
        <w:spacing w:before="240" w:after="0" w:line="276" w:lineRule="auto"/>
        <w:rPr>
          <w:rFonts w:ascii="Cambria" w:hAnsi="Cambria" w:cs="Calibri"/>
          <w:sz w:val="24"/>
          <w:szCs w:val="24"/>
        </w:rPr>
      </w:pPr>
      <w:r w:rsidRPr="002375EB">
        <w:rPr>
          <w:rFonts w:ascii="Cambria" w:hAnsi="Cambria" w:cs="Calibri"/>
          <w:sz w:val="24"/>
          <w:szCs w:val="24"/>
        </w:rPr>
        <w:t>West, M., Armit, K., Loewenthal, L., Eckert, R., West, T. and Lee, A. (2015) </w:t>
      </w:r>
      <w:r w:rsidRPr="002375EB">
        <w:rPr>
          <w:rFonts w:ascii="Cambria" w:hAnsi="Cambria" w:cs="Calibri"/>
          <w:i/>
          <w:iCs/>
          <w:sz w:val="24"/>
          <w:szCs w:val="24"/>
        </w:rPr>
        <w:t>Leadership and Leadership Development in Health Care</w:t>
      </w:r>
      <w:r w:rsidRPr="002375EB">
        <w:rPr>
          <w:rFonts w:ascii="Cambria" w:hAnsi="Cambria" w:cs="Calibri"/>
          <w:sz w:val="24"/>
          <w:szCs w:val="24"/>
        </w:rPr>
        <w:t xml:space="preserve">. Available at: </w:t>
      </w:r>
      <w:hyperlink r:id="rId8" w:history="1">
        <w:r w:rsidRPr="007A74C8">
          <w:rPr>
            <w:rStyle w:val="Hyperlink"/>
            <w:rFonts w:ascii="Cambria" w:hAnsi="Cambria" w:cs="Calibri"/>
            <w:sz w:val="24"/>
            <w:szCs w:val="24"/>
          </w:rPr>
          <w:t>https://www.kingsfund.org.uk/insight-and-analysis/reports/leadership-development-health-care</w:t>
        </w:r>
      </w:hyperlink>
      <w:r w:rsidRPr="002375EB">
        <w:rPr>
          <w:rFonts w:ascii="Cambria" w:hAnsi="Cambria" w:cs="Calibri"/>
          <w:sz w:val="24"/>
          <w:szCs w:val="24"/>
        </w:rPr>
        <w:t>.</w:t>
      </w:r>
      <w:r>
        <w:rPr>
          <w:rFonts w:ascii="Cambria" w:hAnsi="Cambria" w:cs="Calibri"/>
          <w:sz w:val="24"/>
          <w:szCs w:val="24"/>
        </w:rPr>
        <w:t xml:space="preserve"> </w:t>
      </w:r>
    </w:p>
    <w:p w14:paraId="2FA46863" w14:textId="77777777" w:rsidR="00F359C0" w:rsidRPr="002342CF" w:rsidRDefault="00F359C0" w:rsidP="002375EB">
      <w:pPr>
        <w:spacing w:line="276" w:lineRule="auto"/>
        <w:rPr>
          <w:rFonts w:ascii="Cambria" w:hAnsi="Cambria" w:cs="Calibri"/>
          <w:sz w:val="24"/>
          <w:szCs w:val="24"/>
        </w:rPr>
      </w:pPr>
    </w:p>
    <w:sectPr w:rsidR="00F359C0" w:rsidRPr="002342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127B1C"/>
    <w:multiLevelType w:val="hybridMultilevel"/>
    <w:tmpl w:val="8D80D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F7A7EF0"/>
    <w:multiLevelType w:val="hybridMultilevel"/>
    <w:tmpl w:val="03A2A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4474200">
    <w:abstractNumId w:val="1"/>
  </w:num>
  <w:num w:numId="2" w16cid:durableId="6403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669"/>
    <w:rsid w:val="00080669"/>
    <w:rsid w:val="00103DC2"/>
    <w:rsid w:val="002342CF"/>
    <w:rsid w:val="002375EB"/>
    <w:rsid w:val="003D383B"/>
    <w:rsid w:val="003F7BCF"/>
    <w:rsid w:val="00461A6C"/>
    <w:rsid w:val="004E3C52"/>
    <w:rsid w:val="004E55BA"/>
    <w:rsid w:val="004F45D6"/>
    <w:rsid w:val="00644374"/>
    <w:rsid w:val="006B5D85"/>
    <w:rsid w:val="0098161D"/>
    <w:rsid w:val="00B84EF3"/>
    <w:rsid w:val="00B91F9D"/>
    <w:rsid w:val="00BA14CD"/>
    <w:rsid w:val="00C209B7"/>
    <w:rsid w:val="00C33314"/>
    <w:rsid w:val="00E04589"/>
    <w:rsid w:val="00F35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ED978"/>
  <w15:chartTrackingRefBased/>
  <w15:docId w15:val="{8E37455F-7642-4DFA-8E61-9FCEA327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6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6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6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6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6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6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6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6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6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6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6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6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6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6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6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6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6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669"/>
    <w:rPr>
      <w:rFonts w:eastAsiaTheme="majorEastAsia" w:cstheme="majorBidi"/>
      <w:color w:val="272727" w:themeColor="text1" w:themeTint="D8"/>
    </w:rPr>
  </w:style>
  <w:style w:type="paragraph" w:styleId="Title">
    <w:name w:val="Title"/>
    <w:basedOn w:val="Normal"/>
    <w:next w:val="Normal"/>
    <w:link w:val="TitleChar"/>
    <w:uiPriority w:val="10"/>
    <w:qFormat/>
    <w:rsid w:val="000806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6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6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6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669"/>
    <w:pPr>
      <w:spacing w:before="160"/>
      <w:jc w:val="center"/>
    </w:pPr>
    <w:rPr>
      <w:i/>
      <w:iCs/>
      <w:color w:val="404040" w:themeColor="text1" w:themeTint="BF"/>
    </w:rPr>
  </w:style>
  <w:style w:type="character" w:customStyle="1" w:styleId="QuoteChar">
    <w:name w:val="Quote Char"/>
    <w:basedOn w:val="DefaultParagraphFont"/>
    <w:link w:val="Quote"/>
    <w:uiPriority w:val="29"/>
    <w:rsid w:val="00080669"/>
    <w:rPr>
      <w:i/>
      <w:iCs/>
      <w:color w:val="404040" w:themeColor="text1" w:themeTint="BF"/>
    </w:rPr>
  </w:style>
  <w:style w:type="paragraph" w:styleId="ListParagraph">
    <w:name w:val="List Paragraph"/>
    <w:basedOn w:val="Normal"/>
    <w:uiPriority w:val="34"/>
    <w:qFormat/>
    <w:rsid w:val="00080669"/>
    <w:pPr>
      <w:ind w:left="720"/>
      <w:contextualSpacing/>
    </w:pPr>
  </w:style>
  <w:style w:type="character" w:styleId="IntenseEmphasis">
    <w:name w:val="Intense Emphasis"/>
    <w:basedOn w:val="DefaultParagraphFont"/>
    <w:uiPriority w:val="21"/>
    <w:qFormat/>
    <w:rsid w:val="00080669"/>
    <w:rPr>
      <w:i/>
      <w:iCs/>
      <w:color w:val="0F4761" w:themeColor="accent1" w:themeShade="BF"/>
    </w:rPr>
  </w:style>
  <w:style w:type="paragraph" w:styleId="IntenseQuote">
    <w:name w:val="Intense Quote"/>
    <w:basedOn w:val="Normal"/>
    <w:next w:val="Normal"/>
    <w:link w:val="IntenseQuoteChar"/>
    <w:uiPriority w:val="30"/>
    <w:qFormat/>
    <w:rsid w:val="000806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669"/>
    <w:rPr>
      <w:i/>
      <w:iCs/>
      <w:color w:val="0F4761" w:themeColor="accent1" w:themeShade="BF"/>
    </w:rPr>
  </w:style>
  <w:style w:type="character" w:styleId="IntenseReference">
    <w:name w:val="Intense Reference"/>
    <w:basedOn w:val="DefaultParagraphFont"/>
    <w:uiPriority w:val="32"/>
    <w:qFormat/>
    <w:rsid w:val="00080669"/>
    <w:rPr>
      <w:b/>
      <w:bCs/>
      <w:smallCaps/>
      <w:color w:val="0F4761" w:themeColor="accent1" w:themeShade="BF"/>
      <w:spacing w:val="5"/>
    </w:rPr>
  </w:style>
  <w:style w:type="paragraph" w:styleId="NormalWeb">
    <w:name w:val="Normal (Web)"/>
    <w:basedOn w:val="Normal"/>
    <w:uiPriority w:val="99"/>
    <w:unhideWhenUsed/>
    <w:rsid w:val="004F45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45D6"/>
    <w:rPr>
      <w:b/>
      <w:bCs/>
    </w:rPr>
  </w:style>
  <w:style w:type="character" w:styleId="Emphasis">
    <w:name w:val="Emphasis"/>
    <w:basedOn w:val="DefaultParagraphFont"/>
    <w:uiPriority w:val="20"/>
    <w:qFormat/>
    <w:rsid w:val="004F45D6"/>
    <w:rPr>
      <w:i/>
      <w:iCs/>
    </w:rPr>
  </w:style>
  <w:style w:type="character" w:styleId="Hyperlink">
    <w:name w:val="Hyperlink"/>
    <w:basedOn w:val="DefaultParagraphFont"/>
    <w:uiPriority w:val="99"/>
    <w:unhideWhenUsed/>
    <w:rsid w:val="002375EB"/>
    <w:rPr>
      <w:color w:val="467886" w:themeColor="hyperlink"/>
      <w:u w:val="single"/>
    </w:rPr>
  </w:style>
  <w:style w:type="character" w:styleId="UnresolvedMention">
    <w:name w:val="Unresolved Mention"/>
    <w:basedOn w:val="DefaultParagraphFont"/>
    <w:uiPriority w:val="99"/>
    <w:semiHidden/>
    <w:unhideWhenUsed/>
    <w:rsid w:val="00237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555825">
      <w:bodyDiv w:val="1"/>
      <w:marLeft w:val="0"/>
      <w:marRight w:val="0"/>
      <w:marTop w:val="0"/>
      <w:marBottom w:val="0"/>
      <w:divBdr>
        <w:top w:val="none" w:sz="0" w:space="0" w:color="auto"/>
        <w:left w:val="none" w:sz="0" w:space="0" w:color="auto"/>
        <w:bottom w:val="none" w:sz="0" w:space="0" w:color="auto"/>
        <w:right w:val="none" w:sz="0" w:space="0" w:color="auto"/>
      </w:divBdr>
    </w:div>
    <w:div w:id="348876141">
      <w:bodyDiv w:val="1"/>
      <w:marLeft w:val="0"/>
      <w:marRight w:val="0"/>
      <w:marTop w:val="0"/>
      <w:marBottom w:val="0"/>
      <w:divBdr>
        <w:top w:val="none" w:sz="0" w:space="0" w:color="auto"/>
        <w:left w:val="none" w:sz="0" w:space="0" w:color="auto"/>
        <w:bottom w:val="none" w:sz="0" w:space="0" w:color="auto"/>
        <w:right w:val="none" w:sz="0" w:space="0" w:color="auto"/>
      </w:divBdr>
    </w:div>
    <w:div w:id="584341505">
      <w:bodyDiv w:val="1"/>
      <w:marLeft w:val="0"/>
      <w:marRight w:val="0"/>
      <w:marTop w:val="0"/>
      <w:marBottom w:val="0"/>
      <w:divBdr>
        <w:top w:val="none" w:sz="0" w:space="0" w:color="auto"/>
        <w:left w:val="none" w:sz="0" w:space="0" w:color="auto"/>
        <w:bottom w:val="none" w:sz="0" w:space="0" w:color="auto"/>
        <w:right w:val="none" w:sz="0" w:space="0" w:color="auto"/>
      </w:divBdr>
    </w:div>
    <w:div w:id="616914631">
      <w:bodyDiv w:val="1"/>
      <w:marLeft w:val="0"/>
      <w:marRight w:val="0"/>
      <w:marTop w:val="0"/>
      <w:marBottom w:val="0"/>
      <w:divBdr>
        <w:top w:val="none" w:sz="0" w:space="0" w:color="auto"/>
        <w:left w:val="none" w:sz="0" w:space="0" w:color="auto"/>
        <w:bottom w:val="none" w:sz="0" w:space="0" w:color="auto"/>
        <w:right w:val="none" w:sz="0" w:space="0" w:color="auto"/>
      </w:divBdr>
    </w:div>
    <w:div w:id="674259440">
      <w:bodyDiv w:val="1"/>
      <w:marLeft w:val="0"/>
      <w:marRight w:val="0"/>
      <w:marTop w:val="0"/>
      <w:marBottom w:val="0"/>
      <w:divBdr>
        <w:top w:val="none" w:sz="0" w:space="0" w:color="auto"/>
        <w:left w:val="none" w:sz="0" w:space="0" w:color="auto"/>
        <w:bottom w:val="none" w:sz="0" w:space="0" w:color="auto"/>
        <w:right w:val="none" w:sz="0" w:space="0" w:color="auto"/>
      </w:divBdr>
    </w:div>
    <w:div w:id="702053912">
      <w:bodyDiv w:val="1"/>
      <w:marLeft w:val="0"/>
      <w:marRight w:val="0"/>
      <w:marTop w:val="0"/>
      <w:marBottom w:val="0"/>
      <w:divBdr>
        <w:top w:val="none" w:sz="0" w:space="0" w:color="auto"/>
        <w:left w:val="none" w:sz="0" w:space="0" w:color="auto"/>
        <w:bottom w:val="none" w:sz="0" w:space="0" w:color="auto"/>
        <w:right w:val="none" w:sz="0" w:space="0" w:color="auto"/>
      </w:divBdr>
    </w:div>
    <w:div w:id="717633491">
      <w:bodyDiv w:val="1"/>
      <w:marLeft w:val="0"/>
      <w:marRight w:val="0"/>
      <w:marTop w:val="0"/>
      <w:marBottom w:val="0"/>
      <w:divBdr>
        <w:top w:val="none" w:sz="0" w:space="0" w:color="auto"/>
        <w:left w:val="none" w:sz="0" w:space="0" w:color="auto"/>
        <w:bottom w:val="none" w:sz="0" w:space="0" w:color="auto"/>
        <w:right w:val="none" w:sz="0" w:space="0" w:color="auto"/>
      </w:divBdr>
    </w:div>
    <w:div w:id="722098159">
      <w:bodyDiv w:val="1"/>
      <w:marLeft w:val="0"/>
      <w:marRight w:val="0"/>
      <w:marTop w:val="0"/>
      <w:marBottom w:val="0"/>
      <w:divBdr>
        <w:top w:val="none" w:sz="0" w:space="0" w:color="auto"/>
        <w:left w:val="none" w:sz="0" w:space="0" w:color="auto"/>
        <w:bottom w:val="none" w:sz="0" w:space="0" w:color="auto"/>
        <w:right w:val="none" w:sz="0" w:space="0" w:color="auto"/>
      </w:divBdr>
    </w:div>
    <w:div w:id="736514614">
      <w:bodyDiv w:val="1"/>
      <w:marLeft w:val="0"/>
      <w:marRight w:val="0"/>
      <w:marTop w:val="0"/>
      <w:marBottom w:val="0"/>
      <w:divBdr>
        <w:top w:val="none" w:sz="0" w:space="0" w:color="auto"/>
        <w:left w:val="none" w:sz="0" w:space="0" w:color="auto"/>
        <w:bottom w:val="none" w:sz="0" w:space="0" w:color="auto"/>
        <w:right w:val="none" w:sz="0" w:space="0" w:color="auto"/>
      </w:divBdr>
    </w:div>
    <w:div w:id="789055736">
      <w:bodyDiv w:val="1"/>
      <w:marLeft w:val="0"/>
      <w:marRight w:val="0"/>
      <w:marTop w:val="0"/>
      <w:marBottom w:val="0"/>
      <w:divBdr>
        <w:top w:val="none" w:sz="0" w:space="0" w:color="auto"/>
        <w:left w:val="none" w:sz="0" w:space="0" w:color="auto"/>
        <w:bottom w:val="none" w:sz="0" w:space="0" w:color="auto"/>
        <w:right w:val="none" w:sz="0" w:space="0" w:color="auto"/>
      </w:divBdr>
    </w:div>
    <w:div w:id="865363187">
      <w:bodyDiv w:val="1"/>
      <w:marLeft w:val="0"/>
      <w:marRight w:val="0"/>
      <w:marTop w:val="0"/>
      <w:marBottom w:val="0"/>
      <w:divBdr>
        <w:top w:val="none" w:sz="0" w:space="0" w:color="auto"/>
        <w:left w:val="none" w:sz="0" w:space="0" w:color="auto"/>
        <w:bottom w:val="none" w:sz="0" w:space="0" w:color="auto"/>
        <w:right w:val="none" w:sz="0" w:space="0" w:color="auto"/>
      </w:divBdr>
    </w:div>
    <w:div w:id="1242330660">
      <w:bodyDiv w:val="1"/>
      <w:marLeft w:val="0"/>
      <w:marRight w:val="0"/>
      <w:marTop w:val="0"/>
      <w:marBottom w:val="0"/>
      <w:divBdr>
        <w:top w:val="none" w:sz="0" w:space="0" w:color="auto"/>
        <w:left w:val="none" w:sz="0" w:space="0" w:color="auto"/>
        <w:bottom w:val="none" w:sz="0" w:space="0" w:color="auto"/>
        <w:right w:val="none" w:sz="0" w:space="0" w:color="auto"/>
      </w:divBdr>
    </w:div>
    <w:div w:id="1257520941">
      <w:bodyDiv w:val="1"/>
      <w:marLeft w:val="0"/>
      <w:marRight w:val="0"/>
      <w:marTop w:val="0"/>
      <w:marBottom w:val="0"/>
      <w:divBdr>
        <w:top w:val="none" w:sz="0" w:space="0" w:color="auto"/>
        <w:left w:val="none" w:sz="0" w:space="0" w:color="auto"/>
        <w:bottom w:val="none" w:sz="0" w:space="0" w:color="auto"/>
        <w:right w:val="none" w:sz="0" w:space="0" w:color="auto"/>
      </w:divBdr>
    </w:div>
    <w:div w:id="1283030085">
      <w:bodyDiv w:val="1"/>
      <w:marLeft w:val="0"/>
      <w:marRight w:val="0"/>
      <w:marTop w:val="0"/>
      <w:marBottom w:val="0"/>
      <w:divBdr>
        <w:top w:val="none" w:sz="0" w:space="0" w:color="auto"/>
        <w:left w:val="none" w:sz="0" w:space="0" w:color="auto"/>
        <w:bottom w:val="none" w:sz="0" w:space="0" w:color="auto"/>
        <w:right w:val="none" w:sz="0" w:space="0" w:color="auto"/>
      </w:divBdr>
    </w:div>
    <w:div w:id="1331985440">
      <w:bodyDiv w:val="1"/>
      <w:marLeft w:val="0"/>
      <w:marRight w:val="0"/>
      <w:marTop w:val="0"/>
      <w:marBottom w:val="0"/>
      <w:divBdr>
        <w:top w:val="none" w:sz="0" w:space="0" w:color="auto"/>
        <w:left w:val="none" w:sz="0" w:space="0" w:color="auto"/>
        <w:bottom w:val="none" w:sz="0" w:space="0" w:color="auto"/>
        <w:right w:val="none" w:sz="0" w:space="0" w:color="auto"/>
      </w:divBdr>
    </w:div>
    <w:div w:id="1381975497">
      <w:bodyDiv w:val="1"/>
      <w:marLeft w:val="0"/>
      <w:marRight w:val="0"/>
      <w:marTop w:val="0"/>
      <w:marBottom w:val="0"/>
      <w:divBdr>
        <w:top w:val="none" w:sz="0" w:space="0" w:color="auto"/>
        <w:left w:val="none" w:sz="0" w:space="0" w:color="auto"/>
        <w:bottom w:val="none" w:sz="0" w:space="0" w:color="auto"/>
        <w:right w:val="none" w:sz="0" w:space="0" w:color="auto"/>
      </w:divBdr>
    </w:div>
    <w:div w:id="1394237733">
      <w:bodyDiv w:val="1"/>
      <w:marLeft w:val="0"/>
      <w:marRight w:val="0"/>
      <w:marTop w:val="0"/>
      <w:marBottom w:val="0"/>
      <w:divBdr>
        <w:top w:val="none" w:sz="0" w:space="0" w:color="auto"/>
        <w:left w:val="none" w:sz="0" w:space="0" w:color="auto"/>
        <w:bottom w:val="none" w:sz="0" w:space="0" w:color="auto"/>
        <w:right w:val="none" w:sz="0" w:space="0" w:color="auto"/>
      </w:divBdr>
    </w:div>
    <w:div w:id="1440445807">
      <w:bodyDiv w:val="1"/>
      <w:marLeft w:val="0"/>
      <w:marRight w:val="0"/>
      <w:marTop w:val="0"/>
      <w:marBottom w:val="0"/>
      <w:divBdr>
        <w:top w:val="none" w:sz="0" w:space="0" w:color="auto"/>
        <w:left w:val="none" w:sz="0" w:space="0" w:color="auto"/>
        <w:bottom w:val="none" w:sz="0" w:space="0" w:color="auto"/>
        <w:right w:val="none" w:sz="0" w:space="0" w:color="auto"/>
      </w:divBdr>
    </w:div>
    <w:div w:id="1782146518">
      <w:bodyDiv w:val="1"/>
      <w:marLeft w:val="0"/>
      <w:marRight w:val="0"/>
      <w:marTop w:val="0"/>
      <w:marBottom w:val="0"/>
      <w:divBdr>
        <w:top w:val="none" w:sz="0" w:space="0" w:color="auto"/>
        <w:left w:val="none" w:sz="0" w:space="0" w:color="auto"/>
        <w:bottom w:val="none" w:sz="0" w:space="0" w:color="auto"/>
        <w:right w:val="none" w:sz="0" w:space="0" w:color="auto"/>
      </w:divBdr>
    </w:div>
    <w:div w:id="1787039662">
      <w:bodyDiv w:val="1"/>
      <w:marLeft w:val="0"/>
      <w:marRight w:val="0"/>
      <w:marTop w:val="0"/>
      <w:marBottom w:val="0"/>
      <w:divBdr>
        <w:top w:val="none" w:sz="0" w:space="0" w:color="auto"/>
        <w:left w:val="none" w:sz="0" w:space="0" w:color="auto"/>
        <w:bottom w:val="none" w:sz="0" w:space="0" w:color="auto"/>
        <w:right w:val="none" w:sz="0" w:space="0" w:color="auto"/>
      </w:divBdr>
    </w:div>
    <w:div w:id="1828666420">
      <w:bodyDiv w:val="1"/>
      <w:marLeft w:val="0"/>
      <w:marRight w:val="0"/>
      <w:marTop w:val="0"/>
      <w:marBottom w:val="0"/>
      <w:divBdr>
        <w:top w:val="none" w:sz="0" w:space="0" w:color="auto"/>
        <w:left w:val="none" w:sz="0" w:space="0" w:color="auto"/>
        <w:bottom w:val="none" w:sz="0" w:space="0" w:color="auto"/>
        <w:right w:val="none" w:sz="0" w:space="0" w:color="auto"/>
      </w:divBdr>
    </w:div>
    <w:div w:id="2038895631">
      <w:bodyDiv w:val="1"/>
      <w:marLeft w:val="0"/>
      <w:marRight w:val="0"/>
      <w:marTop w:val="0"/>
      <w:marBottom w:val="0"/>
      <w:divBdr>
        <w:top w:val="none" w:sz="0" w:space="0" w:color="auto"/>
        <w:left w:val="none" w:sz="0" w:space="0" w:color="auto"/>
        <w:bottom w:val="none" w:sz="0" w:space="0" w:color="auto"/>
        <w:right w:val="none" w:sz="0" w:space="0" w:color="auto"/>
      </w:divBdr>
    </w:div>
    <w:div w:id="214172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reports/leadership-development-health-care" TargetMode="External"/><Relationship Id="rId3" Type="http://schemas.openxmlformats.org/officeDocument/2006/relationships/settings" Target="settings.xml"/><Relationship Id="rId7" Type="http://schemas.openxmlformats.org/officeDocument/2006/relationships/hyperlink" Target="https://doi.org/10.1007/s10459-006-9039-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74171369704800105" TargetMode="External"/><Relationship Id="rId5" Type="http://schemas.openxmlformats.org/officeDocument/2006/relationships/hyperlink" Target="https://doi.org/10.1016/s1053-4822(01)00043-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4</Pages>
  <Words>1493</Words>
  <Characters>8515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Chauhan, Munish (RTH) OUH</dc:creator>
  <cp:keywords/>
  <dc:description/>
  <cp:lastModifiedBy>Chauhan, Munish (RTH) OUH</cp:lastModifiedBy>
  <cp:revision>16</cp:revision>
  <dcterms:created xsi:type="dcterms:W3CDTF">2026-01-10T13:29:00Z</dcterms:created>
  <dcterms:modified xsi:type="dcterms:W3CDTF">2026-01-12T14:46:00Z</dcterms:modified>
</cp:coreProperties>
</file>