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EEDBB" w14:textId="745701C4" w:rsidR="00B0101F" w:rsidRPr="009C7644" w:rsidRDefault="00B0101F" w:rsidP="00B0101F">
      <w:pPr>
        <w:jc w:val="center"/>
        <w:rPr>
          <w:rFonts w:ascii="Arial" w:hAnsi="Arial" w:cs="Arial"/>
          <w:sz w:val="24"/>
          <w:szCs w:val="24"/>
          <w:u w:val="single"/>
        </w:rPr>
      </w:pPr>
      <w:r w:rsidRPr="009C7644">
        <w:rPr>
          <w:rFonts w:ascii="Arial" w:hAnsi="Arial" w:cs="Arial"/>
          <w:sz w:val="24"/>
          <w:szCs w:val="24"/>
          <w:u w:val="single"/>
        </w:rPr>
        <w:t xml:space="preserve">Barriers to Accessing Good Quality, Consistent Education for Children and Young People </w:t>
      </w:r>
      <w:proofErr w:type="gramStart"/>
      <w:r w:rsidRPr="009C7644">
        <w:rPr>
          <w:rFonts w:ascii="Arial" w:hAnsi="Arial" w:cs="Arial"/>
          <w:sz w:val="24"/>
          <w:szCs w:val="24"/>
          <w:u w:val="single"/>
        </w:rPr>
        <w:t>In</w:t>
      </w:r>
      <w:proofErr w:type="gramEnd"/>
      <w:r w:rsidRPr="009C7644">
        <w:rPr>
          <w:rFonts w:ascii="Arial" w:hAnsi="Arial" w:cs="Arial"/>
          <w:sz w:val="24"/>
          <w:szCs w:val="24"/>
          <w:u w:val="single"/>
        </w:rPr>
        <w:t xml:space="preserve"> The Republic of Mali</w:t>
      </w:r>
    </w:p>
    <w:p w14:paraId="29685DF3" w14:textId="79A1DE37" w:rsidR="00544AC3" w:rsidRPr="009C7644" w:rsidRDefault="0003473B" w:rsidP="009C7644">
      <w:pPr>
        <w:spacing w:before="30" w:line="360" w:lineRule="auto"/>
        <w:ind w:left="284" w:right="284"/>
        <w:jc w:val="both"/>
        <w:rPr>
          <w:rFonts w:ascii="Arial" w:hAnsi="Arial" w:cs="Arial"/>
          <w:sz w:val="24"/>
          <w:szCs w:val="24"/>
        </w:rPr>
      </w:pPr>
      <w:r w:rsidRPr="009C7644">
        <w:rPr>
          <w:rFonts w:ascii="Arial" w:hAnsi="Arial" w:cs="Arial"/>
          <w:sz w:val="24"/>
          <w:szCs w:val="24"/>
        </w:rPr>
        <w:t xml:space="preserve">All over the world there are children unable to access good quality and consistent education. It was estimated by the UNESCO Institute for Statistics in 2018 that 258 million children and young people are out of school across the world (UNESCO, 2018). This has likely risen since, especially considering the disruption caused by the COVID-19 pandemic. Even though currently more children are enrolled in education than ever before across the globe, a lack of adequate learning materials, trained teachers, poor sanitisation, and makeshift classrooms make learning difficult. This is without the added consideration that some children may be attending school while unwell, </w:t>
      </w:r>
      <w:proofErr w:type="gramStart"/>
      <w:r w:rsidRPr="009C7644">
        <w:rPr>
          <w:rFonts w:ascii="Arial" w:hAnsi="Arial" w:cs="Arial"/>
          <w:sz w:val="24"/>
          <w:szCs w:val="24"/>
        </w:rPr>
        <w:t>hungry</w:t>
      </w:r>
      <w:proofErr w:type="gramEnd"/>
      <w:r w:rsidRPr="009C7644">
        <w:rPr>
          <w:rFonts w:ascii="Arial" w:hAnsi="Arial" w:cs="Arial"/>
          <w:sz w:val="24"/>
          <w:szCs w:val="24"/>
        </w:rPr>
        <w:t xml:space="preserve"> and tired from working or taking care of the home. UNICEF estimated in 2020 that 617 million children and young people, although two-thirds have access to education, are unable to reach minimum proficiency levels in literacy and numeracy (UNICEF, 2022). This has been a long-standing worldwide problem and is the reason why many international policies and Acts such as the Dakar Framework (2000), the Millennium Development Goals (2000), now the Sustainable Development Goals and 2030 Agenda (2015), and the United Nations Convention on the Rights of the Child (UNCRC) (1989) were implemented. There are also national policies and acts such as the African Charter on the Rights and Welfare of the Child (ACRWC) (1990) and the Well-being of Future Generations (Wales) Act (2015) that are more specific to their respectable nations, that will be referenced throughout this paper.</w:t>
      </w:r>
    </w:p>
    <w:p w14:paraId="536CEDFF" w14:textId="3DF8C913" w:rsidR="002C69B1" w:rsidRPr="009C7644" w:rsidRDefault="0003473B" w:rsidP="009C7644">
      <w:pPr>
        <w:spacing w:before="30" w:line="360" w:lineRule="auto"/>
        <w:ind w:left="284" w:right="284" w:firstLine="720"/>
        <w:jc w:val="both"/>
        <w:rPr>
          <w:rFonts w:ascii="Arial" w:hAnsi="Arial" w:cs="Arial"/>
          <w:sz w:val="24"/>
          <w:szCs w:val="24"/>
        </w:rPr>
      </w:pPr>
      <w:r w:rsidRPr="009C7644">
        <w:rPr>
          <w:rFonts w:ascii="Arial" w:hAnsi="Arial" w:cs="Arial"/>
          <w:sz w:val="24"/>
          <w:szCs w:val="24"/>
        </w:rPr>
        <w:t>This paper will discuss barriers to the access of good quality and consistent education for children and young people in the sub-Saharan African country Mali [the Republic of Mali]. Mali is a landlocked country in West Africa, with a population of 21 million as of 2022, and a young median age of 16.3 years was recorded in 2020 (</w:t>
      </w:r>
      <w:proofErr w:type="spellStart"/>
      <w:r w:rsidRPr="009C7644">
        <w:rPr>
          <w:rFonts w:ascii="Arial" w:hAnsi="Arial" w:cs="Arial"/>
          <w:sz w:val="24"/>
          <w:szCs w:val="24"/>
        </w:rPr>
        <w:t>Worldometer</w:t>
      </w:r>
      <w:proofErr w:type="spellEnd"/>
      <w:r w:rsidRPr="009C7644">
        <w:rPr>
          <w:rFonts w:ascii="Arial" w:hAnsi="Arial" w:cs="Arial"/>
          <w:sz w:val="24"/>
          <w:szCs w:val="24"/>
        </w:rPr>
        <w:t xml:space="preserve">, 2022). Although landlocked, there are two large rivers that run through the country, the Niger; the third-longest in Africa (Mabogunje, 2019), and the Senegal of which is about half the length of the river Niger, at 1083km (Harrison-Church, 2021). Mali is the 8th largest country </w:t>
      </w:r>
      <w:r w:rsidR="00544AC3" w:rsidRPr="009C7644">
        <w:rPr>
          <w:rFonts w:ascii="Arial" w:hAnsi="Arial" w:cs="Arial"/>
          <w:sz w:val="24"/>
          <w:szCs w:val="24"/>
        </w:rPr>
        <w:t xml:space="preserve">by area </w:t>
      </w:r>
      <w:r w:rsidRPr="009C7644">
        <w:rPr>
          <w:rFonts w:ascii="Arial" w:hAnsi="Arial" w:cs="Arial"/>
          <w:sz w:val="24"/>
          <w:szCs w:val="24"/>
        </w:rPr>
        <w:t>in Africa</w:t>
      </w:r>
      <w:r w:rsidR="00544AC3" w:rsidRPr="009C7644">
        <w:rPr>
          <w:rFonts w:ascii="Arial" w:hAnsi="Arial" w:cs="Arial"/>
          <w:sz w:val="24"/>
          <w:szCs w:val="24"/>
        </w:rPr>
        <w:t xml:space="preserve"> (Statista, 2022), and</w:t>
      </w:r>
      <w:r w:rsidRPr="009C7644">
        <w:rPr>
          <w:rFonts w:ascii="Arial" w:hAnsi="Arial" w:cs="Arial"/>
          <w:sz w:val="24"/>
          <w:szCs w:val="24"/>
        </w:rPr>
        <w:t xml:space="preserve"> Bamako</w:t>
      </w:r>
      <w:r w:rsidR="00544AC3" w:rsidRPr="009C7644">
        <w:rPr>
          <w:rFonts w:ascii="Arial" w:hAnsi="Arial" w:cs="Arial"/>
          <w:sz w:val="24"/>
          <w:szCs w:val="24"/>
        </w:rPr>
        <w:t xml:space="preserve"> is the capital city</w:t>
      </w:r>
      <w:r w:rsidRPr="009C7644">
        <w:rPr>
          <w:rFonts w:ascii="Arial" w:hAnsi="Arial" w:cs="Arial"/>
          <w:sz w:val="24"/>
          <w:szCs w:val="24"/>
        </w:rPr>
        <w:t xml:space="preserve">, situated on the river Niger, </w:t>
      </w:r>
      <w:r w:rsidR="00544AC3" w:rsidRPr="009C7644">
        <w:rPr>
          <w:rFonts w:ascii="Arial" w:hAnsi="Arial" w:cs="Arial"/>
          <w:sz w:val="24"/>
          <w:szCs w:val="24"/>
        </w:rPr>
        <w:t xml:space="preserve">of which </w:t>
      </w:r>
      <w:r w:rsidRPr="009C7644">
        <w:rPr>
          <w:rFonts w:ascii="Arial" w:hAnsi="Arial" w:cs="Arial"/>
          <w:sz w:val="24"/>
          <w:szCs w:val="24"/>
        </w:rPr>
        <w:t>has a population of 2.8 million (Macro Trends, 2022).</w:t>
      </w:r>
      <w:r w:rsidRPr="009C7644">
        <w:rPr>
          <w:rFonts w:ascii="Arial" w:hAnsi="Arial" w:cs="Arial"/>
          <w:sz w:val="24"/>
          <w:szCs w:val="24"/>
        </w:rPr>
        <w:t xml:space="preserve"> </w:t>
      </w:r>
      <w:r w:rsidRPr="009C7644">
        <w:rPr>
          <w:rFonts w:ascii="Arial" w:hAnsi="Arial" w:cs="Arial"/>
          <w:sz w:val="24"/>
          <w:szCs w:val="24"/>
        </w:rPr>
        <w:t xml:space="preserve">Mali is a </w:t>
      </w:r>
      <w:r w:rsidRPr="009C7644">
        <w:rPr>
          <w:rFonts w:ascii="Arial" w:hAnsi="Arial" w:cs="Arial"/>
          <w:sz w:val="24"/>
          <w:szCs w:val="24"/>
        </w:rPr>
        <w:lastRenderedPageBreak/>
        <w:t xml:space="preserve">multilingual country, with 79 different languages spoken, and in some </w:t>
      </w:r>
      <w:proofErr w:type="gramStart"/>
      <w:r w:rsidRPr="009C7644">
        <w:rPr>
          <w:rFonts w:ascii="Arial" w:hAnsi="Arial" w:cs="Arial"/>
          <w:sz w:val="24"/>
          <w:szCs w:val="24"/>
        </w:rPr>
        <w:t>areas</w:t>
      </w:r>
      <w:proofErr w:type="gramEnd"/>
      <w:r w:rsidRPr="009C7644">
        <w:rPr>
          <w:rFonts w:ascii="Arial" w:hAnsi="Arial" w:cs="Arial"/>
          <w:sz w:val="24"/>
          <w:szCs w:val="24"/>
        </w:rPr>
        <w:t xml:space="preserve"> people speak up to 7 different languages as their mother tongue (TWB, 2022). 13 of these have national recognition, with the official language of the country being French, of which is a by-product of French colonisation over 68 years (Clark, 2021). It is therefore used as the primary language of instruction in schools, although only a small percentage of the population were literate in French in the most recent census, of which was conducted in 2009 by UNESCO; with 33.7% of men and 21.5% of women able to speak it (TWB, 2022). The census showed Bambara (also known as </w:t>
      </w:r>
      <w:proofErr w:type="spellStart"/>
      <w:r w:rsidRPr="009C7644">
        <w:rPr>
          <w:rFonts w:ascii="Arial" w:hAnsi="Arial" w:cs="Arial"/>
          <w:sz w:val="24"/>
          <w:szCs w:val="24"/>
        </w:rPr>
        <w:t>Bamanakan</w:t>
      </w:r>
      <w:proofErr w:type="spellEnd"/>
      <w:r w:rsidRPr="009C7644">
        <w:rPr>
          <w:rFonts w:ascii="Arial" w:hAnsi="Arial" w:cs="Arial"/>
          <w:sz w:val="24"/>
          <w:szCs w:val="24"/>
        </w:rPr>
        <w:t xml:space="preserve"> or </w:t>
      </w:r>
      <w:proofErr w:type="spellStart"/>
      <w:r w:rsidRPr="009C7644">
        <w:rPr>
          <w:rFonts w:ascii="Arial" w:hAnsi="Arial" w:cs="Arial"/>
          <w:sz w:val="24"/>
          <w:szCs w:val="24"/>
        </w:rPr>
        <w:t>Bamanan</w:t>
      </w:r>
      <w:proofErr w:type="spellEnd"/>
      <w:r w:rsidRPr="009C7644">
        <w:rPr>
          <w:rFonts w:ascii="Arial" w:hAnsi="Arial" w:cs="Arial"/>
          <w:sz w:val="24"/>
          <w:szCs w:val="24"/>
        </w:rPr>
        <w:t>) was the first language of 50.7% of the population (TWB, 2020), and it was introduced into primary schools in 1994 (Clark, 2021). Bambara is also used in countries surrounding Mali, such as Burkina Faso, Gambia and Ghana, and acts as a lingua franca for the African countries of which use it (Clark, 2021); for communication between groups of people who speak different languages, often for trade, similarly to how the international business community uses the English language as a lingua franca (Cambridge Dictionary, 2022).</w:t>
      </w:r>
      <w:r w:rsidRPr="009C7644">
        <w:rPr>
          <w:rFonts w:ascii="Arial" w:hAnsi="Arial" w:cs="Arial"/>
          <w:sz w:val="24"/>
          <w:szCs w:val="24"/>
        </w:rPr>
        <w:t xml:space="preserve"> </w:t>
      </w:r>
      <w:r w:rsidR="002C69B1" w:rsidRPr="009C7644">
        <w:rPr>
          <w:rFonts w:ascii="Arial" w:hAnsi="Arial" w:cs="Arial"/>
          <w:sz w:val="24"/>
          <w:szCs w:val="24"/>
        </w:rPr>
        <w:t xml:space="preserve">The population of Mali is one of the youngest in the world, with a median age of 16 in 2021 (Save the Children, </w:t>
      </w:r>
      <w:proofErr w:type="gramStart"/>
      <w:r w:rsidR="002C69B1" w:rsidRPr="009C7644">
        <w:rPr>
          <w:rFonts w:ascii="Arial" w:hAnsi="Arial" w:cs="Arial"/>
          <w:sz w:val="24"/>
          <w:szCs w:val="24"/>
        </w:rPr>
        <w:t>2021)[</w:t>
      </w:r>
      <w:proofErr w:type="gramEnd"/>
      <w:r w:rsidR="002C69B1" w:rsidRPr="009C7644">
        <w:rPr>
          <w:rFonts w:ascii="Arial" w:hAnsi="Arial" w:cs="Arial"/>
          <w:sz w:val="24"/>
          <w:szCs w:val="24"/>
        </w:rPr>
        <w:t xml:space="preserve">2]. According to the 2021 End of Childhood Index, it is also one of the hardest places in the world to be a child, being number 6 of the bottom 10, where childhood is most threatened (Save the Children, </w:t>
      </w:r>
      <w:proofErr w:type="gramStart"/>
      <w:r w:rsidR="002C69B1" w:rsidRPr="009C7644">
        <w:rPr>
          <w:rFonts w:ascii="Arial" w:hAnsi="Arial" w:cs="Arial"/>
          <w:sz w:val="24"/>
          <w:szCs w:val="24"/>
        </w:rPr>
        <w:t>2021)[</w:t>
      </w:r>
      <w:proofErr w:type="gramEnd"/>
      <w:r w:rsidR="002C69B1" w:rsidRPr="009C7644">
        <w:rPr>
          <w:rFonts w:ascii="Arial" w:hAnsi="Arial" w:cs="Arial"/>
          <w:sz w:val="24"/>
          <w:szCs w:val="24"/>
        </w:rPr>
        <w:t>1]. The infant mortality rate sat at 57.2 per 1000 in 2020, of which has decreased from the previous 10 years from 126.95, and deaths under age 5 sat at 91.9 per 1000 in 2020, a decrease from 1990 from 245.85 per 1000 (</w:t>
      </w:r>
      <w:proofErr w:type="spellStart"/>
      <w:r w:rsidR="002C69B1" w:rsidRPr="009C7644">
        <w:rPr>
          <w:rFonts w:ascii="Arial" w:hAnsi="Arial" w:cs="Arial"/>
          <w:sz w:val="24"/>
          <w:szCs w:val="24"/>
        </w:rPr>
        <w:t>Worldometers</w:t>
      </w:r>
      <w:proofErr w:type="spellEnd"/>
      <w:r w:rsidR="002C69B1" w:rsidRPr="009C7644">
        <w:rPr>
          <w:rFonts w:ascii="Arial" w:hAnsi="Arial" w:cs="Arial"/>
          <w:sz w:val="24"/>
          <w:szCs w:val="24"/>
        </w:rPr>
        <w:t xml:space="preserve">, </w:t>
      </w:r>
      <w:proofErr w:type="gramStart"/>
      <w:r w:rsidR="002C69B1" w:rsidRPr="009C7644">
        <w:rPr>
          <w:rFonts w:ascii="Arial" w:hAnsi="Arial" w:cs="Arial"/>
          <w:sz w:val="24"/>
          <w:szCs w:val="24"/>
        </w:rPr>
        <w:t>2022)[</w:t>
      </w:r>
      <w:proofErr w:type="gramEnd"/>
      <w:r w:rsidR="002C69B1" w:rsidRPr="009C7644">
        <w:rPr>
          <w:rFonts w:ascii="Arial" w:hAnsi="Arial" w:cs="Arial"/>
          <w:sz w:val="24"/>
          <w:szCs w:val="24"/>
        </w:rPr>
        <w:t>1].</w:t>
      </w:r>
    </w:p>
    <w:p w14:paraId="015E251D" w14:textId="6252A3EE" w:rsidR="0003473B" w:rsidRPr="009C7644" w:rsidRDefault="0003473B" w:rsidP="009C7644">
      <w:pPr>
        <w:spacing w:before="30" w:line="360" w:lineRule="auto"/>
        <w:ind w:left="284" w:right="284" w:firstLine="720"/>
        <w:jc w:val="both"/>
        <w:rPr>
          <w:rFonts w:ascii="Arial" w:hAnsi="Arial" w:cs="Arial"/>
          <w:sz w:val="24"/>
          <w:szCs w:val="24"/>
        </w:rPr>
      </w:pPr>
      <w:r w:rsidRPr="009C7644">
        <w:rPr>
          <w:rFonts w:ascii="Arial" w:hAnsi="Arial" w:cs="Arial"/>
          <w:sz w:val="24"/>
          <w:szCs w:val="24"/>
        </w:rPr>
        <w:t xml:space="preserve">Mali as a country and society has for many years been facing a multitude of problems, of which intertwine and affect each other. Pre-colonial Mali, prior to the turn of the 19th century, was a bustling hub for trade across African countries. With trading centres such as </w:t>
      </w:r>
      <w:proofErr w:type="spellStart"/>
      <w:r w:rsidRPr="009C7644">
        <w:rPr>
          <w:rFonts w:ascii="Arial" w:hAnsi="Arial" w:cs="Arial"/>
          <w:sz w:val="24"/>
          <w:szCs w:val="24"/>
        </w:rPr>
        <w:t>Djenné</w:t>
      </w:r>
      <w:proofErr w:type="spellEnd"/>
      <w:r w:rsidRPr="009C7644">
        <w:rPr>
          <w:rFonts w:ascii="Arial" w:hAnsi="Arial" w:cs="Arial"/>
          <w:sz w:val="24"/>
          <w:szCs w:val="24"/>
        </w:rPr>
        <w:t xml:space="preserve"> and Timbuktu, and rich gold deposits in the West and Southwest, for almost a thousand </w:t>
      </w:r>
      <w:proofErr w:type="gramStart"/>
      <w:r w:rsidRPr="009C7644">
        <w:rPr>
          <w:rFonts w:ascii="Arial" w:hAnsi="Arial" w:cs="Arial"/>
          <w:sz w:val="24"/>
          <w:szCs w:val="24"/>
        </w:rPr>
        <w:t>years</w:t>
      </w:r>
      <w:proofErr w:type="gramEnd"/>
      <w:r w:rsidRPr="009C7644">
        <w:rPr>
          <w:rFonts w:ascii="Arial" w:hAnsi="Arial" w:cs="Arial"/>
          <w:sz w:val="24"/>
          <w:szCs w:val="24"/>
        </w:rPr>
        <w:t xml:space="preserve"> trans-Saharan caravan routes from the Niger valley to North Africa were used to transport gold, slaves, ivory and gum-</w:t>
      </w:r>
      <w:proofErr w:type="spellStart"/>
      <w:r w:rsidRPr="009C7644">
        <w:rPr>
          <w:rFonts w:ascii="Arial" w:hAnsi="Arial" w:cs="Arial"/>
          <w:sz w:val="24"/>
          <w:szCs w:val="24"/>
        </w:rPr>
        <w:t>arabic</w:t>
      </w:r>
      <w:proofErr w:type="spellEnd"/>
      <w:r w:rsidRPr="009C7644">
        <w:rPr>
          <w:rFonts w:ascii="Arial" w:hAnsi="Arial" w:cs="Arial"/>
          <w:sz w:val="24"/>
          <w:szCs w:val="24"/>
        </w:rPr>
        <w:t xml:space="preserve">. </w:t>
      </w:r>
      <w:r w:rsidR="00544AC3" w:rsidRPr="009C7644">
        <w:rPr>
          <w:rFonts w:ascii="Arial" w:hAnsi="Arial" w:cs="Arial"/>
          <w:sz w:val="24"/>
          <w:szCs w:val="24"/>
        </w:rPr>
        <w:t>A</w:t>
      </w:r>
      <w:r w:rsidRPr="009C7644">
        <w:rPr>
          <w:rFonts w:ascii="Arial" w:hAnsi="Arial" w:cs="Arial"/>
          <w:sz w:val="24"/>
          <w:szCs w:val="24"/>
        </w:rPr>
        <w:t xml:space="preserve"> disruption of trade </w:t>
      </w:r>
      <w:r w:rsidR="00544AC3" w:rsidRPr="009C7644">
        <w:rPr>
          <w:rFonts w:ascii="Arial" w:hAnsi="Arial" w:cs="Arial"/>
          <w:sz w:val="24"/>
          <w:szCs w:val="24"/>
        </w:rPr>
        <w:t xml:space="preserve">occurred </w:t>
      </w:r>
      <w:r w:rsidRPr="009C7644">
        <w:rPr>
          <w:rFonts w:ascii="Arial" w:hAnsi="Arial" w:cs="Arial"/>
          <w:sz w:val="24"/>
          <w:szCs w:val="24"/>
        </w:rPr>
        <w:t xml:space="preserve">around 1600 due to conflict with surrounding kingdoms, as a result new trade routes were established directed toward the coast where European colonies were establishing trade posts (Clark, 2021). Since the 1800’s, into the turn of the 19th century, Mali has experienced </w:t>
      </w:r>
      <w:r w:rsidRPr="009C7644">
        <w:rPr>
          <w:rFonts w:ascii="Arial" w:hAnsi="Arial" w:cs="Arial"/>
          <w:sz w:val="24"/>
          <w:szCs w:val="24"/>
        </w:rPr>
        <w:lastRenderedPageBreak/>
        <w:t>turbulence in relation to leadership. In 1891, Mali was known as French Sudan, of which was originally formed as an extension of the French colony in Senegal. The French pursued the area due to the wealth of the Mali empire, as it was well known as an area with rich gold deposits. Although wealthy in this way, it did not offer France economic gain, and the leadership of the colony wavered between military and civilian administration, until in 1960 when Mali received independence from France. In 1962 Tuareg ethnic groups began seeking autonomy and rebelled in the North of the country, of which continued into the 2000’s. In 2012, the continued Tuareg rebellion in the North caused displacement of many Malians as the then current president was overthrown. Northern Mali was seized by the Tuareg, of whom declared independence, naming the state Azawad. Other rebel groups seized territory in the North during the same year</w:t>
      </w:r>
      <w:r w:rsidR="00544AC3" w:rsidRPr="009C7644">
        <w:rPr>
          <w:rFonts w:ascii="Arial" w:hAnsi="Arial" w:cs="Arial"/>
          <w:sz w:val="24"/>
          <w:szCs w:val="24"/>
        </w:rPr>
        <w:t xml:space="preserve"> and b</w:t>
      </w:r>
      <w:r w:rsidRPr="009C7644">
        <w:rPr>
          <w:rFonts w:ascii="Arial" w:hAnsi="Arial" w:cs="Arial"/>
          <w:sz w:val="24"/>
          <w:szCs w:val="24"/>
        </w:rPr>
        <w:t xml:space="preserve">y the end of 2012, more than 112,000 Malians had fled the violence and become refugees in the surrounding countries, with at least 250,000 more Malian residents becoming displaced within the country itself. In 2013, Malian forces regained much of the territory in the north of the country, and a peace agreement was signed to aid in preparation for elections for a new president. After a U.N. military and police force of 12,600 help stabilize the country, </w:t>
      </w:r>
      <w:r w:rsidR="00544AC3" w:rsidRPr="009C7644">
        <w:rPr>
          <w:rFonts w:ascii="Arial" w:hAnsi="Arial" w:cs="Arial"/>
          <w:sz w:val="24"/>
          <w:szCs w:val="24"/>
        </w:rPr>
        <w:t xml:space="preserve">a new </w:t>
      </w:r>
      <w:r w:rsidRPr="009C7644">
        <w:rPr>
          <w:rFonts w:ascii="Arial" w:hAnsi="Arial" w:cs="Arial"/>
          <w:sz w:val="24"/>
          <w:szCs w:val="24"/>
        </w:rPr>
        <w:t>president</w:t>
      </w:r>
      <w:r w:rsidR="00544AC3" w:rsidRPr="009C7644">
        <w:rPr>
          <w:rFonts w:ascii="Arial" w:hAnsi="Arial" w:cs="Arial"/>
          <w:sz w:val="24"/>
          <w:szCs w:val="24"/>
        </w:rPr>
        <w:t xml:space="preserve"> was elected</w:t>
      </w:r>
      <w:r w:rsidRPr="009C7644">
        <w:rPr>
          <w:rFonts w:ascii="Arial" w:hAnsi="Arial" w:cs="Arial"/>
          <w:sz w:val="24"/>
          <w:szCs w:val="24"/>
        </w:rPr>
        <w:t xml:space="preserve">. He remained in power until 2020 after being re-elected in 2018, although militias and extremist groups continued to cause conflict and rebel in the North, with movement to central Mali in 2018 in the form of terrorist attacks. In 2019, more than 200,000 more Malians became displaced because of the increased conflict in the northern and central regions. In early 2020, a military take-over and coup took place, causing the president to resign and dissolve parliament (Reid, 2020). In </w:t>
      </w:r>
      <w:proofErr w:type="spellStart"/>
      <w:r w:rsidRPr="009C7644">
        <w:rPr>
          <w:rFonts w:ascii="Arial" w:hAnsi="Arial" w:cs="Arial"/>
          <w:sz w:val="24"/>
          <w:szCs w:val="24"/>
        </w:rPr>
        <w:t>mid 2020</w:t>
      </w:r>
      <w:proofErr w:type="spellEnd"/>
      <w:r w:rsidRPr="009C7644">
        <w:rPr>
          <w:rFonts w:ascii="Arial" w:hAnsi="Arial" w:cs="Arial"/>
          <w:sz w:val="24"/>
          <w:szCs w:val="24"/>
        </w:rPr>
        <w:t xml:space="preserve">, an interim president and prime minister were named of which remained in power for a short time, until another military coup took place in May of 2021. Colonel </w:t>
      </w:r>
      <w:proofErr w:type="spellStart"/>
      <w:r w:rsidRPr="009C7644">
        <w:rPr>
          <w:rFonts w:ascii="Arial" w:hAnsi="Arial" w:cs="Arial"/>
          <w:sz w:val="24"/>
          <w:szCs w:val="24"/>
        </w:rPr>
        <w:t>Assimi</w:t>
      </w:r>
      <w:proofErr w:type="spellEnd"/>
      <w:r w:rsidRPr="009C7644">
        <w:rPr>
          <w:rFonts w:ascii="Arial" w:hAnsi="Arial" w:cs="Arial"/>
          <w:sz w:val="24"/>
          <w:szCs w:val="24"/>
        </w:rPr>
        <w:t xml:space="preserve"> </w:t>
      </w:r>
      <w:proofErr w:type="spellStart"/>
      <w:r w:rsidRPr="009C7644">
        <w:rPr>
          <w:rFonts w:ascii="Arial" w:hAnsi="Arial" w:cs="Arial"/>
          <w:sz w:val="24"/>
          <w:szCs w:val="24"/>
        </w:rPr>
        <w:t>Goita</w:t>
      </w:r>
      <w:proofErr w:type="spellEnd"/>
      <w:r w:rsidRPr="009C7644">
        <w:rPr>
          <w:rFonts w:ascii="Arial" w:hAnsi="Arial" w:cs="Arial"/>
          <w:sz w:val="24"/>
          <w:szCs w:val="24"/>
        </w:rPr>
        <w:t xml:space="preserve">, of whom led both coups against the President and Prime Minister, assumed power (CFR, 2022) causing the African Union (AU); a continental union consisting of 55 member states within the continent of Africa of which aims to achieve a better life for the people of Africa and to eradicate all forms of colonialism (AUC, 2022) and the Economic Community of West African States (ECOWAS), to suspend Mali, but this has since been lifted. Edward Said was a Palestinian born professor of literature and the founder of the academic field of postcolonial studies (Young, </w:t>
      </w:r>
      <w:r w:rsidRPr="009C7644">
        <w:rPr>
          <w:rFonts w:ascii="Arial" w:hAnsi="Arial" w:cs="Arial"/>
          <w:sz w:val="24"/>
          <w:szCs w:val="24"/>
        </w:rPr>
        <w:lastRenderedPageBreak/>
        <w:t>1990). His postcolonialism theory discusses the effect of European colonisation of many regions of the world on the lives of colonized people in general. According to Said, there has been a false image portrayed of the East, fabricated by Western colonisers, of which depict the people</w:t>
      </w:r>
      <w:r w:rsidR="00544AC3" w:rsidRPr="009C7644">
        <w:rPr>
          <w:rFonts w:ascii="Arial" w:hAnsi="Arial" w:cs="Arial"/>
          <w:sz w:val="24"/>
          <w:szCs w:val="24"/>
        </w:rPr>
        <w:t xml:space="preserve"> </w:t>
      </w:r>
      <w:r w:rsidRPr="009C7644">
        <w:rPr>
          <w:rFonts w:ascii="Arial" w:hAnsi="Arial" w:cs="Arial"/>
          <w:sz w:val="24"/>
          <w:szCs w:val="24"/>
        </w:rPr>
        <w:t xml:space="preserve">as primitive and uncivilized, in attempts to create a contrast to the </w:t>
      </w:r>
      <w:r w:rsidR="00544AC3" w:rsidRPr="009C7644">
        <w:rPr>
          <w:rFonts w:ascii="Arial" w:hAnsi="Arial" w:cs="Arial"/>
          <w:sz w:val="24"/>
          <w:szCs w:val="24"/>
        </w:rPr>
        <w:t>“</w:t>
      </w:r>
      <w:r w:rsidRPr="009C7644">
        <w:rPr>
          <w:rFonts w:ascii="Arial" w:hAnsi="Arial" w:cs="Arial"/>
          <w:sz w:val="24"/>
          <w:szCs w:val="24"/>
        </w:rPr>
        <w:t>civilized West</w:t>
      </w:r>
      <w:r w:rsidR="00544AC3" w:rsidRPr="009C7644">
        <w:rPr>
          <w:rFonts w:ascii="Arial" w:hAnsi="Arial" w:cs="Arial"/>
          <w:sz w:val="24"/>
          <w:szCs w:val="24"/>
        </w:rPr>
        <w:t>”</w:t>
      </w:r>
      <w:r w:rsidRPr="009C7644">
        <w:rPr>
          <w:rFonts w:ascii="Arial" w:hAnsi="Arial" w:cs="Arial"/>
          <w:sz w:val="24"/>
          <w:szCs w:val="24"/>
        </w:rPr>
        <w:t xml:space="preserve">. He argues these have been used as a justification for the horrific occupations of these areas of the world, and that it is misleading to consider that with the end of colonialism, horrors experienced by the </w:t>
      </w:r>
      <w:r w:rsidR="007F3F26" w:rsidRPr="009C7644">
        <w:rPr>
          <w:rFonts w:ascii="Arial" w:hAnsi="Arial" w:cs="Arial"/>
          <w:sz w:val="24"/>
          <w:szCs w:val="24"/>
        </w:rPr>
        <w:t>residents</w:t>
      </w:r>
      <w:r w:rsidRPr="009C7644">
        <w:rPr>
          <w:rFonts w:ascii="Arial" w:hAnsi="Arial" w:cs="Arial"/>
          <w:sz w:val="24"/>
          <w:szCs w:val="24"/>
        </w:rPr>
        <w:t xml:space="preserve"> came to an end. He believes that the consequences are persistent in the form of corruption, </w:t>
      </w:r>
      <w:proofErr w:type="gramStart"/>
      <w:r w:rsidRPr="009C7644">
        <w:rPr>
          <w:rFonts w:ascii="Arial" w:hAnsi="Arial" w:cs="Arial"/>
          <w:sz w:val="24"/>
          <w:szCs w:val="24"/>
        </w:rPr>
        <w:t>coups</w:t>
      </w:r>
      <w:proofErr w:type="gramEnd"/>
      <w:r w:rsidRPr="009C7644">
        <w:rPr>
          <w:rFonts w:ascii="Arial" w:hAnsi="Arial" w:cs="Arial"/>
          <w:sz w:val="24"/>
          <w:szCs w:val="24"/>
        </w:rPr>
        <w:t xml:space="preserve"> and civil wars (Hamadi, 2014). This proves to be true for the country of Mali, as there have been five coups since Mali’s independence from France in 1960 (CFR, 2022), showing that even after the ending of colonisation, Mali as a country has suffered from continued conflict. Said also stated that </w:t>
      </w:r>
      <w:proofErr w:type="gramStart"/>
      <w:r w:rsidRPr="009C7644">
        <w:rPr>
          <w:rFonts w:ascii="Arial" w:hAnsi="Arial" w:cs="Arial"/>
          <w:sz w:val="24"/>
          <w:szCs w:val="24"/>
        </w:rPr>
        <w:t>colonizers imposed</w:t>
      </w:r>
      <w:proofErr w:type="gramEnd"/>
      <w:r w:rsidRPr="009C7644">
        <w:rPr>
          <w:rFonts w:ascii="Arial" w:hAnsi="Arial" w:cs="Arial"/>
          <w:sz w:val="24"/>
          <w:szCs w:val="24"/>
        </w:rPr>
        <w:t xml:space="preserve"> language and culture on the people, distorting the pre-existing culture, values, history and language of the </w:t>
      </w:r>
      <w:r w:rsidR="007F3F26" w:rsidRPr="009C7644">
        <w:rPr>
          <w:rFonts w:ascii="Arial" w:hAnsi="Arial" w:cs="Arial"/>
          <w:sz w:val="24"/>
          <w:szCs w:val="24"/>
        </w:rPr>
        <w:t>people</w:t>
      </w:r>
      <w:r w:rsidRPr="009C7644">
        <w:rPr>
          <w:rFonts w:ascii="Arial" w:hAnsi="Arial" w:cs="Arial"/>
          <w:sz w:val="24"/>
          <w:szCs w:val="24"/>
        </w:rPr>
        <w:t xml:space="preserve"> through the pursuit to dominate and exploit the wealth of these areas, in the name of ‘civilizing and enlightening’ the people (Hamadi, 2014). This is true for Mali also, as French became the official language of the country following colonization, and as previously mentioned, became the primary language of instruction in schools, although still only a small </w:t>
      </w:r>
      <w:proofErr w:type="gramStart"/>
      <w:r w:rsidRPr="009C7644">
        <w:rPr>
          <w:rFonts w:ascii="Arial" w:hAnsi="Arial" w:cs="Arial"/>
          <w:sz w:val="24"/>
          <w:szCs w:val="24"/>
        </w:rPr>
        <w:t>amount</w:t>
      </w:r>
      <w:proofErr w:type="gramEnd"/>
      <w:r w:rsidRPr="009C7644">
        <w:rPr>
          <w:rFonts w:ascii="Arial" w:hAnsi="Arial" w:cs="Arial"/>
          <w:sz w:val="24"/>
          <w:szCs w:val="24"/>
        </w:rPr>
        <w:t xml:space="preserve"> of Malians are literate in the language (TWB, 2022).</w:t>
      </w:r>
    </w:p>
    <w:p w14:paraId="13C2785E" w14:textId="51D6D2E0" w:rsidR="0003473B" w:rsidRPr="009C7644" w:rsidRDefault="0003473B" w:rsidP="009C7644">
      <w:pPr>
        <w:spacing w:before="30" w:line="360" w:lineRule="auto"/>
        <w:ind w:left="284" w:right="284" w:firstLine="720"/>
        <w:jc w:val="both"/>
        <w:rPr>
          <w:rFonts w:ascii="Arial" w:hAnsi="Arial" w:cs="Arial"/>
          <w:sz w:val="24"/>
          <w:szCs w:val="24"/>
        </w:rPr>
      </w:pPr>
      <w:r w:rsidRPr="009C7644">
        <w:rPr>
          <w:rFonts w:ascii="Arial" w:hAnsi="Arial" w:cs="Arial"/>
          <w:sz w:val="24"/>
          <w:szCs w:val="24"/>
        </w:rPr>
        <w:t xml:space="preserve">While the Malian people are negatively affected, and have been for generations, by the turbulence in relation to power, the children of Mali are the most affected. Access to good quality education has been halted for many that are displaced and those that are not, by a multitude of issues. Mali has made attempts to improve the </w:t>
      </w:r>
      <w:proofErr w:type="gramStart"/>
      <w:r w:rsidRPr="009C7644">
        <w:rPr>
          <w:rFonts w:ascii="Arial" w:hAnsi="Arial" w:cs="Arial"/>
          <w:sz w:val="24"/>
          <w:szCs w:val="24"/>
        </w:rPr>
        <w:t>crisis situation</w:t>
      </w:r>
      <w:proofErr w:type="gramEnd"/>
      <w:r w:rsidRPr="009C7644">
        <w:rPr>
          <w:rFonts w:ascii="Arial" w:hAnsi="Arial" w:cs="Arial"/>
          <w:sz w:val="24"/>
          <w:szCs w:val="24"/>
        </w:rPr>
        <w:t xml:space="preserve"> with ratifications of many different acts and policies. In 2018, Mali adopted the Safe Schools Declaration, a political commitment to reduce attacks on education. Despite ratifying and enacting these different acts and policies, Mali has struggled to meet the aims due to the ongoing conflict in the region, of which has resulted in many children, around 225,000 being denied their right to education due to displacement and insecurity in 2018. Over 735 schools have been closed, with many also vandalized, </w:t>
      </w:r>
      <w:proofErr w:type="gramStart"/>
      <w:r w:rsidRPr="009C7644">
        <w:rPr>
          <w:rFonts w:ascii="Arial" w:hAnsi="Arial" w:cs="Arial"/>
          <w:sz w:val="24"/>
          <w:szCs w:val="24"/>
        </w:rPr>
        <w:t>destroyed</w:t>
      </w:r>
      <w:proofErr w:type="gramEnd"/>
      <w:r w:rsidRPr="009C7644">
        <w:rPr>
          <w:rFonts w:ascii="Arial" w:hAnsi="Arial" w:cs="Arial"/>
          <w:sz w:val="24"/>
          <w:szCs w:val="24"/>
        </w:rPr>
        <w:t xml:space="preserve"> and occupied by armed groups (Human Rights Watch, 2019), with 36 school attacks occurring in 2020 (UN, 2021). The country was one of the first to ratify the United </w:t>
      </w:r>
      <w:r w:rsidRPr="009C7644">
        <w:rPr>
          <w:rFonts w:ascii="Arial" w:hAnsi="Arial" w:cs="Arial"/>
          <w:sz w:val="24"/>
          <w:szCs w:val="24"/>
        </w:rPr>
        <w:lastRenderedPageBreak/>
        <w:t>Nations Convention on the Rights of the Child (UNCRC) 1989, ratifying the year after creation in 1990 (</w:t>
      </w:r>
      <w:proofErr w:type="spellStart"/>
      <w:r w:rsidRPr="009C7644">
        <w:rPr>
          <w:rFonts w:ascii="Arial" w:hAnsi="Arial" w:cs="Arial"/>
          <w:sz w:val="24"/>
          <w:szCs w:val="24"/>
        </w:rPr>
        <w:t>Nderi</w:t>
      </w:r>
      <w:proofErr w:type="spellEnd"/>
      <w:r w:rsidRPr="009C7644">
        <w:rPr>
          <w:rFonts w:ascii="Arial" w:hAnsi="Arial" w:cs="Arial"/>
          <w:sz w:val="24"/>
          <w:szCs w:val="24"/>
        </w:rPr>
        <w:t xml:space="preserve">, 2021). The UNCRC is an international agreement that sets out the civil, political, economic, </w:t>
      </w:r>
      <w:proofErr w:type="gramStart"/>
      <w:r w:rsidRPr="009C7644">
        <w:rPr>
          <w:rFonts w:ascii="Arial" w:hAnsi="Arial" w:cs="Arial"/>
          <w:sz w:val="24"/>
          <w:szCs w:val="24"/>
        </w:rPr>
        <w:t>cultural</w:t>
      </w:r>
      <w:proofErr w:type="gramEnd"/>
      <w:r w:rsidRPr="009C7644">
        <w:rPr>
          <w:rFonts w:ascii="Arial" w:hAnsi="Arial" w:cs="Arial"/>
          <w:sz w:val="24"/>
          <w:szCs w:val="24"/>
        </w:rPr>
        <w:t xml:space="preserve"> and social rights of every child regardless of their race, ability or religion of whom is under 18 years of age (Save the Children, 2020). Article 28 of the UNCRC states that state parties shall make primary education compulsory and free to all, encourage the development of different forms of secondary education and make them available and accessible to every child and shall make higher education accessible to all (UNICEF, 1989). Additionally, the Constitution of Mali and Education Act 1999 prohibits discrimination of schooling on the grounds of sex, social origin and religion or race and guarantees the right to education for all (Child Law Resources, 2021)</w:t>
      </w:r>
      <w:r w:rsidR="007F3F26" w:rsidRPr="009C7644">
        <w:rPr>
          <w:rFonts w:ascii="Arial" w:hAnsi="Arial" w:cs="Arial"/>
          <w:sz w:val="24"/>
          <w:szCs w:val="24"/>
        </w:rPr>
        <w:t xml:space="preserve">. </w:t>
      </w:r>
      <w:r w:rsidRPr="009C7644">
        <w:rPr>
          <w:rFonts w:ascii="Arial" w:hAnsi="Arial" w:cs="Arial"/>
          <w:sz w:val="24"/>
          <w:szCs w:val="24"/>
        </w:rPr>
        <w:t>While it is true that primary and secondary education are free and compulsory in Mali, and it is true that education has improved over the last decade, more than two million children between age five and seventeen do not attend school. Only 73.8% of females are enrolled in primary school education compared to 85.8% of males, and by the time they reach the age of secondary education, female enrolment is as low as 15% compared to 21% of males, meaning completion of schooling is low (UNICEF Mali, 2021).</w:t>
      </w:r>
    </w:p>
    <w:p w14:paraId="69C20DFE" w14:textId="6F57806F" w:rsidR="0003473B" w:rsidRPr="009C7644" w:rsidRDefault="0003473B" w:rsidP="009C7644">
      <w:pPr>
        <w:spacing w:before="30" w:line="360" w:lineRule="auto"/>
        <w:ind w:left="284" w:right="284" w:firstLine="720"/>
        <w:jc w:val="both"/>
        <w:rPr>
          <w:rFonts w:ascii="Arial" w:hAnsi="Arial" w:cs="Arial"/>
          <w:sz w:val="24"/>
          <w:szCs w:val="24"/>
        </w:rPr>
      </w:pPr>
      <w:r w:rsidRPr="009C7644">
        <w:rPr>
          <w:rFonts w:ascii="Arial" w:hAnsi="Arial" w:cs="Arial"/>
          <w:sz w:val="24"/>
          <w:szCs w:val="24"/>
        </w:rPr>
        <w:t>There have also been issues surrounding enrolment of children into the military due to the ongoing war across the country. Article 38 of the UNCRC states that parties will take feasible measures to ensure that children under 15 do not partake directly in hostilities and will not be recruited into the armed forces by the party states (</w:t>
      </w:r>
      <w:r w:rsidR="007F3F26" w:rsidRPr="009C7644">
        <w:rPr>
          <w:rFonts w:ascii="Arial" w:hAnsi="Arial" w:cs="Arial"/>
          <w:sz w:val="24"/>
          <w:szCs w:val="24"/>
        </w:rPr>
        <w:t>UNICEF, 1989)</w:t>
      </w:r>
      <w:r w:rsidRPr="009C7644">
        <w:rPr>
          <w:rFonts w:ascii="Arial" w:hAnsi="Arial" w:cs="Arial"/>
          <w:sz w:val="24"/>
          <w:szCs w:val="24"/>
        </w:rPr>
        <w:t>. Mali has also ratified a regional legislation; the African Charter on the Rights and Welfare of the Child (ACRWC</w:t>
      </w:r>
      <w:proofErr w:type="gramStart"/>
      <w:r w:rsidRPr="009C7644">
        <w:rPr>
          <w:rFonts w:ascii="Arial" w:hAnsi="Arial" w:cs="Arial"/>
          <w:sz w:val="24"/>
          <w:szCs w:val="24"/>
        </w:rPr>
        <w:t>)(</w:t>
      </w:r>
      <w:proofErr w:type="gramEnd"/>
      <w:r w:rsidRPr="009C7644">
        <w:rPr>
          <w:rFonts w:ascii="Arial" w:hAnsi="Arial" w:cs="Arial"/>
          <w:sz w:val="24"/>
          <w:szCs w:val="24"/>
        </w:rPr>
        <w:t xml:space="preserve">1990) in 1998 (ACERWC, 2022). The charter was created because member states of the African Union (AU) felt that the UNCRC was missing important economic and socio-cultural realities of which affected African regions specifically, such as outright prohibition of the recruitment of children under 18 years of age into the armed forces, protecting internally displaced children, prohibiting marriages involving children and abolishment of apartheid systems (ACRWC, 1990). The African Committee of Experts on the Rights and Welfare of the Child (ACERWC) was created in 2001 to monitor the implementation of the Children Charter (AUC, 2022). Although this was created as an additional effort for African countries to </w:t>
      </w:r>
      <w:r w:rsidRPr="009C7644">
        <w:rPr>
          <w:rFonts w:ascii="Arial" w:hAnsi="Arial" w:cs="Arial"/>
          <w:sz w:val="24"/>
          <w:szCs w:val="24"/>
        </w:rPr>
        <w:lastRenderedPageBreak/>
        <w:t>avoid such issues, they persist. The United Nations Report of the Secretary-General on children and armed conflict 2021 verified that in 2020, there were 26,245 grave violations by party states regarding children and armed conflict, with 809 of these occurring in Mali. The report found that 454 children (358 boys and 96 girls) were recruited by armed groups, and 189 children were killed and maimed (UN, 2021).</w:t>
      </w:r>
    </w:p>
    <w:p w14:paraId="6A0138F9" w14:textId="7BB5D519" w:rsidR="0003473B" w:rsidRPr="009C7644" w:rsidRDefault="0003473B" w:rsidP="009C7644">
      <w:pPr>
        <w:spacing w:before="30" w:line="360" w:lineRule="auto"/>
        <w:ind w:left="284" w:right="284" w:firstLine="720"/>
        <w:jc w:val="both"/>
        <w:rPr>
          <w:rFonts w:ascii="Arial" w:hAnsi="Arial" w:cs="Arial"/>
          <w:sz w:val="24"/>
          <w:szCs w:val="24"/>
        </w:rPr>
      </w:pPr>
      <w:r w:rsidRPr="009C7644">
        <w:rPr>
          <w:rFonts w:ascii="Arial" w:hAnsi="Arial" w:cs="Arial"/>
          <w:sz w:val="24"/>
          <w:szCs w:val="24"/>
        </w:rPr>
        <w:t>The country of Mali has a harsh geographical location,</w:t>
      </w:r>
      <w:r w:rsidR="00B0101F" w:rsidRPr="009C7644">
        <w:rPr>
          <w:rFonts w:ascii="Arial" w:hAnsi="Arial" w:cs="Arial"/>
          <w:sz w:val="24"/>
          <w:szCs w:val="24"/>
        </w:rPr>
        <w:t xml:space="preserve"> adding to the difficulties the country faces,</w:t>
      </w:r>
      <w:r w:rsidRPr="009C7644">
        <w:rPr>
          <w:rFonts w:ascii="Arial" w:hAnsi="Arial" w:cs="Arial"/>
          <w:sz w:val="24"/>
          <w:szCs w:val="24"/>
        </w:rPr>
        <w:t xml:space="preserve"> with much of the country containing the Sahel region of Africa. The Sahel region stretches through 8 countries including Mauritania, </w:t>
      </w:r>
      <w:proofErr w:type="gramStart"/>
      <w:r w:rsidRPr="009C7644">
        <w:rPr>
          <w:rFonts w:ascii="Arial" w:hAnsi="Arial" w:cs="Arial"/>
          <w:sz w:val="24"/>
          <w:szCs w:val="24"/>
        </w:rPr>
        <w:t>Niger</w:t>
      </w:r>
      <w:proofErr w:type="gramEnd"/>
      <w:r w:rsidRPr="009C7644">
        <w:rPr>
          <w:rFonts w:ascii="Arial" w:hAnsi="Arial" w:cs="Arial"/>
          <w:sz w:val="24"/>
          <w:szCs w:val="24"/>
        </w:rPr>
        <w:t xml:space="preserve"> and Nigeria and along the mid-area of Mali. This creates a divide between the North and South, with the Sahara Desert to the North and humid savanna to the South, with the latter being the most populated (World Population Review, 2022). Although the Sahel region holds natural pasture for livestock and has areas of flooding from the river Niger and Senegal where crops are grown (Britannica, 2020), the area is warming at a worrying rate of which is causing cycles of drought and flooding (</w:t>
      </w:r>
      <w:proofErr w:type="spellStart"/>
      <w:r w:rsidRPr="009C7644">
        <w:rPr>
          <w:rFonts w:ascii="Arial" w:hAnsi="Arial" w:cs="Arial"/>
          <w:sz w:val="24"/>
          <w:szCs w:val="24"/>
        </w:rPr>
        <w:t>Nderi</w:t>
      </w:r>
      <w:proofErr w:type="spellEnd"/>
      <w:r w:rsidRPr="009C7644">
        <w:rPr>
          <w:rFonts w:ascii="Arial" w:hAnsi="Arial" w:cs="Arial"/>
          <w:sz w:val="24"/>
          <w:szCs w:val="24"/>
        </w:rPr>
        <w:t>, 2021). The UN has had a support plan in place for the Sahel region since 2018; it aims to ‘accelerate shared prosperity and lasting peace’ through implementing the 2030 Agenda for Sustainable Development and the African Union Agenda 2063 (United Nations Africa Renewal, 2022). The UN believe the Sahel is a ‘land of opportunities’ and describes it as so in the Support Plan for the Sahel (2018).</w:t>
      </w:r>
      <w:r w:rsidR="002C69B1" w:rsidRPr="009C7644">
        <w:rPr>
          <w:rFonts w:ascii="Arial" w:hAnsi="Arial" w:cs="Arial"/>
          <w:sz w:val="24"/>
          <w:szCs w:val="24"/>
        </w:rPr>
        <w:t xml:space="preserve"> </w:t>
      </w:r>
      <w:r w:rsidRPr="009C7644">
        <w:rPr>
          <w:rFonts w:ascii="Arial" w:hAnsi="Arial" w:cs="Arial"/>
          <w:sz w:val="24"/>
          <w:szCs w:val="24"/>
        </w:rPr>
        <w:t xml:space="preserve">The plan is built around 6 priority areas, including </w:t>
      </w:r>
      <w:proofErr w:type="gramStart"/>
      <w:r w:rsidRPr="009C7644">
        <w:rPr>
          <w:rFonts w:ascii="Arial" w:hAnsi="Arial" w:cs="Arial"/>
          <w:sz w:val="24"/>
          <w:szCs w:val="24"/>
        </w:rPr>
        <w:t>prevention</w:t>
      </w:r>
      <w:proofErr w:type="gramEnd"/>
      <w:r w:rsidRPr="009C7644">
        <w:rPr>
          <w:rFonts w:ascii="Arial" w:hAnsi="Arial" w:cs="Arial"/>
          <w:sz w:val="24"/>
          <w:szCs w:val="24"/>
        </w:rPr>
        <w:t xml:space="preserve"> and sustaining peace, climate action, renewable energy and women and youth employment (UN, 2018). This includes investments in education and vocational training; as there is a large and stable population which is one of the youngest in the world, with 64.5% being under the age of 25 (UN, 2018). It also includes solar energy development, as the land has a large potential for renewable energy due to frequent sun exposure. The UN estimate that the Sahel itself has a potential of around 13.9 billion kWh per year (UN, 2018).</w:t>
      </w:r>
      <w:r w:rsidR="002C69B1" w:rsidRPr="009C7644">
        <w:rPr>
          <w:rFonts w:ascii="Arial" w:hAnsi="Arial" w:cs="Arial"/>
          <w:sz w:val="24"/>
          <w:szCs w:val="24"/>
        </w:rPr>
        <w:t xml:space="preserve"> </w:t>
      </w:r>
      <w:r w:rsidRPr="009C7644">
        <w:rPr>
          <w:rFonts w:ascii="Arial" w:hAnsi="Arial" w:cs="Arial"/>
          <w:sz w:val="24"/>
          <w:szCs w:val="24"/>
        </w:rPr>
        <w:t xml:space="preserve">The Sustainable Development Agenda 2030 was developed by the United Nations to ‘realize the human rights of all and to achieve gender equality and the empowerment of all women and girls’ and to ‘free the human race from the tyranny of </w:t>
      </w:r>
      <w:proofErr w:type="gramStart"/>
      <w:r w:rsidRPr="009C7644">
        <w:rPr>
          <w:rFonts w:ascii="Arial" w:hAnsi="Arial" w:cs="Arial"/>
          <w:sz w:val="24"/>
          <w:szCs w:val="24"/>
        </w:rPr>
        <w:t>poverty, and</w:t>
      </w:r>
      <w:proofErr w:type="gramEnd"/>
      <w:r w:rsidRPr="009C7644">
        <w:rPr>
          <w:rFonts w:ascii="Arial" w:hAnsi="Arial" w:cs="Arial"/>
          <w:sz w:val="24"/>
          <w:szCs w:val="24"/>
        </w:rPr>
        <w:t xml:space="preserve"> heal and secure the planet’. It came into effect in 2016 when world leaders, for the first time, pledged common action </w:t>
      </w:r>
      <w:r w:rsidRPr="009C7644">
        <w:rPr>
          <w:rFonts w:ascii="Arial" w:hAnsi="Arial" w:cs="Arial"/>
          <w:sz w:val="24"/>
          <w:szCs w:val="24"/>
        </w:rPr>
        <w:lastRenderedPageBreak/>
        <w:t>through the universal policy agenda.</w:t>
      </w:r>
      <w:r w:rsidRPr="009C7644">
        <w:rPr>
          <w:rFonts w:ascii="Arial" w:hAnsi="Arial" w:cs="Arial"/>
          <w:sz w:val="24"/>
          <w:szCs w:val="24"/>
        </w:rPr>
        <w:t xml:space="preserve"> </w:t>
      </w:r>
      <w:r w:rsidRPr="009C7644">
        <w:rPr>
          <w:rFonts w:ascii="Arial" w:hAnsi="Arial" w:cs="Arial"/>
          <w:sz w:val="24"/>
          <w:szCs w:val="24"/>
        </w:rPr>
        <w:t>There are 17 goals and 169 targets in the agenda many of which apply to the country of Mali. The agenda outlines the commitment of the UN to ending poverty in all its forms and eradicating extreme poverty by 2030, with ending poverty as the first goal and ending hunger as the second. This also includes ending all forms of malnutrition and achieving food security ‘as a matter of priority’ (UN, 2018)</w:t>
      </w:r>
      <w:r w:rsidR="002C69B1" w:rsidRPr="009C7644">
        <w:rPr>
          <w:rFonts w:ascii="Arial" w:hAnsi="Arial" w:cs="Arial"/>
          <w:sz w:val="24"/>
          <w:szCs w:val="24"/>
        </w:rPr>
        <w:t>, which as previously mentioned, largely affects Mali.</w:t>
      </w:r>
    </w:p>
    <w:p w14:paraId="09BD08B0" w14:textId="0705EF93" w:rsidR="00B0101F" w:rsidRDefault="00B0101F" w:rsidP="009C7644">
      <w:pPr>
        <w:spacing w:before="30" w:line="360" w:lineRule="auto"/>
        <w:ind w:left="284" w:right="284" w:firstLine="720"/>
        <w:jc w:val="both"/>
        <w:rPr>
          <w:rFonts w:ascii="Arial" w:hAnsi="Arial" w:cs="Arial"/>
          <w:sz w:val="24"/>
          <w:szCs w:val="24"/>
        </w:rPr>
      </w:pPr>
      <w:r w:rsidRPr="009C7644">
        <w:rPr>
          <w:rFonts w:ascii="Arial" w:hAnsi="Arial" w:cs="Arial"/>
          <w:sz w:val="24"/>
          <w:szCs w:val="24"/>
        </w:rPr>
        <w:t xml:space="preserve">To conclude, through research, it is evident that Mali deals with many different difficulties of which hinder the progress of the country economically, and negatively affects the people and children of the country the most. The country is currently in a cycle of deprivation with poverty at the centre, with it causing and being the result of many of the issues that the people face (food insecurity, malnutrition, displacement etc). Extreme poverty is largely experienced in the country, with 41.9% living below the national poverty lines in 2020 (Trading Economics, 2022) – this has since risen. Lack of access to food security is also experienced by many in the country, with as many as 4.3 million people without enough food, causing around 1 in 3 children being stunted for their age and malnourished (Reid, 2020). According to the World Bank report on the economy of Mali in Spring of 2021, an economic recession was triggered by the COVID-19 pandemic and the coup in 2020, resulting in 900,000 more Malians plunging into poverty (World Bank, 2021). Maslow’s hierarchy of needs is a motivational theory developed in 1943 to depict his theory that the way an individual </w:t>
      </w:r>
      <w:proofErr w:type="gramStart"/>
      <w:r w:rsidRPr="009C7644">
        <w:rPr>
          <w:rFonts w:ascii="Arial" w:hAnsi="Arial" w:cs="Arial"/>
          <w:sz w:val="24"/>
          <w:szCs w:val="24"/>
        </w:rPr>
        <w:t>responds</w:t>
      </w:r>
      <w:proofErr w:type="gramEnd"/>
      <w:r w:rsidRPr="009C7644">
        <w:rPr>
          <w:rFonts w:ascii="Arial" w:hAnsi="Arial" w:cs="Arial"/>
          <w:sz w:val="24"/>
          <w:szCs w:val="24"/>
        </w:rPr>
        <w:t xml:space="preserve"> to learning is dominated by whichever needs take priority, and that basic survival needs such as food, warmth, rest, and psychological needs such as freedom from fear must be met before an individual can progress to their full potential (Bates, 2019). If a child is unable to receive proper nutrition and stability in their living situation, these needs take priority and they often work hard labour jobs, and join military groups in the hopes of finding </w:t>
      </w:r>
      <w:proofErr w:type="gramStart"/>
      <w:r w:rsidRPr="009C7644">
        <w:rPr>
          <w:rFonts w:ascii="Arial" w:hAnsi="Arial" w:cs="Arial"/>
          <w:sz w:val="24"/>
          <w:szCs w:val="24"/>
        </w:rPr>
        <w:t>stability;</w:t>
      </w:r>
      <w:proofErr w:type="gramEnd"/>
      <w:r w:rsidRPr="009C7644">
        <w:rPr>
          <w:rFonts w:ascii="Arial" w:hAnsi="Arial" w:cs="Arial"/>
          <w:sz w:val="24"/>
          <w:szCs w:val="24"/>
        </w:rPr>
        <w:t xml:space="preserve"> halting their access to education. This reflects the importance to address the poverty and food insecurity issues that Mali faces. Therefore, in one’s own opinion, Mali would benefit from a national policy akin to the Future Generation’s Act (Wales) 2015, to target specific issues that affect the people of Mali. There are many policies and acts for the continent of Africa and the Sahel region specifically, but this is </w:t>
      </w:r>
      <w:r w:rsidRPr="009C7644">
        <w:rPr>
          <w:rFonts w:ascii="Arial" w:hAnsi="Arial" w:cs="Arial"/>
          <w:sz w:val="24"/>
          <w:szCs w:val="24"/>
        </w:rPr>
        <w:lastRenderedPageBreak/>
        <w:t xml:space="preserve">not the only area of which faces such deprivation. There are currently gaps in policies surrounding the rebuilding of schools and educational establishments destroyed during war as it is not an issue every African nation </w:t>
      </w:r>
      <w:proofErr w:type="gramStart"/>
      <w:r w:rsidRPr="009C7644">
        <w:rPr>
          <w:rFonts w:ascii="Arial" w:hAnsi="Arial" w:cs="Arial"/>
          <w:sz w:val="24"/>
          <w:szCs w:val="24"/>
        </w:rPr>
        <w:t>faces</w:t>
      </w:r>
      <w:proofErr w:type="gramEnd"/>
      <w:r w:rsidRPr="009C7644">
        <w:rPr>
          <w:rFonts w:ascii="Arial" w:hAnsi="Arial" w:cs="Arial"/>
          <w:sz w:val="24"/>
          <w:szCs w:val="24"/>
        </w:rPr>
        <w:t xml:space="preserve">, and these need to be addressed to aid in accessibility to education. The World Bank report on Mali (2021) highlights how the crisis has offered an opportunity to build educational systems to become more equitable than previously, by implementing remedial education and remote learning platforms. To ensure this would be effective and accessible for all, the development of digital teaching content accessible via a virtual library is crucial (World Bank, 2021) and would be </w:t>
      </w:r>
      <w:proofErr w:type="gramStart"/>
      <w:r w:rsidRPr="009C7644">
        <w:rPr>
          <w:rFonts w:ascii="Arial" w:hAnsi="Arial" w:cs="Arial"/>
          <w:sz w:val="24"/>
          <w:szCs w:val="24"/>
        </w:rPr>
        <w:t>similar to</w:t>
      </w:r>
      <w:proofErr w:type="gramEnd"/>
      <w:r w:rsidRPr="009C7644">
        <w:rPr>
          <w:rFonts w:ascii="Arial" w:hAnsi="Arial" w:cs="Arial"/>
          <w:sz w:val="24"/>
          <w:szCs w:val="24"/>
        </w:rPr>
        <w:t xml:space="preserve"> the Welsh Government platform Hwb, of which provides resources for teachers to deliver the curriculum to each key stage. In one’s opinion, building virtual education is crucial for the access to education in Mali, but comes with additional barriers, such as a lack of teachers, heavy displacement of children and families and the recruitment of children into the military; issues that also need to be addressed by Malian government.</w:t>
      </w:r>
    </w:p>
    <w:p w14:paraId="09C4A0FD" w14:textId="2A9779E9" w:rsidR="009C7644" w:rsidRDefault="009C7644" w:rsidP="009C7644">
      <w:pPr>
        <w:spacing w:before="30" w:line="360" w:lineRule="auto"/>
        <w:ind w:right="284"/>
        <w:jc w:val="both"/>
        <w:rPr>
          <w:rFonts w:ascii="Arial" w:hAnsi="Arial" w:cs="Arial"/>
          <w:sz w:val="24"/>
          <w:szCs w:val="24"/>
          <w:u w:val="single"/>
        </w:rPr>
      </w:pPr>
      <w:r w:rsidRPr="009C7644">
        <w:rPr>
          <w:rFonts w:ascii="Arial" w:hAnsi="Arial" w:cs="Arial"/>
          <w:sz w:val="24"/>
          <w:szCs w:val="24"/>
          <w:u w:val="single"/>
        </w:rPr>
        <w:t>References</w:t>
      </w:r>
    </w:p>
    <w:p w14:paraId="67282A02"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ACERWC (2022) </w:t>
      </w:r>
      <w:r w:rsidRPr="009C7644">
        <w:rPr>
          <w:rFonts w:ascii="Arial" w:hAnsi="Arial" w:cs="Arial"/>
          <w:i/>
          <w:iCs/>
          <w:sz w:val="24"/>
          <w:szCs w:val="24"/>
        </w:rPr>
        <w:t>Ratifications Table</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5" w:history="1">
        <w:r w:rsidRPr="009C7644">
          <w:rPr>
            <w:rStyle w:val="Hyperlink"/>
            <w:rFonts w:ascii="Arial" w:hAnsi="Arial" w:cs="Arial"/>
            <w:sz w:val="24"/>
            <w:szCs w:val="24"/>
          </w:rPr>
          <w:t>https://www.acerwc.africa/ratifications-table/</w:t>
        </w:r>
      </w:hyperlink>
      <w:r w:rsidRPr="009C7644">
        <w:rPr>
          <w:rFonts w:ascii="Arial" w:hAnsi="Arial" w:cs="Arial"/>
          <w:sz w:val="24"/>
          <w:szCs w:val="24"/>
        </w:rPr>
        <w:t xml:space="preserve"> Accessed</w:t>
      </w:r>
    </w:p>
    <w:p w14:paraId="0AE089C3"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African Charter on the Rights and Welfare of the Child (ACRWC) (1990)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6" w:history="1">
        <w:r w:rsidRPr="009C7644">
          <w:rPr>
            <w:rStyle w:val="Hyperlink"/>
            <w:rFonts w:ascii="Arial" w:hAnsi="Arial" w:cs="Arial"/>
            <w:sz w:val="24"/>
            <w:szCs w:val="24"/>
          </w:rPr>
          <w:t>https://www.achpr.org/public/Document/file/English/achpr_instr_charterchild_eng.pdf</w:t>
        </w:r>
      </w:hyperlink>
      <w:r w:rsidRPr="009C7644">
        <w:rPr>
          <w:rFonts w:ascii="Arial" w:hAnsi="Arial" w:cs="Arial"/>
          <w:sz w:val="24"/>
          <w:szCs w:val="24"/>
        </w:rPr>
        <w:t xml:space="preserve"> Accessed 12/03/2022</w:t>
      </w:r>
    </w:p>
    <w:p w14:paraId="6311BB0E"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African Union Commission (AUC) (2022) </w:t>
      </w:r>
      <w:r w:rsidRPr="009C7644">
        <w:rPr>
          <w:rFonts w:ascii="Arial" w:hAnsi="Arial" w:cs="Arial"/>
          <w:i/>
          <w:iCs/>
          <w:sz w:val="24"/>
          <w:szCs w:val="24"/>
        </w:rPr>
        <w:t>About the African Union</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7" w:history="1">
        <w:r w:rsidRPr="009C7644">
          <w:rPr>
            <w:rStyle w:val="Hyperlink"/>
            <w:rFonts w:ascii="Arial" w:hAnsi="Arial" w:cs="Arial"/>
            <w:sz w:val="24"/>
            <w:szCs w:val="24"/>
          </w:rPr>
          <w:t>https://au.int/en/overview</w:t>
        </w:r>
      </w:hyperlink>
      <w:r w:rsidRPr="009C7644">
        <w:rPr>
          <w:rFonts w:ascii="Arial" w:hAnsi="Arial" w:cs="Arial"/>
          <w:sz w:val="24"/>
          <w:szCs w:val="24"/>
        </w:rPr>
        <w:t xml:space="preserve"> Accessed 07/05/2022</w:t>
      </w:r>
    </w:p>
    <w:p w14:paraId="3A41F149"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African Union Committee (2022) </w:t>
      </w:r>
      <w:r w:rsidRPr="009C7644">
        <w:rPr>
          <w:rFonts w:ascii="Arial" w:hAnsi="Arial" w:cs="Arial"/>
          <w:i/>
          <w:iCs/>
          <w:sz w:val="24"/>
          <w:szCs w:val="24"/>
        </w:rPr>
        <w:t>African Committee of Experts on the Rights and Welfare of the Child (ACERWC) Secretariat</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8" w:history="1">
        <w:r w:rsidRPr="009C7644">
          <w:rPr>
            <w:rStyle w:val="Hyperlink"/>
            <w:rFonts w:ascii="Arial" w:hAnsi="Arial" w:cs="Arial"/>
            <w:sz w:val="24"/>
            <w:szCs w:val="24"/>
          </w:rPr>
          <w:t>https://au.int/en/sa/acerwc</w:t>
        </w:r>
      </w:hyperlink>
      <w:r w:rsidRPr="009C7644">
        <w:rPr>
          <w:rFonts w:ascii="Arial" w:hAnsi="Arial" w:cs="Arial"/>
          <w:sz w:val="24"/>
          <w:szCs w:val="24"/>
        </w:rPr>
        <w:t xml:space="preserve"> Accessed 09/05/2022</w:t>
      </w:r>
    </w:p>
    <w:p w14:paraId="0ED25843"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Bates, B. (2019) Learning Theories Simplified. Second Edition. SAGE Publications</w:t>
      </w:r>
    </w:p>
    <w:p w14:paraId="3690B48B"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Britannica (2020) Encyclopaedia Britannica: </w:t>
      </w:r>
      <w:r w:rsidRPr="009C7644">
        <w:rPr>
          <w:rFonts w:ascii="Arial" w:hAnsi="Arial" w:cs="Arial"/>
          <w:i/>
          <w:iCs/>
          <w:sz w:val="24"/>
          <w:szCs w:val="24"/>
        </w:rPr>
        <w:t>Sahel</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9" w:history="1">
        <w:r w:rsidRPr="009C7644">
          <w:rPr>
            <w:rStyle w:val="Hyperlink"/>
            <w:rFonts w:ascii="Arial" w:hAnsi="Arial" w:cs="Arial"/>
            <w:sz w:val="24"/>
            <w:szCs w:val="24"/>
          </w:rPr>
          <w:t>https://www.britannica.com/place/Sahel</w:t>
        </w:r>
      </w:hyperlink>
      <w:r w:rsidRPr="009C7644">
        <w:rPr>
          <w:rFonts w:ascii="Arial" w:hAnsi="Arial" w:cs="Arial"/>
          <w:sz w:val="24"/>
          <w:szCs w:val="24"/>
        </w:rPr>
        <w:t xml:space="preserve"> Accessed 19/05/2022</w:t>
      </w:r>
    </w:p>
    <w:p w14:paraId="686B06CB"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Bureau of International </w:t>
      </w:r>
      <w:proofErr w:type="spellStart"/>
      <w:r w:rsidRPr="009C7644">
        <w:rPr>
          <w:rFonts w:ascii="Arial" w:hAnsi="Arial" w:cs="Arial"/>
          <w:sz w:val="24"/>
          <w:szCs w:val="24"/>
        </w:rPr>
        <w:t>Labor</w:t>
      </w:r>
      <w:proofErr w:type="spellEnd"/>
      <w:r w:rsidRPr="009C7644">
        <w:rPr>
          <w:rFonts w:ascii="Arial" w:hAnsi="Arial" w:cs="Arial"/>
          <w:sz w:val="24"/>
          <w:szCs w:val="24"/>
        </w:rPr>
        <w:t xml:space="preserve"> Affairs (BILA) (2020) </w:t>
      </w:r>
      <w:r w:rsidRPr="009C7644">
        <w:rPr>
          <w:rFonts w:ascii="Arial" w:hAnsi="Arial" w:cs="Arial"/>
          <w:i/>
          <w:iCs/>
          <w:sz w:val="24"/>
          <w:szCs w:val="24"/>
        </w:rPr>
        <w:t xml:space="preserve">Child </w:t>
      </w:r>
      <w:proofErr w:type="spellStart"/>
      <w:r w:rsidRPr="009C7644">
        <w:rPr>
          <w:rFonts w:ascii="Arial" w:hAnsi="Arial" w:cs="Arial"/>
          <w:i/>
          <w:iCs/>
          <w:sz w:val="24"/>
          <w:szCs w:val="24"/>
        </w:rPr>
        <w:t>Labor</w:t>
      </w:r>
      <w:proofErr w:type="spellEnd"/>
      <w:r w:rsidRPr="009C7644">
        <w:rPr>
          <w:rFonts w:ascii="Arial" w:hAnsi="Arial" w:cs="Arial"/>
          <w:i/>
          <w:iCs/>
          <w:sz w:val="24"/>
          <w:szCs w:val="24"/>
        </w:rPr>
        <w:t xml:space="preserve"> and Forced </w:t>
      </w:r>
      <w:proofErr w:type="spellStart"/>
      <w:r w:rsidRPr="009C7644">
        <w:rPr>
          <w:rFonts w:ascii="Arial" w:hAnsi="Arial" w:cs="Arial"/>
          <w:i/>
          <w:iCs/>
          <w:sz w:val="24"/>
          <w:szCs w:val="24"/>
        </w:rPr>
        <w:t>Labor</w:t>
      </w:r>
      <w:proofErr w:type="spellEnd"/>
      <w:r w:rsidRPr="009C7644">
        <w:rPr>
          <w:rFonts w:ascii="Arial" w:hAnsi="Arial" w:cs="Arial"/>
          <w:i/>
          <w:iCs/>
          <w:sz w:val="24"/>
          <w:szCs w:val="24"/>
        </w:rPr>
        <w:t xml:space="preserve"> Reports: Mali. </w:t>
      </w:r>
      <w:r w:rsidRPr="009C7644">
        <w:rPr>
          <w:rFonts w:ascii="Arial" w:hAnsi="Arial" w:cs="Arial"/>
          <w:sz w:val="24"/>
          <w:szCs w:val="24"/>
        </w:rPr>
        <w:t xml:space="preserve">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0" w:history="1">
        <w:r w:rsidRPr="009C7644">
          <w:rPr>
            <w:rStyle w:val="Hyperlink"/>
            <w:rFonts w:ascii="Arial" w:hAnsi="Arial" w:cs="Arial"/>
            <w:sz w:val="24"/>
            <w:szCs w:val="24"/>
          </w:rPr>
          <w:t>https://www.dol.gov/agencies/ilab/resources/reports/child-labor/mali</w:t>
        </w:r>
      </w:hyperlink>
      <w:r w:rsidRPr="009C7644">
        <w:rPr>
          <w:rFonts w:ascii="Arial" w:hAnsi="Arial" w:cs="Arial"/>
          <w:sz w:val="24"/>
          <w:szCs w:val="24"/>
        </w:rPr>
        <w:t xml:space="preserve"> Accessed 05/05/2022</w:t>
      </w:r>
    </w:p>
    <w:p w14:paraId="6CF092D4"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Cambridge Dictionary (2022) </w:t>
      </w:r>
      <w:r w:rsidRPr="009C7644">
        <w:rPr>
          <w:rFonts w:ascii="Arial" w:hAnsi="Arial" w:cs="Arial"/>
          <w:i/>
          <w:iCs/>
          <w:sz w:val="24"/>
          <w:szCs w:val="24"/>
        </w:rPr>
        <w:t>Meaning of Lingua Franca in English</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1" w:history="1">
        <w:r w:rsidRPr="009C7644">
          <w:rPr>
            <w:rStyle w:val="Hyperlink"/>
            <w:rFonts w:ascii="Arial" w:hAnsi="Arial" w:cs="Arial"/>
            <w:sz w:val="24"/>
            <w:szCs w:val="24"/>
          </w:rPr>
          <w:t>https://dictionary.cambridge.org/dictionary/english/lingua-franca</w:t>
        </w:r>
      </w:hyperlink>
      <w:r w:rsidRPr="009C7644">
        <w:rPr>
          <w:rFonts w:ascii="Arial" w:hAnsi="Arial" w:cs="Arial"/>
          <w:sz w:val="24"/>
          <w:szCs w:val="24"/>
        </w:rPr>
        <w:t xml:space="preserve"> Accessed 02/03/2022</w:t>
      </w:r>
    </w:p>
    <w:p w14:paraId="643DBD3C"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lastRenderedPageBreak/>
        <w:t xml:space="preserve">Child Law Resources. (2021). </w:t>
      </w:r>
      <w:r w:rsidRPr="009C7644">
        <w:rPr>
          <w:rFonts w:ascii="Arial" w:hAnsi="Arial" w:cs="Arial"/>
          <w:i/>
          <w:iCs/>
          <w:sz w:val="24"/>
          <w:szCs w:val="24"/>
        </w:rPr>
        <w:t>The Constitution of the Republic of Mali 1992</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2" w:history="1">
        <w:r w:rsidRPr="009C7644">
          <w:rPr>
            <w:rStyle w:val="Hyperlink"/>
            <w:rFonts w:ascii="Arial" w:hAnsi="Arial" w:cs="Arial"/>
            <w:sz w:val="24"/>
            <w:szCs w:val="24"/>
          </w:rPr>
          <w:t>http://www.africanchildforum.org/clr/Legislation%20Per%20Country/Mali/mali_constituion_1991_en.pdf</w:t>
        </w:r>
      </w:hyperlink>
      <w:r w:rsidRPr="009C7644">
        <w:rPr>
          <w:rFonts w:ascii="Arial" w:hAnsi="Arial" w:cs="Arial"/>
          <w:sz w:val="24"/>
          <w:szCs w:val="24"/>
        </w:rPr>
        <w:t xml:space="preserve"> Accessed 22/05/2022</w:t>
      </w:r>
    </w:p>
    <w:p w14:paraId="2F918821"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Clark, A., Baker, K.M. and </w:t>
      </w:r>
      <w:proofErr w:type="spellStart"/>
      <w:r w:rsidRPr="009C7644">
        <w:rPr>
          <w:rFonts w:ascii="Arial" w:hAnsi="Arial" w:cs="Arial"/>
          <w:sz w:val="24"/>
          <w:szCs w:val="24"/>
        </w:rPr>
        <w:t>Imperato</w:t>
      </w:r>
      <w:proofErr w:type="spellEnd"/>
      <w:r w:rsidRPr="009C7644">
        <w:rPr>
          <w:rFonts w:ascii="Arial" w:hAnsi="Arial" w:cs="Arial"/>
          <w:sz w:val="24"/>
          <w:szCs w:val="24"/>
        </w:rPr>
        <w:t xml:space="preserve">, P.J. (2021) Encyclopaedia Britannica: </w:t>
      </w:r>
      <w:r w:rsidRPr="009C7644">
        <w:rPr>
          <w:rFonts w:ascii="Arial" w:hAnsi="Arial" w:cs="Arial"/>
          <w:i/>
          <w:iCs/>
          <w:sz w:val="24"/>
          <w:szCs w:val="24"/>
        </w:rPr>
        <w:t>Mali</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3" w:history="1">
        <w:r w:rsidRPr="009C7644">
          <w:rPr>
            <w:rStyle w:val="Hyperlink"/>
            <w:rFonts w:ascii="Arial" w:hAnsi="Arial" w:cs="Arial"/>
            <w:sz w:val="24"/>
            <w:szCs w:val="24"/>
          </w:rPr>
          <w:t>https://www.britannica.com/place/Mali</w:t>
        </w:r>
      </w:hyperlink>
      <w:r w:rsidRPr="009C7644">
        <w:rPr>
          <w:rFonts w:ascii="Arial" w:hAnsi="Arial" w:cs="Arial"/>
          <w:sz w:val="24"/>
          <w:szCs w:val="24"/>
        </w:rPr>
        <w:t xml:space="preserve"> Accessed 27/02/2022</w:t>
      </w:r>
    </w:p>
    <w:p w14:paraId="7D2031F3"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Council on Foreign Relations (CFR) (2022) </w:t>
      </w:r>
      <w:r w:rsidRPr="009C7644">
        <w:rPr>
          <w:rFonts w:ascii="Arial" w:hAnsi="Arial" w:cs="Arial"/>
          <w:i/>
          <w:iCs/>
          <w:sz w:val="24"/>
          <w:szCs w:val="24"/>
        </w:rPr>
        <w:t>Destabilization of Mali: Recent Developments</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4" w:history="1">
        <w:r w:rsidRPr="009C7644">
          <w:rPr>
            <w:rStyle w:val="Hyperlink"/>
            <w:rFonts w:ascii="Arial" w:hAnsi="Arial" w:cs="Arial"/>
            <w:sz w:val="24"/>
            <w:szCs w:val="24"/>
          </w:rPr>
          <w:t>https://www.cfr.org/global-conflict-tracker/conflict/destabilization-mali</w:t>
        </w:r>
      </w:hyperlink>
      <w:r w:rsidRPr="009C7644">
        <w:rPr>
          <w:rFonts w:ascii="Arial" w:hAnsi="Arial" w:cs="Arial"/>
          <w:sz w:val="24"/>
          <w:szCs w:val="24"/>
        </w:rPr>
        <w:t xml:space="preserve"> Accessed </w:t>
      </w:r>
    </w:p>
    <w:p w14:paraId="572940EB"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Hamadi, L. (2014) </w:t>
      </w:r>
      <w:r w:rsidRPr="009C7644">
        <w:rPr>
          <w:rFonts w:ascii="Arial" w:hAnsi="Arial" w:cs="Arial"/>
          <w:i/>
          <w:iCs/>
          <w:sz w:val="24"/>
          <w:szCs w:val="24"/>
        </w:rPr>
        <w:t>Edward Said: The Postcolonial Theory and the Literature of Decolonization</w:t>
      </w:r>
      <w:r w:rsidRPr="009C7644">
        <w:rPr>
          <w:rFonts w:ascii="Arial" w:hAnsi="Arial" w:cs="Arial"/>
          <w:sz w:val="24"/>
          <w:szCs w:val="24"/>
        </w:rPr>
        <w:t>. European Scientific Journal. Lebanese International University, Lebanon.</w:t>
      </w:r>
    </w:p>
    <w:p w14:paraId="64AC6B22"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Harrison-</w:t>
      </w:r>
      <w:proofErr w:type="spellStart"/>
      <w:r w:rsidRPr="009C7644">
        <w:rPr>
          <w:rFonts w:ascii="Arial" w:hAnsi="Arial" w:cs="Arial"/>
          <w:sz w:val="24"/>
          <w:szCs w:val="24"/>
        </w:rPr>
        <w:t>Chuch</w:t>
      </w:r>
      <w:proofErr w:type="spellEnd"/>
      <w:r w:rsidRPr="009C7644">
        <w:rPr>
          <w:rFonts w:ascii="Arial" w:hAnsi="Arial" w:cs="Arial"/>
          <w:sz w:val="24"/>
          <w:szCs w:val="24"/>
        </w:rPr>
        <w:t xml:space="preserve">, R.J., Camille, C. (2021) Encyclopaedia Britannica: </w:t>
      </w:r>
      <w:proofErr w:type="spellStart"/>
      <w:r w:rsidRPr="009C7644">
        <w:rPr>
          <w:rFonts w:ascii="Arial" w:hAnsi="Arial" w:cs="Arial"/>
          <w:i/>
          <w:iCs/>
          <w:sz w:val="24"/>
          <w:szCs w:val="24"/>
        </w:rPr>
        <w:t>Sénégal</w:t>
      </w:r>
      <w:proofErr w:type="spellEnd"/>
      <w:r w:rsidRPr="009C7644">
        <w:rPr>
          <w:rFonts w:ascii="Arial" w:hAnsi="Arial" w:cs="Arial"/>
          <w:i/>
          <w:iCs/>
          <w:sz w:val="24"/>
          <w:szCs w:val="24"/>
        </w:rPr>
        <w:t xml:space="preserve"> River</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5" w:history="1">
        <w:r w:rsidRPr="009C7644">
          <w:rPr>
            <w:rStyle w:val="Hyperlink"/>
            <w:rFonts w:ascii="Arial" w:hAnsi="Arial" w:cs="Arial"/>
            <w:sz w:val="24"/>
            <w:szCs w:val="24"/>
          </w:rPr>
          <w:t>https://www.britannica.com/place/Senegal-River</w:t>
        </w:r>
      </w:hyperlink>
      <w:r w:rsidRPr="009C7644">
        <w:rPr>
          <w:rFonts w:ascii="Arial" w:hAnsi="Arial" w:cs="Arial"/>
          <w:sz w:val="24"/>
          <w:szCs w:val="24"/>
        </w:rPr>
        <w:t xml:space="preserve"> Accessed 27/02/2022</w:t>
      </w:r>
    </w:p>
    <w:p w14:paraId="4596E98B"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Human Rights Watch (2019) </w:t>
      </w:r>
      <w:r w:rsidRPr="009C7644">
        <w:rPr>
          <w:rFonts w:ascii="Arial" w:hAnsi="Arial" w:cs="Arial"/>
          <w:i/>
          <w:iCs/>
          <w:sz w:val="24"/>
          <w:szCs w:val="24"/>
        </w:rPr>
        <w:t>Mali: Events of 2018</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6" w:history="1">
        <w:r w:rsidRPr="009C7644">
          <w:rPr>
            <w:rStyle w:val="Hyperlink"/>
            <w:rFonts w:ascii="Arial" w:hAnsi="Arial" w:cs="Arial"/>
            <w:sz w:val="24"/>
            <w:szCs w:val="24"/>
          </w:rPr>
          <w:t>https://www.hrw.org/world-report/2019/country-chapters/mali#</w:t>
        </w:r>
      </w:hyperlink>
      <w:r w:rsidRPr="009C7644">
        <w:rPr>
          <w:rFonts w:ascii="Arial" w:hAnsi="Arial" w:cs="Arial"/>
          <w:sz w:val="24"/>
          <w:szCs w:val="24"/>
        </w:rPr>
        <w:t xml:space="preserve"> Accessed 28/05/2022</w:t>
      </w:r>
    </w:p>
    <w:p w14:paraId="498A4C71"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Human Rights Watch (2020) </w:t>
      </w:r>
      <w:r w:rsidRPr="009C7644">
        <w:rPr>
          <w:rFonts w:ascii="Arial" w:hAnsi="Arial" w:cs="Arial"/>
          <w:i/>
          <w:iCs/>
          <w:sz w:val="24"/>
          <w:szCs w:val="24"/>
        </w:rPr>
        <w:t xml:space="preserve">Attacks on Students, </w:t>
      </w:r>
      <w:proofErr w:type="gramStart"/>
      <w:r w:rsidRPr="009C7644">
        <w:rPr>
          <w:rFonts w:ascii="Arial" w:hAnsi="Arial" w:cs="Arial"/>
          <w:i/>
          <w:iCs/>
          <w:sz w:val="24"/>
          <w:szCs w:val="24"/>
        </w:rPr>
        <w:t>Teachers</w:t>
      </w:r>
      <w:proofErr w:type="gramEnd"/>
      <w:r w:rsidRPr="009C7644">
        <w:rPr>
          <w:rFonts w:ascii="Arial" w:hAnsi="Arial" w:cs="Arial"/>
          <w:i/>
          <w:iCs/>
          <w:sz w:val="24"/>
          <w:szCs w:val="24"/>
        </w:rPr>
        <w:t xml:space="preserve"> and School Surge in Africa’s Sahel</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7" w:history="1">
        <w:r w:rsidRPr="009C7644">
          <w:rPr>
            <w:rStyle w:val="Hyperlink"/>
            <w:rFonts w:ascii="Arial" w:hAnsi="Arial" w:cs="Arial"/>
            <w:sz w:val="24"/>
            <w:szCs w:val="24"/>
          </w:rPr>
          <w:t>https://www.hrw.org/news/2020/09/08/attacks-students-teachers-and-schools-surge-africas-sahel</w:t>
        </w:r>
      </w:hyperlink>
      <w:r w:rsidRPr="009C7644">
        <w:rPr>
          <w:rFonts w:ascii="Arial" w:hAnsi="Arial" w:cs="Arial"/>
          <w:sz w:val="24"/>
          <w:szCs w:val="24"/>
        </w:rPr>
        <w:t xml:space="preserve"> Accessed 19/03/2022</w:t>
      </w:r>
    </w:p>
    <w:p w14:paraId="59A367D0"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Mabogunje, A.L. (2019) Encyclopaedia Britannica: </w:t>
      </w:r>
      <w:r w:rsidRPr="009C7644">
        <w:rPr>
          <w:rFonts w:ascii="Arial" w:hAnsi="Arial" w:cs="Arial"/>
          <w:i/>
          <w:iCs/>
          <w:sz w:val="24"/>
          <w:szCs w:val="24"/>
        </w:rPr>
        <w:t>Niger River</w:t>
      </w:r>
      <w:r w:rsidRPr="009C7644">
        <w:rPr>
          <w:rFonts w:ascii="Arial" w:hAnsi="Arial" w:cs="Arial"/>
          <w:sz w:val="24"/>
          <w:szCs w:val="24"/>
        </w:rPr>
        <w:t xml:space="preserve">. </w:t>
      </w:r>
      <w:hyperlink r:id="rId18" w:history="1">
        <w:r w:rsidRPr="009C7644">
          <w:rPr>
            <w:rStyle w:val="Hyperlink"/>
            <w:rFonts w:ascii="Arial" w:hAnsi="Arial" w:cs="Arial"/>
            <w:sz w:val="24"/>
            <w:szCs w:val="24"/>
          </w:rPr>
          <w:t>https://www.britannica.com/place/Niger-River</w:t>
        </w:r>
      </w:hyperlink>
      <w:r w:rsidRPr="009C7644">
        <w:rPr>
          <w:rFonts w:ascii="Arial" w:hAnsi="Arial" w:cs="Arial"/>
          <w:sz w:val="24"/>
          <w:szCs w:val="24"/>
        </w:rPr>
        <w:t xml:space="preserve"> Accessed 03/02/2022</w:t>
      </w:r>
    </w:p>
    <w:p w14:paraId="6CD26B74"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Macro Trends (2022) </w:t>
      </w:r>
      <w:r w:rsidRPr="009C7644">
        <w:rPr>
          <w:rFonts w:ascii="Arial" w:hAnsi="Arial" w:cs="Arial"/>
          <w:i/>
          <w:iCs/>
          <w:sz w:val="24"/>
          <w:szCs w:val="24"/>
        </w:rPr>
        <w:t>Bamako, Mali Metro Area Population 1950-2022</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19" w:history="1">
        <w:r w:rsidRPr="009C7644">
          <w:rPr>
            <w:rStyle w:val="Hyperlink"/>
            <w:rFonts w:ascii="Arial" w:hAnsi="Arial" w:cs="Arial"/>
            <w:sz w:val="24"/>
            <w:szCs w:val="24"/>
          </w:rPr>
          <w:t>https://www.macrotrends.net/cities/21818/bamako/population</w:t>
        </w:r>
      </w:hyperlink>
      <w:r w:rsidRPr="009C7644">
        <w:rPr>
          <w:rFonts w:ascii="Arial" w:hAnsi="Arial" w:cs="Arial"/>
          <w:sz w:val="24"/>
          <w:szCs w:val="24"/>
        </w:rPr>
        <w:t xml:space="preserve"> Accessed 24/03/2022</w:t>
      </w:r>
    </w:p>
    <w:p w14:paraId="5F7139A0"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proofErr w:type="spellStart"/>
      <w:r w:rsidRPr="009C7644">
        <w:rPr>
          <w:rFonts w:ascii="Arial" w:hAnsi="Arial" w:cs="Arial"/>
          <w:sz w:val="24"/>
          <w:szCs w:val="24"/>
        </w:rPr>
        <w:t>Nderi</w:t>
      </w:r>
      <w:proofErr w:type="spellEnd"/>
      <w:r w:rsidRPr="009C7644">
        <w:rPr>
          <w:rFonts w:ascii="Arial" w:hAnsi="Arial" w:cs="Arial"/>
          <w:sz w:val="24"/>
          <w:szCs w:val="24"/>
        </w:rPr>
        <w:t xml:space="preserve">, I. (2021) </w:t>
      </w:r>
      <w:r w:rsidRPr="009C7644">
        <w:rPr>
          <w:rFonts w:ascii="Arial" w:hAnsi="Arial" w:cs="Arial"/>
          <w:i/>
          <w:iCs/>
          <w:sz w:val="24"/>
          <w:szCs w:val="24"/>
        </w:rPr>
        <w:t xml:space="preserve">Children of Mali: Realizing Children’s Rights in Mali. </w:t>
      </w:r>
      <w:r w:rsidRPr="009C7644">
        <w:rPr>
          <w:rFonts w:ascii="Arial" w:hAnsi="Arial" w:cs="Arial"/>
          <w:sz w:val="24"/>
          <w:szCs w:val="24"/>
        </w:rPr>
        <w:t xml:space="preserve">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0" w:history="1">
        <w:r w:rsidRPr="009C7644">
          <w:rPr>
            <w:rStyle w:val="Hyperlink"/>
            <w:rFonts w:ascii="Arial" w:hAnsi="Arial" w:cs="Arial"/>
            <w:sz w:val="24"/>
            <w:szCs w:val="24"/>
          </w:rPr>
          <w:t>https://www.humanium.org/en/mali/</w:t>
        </w:r>
      </w:hyperlink>
      <w:r w:rsidRPr="009C7644">
        <w:rPr>
          <w:rFonts w:ascii="Arial" w:hAnsi="Arial" w:cs="Arial"/>
          <w:sz w:val="24"/>
          <w:szCs w:val="24"/>
        </w:rPr>
        <w:t xml:space="preserve"> Accessed</w:t>
      </w:r>
    </w:p>
    <w:p w14:paraId="15BC8BF7"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Reid, K. (2020) </w:t>
      </w:r>
      <w:r w:rsidRPr="009C7644">
        <w:rPr>
          <w:rFonts w:ascii="Arial" w:hAnsi="Arial" w:cs="Arial"/>
          <w:i/>
          <w:iCs/>
          <w:sz w:val="24"/>
          <w:szCs w:val="24"/>
        </w:rPr>
        <w:t>Mali conflict explained: Facts, FAQ, and how to help</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1" w:history="1">
        <w:r w:rsidRPr="009C7644">
          <w:rPr>
            <w:rStyle w:val="Hyperlink"/>
            <w:rFonts w:ascii="Arial" w:hAnsi="Arial" w:cs="Arial"/>
            <w:sz w:val="24"/>
            <w:szCs w:val="24"/>
          </w:rPr>
          <w:t>https://www.worldvision.org/disaster-relief-news-stories/mali-conflict-facts</w:t>
        </w:r>
      </w:hyperlink>
      <w:r w:rsidRPr="009C7644">
        <w:rPr>
          <w:rFonts w:ascii="Arial" w:hAnsi="Arial" w:cs="Arial"/>
          <w:sz w:val="24"/>
          <w:szCs w:val="24"/>
        </w:rPr>
        <w:t xml:space="preserve"> Accessed 21/03/2022</w:t>
      </w:r>
    </w:p>
    <w:p w14:paraId="7D52383A"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Save The Children (2020) UN Convention on The Rights of the Child (UNCRC): An international agreement for child rights.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2" w:history="1">
        <w:r w:rsidRPr="009C7644">
          <w:rPr>
            <w:rStyle w:val="Hyperlink"/>
            <w:rFonts w:ascii="Arial" w:hAnsi="Arial" w:cs="Arial"/>
            <w:sz w:val="24"/>
            <w:szCs w:val="24"/>
          </w:rPr>
          <w:t>https://www.savethechildren.org.uk/what-we-do/childrens-rights/united-nations-convention-of-the-rights-of-the-child</w:t>
        </w:r>
      </w:hyperlink>
      <w:r w:rsidRPr="009C7644">
        <w:rPr>
          <w:rFonts w:ascii="Arial" w:hAnsi="Arial" w:cs="Arial"/>
          <w:sz w:val="24"/>
          <w:szCs w:val="24"/>
        </w:rPr>
        <w:t xml:space="preserve"> Accessed 13/02/2022</w:t>
      </w:r>
    </w:p>
    <w:p w14:paraId="5643FD6F"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Save The Children (</w:t>
      </w:r>
      <w:proofErr w:type="gramStart"/>
      <w:r w:rsidRPr="009C7644">
        <w:rPr>
          <w:rFonts w:ascii="Arial" w:hAnsi="Arial" w:cs="Arial"/>
          <w:sz w:val="24"/>
          <w:szCs w:val="24"/>
        </w:rPr>
        <w:t>2021)[</w:t>
      </w:r>
      <w:proofErr w:type="gramEnd"/>
      <w:r w:rsidRPr="009C7644">
        <w:rPr>
          <w:rFonts w:ascii="Arial" w:hAnsi="Arial" w:cs="Arial"/>
          <w:sz w:val="24"/>
          <w:szCs w:val="24"/>
        </w:rPr>
        <w:t xml:space="preserve">1] </w:t>
      </w:r>
      <w:r w:rsidRPr="009C7644">
        <w:rPr>
          <w:rFonts w:ascii="Arial" w:hAnsi="Arial" w:cs="Arial"/>
          <w:i/>
          <w:iCs/>
          <w:sz w:val="24"/>
          <w:szCs w:val="24"/>
        </w:rPr>
        <w:t>Global Childhood Report 2021: The Toughest Places to be a Child</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3" w:history="1">
        <w:r w:rsidRPr="009C7644">
          <w:rPr>
            <w:rStyle w:val="Hyperlink"/>
            <w:rFonts w:ascii="Arial" w:hAnsi="Arial" w:cs="Arial"/>
            <w:sz w:val="24"/>
            <w:szCs w:val="24"/>
          </w:rPr>
          <w:t>https://www.savethechildren.org/content/dam/usa/reports/advocacy/2021-global-childhood-report.pdf</w:t>
        </w:r>
      </w:hyperlink>
      <w:r w:rsidRPr="009C7644">
        <w:rPr>
          <w:rFonts w:ascii="Arial" w:hAnsi="Arial" w:cs="Arial"/>
          <w:sz w:val="24"/>
          <w:szCs w:val="24"/>
        </w:rPr>
        <w:t xml:space="preserve"> Accessed 22/02/2022</w:t>
      </w:r>
    </w:p>
    <w:p w14:paraId="095E689D"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Save The Children (</w:t>
      </w:r>
      <w:proofErr w:type="gramStart"/>
      <w:r w:rsidRPr="009C7644">
        <w:rPr>
          <w:rFonts w:ascii="Arial" w:hAnsi="Arial" w:cs="Arial"/>
          <w:sz w:val="24"/>
          <w:szCs w:val="24"/>
        </w:rPr>
        <w:t>2021)[</w:t>
      </w:r>
      <w:proofErr w:type="gramEnd"/>
      <w:r w:rsidRPr="009C7644">
        <w:rPr>
          <w:rFonts w:ascii="Arial" w:hAnsi="Arial" w:cs="Arial"/>
          <w:sz w:val="24"/>
          <w:szCs w:val="24"/>
        </w:rPr>
        <w:t xml:space="preserve">2] </w:t>
      </w:r>
      <w:r w:rsidRPr="009C7644">
        <w:rPr>
          <w:rFonts w:ascii="Arial" w:hAnsi="Arial" w:cs="Arial"/>
          <w:i/>
          <w:iCs/>
          <w:sz w:val="24"/>
          <w:szCs w:val="24"/>
        </w:rPr>
        <w:t>Protecting Children in Mali</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4" w:history="1">
        <w:r w:rsidRPr="009C7644">
          <w:rPr>
            <w:rStyle w:val="Hyperlink"/>
            <w:rFonts w:ascii="Arial" w:hAnsi="Arial" w:cs="Arial"/>
            <w:sz w:val="24"/>
            <w:szCs w:val="24"/>
          </w:rPr>
          <w:t>https://www.savethechildren.org.uk/blogs/2021/protecting-children-in-mali</w:t>
        </w:r>
      </w:hyperlink>
      <w:r w:rsidRPr="009C7644">
        <w:rPr>
          <w:rFonts w:ascii="Arial" w:hAnsi="Arial" w:cs="Arial"/>
          <w:sz w:val="24"/>
          <w:szCs w:val="24"/>
        </w:rPr>
        <w:t xml:space="preserve"> Accessed 13/02/2022</w:t>
      </w:r>
    </w:p>
    <w:p w14:paraId="05E007FC"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lastRenderedPageBreak/>
        <w:t xml:space="preserve">Statista (2022) </w:t>
      </w:r>
      <w:r w:rsidRPr="009C7644">
        <w:rPr>
          <w:rFonts w:ascii="Arial" w:hAnsi="Arial" w:cs="Arial"/>
          <w:i/>
          <w:iCs/>
          <w:sz w:val="24"/>
          <w:szCs w:val="24"/>
        </w:rPr>
        <w:t>Countries in Africa as of 2020, by area</w:t>
      </w:r>
      <w:r w:rsidRPr="009C7644">
        <w:rPr>
          <w:rFonts w:ascii="Arial" w:hAnsi="Arial" w:cs="Arial"/>
          <w:sz w:val="24"/>
          <w:szCs w:val="24"/>
        </w:rPr>
        <w:t xml:space="preserve">. Available at: </w:t>
      </w:r>
      <w:hyperlink r:id="rId25" w:history="1">
        <w:r w:rsidRPr="009C7644">
          <w:rPr>
            <w:rStyle w:val="Hyperlink"/>
            <w:rFonts w:ascii="Arial" w:hAnsi="Arial" w:cs="Arial"/>
            <w:sz w:val="24"/>
            <w:szCs w:val="24"/>
          </w:rPr>
          <w:t>https://www.statista.com/statistics/1207844/largest-countries-in-africa-by-area/</w:t>
        </w:r>
      </w:hyperlink>
      <w:r w:rsidRPr="009C7644">
        <w:rPr>
          <w:rFonts w:ascii="Arial" w:hAnsi="Arial" w:cs="Arial"/>
          <w:sz w:val="24"/>
          <w:szCs w:val="24"/>
        </w:rPr>
        <w:t xml:space="preserve"> Accessed 09/03/2022</w:t>
      </w:r>
    </w:p>
    <w:p w14:paraId="7E9F03D1"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Trading Economics (2022) Mali – </w:t>
      </w:r>
      <w:r w:rsidRPr="009C7644">
        <w:rPr>
          <w:rFonts w:ascii="Arial" w:hAnsi="Arial" w:cs="Arial"/>
          <w:i/>
          <w:iCs/>
          <w:sz w:val="24"/>
          <w:szCs w:val="24"/>
        </w:rPr>
        <w:t>Poverty Headcount Ratio at National Poverty Line (% of Population).</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6" w:history="1">
        <w:r w:rsidRPr="009C7644">
          <w:rPr>
            <w:rStyle w:val="Hyperlink"/>
            <w:rFonts w:ascii="Arial" w:hAnsi="Arial" w:cs="Arial"/>
            <w:sz w:val="24"/>
            <w:szCs w:val="24"/>
          </w:rPr>
          <w:t>https://tradingeconomics.com/mali/poverty-headcount-ratio-at-national-poverty-line-percent-of-population-wb-data.html</w:t>
        </w:r>
      </w:hyperlink>
      <w:r w:rsidRPr="009C7644">
        <w:rPr>
          <w:rFonts w:ascii="Arial" w:hAnsi="Arial" w:cs="Arial"/>
          <w:sz w:val="24"/>
          <w:szCs w:val="24"/>
        </w:rPr>
        <w:t xml:space="preserve"> Accessed 10/03/2022</w:t>
      </w:r>
    </w:p>
    <w:p w14:paraId="35626EC0"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Translators Without Borders (TWB) (2020) </w:t>
      </w:r>
      <w:r w:rsidRPr="009C7644">
        <w:rPr>
          <w:rFonts w:ascii="Arial" w:hAnsi="Arial" w:cs="Arial"/>
          <w:i/>
          <w:iCs/>
          <w:sz w:val="24"/>
          <w:szCs w:val="24"/>
        </w:rPr>
        <w:t>Language Map of Mali</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7" w:history="1">
        <w:r w:rsidRPr="009C7644">
          <w:rPr>
            <w:rStyle w:val="Hyperlink"/>
            <w:rFonts w:ascii="Arial" w:hAnsi="Arial" w:cs="Arial"/>
            <w:sz w:val="24"/>
            <w:szCs w:val="24"/>
          </w:rPr>
          <w:t>https://translatorswithoutborders.org/wp-content/uploads/2021/03/Mali-Language-Map-Static-EN-V2.pdf</w:t>
        </w:r>
      </w:hyperlink>
      <w:r w:rsidRPr="009C7644">
        <w:rPr>
          <w:rFonts w:ascii="Arial" w:hAnsi="Arial" w:cs="Arial"/>
          <w:sz w:val="24"/>
          <w:szCs w:val="24"/>
        </w:rPr>
        <w:t xml:space="preserve"> Accessed 12/02/2022</w:t>
      </w:r>
    </w:p>
    <w:p w14:paraId="1C3F7F1D"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Translators Without Borders (TWB) (2022) </w:t>
      </w:r>
      <w:r w:rsidRPr="009C7644">
        <w:rPr>
          <w:rFonts w:ascii="Arial" w:hAnsi="Arial" w:cs="Arial"/>
          <w:i/>
          <w:iCs/>
          <w:sz w:val="24"/>
          <w:szCs w:val="24"/>
        </w:rPr>
        <w:t>Language data for Mali</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8" w:history="1">
        <w:r w:rsidRPr="009C7644">
          <w:rPr>
            <w:rStyle w:val="Hyperlink"/>
            <w:rFonts w:ascii="Arial" w:hAnsi="Arial" w:cs="Arial"/>
            <w:sz w:val="24"/>
            <w:szCs w:val="24"/>
          </w:rPr>
          <w:t>https://translatorswithoutborders.org/language-data-for-mali/</w:t>
        </w:r>
      </w:hyperlink>
      <w:r w:rsidRPr="009C7644">
        <w:rPr>
          <w:rFonts w:ascii="Arial" w:hAnsi="Arial" w:cs="Arial"/>
          <w:sz w:val="24"/>
          <w:szCs w:val="24"/>
        </w:rPr>
        <w:t xml:space="preserve"> Accessed 19/03/2022</w:t>
      </w:r>
    </w:p>
    <w:p w14:paraId="4AFC3A53"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UNESCO (2018) Education &amp; </w:t>
      </w:r>
      <w:proofErr w:type="gramStart"/>
      <w:r w:rsidRPr="009C7644">
        <w:rPr>
          <w:rFonts w:ascii="Arial" w:hAnsi="Arial" w:cs="Arial"/>
          <w:sz w:val="24"/>
          <w:szCs w:val="24"/>
        </w:rPr>
        <w:t>Literacy :</w:t>
      </w:r>
      <w:proofErr w:type="gramEnd"/>
      <w:r w:rsidRPr="009C7644">
        <w:rPr>
          <w:rFonts w:ascii="Arial" w:hAnsi="Arial" w:cs="Arial"/>
          <w:sz w:val="24"/>
          <w:szCs w:val="24"/>
        </w:rPr>
        <w:t xml:space="preserve"> </w:t>
      </w:r>
      <w:r w:rsidRPr="009C7644">
        <w:rPr>
          <w:rFonts w:ascii="Arial" w:hAnsi="Arial" w:cs="Arial"/>
          <w:i/>
          <w:iCs/>
          <w:sz w:val="24"/>
          <w:szCs w:val="24"/>
        </w:rPr>
        <w:t xml:space="preserve">Out-of-School Children and Youth. </w:t>
      </w:r>
      <w:r w:rsidRPr="009C7644">
        <w:rPr>
          <w:rFonts w:ascii="Arial" w:hAnsi="Arial" w:cs="Arial"/>
          <w:sz w:val="24"/>
          <w:szCs w:val="24"/>
        </w:rPr>
        <w:t xml:space="preserve">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29" w:history="1">
        <w:r w:rsidRPr="009C7644">
          <w:rPr>
            <w:rStyle w:val="Hyperlink"/>
            <w:rFonts w:ascii="Arial" w:hAnsi="Arial" w:cs="Arial"/>
            <w:sz w:val="24"/>
            <w:szCs w:val="24"/>
          </w:rPr>
          <w:t>http://uis.unesco.org/en/topic/out-school-children-and-youth</w:t>
        </w:r>
      </w:hyperlink>
      <w:r w:rsidRPr="009C7644">
        <w:rPr>
          <w:rFonts w:ascii="Arial" w:hAnsi="Arial" w:cs="Arial"/>
          <w:sz w:val="24"/>
          <w:szCs w:val="24"/>
        </w:rPr>
        <w:t xml:space="preserve"> Accessed 23/03/2022</w:t>
      </w:r>
    </w:p>
    <w:p w14:paraId="4956643C"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UNICEF (1989) </w:t>
      </w:r>
      <w:r w:rsidRPr="009C7644">
        <w:rPr>
          <w:rFonts w:ascii="Arial" w:hAnsi="Arial" w:cs="Arial"/>
          <w:i/>
          <w:iCs/>
          <w:sz w:val="24"/>
          <w:szCs w:val="24"/>
        </w:rPr>
        <w:t>The United Nations Convention on the Rights of the Child.</w:t>
      </w:r>
      <w:r w:rsidRPr="009C7644">
        <w:rPr>
          <w:rFonts w:ascii="Arial" w:hAnsi="Arial" w:cs="Arial"/>
          <w:sz w:val="24"/>
          <w:szCs w:val="24"/>
        </w:rPr>
        <w:t xml:space="preserve"> Available at : https://downloads.unicef.org.uk/wp-content/uploads/2010/05/UNCRC_united_nations_convention_on_the_rights_of_the_child.pdf?_adal_sd=www.unicef.org.uk.1646230911807&amp;_adal_ca=so%3DGoogle%26me%3Dorganic%26ca%3D(not%2520set)%26co%3D(not%2520set)%26ke%3D(not%2520set).1646230911807&amp;_adal_cw=1646230867787.1646230911807&amp;_adal_id=ac800cc6-c994-405a-a0c9-da39ac01f466.1645204921.3.1646230868.1645204921.bcdac9e9-3aea-4633-ba52-f590f019814f.1646230911807&amp;_ga=2.186386793.1147773141.1646230868-1730783673.1645204921 Accessed 24/02/2022</w:t>
      </w:r>
    </w:p>
    <w:p w14:paraId="125022B9"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UNICEF (2022) </w:t>
      </w:r>
      <w:r w:rsidRPr="009C7644">
        <w:rPr>
          <w:rFonts w:ascii="Arial" w:hAnsi="Arial" w:cs="Arial"/>
          <w:i/>
          <w:iCs/>
          <w:sz w:val="24"/>
          <w:szCs w:val="24"/>
        </w:rPr>
        <w:t>Education: Every child has the right to learn</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30" w:history="1">
        <w:r w:rsidRPr="009C7644">
          <w:rPr>
            <w:rStyle w:val="Hyperlink"/>
            <w:rFonts w:ascii="Arial" w:hAnsi="Arial" w:cs="Arial"/>
            <w:sz w:val="24"/>
            <w:szCs w:val="24"/>
          </w:rPr>
          <w:t>https://www.unicef.org/education</w:t>
        </w:r>
      </w:hyperlink>
      <w:r w:rsidRPr="009C7644">
        <w:rPr>
          <w:rFonts w:ascii="Arial" w:hAnsi="Arial" w:cs="Arial"/>
          <w:sz w:val="24"/>
          <w:szCs w:val="24"/>
        </w:rPr>
        <w:t xml:space="preserve"> Accessed 01/05/2022</w:t>
      </w:r>
    </w:p>
    <w:p w14:paraId="2750CD47"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UNICEF Mali (2021) </w:t>
      </w:r>
      <w:r w:rsidRPr="009C7644">
        <w:rPr>
          <w:rFonts w:ascii="Arial" w:hAnsi="Arial" w:cs="Arial"/>
          <w:i/>
          <w:iCs/>
          <w:sz w:val="24"/>
          <w:szCs w:val="24"/>
        </w:rPr>
        <w:t>Education: Harnessing Children’s Potential Through Quality Education for Every Child</w:t>
      </w:r>
      <w:r w:rsidRPr="009C7644">
        <w:rPr>
          <w:rFonts w:ascii="Arial" w:hAnsi="Arial" w:cs="Arial"/>
          <w:sz w:val="24"/>
          <w:szCs w:val="24"/>
        </w:rPr>
        <w:t xml:space="preserve">. Available </w:t>
      </w:r>
      <w:proofErr w:type="gramStart"/>
      <w:r w:rsidRPr="009C7644">
        <w:rPr>
          <w:rFonts w:ascii="Arial" w:hAnsi="Arial" w:cs="Arial"/>
          <w:sz w:val="24"/>
          <w:szCs w:val="24"/>
        </w:rPr>
        <w:t>at :</w:t>
      </w:r>
      <w:proofErr w:type="gramEnd"/>
      <w:r w:rsidRPr="009C7644">
        <w:rPr>
          <w:rFonts w:ascii="Arial" w:hAnsi="Arial" w:cs="Arial"/>
          <w:sz w:val="24"/>
          <w:szCs w:val="24"/>
        </w:rPr>
        <w:t xml:space="preserve"> </w:t>
      </w:r>
      <w:hyperlink r:id="rId31" w:history="1">
        <w:r w:rsidRPr="009C7644">
          <w:rPr>
            <w:rStyle w:val="Hyperlink"/>
            <w:rFonts w:ascii="Arial" w:hAnsi="Arial" w:cs="Arial"/>
            <w:sz w:val="24"/>
            <w:szCs w:val="24"/>
          </w:rPr>
          <w:t>https://www.unicef.org/mali/en/education</w:t>
        </w:r>
      </w:hyperlink>
      <w:r w:rsidRPr="009C7644">
        <w:rPr>
          <w:rFonts w:ascii="Arial" w:hAnsi="Arial" w:cs="Arial"/>
          <w:sz w:val="24"/>
          <w:szCs w:val="24"/>
        </w:rPr>
        <w:t xml:space="preserve"> Accessed 22/05/2022</w:t>
      </w:r>
    </w:p>
    <w:p w14:paraId="61DFEDDD" w14:textId="77777777"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United Nations (2018) </w:t>
      </w:r>
      <w:r w:rsidRPr="009C7644">
        <w:rPr>
          <w:rFonts w:ascii="Arial" w:hAnsi="Arial" w:cs="Arial"/>
          <w:i/>
          <w:iCs/>
          <w:sz w:val="24"/>
          <w:szCs w:val="24"/>
        </w:rPr>
        <w:t xml:space="preserve">UN Support Plan for the Sahel: Working Together </w:t>
      </w:r>
      <w:proofErr w:type="gramStart"/>
      <w:r w:rsidRPr="009C7644">
        <w:rPr>
          <w:rFonts w:ascii="Arial" w:hAnsi="Arial" w:cs="Arial"/>
          <w:i/>
          <w:iCs/>
          <w:sz w:val="24"/>
          <w:szCs w:val="24"/>
        </w:rPr>
        <w:t>For</w:t>
      </w:r>
      <w:proofErr w:type="gramEnd"/>
      <w:r w:rsidRPr="009C7644">
        <w:rPr>
          <w:rFonts w:ascii="Arial" w:hAnsi="Arial" w:cs="Arial"/>
          <w:i/>
          <w:iCs/>
          <w:sz w:val="24"/>
          <w:szCs w:val="24"/>
        </w:rPr>
        <w:t xml:space="preserve"> a Prosperous and Peaceful Sahel</w:t>
      </w:r>
      <w:r w:rsidRPr="009C7644">
        <w:rPr>
          <w:rFonts w:ascii="Arial" w:hAnsi="Arial" w:cs="Arial"/>
          <w:sz w:val="24"/>
          <w:szCs w:val="24"/>
        </w:rPr>
        <w:t xml:space="preserve">. Available at: </w:t>
      </w:r>
      <w:hyperlink r:id="rId32" w:history="1">
        <w:r w:rsidRPr="009C7644">
          <w:rPr>
            <w:rStyle w:val="Hyperlink"/>
            <w:rFonts w:ascii="Arial" w:hAnsi="Arial" w:cs="Arial"/>
            <w:sz w:val="24"/>
            <w:szCs w:val="24"/>
          </w:rPr>
          <w:t>https://www.un.org/africarenewal/sites/www.un.org.africarenewal/files/English%20Summary%20Report_0.pdf</w:t>
        </w:r>
      </w:hyperlink>
      <w:r w:rsidRPr="009C7644">
        <w:rPr>
          <w:rFonts w:ascii="Arial" w:hAnsi="Arial" w:cs="Arial"/>
          <w:sz w:val="24"/>
          <w:szCs w:val="24"/>
        </w:rPr>
        <w:t xml:space="preserve"> Accessed 22/05/2022</w:t>
      </w:r>
    </w:p>
    <w:p w14:paraId="102CA628" w14:textId="203E06C6" w:rsidR="009C7644" w:rsidRPr="009C7644" w:rsidRDefault="009C7644" w:rsidP="009C7644">
      <w:pPr>
        <w:pStyle w:val="ListParagraph"/>
        <w:numPr>
          <w:ilvl w:val="0"/>
          <w:numId w:val="1"/>
        </w:numPr>
        <w:spacing w:before="30"/>
        <w:ind w:left="641" w:right="284" w:hanging="357"/>
        <w:jc w:val="both"/>
        <w:rPr>
          <w:rFonts w:ascii="Arial" w:hAnsi="Arial" w:cs="Arial"/>
          <w:sz w:val="24"/>
          <w:szCs w:val="24"/>
        </w:rPr>
      </w:pPr>
      <w:r w:rsidRPr="009C7644">
        <w:rPr>
          <w:rFonts w:ascii="Arial" w:hAnsi="Arial" w:cs="Arial"/>
          <w:sz w:val="24"/>
          <w:szCs w:val="24"/>
        </w:rPr>
        <w:t xml:space="preserve">United Nations (UN) (2021) </w:t>
      </w:r>
      <w:r w:rsidRPr="009C7644">
        <w:rPr>
          <w:rFonts w:ascii="Arial" w:hAnsi="Arial" w:cs="Arial"/>
          <w:i/>
          <w:iCs/>
          <w:sz w:val="24"/>
          <w:szCs w:val="24"/>
        </w:rPr>
        <w:t>Report of the Secretary-General on Children and Armed Conflict</w:t>
      </w:r>
      <w:r w:rsidRPr="009C7644">
        <w:rPr>
          <w:rFonts w:ascii="Arial" w:hAnsi="Arial" w:cs="Arial"/>
          <w:sz w:val="24"/>
          <w:szCs w:val="24"/>
        </w:rPr>
        <w:t>. General Assembly Security Council: UN.</w:t>
      </w:r>
    </w:p>
    <w:sectPr w:rsidR="009C7644" w:rsidRPr="009C7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D5393"/>
    <w:multiLevelType w:val="hybridMultilevel"/>
    <w:tmpl w:val="DE307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6034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73B"/>
    <w:rsid w:val="0003473B"/>
    <w:rsid w:val="002C69B1"/>
    <w:rsid w:val="00544AC3"/>
    <w:rsid w:val="006957D0"/>
    <w:rsid w:val="006B285D"/>
    <w:rsid w:val="007F3F26"/>
    <w:rsid w:val="009C7644"/>
    <w:rsid w:val="00B0101F"/>
    <w:rsid w:val="00E56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F5A87"/>
  <w15:chartTrackingRefBased/>
  <w15:docId w15:val="{9758D23D-3C83-4E96-BA6C-DA9973166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AC3"/>
    <w:rPr>
      <w:color w:val="0563C1" w:themeColor="hyperlink"/>
      <w:u w:val="single"/>
    </w:rPr>
  </w:style>
  <w:style w:type="character" w:styleId="UnresolvedMention">
    <w:name w:val="Unresolved Mention"/>
    <w:basedOn w:val="DefaultParagraphFont"/>
    <w:uiPriority w:val="99"/>
    <w:semiHidden/>
    <w:unhideWhenUsed/>
    <w:rsid w:val="00544AC3"/>
    <w:rPr>
      <w:color w:val="605E5C"/>
      <w:shd w:val="clear" w:color="auto" w:fill="E1DFDD"/>
    </w:rPr>
  </w:style>
  <w:style w:type="paragraph" w:styleId="ListParagraph">
    <w:name w:val="List Paragraph"/>
    <w:basedOn w:val="Normal"/>
    <w:uiPriority w:val="34"/>
    <w:qFormat/>
    <w:rsid w:val="009C76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place/Mali" TargetMode="External"/><Relationship Id="rId18" Type="http://schemas.openxmlformats.org/officeDocument/2006/relationships/hyperlink" Target="https://www.britannica.com/place/Niger-River" TargetMode="External"/><Relationship Id="rId26" Type="http://schemas.openxmlformats.org/officeDocument/2006/relationships/hyperlink" Target="https://tradingeconomics.com/mali/poverty-headcount-ratio-at-national-poverty-line-percent-of-population-wb-data.html" TargetMode="External"/><Relationship Id="rId3" Type="http://schemas.openxmlformats.org/officeDocument/2006/relationships/settings" Target="settings.xml"/><Relationship Id="rId21" Type="http://schemas.openxmlformats.org/officeDocument/2006/relationships/hyperlink" Target="https://www.worldvision.org/disaster-relief-news-stories/mali-conflict-facts" TargetMode="External"/><Relationship Id="rId34" Type="http://schemas.openxmlformats.org/officeDocument/2006/relationships/theme" Target="theme/theme1.xml"/><Relationship Id="rId7" Type="http://schemas.openxmlformats.org/officeDocument/2006/relationships/hyperlink" Target="https://au.int/en/overview" TargetMode="External"/><Relationship Id="rId12" Type="http://schemas.openxmlformats.org/officeDocument/2006/relationships/hyperlink" Target="http://www.africanchildforum.org/clr/Legislation%20Per%20Country/Mali/mali_constituion_1991_en.pdf" TargetMode="External"/><Relationship Id="rId17" Type="http://schemas.openxmlformats.org/officeDocument/2006/relationships/hyperlink" Target="https://www.hrw.org/news/2020/09/08/attacks-students-teachers-and-schools-surge-africas-sahel" TargetMode="External"/><Relationship Id="rId25" Type="http://schemas.openxmlformats.org/officeDocument/2006/relationships/hyperlink" Target="https://www.statista.com/statistics/1207844/largest-countries-in-africa-by-area/"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rw.org/world-report/2019/country-chapters/mali" TargetMode="External"/><Relationship Id="rId20" Type="http://schemas.openxmlformats.org/officeDocument/2006/relationships/hyperlink" Target="https://www.humanium.org/en/mali/" TargetMode="External"/><Relationship Id="rId29" Type="http://schemas.openxmlformats.org/officeDocument/2006/relationships/hyperlink" Target="http://uis.unesco.org/en/topic/out-school-children-and-youth" TargetMode="External"/><Relationship Id="rId1" Type="http://schemas.openxmlformats.org/officeDocument/2006/relationships/numbering" Target="numbering.xml"/><Relationship Id="rId6" Type="http://schemas.openxmlformats.org/officeDocument/2006/relationships/hyperlink" Target="https://www.achpr.org/public/Document/file/English/achpr_instr_charterchild_eng.pdf" TargetMode="External"/><Relationship Id="rId11" Type="http://schemas.openxmlformats.org/officeDocument/2006/relationships/hyperlink" Target="https://dictionary.cambridge.org/dictionary/english/lingua-franca" TargetMode="External"/><Relationship Id="rId24" Type="http://schemas.openxmlformats.org/officeDocument/2006/relationships/hyperlink" Target="https://www.savethechildren.org.uk/blogs/2021/protecting-children-in-mali" TargetMode="External"/><Relationship Id="rId32" Type="http://schemas.openxmlformats.org/officeDocument/2006/relationships/hyperlink" Target="https://www.un.org/africarenewal/sites/www.un.org.africarenewal/files/English%20Summary%20Report_0.pdf" TargetMode="External"/><Relationship Id="rId5" Type="http://schemas.openxmlformats.org/officeDocument/2006/relationships/hyperlink" Target="https://www.acerwc.africa/ratifications-table/" TargetMode="External"/><Relationship Id="rId15" Type="http://schemas.openxmlformats.org/officeDocument/2006/relationships/hyperlink" Target="https://www.britannica.com/place/Senegal-River" TargetMode="External"/><Relationship Id="rId23" Type="http://schemas.openxmlformats.org/officeDocument/2006/relationships/hyperlink" Target="https://www.savethechildren.org/content/dam/usa/reports/advocacy/2021-global-childhood-report.pdf" TargetMode="External"/><Relationship Id="rId28" Type="http://schemas.openxmlformats.org/officeDocument/2006/relationships/hyperlink" Target="https://translatorswithoutborders.org/language-data-for-mali/" TargetMode="External"/><Relationship Id="rId10" Type="http://schemas.openxmlformats.org/officeDocument/2006/relationships/hyperlink" Target="https://www.dol.gov/agencies/ilab/resources/reports/child-labor/mali" TargetMode="External"/><Relationship Id="rId19" Type="http://schemas.openxmlformats.org/officeDocument/2006/relationships/hyperlink" Target="https://www.macrotrends.net/cities/21818/bamako/population" TargetMode="External"/><Relationship Id="rId31" Type="http://schemas.openxmlformats.org/officeDocument/2006/relationships/hyperlink" Target="https://www.unicef.org/mali/en/education" TargetMode="External"/><Relationship Id="rId4" Type="http://schemas.openxmlformats.org/officeDocument/2006/relationships/webSettings" Target="webSettings.xml"/><Relationship Id="rId9" Type="http://schemas.openxmlformats.org/officeDocument/2006/relationships/hyperlink" Target="https://www.britannica.com/place/Sahel" TargetMode="External"/><Relationship Id="rId14" Type="http://schemas.openxmlformats.org/officeDocument/2006/relationships/hyperlink" Target="https://www.cfr.org/global-conflict-tracker/conflict/destabilization-mali" TargetMode="External"/><Relationship Id="rId22" Type="http://schemas.openxmlformats.org/officeDocument/2006/relationships/hyperlink" Target="https://www.savethechildren.org.uk/what-we-do/childrens-rights/united-nations-convention-of-the-rights-of-the-child" TargetMode="External"/><Relationship Id="rId27" Type="http://schemas.openxmlformats.org/officeDocument/2006/relationships/hyperlink" Target="https://translatorswithoutborders.org/wp-content/uploads/2021/03/Mali-Language-Map-Static-EN-V2.pdf" TargetMode="External"/><Relationship Id="rId30" Type="http://schemas.openxmlformats.org/officeDocument/2006/relationships/hyperlink" Target="https://www.unicef.org/education" TargetMode="External"/><Relationship Id="rId8" Type="http://schemas.openxmlformats.org/officeDocument/2006/relationships/hyperlink" Target="https://au.int/en/sa/acerw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10</Pages>
  <Words>4072</Words>
  <Characters>23214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Balbini</dc:creator>
  <cp:keywords/>
  <dc:description/>
  <cp:lastModifiedBy>Jenna Balbini</cp:lastModifiedBy>
  <cp:revision>1</cp:revision>
  <dcterms:created xsi:type="dcterms:W3CDTF">2022-06-06T14:58:00Z</dcterms:created>
  <dcterms:modified xsi:type="dcterms:W3CDTF">2022-06-06T23:31:00Z</dcterms:modified>
</cp:coreProperties>
</file>