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bookmarkStart w:id="0" w:name="_GoBack"/>
      <w:bookmarkEnd w:id="0"/>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34BB35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9B0227">
              <w:rPr>
                <w:b/>
                <w:color w:val="auto"/>
                <w:sz w:val="32"/>
              </w:rPr>
              <w:t>Dewi Morris</w:t>
            </w:r>
            <w:r>
              <w:rPr>
                <w:b/>
                <w:color w:val="auto"/>
                <w:sz w:val="32"/>
              </w:rPr>
              <w:t>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9D39B2F" w:rsidR="00575A8F" w:rsidRDefault="00575A8F" w:rsidP="00E6298B">
            <w:pPr>
              <w:overflowPunct/>
              <w:autoSpaceDE/>
              <w:autoSpaceDN/>
              <w:adjustRightInd/>
              <w:ind w:right="107"/>
              <w:textAlignment w:val="auto"/>
              <w:rPr>
                <w:b/>
                <w:color w:val="auto"/>
                <w:sz w:val="32"/>
              </w:rPr>
            </w:pPr>
            <w:r>
              <w:rPr>
                <w:b/>
                <w:color w:val="auto"/>
                <w:sz w:val="32"/>
              </w:rPr>
              <w:t>__________</w:t>
            </w:r>
            <w:r w:rsidR="009B0227">
              <w:rPr>
                <w:b/>
                <w:color w:val="auto"/>
                <w:sz w:val="32"/>
              </w:rPr>
              <w:t>1816486</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9A48A05" w14:textId="77777777" w:rsidR="00811543" w:rsidRDefault="00811543" w:rsidP="00E6298B">
      <w:pPr>
        <w:overflowPunct/>
        <w:autoSpaceDE/>
        <w:autoSpaceDN/>
        <w:adjustRightInd/>
        <w:ind w:right="107"/>
        <w:textAlignment w:val="auto"/>
        <w:rPr>
          <w:b/>
          <w:i/>
          <w:color w:val="auto"/>
          <w:sz w:val="24"/>
        </w:rPr>
      </w:pPr>
    </w:p>
    <w:p w14:paraId="530A3E59" w14:textId="10DA8171"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960C47" w:rsidRDefault="00FF7784" w:rsidP="00E6298B">
      <w:pPr>
        <w:ind w:right="107"/>
        <w:jc w:val="both"/>
        <w:rPr>
          <w:rFonts w:asciiTheme="minorHAnsi" w:hAnsiTheme="minorHAnsi" w:cstheme="minorHAnsi"/>
          <w:sz w:val="24"/>
          <w:szCs w:val="24"/>
        </w:rPr>
      </w:pPr>
    </w:p>
    <w:p w14:paraId="4A486C19" w14:textId="104EA57F" w:rsidR="009B0227" w:rsidRDefault="009B0227" w:rsidP="009B0227">
      <w:pPr>
        <w:jc w:val="both"/>
        <w:rPr>
          <w:rFonts w:asciiTheme="minorHAnsi" w:hAnsiTheme="minorHAnsi" w:cstheme="minorHAnsi"/>
        </w:rPr>
      </w:pPr>
      <w:r w:rsidRPr="00960C47">
        <w:rPr>
          <w:rFonts w:asciiTheme="minorHAnsi" w:hAnsiTheme="minorHAnsi" w:cstheme="minorHAnsi"/>
        </w:rPr>
        <w:t xml:space="preserve">Developing coping strategies to build resilience and minimise stress within the workplace is an integral aspect in being able to cope with an ever-changing environment (Dewe, 2010:1) (Tobias, 2010) (Brugge, 2004). Extensive research has gathered wide attention when it comes to coping in the workplace; health-related issues, economic implications and general efficiencies are affected by how individuals manage their stress and coping strategies (Mallak and Yildiz, 2015) (Dewe, 2010:1). This discussion will review and compare the coping strategies developed by the writer during the initial 6 months of being attested as a Police Constable. </w:t>
      </w:r>
    </w:p>
    <w:p w14:paraId="342FA186" w14:textId="77777777" w:rsidR="00960C47" w:rsidRPr="00960C47" w:rsidRDefault="00960C47" w:rsidP="009B0227">
      <w:pPr>
        <w:jc w:val="both"/>
        <w:rPr>
          <w:rFonts w:asciiTheme="minorHAnsi" w:hAnsiTheme="minorHAnsi" w:cstheme="minorHAnsi"/>
        </w:rPr>
      </w:pPr>
    </w:p>
    <w:p w14:paraId="5767D61E" w14:textId="77777777" w:rsidR="009B0227" w:rsidRPr="00960C47" w:rsidRDefault="009B0227" w:rsidP="009B0227">
      <w:pPr>
        <w:jc w:val="both"/>
        <w:rPr>
          <w:rFonts w:asciiTheme="minorHAnsi" w:hAnsiTheme="minorHAnsi" w:cstheme="minorHAnsi"/>
        </w:rPr>
      </w:pPr>
      <w:r w:rsidRPr="00960C47">
        <w:rPr>
          <w:rFonts w:asciiTheme="minorHAnsi" w:hAnsiTheme="minorHAnsi" w:cstheme="minorHAnsi"/>
        </w:rPr>
        <w:t xml:space="preserve">Following my initial week of being attested as a Police Constable, the factor I found most challenging was being in a completely new environment where the atmosphere, expectations, and company of people were all entirely new. Emotional instability and loneliness were conditions I certainly felt during that initial period, this resulted in me feeling anxious and stressed. I have always enjoyed participating in exercise activities and taking part in physical training certainly helped me during that initial period where I had to overcome new variations of challenges that were out of my comfort zone. Urbanska (2017) discusses the effectiveness of exercise classes to develop resilience to stress; if individuals can develop their skills of facing challenges and control their mindfulness, they can cope with stress more efficiently. During the warm-up stage of exercise classes, instructors at the local leisure centre would advise the routine for the session and more often than not I would doubt my ability to complete the workout. However, despite feeling like I wanted to quit, I would always stay and complete the challenge regardless of the difficulty. This developed my ability to build resistance so I could face my own doubtfulness when it came to facing new challenges. My strength of character increased as I could face what I initially thought was an impossible task and complete it. This confidence was key when I applied myself to new encounters that were expected of me during that initial six months. Mailey (2016) discusses that people who prioritise exercise tend to report higher levels of self-efficacy. This shows that keeping a regular exercise routine will not only improve self-confidence but will also develop the ability to produce a desired result to certain challenges. Over time, instead of dreading facing new challenges, I started to embrace what was expected and began to look forward to the task ahead. Regular exercise routine was a key contributor to helping my self-confidence in dealing with new environments and challenges. </w:t>
      </w:r>
    </w:p>
    <w:p w14:paraId="48B68A6E" w14:textId="77777777" w:rsidR="00960C47" w:rsidRPr="00960C47" w:rsidRDefault="00960C47" w:rsidP="009B0227">
      <w:pPr>
        <w:jc w:val="both"/>
        <w:rPr>
          <w:rFonts w:asciiTheme="minorHAnsi" w:hAnsiTheme="minorHAnsi" w:cstheme="minorHAnsi"/>
        </w:rPr>
      </w:pPr>
    </w:p>
    <w:p w14:paraId="458E3156" w14:textId="60416B19" w:rsidR="009B0227" w:rsidRPr="00960C47" w:rsidRDefault="009B0227" w:rsidP="009B0227">
      <w:pPr>
        <w:jc w:val="both"/>
        <w:rPr>
          <w:rFonts w:asciiTheme="minorHAnsi" w:hAnsiTheme="minorHAnsi" w:cstheme="minorHAnsi"/>
        </w:rPr>
      </w:pPr>
      <w:r w:rsidRPr="00960C47">
        <w:rPr>
          <w:rFonts w:asciiTheme="minorHAnsi" w:hAnsiTheme="minorHAnsi" w:cstheme="minorHAnsi"/>
        </w:rPr>
        <w:t xml:space="preserve">Engaging in regular physical activity not only improves self-confidence but also helps with dealing with stress directly. Park (2016) claims that one of the main motivations behind participating in exercise routines such as yoga practice is purely because of the stress-relief element. Furthermore, engaging in these activities enhances self-regulation, resilience, mood, well-being and quality of life (Park, 2016). This shows that exercise is proven to be a considerable help when used to release stress. I certainly used this technique after a challenging day in work. I would often return home during my first six months with feelings of tension and worry, participating in an exercise routing in a familiar environment would make me feel a lot less anxious and significantly more relaxed. Dehghani (2012) also agrees that regular exercise decreases the negative outcomes of stress and plays an important role in the maintenance of students’ mental health. Stress is a phenomenon in modern day society; its impact on health, the work force, business profits and overall “happiness” impacts individuals now more than ever (Tobias, 2010). This shows that individuals must develop coping strategies in order to minimise the risk induced by stress. Physical activities have the potential to increase mood because exercise decreases the psychological distress by pleasure induction (Tobias, 2010). Within the initial six months of being in a new environment, doubtfulness, fear of the unknown and loneliness were some of the uncertainties I felt at times </w:t>
      </w:r>
      <w:r w:rsidRPr="00960C47">
        <w:rPr>
          <w:rFonts w:asciiTheme="minorHAnsi" w:hAnsiTheme="minorHAnsi" w:cstheme="minorHAnsi"/>
        </w:rPr>
        <w:lastRenderedPageBreak/>
        <w:t xml:space="preserve">during days of new challenges and expectations. The varying pressures I would place on myself would result in feeling dissatisfied and lacking self-worth. Working my way through a regular exercise routine not only motivated me and gave me something to look forward to at the end of the day but it also improved my motivation and enthusiasm. I had to be resilient by giving myself an achievable challenge to get me through the day as efficiently as possible. As I advanced through my first few months I kept a regular routine despite the fast-paced environment this making me more resilient to cope with the stress and the effects that can have. Even during my examination period, keeping this exercise routine further motivated me to work harder. Even if I had limited time, I would find an interval where I could keep physically active which assisted with my studies. Park (2016) makes an interesting statement when discussing the motivations behind exercising; people may begin an exercise programme for various reasons but after commencing the activity they find their motivations change because they participate to feel better and to increase their energy. Tobias (2010) discusses the scientific effect exercise has on the brain; regardless of the individuals physical state or their enjoyment for physical activity, exercise attributes towards endogenous stress reduction and a related neurobiological involvement of limbic portions of the brain which enhances mental performance. Developing resilience to motivate myself was a challenge. This challenge was made easier every day because I had developed a new motivation to exercising, which was to minimise stress. Despite how I felt, I really had to push myself towards the goal of attending the exercise class to improve my mental wellbeing. </w:t>
      </w:r>
    </w:p>
    <w:p w14:paraId="25E00AE2" w14:textId="77777777" w:rsidR="00960C47" w:rsidRPr="00960C47" w:rsidRDefault="00960C47" w:rsidP="009B0227">
      <w:pPr>
        <w:jc w:val="both"/>
        <w:rPr>
          <w:rFonts w:asciiTheme="minorHAnsi" w:hAnsiTheme="minorHAnsi" w:cstheme="minorHAnsi"/>
        </w:rPr>
      </w:pPr>
    </w:p>
    <w:p w14:paraId="7B07946B" w14:textId="7F5CCAE1" w:rsidR="009B0227" w:rsidRPr="00960C47" w:rsidRDefault="009B0227" w:rsidP="009B0227">
      <w:pPr>
        <w:jc w:val="both"/>
        <w:rPr>
          <w:rFonts w:asciiTheme="minorHAnsi" w:hAnsiTheme="minorHAnsi" w:cstheme="minorHAnsi"/>
        </w:rPr>
      </w:pPr>
      <w:r w:rsidRPr="00960C47">
        <w:rPr>
          <w:rFonts w:asciiTheme="minorHAnsi" w:hAnsiTheme="minorHAnsi" w:cstheme="minorHAnsi"/>
        </w:rPr>
        <w:t xml:space="preserve">During my training phase since being attested as a Police Constable, another coping strategy I have applied to develop resilience and minimise stress is sharing with others. Admittedly it does take time for an individual in a new environment to develop close relationships with colleagues and to build friendships, however, it is was undoubtedly one of the main contributors to developing resilience during the initial six months of training. Despite this dated article, Figler (1980) highlights the lack of interpersonal relationships outside of the family as just one contributor to why individuals feel stressed. Figler (1980) continues to explain that being able to communicate with others is certainly a significant step towards stress reducing. Chao (2011) confirms this by paying particular attention to the importance of social support to manage or overcome stressful situations. Although the author in this research mainly focuses on the stress levels of college students, this comparison is certainly interrelated as the writer discusses the transition students experience in a new environment and a new school. This is can be compared in parallel to my personal experience when settling in to a new environment with a group of people that were complete strangers to me. Chao’s (2011) research confirms the strong link that is evident between positive social supports and managing stress thus resilience develops further with the help of others around. During my initial training experience as a Police Officer, socialising and developing friendship groups happened naturally as we shared various experiences and helped one another with personal difficulties. This formed a bond between some individuals who shared stressful experiences with one another. Being able to empathise with each other built the resilience that was necessary to manage the course and to get through the initial introductions to being a Police Officer. Agbonluae (2017) agrees that resorting to social resources as a coping strategy is a positive approach to managing stress. Conversely, Agbonluae (2017) notes that one of the major causes of stress in the workplace is individual relationship with colleagues; cordial relationships enhances job satisfaction but the lack of this can lead to stress. I was fortunate enough to have colleagues to socialise with and to share various experiences. This was undeniably one of my main coping strategies in managing the stress experienced during my initial six months of training. </w:t>
      </w:r>
    </w:p>
    <w:p w14:paraId="365AFF11" w14:textId="77777777" w:rsidR="00960C47" w:rsidRPr="00960C47" w:rsidRDefault="00960C47" w:rsidP="009B0227">
      <w:pPr>
        <w:ind w:right="107"/>
        <w:jc w:val="both"/>
        <w:rPr>
          <w:rFonts w:asciiTheme="minorHAnsi" w:hAnsiTheme="minorHAnsi" w:cstheme="minorHAnsi"/>
        </w:rPr>
      </w:pPr>
    </w:p>
    <w:p w14:paraId="3B855813" w14:textId="05DACF9A" w:rsidR="00FF7784" w:rsidRPr="00960C47" w:rsidRDefault="009B0227" w:rsidP="009B0227">
      <w:pPr>
        <w:ind w:right="107"/>
        <w:jc w:val="both"/>
        <w:rPr>
          <w:rFonts w:asciiTheme="minorHAnsi" w:hAnsiTheme="minorHAnsi" w:cstheme="minorHAnsi"/>
          <w:sz w:val="24"/>
          <w:szCs w:val="24"/>
        </w:rPr>
      </w:pPr>
      <w:r w:rsidRPr="00960C47">
        <w:rPr>
          <w:rFonts w:asciiTheme="minorHAnsi" w:hAnsiTheme="minorHAnsi" w:cstheme="minorHAnsi"/>
        </w:rPr>
        <w:t>This discussion has explored the main coping strategies that were used in order to minimise stress during the initial six months of training as a Police Officer. Each individual experiences are different, some are confident when exposed to new environments whilst others take time to develop a coping strategy that helps them minimise stress that occurs when familiar surroundings are altered. The coping strategies that have been discussed above have been proven to be very valuable to individuals when exposed to varying pressures of new stresses and environments. As proven by various researchers, it is clear that coping methods such as exercise and socialising develops an individual’s mental strength that not only minimises stress but helps the participant become more resilient and positive. These traits can also have a substantial positive effect on individuals’ personal lives. From my experience I have learnt to be patient as initially the thought of settling in to an unfamiliar surrounding is both daunting and stressful. Developing these coping mechanisms and building that resilience will help with future experiences in an ever-changing environment.</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359B54C" w14:textId="6DBCD16C" w:rsidR="00405E0C" w:rsidRDefault="00405E0C" w:rsidP="00405E0C">
      <w:pPr>
        <w:jc w:val="both"/>
        <w:rPr>
          <w:rFonts w:ascii="Calibri" w:eastAsia="Calibri" w:hAnsi="Calibri" w:cs="Calibri"/>
        </w:rPr>
      </w:pPr>
      <w:r>
        <w:rPr>
          <w:rFonts w:ascii="Calibri" w:eastAsia="Calibri" w:hAnsi="Calibri" w:cs="Calibri"/>
        </w:rPr>
        <w:t>The role of a police officer often involves dealing in conflict with members of the public. Police often find themselves dealing with violent and aggressive people; their actions can have serious consequences on public safety and affects the trust and confidence of the general public (Schneider, 1999). Varying levels of conflict include verbal, physical, technological and political encounters. It is of paramount importance that the police are well-prepared to deal with various situations that not only mean their reputation is affected but also the numerous lives that are touched by their involvement (Agastra, 2018).</w:t>
      </w:r>
    </w:p>
    <w:p w14:paraId="7FBB20A1" w14:textId="77777777" w:rsidR="00960C47" w:rsidRDefault="00960C47" w:rsidP="00405E0C">
      <w:pPr>
        <w:jc w:val="both"/>
        <w:rPr>
          <w:rFonts w:ascii="Calibri" w:eastAsia="Calibri" w:hAnsi="Calibri" w:cs="Calibri"/>
        </w:rPr>
      </w:pPr>
    </w:p>
    <w:p w14:paraId="638D0E55" w14:textId="77777777" w:rsidR="00405E0C" w:rsidRDefault="00405E0C" w:rsidP="00405E0C">
      <w:pPr>
        <w:jc w:val="both"/>
        <w:rPr>
          <w:rFonts w:ascii="Calibri" w:eastAsia="Calibri" w:hAnsi="Calibri" w:cs="Calibri"/>
        </w:rPr>
      </w:pPr>
      <w:r>
        <w:rPr>
          <w:rFonts w:ascii="Calibri" w:eastAsia="Calibri" w:hAnsi="Calibri" w:cs="Calibri"/>
        </w:rPr>
        <w:t xml:space="preserve">This discussion will critically assess an incident that I was involved in when on shift as a police constable with a view of discussing social and legislative contexts, reflect on the application and describe the rationale behind the force used in this incident. Following six months of intensive, mainly classroom-based teaching, the reality of being out in the real world of policing suddenly materialised and it was time to put the training and theories into action. Learning and understanding the social and legislative contexts was imperative in order to know what was legal when applying police powers to different situations. As mentioned above, police officers are often placed in to high pressure and hostile environments; occasionally the use of force is justified when the situation reaches a certain level. This discussion will now critically assess the incident in question with the social and legislative contexts within. The reflection of the application will then be disclosed before determining the use of force used within the application. </w:t>
      </w:r>
    </w:p>
    <w:p w14:paraId="3109F42F" w14:textId="77777777" w:rsidR="00960C47" w:rsidRDefault="00960C47" w:rsidP="00405E0C">
      <w:pPr>
        <w:jc w:val="both"/>
        <w:rPr>
          <w:rFonts w:ascii="Calibri" w:eastAsia="Calibri" w:hAnsi="Calibri" w:cs="Calibri"/>
        </w:rPr>
      </w:pPr>
    </w:p>
    <w:p w14:paraId="356BB808" w14:textId="4DD64B0C" w:rsidR="00405E0C" w:rsidRDefault="00405E0C" w:rsidP="00405E0C">
      <w:pPr>
        <w:jc w:val="both"/>
        <w:rPr>
          <w:rFonts w:ascii="Calibri" w:eastAsia="Calibri" w:hAnsi="Calibri" w:cs="Calibri"/>
        </w:rPr>
      </w:pPr>
      <w:r>
        <w:rPr>
          <w:rFonts w:ascii="Calibri" w:eastAsia="Calibri" w:hAnsi="Calibri" w:cs="Calibri"/>
        </w:rPr>
        <w:t xml:space="preserve">This incident took place during October 2019 at a motorcycling shop located in a town within the Northern basic command unit (BCU). A call came through on the South Wales radio airwaves that a colleague within the team needed assistance in dealing with an incident that occurred outside the shop mentioned above. On my way to the location, I quickly read up on some of the information available; it seemed that the employees of the shop in question were blocking </w:t>
      </w:r>
      <w:r>
        <w:rPr>
          <w:rFonts w:ascii="Calibri" w:eastAsia="Calibri" w:hAnsi="Calibri" w:cs="Calibri"/>
        </w:rPr>
        <w:lastRenderedPageBreak/>
        <w:t xml:space="preserve">the view of a police camera speeding van by parking in front of the vehicle and obstructing the view with cardboard boxes. This is contrary to the Police Reform Act 2002 whereby obstructing a police officer from carrying out his or her duty is a criminal offence. My initial thoughts about this incident was to find out who the individuals responsible were and to advise them to move the obstruction and then to warn them that further action would be dealt with more seriously. Although technically the offence of police obstruction had taken place, socially the best way to move forward with this example of behaviour would be to give the individuals an informal, verbal warning and to advise that police would interfere should this offence come up again. Upon arrival, my colleague who was present advised that the individuals were within the shop so I went in with a view of finding out more information. As I walked in to the shop with my colleague we politely asked the individuals at the counter what they knew about the obstruction on the road. Although my colleague and I were calm and polite, the individuals were clearly upset with our presence and instantly swore and told us to “get on with some real work”. To put this in to social context, this reaction to police presence was not unordinary and usually tolerable depending on the situation. We advised the workers that we were here following an assistance call from a colleague because she felt she needed additional support to deal with a crime that was obstructing police. As they laughed and mocked at our explanation I advised the individuals that we simply needed to deal with the situation, that we did not want to spend more time than necessary and if they merely assisted with our request that no further action would be required. As I was unaware of their history, it was important to understand how they may feel as they could have had negative experiences with the police in the past. The individuals were clearly irritated with our attendance and the situation escalated to being more abusive. Following this I informed the individuals that it was important to obtain details about the incident with the police speed camera van but they advised that they were too busy and for us to return at the end of the day. Due to the fact that the information was necessary for the investigation we advised the individuals that they were now under arrest for police obstruction. The arrest was necessary to obtain their names and for the prompt and effective investigation of this incident. Upon hearing this, the individuals immediately ran behind the counter, become more verbally abusive and their manner was intimidating and aggressive. My colleague and I, in order to carry out the arrest, approached the individuals and they were now very resistant. Having advised and cautioned them, we used our police powers under Section 117 of the Police and Criminal Evidence Act 1984 to physically take hold of the individuals in order to ascertain further information and to convey them to custody whilst the investigation work took place. Once I explained this to the individuals, they continued to swear and accused us of assaulting them. To add to this, their colleagues within the shop began to film the arrest process and taunted us by pushing the cameras in our faces making comments similar to “they can’t solve a bike burglary but they’ll arrest for this”. Managing conflict was also a key lesson during our officer safety training which took part during an intensive fortnight course in Bridgend. The department also run refresher courses throughout a police officer’s career to teach skills and appropriate use of force when applying Section 117 of PACE 1984 in our role as police officers. As we conveyed the two individuals away from the audience in the shop and towards the police vehicles, they were a lot calmer and responded well to the questions that were asked of them. </w:t>
      </w:r>
    </w:p>
    <w:p w14:paraId="154E62B9" w14:textId="77777777" w:rsidR="00960C47" w:rsidRDefault="00960C47" w:rsidP="00405E0C">
      <w:pPr>
        <w:jc w:val="both"/>
        <w:rPr>
          <w:rFonts w:ascii="Calibri" w:eastAsia="Calibri" w:hAnsi="Calibri" w:cs="Calibri"/>
        </w:rPr>
      </w:pPr>
    </w:p>
    <w:p w14:paraId="007FECFE" w14:textId="75FD6667" w:rsidR="00405E0C" w:rsidRDefault="00405E0C" w:rsidP="00405E0C">
      <w:pPr>
        <w:jc w:val="both"/>
        <w:rPr>
          <w:rFonts w:ascii="Calibri" w:eastAsia="Calibri" w:hAnsi="Calibri" w:cs="Calibri"/>
        </w:rPr>
      </w:pPr>
      <w:r>
        <w:rPr>
          <w:rFonts w:ascii="Calibri" w:eastAsia="Calibri" w:hAnsi="Calibri" w:cs="Calibri"/>
        </w:rPr>
        <w:t xml:space="preserve">Having outlined the event that took place and the justification behind the arrest, this section aims to reflect on the application used during this particular occasion where conflict took place. Effective communication is a key responsibility of the police when dealing with members of the public (Rosenbaum and Lawrence, 2017). Rosenbaum and Lawrence (2017) discuss the importance of this and the need to achieve desired outcomes without resorting to tactics that could undermine one’s authority or escalate conflict. Effective communication does not cost additional expenditure and can be the difference between a negative or positive experience to those on the receiving end of dealing with police. Not only does varying police behaviour and communication have an effect on the image the general public have of the police but it also has an effect on the efficiency of the service (Beune, 2011). Beune (2011) discusses the fact that cooperation with individuals will enable future interaction. When dealing with suspects today, the police should remember that the individual within their custody could be tomorrow’s witness. If the individual experienced a negative environment, it could have an effect on their willingness to support an enquiry at a later date which could be key to the police during an investigation. Hohl (2010) agrees with this by stressing the importance of communication between the police and the public considering how much the police rely on the public for information; communication lies at the heart of the relationship between both parties. Within the scenario described above, although it was clear the individuals involved were not likely to cooperate with the police, the initial hope was to leave a positive image with them in order to build a future relationship if an opportunity presented itself. Effective communication from both parties would have avoided arrest, a criminal record, administrative work involved with this incident - not to mention the distress caused for the involved individuals. The college of policing (2018) describes the importance of methods of communication as it shapes the service delivery towards members of the public; how they communicate should be proportionate to the needs and requirements of the varying communities. The scenario described earlier was dealt with different elements of </w:t>
      </w:r>
      <w:r>
        <w:rPr>
          <w:rFonts w:ascii="Calibri" w:eastAsia="Calibri" w:hAnsi="Calibri" w:cs="Calibri"/>
        </w:rPr>
        <w:lastRenderedPageBreak/>
        <w:t xml:space="preserve">communication throughout the incident. Initially, verbal communication was necessary to show police presence and to discover what the issue was behind the original call. Questioning potential suspects is part of the investigatory role of a police officer (Dixon, 2010). These individuals were given opportunities through open-ended questions to collate the facts of the circumstances and to offer their views and opinions on the matter. Following both the verbal and physical altercation that took place, the questioning mainly turned in to closed questions due to the nature of the incident. Beune (2011) points out that the effectiveness of verbal behaviour is culture specific. Different people react in different ways to police questioning and presence. In the instance described in this discussion, where knowledge of the individuals involved was unknown, it was appropriate to enter the dialogue with the individuals by being polite and courteous. This was in the hope that rapport could be built between the subject and the police so that the investigation could be dealt with in a seamless manner. Due to the instant resentment towards the police, the situation seemed almost hopeless and a more forceful application seemed necessary to carry out this investigation. Barrett (2014) makes an interesting observation stating that police contact, whether initiated by police or public, is key to shaping public satisfaction and confidence. Good contact will have a positive impact on the police, whilst equally negative contact can damage views or rather reinforce the preconceptions that individuals regard towards them (Barrett, 2014). There are times when individuals make it very difficult to allow the police to come across in a positive way. At the incident, the police tried to build an affinity with the individuals involved despite the clear offence that had taken place; the subjects of the offence left no other option but to arrest and convey them to custody. Having said this, after the situation had quietened down, the individuals involved were cooperative with us and engaged in a friendly conversation. During their detention time in custody, the hope is they were able to reflect on their experience with the police and concluded that the arrest was justified and ethical, regardless of the punishment they received. </w:t>
      </w:r>
    </w:p>
    <w:p w14:paraId="22FFF6AC" w14:textId="77777777" w:rsidR="00960C47" w:rsidRDefault="00960C47" w:rsidP="00405E0C">
      <w:pPr>
        <w:jc w:val="both"/>
        <w:rPr>
          <w:rFonts w:ascii="Calibri" w:eastAsia="Calibri" w:hAnsi="Calibri" w:cs="Calibri"/>
        </w:rPr>
      </w:pPr>
    </w:p>
    <w:p w14:paraId="46B376D5" w14:textId="6E6B3C94" w:rsidR="00405E0C" w:rsidRDefault="00405E0C" w:rsidP="00405E0C">
      <w:pPr>
        <w:jc w:val="both"/>
        <w:rPr>
          <w:rFonts w:ascii="Calibri" w:eastAsia="Calibri" w:hAnsi="Calibri" w:cs="Calibri"/>
        </w:rPr>
      </w:pPr>
      <w:r>
        <w:rPr>
          <w:rFonts w:ascii="Calibri" w:eastAsia="Calibri" w:hAnsi="Calibri" w:cs="Calibri"/>
        </w:rPr>
        <w:t xml:space="preserve">The aim of this section is to describe the process in determining whether the use of force was necessary by critically evaluating theories and models that underpin causes of conflict within policing interventions. The purpose is to balance the theories and models with the personal scenario described above to allow the reader to understand the thought process behind the decisions made. The college of policing (2014) highlights the difficult and complex decision-making scenarios that police officers often face; to assist officers, the national decision making framework has been adopted with the code of ethics as the touchstone for all decision making. This shows the importance of ethical decision making within police intervention. When officers make discretionarily decisions with the code of ethics at the centre thus showing that their decisions were assessed and managed in a reasonable manner. There are some helpful models to assist in understanding the rationale behind why some decisions are made and to highlight future improvement. One theory underlined by Clements (2008) is the Betari’s Box model. Based on the assumption that behaviour and attitudes are linked, the model explores how the behaviour of an individual can influence the attitude and behaviour of others. In this situation, if police intervention was negative the moment they stepped inside the shop then the outcome could have been even worse. Having said this, when officers dealt with the individuals when they were on their own, they were apologetic and helpful in dealing with the requirements needed of them. The Betari’s Box model shows that people’s attitudes are influenced by the behaviour of others. Upon reflection, the officers who attended the shop initially did not know how the other officer dealt with the employee’s to begin with. If the involved officer had a negative attitude and spoke to them in a rude manner, then the Betari’s Box model shows that the subjects in this incident were influenced by the officer’s initial, undesirable attendance. The Drama triangle is another model that helps in understanding some behaviour. Hicks (2014) describes the three roles that individuals can play: persecutor, victim and rescuer. The individuals involved in the conflict situation took the role of the victim, the police were the persecutors and the individuals filming the incident could be considered the rescuer. Having said this, the police in this instance could also be considered as the rescuer due to the fact that a rapport was built when the individuals were separated and placed on their own. Interestingly, had the attending officer been the persecutor in this place, my colleague and I could have been the rescuers as we would have been able to reason with the individuals involved to avoid the conflict that occurred shortly after the visit. Many scholars discuss the fact that the brain consists of two parts, the rational side and the emotional side. This is popularly believed to be the two sides that define the choices that people make. As we discuss the conflict situation experienced it is worth noting that police officers are often in situations where they cannot be over-emotional and take things personally. Despite the language and insults used towards the police on that day during the incident it was aimed towards the police regardless of who was wearing the uniform. </w:t>
      </w:r>
    </w:p>
    <w:p w14:paraId="7B9DD45A" w14:textId="77777777" w:rsidR="00960C47" w:rsidRDefault="00960C47" w:rsidP="00405E0C">
      <w:pPr>
        <w:rPr>
          <w:rFonts w:ascii="Calibri" w:eastAsia="Calibri" w:hAnsi="Calibri" w:cs="Calibri"/>
        </w:rPr>
      </w:pPr>
    </w:p>
    <w:p w14:paraId="6DE2A9CF" w14:textId="28F5DFF7" w:rsidR="00405E0C" w:rsidRDefault="00405E0C" w:rsidP="00405E0C">
      <w:pPr>
        <w:rPr>
          <w:rFonts w:ascii="Calibri" w:eastAsia="Calibri" w:hAnsi="Calibri" w:cs="Calibri"/>
        </w:rPr>
      </w:pPr>
      <w:r>
        <w:rPr>
          <w:rFonts w:ascii="Calibri" w:eastAsia="Calibri" w:hAnsi="Calibri" w:cs="Calibri"/>
        </w:rPr>
        <w:t xml:space="preserve">This article has aimed to give the reader a critical assessment of the incident I dealt with involving conflict with members of the public. As mentioned in the introduction, dealing with conflict is part of the day to day role of a police officer and being able to detach the emotional side from the rational side is imperative to a successful outcome. As I briefly explained when describing the incident itself, it was almost impossible to gain a rapport with the individuals involved due to their attitudes towards us. This may well have been triggered by what happened before we arrived at </w:t>
      </w:r>
      <w:r>
        <w:rPr>
          <w:rFonts w:ascii="Calibri" w:eastAsia="Calibri" w:hAnsi="Calibri" w:cs="Calibri"/>
        </w:rPr>
        <w:lastRenderedPageBreak/>
        <w:t xml:space="preserve">the shop, it may also be due to their previous encounters with the police, whichever it may be, the situation needed police to interference. Moving the responsible individuals away from the shop by arresting them (due to the offence caused and their lack of cooperation) to gain further information through interview under the Police and Criminal Evidence Act 1984 achieved the desired outcome. Despite the confrontation and the events that followed which involved police interference, the hope is that the individuals can learn from this experience and see the police in a more positive light than what they believed previously.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CEDC95D"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The role of a police officer often means dealing with people from various cultural, ethnic and language backgrounds. Whatever the call may be regarding, the police must do their utmost to carry out their duties in an environment where social challenges differ from one call to another. Frontline policing is almost always an independent enquiry which, more often than not, lacks the resources required to carry out the task in hand. One individual police officer cannot possibly be able to retain the knowledge and expertise to be able to deal with people from a range of different backgrounds. Therefore the police must be prepared to deal with various people with different outlooks and cultural differences. </w:t>
      </w:r>
    </w:p>
    <w:p w14:paraId="29ADF190" w14:textId="77777777" w:rsidR="00960C47" w:rsidRPr="00960C47" w:rsidRDefault="00960C47" w:rsidP="00405E0C">
      <w:pPr>
        <w:rPr>
          <w:rFonts w:asciiTheme="minorHAnsi" w:hAnsiTheme="minorHAnsi" w:cstheme="minorHAnsi"/>
        </w:rPr>
      </w:pPr>
    </w:p>
    <w:p w14:paraId="5952CFE3" w14:textId="07DFA44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discussion will critically assess an incident that I was involved in when on shift as a police constable with a view of discussing social and legislative contexts including the cultural, ethnic and language issues experienced. The discussion will consider and reflect the responsibilities and procedures that are in line with the relevant codes of practice in order to support victims and witnesses through the criminal justice system. The aim then would be to illustrate how policing values were engaged including any relevant culturally sensitive practices that contributed to the incident in question. </w:t>
      </w:r>
    </w:p>
    <w:p w14:paraId="5C93193F" w14:textId="77777777" w:rsidR="00960C47" w:rsidRPr="00960C47" w:rsidRDefault="00960C47" w:rsidP="00405E0C">
      <w:pPr>
        <w:rPr>
          <w:rFonts w:asciiTheme="minorHAnsi" w:hAnsiTheme="minorHAnsi" w:cstheme="minorHAnsi"/>
        </w:rPr>
      </w:pPr>
    </w:p>
    <w:p w14:paraId="58FE2396" w14:textId="79E83701"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The incident took place during October 2019 at a family home in Pontypridd. I was on mobile patrol with my colleague when an urgent response call came over the radio advising of a male possessing a knife. I explored the offences that could be taking place and decided the immediate priority would be to safeguard the reporting person who happened to be the male’s wife. As I approached the incident location I knew that I could, if required, use a forced entry method to gain access to the property under section seventeen of the Police and Criminal Evidence Act 1984 to save life and limb. Upon arrival my colleague and I were fortunately greeted at the door by the reporting person who was holding a toddler in her arms. The female was clearly distressed and needed police to assist in helping her partner. As soon as we arrived I could hear from upstairs that the male had an Indian accent and the female had a European accent with broken English. As we ensured the female was safe we managed to establish the circumstances around the call made. It was made apparent that the male had locked himself in to a bathroom and had told his wife that he wished to take his </w:t>
      </w:r>
      <w:r w:rsidRPr="00960C47">
        <w:rPr>
          <w:rFonts w:asciiTheme="minorHAnsi" w:hAnsiTheme="minorHAnsi" w:cstheme="minorHAnsi"/>
        </w:rPr>
        <w:lastRenderedPageBreak/>
        <w:t xml:space="preserve">own life. The wife rang police as she needed urgent response to gain access to the bathroom to ensure the safety of the husband.  </w:t>
      </w:r>
    </w:p>
    <w:p w14:paraId="4B1B6800" w14:textId="77777777" w:rsidR="00960C47" w:rsidRPr="00960C47" w:rsidRDefault="00960C47" w:rsidP="00405E0C">
      <w:pPr>
        <w:rPr>
          <w:rFonts w:asciiTheme="minorHAnsi" w:hAnsiTheme="minorHAnsi" w:cstheme="minorHAnsi"/>
        </w:rPr>
      </w:pPr>
    </w:p>
    <w:p w14:paraId="28A80F74" w14:textId="4035EC6E"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The male was heard shouting so we advised him from outside the locked bathroom door that police had attended to help him. At first the male seemed reluctant to listen but we managed to convince him to open the door so we could ensure he was safe and well; apart from a slight laceration to his stomach where he had threatened to stab himself with a knife earlier in the day, the male was physically well and did not require medical assistance. We then convinced the male who also had broken English to follow us downstairs so we could discuss the situation with him. The male was distressed but engaged in conversation with officers and outlined that his current situation had reached a point whereby he did not want to be here anymore. The male had a strong indian accent and spoke at length about his past experiences and how they affected his mental health. Being first responders to mental health incidents forms a significant part of a police officer’s role. Bailey (2018) supports this function as it helps keep people who suffer from mental illnesses away from the criminal justice system whilst multi-agencies support those victims. Bailey (2018) stresses the importance of formal and flexible policies and procedures to ensure that those suffering from mental illnesses are dealt with proactively and efficiently. The support provided thereafter depends on the feedback given initially by the initial attending police officer. He was clearly angry with his wife for ringing the police but we explained to him that this was done as she was concerned for him and needed additional support. The male explained his circumstances at length and then stated that he wanted to be left alone. He also disclosed to officers that knowledge of his mental wellbeing would bring shame to his family because the culture in his home country would not tolerate this. As officers understood from his explanation, the males in Indian families are meant to not show signs of weakness and should be a strong role model within the community. This made the situation more complex as the male became distressed at the thought of what his family would think. </w:t>
      </w:r>
    </w:p>
    <w:p w14:paraId="6FBC01FD" w14:textId="77777777" w:rsidR="00960C47" w:rsidRPr="00960C47" w:rsidRDefault="00960C47" w:rsidP="00405E0C">
      <w:pPr>
        <w:rPr>
          <w:rFonts w:asciiTheme="minorHAnsi" w:hAnsiTheme="minorHAnsi" w:cstheme="minorHAnsi"/>
        </w:rPr>
      </w:pPr>
    </w:p>
    <w:p w14:paraId="5265A670"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As the call was an immediate safeguarding response, officers could not leave the male alone until the situation had resolved and that the mental health team had been liaised with. I considered asking for assistance from another officer whom I knew to have strong family links with a very similar culture to the subject but decided against this when I felt I could engage with the individual to discuss his needs and expectations myself. After much discussion, the police mental health team were in contact and were able to examine the male whilst on the phone. The male clearly felt like his mental health state required specific prescribed medication and individual help and support despite the apparent views of his community. The male felt strongly that his past experiences meant he had a permanent illness.</w:t>
      </w:r>
    </w:p>
    <w:p w14:paraId="633E5467" w14:textId="77777777" w:rsidR="00960C47" w:rsidRPr="00960C47" w:rsidRDefault="00960C47" w:rsidP="00405E0C">
      <w:pPr>
        <w:rPr>
          <w:rFonts w:asciiTheme="minorHAnsi" w:hAnsiTheme="minorHAnsi" w:cstheme="minorHAnsi"/>
        </w:rPr>
      </w:pPr>
    </w:p>
    <w:p w14:paraId="20AEF39A" w14:textId="557421B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As this was a domestic issue, safety for the partner and child was also of paramount importance so I had to explain the recent circumstances to the partner whilst the male was separated. The female had a different outlook on how to deal with the wellbeing of her husband. After explaining the situation to her that her husband believed he was entitled to medical treatment, she was alarmed at the thought of this as she grew up in an environment where a wife was dependant on their spouse for strength and courage, she did not expect her husband to require any attention relating to his wellbeing. Communities in her country of origin were reluctant to use medication to cure mental health issues and they certainly did not require police attendance. The females only wanted for officers to attend to ensure her husband was safe when he locked himself in to the bathroom. As I explained the reasons behind her husband’s complex mental health issues, she understood the benefits to her partner if he received support. </w:t>
      </w:r>
    </w:p>
    <w:p w14:paraId="1543DDD9" w14:textId="77777777" w:rsidR="00960C47" w:rsidRPr="00960C47" w:rsidRDefault="00960C47" w:rsidP="00405E0C">
      <w:pPr>
        <w:rPr>
          <w:rFonts w:asciiTheme="minorHAnsi" w:hAnsiTheme="minorHAnsi" w:cstheme="minorHAnsi"/>
        </w:rPr>
      </w:pPr>
    </w:p>
    <w:p w14:paraId="72C41769" w14:textId="06DDEAAA"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I considered my policing power under Section 136 of the Mental Health Act whereby officers can detain an individual who they deem to experience a mental health crisis and is a risk to themselves and / or others. After the call with the police mental health team, the male returned to the house and seemed stabilised and began to engage with officers. I had been advised by the mental health team that Section 136 was not deemed appropriate and relevant appointments had been arranged to assist the male over the coming week. The male had calmed down dramatically and was relaxed and compliant with officers. As well as his adverse childhood experiences, the male explained that he grew up in India, moved to London as a student where he met his European wife and then settled in South Wales to bring up a family. This evidently clarified why there were cultural differences not only between the police and this male but also between himself and his own family. Being empathetic and patient with the male was paramount and officers were able to leave the premises after ensuring no harm or risk was evident to any of the family members including the subject. Puntis (2018) points out that police involvement with people suffering from mental health is increasing so relevant support is essential to assist the officers. This was evident during this incident; police would deal with the initial response call and then pass the details on to a specialised department who are experienced at dealing with calls of this nature. The police attended to ensure the safety of the public and the individual was secure and no criminal activity was evident before </w:t>
      </w:r>
      <w:r w:rsidRPr="00960C47">
        <w:rPr>
          <w:rFonts w:asciiTheme="minorHAnsi" w:hAnsiTheme="minorHAnsi" w:cstheme="minorHAnsi"/>
        </w:rPr>
        <w:lastRenderedPageBreak/>
        <w:t>ensuring the male was confident of the support available to him going forward. Across the UK, officers feel like they lack the skills required to appropriately support those in crisis (Puntis, 2018). That being said, the more calls we attend similar to the one in this subject will provide fantastic learning opportunities to deal with future incidents.</w:t>
      </w:r>
    </w:p>
    <w:p w14:paraId="0A802DF7" w14:textId="77777777" w:rsidR="00960C47" w:rsidRPr="00960C47" w:rsidRDefault="00960C47" w:rsidP="00405E0C">
      <w:pPr>
        <w:rPr>
          <w:rFonts w:asciiTheme="minorHAnsi" w:hAnsiTheme="minorHAnsi" w:cstheme="minorHAnsi"/>
        </w:rPr>
      </w:pPr>
    </w:p>
    <w:p w14:paraId="67C30763" w14:textId="0A96CEF6"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Prior to leaving the home, I spoke to the female within the property to provide suitable words of advice if her husband’s behaviour was to continue. Although this incident did not require immediate support through the criminal justice system as no apparent crime had been committed, this section aims to advise how and why the criminal justice system could support potential victims of crime. Initially the call was regarding a males possessing a knife at the property. This sort of behaviour could lead to a range of different crimes being committed and a variety of experiences for a victim. Although officers had left the female with confidence that there were no signs of danger to her or the baby, it was vital to keep an eye on the situation in case there were any escalations. I had to ensure that the female was confident that she felt safe with her own partner, I then took details from her in the form of a public protection notice which asks a wide range of questions based on her vulnerability. The form also allows the victim to bring up any support the police could provide to them so specialised teams can attend to follow through with this. If the victim refuses the public protection notice then the form still goes through with police officer comments so the relevant departmental decisions can be made on what support will, if any, be provided. It is the attending police officer’s responsibility to ensure the form is submitted with relevant and key information so specialist support units can interfere when needed. In the case of the female in this subject, staff at the police will use the information I personally provided, along with my judgement to check and to keep in contact until matters are resolved. This support may be in the form of referral’s to partner agencies such as women’s aid or mental health support teams or could be a simple house visit to check up on the individual. Bailey (2018) supports this effort and states that it keeps persons with mental illness away from the criminal justice system and discusses the importance of inter-agency collaboration between mental health professionals and police. Furthermore, Huppert (2015) further supports the effectiveness of multi-agency work and why the police rely on these departments to conduct follow-up meetings with patients and victims to evaluate the crisis. In this instance if criminal activity had taken place and the male was arrested and taken to custody or the hospital, the police can also help victims by placing certain conditions on the aggravator. For example, if the female within this incident felt isolated and intimidated, the police can place protection orders such as the domestic violence protection notice (DVPN) which prohibits the male from contacting his partner for a certain amount of time. The notice also allows department within the police to have more time to decide whether an extension of these conditions is required. Perhaps the female wishes to have some time away from her partner to work certain things out, this is another way the criminal justice system can protect victims.     </w:t>
      </w:r>
    </w:p>
    <w:p w14:paraId="568E7AEC" w14:textId="77777777" w:rsidR="00960C47" w:rsidRPr="00960C47" w:rsidRDefault="00960C47" w:rsidP="00405E0C">
      <w:pPr>
        <w:rPr>
          <w:rFonts w:asciiTheme="minorHAnsi" w:hAnsiTheme="minorHAnsi" w:cstheme="minorHAnsi"/>
        </w:rPr>
      </w:pPr>
    </w:p>
    <w:p w14:paraId="3FFF3EB3" w14:textId="6248876D"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section aims to illustrate how policing values were engaged and a short summary of how culturally sensitive practices were considered. Huppert (2015) describes the frustration that police experience when dealing with mental health patients due to the time constraint and the resources required to influence actions. Having said this, police officers who have received mental health training can deal with these calls efficiently and can use their experienced judgement to weigh up risks to community and individuals in crisis. When I engaged with the male who suffered with mental illness I admit I felt a little frustrated; the thought of spending time with the male in hospital whilst my colleagues were already over-committed to emergency response calls gave me a feeling of being unsatisfied as I felt like I should be dealing with those calls. However, after resolving the matter with the family a couple of hours later I felt like the experience I gained was invaluable to my development in dealing with calls of that nature. I am confident that every time I deal with similar incidents I can do it more efficiently and in a better time frame. Being empathetic and professional with these individuals is of paramount importance as essentially the police can encourage the individuals to seek help from specialist units instead of relying on themselves to resolve matters. Police intervention with the male in this discussion may have saved his life as he had locked himself in the bathroom whilst holding a knife in a distressed manner. Engaging police values to these incidents also puts the community at less to risk because situations can be threatening and intimidating. Putting the victim’s needs before ourselves made the outcome successful; how we felt being at the house dealing with a call of this nature was irrelevant. The female, who probably felt alone in a different country with a culture that was unfamiliar to her, has received a positive response from the police and hopefully feels safer and encouraged with the support available to her. Additional support also includes interpreters if an individual, whether victims, witnesses or person responsible wishes to discuss matters in their own language. This allows them to feel more comfortable or perhaps that is the only language that they know. Police presence often sparks a mixed reaction within the community but it often makes them feel safe after an event has taken place. Bailey (2018) stresses the importance of understanding the cultural and systematic barriers to guide implementation to dealing with first-response mental health calls. As mentioned earlier, different cultures have varying attitudes towards mental health issues so being aware and understanding of these differences will put the police in good stead with the public. Being </w:t>
      </w:r>
      <w:r w:rsidRPr="00960C47">
        <w:rPr>
          <w:rFonts w:asciiTheme="minorHAnsi" w:hAnsiTheme="minorHAnsi" w:cstheme="minorHAnsi"/>
        </w:rPr>
        <w:lastRenderedPageBreak/>
        <w:t xml:space="preserve">impartial therefore is key when managing incidents involving patients of mental health as it is difficult to understand the root cause of problems during an initial response call to police. Officers must keep this in mind when attending incidents of this nature. </w:t>
      </w:r>
    </w:p>
    <w:p w14:paraId="13805650" w14:textId="77777777" w:rsidR="00960C47" w:rsidRPr="00960C47" w:rsidRDefault="00960C47" w:rsidP="00405E0C">
      <w:pPr>
        <w:rPr>
          <w:rFonts w:asciiTheme="minorHAnsi" w:hAnsiTheme="minorHAnsi" w:cstheme="minorHAnsi"/>
        </w:rPr>
      </w:pPr>
    </w:p>
    <w:p w14:paraId="3E153BC9"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discussion has aimed to provide the reader with a critical assessment of cultural differences between the police and members of the community involving social and legislative contexts. It has then continued to discuss the responsibilities and procedures in line with the relevant codes of practice to support victims through the criminal justice system. This has all been completed in parallel with a specific incident that has taken place. Policing values has then been discussed as well as other considerations that took place. </w:t>
      </w:r>
    </w:p>
    <w:p w14:paraId="53D8D511" w14:textId="77777777" w:rsidR="00112751" w:rsidRPr="00960C47" w:rsidRDefault="00112751" w:rsidP="00E6298B">
      <w:pPr>
        <w:ind w:right="107"/>
        <w:jc w:val="both"/>
        <w:rPr>
          <w:rFonts w:asciiTheme="minorHAnsi" w:hAnsiTheme="minorHAnsi" w:cstheme="minorHAnsi"/>
          <w:sz w:val="24"/>
          <w:szCs w:val="24"/>
        </w:rPr>
      </w:pPr>
    </w:p>
    <w:p w14:paraId="1967E2A8" w14:textId="77777777" w:rsidR="00025650" w:rsidRPr="00960C47" w:rsidRDefault="00025650" w:rsidP="00E6298B">
      <w:pPr>
        <w:ind w:right="107"/>
        <w:jc w:val="both"/>
        <w:rPr>
          <w:rFonts w:asciiTheme="minorHAnsi" w:hAnsiTheme="minorHAnsi" w:cstheme="minorHAnsi"/>
          <w:sz w:val="24"/>
          <w:szCs w:val="24"/>
        </w:rPr>
      </w:pPr>
    </w:p>
    <w:p w14:paraId="416EFA95" w14:textId="77777777" w:rsidR="00025650" w:rsidRPr="00960C47" w:rsidRDefault="00025650" w:rsidP="00E6298B">
      <w:pPr>
        <w:ind w:right="107"/>
        <w:jc w:val="both"/>
        <w:rPr>
          <w:rFonts w:asciiTheme="minorHAnsi" w:hAnsiTheme="minorHAnsi" w:cstheme="minorHAnsi"/>
          <w:sz w:val="24"/>
          <w:szCs w:val="24"/>
        </w:rPr>
      </w:pPr>
    </w:p>
    <w:p w14:paraId="598FFEC5" w14:textId="77777777" w:rsidR="00025650" w:rsidRPr="00960C47" w:rsidRDefault="00025650" w:rsidP="00E6298B">
      <w:pPr>
        <w:ind w:right="107"/>
        <w:jc w:val="both"/>
        <w:rPr>
          <w:rFonts w:asciiTheme="minorHAnsi" w:hAnsiTheme="minorHAnsi" w:cstheme="minorHAnsi"/>
          <w:sz w:val="24"/>
          <w:szCs w:val="24"/>
        </w:rPr>
      </w:pPr>
    </w:p>
    <w:p w14:paraId="042DA0D7" w14:textId="77777777" w:rsidR="00025650" w:rsidRPr="00960C47" w:rsidRDefault="00025650" w:rsidP="00E6298B">
      <w:pPr>
        <w:ind w:right="107"/>
        <w:jc w:val="both"/>
        <w:rPr>
          <w:rFonts w:asciiTheme="minorHAnsi" w:hAnsiTheme="minorHAnsi" w:cstheme="minorHAnsi"/>
          <w:sz w:val="24"/>
          <w:szCs w:val="24"/>
        </w:rPr>
      </w:pPr>
    </w:p>
    <w:p w14:paraId="65800057" w14:textId="77777777" w:rsidR="00025650" w:rsidRPr="00960C47" w:rsidRDefault="00025650" w:rsidP="00E6298B">
      <w:pPr>
        <w:ind w:right="107"/>
        <w:jc w:val="both"/>
        <w:rPr>
          <w:rFonts w:asciiTheme="minorHAnsi" w:hAnsiTheme="minorHAnsi" w:cstheme="minorHAnsi"/>
          <w:sz w:val="24"/>
          <w:szCs w:val="24"/>
        </w:rPr>
      </w:pPr>
    </w:p>
    <w:p w14:paraId="7A99F832" w14:textId="77777777" w:rsidR="00025650" w:rsidRPr="00960C47" w:rsidRDefault="00025650" w:rsidP="00E6298B">
      <w:pPr>
        <w:ind w:right="107"/>
        <w:jc w:val="both"/>
        <w:rPr>
          <w:rFonts w:asciiTheme="minorHAnsi" w:hAnsiTheme="minorHAnsi" w:cstheme="minorHAnsi"/>
          <w:sz w:val="24"/>
          <w:szCs w:val="24"/>
        </w:rPr>
      </w:pPr>
    </w:p>
    <w:p w14:paraId="7FD39A42" w14:textId="77777777" w:rsidR="00025650" w:rsidRPr="00960C47" w:rsidRDefault="00025650" w:rsidP="00E6298B">
      <w:pPr>
        <w:ind w:right="107"/>
        <w:jc w:val="both"/>
        <w:rPr>
          <w:rFonts w:asciiTheme="minorHAnsi" w:hAnsiTheme="minorHAnsi" w:cstheme="minorHAnsi"/>
          <w:sz w:val="24"/>
          <w:szCs w:val="24"/>
        </w:rPr>
      </w:pPr>
    </w:p>
    <w:p w14:paraId="73D1DF2B" w14:textId="77777777" w:rsidR="00025650" w:rsidRPr="00960C47" w:rsidRDefault="00025650" w:rsidP="00E6298B">
      <w:pPr>
        <w:ind w:right="107"/>
        <w:jc w:val="both"/>
        <w:rPr>
          <w:rFonts w:asciiTheme="minorHAnsi" w:hAnsiTheme="minorHAnsi" w:cstheme="minorHAnsi"/>
          <w:sz w:val="24"/>
          <w:szCs w:val="24"/>
        </w:rPr>
      </w:pPr>
    </w:p>
    <w:p w14:paraId="556B64F0" w14:textId="77777777" w:rsidR="00025650" w:rsidRPr="00960C47" w:rsidRDefault="00025650" w:rsidP="00E6298B">
      <w:pPr>
        <w:ind w:right="107"/>
        <w:jc w:val="both"/>
        <w:rPr>
          <w:rFonts w:asciiTheme="minorHAnsi" w:hAnsiTheme="minorHAnsi" w:cstheme="minorHAnsi"/>
          <w:sz w:val="24"/>
          <w:szCs w:val="24"/>
        </w:rPr>
      </w:pPr>
    </w:p>
    <w:p w14:paraId="140C2FD2" w14:textId="77777777" w:rsidR="00025650" w:rsidRPr="00960C47" w:rsidRDefault="00025650" w:rsidP="00E6298B">
      <w:pPr>
        <w:ind w:right="107"/>
        <w:jc w:val="both"/>
        <w:rPr>
          <w:rFonts w:asciiTheme="minorHAnsi" w:hAnsiTheme="minorHAnsi" w:cstheme="minorHAnsi"/>
          <w:b/>
          <w:sz w:val="24"/>
          <w:szCs w:val="24"/>
        </w:rPr>
      </w:pPr>
    </w:p>
    <w:p w14:paraId="32933C98" w14:textId="77777777" w:rsidR="00AA666E" w:rsidRPr="00960C47" w:rsidRDefault="00025650" w:rsidP="00E6298B">
      <w:pPr>
        <w:ind w:right="107"/>
        <w:rPr>
          <w:rFonts w:asciiTheme="minorHAnsi" w:hAnsiTheme="minorHAnsi" w:cstheme="minorHAnsi"/>
        </w:rPr>
      </w:pPr>
      <w:r w:rsidRPr="00960C47">
        <w:rPr>
          <w:rFonts w:asciiTheme="minorHAnsi" w:hAnsiTheme="minorHAnsi" w:cstheme="minorHAnsi"/>
        </w:rPr>
        <w:br w:type="page"/>
      </w:r>
    </w:p>
    <w:p w14:paraId="11B1AAFD" w14:textId="30B6EA9C" w:rsidR="006C7CA5" w:rsidRPr="00811543" w:rsidRDefault="28A9B94D" w:rsidP="00B318B8">
      <w:pPr>
        <w:spacing w:line="259" w:lineRule="auto"/>
        <w:ind w:right="107"/>
        <w:jc w:val="center"/>
        <w:rPr>
          <w:b/>
          <w:bCs/>
          <w:sz w:val="24"/>
          <w:szCs w:val="24"/>
        </w:rPr>
      </w:pPr>
      <w:r w:rsidRPr="00811543">
        <w:rPr>
          <w:b/>
          <w:sz w:val="24"/>
          <w:szCs w:val="24"/>
        </w:rPr>
        <w:lastRenderedPageBreak/>
        <w:t>Task</w:t>
      </w:r>
      <w:r w:rsidRPr="00811543">
        <w:rPr>
          <w:b/>
          <w:bCs/>
          <w:color w:val="auto"/>
          <w:sz w:val="24"/>
          <w:szCs w:val="24"/>
        </w:rPr>
        <w:t xml:space="preserve"> </w:t>
      </w:r>
      <w:r w:rsidRPr="00811543">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407B730" w14:textId="47BC287F"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The role of a police officer often means making decisions that could potentially have life-long effects on the lives of individuals. Police officers must deal with incidents by using their own discretion and also conduct thorough investigations whilst managing offenders. This discussions aims to provide the reader with a critical assessment of an incident that I was involved in when on shift as a police constable with the aim of providing the reader with an insight of the below features within this particular occurrence. </w:t>
      </w:r>
    </w:p>
    <w:p w14:paraId="186A7092" w14:textId="77777777" w:rsidR="00960C47" w:rsidRPr="00960C47" w:rsidRDefault="00960C47" w:rsidP="00405E0C">
      <w:pPr>
        <w:rPr>
          <w:rFonts w:asciiTheme="minorHAnsi" w:hAnsiTheme="minorHAnsi" w:cstheme="minorHAnsi"/>
        </w:rPr>
      </w:pPr>
    </w:p>
    <w:p w14:paraId="070B6E87" w14:textId="51B2E551"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structure of this discussion will begin with the critical assessment including social and legislative contexts including any relevant cultural, ethnicity and language issues. It will also delve in to a reflection of how the national decision making model assisted in resolving the incident before an evaluation of the role of discretion in the decision-making process. The second part of this work will determine my responsibility with regards to the provision of the criminal procedure investigations act when conducting this investigation with a look at how we managed the offenders and suspects whilst recording and retaining significant information. Finally there will be an illustration of how policing values were engaged by assessing in particular the potential impact of bias on the decision-making process. </w:t>
      </w:r>
    </w:p>
    <w:p w14:paraId="57142460" w14:textId="77777777" w:rsidR="00960C47" w:rsidRPr="00960C47" w:rsidRDefault="00960C47" w:rsidP="00405E0C">
      <w:pPr>
        <w:rPr>
          <w:rFonts w:asciiTheme="minorHAnsi" w:hAnsiTheme="minorHAnsi" w:cstheme="minorHAnsi"/>
        </w:rPr>
      </w:pPr>
    </w:p>
    <w:p w14:paraId="5C9BEC76" w14:textId="4426A62B"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incident took place during November 2019 at a local supermarket store in South Wales. A response call came through on the personal radio system that a male had stolen a bottle of wine from a local supermarket within our command unit. I acknowledged the incident and made my way over to the shop. Upon arrival I was asked to assist a customer assistant with the camera footage which was used to spot the male who had walked out of the shop. This was not an emergency call as the male had since left the premises with the bottle of wine that did not belong to him. I observed the camera footage in front of me and saw the male, who was clearly seen on video stealing the bottle without paying for it. This was contrary to the Theft Act 1968 whereby the points to prove include dishonesty, appropriates, property, belonging to another, with the intention of permanently depriving the other of it. As I viewed the camera footage I could see that the male in question took the bottle of wine dishonestly as he hid it under his jacket. I witnessed the male taking possession of property belonging to the supermarket and had clear intention of </w:t>
      </w:r>
      <w:r w:rsidRPr="00960C47">
        <w:rPr>
          <w:rFonts w:asciiTheme="minorHAnsi" w:hAnsiTheme="minorHAnsi" w:cstheme="minorHAnsi"/>
        </w:rPr>
        <w:lastRenderedPageBreak/>
        <w:t xml:space="preserve">depriving the store of it for his own amusement. This incident had all of the key points to prove that I was witnessing a criminal offence taking place. Fortunately for the police, the male was well-known locally and the customer assistant was able to identify who the male and would feel confident giving his details to the police. The male lived at the local council estate, was known to the shop as a loyal customer who usually paid for his goods and as far as they knew, did not steal from them before. The information provided by the shop assistant was very helpful to police as the male could be arrested and / or charged immediately. Following the visit to the supermarket I then made my way back to the police vehicle to ponder my options. </w:t>
      </w:r>
    </w:p>
    <w:p w14:paraId="19C19A83" w14:textId="77777777" w:rsidR="00960C47" w:rsidRPr="00960C47" w:rsidRDefault="00960C47" w:rsidP="00405E0C">
      <w:pPr>
        <w:rPr>
          <w:rFonts w:asciiTheme="minorHAnsi" w:hAnsiTheme="minorHAnsi" w:cstheme="minorHAnsi"/>
        </w:rPr>
      </w:pPr>
    </w:p>
    <w:p w14:paraId="64CB4647"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The National Decision Model is a key application used by the police due to the influence it has on officers thought process. In this incident I used the NDM to consider the offence I had been told to investigate. Some key factors I considered was the potential suspect, his history and involvement with the police, I had to consider the victim and their interests, I had to take in to account the offence that had taken place and also considered the level of offence that had occurred. This was undoubtedly a criminal offence but as I applied the NDM to my thought process I considered some further information. Essentially the male in this incident had stolen a bottle of wine to the value of six pounds. Although this would have caused a loss to the supermarket, I felt it important to consider the remorseful attitude of the suspect in my investigation as there are potentially other, more appropriate ways and means of dealing and managing offenders. I managed to gather information about the possible suspect and prepared myself to deal with any sort of attitude that he may direct towards the police enquiry. I considered my powers as a police officer to arrest the male for the offence that had taken place at the local supermarket and understood that the male could be subject to being charged by the court. I then started to take action of my intentions as I prepared to go around the NDM model once again as new factors came in to place. I would consider the attitude of the individual when I deal with him, this could be a significant contributing factor to the outcome of this incident. If the male appeared remorseful for his actions and offered to pay what he owed to the supermarket this would lean considerably in his favour. </w:t>
      </w:r>
    </w:p>
    <w:p w14:paraId="655402B5" w14:textId="7C86C7E2"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I arrived at the address that was known to police and asked to speak to the male who was responsible. Although the male was originally from South Wales, he clearly had a different outlook and culture to what was expected from a normal person. The male had been involved in crime from a young age and this behaviour was almost normal to him. The culture in which he was subject to throughout his life showed that he needed to be educated and shown that this behaviour was not acceptable in society and it was another opportunity for police to try and help this individual progress in life. Police officers should be used to dealing with individuals that have a completely different outlook compared to a normal individual, should still treat them with respect but with an understanding empathy. As I met the male I explained to him the allegations that was made against him and he immediately knew what the incident involved and admitted to the offence taking place. As the male was receptive and did not appear to be a threat to anyone or anything nearby I told the male that he would be subject to provide a recorded interview under caution. I then conducted an interview and used my discretion to not arrest the male so I could carry out further investigation. On interview, the male admitted his wrongdoings and advised police that he would be happy to pay the shop back what he owed and was made aware that further offences would result in him getting arrested. As I returned to the shop and advised them of this I decided the restorative justice action would be the best and most efficient choice in dealing with this incident. I obtained a signed statement from both victim and suspect and informed the suspect that he should pay back the shop what he owed. He did this and received a lengthy ban from the shop which was satisfactory to police and the victim. </w:t>
      </w:r>
    </w:p>
    <w:p w14:paraId="59AF2422" w14:textId="77777777" w:rsidR="00960C47" w:rsidRPr="00960C47" w:rsidRDefault="00960C47" w:rsidP="00405E0C">
      <w:pPr>
        <w:rPr>
          <w:rFonts w:asciiTheme="minorHAnsi" w:hAnsiTheme="minorHAnsi" w:cstheme="minorHAnsi"/>
        </w:rPr>
      </w:pPr>
    </w:p>
    <w:p w14:paraId="62F8CFB0"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As briefly outlined above, the role of discretion within a police officer’s day-to-day role is key as the amount of variation in incidents that are attended differ dramatically. Therefore police must take a transparent approach and should use their discretion when dealing with individual crimes. Nowacki (2015) states that discretion is vital within police decision making. This is further noted by Boivin (2011) who states that discretion refers to the power the police have as part of their job. In this instance, I did not feel the need to arrest the suspect for the offence of theft but rather interview his guilt to the offence and arrange for him to pay back what he owed and apologise for his actions. If I had followed through with the arrest enquiry, the process would have taken a lot longer to complete and would have resulted in higher economic costs to all parties including the court expenses. I did not feel this way appropriate for theft of a bottle of wine with as small value as six pounds. I therefore justified my action to my sergeant who subsequently agreed with my decision and authorised for this action to be taken place. I had used my discretion to consider the advantages and disadvantages of certain ways in order to provide both victim and suspect with an effective outcome. The advantage of the restorative justice approach is that it is still kept on record so if the crime was to happen again by the same individual then this option would be unavailable so thus essentially giving them a second chance for their wrongdoing. </w:t>
      </w:r>
    </w:p>
    <w:p w14:paraId="7E448F64"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lastRenderedPageBreak/>
        <w:t xml:space="preserve">This section aims to discuss the responsibilities of the police with regards to the provision of the CPIA when conducting this investigation by using this incident to determine its importance. The Criminal Procedure and Investigations Act 1996 regulates the procedures of investigating and prosecution of criminal offences. This act ensures that the police manage the information appropriately and within the legal system. The college of policing (2018) states that the CPIA defines criminal investigation by a police officer as an investigation that determines whether a person should be charged with an offence or whether the person is guilty of a particular offence. In this instance the investigation in to this offence was instrumental to gather before making decisions that impacted the individuals affected by this criminal activity. Managing the information such as the victim witness statement, the obtained cctv footage, the officer statement as well as historic documents relating to the potential suspect was instrumental to put forward as evidence for this incident. Once this was all gathered, the case could go forward to meet with the possible suspect and obtain further information. Once this was completed, decisions were then made as to what further action would be taken such as charging the suspect, restorative justice or the court for further proceedings. Managing this information is a key role of the officer dealing with the instances to ensure that the information provided is accurate with a true reflection of what has happened. Failure to provide this accurately could result in a range of different outcomes such as wrongful conviction, the court not going forward with the case and also a failure to reach a rightful conviction. </w:t>
      </w:r>
    </w:p>
    <w:p w14:paraId="273DE438" w14:textId="4DED1946"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final section will illustrate how policing values were engaged particularly looking at the potential impact of bias on the decision-making process. Police bias has throughout history been a complex discourse (Oliveira, 2015). When dealing with members of the public, whether suspects of crime or victims, police should be transparent and behave with absolute integrity. The code of ethics is at the centre of police work and officers should always treat the individuals that they come across with respect and behave courteously. This is evident within the earlier section of this discussion whereby the code of ethics is at the centre of the NDM. This shows that whilst information and decisions are made by officers, the first and foremost priority needs to be the code of ethics and the values of standard behaviour. Robinson (2016) states that the general public often feel less confident in the police when they are not willing to provide assistance because they perhaps feel bias towards concentrating on something else; police bias often stems from historic motivations. In this incident, the police may have felt it meaningless to deal with such petty theft. However, by dealing with this incident it could be a prevention to further crime as this sort of behaviour is instantly dealt with. The victim within the supermarket would have been reluctant to report this crime if they did not feel it would be dealt with accordingly. Robinson (2016) supports this stating that bias victims are less likely to contact the police. Furthermore, as I dealt with this particular suspect for theft within this incident it was evident that the male was well-known to police and also known locally to the victim. As Robinson (2016) explains, a bias tendency would suggest that police may not make the time to deal with such individuals because of their historic and constant criminal behaviour. Smith (2007) describes the effect of stereotyping and biases on the society; although social and cultural biases tend to form an unconscious decision to be made by police, the bias tendencies often created a barrier between the police and society. This suspect was dealt with in a more positive manner with the hope that he would feel genuinely sorry for his actions and think twice before doing something similar in the future. Smith (2007) points out that research shows that biased policing exist for a range of social and cultural factors whereas the nature of police work should not make way for this behaviour. The problem with having these feelings towards a particular group of people is that it is likely to be biased or incorrect assumptions which may present itself as a missed opportunity (Smith, 2007). The writer here is suggesting that despite the assumption we make in our mind when dealing with certain people, we can always give them the benefit of doubt to hopefully make better use of their times to commit criminal activity. When dealing with this individual, despite his past behaviour and historic involvements, police should always treat them with a level of respect in the hope that they may listen and change certain aspects of their attitudes. Robinson (2016) suggests that victims of biased-policing are often reluctant to be involved with police therefore creating a barrier between certain societies and police. This has many disadvantages to the police including a lack of respect, unwillingness to get involved and a reluctance to contact the police in the event of the need for police presence. </w:t>
      </w:r>
    </w:p>
    <w:p w14:paraId="1BEF5EB6" w14:textId="77777777" w:rsidR="00960C47" w:rsidRPr="00960C47" w:rsidRDefault="00960C47" w:rsidP="00405E0C">
      <w:pPr>
        <w:rPr>
          <w:rFonts w:asciiTheme="minorHAnsi" w:hAnsiTheme="minorHAnsi" w:cstheme="minorHAnsi"/>
        </w:rPr>
      </w:pPr>
    </w:p>
    <w:p w14:paraId="0C68F99C" w14:textId="77777777" w:rsidR="00405E0C" w:rsidRPr="00960C47" w:rsidRDefault="00405E0C" w:rsidP="00405E0C">
      <w:pPr>
        <w:rPr>
          <w:rFonts w:asciiTheme="minorHAnsi" w:hAnsiTheme="minorHAnsi" w:cstheme="minorHAnsi"/>
        </w:rPr>
      </w:pPr>
      <w:r w:rsidRPr="00960C47">
        <w:rPr>
          <w:rFonts w:asciiTheme="minorHAnsi" w:hAnsiTheme="minorHAnsi" w:cstheme="minorHAnsi"/>
        </w:rPr>
        <w:t xml:space="preserve">This discussion has hopefully given the reader an opportunity to learn about the national decision making model, the role of discretion, the provision of the CPIA when managing offenders and an assessment of bias on the decision making process. The discussion is hoped to have achieved this by illustrating a real-life incident that occurred within the South Wales Police area. Furthermore, the incident has allowed this discussion to illustrate the importance of police engagement with the community and how officers can leave a life-long effect on the attitudes of individuals towards society expectations. </w:t>
      </w:r>
    </w:p>
    <w:p w14:paraId="363979F9" w14:textId="77777777" w:rsidR="006C7CA5" w:rsidRPr="00960C47" w:rsidRDefault="006C7CA5" w:rsidP="00E6298B">
      <w:pPr>
        <w:ind w:right="107"/>
        <w:jc w:val="both"/>
        <w:rPr>
          <w:rFonts w:asciiTheme="minorHAnsi" w:hAnsiTheme="minorHAnsi" w:cstheme="minorHAnsi"/>
          <w:sz w:val="24"/>
          <w:szCs w:val="24"/>
        </w:rPr>
      </w:pPr>
    </w:p>
    <w:p w14:paraId="55E8513B" w14:textId="77777777" w:rsidR="00025650" w:rsidRPr="00270EEB" w:rsidRDefault="00025650" w:rsidP="00E6298B">
      <w:pPr>
        <w:ind w:right="107"/>
        <w:jc w:val="both"/>
        <w:rPr>
          <w:sz w:val="24"/>
          <w:szCs w:val="24"/>
        </w:rPr>
      </w:pPr>
    </w:p>
    <w:p w14:paraId="592CAEBA" w14:textId="77777777" w:rsidR="000F7ECD" w:rsidRPr="00270EEB" w:rsidRDefault="000F7ECD" w:rsidP="00E6298B">
      <w:pPr>
        <w:ind w:right="107"/>
        <w:jc w:val="both"/>
        <w:rPr>
          <w:sz w:val="24"/>
          <w:szCs w:val="24"/>
        </w:rPr>
        <w:sectPr w:rsidR="000F7ECD" w:rsidRPr="00270EEB" w:rsidSect="009B0227">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B318B8">
      <w:pPr>
        <w:ind w:right="107"/>
        <w:jc w:val="center"/>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15F6E9FC" w:rsidR="00575A8F" w:rsidRPr="00270EEB" w:rsidRDefault="00811543" w:rsidP="00811543">
            <w:pPr>
              <w:ind w:right="107"/>
              <w:rPr>
                <w:sz w:val="24"/>
                <w:szCs w:val="24"/>
              </w:rPr>
            </w:pPr>
            <w:r>
              <w:rPr>
                <w:sz w:val="24"/>
                <w:szCs w:val="24"/>
              </w:rPr>
              <w:t>Time management</w:t>
            </w:r>
          </w:p>
          <w:p w14:paraId="1C9FA00C" w14:textId="77777777" w:rsidR="00575A8F" w:rsidRPr="00270EEB" w:rsidRDefault="00575A8F" w:rsidP="00811543">
            <w:pPr>
              <w:ind w:right="107"/>
              <w:rPr>
                <w:sz w:val="24"/>
                <w:szCs w:val="24"/>
              </w:rPr>
            </w:pPr>
          </w:p>
          <w:p w14:paraId="32CBB0C5" w14:textId="77777777" w:rsidR="00575A8F" w:rsidRPr="00270EEB" w:rsidRDefault="00575A8F" w:rsidP="00811543">
            <w:pPr>
              <w:ind w:right="107"/>
              <w:rPr>
                <w:sz w:val="24"/>
                <w:szCs w:val="24"/>
              </w:rPr>
            </w:pPr>
          </w:p>
          <w:p w14:paraId="4B494930" w14:textId="77777777" w:rsidR="00575A8F" w:rsidRPr="00270EEB" w:rsidRDefault="00575A8F" w:rsidP="00811543">
            <w:pPr>
              <w:ind w:right="107"/>
              <w:rPr>
                <w:sz w:val="24"/>
                <w:szCs w:val="24"/>
              </w:rPr>
            </w:pPr>
          </w:p>
          <w:p w14:paraId="55898530" w14:textId="77777777" w:rsidR="00575A8F" w:rsidRPr="00270EEB" w:rsidRDefault="00575A8F" w:rsidP="00811543">
            <w:pPr>
              <w:ind w:right="107"/>
              <w:rPr>
                <w:sz w:val="24"/>
                <w:szCs w:val="24"/>
              </w:rPr>
            </w:pPr>
          </w:p>
          <w:p w14:paraId="17C7589C" w14:textId="77777777" w:rsidR="00575A8F" w:rsidRPr="00270EEB" w:rsidRDefault="00575A8F" w:rsidP="00811543">
            <w:pPr>
              <w:ind w:right="107"/>
              <w:rPr>
                <w:sz w:val="24"/>
                <w:szCs w:val="24"/>
              </w:rPr>
            </w:pPr>
          </w:p>
          <w:p w14:paraId="559F07CD" w14:textId="77777777" w:rsidR="00575A8F" w:rsidRPr="00270EEB" w:rsidRDefault="00575A8F" w:rsidP="00811543">
            <w:pPr>
              <w:ind w:right="107"/>
              <w:rPr>
                <w:sz w:val="24"/>
                <w:szCs w:val="24"/>
              </w:rPr>
            </w:pPr>
          </w:p>
          <w:p w14:paraId="50FB26FA" w14:textId="77777777" w:rsidR="00575A8F" w:rsidRPr="00270EEB" w:rsidRDefault="00575A8F" w:rsidP="00811543">
            <w:pPr>
              <w:ind w:right="107"/>
              <w:rPr>
                <w:sz w:val="24"/>
                <w:szCs w:val="24"/>
              </w:rPr>
            </w:pPr>
          </w:p>
          <w:p w14:paraId="4E13270D" w14:textId="77777777" w:rsidR="00575A8F" w:rsidRPr="00270EEB" w:rsidRDefault="00575A8F" w:rsidP="00811543">
            <w:pPr>
              <w:ind w:right="107"/>
              <w:rPr>
                <w:sz w:val="24"/>
                <w:szCs w:val="24"/>
              </w:rPr>
            </w:pPr>
          </w:p>
          <w:p w14:paraId="4FCDFC95" w14:textId="77777777" w:rsidR="00575A8F" w:rsidRPr="00270EEB" w:rsidRDefault="00575A8F" w:rsidP="00811543">
            <w:pPr>
              <w:ind w:right="107"/>
              <w:rPr>
                <w:sz w:val="24"/>
                <w:szCs w:val="24"/>
              </w:rPr>
            </w:pPr>
          </w:p>
        </w:tc>
        <w:tc>
          <w:tcPr>
            <w:tcW w:w="2433" w:type="dxa"/>
            <w:shd w:val="clear" w:color="auto" w:fill="auto"/>
          </w:tcPr>
          <w:p w14:paraId="2C5FB852" w14:textId="4FA27A3A" w:rsidR="00575A8F" w:rsidRPr="00270EEB" w:rsidRDefault="00811543" w:rsidP="00811543">
            <w:pPr>
              <w:ind w:right="107"/>
              <w:rPr>
                <w:sz w:val="24"/>
                <w:szCs w:val="24"/>
              </w:rPr>
            </w:pPr>
            <w:r>
              <w:rPr>
                <w:sz w:val="24"/>
                <w:szCs w:val="24"/>
              </w:rPr>
              <w:t xml:space="preserve">Utilising the allocated private learning time efficiently and proactively. This is important when being allocated out PLT days to start at the very beginning rather than seeing these days as additional rest days. </w:t>
            </w:r>
          </w:p>
        </w:tc>
        <w:tc>
          <w:tcPr>
            <w:tcW w:w="2426" w:type="dxa"/>
            <w:shd w:val="clear" w:color="auto" w:fill="auto"/>
          </w:tcPr>
          <w:p w14:paraId="6F2EF39C" w14:textId="3496A15E" w:rsidR="00575A8F" w:rsidRPr="00270EEB" w:rsidRDefault="00811543" w:rsidP="00811543">
            <w:pPr>
              <w:ind w:right="107"/>
              <w:rPr>
                <w:sz w:val="24"/>
                <w:szCs w:val="24"/>
              </w:rPr>
            </w:pPr>
            <w:r>
              <w:rPr>
                <w:sz w:val="24"/>
                <w:szCs w:val="24"/>
              </w:rPr>
              <w:t>Myself and my colleagues in encouraging me to utilise my time efficiently.</w:t>
            </w:r>
          </w:p>
        </w:tc>
        <w:tc>
          <w:tcPr>
            <w:tcW w:w="2426" w:type="dxa"/>
            <w:shd w:val="clear" w:color="auto" w:fill="auto"/>
          </w:tcPr>
          <w:p w14:paraId="3851D535" w14:textId="7C338699" w:rsidR="28A9B94D" w:rsidRDefault="00811543" w:rsidP="00811543">
            <w:pPr>
              <w:rPr>
                <w:sz w:val="24"/>
                <w:szCs w:val="24"/>
              </w:rPr>
            </w:pPr>
            <w:r>
              <w:rPr>
                <w:sz w:val="24"/>
                <w:szCs w:val="24"/>
              </w:rPr>
              <w:t xml:space="preserve">This area of development must be throughout the two years. </w:t>
            </w:r>
          </w:p>
        </w:tc>
      </w:tr>
      <w:tr w:rsidR="00575A8F" w:rsidRPr="00270EEB" w14:paraId="67CEB11A" w14:textId="77777777" w:rsidTr="28A9B94D">
        <w:tc>
          <w:tcPr>
            <w:tcW w:w="2462" w:type="dxa"/>
            <w:shd w:val="clear" w:color="auto" w:fill="auto"/>
          </w:tcPr>
          <w:p w14:paraId="1C2EB90F" w14:textId="496B9732" w:rsidR="00575A8F" w:rsidRPr="00270EEB" w:rsidRDefault="00811543" w:rsidP="00811543">
            <w:pPr>
              <w:ind w:right="107"/>
              <w:rPr>
                <w:sz w:val="24"/>
                <w:szCs w:val="24"/>
              </w:rPr>
            </w:pPr>
            <w:r>
              <w:rPr>
                <w:sz w:val="24"/>
                <w:szCs w:val="24"/>
              </w:rPr>
              <w:t>Accurate structural referencing throughout</w:t>
            </w:r>
          </w:p>
          <w:p w14:paraId="477E47FE" w14:textId="77777777" w:rsidR="00575A8F" w:rsidRPr="00270EEB" w:rsidRDefault="00575A8F" w:rsidP="00811543">
            <w:pPr>
              <w:ind w:right="107"/>
              <w:rPr>
                <w:sz w:val="24"/>
                <w:szCs w:val="24"/>
              </w:rPr>
            </w:pPr>
          </w:p>
          <w:p w14:paraId="529CC96B" w14:textId="77777777" w:rsidR="00575A8F" w:rsidRPr="00270EEB" w:rsidRDefault="00575A8F" w:rsidP="00811543">
            <w:pPr>
              <w:ind w:right="107"/>
              <w:rPr>
                <w:sz w:val="24"/>
                <w:szCs w:val="24"/>
              </w:rPr>
            </w:pPr>
          </w:p>
          <w:p w14:paraId="63E7E828" w14:textId="77777777" w:rsidR="00575A8F" w:rsidRPr="00270EEB" w:rsidRDefault="00575A8F" w:rsidP="00811543">
            <w:pPr>
              <w:ind w:right="107"/>
              <w:rPr>
                <w:sz w:val="24"/>
                <w:szCs w:val="24"/>
              </w:rPr>
            </w:pPr>
          </w:p>
          <w:p w14:paraId="52C24203" w14:textId="77777777" w:rsidR="00575A8F" w:rsidRPr="00270EEB" w:rsidRDefault="00575A8F" w:rsidP="00811543">
            <w:pPr>
              <w:ind w:right="107"/>
              <w:rPr>
                <w:sz w:val="24"/>
                <w:szCs w:val="24"/>
              </w:rPr>
            </w:pPr>
          </w:p>
          <w:p w14:paraId="016B541F" w14:textId="77777777" w:rsidR="00575A8F" w:rsidRPr="00270EEB" w:rsidRDefault="00575A8F" w:rsidP="00811543">
            <w:pPr>
              <w:ind w:right="107"/>
              <w:rPr>
                <w:sz w:val="24"/>
                <w:szCs w:val="24"/>
              </w:rPr>
            </w:pPr>
          </w:p>
          <w:p w14:paraId="0D86D360" w14:textId="77777777" w:rsidR="00575A8F" w:rsidRPr="00270EEB" w:rsidRDefault="00575A8F" w:rsidP="00811543">
            <w:pPr>
              <w:ind w:right="107"/>
              <w:rPr>
                <w:sz w:val="24"/>
                <w:szCs w:val="24"/>
              </w:rPr>
            </w:pPr>
          </w:p>
          <w:p w14:paraId="0867C081" w14:textId="77777777" w:rsidR="00575A8F" w:rsidRPr="00270EEB" w:rsidRDefault="00575A8F" w:rsidP="00811543">
            <w:pPr>
              <w:ind w:right="107"/>
              <w:rPr>
                <w:sz w:val="24"/>
                <w:szCs w:val="24"/>
              </w:rPr>
            </w:pPr>
          </w:p>
          <w:p w14:paraId="0F50BD71" w14:textId="77777777" w:rsidR="00575A8F" w:rsidRPr="00270EEB" w:rsidRDefault="00575A8F" w:rsidP="00811543">
            <w:pPr>
              <w:ind w:right="107"/>
              <w:rPr>
                <w:sz w:val="24"/>
                <w:szCs w:val="24"/>
              </w:rPr>
            </w:pPr>
          </w:p>
          <w:p w14:paraId="27804619" w14:textId="77777777" w:rsidR="00575A8F" w:rsidRPr="00270EEB" w:rsidRDefault="00575A8F" w:rsidP="00811543">
            <w:pPr>
              <w:ind w:right="107"/>
              <w:rPr>
                <w:sz w:val="24"/>
                <w:szCs w:val="24"/>
              </w:rPr>
            </w:pPr>
          </w:p>
          <w:p w14:paraId="7F0DE516" w14:textId="77777777" w:rsidR="00575A8F" w:rsidRPr="00270EEB" w:rsidRDefault="00575A8F" w:rsidP="00811543">
            <w:pPr>
              <w:ind w:right="107"/>
              <w:rPr>
                <w:sz w:val="24"/>
                <w:szCs w:val="24"/>
              </w:rPr>
            </w:pPr>
          </w:p>
          <w:p w14:paraId="531A87CC" w14:textId="77777777" w:rsidR="00575A8F" w:rsidRPr="00270EEB" w:rsidRDefault="00575A8F" w:rsidP="00811543">
            <w:pPr>
              <w:ind w:right="107"/>
              <w:rPr>
                <w:sz w:val="24"/>
                <w:szCs w:val="24"/>
              </w:rPr>
            </w:pPr>
          </w:p>
        </w:tc>
        <w:tc>
          <w:tcPr>
            <w:tcW w:w="2433" w:type="dxa"/>
            <w:shd w:val="clear" w:color="auto" w:fill="auto"/>
          </w:tcPr>
          <w:p w14:paraId="3BD876A6" w14:textId="72D5F780" w:rsidR="00575A8F" w:rsidRPr="00270EEB" w:rsidRDefault="00811543" w:rsidP="00811543">
            <w:pPr>
              <w:ind w:right="107"/>
              <w:rPr>
                <w:sz w:val="24"/>
                <w:szCs w:val="24"/>
              </w:rPr>
            </w:pPr>
            <w:r>
              <w:rPr>
                <w:sz w:val="24"/>
                <w:szCs w:val="24"/>
              </w:rPr>
              <w:t xml:space="preserve">Ensure that academic reading has taken place from the very beginning of the task to provide the work with a structured layout. Instead of writing the structure on the discussion followed by the academic work, this should be the opposite way around. </w:t>
            </w:r>
          </w:p>
        </w:tc>
        <w:tc>
          <w:tcPr>
            <w:tcW w:w="2426" w:type="dxa"/>
            <w:shd w:val="clear" w:color="auto" w:fill="auto"/>
          </w:tcPr>
          <w:p w14:paraId="7A4C9A77" w14:textId="2E5D9805" w:rsidR="00575A8F" w:rsidRPr="00270EEB" w:rsidRDefault="00811543" w:rsidP="00811543">
            <w:pPr>
              <w:ind w:right="107"/>
              <w:rPr>
                <w:sz w:val="24"/>
                <w:szCs w:val="24"/>
              </w:rPr>
            </w:pPr>
            <w:r>
              <w:rPr>
                <w:sz w:val="24"/>
                <w:szCs w:val="24"/>
              </w:rPr>
              <w:t>The university library will allow me to discover new peer-reviewed academia work.</w:t>
            </w:r>
          </w:p>
        </w:tc>
        <w:tc>
          <w:tcPr>
            <w:tcW w:w="2426" w:type="dxa"/>
            <w:shd w:val="clear" w:color="auto" w:fill="auto"/>
          </w:tcPr>
          <w:p w14:paraId="003BC03B" w14:textId="6A133C33" w:rsidR="28A9B94D" w:rsidRDefault="00811543" w:rsidP="00811543">
            <w:pPr>
              <w:rPr>
                <w:sz w:val="24"/>
                <w:szCs w:val="24"/>
              </w:rPr>
            </w:pPr>
            <w:r>
              <w:rPr>
                <w:sz w:val="24"/>
                <w:szCs w:val="24"/>
              </w:rPr>
              <w:t>Beginning of next workbook.</w:t>
            </w:r>
          </w:p>
        </w:tc>
      </w:tr>
      <w:tr w:rsidR="00575A8F" w:rsidRPr="00270EEB" w14:paraId="3EE957C7" w14:textId="77777777" w:rsidTr="28A9B94D">
        <w:tc>
          <w:tcPr>
            <w:tcW w:w="2462" w:type="dxa"/>
            <w:shd w:val="clear" w:color="auto" w:fill="auto"/>
          </w:tcPr>
          <w:p w14:paraId="1948B27B" w14:textId="0FD76D4F" w:rsidR="00575A8F" w:rsidRPr="00270EEB" w:rsidRDefault="00811543" w:rsidP="00811543">
            <w:pPr>
              <w:ind w:right="107"/>
              <w:rPr>
                <w:sz w:val="24"/>
                <w:szCs w:val="24"/>
              </w:rPr>
            </w:pPr>
            <w:r>
              <w:rPr>
                <w:sz w:val="24"/>
                <w:szCs w:val="24"/>
              </w:rPr>
              <w:t>Less descriptive writing</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E551233" w:rsidR="00575A8F" w:rsidRPr="00270EEB" w:rsidRDefault="00811543" w:rsidP="00811543">
            <w:pPr>
              <w:ind w:right="107"/>
              <w:rPr>
                <w:sz w:val="24"/>
                <w:szCs w:val="24"/>
              </w:rPr>
            </w:pPr>
            <w:r>
              <w:rPr>
                <w:sz w:val="24"/>
                <w:szCs w:val="24"/>
              </w:rPr>
              <w:lastRenderedPageBreak/>
              <w:t xml:space="preserve">Ensure the work itself includes more discussion and academic writing rather than description of the example incident. </w:t>
            </w:r>
          </w:p>
        </w:tc>
        <w:tc>
          <w:tcPr>
            <w:tcW w:w="2426" w:type="dxa"/>
            <w:shd w:val="clear" w:color="auto" w:fill="auto"/>
          </w:tcPr>
          <w:p w14:paraId="76B2A824" w14:textId="5B18C76D" w:rsidR="00575A8F" w:rsidRPr="00270EEB" w:rsidRDefault="00811543" w:rsidP="00811543">
            <w:pPr>
              <w:ind w:right="107"/>
              <w:rPr>
                <w:sz w:val="24"/>
                <w:szCs w:val="24"/>
              </w:rPr>
            </w:pPr>
            <w:r>
              <w:rPr>
                <w:sz w:val="24"/>
                <w:szCs w:val="24"/>
              </w:rPr>
              <w:t>The university staff have pointed this out as a general observation. This needs to be addressed by myself to ensure this is put in to practice.</w:t>
            </w:r>
          </w:p>
        </w:tc>
        <w:tc>
          <w:tcPr>
            <w:tcW w:w="2426" w:type="dxa"/>
            <w:shd w:val="clear" w:color="auto" w:fill="auto"/>
          </w:tcPr>
          <w:p w14:paraId="185B2EE5" w14:textId="4506FDD2" w:rsidR="28A9B94D" w:rsidRDefault="00811543" w:rsidP="00811543">
            <w:pPr>
              <w:rPr>
                <w:sz w:val="24"/>
                <w:szCs w:val="24"/>
              </w:rPr>
            </w:pPr>
            <w:r>
              <w:rPr>
                <w:sz w:val="24"/>
                <w:szCs w:val="24"/>
              </w:rPr>
              <w:t>From the next workbook onwards.</w:t>
            </w:r>
          </w:p>
        </w:tc>
      </w:tr>
      <w:tr w:rsidR="00811543" w:rsidRPr="00270EEB" w14:paraId="6B6AF3AB" w14:textId="77777777" w:rsidTr="28A9B94D">
        <w:tc>
          <w:tcPr>
            <w:tcW w:w="2462" w:type="dxa"/>
            <w:shd w:val="clear" w:color="auto" w:fill="auto"/>
          </w:tcPr>
          <w:p w14:paraId="52E66AD0" w14:textId="7EEC6A9C" w:rsidR="00811543" w:rsidRDefault="00811543" w:rsidP="00811543">
            <w:pPr>
              <w:ind w:right="107"/>
              <w:rPr>
                <w:sz w:val="24"/>
                <w:szCs w:val="24"/>
              </w:rPr>
            </w:pPr>
            <w:r>
              <w:rPr>
                <w:sz w:val="24"/>
                <w:szCs w:val="24"/>
              </w:rPr>
              <w:t>Organisational skills to improve</w:t>
            </w:r>
          </w:p>
        </w:tc>
        <w:tc>
          <w:tcPr>
            <w:tcW w:w="2433" w:type="dxa"/>
            <w:shd w:val="clear" w:color="auto" w:fill="auto"/>
          </w:tcPr>
          <w:p w14:paraId="6C9C975C" w14:textId="452BF01F" w:rsidR="00811543" w:rsidRDefault="00811543" w:rsidP="00811543">
            <w:pPr>
              <w:ind w:right="107"/>
              <w:rPr>
                <w:sz w:val="24"/>
                <w:szCs w:val="24"/>
              </w:rPr>
            </w:pPr>
            <w:r>
              <w:rPr>
                <w:sz w:val="24"/>
                <w:szCs w:val="24"/>
              </w:rPr>
              <w:t xml:space="preserve">This area of development will make the workbook easier if I ensure the work is carried out in a clear and concise structure and not to discuss anything irrelevant. </w:t>
            </w:r>
          </w:p>
        </w:tc>
        <w:tc>
          <w:tcPr>
            <w:tcW w:w="2426" w:type="dxa"/>
            <w:shd w:val="clear" w:color="auto" w:fill="auto"/>
          </w:tcPr>
          <w:p w14:paraId="4E67908B" w14:textId="0C26677B" w:rsidR="00811543" w:rsidRDefault="00811543" w:rsidP="00811543">
            <w:pPr>
              <w:ind w:right="107"/>
              <w:rPr>
                <w:sz w:val="24"/>
                <w:szCs w:val="24"/>
              </w:rPr>
            </w:pPr>
            <w:r>
              <w:rPr>
                <w:sz w:val="24"/>
                <w:szCs w:val="24"/>
              </w:rPr>
              <w:t xml:space="preserve">I need to address this by always referring back to the question and the task in hand.  </w:t>
            </w:r>
          </w:p>
        </w:tc>
        <w:tc>
          <w:tcPr>
            <w:tcW w:w="2426" w:type="dxa"/>
            <w:shd w:val="clear" w:color="auto" w:fill="auto"/>
          </w:tcPr>
          <w:p w14:paraId="76210287" w14:textId="4E76D181" w:rsidR="00811543" w:rsidRDefault="00811543" w:rsidP="00811543">
            <w:pPr>
              <w:rPr>
                <w:sz w:val="24"/>
                <w:szCs w:val="24"/>
              </w:rPr>
            </w:pPr>
            <w:r>
              <w:rPr>
                <w:sz w:val="24"/>
                <w:szCs w:val="24"/>
              </w:rPr>
              <w:t>From the next workbook onwards.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6056434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85F248C" w14:textId="77777777" w:rsidR="00BF6102" w:rsidRDefault="00BF6102" w:rsidP="00E6298B">
      <w:pPr>
        <w:keepNext/>
        <w:spacing w:before="240" w:after="60"/>
        <w:ind w:right="107"/>
        <w:jc w:val="both"/>
        <w:rPr>
          <w:sz w:val="24"/>
          <w:szCs w:val="24"/>
        </w:rPr>
      </w:pPr>
    </w:p>
    <w:p w14:paraId="65AA4FC3"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Aebi, U., Brugge, J., Gannon, P. and Gasser, S. (2004). Managing stress.</w:t>
      </w:r>
    </w:p>
    <w:p w14:paraId="51C2C9B9"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Agastra, A. (2018). A Sociological Approach to Police Officers’ Conflict Management Tools. </w:t>
      </w:r>
      <w:r w:rsidRPr="00BF6102">
        <w:rPr>
          <w:rFonts w:ascii="&amp;quot" w:eastAsia="Calibri" w:hAnsi="&amp;quot" w:cs="Times New Roman"/>
          <w:i/>
          <w:iCs/>
          <w:lang w:eastAsia="en-US"/>
        </w:rPr>
        <w:t>Open Journal for Sociological Studies</w:t>
      </w:r>
      <w:r w:rsidRPr="00BF6102">
        <w:rPr>
          <w:rFonts w:eastAsia="Calibri"/>
          <w:lang w:eastAsia="en-US"/>
        </w:rPr>
        <w:t>, 2(2), pp.47-58.</w:t>
      </w:r>
    </w:p>
    <w:p w14:paraId="38C1AEE6"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Agbonluae, O., Ujuanbi, O. and Mabel, A. (2017). COPING STRATEGIES FOR MANAGING OCCUPATIONAL STRESS FOR IMPROVED WORKER PRODUCTIVITY. </w:t>
      </w:r>
      <w:r w:rsidRPr="00BF6102">
        <w:rPr>
          <w:rFonts w:ascii="&amp;quot" w:eastAsia="Calibri" w:hAnsi="&amp;quot" w:cs="Times New Roman"/>
          <w:i/>
          <w:iCs/>
          <w:lang w:eastAsia="en-US"/>
        </w:rPr>
        <w:t>Department of Guidance and Counselling</w:t>
      </w:r>
      <w:r w:rsidRPr="00BF6102">
        <w:rPr>
          <w:rFonts w:eastAsia="Calibri"/>
          <w:lang w:eastAsia="en-US"/>
        </w:rPr>
        <w:t>.</w:t>
      </w:r>
    </w:p>
    <w:p w14:paraId="795F8E95"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App.college.police.uk. (2019). </w:t>
      </w:r>
      <w:r w:rsidRPr="00BF6102">
        <w:rPr>
          <w:rFonts w:ascii="&amp;quot" w:eastAsia="Calibri" w:hAnsi="&amp;quot" w:cs="Times New Roman"/>
          <w:i/>
          <w:iCs/>
          <w:lang w:eastAsia="en-US"/>
        </w:rPr>
        <w:t>Communication</w:t>
      </w:r>
      <w:r w:rsidRPr="00BF6102">
        <w:rPr>
          <w:rFonts w:eastAsia="Calibri"/>
          <w:lang w:eastAsia="en-US"/>
        </w:rPr>
        <w:t>. [online] Available at: https://www.app.college.police.uk/app-content/engagement-and-communication/communications/ [Accessed 18 Dec. 2019].</w:t>
      </w:r>
    </w:p>
    <w:p w14:paraId="61EDF2F2"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App.college.police.uk. (2019). </w:t>
      </w:r>
      <w:r w:rsidRPr="00BF6102">
        <w:rPr>
          <w:rFonts w:ascii="&amp;quot" w:eastAsia="Calibri" w:hAnsi="&amp;quot" w:cs="Times New Roman"/>
          <w:i/>
          <w:iCs/>
          <w:lang w:eastAsia="en-US"/>
        </w:rPr>
        <w:t>Introduction</w:t>
      </w:r>
      <w:r w:rsidRPr="00BF6102">
        <w:rPr>
          <w:rFonts w:eastAsia="Calibri"/>
          <w:lang w:eastAsia="en-US"/>
        </w:rPr>
        <w:t>. [online] Available at: https://www.app.college.police.uk/app-content/investigations/introduction/ [Accessed 18 Dec. 2019].</w:t>
      </w:r>
    </w:p>
    <w:p w14:paraId="008E21D5"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App.college.police.uk. (2019). </w:t>
      </w:r>
      <w:r w:rsidRPr="00BF6102">
        <w:rPr>
          <w:rFonts w:ascii="&amp;quot" w:eastAsia="Calibri" w:hAnsi="&amp;quot" w:cs="Times New Roman"/>
          <w:i/>
          <w:iCs/>
          <w:lang w:eastAsia="en-US"/>
        </w:rPr>
        <w:t>National Decision Model</w:t>
      </w:r>
      <w:r w:rsidRPr="00BF6102">
        <w:rPr>
          <w:rFonts w:eastAsia="Calibri"/>
          <w:lang w:eastAsia="en-US"/>
        </w:rPr>
        <w:t>. [online] Available at: https://www.app.college.police.uk/app-content/national-decision-model/ [Accessed 18 Dec. 2019].</w:t>
      </w:r>
    </w:p>
    <w:p w14:paraId="67B49BC7"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Bailey, K., Paquet, S., Ray, B., Grommon, E., Lowder, E. and Sightes, E. (2018). Barriers and facilitators to implementing an urban co-responding police-mental health team. </w:t>
      </w:r>
      <w:r w:rsidRPr="00BF6102">
        <w:rPr>
          <w:rFonts w:ascii="&amp;quot" w:eastAsia="Calibri" w:hAnsi="&amp;quot" w:cs="Times New Roman"/>
          <w:i/>
          <w:iCs/>
          <w:lang w:eastAsia="en-US"/>
        </w:rPr>
        <w:t>Health &amp; Justice</w:t>
      </w:r>
      <w:r w:rsidRPr="00BF6102">
        <w:rPr>
          <w:rFonts w:eastAsia="Calibri"/>
          <w:lang w:eastAsia="en-US"/>
        </w:rPr>
        <w:t>, 6(1).</w:t>
      </w:r>
    </w:p>
    <w:p w14:paraId="16C9125D"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Beune, K., Giebels, E., Adair, W., Fennis, B. and Van Der Zee, K. (2011). Strategic Sequences in Police Interviews and the Importance of Order and Cultural Fit. </w:t>
      </w:r>
      <w:r w:rsidRPr="00BF6102">
        <w:rPr>
          <w:rFonts w:ascii="&amp;quot" w:eastAsia="Calibri" w:hAnsi="&amp;quot" w:cs="Times New Roman"/>
          <w:i/>
          <w:iCs/>
          <w:lang w:eastAsia="en-US"/>
        </w:rPr>
        <w:t>Criminal Justice and Behavior</w:t>
      </w:r>
      <w:r w:rsidRPr="00BF6102">
        <w:rPr>
          <w:rFonts w:eastAsia="Calibri"/>
          <w:lang w:eastAsia="en-US"/>
        </w:rPr>
        <w:t>, 38(9), pp.934-954.</w:t>
      </w:r>
    </w:p>
    <w:p w14:paraId="3AD23C66"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Boivin, R. and Cordeau, G. (2011). Measuring the Impact of Police Discretion on Official Crime Statistics: A Research Note. </w:t>
      </w:r>
      <w:r w:rsidRPr="00BF6102">
        <w:rPr>
          <w:rFonts w:ascii="&amp;quot" w:eastAsia="Calibri" w:hAnsi="&amp;quot" w:cs="Times New Roman"/>
          <w:i/>
          <w:iCs/>
          <w:lang w:eastAsia="en-US"/>
        </w:rPr>
        <w:t>Police Quarterly</w:t>
      </w:r>
      <w:r w:rsidRPr="00BF6102">
        <w:rPr>
          <w:rFonts w:eastAsia="Calibri"/>
          <w:lang w:eastAsia="en-US"/>
        </w:rPr>
        <w:t>, 14(2), pp.186-203.</w:t>
      </w:r>
    </w:p>
    <w:p w14:paraId="2E63DAE4"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Briones-Robinson, R., Powers, R. and Socia, K. (2016). Sexual Orientation Bias Crimes. </w:t>
      </w:r>
      <w:r w:rsidRPr="00BF6102">
        <w:rPr>
          <w:rFonts w:ascii="&amp;quot" w:eastAsia="Calibri" w:hAnsi="&amp;quot" w:cs="Times New Roman"/>
          <w:i/>
          <w:iCs/>
          <w:lang w:eastAsia="en-US"/>
        </w:rPr>
        <w:t>Criminal Justice and Behavior</w:t>
      </w:r>
      <w:r w:rsidRPr="00BF6102">
        <w:rPr>
          <w:rFonts w:eastAsia="Calibri"/>
          <w:lang w:eastAsia="en-US"/>
        </w:rPr>
        <w:t>, 43(12), pp.1688-1709.</w:t>
      </w:r>
    </w:p>
    <w:p w14:paraId="47D11B65"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Carrington, P. and Schulenberg, J. (2008). Structuring Police Discretion. </w:t>
      </w:r>
      <w:r w:rsidRPr="00BF6102">
        <w:rPr>
          <w:rFonts w:ascii="&amp;quot" w:eastAsia="Calibri" w:hAnsi="&amp;quot" w:cs="Times New Roman"/>
          <w:i/>
          <w:iCs/>
          <w:lang w:eastAsia="en-US"/>
        </w:rPr>
        <w:t>Criminal Justice Policy Review</w:t>
      </w:r>
      <w:r w:rsidRPr="00BF6102">
        <w:rPr>
          <w:rFonts w:eastAsia="Calibri"/>
          <w:lang w:eastAsia="en-US"/>
        </w:rPr>
        <w:t>, 19(3), pp.349-367.</w:t>
      </w:r>
    </w:p>
    <w:p w14:paraId="3C14BEDE"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Chao, R. (2011). Managing Stress and Maintaining Well-Being: Social Support, Problem-Focused Coping, and Avoidant Coping. </w:t>
      </w:r>
      <w:r w:rsidRPr="00BF6102">
        <w:rPr>
          <w:rFonts w:ascii="&amp;quot" w:eastAsia="Calibri" w:hAnsi="&amp;quot" w:cs="Times New Roman"/>
          <w:i/>
          <w:iCs/>
          <w:lang w:eastAsia="en-US"/>
        </w:rPr>
        <w:t>Journal of Counseling &amp; Development</w:t>
      </w:r>
      <w:r w:rsidRPr="00BF6102">
        <w:rPr>
          <w:rFonts w:eastAsia="Calibri"/>
          <w:lang w:eastAsia="en-US"/>
        </w:rPr>
        <w:t>, 89(3), pp.338-348.</w:t>
      </w:r>
    </w:p>
    <w:p w14:paraId="02EB27F0"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Clements, P. and Jones, J. (2007). </w:t>
      </w:r>
      <w:r w:rsidRPr="00BF6102">
        <w:rPr>
          <w:rFonts w:ascii="&amp;quot" w:eastAsia="Calibri" w:hAnsi="&amp;quot" w:cs="Times New Roman"/>
          <w:i/>
          <w:iCs/>
          <w:lang w:eastAsia="en-US"/>
        </w:rPr>
        <w:t>The Diversity Training Handbook: A Practical Guide to Understanding and Changing Attitudes</w:t>
      </w:r>
      <w:r w:rsidRPr="00BF6102">
        <w:rPr>
          <w:rFonts w:eastAsia="Calibri"/>
          <w:lang w:eastAsia="en-US"/>
        </w:rPr>
        <w:t>.</w:t>
      </w:r>
    </w:p>
    <w:p w14:paraId="1267DB23"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Dehghani, H. and Farmanbar, R. (2012). EFFECT OF REGULAR EXERCISE ON METHODS OF PROBLEM CENTERED STRESS COPING MECHANISM IN NURSING STUDENTS OF GUILAN UNIVERSITY OF MEDICAL SCIENCES.</w:t>
      </w:r>
    </w:p>
    <w:p w14:paraId="354E82FE"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Dewe, P., O'Driscoll, M. and Cooper, C. (2010). </w:t>
      </w:r>
      <w:r w:rsidRPr="00BF6102">
        <w:rPr>
          <w:rFonts w:ascii="&amp;quot" w:eastAsia="Calibri" w:hAnsi="&amp;quot" w:cs="Times New Roman"/>
          <w:i/>
          <w:iCs/>
          <w:lang w:eastAsia="en-US"/>
        </w:rPr>
        <w:t>Coping with work stress</w:t>
      </w:r>
      <w:r w:rsidRPr="00BF6102">
        <w:rPr>
          <w:rFonts w:eastAsia="Calibri"/>
          <w:lang w:eastAsia="en-US"/>
        </w:rPr>
        <w:t>. Malden, MA: Wiley.</w:t>
      </w:r>
    </w:p>
    <w:p w14:paraId="20041A60"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Dixon, D. (2010). Questioning Suspects: A Comparative Perspective. </w:t>
      </w:r>
      <w:r w:rsidRPr="00BF6102">
        <w:rPr>
          <w:rFonts w:ascii="&amp;quot" w:eastAsia="Calibri" w:hAnsi="&amp;quot" w:cs="Times New Roman"/>
          <w:i/>
          <w:iCs/>
          <w:lang w:eastAsia="en-US"/>
        </w:rPr>
        <w:t>Journal of Contemporary Criminal Justice</w:t>
      </w:r>
      <w:r w:rsidRPr="00BF6102">
        <w:rPr>
          <w:rFonts w:eastAsia="Calibri"/>
          <w:lang w:eastAsia="en-US"/>
        </w:rPr>
        <w:t>, 26(4), pp.426-440.</w:t>
      </w:r>
    </w:p>
    <w:p w14:paraId="58748F05"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Esch, T. and Stefano, G. (2010). Endogenous reward mechanisms and their importance in stress reduction, exercise and the brain. </w:t>
      </w:r>
      <w:r w:rsidRPr="00BF6102">
        <w:rPr>
          <w:rFonts w:ascii="&amp;quot" w:eastAsia="Calibri" w:hAnsi="&amp;quot" w:cs="Times New Roman"/>
          <w:i/>
          <w:iCs/>
          <w:lang w:eastAsia="en-US"/>
        </w:rPr>
        <w:t>Archives of Medical Science</w:t>
      </w:r>
      <w:r w:rsidRPr="00BF6102">
        <w:rPr>
          <w:rFonts w:eastAsia="Calibri"/>
          <w:lang w:eastAsia="en-US"/>
        </w:rPr>
        <w:t>, 3, pp.447-455.</w:t>
      </w:r>
    </w:p>
    <w:p w14:paraId="0A9F8ADC"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lastRenderedPageBreak/>
        <w:t xml:space="preserve">Figler, H. (1980). Managing Stress: Caution: This article may be distressing for some readers. </w:t>
      </w:r>
      <w:r w:rsidRPr="00BF6102">
        <w:rPr>
          <w:rFonts w:ascii="&amp;quot" w:eastAsia="Calibri" w:hAnsi="&amp;quot" w:cs="Times New Roman"/>
          <w:i/>
          <w:iCs/>
          <w:lang w:eastAsia="en-US"/>
        </w:rPr>
        <w:t>Management Accounting</w:t>
      </w:r>
      <w:r w:rsidRPr="00BF6102">
        <w:rPr>
          <w:rFonts w:eastAsia="Calibri"/>
          <w:lang w:eastAsia="en-US"/>
        </w:rPr>
        <w:t>.</w:t>
      </w:r>
    </w:p>
    <w:p w14:paraId="259EDDCF"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Godfredson, J., Ogloff, J., Thomas, S. and Luebbers, S. (2010). Police Discretion and Encounters With People Experiencing Mental Illness. </w:t>
      </w:r>
      <w:r w:rsidRPr="00BF6102">
        <w:rPr>
          <w:rFonts w:ascii="&amp;quot" w:eastAsia="Calibri" w:hAnsi="&amp;quot" w:cs="Times New Roman"/>
          <w:i/>
          <w:iCs/>
          <w:lang w:eastAsia="en-US"/>
        </w:rPr>
        <w:t>Criminal Justice and Behavior</w:t>
      </w:r>
      <w:r w:rsidRPr="00BF6102">
        <w:rPr>
          <w:rFonts w:eastAsia="Calibri"/>
          <w:lang w:eastAsia="en-US"/>
        </w:rPr>
        <w:t>, 37(12), pp.1392-1405.</w:t>
      </w:r>
    </w:p>
    <w:p w14:paraId="5AB01767"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Hohl, K., Bradford, B. and Stanko, E. (2010). Influencing Trust and Confidence in the London Metropolitan Police: Results from an Experiment Testing the Effect of Leaflet Drops on Public Opinion. </w:t>
      </w:r>
      <w:r w:rsidRPr="00BF6102">
        <w:rPr>
          <w:rFonts w:ascii="&amp;quot" w:eastAsia="Calibri" w:hAnsi="&amp;quot" w:cs="Times New Roman"/>
          <w:i/>
          <w:iCs/>
          <w:lang w:eastAsia="en-US"/>
        </w:rPr>
        <w:t>British Journal of Criminology</w:t>
      </w:r>
      <w:r w:rsidRPr="00BF6102">
        <w:rPr>
          <w:rFonts w:eastAsia="Calibri"/>
          <w:lang w:eastAsia="en-US"/>
        </w:rPr>
        <w:t>, 50(3), pp.491-513.</w:t>
      </w:r>
    </w:p>
    <w:p w14:paraId="307EB604"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Huppert, D. and Griffiths, M. (2015). Police Mental Health Partnership project: Police Ambulance Crisis Emergency Response (PACER) model development. </w:t>
      </w:r>
      <w:r w:rsidRPr="00BF6102">
        <w:rPr>
          <w:rFonts w:ascii="&amp;quot" w:eastAsia="Calibri" w:hAnsi="&amp;quot" w:cs="Times New Roman"/>
          <w:i/>
          <w:iCs/>
          <w:lang w:eastAsia="en-US"/>
        </w:rPr>
        <w:t>Australasian Psychiatry</w:t>
      </w:r>
      <w:r w:rsidRPr="00BF6102">
        <w:rPr>
          <w:rFonts w:eastAsia="Calibri"/>
          <w:lang w:eastAsia="en-US"/>
        </w:rPr>
        <w:t>, 23(5), pp.520-523.</w:t>
      </w:r>
    </w:p>
    <w:p w14:paraId="08198B00"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Mailey, E., Phillips, S., Dlugonski, D. and Conroy, D. (2016). Overcoming barriers to exercise among parents: a social cognitive theory perspective. </w:t>
      </w:r>
      <w:r w:rsidRPr="00BF6102">
        <w:rPr>
          <w:rFonts w:ascii="&amp;quot" w:eastAsia="Calibri" w:hAnsi="&amp;quot" w:cs="Times New Roman"/>
          <w:i/>
          <w:iCs/>
          <w:lang w:eastAsia="en-US"/>
        </w:rPr>
        <w:t>Journal of Behavioral Medicine</w:t>
      </w:r>
      <w:r w:rsidRPr="00BF6102">
        <w:rPr>
          <w:rFonts w:eastAsia="Calibri"/>
          <w:lang w:eastAsia="en-US"/>
        </w:rPr>
        <w:t>, 39(4), pp.599-609.</w:t>
      </w:r>
    </w:p>
    <w:p w14:paraId="56F646C8"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Mallak, L. and Yildiz, M. (2016). Developing a workplace resilience instrument. </w:t>
      </w:r>
      <w:r w:rsidRPr="00BF6102">
        <w:rPr>
          <w:rFonts w:ascii="&amp;quot" w:eastAsia="Calibri" w:hAnsi="&amp;quot" w:cs="Times New Roman"/>
          <w:i/>
          <w:iCs/>
          <w:lang w:eastAsia="en-US"/>
        </w:rPr>
        <w:t>Work</w:t>
      </w:r>
      <w:r w:rsidRPr="00BF6102">
        <w:rPr>
          <w:rFonts w:eastAsia="Calibri"/>
          <w:lang w:eastAsia="en-US"/>
        </w:rPr>
        <w:t>, 54(2), pp.241-253.</w:t>
      </w:r>
    </w:p>
    <w:p w14:paraId="410640F2"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Myers-Montgomery, J. (2016). Militarized Police and Unpermitted Protest. </w:t>
      </w:r>
      <w:r w:rsidRPr="00BF6102">
        <w:rPr>
          <w:rFonts w:ascii="&amp;quot" w:eastAsia="Calibri" w:hAnsi="&amp;quot" w:cs="Times New Roman"/>
          <w:i/>
          <w:iCs/>
          <w:lang w:eastAsia="en-US"/>
        </w:rPr>
        <w:t>Cultural Studies ↔ Critical Methodologies</w:t>
      </w:r>
      <w:r w:rsidRPr="00BF6102">
        <w:rPr>
          <w:rFonts w:eastAsia="Calibri"/>
          <w:lang w:eastAsia="en-US"/>
        </w:rPr>
        <w:t>, 16(3), pp.278-286.</w:t>
      </w:r>
    </w:p>
    <w:p w14:paraId="27F65909"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Mylonaki, E. and Burton, T. (2010). A Critique of the Deficiencies in the Regulation of Contemporary Police Powers of Detention and Questioning in England and Wales. </w:t>
      </w:r>
      <w:r w:rsidRPr="00BF6102">
        <w:rPr>
          <w:rFonts w:ascii="&amp;quot" w:eastAsia="Calibri" w:hAnsi="&amp;quot" w:cs="Times New Roman"/>
          <w:i/>
          <w:iCs/>
          <w:lang w:eastAsia="en-US"/>
        </w:rPr>
        <w:t>The Police Journal: Theory, Practice and Principles</w:t>
      </w:r>
      <w:r w:rsidRPr="00BF6102">
        <w:rPr>
          <w:rFonts w:eastAsia="Calibri"/>
          <w:lang w:eastAsia="en-US"/>
        </w:rPr>
        <w:t>, 83(1), pp.61-79.</w:t>
      </w:r>
    </w:p>
    <w:p w14:paraId="30C26EEF"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Nowacki, J. (2011). Organizational-Level Police Discretion. </w:t>
      </w:r>
      <w:r w:rsidRPr="00BF6102">
        <w:rPr>
          <w:rFonts w:ascii="&amp;quot" w:eastAsia="Calibri" w:hAnsi="&amp;quot" w:cs="Times New Roman"/>
          <w:i/>
          <w:iCs/>
          <w:lang w:eastAsia="en-US"/>
        </w:rPr>
        <w:t>Crime &amp; Delinquency</w:t>
      </w:r>
      <w:r w:rsidRPr="00BF6102">
        <w:rPr>
          <w:rFonts w:eastAsia="Calibri"/>
          <w:lang w:eastAsia="en-US"/>
        </w:rPr>
        <w:t>, 61(5), pp.643-668.</w:t>
      </w:r>
    </w:p>
    <w:p w14:paraId="2E26974C"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Oliveira, A. and Murphy, K. (2014). Race, Social Identity, and Perceptions of Police Bias. </w:t>
      </w:r>
      <w:r w:rsidRPr="00BF6102">
        <w:rPr>
          <w:rFonts w:ascii="&amp;quot" w:eastAsia="Calibri" w:hAnsi="&amp;quot" w:cs="Times New Roman"/>
          <w:i/>
          <w:iCs/>
          <w:lang w:eastAsia="en-US"/>
        </w:rPr>
        <w:t>Race and Justice</w:t>
      </w:r>
      <w:r w:rsidRPr="00BF6102">
        <w:rPr>
          <w:rFonts w:eastAsia="Calibri"/>
          <w:lang w:eastAsia="en-US"/>
        </w:rPr>
        <w:t>, 5(3), pp.259-277.</w:t>
      </w:r>
    </w:p>
    <w:p w14:paraId="19871B99"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Park, C., Riley, K., Bedesin, E. and Stewart, V. (2014). Why practice yoga? Practitioners’ motivations for adopting and maintaining yoga practice. </w:t>
      </w:r>
      <w:r w:rsidRPr="00BF6102">
        <w:rPr>
          <w:rFonts w:ascii="&amp;quot" w:eastAsia="Calibri" w:hAnsi="&amp;quot" w:cs="Times New Roman"/>
          <w:i/>
          <w:iCs/>
          <w:lang w:eastAsia="en-US"/>
        </w:rPr>
        <w:t>Journal of Health Psychology</w:t>
      </w:r>
      <w:r w:rsidRPr="00BF6102">
        <w:rPr>
          <w:rFonts w:eastAsia="Calibri"/>
          <w:lang w:eastAsia="en-US"/>
        </w:rPr>
        <w:t>, 21(6), pp.887-896.</w:t>
      </w:r>
    </w:p>
    <w:p w14:paraId="6F3A8004"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Rosenbaum, D. and Lawrence, D. (2017). Teaching procedural justice and communication skills during police–community encounters: Results of a randomized control trial with police recruits. </w:t>
      </w:r>
      <w:r w:rsidRPr="00BF6102">
        <w:rPr>
          <w:rFonts w:ascii="&amp;quot" w:eastAsia="Calibri" w:hAnsi="&amp;quot" w:cs="Times New Roman"/>
          <w:i/>
          <w:iCs/>
          <w:lang w:eastAsia="en-US"/>
        </w:rPr>
        <w:t>Journal of Experimental Criminology</w:t>
      </w:r>
      <w:r w:rsidRPr="00BF6102">
        <w:rPr>
          <w:rFonts w:eastAsia="Calibri"/>
          <w:lang w:eastAsia="en-US"/>
        </w:rPr>
        <w:t>, 13(3), pp.293-319.</w:t>
      </w:r>
    </w:p>
    <w:p w14:paraId="324E0593"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Shapiro, G., Cusi, A., Kirst, M., O’Campo, P., Nakhost, A. and Stergiopoulos, V. (2014). Co-responding Police-Mental Health Programs: A Review. </w:t>
      </w:r>
      <w:r w:rsidRPr="00BF6102">
        <w:rPr>
          <w:rFonts w:ascii="&amp;quot" w:eastAsia="Calibri" w:hAnsi="&amp;quot" w:cs="Times New Roman"/>
          <w:i/>
          <w:iCs/>
          <w:lang w:eastAsia="en-US"/>
        </w:rPr>
        <w:t>Administration and Policy in Mental Health and Mental Health Services Research</w:t>
      </w:r>
      <w:r w:rsidRPr="00BF6102">
        <w:rPr>
          <w:rFonts w:eastAsia="Calibri"/>
          <w:lang w:eastAsia="en-US"/>
        </w:rPr>
        <w:t>, 42(5), pp.606-620.</w:t>
      </w:r>
    </w:p>
    <w:p w14:paraId="7638B66F"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Smith, M. and Alpert, G. (2007). Explaining Police Bias. </w:t>
      </w:r>
      <w:r w:rsidRPr="00BF6102">
        <w:rPr>
          <w:rFonts w:ascii="&amp;quot" w:eastAsia="Calibri" w:hAnsi="&amp;quot" w:cs="Times New Roman"/>
          <w:i/>
          <w:iCs/>
          <w:lang w:eastAsia="en-US"/>
        </w:rPr>
        <w:t>Criminal Justice and Behavior</w:t>
      </w:r>
      <w:r w:rsidRPr="00BF6102">
        <w:rPr>
          <w:rFonts w:eastAsia="Calibri"/>
          <w:lang w:eastAsia="en-US"/>
        </w:rPr>
        <w:t>, 34(10), pp.1262-1283.</w:t>
      </w:r>
    </w:p>
    <w:p w14:paraId="78BBBEF3" w14:textId="77777777" w:rsidR="00BF6102" w:rsidRPr="00BF6102" w:rsidRDefault="00BF6102" w:rsidP="00BF6102">
      <w:pPr>
        <w:overflowPunct/>
        <w:autoSpaceDE/>
        <w:autoSpaceDN/>
        <w:adjustRightInd/>
        <w:spacing w:after="160" w:line="259" w:lineRule="auto"/>
        <w:textAlignment w:val="auto"/>
        <w:rPr>
          <w:rFonts w:eastAsia="Calibri"/>
          <w:lang w:eastAsia="en-US"/>
        </w:rPr>
      </w:pPr>
      <w:r w:rsidRPr="00BF6102">
        <w:rPr>
          <w:rFonts w:eastAsia="Calibri"/>
          <w:lang w:eastAsia="en-US"/>
        </w:rPr>
        <w:t xml:space="preserve">Urbanska, A., Kulmatycki, L., Boron-Krupinska, K. and Torzynska, K. (2018). Relaxation techniques interventions during physical exercise classes and coping with stress. </w:t>
      </w:r>
      <w:r w:rsidRPr="00BF6102">
        <w:rPr>
          <w:rFonts w:ascii="&amp;quot" w:eastAsia="Calibri" w:hAnsi="&amp;quot" w:cs="Times New Roman"/>
          <w:i/>
          <w:iCs/>
          <w:lang w:eastAsia="en-US"/>
        </w:rPr>
        <w:t>Human Movement</w:t>
      </w:r>
      <w:r w:rsidRPr="00BF6102">
        <w:rPr>
          <w:rFonts w:eastAsia="Calibri"/>
          <w:lang w:eastAsia="en-US"/>
        </w:rPr>
        <w:t>, 19(3), pp.38-47.</w:t>
      </w:r>
    </w:p>
    <w:p w14:paraId="55996F94" w14:textId="77777777" w:rsidR="00BF6102" w:rsidRPr="00BF6102" w:rsidRDefault="00BF6102" w:rsidP="00BF610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BF6102">
        <w:rPr>
          <w:rFonts w:eastAsia="Calibri"/>
          <w:lang w:eastAsia="en-US"/>
        </w:rPr>
        <w:t xml:space="preserve">Villegas, J. (2017). Commentary: Perception and Performance in Effective Policing. </w:t>
      </w:r>
      <w:r w:rsidRPr="00BF6102">
        <w:rPr>
          <w:rFonts w:ascii="&amp;quot" w:eastAsia="Calibri" w:hAnsi="&amp;quot" w:cs="Times New Roman"/>
          <w:i/>
          <w:iCs/>
          <w:lang w:eastAsia="en-US"/>
        </w:rPr>
        <w:t>Public Administration Review</w:t>
      </w:r>
      <w:r w:rsidRPr="00BF6102">
        <w:rPr>
          <w:rFonts w:eastAsia="Calibri"/>
          <w:lang w:eastAsia="en-US"/>
        </w:rPr>
        <w:t>, 77(2), pp.240-241.</w:t>
      </w:r>
    </w:p>
    <w:p w14:paraId="1CFFC03F" w14:textId="77777777" w:rsidR="00B318B8" w:rsidRPr="00270EEB" w:rsidRDefault="00B318B8"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3E6487A6" w14:textId="0EF8A0B3" w:rsidR="00960C47" w:rsidRPr="00294868" w:rsidRDefault="006D4550" w:rsidP="00960C47">
      <w:pPr>
        <w:overflowPunct/>
        <w:autoSpaceDE/>
        <w:autoSpaceDN/>
        <w:adjustRightInd/>
        <w:ind w:right="107"/>
        <w:textAlignment w:val="auto"/>
        <w:rPr>
          <w:b/>
          <w:sz w:val="24"/>
          <w:szCs w:val="24"/>
          <w:highlight w:val="yellow"/>
        </w:rPr>
        <w:sectPr w:rsidR="00960C47" w:rsidRPr="00294868" w:rsidSect="009B0227">
          <w:headerReference w:type="even" r:id="rId18"/>
          <w:headerReference w:type="default" r:id="rId19"/>
          <w:footerReference w:type="even" r:id="rId20"/>
          <w:footerReference w:type="default" r:id="rId21"/>
          <w:headerReference w:type="first" r:id="rId22"/>
          <w:footerReference w:type="first" r:id="rId23"/>
          <w:pgSz w:w="11906" w:h="16838" w:code="9"/>
          <w:pgMar w:top="1021" w:right="1080" w:bottom="1021" w:left="1080" w:header="720" w:footer="720" w:gutter="0"/>
          <w:cols w:space="720"/>
          <w:titlePg/>
          <w:docGrid w:linePitch="272"/>
        </w:sectPr>
      </w:pPr>
      <w:r>
        <w:rPr>
          <w:b/>
          <w:sz w:val="24"/>
          <w:szCs w:val="24"/>
        </w:rPr>
        <w:lastRenderedPageBreak/>
        <w:br w:type="page"/>
      </w:r>
      <w:r w:rsidR="00960C47">
        <w:rPr>
          <w:noProof/>
        </w:rPr>
        <w:drawing>
          <wp:anchor distT="0" distB="0" distL="114300" distR="114300" simplePos="0" relativeHeight="251658240" behindDoc="0" locked="0" layoutInCell="1" allowOverlap="1" wp14:anchorId="1F6213DE" wp14:editId="706525DB">
            <wp:simplePos x="0" y="0"/>
            <wp:positionH relativeFrom="column">
              <wp:posOffset>-73467</wp:posOffset>
            </wp:positionH>
            <wp:positionV relativeFrom="paragraph">
              <wp:posOffset>223244</wp:posOffset>
            </wp:positionV>
            <wp:extent cx="6188710" cy="225298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188710" cy="2252980"/>
                    </a:xfrm>
                    <a:prstGeom prst="rect">
                      <a:avLst/>
                    </a:prstGeom>
                  </pic:spPr>
                </pic:pic>
              </a:graphicData>
            </a:graphic>
          </wp:anchor>
        </w:drawing>
      </w:r>
    </w:p>
    <w:p w14:paraId="7630C869" w14:textId="1C7D2A7D" w:rsidR="00960C47" w:rsidRDefault="00960C47" w:rsidP="28A9B94D">
      <w:r>
        <w:rPr>
          <w:noProof/>
        </w:rPr>
        <w:lastRenderedPageBreak/>
        <w:drawing>
          <wp:anchor distT="0" distB="0" distL="114300" distR="114300" simplePos="0" relativeHeight="251659264" behindDoc="0" locked="0" layoutInCell="1" allowOverlap="1" wp14:anchorId="07CB18CC" wp14:editId="6DCAE3A2">
            <wp:simplePos x="0" y="0"/>
            <wp:positionH relativeFrom="margin">
              <wp:align>center</wp:align>
            </wp:positionH>
            <wp:positionV relativeFrom="paragraph">
              <wp:posOffset>257120</wp:posOffset>
            </wp:positionV>
            <wp:extent cx="6188710" cy="3021965"/>
            <wp:effectExtent l="0" t="0" r="254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188710" cy="3021965"/>
                    </a:xfrm>
                    <a:prstGeom prst="rect">
                      <a:avLst/>
                    </a:prstGeom>
                  </pic:spPr>
                </pic:pic>
              </a:graphicData>
            </a:graphic>
          </wp:anchor>
        </w:drawing>
      </w:r>
    </w:p>
    <w:sectPr w:rsidR="00960C47" w:rsidSect="009B0227">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318B8" w:rsidRDefault="00B318B8">
      <w:r>
        <w:separator/>
      </w:r>
    </w:p>
  </w:endnote>
  <w:endnote w:type="continuationSeparator" w:id="0">
    <w:p w14:paraId="1B867723" w14:textId="77777777" w:rsidR="00B318B8" w:rsidRDefault="00B31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C1DCA" w14:textId="6E6F0EB2" w:rsidR="00B318B8" w:rsidRDefault="00811543" w:rsidP="00811543">
    <w:pPr>
      <w:pStyle w:val="Footer"/>
      <w:rPr>
        <w:sz w:val="17"/>
      </w:rPr>
    </w:pPr>
    <w:bookmarkStart w:id="3" w:name="TITUS1FooterEvenPages"/>
    <w:r>
      <w:rPr>
        <w:sz w:val="17"/>
      </w:rPr>
      <w:t> </w:t>
    </w:r>
  </w:p>
  <w:bookmarkEnd w:id="3"/>
  <w:p w14:paraId="37889A63" w14:textId="77777777" w:rsidR="00BF6102" w:rsidRDefault="00BF6102" w:rsidP="009B0227">
    <w:pPr>
      <w:pStyle w:val="Footer"/>
      <w:jc w:val="right"/>
    </w:pPr>
  </w:p>
  <w:p w14:paraId="576E44E5" w14:textId="6F9A9900" w:rsidR="00B318B8" w:rsidRDefault="00B318B8" w:rsidP="009B0227">
    <w:pPr>
      <w:pStyle w:val="Footer"/>
      <w:jc w:val="right"/>
    </w:pPr>
    <w:r>
      <w:fldChar w:fldCharType="begin"/>
    </w:r>
    <w:r>
      <w:instrText xml:space="preserve"> PAGE   \* MERGEFORMAT </w:instrText>
    </w:r>
    <w:r>
      <w:fldChar w:fldCharType="separate"/>
    </w:r>
    <w:r w:rsidR="00811543">
      <w:rPr>
        <w:noProof/>
      </w:rPr>
      <w:t>16</w:t>
    </w:r>
    <w:r>
      <w:rPr>
        <w:noProof/>
      </w:rPr>
      <w:fldChar w:fldCharType="end"/>
    </w:r>
  </w:p>
  <w:p w14:paraId="3C55F390" w14:textId="77777777" w:rsidR="00B318B8" w:rsidRPr="00BB5EAA" w:rsidRDefault="00B318B8" w:rsidP="009B0227">
    <w:pPr>
      <w:pStyle w:val="Footer"/>
      <w:ind w:right="360"/>
      <w:jc w:val="center"/>
    </w:pPr>
  </w:p>
  <w:p w14:paraId="486DA425" w14:textId="77777777" w:rsidR="00B318B8" w:rsidRDefault="00B31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F193FF" w14:textId="504FFB69" w:rsidR="00B318B8" w:rsidRDefault="00811543" w:rsidP="00811543">
    <w:pPr>
      <w:pStyle w:val="Footer"/>
      <w:rPr>
        <w:sz w:val="17"/>
      </w:rPr>
    </w:pPr>
    <w:bookmarkStart w:id="4" w:name="TITUS1FooterPrimary"/>
    <w:r>
      <w:rPr>
        <w:sz w:val="17"/>
      </w:rPr>
      <w:t> </w:t>
    </w:r>
  </w:p>
  <w:bookmarkEnd w:id="4"/>
  <w:p w14:paraId="7EBDB6DB" w14:textId="77777777" w:rsidR="00BF6102" w:rsidRDefault="00BF6102">
    <w:pPr>
      <w:pStyle w:val="Footer"/>
      <w:jc w:val="right"/>
    </w:pPr>
  </w:p>
  <w:p w14:paraId="358E2BBA" w14:textId="3A2D0642" w:rsidR="00B318B8" w:rsidRDefault="00B318B8">
    <w:pPr>
      <w:pStyle w:val="Footer"/>
      <w:jc w:val="right"/>
    </w:pPr>
    <w:r>
      <w:fldChar w:fldCharType="begin"/>
    </w:r>
    <w:r>
      <w:instrText xml:space="preserve"> PAGE   \* MERGEFORMAT </w:instrText>
    </w:r>
    <w:r>
      <w:fldChar w:fldCharType="separate"/>
    </w:r>
    <w:r w:rsidR="00811543">
      <w:rPr>
        <w:noProof/>
      </w:rPr>
      <w:t>17</w:t>
    </w:r>
    <w:r>
      <w:rPr>
        <w:noProof/>
      </w:rPr>
      <w:fldChar w:fldCharType="end"/>
    </w:r>
  </w:p>
  <w:p w14:paraId="2A305C02" w14:textId="77777777" w:rsidR="00B318B8" w:rsidRPr="00BB5EAA" w:rsidRDefault="00B318B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19C9F1" w14:textId="32693862" w:rsidR="00B318B8" w:rsidRDefault="00811543" w:rsidP="00811543">
    <w:pPr>
      <w:pStyle w:val="Footer"/>
      <w:rPr>
        <w:sz w:val="17"/>
      </w:rPr>
    </w:pPr>
    <w:bookmarkStart w:id="6" w:name="TITUS1FooterFirstPage"/>
    <w:r>
      <w:rPr>
        <w:sz w:val="17"/>
      </w:rPr>
      <w:t> </w:t>
    </w:r>
  </w:p>
  <w:bookmarkEnd w:id="6"/>
  <w:p w14:paraId="645DCDB0" w14:textId="77777777" w:rsidR="00BF6102" w:rsidRDefault="00BF6102" w:rsidP="009B0227">
    <w:pPr>
      <w:pStyle w:val="Footer"/>
      <w:jc w:val="right"/>
    </w:pPr>
  </w:p>
  <w:p w14:paraId="491DCBED" w14:textId="14A951D2" w:rsidR="00B318B8" w:rsidRDefault="00B318B8" w:rsidP="009B0227">
    <w:pPr>
      <w:pStyle w:val="Footer"/>
      <w:jc w:val="right"/>
    </w:pPr>
    <w:r>
      <w:fldChar w:fldCharType="begin"/>
    </w:r>
    <w:r>
      <w:instrText xml:space="preserve"> PAGE   \* MERGEFORMAT </w:instrText>
    </w:r>
    <w:r>
      <w:fldChar w:fldCharType="separate"/>
    </w:r>
    <w:r w:rsidR="00811543">
      <w:rPr>
        <w:noProof/>
      </w:rPr>
      <w:t>1</w:t>
    </w:r>
    <w:r>
      <w:rPr>
        <w:noProof/>
      </w:rPr>
      <w:fldChar w:fldCharType="end"/>
    </w:r>
  </w:p>
  <w:p w14:paraId="17252568" w14:textId="77777777" w:rsidR="00B318B8" w:rsidRPr="00BB5EAA" w:rsidRDefault="00B318B8" w:rsidP="009B0227">
    <w:pPr>
      <w:pStyle w:val="Footer"/>
      <w:ind w:right="360"/>
      <w:jc w:val="center"/>
    </w:pPr>
  </w:p>
  <w:p w14:paraId="693228CF" w14:textId="77777777" w:rsidR="00B318B8" w:rsidRDefault="00B318B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40E780" w14:textId="1D7BEFB5" w:rsidR="00B318B8" w:rsidRDefault="00811543" w:rsidP="00811543">
    <w:pPr>
      <w:pStyle w:val="Footer"/>
      <w:rPr>
        <w:sz w:val="17"/>
      </w:rPr>
    </w:pPr>
    <w:bookmarkStart w:id="9" w:name="TITUS2FooterEvenPages"/>
    <w:r>
      <w:rPr>
        <w:sz w:val="17"/>
      </w:rPr>
      <w:t> </w:t>
    </w:r>
  </w:p>
  <w:bookmarkEnd w:id="9"/>
  <w:p w14:paraId="1FC1AEDB" w14:textId="77777777" w:rsidR="00BF6102" w:rsidRDefault="00BF6102" w:rsidP="009B0227">
    <w:pPr>
      <w:pStyle w:val="Footer"/>
      <w:jc w:val="right"/>
    </w:pPr>
  </w:p>
  <w:p w14:paraId="054437D7" w14:textId="76357CE2" w:rsidR="00B318B8" w:rsidRDefault="00B318B8" w:rsidP="009B0227">
    <w:pPr>
      <w:pStyle w:val="Footer"/>
      <w:jc w:val="right"/>
    </w:pPr>
    <w:r>
      <w:fldChar w:fldCharType="begin"/>
    </w:r>
    <w:r>
      <w:instrText xml:space="preserve"> PAGE   \* MERGEFORMAT </w:instrText>
    </w:r>
    <w:r>
      <w:fldChar w:fldCharType="separate"/>
    </w:r>
    <w:r w:rsidR="00811543">
      <w:rPr>
        <w:noProof/>
      </w:rPr>
      <w:t>20</w:t>
    </w:r>
    <w:r>
      <w:rPr>
        <w:noProof/>
      </w:rPr>
      <w:fldChar w:fldCharType="end"/>
    </w:r>
  </w:p>
  <w:p w14:paraId="251EEC04" w14:textId="77777777" w:rsidR="00B318B8" w:rsidRPr="00BB5EAA" w:rsidRDefault="00B318B8" w:rsidP="009B0227">
    <w:pPr>
      <w:pStyle w:val="Footer"/>
      <w:ind w:right="360"/>
      <w:jc w:val="center"/>
    </w:pPr>
  </w:p>
  <w:p w14:paraId="2E511A6D" w14:textId="77777777" w:rsidR="00B318B8" w:rsidRDefault="00B318B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AC00A" w14:textId="00B23FEC" w:rsidR="00B318B8" w:rsidRDefault="00811543" w:rsidP="00811543">
    <w:pPr>
      <w:pStyle w:val="Footer"/>
      <w:rPr>
        <w:sz w:val="17"/>
      </w:rPr>
    </w:pPr>
    <w:bookmarkStart w:id="10" w:name="TITUS2FooterPrimary"/>
    <w:r>
      <w:rPr>
        <w:sz w:val="17"/>
      </w:rPr>
      <w:t> </w:t>
    </w:r>
  </w:p>
  <w:bookmarkEnd w:id="10"/>
  <w:p w14:paraId="77A30083" w14:textId="77777777" w:rsidR="00BF6102" w:rsidRDefault="00BF6102">
    <w:pPr>
      <w:pStyle w:val="Footer"/>
      <w:jc w:val="right"/>
    </w:pPr>
  </w:p>
  <w:p w14:paraId="74AAAF12" w14:textId="70DCF874" w:rsidR="00B318B8" w:rsidRDefault="00B318B8">
    <w:pPr>
      <w:pStyle w:val="Footer"/>
      <w:jc w:val="right"/>
    </w:pPr>
    <w:r>
      <w:fldChar w:fldCharType="begin"/>
    </w:r>
    <w:r>
      <w:instrText xml:space="preserve"> PAGE   \* MERGEFORMAT </w:instrText>
    </w:r>
    <w:r>
      <w:fldChar w:fldCharType="separate"/>
    </w:r>
    <w:r w:rsidR="00811543">
      <w:rPr>
        <w:noProof/>
      </w:rPr>
      <w:t>21</w:t>
    </w:r>
    <w:r>
      <w:rPr>
        <w:noProof/>
      </w:rPr>
      <w:fldChar w:fldCharType="end"/>
    </w:r>
  </w:p>
  <w:p w14:paraId="530B4B6F" w14:textId="77777777" w:rsidR="00B318B8" w:rsidRPr="00BB5EAA" w:rsidRDefault="00B318B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F82CA2" w14:textId="376A8C7F" w:rsidR="00B318B8" w:rsidRDefault="00811543" w:rsidP="00811543">
    <w:pPr>
      <w:pStyle w:val="Footer"/>
      <w:rPr>
        <w:sz w:val="17"/>
      </w:rPr>
    </w:pPr>
    <w:bookmarkStart w:id="12" w:name="TITUS2FooterFirstPage"/>
    <w:r>
      <w:rPr>
        <w:sz w:val="17"/>
      </w:rPr>
      <w:t> </w:t>
    </w:r>
  </w:p>
  <w:bookmarkEnd w:id="12"/>
  <w:p w14:paraId="1C7FF72D" w14:textId="77777777" w:rsidR="00BF6102" w:rsidRDefault="00BF6102" w:rsidP="009B0227">
    <w:pPr>
      <w:pStyle w:val="Footer"/>
      <w:jc w:val="right"/>
    </w:pPr>
  </w:p>
  <w:p w14:paraId="08D022D0" w14:textId="6E19FA22" w:rsidR="00B318B8" w:rsidRDefault="00B318B8" w:rsidP="009B0227">
    <w:pPr>
      <w:pStyle w:val="Footer"/>
      <w:jc w:val="right"/>
    </w:pPr>
    <w:r>
      <w:fldChar w:fldCharType="begin"/>
    </w:r>
    <w:r>
      <w:instrText xml:space="preserve"> PAGE   \* MERGEFORMAT </w:instrText>
    </w:r>
    <w:r>
      <w:fldChar w:fldCharType="separate"/>
    </w:r>
    <w:r w:rsidR="00811543">
      <w:rPr>
        <w:noProof/>
      </w:rPr>
      <w:t>18</w:t>
    </w:r>
    <w:r>
      <w:rPr>
        <w:noProof/>
      </w:rPr>
      <w:fldChar w:fldCharType="end"/>
    </w:r>
  </w:p>
  <w:p w14:paraId="33D43212" w14:textId="77777777" w:rsidR="00B318B8" w:rsidRPr="00BB5EAA" w:rsidRDefault="00B318B8" w:rsidP="009B0227">
    <w:pPr>
      <w:pStyle w:val="Footer"/>
      <w:ind w:right="360"/>
      <w:jc w:val="center"/>
    </w:pPr>
  </w:p>
  <w:p w14:paraId="344C85C8" w14:textId="77777777" w:rsidR="00B318B8" w:rsidRDefault="00B318B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934DE" w14:textId="13CED7E7" w:rsidR="00B318B8" w:rsidRDefault="00B318B8" w:rsidP="00405E0C">
    <w:pPr>
      <w:pStyle w:val="Footer"/>
      <w:rPr>
        <w:sz w:val="17"/>
      </w:rPr>
    </w:pPr>
    <w:bookmarkStart w:id="17" w:name="TITUS4FooterEvenPages"/>
    <w:r>
      <w:rPr>
        <w:sz w:val="17"/>
      </w:rPr>
      <w:t> </w:t>
    </w:r>
  </w:p>
  <w:p w14:paraId="1AD769BB" w14:textId="58EE351A" w:rsidR="00B318B8" w:rsidRDefault="00811543" w:rsidP="00811543">
    <w:pPr>
      <w:pStyle w:val="Footer"/>
      <w:rPr>
        <w:sz w:val="17"/>
      </w:rPr>
    </w:pPr>
    <w:bookmarkStart w:id="18" w:name="TITUS3FooterEvenPages"/>
    <w:bookmarkEnd w:id="17"/>
    <w:r>
      <w:rPr>
        <w:sz w:val="17"/>
      </w:rPr>
      <w:t> </w:t>
    </w:r>
  </w:p>
  <w:bookmarkEnd w:id="18"/>
  <w:p w14:paraId="080B1288" w14:textId="77777777" w:rsidR="00BF6102" w:rsidRDefault="00BF6102" w:rsidP="009B0227">
    <w:pPr>
      <w:pStyle w:val="Footer"/>
      <w:jc w:val="right"/>
    </w:pPr>
  </w:p>
  <w:p w14:paraId="5D8DE57D" w14:textId="46A65F7B" w:rsidR="00B318B8" w:rsidRDefault="00B318B8" w:rsidP="009B0227">
    <w:pPr>
      <w:pStyle w:val="Footer"/>
      <w:jc w:val="right"/>
    </w:pPr>
    <w:r>
      <w:fldChar w:fldCharType="begin"/>
    </w:r>
    <w:r>
      <w:instrText xml:space="preserve"> PAGE   \* MERGEFORMAT </w:instrText>
    </w:r>
    <w:r>
      <w:fldChar w:fldCharType="separate"/>
    </w:r>
    <w:r w:rsidR="00811543">
      <w:rPr>
        <w:noProof/>
      </w:rPr>
      <w:t>22</w:t>
    </w:r>
    <w:r>
      <w:rPr>
        <w:noProof/>
      </w:rPr>
      <w:fldChar w:fldCharType="end"/>
    </w:r>
  </w:p>
  <w:p w14:paraId="27A9D922" w14:textId="77777777" w:rsidR="00B318B8" w:rsidRPr="00BB5EAA" w:rsidRDefault="00B318B8" w:rsidP="009B0227">
    <w:pPr>
      <w:pStyle w:val="Footer"/>
      <w:ind w:right="360"/>
      <w:jc w:val="center"/>
    </w:pPr>
  </w:p>
  <w:p w14:paraId="39FBB655" w14:textId="77777777" w:rsidR="00B318B8" w:rsidRDefault="00B318B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E87D2B" w14:textId="3D0231C2" w:rsidR="00B318B8" w:rsidRDefault="00B318B8" w:rsidP="00405E0C">
    <w:pPr>
      <w:pStyle w:val="Footer"/>
      <w:rPr>
        <w:sz w:val="17"/>
      </w:rPr>
    </w:pPr>
    <w:bookmarkStart w:id="19" w:name="TITUS4FooterPrimary"/>
    <w:r>
      <w:rPr>
        <w:sz w:val="17"/>
      </w:rPr>
      <w:t> </w:t>
    </w:r>
  </w:p>
  <w:p w14:paraId="23CF42B2" w14:textId="2A837399" w:rsidR="00B318B8" w:rsidRDefault="00811543" w:rsidP="00811543">
    <w:pPr>
      <w:pStyle w:val="Footer"/>
      <w:rPr>
        <w:sz w:val="17"/>
      </w:rPr>
    </w:pPr>
    <w:bookmarkStart w:id="20" w:name="TITUS3FooterPrimary"/>
    <w:bookmarkEnd w:id="19"/>
    <w:r>
      <w:rPr>
        <w:sz w:val="17"/>
      </w:rPr>
      <w:t> </w:t>
    </w:r>
  </w:p>
  <w:bookmarkEnd w:id="20"/>
  <w:p w14:paraId="7495393F" w14:textId="77777777" w:rsidR="00BF6102" w:rsidRDefault="00BF6102">
    <w:pPr>
      <w:pStyle w:val="Footer"/>
      <w:jc w:val="right"/>
    </w:pPr>
  </w:p>
  <w:p w14:paraId="1816B6DC" w14:textId="7519F091" w:rsidR="00B318B8" w:rsidRDefault="00B318B8">
    <w:pPr>
      <w:pStyle w:val="Footer"/>
      <w:jc w:val="right"/>
    </w:pPr>
    <w:r>
      <w:fldChar w:fldCharType="begin"/>
    </w:r>
    <w:r>
      <w:instrText xml:space="preserve"> PAGE   \* MERGEFORMAT </w:instrText>
    </w:r>
    <w:r>
      <w:fldChar w:fldCharType="separate"/>
    </w:r>
    <w:r w:rsidR="00811543">
      <w:rPr>
        <w:noProof/>
      </w:rPr>
      <w:t>21</w:t>
    </w:r>
    <w:r>
      <w:rPr>
        <w:noProof/>
      </w:rPr>
      <w:fldChar w:fldCharType="end"/>
    </w:r>
  </w:p>
  <w:p w14:paraId="3A71E067" w14:textId="77777777" w:rsidR="00B318B8" w:rsidRPr="00BB5EAA" w:rsidRDefault="00B318B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76AB9" w14:textId="4856DD02" w:rsidR="00B318B8" w:rsidRDefault="00B318B8" w:rsidP="00405E0C">
    <w:pPr>
      <w:pStyle w:val="Footer"/>
      <w:rPr>
        <w:sz w:val="17"/>
      </w:rPr>
    </w:pPr>
    <w:bookmarkStart w:id="23" w:name="TITUS4FooterFirstPage"/>
    <w:r>
      <w:rPr>
        <w:sz w:val="17"/>
      </w:rPr>
      <w:t> </w:t>
    </w:r>
  </w:p>
  <w:p w14:paraId="7AF2468D" w14:textId="079578AA" w:rsidR="00B318B8" w:rsidRDefault="00811543" w:rsidP="00811543">
    <w:pPr>
      <w:pStyle w:val="Footer"/>
      <w:rPr>
        <w:sz w:val="17"/>
      </w:rPr>
    </w:pPr>
    <w:bookmarkStart w:id="24" w:name="TITUS3FooterFirstPage"/>
    <w:bookmarkEnd w:id="23"/>
    <w:r>
      <w:rPr>
        <w:sz w:val="17"/>
      </w:rPr>
      <w:t> </w:t>
    </w:r>
  </w:p>
  <w:bookmarkEnd w:id="24"/>
  <w:p w14:paraId="69DA1F1B" w14:textId="77777777" w:rsidR="00BF6102" w:rsidRDefault="00BF6102" w:rsidP="009B0227">
    <w:pPr>
      <w:pStyle w:val="Footer"/>
      <w:jc w:val="right"/>
    </w:pPr>
  </w:p>
  <w:p w14:paraId="4295EF6F" w14:textId="2350733D" w:rsidR="00B318B8" w:rsidRDefault="00B318B8" w:rsidP="009B0227">
    <w:pPr>
      <w:pStyle w:val="Footer"/>
      <w:jc w:val="right"/>
    </w:pPr>
    <w:r>
      <w:fldChar w:fldCharType="begin"/>
    </w:r>
    <w:r>
      <w:instrText xml:space="preserve"> PAGE   \* MERGEFORMAT </w:instrText>
    </w:r>
    <w:r>
      <w:fldChar w:fldCharType="separate"/>
    </w:r>
    <w:r w:rsidR="00811543">
      <w:rPr>
        <w:noProof/>
      </w:rPr>
      <w:t>23</w:t>
    </w:r>
    <w:r>
      <w:rPr>
        <w:noProof/>
      </w:rPr>
      <w:fldChar w:fldCharType="end"/>
    </w:r>
  </w:p>
  <w:p w14:paraId="0D0F3FF5" w14:textId="77777777" w:rsidR="00B318B8" w:rsidRPr="00BB5EAA" w:rsidRDefault="00B318B8" w:rsidP="009B0227">
    <w:pPr>
      <w:pStyle w:val="Footer"/>
      <w:ind w:right="360"/>
      <w:jc w:val="center"/>
    </w:pPr>
  </w:p>
  <w:p w14:paraId="243070A5" w14:textId="77777777" w:rsidR="00B318B8" w:rsidRDefault="00B31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318B8" w:rsidRDefault="00B318B8">
      <w:r>
        <w:separator/>
      </w:r>
    </w:p>
  </w:footnote>
  <w:footnote w:type="continuationSeparator" w:id="0">
    <w:p w14:paraId="09396778" w14:textId="77777777" w:rsidR="00B318B8" w:rsidRDefault="00B318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605FD" w14:textId="622FE116" w:rsidR="00B318B8" w:rsidRDefault="00811543" w:rsidP="00811543">
    <w:pPr>
      <w:pStyle w:val="Header"/>
      <w:rPr>
        <w:sz w:val="17"/>
      </w:rPr>
    </w:pPr>
    <w:bookmarkStart w:id="1" w:name="TITUS1HeaderEvenPages"/>
    <w:r>
      <w:rPr>
        <w:sz w:val="17"/>
      </w:rPr>
      <w:t> </w:t>
    </w:r>
  </w:p>
  <w:bookmarkEnd w:id="1"/>
  <w:p w14:paraId="77941962" w14:textId="77777777" w:rsidR="00BF6102" w:rsidRDefault="00BF6102" w:rsidP="009B0227">
    <w:pPr>
      <w:pStyle w:val="Header"/>
    </w:pPr>
  </w:p>
  <w:p w14:paraId="409575B9" w14:textId="77777777" w:rsidR="00B318B8" w:rsidRDefault="00B31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7D1A54" w14:textId="01B1DAF2" w:rsidR="00B318B8" w:rsidRDefault="00811543" w:rsidP="00811543">
    <w:pPr>
      <w:pStyle w:val="Header"/>
      <w:rPr>
        <w:sz w:val="17"/>
      </w:rPr>
    </w:pPr>
    <w:bookmarkStart w:id="2" w:name="TITUS1HeaderPrimary"/>
    <w:r>
      <w:rPr>
        <w:sz w:val="17"/>
      </w:rPr>
      <w:t> </w:t>
    </w:r>
  </w:p>
  <w:bookmarkEnd w:id="2"/>
  <w:p w14:paraId="062B1024" w14:textId="77777777" w:rsidR="00BF6102" w:rsidRDefault="00BF61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1D5EC" w14:textId="3140FE01" w:rsidR="00B318B8" w:rsidRDefault="00811543" w:rsidP="00811543">
    <w:pPr>
      <w:pStyle w:val="Header"/>
      <w:rPr>
        <w:sz w:val="17"/>
      </w:rPr>
    </w:pPr>
    <w:bookmarkStart w:id="5" w:name="TITUS1HeaderFirstPage"/>
    <w:r>
      <w:rPr>
        <w:sz w:val="17"/>
      </w:rPr>
      <w:t> </w:t>
    </w:r>
  </w:p>
  <w:bookmarkEnd w:id="5"/>
  <w:p w14:paraId="0EC777F6" w14:textId="77777777" w:rsidR="00BF6102" w:rsidRDefault="00BF6102" w:rsidP="009B0227">
    <w:pPr>
      <w:pStyle w:val="Header"/>
    </w:pPr>
  </w:p>
  <w:p w14:paraId="403BEBE7" w14:textId="77777777" w:rsidR="00B318B8" w:rsidRDefault="00B318B8" w:rsidP="009B022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D7DB35" w14:textId="0FBA9D93" w:rsidR="00B318B8" w:rsidRDefault="00811543" w:rsidP="00811543">
    <w:pPr>
      <w:pStyle w:val="Header"/>
      <w:rPr>
        <w:sz w:val="17"/>
      </w:rPr>
    </w:pPr>
    <w:bookmarkStart w:id="7" w:name="TITUS2HeaderEvenPages"/>
    <w:r>
      <w:rPr>
        <w:sz w:val="17"/>
      </w:rPr>
      <w:t> </w:t>
    </w:r>
  </w:p>
  <w:bookmarkEnd w:id="7"/>
  <w:p w14:paraId="670CE221" w14:textId="77777777" w:rsidR="00BF6102" w:rsidRDefault="00BF6102" w:rsidP="009B0227">
    <w:pPr>
      <w:pStyle w:val="Header"/>
    </w:pPr>
  </w:p>
  <w:p w14:paraId="42604D0A" w14:textId="77777777" w:rsidR="00B318B8" w:rsidRDefault="00B318B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A6DBF" w14:textId="386BE0D5" w:rsidR="00B318B8" w:rsidRDefault="00811543" w:rsidP="00811543">
    <w:pPr>
      <w:pStyle w:val="Header"/>
      <w:rPr>
        <w:sz w:val="17"/>
      </w:rPr>
    </w:pPr>
    <w:bookmarkStart w:id="8" w:name="TITUS2HeaderPrimary"/>
    <w:r>
      <w:rPr>
        <w:sz w:val="17"/>
      </w:rPr>
      <w:t> </w:t>
    </w:r>
  </w:p>
  <w:bookmarkEnd w:id="8"/>
  <w:p w14:paraId="7CC2EA85" w14:textId="77777777" w:rsidR="00BF6102" w:rsidRDefault="00BF610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D1B8A" w14:textId="6F15FA97" w:rsidR="00B318B8" w:rsidRDefault="00811543" w:rsidP="00811543">
    <w:pPr>
      <w:pStyle w:val="Header"/>
      <w:rPr>
        <w:sz w:val="17"/>
      </w:rPr>
    </w:pPr>
    <w:bookmarkStart w:id="11" w:name="TITUS2HeaderFirstPage"/>
    <w:r>
      <w:rPr>
        <w:sz w:val="17"/>
      </w:rPr>
      <w:t> </w:t>
    </w:r>
  </w:p>
  <w:bookmarkEnd w:id="11"/>
  <w:p w14:paraId="0EDA99FF" w14:textId="77777777" w:rsidR="00BF6102" w:rsidRDefault="00BF6102" w:rsidP="009B0227">
    <w:pPr>
      <w:pStyle w:val="Header"/>
    </w:pPr>
  </w:p>
  <w:p w14:paraId="4C5571F3" w14:textId="77777777" w:rsidR="00B318B8" w:rsidRDefault="00B318B8" w:rsidP="009B022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7302A0" w14:textId="33D9852E" w:rsidR="00B318B8" w:rsidRDefault="00B318B8" w:rsidP="00405E0C">
    <w:pPr>
      <w:pStyle w:val="Header"/>
      <w:rPr>
        <w:sz w:val="17"/>
      </w:rPr>
    </w:pPr>
    <w:bookmarkStart w:id="13" w:name="TITUS4HeaderEvenPages"/>
    <w:r>
      <w:rPr>
        <w:sz w:val="17"/>
      </w:rPr>
      <w:t> </w:t>
    </w:r>
  </w:p>
  <w:p w14:paraId="653F0DF2" w14:textId="426A69B5" w:rsidR="00B318B8" w:rsidRDefault="00811543" w:rsidP="00811543">
    <w:pPr>
      <w:pStyle w:val="Header"/>
      <w:rPr>
        <w:sz w:val="17"/>
      </w:rPr>
    </w:pPr>
    <w:bookmarkStart w:id="14" w:name="TITUS3HeaderEvenPages"/>
    <w:bookmarkEnd w:id="13"/>
    <w:r>
      <w:rPr>
        <w:sz w:val="17"/>
      </w:rPr>
      <w:t> </w:t>
    </w:r>
  </w:p>
  <w:bookmarkEnd w:id="14"/>
  <w:p w14:paraId="1C4C44D3" w14:textId="77777777" w:rsidR="00BF6102" w:rsidRDefault="00BF6102" w:rsidP="009B0227">
    <w:pPr>
      <w:pStyle w:val="Header"/>
    </w:pPr>
  </w:p>
  <w:p w14:paraId="4F38A32B" w14:textId="77777777" w:rsidR="00B318B8" w:rsidRDefault="00B318B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008E1" w14:textId="1B727559" w:rsidR="00B318B8" w:rsidRDefault="00B318B8" w:rsidP="00405E0C">
    <w:pPr>
      <w:pStyle w:val="Header"/>
      <w:rPr>
        <w:sz w:val="17"/>
      </w:rPr>
    </w:pPr>
    <w:bookmarkStart w:id="15" w:name="TITUS4HeaderPrimary"/>
    <w:r>
      <w:rPr>
        <w:sz w:val="17"/>
      </w:rPr>
      <w:t> </w:t>
    </w:r>
  </w:p>
  <w:p w14:paraId="42796947" w14:textId="11FB9E8D" w:rsidR="00B318B8" w:rsidRDefault="00811543" w:rsidP="00811543">
    <w:pPr>
      <w:pStyle w:val="Header"/>
      <w:rPr>
        <w:sz w:val="17"/>
      </w:rPr>
    </w:pPr>
    <w:bookmarkStart w:id="16" w:name="TITUS3HeaderPrimary"/>
    <w:bookmarkEnd w:id="15"/>
    <w:r>
      <w:rPr>
        <w:sz w:val="17"/>
      </w:rPr>
      <w:t> </w:t>
    </w:r>
  </w:p>
  <w:bookmarkEnd w:id="16"/>
  <w:p w14:paraId="15BBAD52" w14:textId="77777777" w:rsidR="00BF6102" w:rsidRDefault="00BF610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9598D" w14:textId="2C105D56" w:rsidR="00B318B8" w:rsidRDefault="00B318B8" w:rsidP="00405E0C">
    <w:pPr>
      <w:pStyle w:val="Header"/>
      <w:rPr>
        <w:sz w:val="17"/>
      </w:rPr>
    </w:pPr>
    <w:bookmarkStart w:id="21" w:name="TITUS4HeaderFirstPage"/>
    <w:r>
      <w:rPr>
        <w:sz w:val="17"/>
      </w:rPr>
      <w:t> </w:t>
    </w:r>
  </w:p>
  <w:p w14:paraId="07495AAE" w14:textId="092DAE1C" w:rsidR="00B318B8" w:rsidRDefault="00811543" w:rsidP="00811543">
    <w:pPr>
      <w:pStyle w:val="Header"/>
      <w:rPr>
        <w:sz w:val="17"/>
      </w:rPr>
    </w:pPr>
    <w:bookmarkStart w:id="22" w:name="TITUS3HeaderFirstPage"/>
    <w:bookmarkEnd w:id="21"/>
    <w:r>
      <w:rPr>
        <w:sz w:val="17"/>
      </w:rPr>
      <w:t> </w:t>
    </w:r>
  </w:p>
  <w:bookmarkEnd w:id="22"/>
  <w:p w14:paraId="2AEC4A0C" w14:textId="77777777" w:rsidR="00BF6102" w:rsidRDefault="00BF6102" w:rsidP="009B0227">
    <w:pPr>
      <w:pStyle w:val="Header"/>
    </w:pPr>
  </w:p>
  <w:p w14:paraId="45A9FE18" w14:textId="77777777" w:rsidR="00B318B8" w:rsidRDefault="00B318B8" w:rsidP="009B0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5E0C"/>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2ED8"/>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154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0C47"/>
    <w:rsid w:val="00964CC6"/>
    <w:rsid w:val="00991FDA"/>
    <w:rsid w:val="009927A1"/>
    <w:rsid w:val="009A5F3B"/>
    <w:rsid w:val="009B0227"/>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8B8"/>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610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4.xml><?xml version="1.0" encoding="utf-8"?>
<ds:datastoreItem xmlns:ds="http://schemas.openxmlformats.org/officeDocument/2006/customXml" ds:itemID="{8DEA915C-E00A-41C8-8D6B-E589E8ED2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23</Pages>
  <Words>11114</Words>
  <Characters>59330</Characters>
  <Application>Microsoft Office Word</Application>
  <DocSecurity>0</DocSecurity>
  <Lines>494</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Morris,Dewi swp6432</cp:lastModifiedBy>
  <cp:revision>6</cp:revision>
  <cp:lastPrinted>2019-08-13T11:47:00Z</cp:lastPrinted>
  <dcterms:created xsi:type="dcterms:W3CDTF">2019-11-06T23:48:00Z</dcterms:created>
  <dcterms:modified xsi:type="dcterms:W3CDTF">2019-12-18T16:38:00Z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d9852478-8773-4376-8afa-e38dced8868f</vt:lpwstr>
  </property>
  <property fmtid="{D5CDD505-2E9C-101B-9397-08002B2CF9AE}" pid="4" name="Classification">
    <vt:lpwstr>OFFICIAL</vt:lpwstr>
  </property>
  <property fmtid="{D5CDD505-2E9C-101B-9397-08002B2CF9AE}" pid="5" name="Visibility">
    <vt:lpwstr>NOT VISIBLE</vt:lpwstr>
  </property>
</Properties>
</file>