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31C325B6">
      <w:pPr>
        <w:jc w:val="center"/>
        <w:rPr>
          <w:rFonts w:asciiTheme="minorBidi" w:hAnsiTheme="minorBidi"/>
        </w:rPr>
      </w:pPr>
      <w:r>
        <w:rPr>
          <w:rFonts w:asciiTheme="minorBidi" w:hAnsiTheme="minorBidi"/>
        </w:rPr>
        <w:drawing>
          <wp:inline distT="0" distB="0" distL="0" distR="0">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911125" name="Picture 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a:xfrm>
                      <a:off x="0" y="0"/>
                      <a:ext cx="3381375" cy="1352550"/>
                    </a:xfrm>
                    <a:prstGeom prst="rect">
                      <a:avLst/>
                    </a:prstGeom>
                    <a:noFill/>
                  </pic:spPr>
                </pic:pic>
              </a:graphicData>
            </a:graphic>
          </wp:inline>
        </w:drawing>
      </w:r>
      <w:r>
        <w:rPr>
          <w:rFonts w:asciiTheme="minorBidi" w:hAnsiTheme="minorBidi"/>
        </w:rPr>
        <w:fldChar w:fldCharType="begin"/>
      </w:r>
      <w:r>
        <w:rPr>
          <w:rFonts w:asciiTheme="minorBidi" w:hAnsiTheme="minorBidi"/>
        </w:rPr>
        <w:instrText xml:space="preserve"> INCLUDEPICTURE "C:\\Users\\AzZedin01\\Library\\Group Containers\\UBF8T346G9.ms\\WebArchiveCopyPasteTempFiles\\com.microsoft.Word\\8P2xdp3q1g646AAAAAElFTkSuQmCC" \* MERGEFORMAT </w:instrText>
      </w:r>
      <w:r>
        <w:rPr>
          <w:rFonts w:asciiTheme="minorBidi" w:hAnsiTheme="minorBidi"/>
        </w:rPr>
        <w:fldChar w:fldCharType="separate"/>
      </w:r>
      <w:r>
        <w:rPr>
          <w:rFonts w:asciiTheme="minorBidi" w:hAnsiTheme="minorBidi"/>
        </w:rPr>
        <w:fldChar w:fldCharType="end"/>
      </w:r>
    </w:p>
    <w:p w14:paraId="6D0C4720">
      <w:pPr>
        <w:jc w:val="center"/>
        <w:rPr>
          <w:rFonts w:asciiTheme="minorBidi" w:hAnsiTheme="minorBidi"/>
        </w:rPr>
      </w:pPr>
    </w:p>
    <w:p w14:paraId="384AD48D">
      <w:pPr>
        <w:jc w:val="center"/>
        <w:rPr>
          <w:rFonts w:asciiTheme="minorBidi" w:hAnsiTheme="minorBidi"/>
        </w:rPr>
      </w:pPr>
    </w:p>
    <w:p w14:paraId="1C4A58E1">
      <w:pPr>
        <w:jc w:val="center"/>
        <w:rPr>
          <w:rFonts w:asciiTheme="minorBidi" w:hAnsiTheme="minorBidi"/>
        </w:rPr>
      </w:pPr>
    </w:p>
    <w:p w14:paraId="21811744">
      <w:pPr>
        <w:jc w:val="center"/>
        <w:rPr>
          <w:rFonts w:asciiTheme="minorBidi" w:hAnsiTheme="minorBidi"/>
        </w:rPr>
      </w:pPr>
    </w:p>
    <w:p w14:paraId="1EC34BAD">
      <w:pPr>
        <w:jc w:val="center"/>
        <w:rPr>
          <w:rFonts w:asciiTheme="minorBidi" w:hAnsiTheme="minorBidi"/>
        </w:rPr>
      </w:pPr>
    </w:p>
    <w:p w14:paraId="020B9CFF">
      <w:pPr>
        <w:jc w:val="center"/>
        <w:rPr>
          <w:rFonts w:hint="default" w:asciiTheme="minorBidi" w:hAnsiTheme="minorBidi"/>
          <w:b/>
          <w:bCs/>
          <w:sz w:val="28"/>
          <w:szCs w:val="28"/>
          <w:lang w:val="en-GB"/>
        </w:rPr>
      </w:pPr>
      <w:r>
        <w:rPr>
          <w:rFonts w:asciiTheme="minorBidi" w:hAnsiTheme="minorBidi"/>
          <w:b/>
          <w:bCs/>
          <w:sz w:val="28"/>
          <w:szCs w:val="28"/>
        </w:rPr>
        <w:t>Student Name:</w:t>
      </w:r>
      <w:r>
        <w:rPr>
          <w:rFonts w:hint="default" w:asciiTheme="minorBidi" w:hAnsiTheme="minorBidi"/>
          <w:b/>
          <w:bCs/>
          <w:sz w:val="28"/>
          <w:szCs w:val="28"/>
          <w:lang w:val="en-GB"/>
        </w:rPr>
        <w:t xml:space="preserve"> Vivekkumar Yatinbhai Patel</w:t>
      </w:r>
    </w:p>
    <w:p w14:paraId="2AAC98E7">
      <w:pPr>
        <w:jc w:val="center"/>
        <w:rPr>
          <w:rFonts w:asciiTheme="minorBidi" w:hAnsiTheme="minorBidi"/>
          <w:b/>
          <w:bCs/>
          <w:sz w:val="28"/>
          <w:szCs w:val="28"/>
        </w:rPr>
      </w:pPr>
    </w:p>
    <w:p w14:paraId="586C6996">
      <w:pPr>
        <w:jc w:val="center"/>
        <w:rPr>
          <w:rFonts w:hint="default" w:asciiTheme="minorBidi" w:hAnsiTheme="minorBidi"/>
          <w:b/>
          <w:bCs/>
          <w:sz w:val="28"/>
          <w:szCs w:val="28"/>
          <w:lang w:val="en-GB"/>
        </w:rPr>
      </w:pPr>
      <w:r>
        <w:rPr>
          <w:rFonts w:asciiTheme="minorBidi" w:hAnsiTheme="minorBidi"/>
          <w:b/>
          <w:bCs/>
          <w:sz w:val="28"/>
          <w:szCs w:val="28"/>
        </w:rPr>
        <w:t>Student ID:</w:t>
      </w:r>
      <w:r>
        <w:rPr>
          <w:rFonts w:hint="default" w:asciiTheme="minorBidi" w:hAnsiTheme="minorBidi"/>
          <w:b/>
          <w:bCs/>
          <w:sz w:val="28"/>
          <w:szCs w:val="28"/>
          <w:lang w:val="en-GB"/>
        </w:rPr>
        <w:t xml:space="preserve"> 2523277</w:t>
      </w:r>
    </w:p>
    <w:p w14:paraId="63080C9E">
      <w:pPr>
        <w:jc w:val="center"/>
        <w:rPr>
          <w:rFonts w:asciiTheme="minorBidi" w:hAnsiTheme="minorBidi"/>
          <w:sz w:val="28"/>
          <w:szCs w:val="28"/>
        </w:rPr>
      </w:pPr>
    </w:p>
    <w:p w14:paraId="3D7751B6">
      <w:pPr>
        <w:jc w:val="center"/>
        <w:rPr>
          <w:rFonts w:asciiTheme="minorBidi" w:hAnsiTheme="minorBidi"/>
          <w:sz w:val="28"/>
          <w:szCs w:val="28"/>
        </w:rPr>
      </w:pPr>
    </w:p>
    <w:p w14:paraId="37F10C9F">
      <w:pPr>
        <w:jc w:val="center"/>
        <w:rPr>
          <w:rFonts w:hint="default" w:asciiTheme="minorBidi" w:hAnsiTheme="minorBidi"/>
          <w:b/>
          <w:bCs/>
          <w:sz w:val="28"/>
          <w:szCs w:val="28"/>
          <w:lang w:val="en-GB"/>
        </w:rPr>
      </w:pPr>
      <w:r>
        <w:rPr>
          <w:rFonts w:asciiTheme="minorBidi" w:hAnsiTheme="minorBidi"/>
          <w:b/>
          <w:bCs/>
          <w:sz w:val="28"/>
          <w:szCs w:val="28"/>
        </w:rPr>
        <w:t xml:space="preserve">Module Name: </w:t>
      </w:r>
      <w:r>
        <w:rPr>
          <w:rFonts w:hint="default" w:asciiTheme="minorBidi" w:hAnsiTheme="minorBidi"/>
          <w:b/>
          <w:bCs/>
          <w:sz w:val="28"/>
          <w:szCs w:val="28"/>
          <w:lang w:val="en-GB"/>
        </w:rPr>
        <w:t>Financial Management</w:t>
      </w:r>
    </w:p>
    <w:p w14:paraId="1F614A44">
      <w:pPr>
        <w:jc w:val="center"/>
        <w:rPr>
          <w:rFonts w:asciiTheme="minorBidi" w:hAnsiTheme="minorBidi"/>
          <w:b/>
          <w:bCs/>
          <w:sz w:val="28"/>
          <w:szCs w:val="28"/>
        </w:rPr>
      </w:pPr>
    </w:p>
    <w:p w14:paraId="0794A99E">
      <w:pPr>
        <w:jc w:val="center"/>
        <w:rPr>
          <w:rFonts w:hint="default" w:asciiTheme="minorBidi" w:hAnsiTheme="minorBidi"/>
          <w:b/>
          <w:bCs/>
          <w:sz w:val="28"/>
          <w:szCs w:val="28"/>
          <w:lang w:val="en-GB"/>
        </w:rPr>
      </w:pPr>
      <w:r>
        <w:rPr>
          <w:rFonts w:asciiTheme="minorBidi" w:hAnsiTheme="minorBidi"/>
          <w:b/>
          <w:bCs/>
          <w:sz w:val="28"/>
          <w:szCs w:val="28"/>
        </w:rPr>
        <w:t>Module Code: LCMB70</w:t>
      </w:r>
      <w:r>
        <w:rPr>
          <w:rFonts w:hint="default" w:asciiTheme="minorBidi" w:hAnsiTheme="minorBidi"/>
          <w:b/>
          <w:bCs/>
          <w:sz w:val="28"/>
          <w:szCs w:val="28"/>
          <w:lang w:val="en-GB"/>
        </w:rPr>
        <w:t>02</w:t>
      </w:r>
    </w:p>
    <w:p w14:paraId="242318AB">
      <w:pPr>
        <w:jc w:val="center"/>
        <w:rPr>
          <w:rFonts w:asciiTheme="minorBidi" w:hAnsiTheme="minorBidi"/>
          <w:b/>
          <w:bCs/>
          <w:sz w:val="28"/>
          <w:szCs w:val="28"/>
        </w:rPr>
      </w:pPr>
    </w:p>
    <w:p w14:paraId="5A962802">
      <w:pPr>
        <w:jc w:val="center"/>
        <w:rPr>
          <w:rFonts w:asciiTheme="minorBidi" w:hAnsiTheme="minorBidi"/>
          <w:b/>
          <w:bCs/>
          <w:sz w:val="28"/>
          <w:szCs w:val="28"/>
        </w:rPr>
      </w:pPr>
    </w:p>
    <w:p w14:paraId="38F1A035">
      <w:pPr>
        <w:jc w:val="center"/>
        <w:rPr>
          <w:rFonts w:asciiTheme="minorBidi" w:hAnsiTheme="minorBidi"/>
          <w:b/>
          <w:bCs/>
          <w:sz w:val="28"/>
          <w:szCs w:val="28"/>
        </w:rPr>
      </w:pPr>
    </w:p>
    <w:p w14:paraId="7E74A1F6">
      <w:pPr>
        <w:jc w:val="center"/>
        <w:rPr>
          <w:rFonts w:asciiTheme="minorBidi" w:hAnsiTheme="minorBidi"/>
          <w:b/>
          <w:bCs/>
          <w:sz w:val="28"/>
          <w:szCs w:val="28"/>
        </w:rPr>
      </w:pPr>
    </w:p>
    <w:p w14:paraId="4A58E8DB">
      <w:pPr>
        <w:jc w:val="center"/>
        <w:rPr>
          <w:rFonts w:hint="default" w:asciiTheme="minorBidi" w:hAnsiTheme="minorBidi"/>
          <w:b/>
          <w:bCs/>
          <w:sz w:val="28"/>
          <w:szCs w:val="28"/>
          <w:lang w:val="en-GB"/>
        </w:rPr>
      </w:pPr>
      <w:r>
        <w:rPr>
          <w:rFonts w:asciiTheme="minorBidi" w:hAnsiTheme="minorBidi"/>
          <w:b/>
          <w:bCs/>
          <w:sz w:val="28"/>
          <w:szCs w:val="28"/>
        </w:rPr>
        <w:t>Lecturer’s Name:</w:t>
      </w:r>
      <w:r>
        <w:rPr>
          <w:rFonts w:hint="default" w:asciiTheme="minorBidi" w:hAnsiTheme="minorBidi"/>
          <w:b/>
          <w:bCs/>
          <w:sz w:val="28"/>
          <w:szCs w:val="28"/>
          <w:lang w:val="en-GB"/>
        </w:rPr>
        <w:t xml:space="preserve"> </w:t>
      </w:r>
      <w:r>
        <w:rPr>
          <w:rFonts w:hint="default" w:asciiTheme="minorBidi" w:hAnsiTheme="minorBidi"/>
          <w:b/>
          <w:bCs/>
          <w:sz w:val="28"/>
          <w:szCs w:val="28"/>
          <w:lang w:val="en-GB" w:eastAsia="zh-CN"/>
        </w:rPr>
        <w:t>Shengfeng Mei</w:t>
      </w:r>
    </w:p>
    <w:p w14:paraId="1C05EEAE">
      <w:pPr>
        <w:jc w:val="center"/>
        <w:rPr>
          <w:rFonts w:hint="default" w:asciiTheme="minorBidi" w:hAnsiTheme="minorBidi"/>
          <w:b/>
          <w:bCs/>
          <w:sz w:val="28"/>
          <w:szCs w:val="28"/>
          <w:lang w:val="en-GB"/>
        </w:rPr>
      </w:pPr>
    </w:p>
    <w:p w14:paraId="2534BC8F">
      <w:pPr>
        <w:jc w:val="center"/>
        <w:rPr>
          <w:rFonts w:asciiTheme="minorBidi" w:hAnsiTheme="minorBidi"/>
          <w:b/>
          <w:bCs/>
          <w:sz w:val="28"/>
          <w:szCs w:val="28"/>
        </w:rPr>
      </w:pPr>
    </w:p>
    <w:p w14:paraId="70E1BD2A">
      <w:pPr>
        <w:jc w:val="center"/>
        <w:rPr>
          <w:rFonts w:asciiTheme="minorBidi" w:hAnsiTheme="minorBidi"/>
          <w:b/>
          <w:bCs/>
          <w:sz w:val="28"/>
          <w:szCs w:val="28"/>
        </w:rPr>
      </w:pPr>
    </w:p>
    <w:p w14:paraId="55B10977">
      <w:pPr>
        <w:rPr>
          <w:rFonts w:asciiTheme="minorBidi" w:hAnsiTheme="minorBidi"/>
          <w:b/>
          <w:bCs/>
          <w:sz w:val="28"/>
          <w:szCs w:val="28"/>
        </w:rPr>
      </w:pPr>
    </w:p>
    <w:p w14:paraId="39FE983B">
      <w:pPr>
        <w:jc w:val="center"/>
        <w:rPr>
          <w:rFonts w:hint="default" w:asciiTheme="minorBidi" w:hAnsiTheme="minorBidi"/>
          <w:b/>
          <w:bCs/>
          <w:sz w:val="28"/>
          <w:szCs w:val="28"/>
          <w:lang w:val="en-GB"/>
        </w:rPr>
      </w:pPr>
      <w:r>
        <w:rPr>
          <w:rFonts w:hint="default" w:asciiTheme="minorBidi" w:hAnsiTheme="minorBidi"/>
          <w:b/>
          <w:bCs/>
          <w:sz w:val="28"/>
          <w:szCs w:val="28"/>
          <w:lang w:val="en-GB"/>
        </w:rPr>
        <w:t>Word count = 5,100 (excluding references, tables, and headers).</w:t>
      </w:r>
    </w:p>
    <w:p w14:paraId="2CC2A054">
      <w:pPr>
        <w:jc w:val="center"/>
        <w:rPr>
          <w:rFonts w:asciiTheme="minorBidi" w:hAnsiTheme="minorBidi"/>
          <w:b/>
          <w:bCs/>
          <w:sz w:val="28"/>
          <w:szCs w:val="28"/>
        </w:rPr>
      </w:pPr>
    </w:p>
    <w:p w14:paraId="6A8F56C7">
      <w:pPr>
        <w:jc w:val="center"/>
        <w:rPr>
          <w:rFonts w:asciiTheme="minorBidi" w:hAnsiTheme="minorBidi"/>
          <w:b/>
          <w:bCs/>
          <w:sz w:val="28"/>
          <w:szCs w:val="28"/>
        </w:rPr>
      </w:pPr>
    </w:p>
    <w:p w14:paraId="74532E5F">
      <w:pPr>
        <w:jc w:val="center"/>
        <w:rPr>
          <w:rFonts w:asciiTheme="minorBidi" w:hAnsiTheme="minorBidi"/>
          <w:b/>
          <w:bCs/>
          <w:sz w:val="28"/>
          <w:szCs w:val="28"/>
        </w:rPr>
      </w:pPr>
    </w:p>
    <w:p w14:paraId="102B9D5E">
      <w:pPr>
        <w:jc w:val="center"/>
        <w:rPr>
          <w:rFonts w:asciiTheme="minorBidi" w:hAnsiTheme="minorBidi"/>
          <w:b/>
          <w:bCs/>
          <w:sz w:val="28"/>
          <w:szCs w:val="28"/>
        </w:rPr>
      </w:pPr>
    </w:p>
    <w:p w14:paraId="76B4AC18">
      <w:pPr>
        <w:jc w:val="center"/>
        <w:rPr>
          <w:rFonts w:asciiTheme="minorBidi" w:hAnsiTheme="minorBidi"/>
          <w:b/>
          <w:bCs/>
          <w:sz w:val="28"/>
          <w:szCs w:val="28"/>
        </w:rPr>
      </w:pPr>
    </w:p>
    <w:p w14:paraId="3D7042D2">
      <w:pPr>
        <w:jc w:val="center"/>
        <w:rPr>
          <w:rFonts w:asciiTheme="minorBidi" w:hAnsiTheme="minorBidi"/>
          <w:b/>
          <w:bCs/>
          <w:sz w:val="28"/>
          <w:szCs w:val="28"/>
        </w:rPr>
      </w:pPr>
      <w:r>
        <w:rPr>
          <w:rFonts w:asciiTheme="minorBidi" w:hAnsiTheme="minorBidi"/>
          <w:b/>
          <w:bCs/>
          <w:sz w:val="28"/>
          <w:szCs w:val="28"/>
        </w:rPr>
        <w:t>Term 1</w:t>
      </w:r>
    </w:p>
    <w:p w14:paraId="4A8A0010">
      <w:pPr>
        <w:pStyle w:val="3"/>
        <w:keepNext w:val="0"/>
        <w:keepLines w:val="0"/>
        <w:widowControl/>
        <w:suppressLineNumbers w:val="0"/>
        <w:rPr>
          <w:rFonts w:hint="default" w:ascii="Calibri" w:hAnsi="Calibri" w:cs="Calibri"/>
          <w:lang w:val="en-GB"/>
        </w:rPr>
        <w:sectPr>
          <w:pgSz w:w="11906" w:h="16838"/>
          <w:pgMar w:top="1440" w:right="1800" w:bottom="1440" w:left="1800" w:header="720" w:footer="720" w:gutter="0"/>
          <w:cols w:space="720" w:num="1"/>
          <w:docGrid w:linePitch="360" w:charSpace="0"/>
        </w:sectPr>
      </w:pPr>
    </w:p>
    <w:p w14:paraId="4CB1EA80">
      <w:pPr>
        <w:outlineLvl w:val="9"/>
        <w:rPr>
          <w:rFonts w:hint="default" w:ascii="Calibri" w:hAnsi="Calibri" w:cs="Calibri"/>
          <w:sz w:val="32"/>
          <w:szCs w:val="32"/>
          <w:lang w:val="en-GB"/>
        </w:rPr>
      </w:pPr>
      <w:bookmarkStart w:id="0" w:name="_Toc11241"/>
      <w:r>
        <w:rPr>
          <w:rFonts w:hint="default" w:ascii="Calibri" w:hAnsi="Calibri" w:cs="Calibri"/>
          <w:sz w:val="32"/>
          <w:szCs w:val="32"/>
          <w:lang w:val="en-GB"/>
        </w:rPr>
        <w:t>Table of Contents</w:t>
      </w:r>
      <w:bookmarkEnd w:id="0"/>
    </w:p>
    <w:p w14:paraId="5C323FB6">
      <w:pPr>
        <w:pStyle w:val="12"/>
        <w:tabs>
          <w:tab w:val="right" w:leader="dot" w:pos="8306"/>
        </w:tabs>
      </w:pPr>
      <w:r>
        <w:rPr>
          <w:rFonts w:hint="default" w:ascii="Calibri" w:hAnsi="Calibri" w:cs="Calibri"/>
          <w:sz w:val="32"/>
          <w:szCs w:val="32"/>
          <w:lang w:val="en-GB"/>
        </w:rPr>
        <w:fldChar w:fldCharType="begin"/>
      </w:r>
      <w:r>
        <w:rPr>
          <w:rFonts w:hint="default" w:ascii="Calibri" w:hAnsi="Calibri" w:cs="Calibri"/>
          <w:sz w:val="32"/>
          <w:szCs w:val="32"/>
          <w:lang w:val="en-GB"/>
        </w:rPr>
        <w:instrText xml:space="preserve">TOC \o "1-3" \h \u </w:instrText>
      </w:r>
      <w:r>
        <w:rPr>
          <w:rFonts w:hint="default" w:ascii="Calibri" w:hAnsi="Calibri" w:cs="Calibri"/>
          <w:sz w:val="32"/>
          <w:szCs w:val="32"/>
          <w:lang w:val="en-GB"/>
        </w:rPr>
        <w:fldChar w:fldCharType="separate"/>
      </w:r>
      <w:r>
        <w:rPr>
          <w:rFonts w:hint="default" w:ascii="Calibri" w:hAnsi="Calibri" w:cs="Calibri"/>
          <w:szCs w:val="32"/>
          <w:lang w:val="en-GB"/>
        </w:rPr>
        <w:fldChar w:fldCharType="begin"/>
      </w:r>
      <w:r>
        <w:rPr>
          <w:rFonts w:hint="default" w:ascii="Calibri" w:hAnsi="Calibri" w:cs="Calibri"/>
          <w:szCs w:val="32"/>
          <w:lang w:val="en-GB"/>
        </w:rPr>
        <w:instrText xml:space="preserve"> HYPERLINK \l _Toc27104 </w:instrText>
      </w:r>
      <w:r>
        <w:rPr>
          <w:rFonts w:hint="default" w:ascii="Calibri" w:hAnsi="Calibri" w:cs="Calibri"/>
          <w:szCs w:val="32"/>
          <w:lang w:val="en-GB"/>
        </w:rPr>
        <w:fldChar w:fldCharType="separate"/>
      </w:r>
      <w:r>
        <w:rPr>
          <w:rFonts w:hint="default"/>
          <w:szCs w:val="24"/>
          <w:lang w:val="en-GB"/>
        </w:rPr>
        <w:t xml:space="preserve">1. </w:t>
      </w:r>
      <w:r>
        <w:rPr>
          <w:rFonts w:hint="default" w:ascii="Calibri" w:hAnsi="Calibri" w:cs="Calibri"/>
          <w:szCs w:val="24"/>
          <w:lang w:val="en-GB" w:eastAsia="zh-CN"/>
        </w:rPr>
        <w:t>Introduction</w:t>
      </w:r>
      <w:r>
        <w:tab/>
      </w:r>
      <w:r>
        <w:fldChar w:fldCharType="begin"/>
      </w:r>
      <w:r>
        <w:instrText xml:space="preserve"> PAGEREF _Toc27104 \h </w:instrText>
      </w:r>
      <w:r>
        <w:fldChar w:fldCharType="separate"/>
      </w:r>
      <w:r>
        <w:t>3</w:t>
      </w:r>
      <w:r>
        <w:fldChar w:fldCharType="end"/>
      </w:r>
      <w:r>
        <w:rPr>
          <w:rFonts w:hint="default" w:ascii="Calibri" w:hAnsi="Calibri" w:cs="Calibri"/>
          <w:szCs w:val="32"/>
          <w:lang w:val="en-GB"/>
        </w:rPr>
        <w:fldChar w:fldCharType="end"/>
      </w:r>
    </w:p>
    <w:p w14:paraId="1DD7D2EB">
      <w:pPr>
        <w:pStyle w:val="12"/>
        <w:tabs>
          <w:tab w:val="right" w:leader="dot" w:pos="8306"/>
        </w:tabs>
      </w:pPr>
      <w:r>
        <w:rPr>
          <w:rFonts w:hint="default" w:ascii="Calibri" w:hAnsi="Calibri" w:cs="Calibri"/>
          <w:szCs w:val="32"/>
          <w:lang w:val="en-GB"/>
        </w:rPr>
        <w:fldChar w:fldCharType="begin"/>
      </w:r>
      <w:r>
        <w:rPr>
          <w:rFonts w:hint="default" w:ascii="Calibri" w:hAnsi="Calibri" w:cs="Calibri"/>
          <w:szCs w:val="32"/>
          <w:lang w:val="en-GB"/>
        </w:rPr>
        <w:instrText xml:space="preserve"> HYPERLINK \l _Toc27384 </w:instrText>
      </w:r>
      <w:r>
        <w:rPr>
          <w:rFonts w:hint="default" w:ascii="Calibri" w:hAnsi="Calibri" w:cs="Calibri"/>
          <w:szCs w:val="32"/>
          <w:lang w:val="en-GB"/>
        </w:rPr>
        <w:fldChar w:fldCharType="separate"/>
      </w:r>
      <w:r>
        <w:rPr>
          <w:rFonts w:hint="default" w:ascii="Calibri" w:hAnsi="Calibri" w:cs="Calibri"/>
          <w:szCs w:val="24"/>
          <w:lang w:val="en-GB" w:eastAsia="zh-CN"/>
        </w:rPr>
        <w:t>2. Financial Health Check</w:t>
      </w:r>
      <w:r>
        <w:tab/>
      </w:r>
      <w:r>
        <w:fldChar w:fldCharType="begin"/>
      </w:r>
      <w:r>
        <w:instrText xml:space="preserve"> PAGEREF _Toc27384 \h </w:instrText>
      </w:r>
      <w:r>
        <w:fldChar w:fldCharType="separate"/>
      </w:r>
      <w:r>
        <w:t>4</w:t>
      </w:r>
      <w:r>
        <w:fldChar w:fldCharType="end"/>
      </w:r>
      <w:r>
        <w:rPr>
          <w:rFonts w:hint="default" w:ascii="Calibri" w:hAnsi="Calibri" w:cs="Calibri"/>
          <w:szCs w:val="32"/>
          <w:lang w:val="en-GB"/>
        </w:rPr>
        <w:fldChar w:fldCharType="end"/>
      </w:r>
    </w:p>
    <w:p w14:paraId="4A535A9D">
      <w:pPr>
        <w:pStyle w:val="13"/>
        <w:tabs>
          <w:tab w:val="right" w:leader="dot" w:pos="8306"/>
        </w:tabs>
      </w:pPr>
      <w:r>
        <w:rPr>
          <w:rFonts w:hint="default" w:ascii="Calibri" w:hAnsi="Calibri" w:cs="Calibri"/>
          <w:szCs w:val="32"/>
          <w:lang w:val="en-GB"/>
        </w:rPr>
        <w:fldChar w:fldCharType="begin"/>
      </w:r>
      <w:r>
        <w:rPr>
          <w:rFonts w:hint="default" w:ascii="Calibri" w:hAnsi="Calibri" w:cs="Calibri"/>
          <w:szCs w:val="32"/>
          <w:lang w:val="en-GB"/>
        </w:rPr>
        <w:instrText xml:space="preserve"> HYPERLINK \l _Toc12055 </w:instrText>
      </w:r>
      <w:r>
        <w:rPr>
          <w:rFonts w:hint="default" w:ascii="Calibri" w:hAnsi="Calibri" w:cs="Calibri"/>
          <w:szCs w:val="32"/>
          <w:lang w:val="en-GB"/>
        </w:rPr>
        <w:fldChar w:fldCharType="separate"/>
      </w:r>
      <w:r>
        <w:rPr>
          <w:rFonts w:hint="default" w:ascii="Calibri" w:hAnsi="Calibri" w:cs="Calibri"/>
          <w:szCs w:val="24"/>
          <w:lang w:val="en-GB"/>
        </w:rPr>
        <w:t>2.1 Overview of five Year Performance</w:t>
      </w:r>
      <w:r>
        <w:tab/>
      </w:r>
      <w:r>
        <w:fldChar w:fldCharType="begin"/>
      </w:r>
      <w:r>
        <w:instrText xml:space="preserve"> PAGEREF _Toc12055 \h </w:instrText>
      </w:r>
      <w:r>
        <w:fldChar w:fldCharType="separate"/>
      </w:r>
      <w:r>
        <w:t>4</w:t>
      </w:r>
      <w:r>
        <w:fldChar w:fldCharType="end"/>
      </w:r>
      <w:r>
        <w:rPr>
          <w:rFonts w:hint="default" w:ascii="Calibri" w:hAnsi="Calibri" w:cs="Calibri"/>
          <w:szCs w:val="32"/>
          <w:lang w:val="en-GB"/>
        </w:rPr>
        <w:fldChar w:fldCharType="end"/>
      </w:r>
    </w:p>
    <w:p w14:paraId="3F137249">
      <w:pPr>
        <w:pStyle w:val="13"/>
        <w:tabs>
          <w:tab w:val="right" w:leader="dot" w:pos="8306"/>
        </w:tabs>
      </w:pPr>
      <w:r>
        <w:rPr>
          <w:rFonts w:hint="default" w:ascii="Calibri" w:hAnsi="Calibri" w:cs="Calibri"/>
          <w:szCs w:val="32"/>
          <w:lang w:val="en-GB"/>
        </w:rPr>
        <w:fldChar w:fldCharType="begin"/>
      </w:r>
      <w:r>
        <w:rPr>
          <w:rFonts w:hint="default" w:ascii="Calibri" w:hAnsi="Calibri" w:cs="Calibri"/>
          <w:szCs w:val="32"/>
          <w:lang w:val="en-GB"/>
        </w:rPr>
        <w:instrText xml:space="preserve"> HYPERLINK \l _Toc19384 </w:instrText>
      </w:r>
      <w:r>
        <w:rPr>
          <w:rFonts w:hint="default" w:ascii="Calibri" w:hAnsi="Calibri" w:cs="Calibri"/>
          <w:szCs w:val="32"/>
          <w:lang w:val="en-GB"/>
        </w:rPr>
        <w:fldChar w:fldCharType="separate"/>
      </w:r>
      <w:r>
        <w:rPr>
          <w:rFonts w:hint="default" w:ascii="Calibri" w:hAnsi="Calibri" w:cs="Calibri"/>
          <w:szCs w:val="24"/>
          <w:lang w:val="en-GB" w:eastAsia="zh-CN"/>
        </w:rPr>
        <w:t>2.2 Profitability Ratio Analysis</w:t>
      </w:r>
      <w:r>
        <w:tab/>
      </w:r>
      <w:r>
        <w:fldChar w:fldCharType="begin"/>
      </w:r>
      <w:r>
        <w:instrText xml:space="preserve"> PAGEREF _Toc19384 \h </w:instrText>
      </w:r>
      <w:r>
        <w:fldChar w:fldCharType="separate"/>
      </w:r>
      <w:r>
        <w:t>4</w:t>
      </w:r>
      <w:r>
        <w:fldChar w:fldCharType="end"/>
      </w:r>
      <w:r>
        <w:rPr>
          <w:rFonts w:hint="default" w:ascii="Calibri" w:hAnsi="Calibri" w:cs="Calibri"/>
          <w:szCs w:val="32"/>
          <w:lang w:val="en-GB"/>
        </w:rPr>
        <w:fldChar w:fldCharType="end"/>
      </w:r>
    </w:p>
    <w:p w14:paraId="03EE6A23">
      <w:pPr>
        <w:pStyle w:val="14"/>
        <w:tabs>
          <w:tab w:val="right" w:leader="dot" w:pos="8306"/>
        </w:tabs>
      </w:pPr>
      <w:r>
        <w:rPr>
          <w:rFonts w:hint="default" w:ascii="Calibri" w:hAnsi="Calibri" w:cs="Calibri"/>
          <w:szCs w:val="32"/>
          <w:lang w:val="en-GB"/>
        </w:rPr>
        <w:fldChar w:fldCharType="begin"/>
      </w:r>
      <w:r>
        <w:rPr>
          <w:rFonts w:hint="default" w:ascii="Calibri" w:hAnsi="Calibri" w:cs="Calibri"/>
          <w:szCs w:val="32"/>
          <w:lang w:val="en-GB"/>
        </w:rPr>
        <w:instrText xml:space="preserve"> HYPERLINK \l _Toc15692 </w:instrText>
      </w:r>
      <w:r>
        <w:rPr>
          <w:rFonts w:hint="default" w:ascii="Calibri" w:hAnsi="Calibri" w:cs="Calibri"/>
          <w:szCs w:val="32"/>
          <w:lang w:val="en-GB"/>
        </w:rPr>
        <w:fldChar w:fldCharType="separate"/>
      </w:r>
      <w:r>
        <w:rPr>
          <w:rFonts w:hint="default" w:ascii="Calibri" w:hAnsi="Calibri" w:cs="Calibri"/>
          <w:szCs w:val="24"/>
          <w:lang w:val="en-GB" w:eastAsia="zh-CN"/>
        </w:rPr>
        <w:t>2.2.1 Gross Profit Margin</w:t>
      </w:r>
      <w:r>
        <w:tab/>
      </w:r>
      <w:r>
        <w:fldChar w:fldCharType="begin"/>
      </w:r>
      <w:r>
        <w:instrText xml:space="preserve"> PAGEREF _Toc15692 \h </w:instrText>
      </w:r>
      <w:r>
        <w:fldChar w:fldCharType="separate"/>
      </w:r>
      <w:r>
        <w:t>5</w:t>
      </w:r>
      <w:r>
        <w:fldChar w:fldCharType="end"/>
      </w:r>
      <w:r>
        <w:rPr>
          <w:rFonts w:hint="default" w:ascii="Calibri" w:hAnsi="Calibri" w:cs="Calibri"/>
          <w:szCs w:val="32"/>
          <w:lang w:val="en-GB"/>
        </w:rPr>
        <w:fldChar w:fldCharType="end"/>
      </w:r>
    </w:p>
    <w:p w14:paraId="1EA6903A">
      <w:pPr>
        <w:pStyle w:val="14"/>
        <w:tabs>
          <w:tab w:val="right" w:leader="dot" w:pos="8306"/>
        </w:tabs>
      </w:pPr>
      <w:r>
        <w:rPr>
          <w:rFonts w:hint="default" w:ascii="Calibri" w:hAnsi="Calibri" w:cs="Calibri"/>
          <w:szCs w:val="32"/>
          <w:lang w:val="en-GB"/>
        </w:rPr>
        <w:fldChar w:fldCharType="begin"/>
      </w:r>
      <w:r>
        <w:rPr>
          <w:rFonts w:hint="default" w:ascii="Calibri" w:hAnsi="Calibri" w:cs="Calibri"/>
          <w:szCs w:val="32"/>
          <w:lang w:val="en-GB"/>
        </w:rPr>
        <w:instrText xml:space="preserve"> HYPERLINK \l _Toc19164 </w:instrText>
      </w:r>
      <w:r>
        <w:rPr>
          <w:rFonts w:hint="default" w:ascii="Calibri" w:hAnsi="Calibri" w:cs="Calibri"/>
          <w:szCs w:val="32"/>
          <w:lang w:val="en-GB"/>
        </w:rPr>
        <w:fldChar w:fldCharType="separate"/>
      </w:r>
      <w:r>
        <w:rPr>
          <w:rFonts w:hint="default" w:ascii="Calibri" w:hAnsi="Calibri" w:cs="Calibri"/>
          <w:szCs w:val="24"/>
          <w:lang w:val="en-GB" w:eastAsia="zh-CN"/>
        </w:rPr>
        <w:t>2.2.2 Operating Margin</w:t>
      </w:r>
      <w:r>
        <w:tab/>
      </w:r>
      <w:r>
        <w:fldChar w:fldCharType="begin"/>
      </w:r>
      <w:r>
        <w:instrText xml:space="preserve"> PAGEREF _Toc19164 \h </w:instrText>
      </w:r>
      <w:r>
        <w:fldChar w:fldCharType="separate"/>
      </w:r>
      <w:r>
        <w:t>5</w:t>
      </w:r>
      <w:r>
        <w:fldChar w:fldCharType="end"/>
      </w:r>
      <w:r>
        <w:rPr>
          <w:rFonts w:hint="default" w:ascii="Calibri" w:hAnsi="Calibri" w:cs="Calibri"/>
          <w:szCs w:val="32"/>
          <w:lang w:val="en-GB"/>
        </w:rPr>
        <w:fldChar w:fldCharType="end"/>
      </w:r>
    </w:p>
    <w:p w14:paraId="618ADBEE">
      <w:pPr>
        <w:pStyle w:val="14"/>
        <w:tabs>
          <w:tab w:val="right" w:leader="dot" w:pos="8306"/>
        </w:tabs>
      </w:pPr>
      <w:r>
        <w:rPr>
          <w:rFonts w:hint="default" w:ascii="Calibri" w:hAnsi="Calibri" w:cs="Calibri"/>
          <w:szCs w:val="32"/>
          <w:lang w:val="en-GB"/>
        </w:rPr>
        <w:fldChar w:fldCharType="begin"/>
      </w:r>
      <w:r>
        <w:rPr>
          <w:rFonts w:hint="default" w:ascii="Calibri" w:hAnsi="Calibri" w:cs="Calibri"/>
          <w:szCs w:val="32"/>
          <w:lang w:val="en-GB"/>
        </w:rPr>
        <w:instrText xml:space="preserve"> HYPERLINK \l _Toc4406 </w:instrText>
      </w:r>
      <w:r>
        <w:rPr>
          <w:rFonts w:hint="default" w:ascii="Calibri" w:hAnsi="Calibri" w:cs="Calibri"/>
          <w:szCs w:val="32"/>
          <w:lang w:val="en-GB"/>
        </w:rPr>
        <w:fldChar w:fldCharType="separate"/>
      </w:r>
      <w:r>
        <w:rPr>
          <w:rFonts w:hint="default" w:ascii="Calibri" w:hAnsi="Calibri" w:cs="Calibri"/>
          <w:szCs w:val="24"/>
          <w:lang w:val="en-GB" w:eastAsia="zh-CN"/>
        </w:rPr>
        <w:t>2.2.3 Net Profit Margin</w:t>
      </w:r>
      <w:r>
        <w:tab/>
      </w:r>
      <w:r>
        <w:fldChar w:fldCharType="begin"/>
      </w:r>
      <w:r>
        <w:instrText xml:space="preserve"> PAGEREF _Toc4406 \h </w:instrText>
      </w:r>
      <w:r>
        <w:fldChar w:fldCharType="separate"/>
      </w:r>
      <w:r>
        <w:t>5</w:t>
      </w:r>
      <w:r>
        <w:fldChar w:fldCharType="end"/>
      </w:r>
      <w:r>
        <w:rPr>
          <w:rFonts w:hint="default" w:ascii="Calibri" w:hAnsi="Calibri" w:cs="Calibri"/>
          <w:szCs w:val="32"/>
          <w:lang w:val="en-GB"/>
        </w:rPr>
        <w:fldChar w:fldCharType="end"/>
      </w:r>
    </w:p>
    <w:p w14:paraId="7967DB9D">
      <w:pPr>
        <w:pStyle w:val="14"/>
        <w:tabs>
          <w:tab w:val="right" w:leader="dot" w:pos="8306"/>
        </w:tabs>
      </w:pPr>
      <w:r>
        <w:rPr>
          <w:rFonts w:hint="default" w:ascii="Calibri" w:hAnsi="Calibri" w:cs="Calibri"/>
          <w:szCs w:val="32"/>
          <w:lang w:val="en-GB"/>
        </w:rPr>
        <w:fldChar w:fldCharType="begin"/>
      </w:r>
      <w:r>
        <w:rPr>
          <w:rFonts w:hint="default" w:ascii="Calibri" w:hAnsi="Calibri" w:cs="Calibri"/>
          <w:szCs w:val="32"/>
          <w:lang w:val="en-GB"/>
        </w:rPr>
        <w:instrText xml:space="preserve"> HYPERLINK \l _Toc28473 </w:instrText>
      </w:r>
      <w:r>
        <w:rPr>
          <w:rFonts w:hint="default" w:ascii="Calibri" w:hAnsi="Calibri" w:cs="Calibri"/>
          <w:szCs w:val="32"/>
          <w:lang w:val="en-GB"/>
        </w:rPr>
        <w:fldChar w:fldCharType="separate"/>
      </w:r>
      <w:r>
        <w:rPr>
          <w:rFonts w:hint="default" w:ascii="Calibri" w:hAnsi="Calibri" w:cs="Calibri"/>
          <w:szCs w:val="24"/>
          <w:lang w:val="en-GB" w:eastAsia="zh-CN"/>
        </w:rPr>
        <w:t>2.2.4 Return On Capital Employed</w:t>
      </w:r>
      <w:r>
        <w:tab/>
      </w:r>
      <w:r>
        <w:fldChar w:fldCharType="begin"/>
      </w:r>
      <w:r>
        <w:instrText xml:space="preserve"> PAGEREF _Toc28473 \h </w:instrText>
      </w:r>
      <w:r>
        <w:fldChar w:fldCharType="separate"/>
      </w:r>
      <w:r>
        <w:t>5</w:t>
      </w:r>
      <w:r>
        <w:fldChar w:fldCharType="end"/>
      </w:r>
      <w:r>
        <w:rPr>
          <w:rFonts w:hint="default" w:ascii="Calibri" w:hAnsi="Calibri" w:cs="Calibri"/>
          <w:szCs w:val="32"/>
          <w:lang w:val="en-GB"/>
        </w:rPr>
        <w:fldChar w:fldCharType="end"/>
      </w:r>
    </w:p>
    <w:p w14:paraId="78EB49BB">
      <w:pPr>
        <w:pStyle w:val="13"/>
        <w:tabs>
          <w:tab w:val="right" w:leader="dot" w:pos="8306"/>
        </w:tabs>
      </w:pPr>
      <w:r>
        <w:rPr>
          <w:rFonts w:hint="default" w:ascii="Calibri" w:hAnsi="Calibri" w:cs="Calibri"/>
          <w:szCs w:val="32"/>
          <w:lang w:val="en-GB"/>
        </w:rPr>
        <w:fldChar w:fldCharType="begin"/>
      </w:r>
      <w:r>
        <w:rPr>
          <w:rFonts w:hint="default" w:ascii="Calibri" w:hAnsi="Calibri" w:cs="Calibri"/>
          <w:szCs w:val="32"/>
          <w:lang w:val="en-GB"/>
        </w:rPr>
        <w:instrText xml:space="preserve"> HYPERLINK \l _Toc1896 </w:instrText>
      </w:r>
      <w:r>
        <w:rPr>
          <w:rFonts w:hint="default" w:ascii="Calibri" w:hAnsi="Calibri" w:cs="Calibri"/>
          <w:szCs w:val="32"/>
          <w:lang w:val="en-GB"/>
        </w:rPr>
        <w:fldChar w:fldCharType="separate"/>
      </w:r>
      <w:r>
        <w:rPr>
          <w:rFonts w:hint="default" w:ascii="Calibri" w:hAnsi="Calibri" w:cs="Calibri"/>
          <w:szCs w:val="24"/>
          <w:lang w:val="en-GB" w:eastAsia="zh-CN"/>
        </w:rPr>
        <w:t>2.3 Liquidity ratio</w:t>
      </w:r>
      <w:r>
        <w:tab/>
      </w:r>
      <w:r>
        <w:fldChar w:fldCharType="begin"/>
      </w:r>
      <w:r>
        <w:instrText xml:space="preserve"> PAGEREF _Toc1896 \h </w:instrText>
      </w:r>
      <w:r>
        <w:fldChar w:fldCharType="separate"/>
      </w:r>
      <w:r>
        <w:t>6</w:t>
      </w:r>
      <w:r>
        <w:fldChar w:fldCharType="end"/>
      </w:r>
      <w:r>
        <w:rPr>
          <w:rFonts w:hint="default" w:ascii="Calibri" w:hAnsi="Calibri" w:cs="Calibri"/>
          <w:szCs w:val="32"/>
          <w:lang w:val="en-GB"/>
        </w:rPr>
        <w:fldChar w:fldCharType="end"/>
      </w:r>
    </w:p>
    <w:p w14:paraId="5FB2AC5B">
      <w:pPr>
        <w:pStyle w:val="14"/>
        <w:tabs>
          <w:tab w:val="right" w:leader="dot" w:pos="8306"/>
        </w:tabs>
      </w:pPr>
      <w:r>
        <w:rPr>
          <w:rFonts w:hint="default" w:ascii="Calibri" w:hAnsi="Calibri" w:cs="Calibri"/>
          <w:szCs w:val="32"/>
          <w:lang w:val="en-GB"/>
        </w:rPr>
        <w:fldChar w:fldCharType="begin"/>
      </w:r>
      <w:r>
        <w:rPr>
          <w:rFonts w:hint="default" w:ascii="Calibri" w:hAnsi="Calibri" w:cs="Calibri"/>
          <w:szCs w:val="32"/>
          <w:lang w:val="en-GB"/>
        </w:rPr>
        <w:instrText xml:space="preserve"> HYPERLINK \l _Toc6114 </w:instrText>
      </w:r>
      <w:r>
        <w:rPr>
          <w:rFonts w:hint="default" w:ascii="Calibri" w:hAnsi="Calibri" w:cs="Calibri"/>
          <w:szCs w:val="32"/>
          <w:lang w:val="en-GB"/>
        </w:rPr>
        <w:fldChar w:fldCharType="separate"/>
      </w:r>
      <w:r>
        <w:rPr>
          <w:rFonts w:hint="default" w:ascii="Calibri" w:hAnsi="Calibri" w:cs="Calibri"/>
          <w:szCs w:val="24"/>
          <w:lang w:val="en-GB" w:eastAsia="zh-CN"/>
        </w:rPr>
        <w:t>2.3.1 Currant Ratio</w:t>
      </w:r>
      <w:r>
        <w:tab/>
      </w:r>
      <w:r>
        <w:fldChar w:fldCharType="begin"/>
      </w:r>
      <w:r>
        <w:instrText xml:space="preserve"> PAGEREF _Toc6114 \h </w:instrText>
      </w:r>
      <w:r>
        <w:fldChar w:fldCharType="separate"/>
      </w:r>
      <w:r>
        <w:t>6</w:t>
      </w:r>
      <w:r>
        <w:fldChar w:fldCharType="end"/>
      </w:r>
      <w:r>
        <w:rPr>
          <w:rFonts w:hint="default" w:ascii="Calibri" w:hAnsi="Calibri" w:cs="Calibri"/>
          <w:szCs w:val="32"/>
          <w:lang w:val="en-GB"/>
        </w:rPr>
        <w:fldChar w:fldCharType="end"/>
      </w:r>
    </w:p>
    <w:p w14:paraId="706A15C9">
      <w:pPr>
        <w:pStyle w:val="14"/>
        <w:tabs>
          <w:tab w:val="right" w:leader="dot" w:pos="8306"/>
        </w:tabs>
      </w:pPr>
      <w:r>
        <w:rPr>
          <w:rFonts w:hint="default" w:ascii="Calibri" w:hAnsi="Calibri" w:cs="Calibri"/>
          <w:szCs w:val="32"/>
          <w:lang w:val="en-GB"/>
        </w:rPr>
        <w:fldChar w:fldCharType="begin"/>
      </w:r>
      <w:r>
        <w:rPr>
          <w:rFonts w:hint="default" w:ascii="Calibri" w:hAnsi="Calibri" w:cs="Calibri"/>
          <w:szCs w:val="32"/>
          <w:lang w:val="en-GB"/>
        </w:rPr>
        <w:instrText xml:space="preserve"> HYPERLINK \l _Toc19535 </w:instrText>
      </w:r>
      <w:r>
        <w:rPr>
          <w:rFonts w:hint="default" w:ascii="Calibri" w:hAnsi="Calibri" w:cs="Calibri"/>
          <w:szCs w:val="32"/>
          <w:lang w:val="en-GB"/>
        </w:rPr>
        <w:fldChar w:fldCharType="separate"/>
      </w:r>
      <w:r>
        <w:rPr>
          <w:rFonts w:hint="default" w:ascii="Calibri" w:hAnsi="Calibri" w:cs="Calibri"/>
          <w:szCs w:val="24"/>
          <w:lang w:val="en-GB" w:eastAsia="zh-CN"/>
        </w:rPr>
        <w:t>2.3.2 Quick Ratio</w:t>
      </w:r>
      <w:r>
        <w:tab/>
      </w:r>
      <w:r>
        <w:fldChar w:fldCharType="begin"/>
      </w:r>
      <w:r>
        <w:instrText xml:space="preserve"> PAGEREF _Toc19535 \h </w:instrText>
      </w:r>
      <w:r>
        <w:fldChar w:fldCharType="separate"/>
      </w:r>
      <w:r>
        <w:t>6</w:t>
      </w:r>
      <w:r>
        <w:fldChar w:fldCharType="end"/>
      </w:r>
      <w:r>
        <w:rPr>
          <w:rFonts w:hint="default" w:ascii="Calibri" w:hAnsi="Calibri" w:cs="Calibri"/>
          <w:szCs w:val="32"/>
          <w:lang w:val="en-GB"/>
        </w:rPr>
        <w:fldChar w:fldCharType="end"/>
      </w:r>
    </w:p>
    <w:p w14:paraId="5AFBF0E5">
      <w:pPr>
        <w:pStyle w:val="14"/>
        <w:tabs>
          <w:tab w:val="right" w:leader="dot" w:pos="8306"/>
        </w:tabs>
      </w:pPr>
      <w:r>
        <w:rPr>
          <w:rFonts w:hint="default" w:ascii="Calibri" w:hAnsi="Calibri" w:cs="Calibri"/>
          <w:szCs w:val="32"/>
          <w:lang w:val="en-GB"/>
        </w:rPr>
        <w:fldChar w:fldCharType="begin"/>
      </w:r>
      <w:r>
        <w:rPr>
          <w:rFonts w:hint="default" w:ascii="Calibri" w:hAnsi="Calibri" w:cs="Calibri"/>
          <w:szCs w:val="32"/>
          <w:lang w:val="en-GB"/>
        </w:rPr>
        <w:instrText xml:space="preserve"> HYPERLINK \l _Toc27309 </w:instrText>
      </w:r>
      <w:r>
        <w:rPr>
          <w:rFonts w:hint="default" w:ascii="Calibri" w:hAnsi="Calibri" w:cs="Calibri"/>
          <w:szCs w:val="32"/>
          <w:lang w:val="en-GB"/>
        </w:rPr>
        <w:fldChar w:fldCharType="separate"/>
      </w:r>
      <w:r>
        <w:rPr>
          <w:rFonts w:hint="default" w:ascii="Calibri" w:hAnsi="Calibri" w:cs="Calibri"/>
          <w:szCs w:val="24"/>
          <w:lang w:val="en-GB" w:eastAsia="zh-CN"/>
        </w:rPr>
        <w:t>2.3.3 Cash Ratio</w:t>
      </w:r>
      <w:r>
        <w:tab/>
      </w:r>
      <w:r>
        <w:fldChar w:fldCharType="begin"/>
      </w:r>
      <w:r>
        <w:instrText xml:space="preserve"> PAGEREF _Toc27309 \h </w:instrText>
      </w:r>
      <w:r>
        <w:fldChar w:fldCharType="separate"/>
      </w:r>
      <w:r>
        <w:t>6</w:t>
      </w:r>
      <w:r>
        <w:fldChar w:fldCharType="end"/>
      </w:r>
      <w:r>
        <w:rPr>
          <w:rFonts w:hint="default" w:ascii="Calibri" w:hAnsi="Calibri" w:cs="Calibri"/>
          <w:szCs w:val="32"/>
          <w:lang w:val="en-GB"/>
        </w:rPr>
        <w:fldChar w:fldCharType="end"/>
      </w:r>
    </w:p>
    <w:p w14:paraId="44DB8B77">
      <w:pPr>
        <w:pStyle w:val="13"/>
        <w:tabs>
          <w:tab w:val="right" w:leader="dot" w:pos="8306"/>
        </w:tabs>
      </w:pPr>
      <w:r>
        <w:rPr>
          <w:rFonts w:hint="default" w:ascii="Calibri" w:hAnsi="Calibri" w:cs="Calibri"/>
          <w:szCs w:val="32"/>
          <w:lang w:val="en-GB"/>
        </w:rPr>
        <w:fldChar w:fldCharType="begin"/>
      </w:r>
      <w:r>
        <w:rPr>
          <w:rFonts w:hint="default" w:ascii="Calibri" w:hAnsi="Calibri" w:cs="Calibri"/>
          <w:szCs w:val="32"/>
          <w:lang w:val="en-GB"/>
        </w:rPr>
        <w:instrText xml:space="preserve"> HYPERLINK \l _Toc21785 </w:instrText>
      </w:r>
      <w:r>
        <w:rPr>
          <w:rFonts w:hint="default" w:ascii="Calibri" w:hAnsi="Calibri" w:cs="Calibri"/>
          <w:szCs w:val="32"/>
          <w:lang w:val="en-GB"/>
        </w:rPr>
        <w:fldChar w:fldCharType="separate"/>
      </w:r>
      <w:r>
        <w:rPr>
          <w:rFonts w:hint="default" w:ascii="Calibri" w:hAnsi="Calibri" w:cs="Calibri"/>
          <w:szCs w:val="24"/>
          <w:lang w:val="en-GB" w:eastAsia="zh-CN"/>
        </w:rPr>
        <w:t>2.4 Efficiancy Ratio</w:t>
      </w:r>
      <w:r>
        <w:tab/>
      </w:r>
      <w:r>
        <w:fldChar w:fldCharType="begin"/>
      </w:r>
      <w:r>
        <w:instrText xml:space="preserve"> PAGEREF _Toc21785 \h </w:instrText>
      </w:r>
      <w:r>
        <w:fldChar w:fldCharType="separate"/>
      </w:r>
      <w:r>
        <w:t>6</w:t>
      </w:r>
      <w:r>
        <w:fldChar w:fldCharType="end"/>
      </w:r>
      <w:r>
        <w:rPr>
          <w:rFonts w:hint="default" w:ascii="Calibri" w:hAnsi="Calibri" w:cs="Calibri"/>
          <w:szCs w:val="32"/>
          <w:lang w:val="en-GB"/>
        </w:rPr>
        <w:fldChar w:fldCharType="end"/>
      </w:r>
    </w:p>
    <w:p w14:paraId="1A9D3B57">
      <w:pPr>
        <w:pStyle w:val="14"/>
        <w:tabs>
          <w:tab w:val="right" w:leader="dot" w:pos="8306"/>
        </w:tabs>
      </w:pPr>
      <w:r>
        <w:rPr>
          <w:rFonts w:hint="default" w:ascii="Calibri" w:hAnsi="Calibri" w:cs="Calibri"/>
          <w:szCs w:val="32"/>
          <w:lang w:val="en-GB"/>
        </w:rPr>
        <w:fldChar w:fldCharType="begin"/>
      </w:r>
      <w:r>
        <w:rPr>
          <w:rFonts w:hint="default" w:ascii="Calibri" w:hAnsi="Calibri" w:cs="Calibri"/>
          <w:szCs w:val="32"/>
          <w:lang w:val="en-GB"/>
        </w:rPr>
        <w:instrText xml:space="preserve"> HYPERLINK \l _Toc7155 </w:instrText>
      </w:r>
      <w:r>
        <w:rPr>
          <w:rFonts w:hint="default" w:ascii="Calibri" w:hAnsi="Calibri" w:cs="Calibri"/>
          <w:szCs w:val="32"/>
          <w:lang w:val="en-GB"/>
        </w:rPr>
        <w:fldChar w:fldCharType="separate"/>
      </w:r>
      <w:r>
        <w:rPr>
          <w:rFonts w:hint="default" w:ascii="Calibri" w:hAnsi="Calibri" w:cs="Calibri"/>
          <w:szCs w:val="24"/>
          <w:lang w:val="en-GB" w:eastAsia="zh-CN"/>
        </w:rPr>
        <w:t>2.4.1 Asset Turnover</w:t>
      </w:r>
      <w:r>
        <w:tab/>
      </w:r>
      <w:r>
        <w:fldChar w:fldCharType="begin"/>
      </w:r>
      <w:r>
        <w:instrText xml:space="preserve"> PAGEREF _Toc7155 \h </w:instrText>
      </w:r>
      <w:r>
        <w:fldChar w:fldCharType="separate"/>
      </w:r>
      <w:r>
        <w:t>7</w:t>
      </w:r>
      <w:r>
        <w:fldChar w:fldCharType="end"/>
      </w:r>
      <w:r>
        <w:rPr>
          <w:rFonts w:hint="default" w:ascii="Calibri" w:hAnsi="Calibri" w:cs="Calibri"/>
          <w:szCs w:val="32"/>
          <w:lang w:val="en-GB"/>
        </w:rPr>
        <w:fldChar w:fldCharType="end"/>
      </w:r>
    </w:p>
    <w:p w14:paraId="0B17A2D8">
      <w:pPr>
        <w:pStyle w:val="14"/>
        <w:tabs>
          <w:tab w:val="right" w:leader="dot" w:pos="8306"/>
        </w:tabs>
      </w:pPr>
      <w:r>
        <w:rPr>
          <w:rFonts w:hint="default" w:ascii="Calibri" w:hAnsi="Calibri" w:cs="Calibri"/>
          <w:szCs w:val="32"/>
          <w:lang w:val="en-GB"/>
        </w:rPr>
        <w:fldChar w:fldCharType="begin"/>
      </w:r>
      <w:r>
        <w:rPr>
          <w:rFonts w:hint="default" w:ascii="Calibri" w:hAnsi="Calibri" w:cs="Calibri"/>
          <w:szCs w:val="32"/>
          <w:lang w:val="en-GB"/>
        </w:rPr>
        <w:instrText xml:space="preserve"> HYPERLINK \l _Toc28922 </w:instrText>
      </w:r>
      <w:r>
        <w:rPr>
          <w:rFonts w:hint="default" w:ascii="Calibri" w:hAnsi="Calibri" w:cs="Calibri"/>
          <w:szCs w:val="32"/>
          <w:lang w:val="en-GB"/>
        </w:rPr>
        <w:fldChar w:fldCharType="separate"/>
      </w:r>
      <w:r>
        <w:rPr>
          <w:rFonts w:hint="default" w:ascii="Calibri" w:hAnsi="Calibri" w:cs="Calibri"/>
          <w:szCs w:val="24"/>
          <w:lang w:val="en-GB" w:eastAsia="zh-CN"/>
        </w:rPr>
        <w:t>2.4.2 Inventory Turnover Ratio</w:t>
      </w:r>
      <w:r>
        <w:tab/>
      </w:r>
      <w:r>
        <w:fldChar w:fldCharType="begin"/>
      </w:r>
      <w:r>
        <w:instrText xml:space="preserve"> PAGEREF _Toc28922 \h </w:instrText>
      </w:r>
      <w:r>
        <w:fldChar w:fldCharType="separate"/>
      </w:r>
      <w:r>
        <w:t>7</w:t>
      </w:r>
      <w:r>
        <w:fldChar w:fldCharType="end"/>
      </w:r>
      <w:r>
        <w:rPr>
          <w:rFonts w:hint="default" w:ascii="Calibri" w:hAnsi="Calibri" w:cs="Calibri"/>
          <w:szCs w:val="32"/>
          <w:lang w:val="en-GB"/>
        </w:rPr>
        <w:fldChar w:fldCharType="end"/>
      </w:r>
    </w:p>
    <w:p w14:paraId="62F92F2B">
      <w:pPr>
        <w:pStyle w:val="13"/>
        <w:tabs>
          <w:tab w:val="right" w:leader="dot" w:pos="8306"/>
        </w:tabs>
      </w:pPr>
      <w:r>
        <w:rPr>
          <w:rFonts w:hint="default" w:ascii="Calibri" w:hAnsi="Calibri" w:cs="Calibri"/>
          <w:szCs w:val="32"/>
          <w:lang w:val="en-GB"/>
        </w:rPr>
        <w:fldChar w:fldCharType="begin"/>
      </w:r>
      <w:r>
        <w:rPr>
          <w:rFonts w:hint="default" w:ascii="Calibri" w:hAnsi="Calibri" w:cs="Calibri"/>
          <w:szCs w:val="32"/>
          <w:lang w:val="en-GB"/>
        </w:rPr>
        <w:instrText xml:space="preserve"> HYPERLINK \l _Toc340 </w:instrText>
      </w:r>
      <w:r>
        <w:rPr>
          <w:rFonts w:hint="default" w:ascii="Calibri" w:hAnsi="Calibri" w:cs="Calibri"/>
          <w:szCs w:val="32"/>
          <w:lang w:val="en-GB"/>
        </w:rPr>
        <w:fldChar w:fldCharType="separate"/>
      </w:r>
      <w:r>
        <w:rPr>
          <w:rFonts w:hint="default" w:ascii="Calibri" w:hAnsi="Calibri" w:cs="Calibri"/>
          <w:szCs w:val="24"/>
          <w:lang w:val="en-GB" w:eastAsia="zh-CN"/>
        </w:rPr>
        <w:t>2.5 Gearing Ratios</w:t>
      </w:r>
      <w:r>
        <w:tab/>
      </w:r>
      <w:r>
        <w:fldChar w:fldCharType="begin"/>
      </w:r>
      <w:r>
        <w:instrText xml:space="preserve"> PAGEREF _Toc340 \h </w:instrText>
      </w:r>
      <w:r>
        <w:fldChar w:fldCharType="separate"/>
      </w:r>
      <w:r>
        <w:t>7</w:t>
      </w:r>
      <w:r>
        <w:fldChar w:fldCharType="end"/>
      </w:r>
      <w:r>
        <w:rPr>
          <w:rFonts w:hint="default" w:ascii="Calibri" w:hAnsi="Calibri" w:cs="Calibri"/>
          <w:szCs w:val="32"/>
          <w:lang w:val="en-GB"/>
        </w:rPr>
        <w:fldChar w:fldCharType="end"/>
      </w:r>
    </w:p>
    <w:p w14:paraId="29BB00C7">
      <w:pPr>
        <w:pStyle w:val="14"/>
        <w:tabs>
          <w:tab w:val="right" w:leader="dot" w:pos="8306"/>
        </w:tabs>
      </w:pPr>
      <w:r>
        <w:rPr>
          <w:rFonts w:hint="default" w:ascii="Calibri" w:hAnsi="Calibri" w:cs="Calibri"/>
          <w:szCs w:val="32"/>
          <w:lang w:val="en-GB"/>
        </w:rPr>
        <w:fldChar w:fldCharType="begin"/>
      </w:r>
      <w:r>
        <w:rPr>
          <w:rFonts w:hint="default" w:ascii="Calibri" w:hAnsi="Calibri" w:cs="Calibri"/>
          <w:szCs w:val="32"/>
          <w:lang w:val="en-GB"/>
        </w:rPr>
        <w:instrText xml:space="preserve"> HYPERLINK \l _Toc15719 </w:instrText>
      </w:r>
      <w:r>
        <w:rPr>
          <w:rFonts w:hint="default" w:ascii="Calibri" w:hAnsi="Calibri" w:cs="Calibri"/>
          <w:szCs w:val="32"/>
          <w:lang w:val="en-GB"/>
        </w:rPr>
        <w:fldChar w:fldCharType="separate"/>
      </w:r>
      <w:r>
        <w:rPr>
          <w:rFonts w:hint="default" w:ascii="Calibri" w:hAnsi="Calibri" w:cs="Calibri"/>
          <w:szCs w:val="24"/>
          <w:lang w:val="en-GB" w:eastAsia="zh-CN"/>
        </w:rPr>
        <w:t xml:space="preserve">2.5.1 </w:t>
      </w:r>
      <w:r>
        <w:rPr>
          <w:rFonts w:hint="default" w:ascii="Calibri" w:hAnsi="Calibri" w:cs="Calibri"/>
          <w:szCs w:val="24"/>
          <w:lang w:val="en-US" w:eastAsia="zh-CN"/>
        </w:rPr>
        <w:t>Interest Coverage Ratio</w:t>
      </w:r>
      <w:r>
        <w:tab/>
      </w:r>
      <w:r>
        <w:fldChar w:fldCharType="begin"/>
      </w:r>
      <w:r>
        <w:instrText xml:space="preserve"> PAGEREF _Toc15719 \h </w:instrText>
      </w:r>
      <w:r>
        <w:fldChar w:fldCharType="separate"/>
      </w:r>
      <w:r>
        <w:t>8</w:t>
      </w:r>
      <w:r>
        <w:fldChar w:fldCharType="end"/>
      </w:r>
      <w:r>
        <w:rPr>
          <w:rFonts w:hint="default" w:ascii="Calibri" w:hAnsi="Calibri" w:cs="Calibri"/>
          <w:szCs w:val="32"/>
          <w:lang w:val="en-GB"/>
        </w:rPr>
        <w:fldChar w:fldCharType="end"/>
      </w:r>
    </w:p>
    <w:p w14:paraId="2FE87094">
      <w:pPr>
        <w:pStyle w:val="14"/>
        <w:tabs>
          <w:tab w:val="right" w:leader="dot" w:pos="8306"/>
        </w:tabs>
      </w:pPr>
      <w:r>
        <w:rPr>
          <w:rFonts w:hint="default" w:ascii="Calibri" w:hAnsi="Calibri" w:cs="Calibri"/>
          <w:szCs w:val="32"/>
          <w:lang w:val="en-GB"/>
        </w:rPr>
        <w:fldChar w:fldCharType="begin"/>
      </w:r>
      <w:r>
        <w:rPr>
          <w:rFonts w:hint="default" w:ascii="Calibri" w:hAnsi="Calibri" w:cs="Calibri"/>
          <w:szCs w:val="32"/>
          <w:lang w:val="en-GB"/>
        </w:rPr>
        <w:instrText xml:space="preserve"> HYPERLINK \l _Toc12159 </w:instrText>
      </w:r>
      <w:r>
        <w:rPr>
          <w:rFonts w:hint="default" w:ascii="Calibri" w:hAnsi="Calibri" w:cs="Calibri"/>
          <w:szCs w:val="32"/>
          <w:lang w:val="en-GB"/>
        </w:rPr>
        <w:fldChar w:fldCharType="separate"/>
      </w:r>
      <w:r>
        <w:rPr>
          <w:rFonts w:hint="default" w:ascii="Calibri" w:hAnsi="Calibri" w:cs="Calibri"/>
          <w:szCs w:val="24"/>
          <w:lang w:val="en-GB" w:eastAsia="zh-CN"/>
        </w:rPr>
        <w:t xml:space="preserve">2.5.2 </w:t>
      </w:r>
      <w:r>
        <w:rPr>
          <w:rFonts w:hint="default" w:ascii="Calibri" w:hAnsi="Calibri" w:cs="Calibri"/>
          <w:szCs w:val="24"/>
          <w:lang w:val="en-US" w:eastAsia="zh-CN"/>
        </w:rPr>
        <w:t>Debt Equity Ratio</w:t>
      </w:r>
      <w:r>
        <w:tab/>
      </w:r>
      <w:r>
        <w:fldChar w:fldCharType="begin"/>
      </w:r>
      <w:r>
        <w:instrText xml:space="preserve"> PAGEREF _Toc12159 \h </w:instrText>
      </w:r>
      <w:r>
        <w:fldChar w:fldCharType="separate"/>
      </w:r>
      <w:r>
        <w:t>8</w:t>
      </w:r>
      <w:r>
        <w:fldChar w:fldCharType="end"/>
      </w:r>
      <w:r>
        <w:rPr>
          <w:rFonts w:hint="default" w:ascii="Calibri" w:hAnsi="Calibri" w:cs="Calibri"/>
          <w:szCs w:val="32"/>
          <w:lang w:val="en-GB"/>
        </w:rPr>
        <w:fldChar w:fldCharType="end"/>
      </w:r>
    </w:p>
    <w:p w14:paraId="62FD5D8F">
      <w:pPr>
        <w:pStyle w:val="14"/>
        <w:tabs>
          <w:tab w:val="right" w:leader="dot" w:pos="8306"/>
        </w:tabs>
      </w:pPr>
      <w:r>
        <w:rPr>
          <w:rFonts w:hint="default" w:ascii="Calibri" w:hAnsi="Calibri" w:cs="Calibri"/>
          <w:szCs w:val="32"/>
          <w:lang w:val="en-GB"/>
        </w:rPr>
        <w:fldChar w:fldCharType="begin"/>
      </w:r>
      <w:r>
        <w:rPr>
          <w:rFonts w:hint="default" w:ascii="Calibri" w:hAnsi="Calibri" w:cs="Calibri"/>
          <w:szCs w:val="32"/>
          <w:lang w:val="en-GB"/>
        </w:rPr>
        <w:instrText xml:space="preserve"> HYPERLINK \l _Toc23860 </w:instrText>
      </w:r>
      <w:r>
        <w:rPr>
          <w:rFonts w:hint="default" w:ascii="Calibri" w:hAnsi="Calibri" w:cs="Calibri"/>
          <w:szCs w:val="32"/>
          <w:lang w:val="en-GB"/>
        </w:rPr>
        <w:fldChar w:fldCharType="separate"/>
      </w:r>
      <w:r>
        <w:rPr>
          <w:rFonts w:hint="default" w:ascii="Calibri" w:hAnsi="Calibri" w:cs="Calibri"/>
          <w:szCs w:val="24"/>
          <w:lang w:val="en-GB" w:eastAsia="zh-CN"/>
        </w:rPr>
        <w:t xml:space="preserve">2.5.3 </w:t>
      </w:r>
      <w:r>
        <w:rPr>
          <w:rFonts w:hint="default" w:ascii="Calibri" w:hAnsi="Calibri" w:cs="Calibri"/>
          <w:szCs w:val="24"/>
          <w:lang w:val="en-US" w:eastAsia="zh-CN"/>
        </w:rPr>
        <w:t>Net Debt Ratio</w:t>
      </w:r>
      <w:r>
        <w:tab/>
      </w:r>
      <w:r>
        <w:fldChar w:fldCharType="begin"/>
      </w:r>
      <w:r>
        <w:instrText xml:space="preserve"> PAGEREF _Toc23860 \h </w:instrText>
      </w:r>
      <w:r>
        <w:fldChar w:fldCharType="separate"/>
      </w:r>
      <w:r>
        <w:t>8</w:t>
      </w:r>
      <w:r>
        <w:fldChar w:fldCharType="end"/>
      </w:r>
      <w:r>
        <w:rPr>
          <w:rFonts w:hint="default" w:ascii="Calibri" w:hAnsi="Calibri" w:cs="Calibri"/>
          <w:szCs w:val="32"/>
          <w:lang w:val="en-GB"/>
        </w:rPr>
        <w:fldChar w:fldCharType="end"/>
      </w:r>
    </w:p>
    <w:p w14:paraId="6FAFDBED">
      <w:pPr>
        <w:pStyle w:val="14"/>
        <w:tabs>
          <w:tab w:val="right" w:leader="dot" w:pos="8306"/>
        </w:tabs>
      </w:pPr>
      <w:r>
        <w:rPr>
          <w:rFonts w:hint="default" w:ascii="Calibri" w:hAnsi="Calibri" w:cs="Calibri"/>
          <w:szCs w:val="32"/>
          <w:lang w:val="en-GB"/>
        </w:rPr>
        <w:fldChar w:fldCharType="begin"/>
      </w:r>
      <w:r>
        <w:rPr>
          <w:rFonts w:hint="default" w:ascii="Calibri" w:hAnsi="Calibri" w:cs="Calibri"/>
          <w:szCs w:val="32"/>
          <w:lang w:val="en-GB"/>
        </w:rPr>
        <w:instrText xml:space="preserve"> HYPERLINK \l _Toc9037 </w:instrText>
      </w:r>
      <w:r>
        <w:rPr>
          <w:rFonts w:hint="default" w:ascii="Calibri" w:hAnsi="Calibri" w:cs="Calibri"/>
          <w:szCs w:val="32"/>
          <w:lang w:val="en-GB"/>
        </w:rPr>
        <w:fldChar w:fldCharType="separate"/>
      </w:r>
      <w:r>
        <w:rPr>
          <w:rFonts w:hint="default" w:ascii="Calibri" w:hAnsi="Calibri" w:cs="Calibri"/>
          <w:szCs w:val="24"/>
          <w:lang w:val="en-GB" w:eastAsia="zh-CN"/>
        </w:rPr>
        <w:t xml:space="preserve">2.5.4 </w:t>
      </w:r>
      <w:r>
        <w:rPr>
          <w:rFonts w:hint="default" w:ascii="Calibri" w:hAnsi="Calibri" w:cs="Calibri"/>
          <w:szCs w:val="24"/>
          <w:lang w:val="en-US" w:eastAsia="zh-CN"/>
        </w:rPr>
        <w:t>Debt to Enterprise Ratio</w:t>
      </w:r>
      <w:r>
        <w:tab/>
      </w:r>
      <w:r>
        <w:fldChar w:fldCharType="begin"/>
      </w:r>
      <w:r>
        <w:instrText xml:space="preserve"> PAGEREF _Toc9037 \h </w:instrText>
      </w:r>
      <w:r>
        <w:fldChar w:fldCharType="separate"/>
      </w:r>
      <w:r>
        <w:t>8</w:t>
      </w:r>
      <w:r>
        <w:fldChar w:fldCharType="end"/>
      </w:r>
      <w:r>
        <w:rPr>
          <w:rFonts w:hint="default" w:ascii="Calibri" w:hAnsi="Calibri" w:cs="Calibri"/>
          <w:szCs w:val="32"/>
          <w:lang w:val="en-GB"/>
        </w:rPr>
        <w:fldChar w:fldCharType="end"/>
      </w:r>
    </w:p>
    <w:p w14:paraId="6D78B86E">
      <w:pPr>
        <w:pStyle w:val="14"/>
        <w:tabs>
          <w:tab w:val="right" w:leader="dot" w:pos="8306"/>
        </w:tabs>
      </w:pPr>
      <w:r>
        <w:rPr>
          <w:rFonts w:hint="default" w:ascii="Calibri" w:hAnsi="Calibri" w:cs="Calibri"/>
          <w:szCs w:val="32"/>
          <w:lang w:val="en-GB"/>
        </w:rPr>
        <w:fldChar w:fldCharType="begin"/>
      </w:r>
      <w:r>
        <w:rPr>
          <w:rFonts w:hint="default" w:ascii="Calibri" w:hAnsi="Calibri" w:cs="Calibri"/>
          <w:szCs w:val="32"/>
          <w:lang w:val="en-GB"/>
        </w:rPr>
        <w:instrText xml:space="preserve"> HYPERLINK \l _Toc4552 </w:instrText>
      </w:r>
      <w:r>
        <w:rPr>
          <w:rFonts w:hint="default" w:ascii="Calibri" w:hAnsi="Calibri" w:cs="Calibri"/>
          <w:szCs w:val="32"/>
          <w:lang w:val="en-GB"/>
        </w:rPr>
        <w:fldChar w:fldCharType="separate"/>
      </w:r>
      <w:r>
        <w:rPr>
          <w:rFonts w:hint="default" w:ascii="Calibri" w:hAnsi="Calibri" w:cs="Calibri"/>
          <w:szCs w:val="24"/>
          <w:lang w:val="en-GB" w:eastAsia="zh-CN"/>
        </w:rPr>
        <w:t xml:space="preserve">2.5.5 </w:t>
      </w:r>
      <w:r>
        <w:rPr>
          <w:rFonts w:hint="default" w:ascii="Calibri" w:hAnsi="Calibri" w:cs="Calibri"/>
          <w:szCs w:val="24"/>
          <w:lang w:val="en-US" w:eastAsia="zh-CN"/>
        </w:rPr>
        <w:t>Equity Multiplier Ratio</w:t>
      </w:r>
      <w:r>
        <w:tab/>
      </w:r>
      <w:r>
        <w:fldChar w:fldCharType="begin"/>
      </w:r>
      <w:r>
        <w:instrText xml:space="preserve"> PAGEREF _Toc4552 \h </w:instrText>
      </w:r>
      <w:r>
        <w:fldChar w:fldCharType="separate"/>
      </w:r>
      <w:r>
        <w:t>8</w:t>
      </w:r>
      <w:r>
        <w:fldChar w:fldCharType="end"/>
      </w:r>
      <w:r>
        <w:rPr>
          <w:rFonts w:hint="default" w:ascii="Calibri" w:hAnsi="Calibri" w:cs="Calibri"/>
          <w:szCs w:val="32"/>
          <w:lang w:val="en-GB"/>
        </w:rPr>
        <w:fldChar w:fldCharType="end"/>
      </w:r>
    </w:p>
    <w:p w14:paraId="2677899C">
      <w:pPr>
        <w:pStyle w:val="13"/>
        <w:tabs>
          <w:tab w:val="right" w:leader="dot" w:pos="8306"/>
        </w:tabs>
      </w:pPr>
      <w:r>
        <w:rPr>
          <w:rFonts w:hint="default" w:ascii="Calibri" w:hAnsi="Calibri" w:cs="Calibri"/>
          <w:szCs w:val="32"/>
          <w:lang w:val="en-GB"/>
        </w:rPr>
        <w:fldChar w:fldCharType="begin"/>
      </w:r>
      <w:r>
        <w:rPr>
          <w:rFonts w:hint="default" w:ascii="Calibri" w:hAnsi="Calibri" w:cs="Calibri"/>
          <w:szCs w:val="32"/>
          <w:lang w:val="en-GB"/>
        </w:rPr>
        <w:instrText xml:space="preserve"> HYPERLINK \l _Toc14518 </w:instrText>
      </w:r>
      <w:r>
        <w:rPr>
          <w:rFonts w:hint="default" w:ascii="Calibri" w:hAnsi="Calibri" w:cs="Calibri"/>
          <w:szCs w:val="32"/>
          <w:lang w:val="en-GB"/>
        </w:rPr>
        <w:fldChar w:fldCharType="separate"/>
      </w:r>
      <w:r>
        <w:rPr>
          <w:rFonts w:hint="default" w:ascii="Calibri" w:hAnsi="Calibri" w:cs="Calibri"/>
          <w:szCs w:val="24"/>
          <w:lang w:val="en-GB" w:eastAsia="zh-CN"/>
        </w:rPr>
        <w:t>2.6 Investement Ratio</w:t>
      </w:r>
      <w:r>
        <w:tab/>
      </w:r>
      <w:r>
        <w:fldChar w:fldCharType="begin"/>
      </w:r>
      <w:r>
        <w:instrText xml:space="preserve"> PAGEREF _Toc14518 \h </w:instrText>
      </w:r>
      <w:r>
        <w:fldChar w:fldCharType="separate"/>
      </w:r>
      <w:r>
        <w:t>9</w:t>
      </w:r>
      <w:r>
        <w:fldChar w:fldCharType="end"/>
      </w:r>
      <w:r>
        <w:rPr>
          <w:rFonts w:hint="default" w:ascii="Calibri" w:hAnsi="Calibri" w:cs="Calibri"/>
          <w:szCs w:val="32"/>
          <w:lang w:val="en-GB"/>
        </w:rPr>
        <w:fldChar w:fldCharType="end"/>
      </w:r>
    </w:p>
    <w:p w14:paraId="79B9ADD2">
      <w:pPr>
        <w:pStyle w:val="14"/>
        <w:tabs>
          <w:tab w:val="right" w:leader="dot" w:pos="8306"/>
        </w:tabs>
      </w:pPr>
      <w:r>
        <w:rPr>
          <w:rFonts w:hint="default" w:ascii="Calibri" w:hAnsi="Calibri" w:cs="Calibri"/>
          <w:szCs w:val="32"/>
          <w:lang w:val="en-GB"/>
        </w:rPr>
        <w:fldChar w:fldCharType="begin"/>
      </w:r>
      <w:r>
        <w:rPr>
          <w:rFonts w:hint="default" w:ascii="Calibri" w:hAnsi="Calibri" w:cs="Calibri"/>
          <w:szCs w:val="32"/>
          <w:lang w:val="en-GB"/>
        </w:rPr>
        <w:instrText xml:space="preserve"> HYPERLINK \l _Toc3773 </w:instrText>
      </w:r>
      <w:r>
        <w:rPr>
          <w:rFonts w:hint="default" w:ascii="Calibri" w:hAnsi="Calibri" w:cs="Calibri"/>
          <w:szCs w:val="32"/>
          <w:lang w:val="en-GB"/>
        </w:rPr>
        <w:fldChar w:fldCharType="separate"/>
      </w:r>
      <w:r>
        <w:rPr>
          <w:rFonts w:hint="default" w:ascii="Calibri" w:hAnsi="Calibri" w:cs="Calibri"/>
          <w:szCs w:val="24"/>
          <w:lang w:val="en-GB" w:eastAsia="zh-CN"/>
        </w:rPr>
        <w:t xml:space="preserve">2.6.1  </w:t>
      </w:r>
      <w:r>
        <w:rPr>
          <w:rFonts w:hint="default" w:ascii="Calibri" w:hAnsi="Calibri" w:cs="Calibri"/>
          <w:szCs w:val="24"/>
          <w:lang w:val="en-US" w:eastAsia="zh-CN"/>
        </w:rPr>
        <w:t>ROE - Return On Equity</w:t>
      </w:r>
      <w:r>
        <w:tab/>
      </w:r>
      <w:r>
        <w:fldChar w:fldCharType="begin"/>
      </w:r>
      <w:r>
        <w:instrText xml:space="preserve"> PAGEREF _Toc3773 \h </w:instrText>
      </w:r>
      <w:r>
        <w:fldChar w:fldCharType="separate"/>
      </w:r>
      <w:r>
        <w:t>9</w:t>
      </w:r>
      <w:r>
        <w:fldChar w:fldCharType="end"/>
      </w:r>
      <w:r>
        <w:rPr>
          <w:rFonts w:hint="default" w:ascii="Calibri" w:hAnsi="Calibri" w:cs="Calibri"/>
          <w:szCs w:val="32"/>
          <w:lang w:val="en-GB"/>
        </w:rPr>
        <w:fldChar w:fldCharType="end"/>
      </w:r>
    </w:p>
    <w:p w14:paraId="3C4A6672">
      <w:pPr>
        <w:pStyle w:val="14"/>
        <w:tabs>
          <w:tab w:val="right" w:leader="dot" w:pos="8306"/>
        </w:tabs>
      </w:pPr>
      <w:r>
        <w:rPr>
          <w:rFonts w:hint="default" w:ascii="Calibri" w:hAnsi="Calibri" w:cs="Calibri"/>
          <w:szCs w:val="32"/>
          <w:lang w:val="en-GB"/>
        </w:rPr>
        <w:fldChar w:fldCharType="begin"/>
      </w:r>
      <w:r>
        <w:rPr>
          <w:rFonts w:hint="default" w:ascii="Calibri" w:hAnsi="Calibri" w:cs="Calibri"/>
          <w:szCs w:val="32"/>
          <w:lang w:val="en-GB"/>
        </w:rPr>
        <w:instrText xml:space="preserve"> HYPERLINK \l _Toc1638 </w:instrText>
      </w:r>
      <w:r>
        <w:rPr>
          <w:rFonts w:hint="default" w:ascii="Calibri" w:hAnsi="Calibri" w:cs="Calibri"/>
          <w:szCs w:val="32"/>
          <w:lang w:val="en-GB"/>
        </w:rPr>
        <w:fldChar w:fldCharType="separate"/>
      </w:r>
      <w:r>
        <w:rPr>
          <w:rFonts w:hint="default" w:ascii="Calibri" w:hAnsi="Calibri" w:cs="Calibri"/>
          <w:szCs w:val="24"/>
          <w:lang w:val="en-GB" w:eastAsia="zh-CN"/>
        </w:rPr>
        <w:t xml:space="preserve">2.6.2 </w:t>
      </w:r>
      <w:r>
        <w:rPr>
          <w:rFonts w:hint="default" w:ascii="Calibri" w:hAnsi="Calibri" w:cs="Calibri"/>
          <w:szCs w:val="24"/>
          <w:lang w:val="en-US" w:eastAsia="zh-CN"/>
        </w:rPr>
        <w:t>ROA - Return On Assets</w:t>
      </w:r>
      <w:r>
        <w:tab/>
      </w:r>
      <w:r>
        <w:fldChar w:fldCharType="begin"/>
      </w:r>
      <w:r>
        <w:instrText xml:space="preserve"> PAGEREF _Toc1638 \h </w:instrText>
      </w:r>
      <w:r>
        <w:fldChar w:fldCharType="separate"/>
      </w:r>
      <w:r>
        <w:t>9</w:t>
      </w:r>
      <w:r>
        <w:fldChar w:fldCharType="end"/>
      </w:r>
      <w:r>
        <w:rPr>
          <w:rFonts w:hint="default" w:ascii="Calibri" w:hAnsi="Calibri" w:cs="Calibri"/>
          <w:szCs w:val="32"/>
          <w:lang w:val="en-GB"/>
        </w:rPr>
        <w:fldChar w:fldCharType="end"/>
      </w:r>
    </w:p>
    <w:p w14:paraId="48224740">
      <w:pPr>
        <w:pStyle w:val="14"/>
        <w:tabs>
          <w:tab w:val="right" w:leader="dot" w:pos="8306"/>
        </w:tabs>
      </w:pPr>
      <w:r>
        <w:rPr>
          <w:rFonts w:hint="default" w:ascii="Calibri" w:hAnsi="Calibri" w:cs="Calibri"/>
          <w:szCs w:val="32"/>
          <w:lang w:val="en-GB"/>
        </w:rPr>
        <w:fldChar w:fldCharType="begin"/>
      </w:r>
      <w:r>
        <w:rPr>
          <w:rFonts w:hint="default" w:ascii="Calibri" w:hAnsi="Calibri" w:cs="Calibri"/>
          <w:szCs w:val="32"/>
          <w:lang w:val="en-GB"/>
        </w:rPr>
        <w:instrText xml:space="preserve"> HYPERLINK \l _Toc25505 </w:instrText>
      </w:r>
      <w:r>
        <w:rPr>
          <w:rFonts w:hint="default" w:ascii="Calibri" w:hAnsi="Calibri" w:cs="Calibri"/>
          <w:szCs w:val="32"/>
          <w:lang w:val="en-GB"/>
        </w:rPr>
        <w:fldChar w:fldCharType="separate"/>
      </w:r>
      <w:r>
        <w:rPr>
          <w:rFonts w:hint="default" w:ascii="Calibri" w:hAnsi="Calibri" w:cs="Calibri"/>
          <w:szCs w:val="24"/>
          <w:lang w:val="en-GB" w:eastAsia="zh-CN"/>
        </w:rPr>
        <w:t xml:space="preserve">2.6.3 </w:t>
      </w:r>
      <w:r>
        <w:rPr>
          <w:rFonts w:hint="default" w:ascii="Calibri" w:hAnsi="Calibri" w:cs="Calibri"/>
          <w:szCs w:val="24"/>
          <w:lang w:val="en-US" w:eastAsia="zh-CN"/>
        </w:rPr>
        <w:t>ROI - Return On Investment</w:t>
      </w:r>
      <w:r>
        <w:tab/>
      </w:r>
      <w:r>
        <w:fldChar w:fldCharType="begin"/>
      </w:r>
      <w:r>
        <w:instrText xml:space="preserve"> PAGEREF _Toc25505 \h </w:instrText>
      </w:r>
      <w:r>
        <w:fldChar w:fldCharType="separate"/>
      </w:r>
      <w:r>
        <w:t>9</w:t>
      </w:r>
      <w:r>
        <w:fldChar w:fldCharType="end"/>
      </w:r>
      <w:r>
        <w:rPr>
          <w:rFonts w:hint="default" w:ascii="Calibri" w:hAnsi="Calibri" w:cs="Calibri"/>
          <w:szCs w:val="32"/>
          <w:lang w:val="en-GB"/>
        </w:rPr>
        <w:fldChar w:fldCharType="end"/>
      </w:r>
    </w:p>
    <w:p w14:paraId="70C85E4B">
      <w:pPr>
        <w:pStyle w:val="14"/>
        <w:tabs>
          <w:tab w:val="right" w:leader="dot" w:pos="8306"/>
        </w:tabs>
      </w:pPr>
      <w:r>
        <w:rPr>
          <w:rFonts w:hint="default" w:ascii="Calibri" w:hAnsi="Calibri" w:cs="Calibri"/>
          <w:szCs w:val="32"/>
          <w:lang w:val="en-GB"/>
        </w:rPr>
        <w:fldChar w:fldCharType="begin"/>
      </w:r>
      <w:r>
        <w:rPr>
          <w:rFonts w:hint="default" w:ascii="Calibri" w:hAnsi="Calibri" w:cs="Calibri"/>
          <w:szCs w:val="32"/>
          <w:lang w:val="en-GB"/>
        </w:rPr>
        <w:instrText xml:space="preserve"> HYPERLINK \l _Toc11003 </w:instrText>
      </w:r>
      <w:r>
        <w:rPr>
          <w:rFonts w:hint="default" w:ascii="Calibri" w:hAnsi="Calibri" w:cs="Calibri"/>
          <w:szCs w:val="32"/>
          <w:lang w:val="en-GB"/>
        </w:rPr>
        <w:fldChar w:fldCharType="separate"/>
      </w:r>
      <w:r>
        <w:rPr>
          <w:rFonts w:hint="default" w:ascii="Calibri" w:hAnsi="Calibri" w:cs="Calibri"/>
          <w:szCs w:val="24"/>
          <w:lang w:val="en-GB" w:eastAsia="zh-CN"/>
        </w:rPr>
        <w:t>2.6.4 EPS - Earnings Per Share</w:t>
      </w:r>
      <w:r>
        <w:tab/>
      </w:r>
      <w:r>
        <w:fldChar w:fldCharType="begin"/>
      </w:r>
      <w:r>
        <w:instrText xml:space="preserve"> PAGEREF _Toc11003 \h </w:instrText>
      </w:r>
      <w:r>
        <w:fldChar w:fldCharType="separate"/>
      </w:r>
      <w:r>
        <w:t>9</w:t>
      </w:r>
      <w:r>
        <w:fldChar w:fldCharType="end"/>
      </w:r>
      <w:r>
        <w:rPr>
          <w:rFonts w:hint="default" w:ascii="Calibri" w:hAnsi="Calibri" w:cs="Calibri"/>
          <w:szCs w:val="32"/>
          <w:lang w:val="en-GB"/>
        </w:rPr>
        <w:fldChar w:fldCharType="end"/>
      </w:r>
    </w:p>
    <w:p w14:paraId="5D62A39E">
      <w:pPr>
        <w:pStyle w:val="14"/>
        <w:tabs>
          <w:tab w:val="right" w:leader="dot" w:pos="8306"/>
        </w:tabs>
      </w:pPr>
      <w:r>
        <w:rPr>
          <w:rFonts w:hint="default" w:ascii="Calibri" w:hAnsi="Calibri" w:cs="Calibri"/>
          <w:szCs w:val="32"/>
          <w:lang w:val="en-GB"/>
        </w:rPr>
        <w:fldChar w:fldCharType="begin"/>
      </w:r>
      <w:r>
        <w:rPr>
          <w:rFonts w:hint="default" w:ascii="Calibri" w:hAnsi="Calibri" w:cs="Calibri"/>
          <w:szCs w:val="32"/>
          <w:lang w:val="en-GB"/>
        </w:rPr>
        <w:instrText xml:space="preserve"> HYPERLINK \l _Toc29886 </w:instrText>
      </w:r>
      <w:r>
        <w:rPr>
          <w:rFonts w:hint="default" w:ascii="Calibri" w:hAnsi="Calibri" w:cs="Calibri"/>
          <w:szCs w:val="32"/>
          <w:lang w:val="en-GB"/>
        </w:rPr>
        <w:fldChar w:fldCharType="separate"/>
      </w:r>
      <w:r>
        <w:rPr>
          <w:rFonts w:hint="default" w:ascii="Calibri" w:hAnsi="Calibri" w:cs="Calibri"/>
          <w:szCs w:val="24"/>
          <w:lang w:val="en-GB" w:eastAsia="zh-CN"/>
        </w:rPr>
        <w:t>2.6.5 P/E - Price Earnings Ratio</w:t>
      </w:r>
      <w:r>
        <w:tab/>
      </w:r>
      <w:r>
        <w:fldChar w:fldCharType="begin"/>
      </w:r>
      <w:r>
        <w:instrText xml:space="preserve"> PAGEREF _Toc29886 \h </w:instrText>
      </w:r>
      <w:r>
        <w:fldChar w:fldCharType="separate"/>
      </w:r>
      <w:r>
        <w:t>10</w:t>
      </w:r>
      <w:r>
        <w:fldChar w:fldCharType="end"/>
      </w:r>
      <w:r>
        <w:rPr>
          <w:rFonts w:hint="default" w:ascii="Calibri" w:hAnsi="Calibri" w:cs="Calibri"/>
          <w:szCs w:val="32"/>
          <w:lang w:val="en-GB"/>
        </w:rPr>
        <w:fldChar w:fldCharType="end"/>
      </w:r>
    </w:p>
    <w:p w14:paraId="5922A16A">
      <w:pPr>
        <w:pStyle w:val="13"/>
        <w:tabs>
          <w:tab w:val="right" w:leader="dot" w:pos="8306"/>
        </w:tabs>
      </w:pPr>
      <w:r>
        <w:rPr>
          <w:rFonts w:hint="default" w:ascii="Calibri" w:hAnsi="Calibri" w:cs="Calibri"/>
          <w:szCs w:val="32"/>
          <w:lang w:val="en-GB"/>
        </w:rPr>
        <w:fldChar w:fldCharType="begin"/>
      </w:r>
      <w:r>
        <w:rPr>
          <w:rFonts w:hint="default" w:ascii="Calibri" w:hAnsi="Calibri" w:cs="Calibri"/>
          <w:szCs w:val="32"/>
          <w:lang w:val="en-GB"/>
        </w:rPr>
        <w:instrText xml:space="preserve"> HYPERLINK \l _Toc16691 </w:instrText>
      </w:r>
      <w:r>
        <w:rPr>
          <w:rFonts w:hint="default" w:ascii="Calibri" w:hAnsi="Calibri" w:cs="Calibri"/>
          <w:szCs w:val="32"/>
          <w:lang w:val="en-GB"/>
        </w:rPr>
        <w:fldChar w:fldCharType="separate"/>
      </w:r>
      <w:r>
        <w:rPr>
          <w:rFonts w:hint="default" w:ascii="Calibri" w:hAnsi="Calibri" w:cs="Calibri"/>
          <w:szCs w:val="24"/>
          <w:lang w:val="en-GB" w:eastAsia="zh-CN"/>
        </w:rPr>
        <w:t>2.7 Cash flow ratio</w:t>
      </w:r>
      <w:r>
        <w:tab/>
      </w:r>
      <w:r>
        <w:fldChar w:fldCharType="begin"/>
      </w:r>
      <w:r>
        <w:instrText xml:space="preserve"> PAGEREF _Toc16691 \h </w:instrText>
      </w:r>
      <w:r>
        <w:fldChar w:fldCharType="separate"/>
      </w:r>
      <w:r>
        <w:t>10</w:t>
      </w:r>
      <w:r>
        <w:fldChar w:fldCharType="end"/>
      </w:r>
      <w:r>
        <w:rPr>
          <w:rFonts w:hint="default" w:ascii="Calibri" w:hAnsi="Calibri" w:cs="Calibri"/>
          <w:szCs w:val="32"/>
          <w:lang w:val="en-GB"/>
        </w:rPr>
        <w:fldChar w:fldCharType="end"/>
      </w:r>
    </w:p>
    <w:p w14:paraId="183B7456">
      <w:pPr>
        <w:pStyle w:val="14"/>
        <w:tabs>
          <w:tab w:val="right" w:leader="dot" w:pos="8306"/>
        </w:tabs>
      </w:pPr>
      <w:r>
        <w:rPr>
          <w:rFonts w:hint="default" w:ascii="Calibri" w:hAnsi="Calibri" w:cs="Calibri"/>
          <w:szCs w:val="32"/>
          <w:lang w:val="en-GB"/>
        </w:rPr>
        <w:fldChar w:fldCharType="begin"/>
      </w:r>
      <w:r>
        <w:rPr>
          <w:rFonts w:hint="default" w:ascii="Calibri" w:hAnsi="Calibri" w:cs="Calibri"/>
          <w:szCs w:val="32"/>
          <w:lang w:val="en-GB"/>
        </w:rPr>
        <w:instrText xml:space="preserve"> HYPERLINK \l _Toc778 </w:instrText>
      </w:r>
      <w:r>
        <w:rPr>
          <w:rFonts w:hint="default" w:ascii="Calibri" w:hAnsi="Calibri" w:cs="Calibri"/>
          <w:szCs w:val="32"/>
          <w:lang w:val="en-GB"/>
        </w:rPr>
        <w:fldChar w:fldCharType="separate"/>
      </w:r>
      <w:r>
        <w:rPr>
          <w:rFonts w:hint="default" w:ascii="Calibri" w:hAnsi="Calibri" w:cs="Calibri"/>
          <w:szCs w:val="24"/>
          <w:lang w:val="en-GB" w:eastAsia="zh-CN"/>
        </w:rPr>
        <w:t xml:space="preserve">2.7.1 </w:t>
      </w:r>
      <w:r>
        <w:rPr>
          <w:rFonts w:hint="default" w:ascii="Calibri" w:hAnsi="Calibri" w:cs="Calibri"/>
          <w:szCs w:val="24"/>
          <w:lang w:val="en-US" w:eastAsia="zh-CN"/>
        </w:rPr>
        <w:t>Operating Cash Flow Ratio</w:t>
      </w:r>
      <w:r>
        <w:tab/>
      </w:r>
      <w:r>
        <w:fldChar w:fldCharType="begin"/>
      </w:r>
      <w:r>
        <w:instrText xml:space="preserve"> PAGEREF _Toc778 \h </w:instrText>
      </w:r>
      <w:r>
        <w:fldChar w:fldCharType="separate"/>
      </w:r>
      <w:r>
        <w:t>10</w:t>
      </w:r>
      <w:r>
        <w:fldChar w:fldCharType="end"/>
      </w:r>
      <w:r>
        <w:rPr>
          <w:rFonts w:hint="default" w:ascii="Calibri" w:hAnsi="Calibri" w:cs="Calibri"/>
          <w:szCs w:val="32"/>
          <w:lang w:val="en-GB"/>
        </w:rPr>
        <w:fldChar w:fldCharType="end"/>
      </w:r>
    </w:p>
    <w:p w14:paraId="201F14BD">
      <w:pPr>
        <w:pStyle w:val="14"/>
        <w:tabs>
          <w:tab w:val="right" w:leader="dot" w:pos="8306"/>
        </w:tabs>
      </w:pPr>
      <w:r>
        <w:rPr>
          <w:rFonts w:hint="default" w:ascii="Calibri" w:hAnsi="Calibri" w:cs="Calibri"/>
          <w:szCs w:val="32"/>
          <w:lang w:val="en-GB"/>
        </w:rPr>
        <w:fldChar w:fldCharType="begin"/>
      </w:r>
      <w:r>
        <w:rPr>
          <w:rFonts w:hint="default" w:ascii="Calibri" w:hAnsi="Calibri" w:cs="Calibri"/>
          <w:szCs w:val="32"/>
          <w:lang w:val="en-GB"/>
        </w:rPr>
        <w:instrText xml:space="preserve"> HYPERLINK \l _Toc6805 </w:instrText>
      </w:r>
      <w:r>
        <w:rPr>
          <w:rFonts w:hint="default" w:ascii="Calibri" w:hAnsi="Calibri" w:cs="Calibri"/>
          <w:szCs w:val="32"/>
          <w:lang w:val="en-GB"/>
        </w:rPr>
        <w:fldChar w:fldCharType="separate"/>
      </w:r>
      <w:r>
        <w:rPr>
          <w:rFonts w:hint="default" w:ascii="Calibri" w:hAnsi="Calibri" w:cs="Calibri"/>
          <w:szCs w:val="24"/>
          <w:lang w:val="en-GB" w:eastAsia="zh-CN"/>
        </w:rPr>
        <w:t xml:space="preserve">2.7.2 </w:t>
      </w:r>
      <w:r>
        <w:rPr>
          <w:rFonts w:hint="default" w:ascii="Calibri" w:hAnsi="Calibri" w:cs="Calibri"/>
          <w:szCs w:val="24"/>
          <w:lang w:val="en-US" w:eastAsia="zh-CN"/>
        </w:rPr>
        <w:t>Cash Flow to Debt Ratio</w:t>
      </w:r>
      <w:r>
        <w:tab/>
      </w:r>
      <w:r>
        <w:fldChar w:fldCharType="begin"/>
      </w:r>
      <w:r>
        <w:instrText xml:space="preserve"> PAGEREF _Toc6805 \h </w:instrText>
      </w:r>
      <w:r>
        <w:fldChar w:fldCharType="separate"/>
      </w:r>
      <w:r>
        <w:t>10</w:t>
      </w:r>
      <w:r>
        <w:fldChar w:fldCharType="end"/>
      </w:r>
      <w:r>
        <w:rPr>
          <w:rFonts w:hint="default" w:ascii="Calibri" w:hAnsi="Calibri" w:cs="Calibri"/>
          <w:szCs w:val="32"/>
          <w:lang w:val="en-GB"/>
        </w:rPr>
        <w:fldChar w:fldCharType="end"/>
      </w:r>
    </w:p>
    <w:p w14:paraId="04A28253">
      <w:pPr>
        <w:pStyle w:val="14"/>
        <w:tabs>
          <w:tab w:val="right" w:leader="dot" w:pos="8306"/>
        </w:tabs>
      </w:pPr>
      <w:r>
        <w:rPr>
          <w:rFonts w:hint="default" w:ascii="Calibri" w:hAnsi="Calibri" w:cs="Calibri"/>
          <w:szCs w:val="32"/>
          <w:lang w:val="en-GB"/>
        </w:rPr>
        <w:fldChar w:fldCharType="begin"/>
      </w:r>
      <w:r>
        <w:rPr>
          <w:rFonts w:hint="default" w:ascii="Calibri" w:hAnsi="Calibri" w:cs="Calibri"/>
          <w:szCs w:val="32"/>
          <w:lang w:val="en-GB"/>
        </w:rPr>
        <w:instrText xml:space="preserve"> HYPERLINK \l _Toc1199 </w:instrText>
      </w:r>
      <w:r>
        <w:rPr>
          <w:rFonts w:hint="default" w:ascii="Calibri" w:hAnsi="Calibri" w:cs="Calibri"/>
          <w:szCs w:val="32"/>
          <w:lang w:val="en-GB"/>
        </w:rPr>
        <w:fldChar w:fldCharType="separate"/>
      </w:r>
      <w:r>
        <w:rPr>
          <w:rFonts w:hint="default" w:ascii="Calibri" w:hAnsi="Calibri" w:cs="Calibri"/>
          <w:szCs w:val="24"/>
          <w:lang w:val="en-GB" w:eastAsia="zh-CN"/>
        </w:rPr>
        <w:t xml:space="preserve">2.7.3 </w:t>
      </w:r>
      <w:r>
        <w:rPr>
          <w:rFonts w:hint="default" w:ascii="Calibri" w:hAnsi="Calibri" w:cs="Calibri"/>
          <w:szCs w:val="24"/>
          <w:lang w:val="en-US" w:eastAsia="zh-CN"/>
        </w:rPr>
        <w:t>Free Cash Flow ($bn)</w:t>
      </w:r>
      <w:r>
        <w:tab/>
      </w:r>
      <w:r>
        <w:fldChar w:fldCharType="begin"/>
      </w:r>
      <w:r>
        <w:instrText xml:space="preserve"> PAGEREF _Toc1199 \h </w:instrText>
      </w:r>
      <w:r>
        <w:fldChar w:fldCharType="separate"/>
      </w:r>
      <w:r>
        <w:t>10</w:t>
      </w:r>
      <w:r>
        <w:fldChar w:fldCharType="end"/>
      </w:r>
      <w:r>
        <w:rPr>
          <w:rFonts w:hint="default" w:ascii="Calibri" w:hAnsi="Calibri" w:cs="Calibri"/>
          <w:szCs w:val="32"/>
          <w:lang w:val="en-GB"/>
        </w:rPr>
        <w:fldChar w:fldCharType="end"/>
      </w:r>
    </w:p>
    <w:p w14:paraId="0EC31311">
      <w:pPr>
        <w:pStyle w:val="14"/>
        <w:tabs>
          <w:tab w:val="right" w:leader="dot" w:pos="8306"/>
        </w:tabs>
      </w:pPr>
      <w:r>
        <w:rPr>
          <w:rFonts w:hint="default" w:ascii="Calibri" w:hAnsi="Calibri" w:cs="Calibri"/>
          <w:szCs w:val="32"/>
          <w:lang w:val="en-GB"/>
        </w:rPr>
        <w:fldChar w:fldCharType="begin"/>
      </w:r>
      <w:r>
        <w:rPr>
          <w:rFonts w:hint="default" w:ascii="Calibri" w:hAnsi="Calibri" w:cs="Calibri"/>
          <w:szCs w:val="32"/>
          <w:lang w:val="en-GB"/>
        </w:rPr>
        <w:instrText xml:space="preserve"> HYPERLINK \l _Toc7261 </w:instrText>
      </w:r>
      <w:r>
        <w:rPr>
          <w:rFonts w:hint="default" w:ascii="Calibri" w:hAnsi="Calibri" w:cs="Calibri"/>
          <w:szCs w:val="32"/>
          <w:lang w:val="en-GB"/>
        </w:rPr>
        <w:fldChar w:fldCharType="separate"/>
      </w:r>
      <w:r>
        <w:rPr>
          <w:rFonts w:hint="default" w:ascii="Calibri" w:hAnsi="Calibri" w:cs="Calibri"/>
          <w:szCs w:val="24"/>
          <w:lang w:val="en-GB" w:eastAsia="zh-CN"/>
        </w:rPr>
        <w:t xml:space="preserve">2.7.4 </w:t>
      </w:r>
      <w:r>
        <w:rPr>
          <w:rFonts w:hint="default" w:ascii="Calibri" w:hAnsi="Calibri" w:cs="Calibri"/>
          <w:szCs w:val="24"/>
          <w:lang w:val="en-US" w:eastAsia="zh-CN"/>
        </w:rPr>
        <w:t>Cash Flow per Share</w:t>
      </w:r>
      <w:r>
        <w:tab/>
      </w:r>
      <w:r>
        <w:fldChar w:fldCharType="begin"/>
      </w:r>
      <w:r>
        <w:instrText xml:space="preserve"> PAGEREF _Toc7261 \h </w:instrText>
      </w:r>
      <w:r>
        <w:fldChar w:fldCharType="separate"/>
      </w:r>
      <w:r>
        <w:t>10</w:t>
      </w:r>
      <w:r>
        <w:fldChar w:fldCharType="end"/>
      </w:r>
      <w:r>
        <w:rPr>
          <w:rFonts w:hint="default" w:ascii="Calibri" w:hAnsi="Calibri" w:cs="Calibri"/>
          <w:szCs w:val="32"/>
          <w:lang w:val="en-GB"/>
        </w:rPr>
        <w:fldChar w:fldCharType="end"/>
      </w:r>
    </w:p>
    <w:p w14:paraId="2BB66C18">
      <w:pPr>
        <w:pStyle w:val="12"/>
        <w:tabs>
          <w:tab w:val="right" w:leader="dot" w:pos="8306"/>
        </w:tabs>
      </w:pPr>
      <w:r>
        <w:rPr>
          <w:rFonts w:hint="default" w:ascii="Calibri" w:hAnsi="Calibri" w:cs="Calibri"/>
          <w:szCs w:val="32"/>
          <w:lang w:val="en-GB"/>
        </w:rPr>
        <w:fldChar w:fldCharType="begin"/>
      </w:r>
      <w:r>
        <w:rPr>
          <w:rFonts w:hint="default" w:ascii="Calibri" w:hAnsi="Calibri" w:cs="Calibri"/>
          <w:szCs w:val="32"/>
          <w:lang w:val="en-GB"/>
        </w:rPr>
        <w:instrText xml:space="preserve"> HYPERLINK \l _Toc23250 </w:instrText>
      </w:r>
      <w:r>
        <w:rPr>
          <w:rFonts w:hint="default" w:ascii="Calibri" w:hAnsi="Calibri" w:cs="Calibri"/>
          <w:szCs w:val="32"/>
          <w:lang w:val="en-GB"/>
        </w:rPr>
        <w:fldChar w:fldCharType="separate"/>
      </w:r>
      <w:r>
        <w:rPr>
          <w:rFonts w:hint="default" w:ascii="Calibri" w:hAnsi="Calibri" w:eastAsia="SimSun" w:cs="Calibri"/>
          <w:i w:val="0"/>
          <w:iCs w:val="0"/>
          <w:kern w:val="0"/>
          <w:szCs w:val="24"/>
          <w:lang w:val="en-GB" w:eastAsia="zh-CN" w:bidi="ar"/>
        </w:rPr>
        <w:t xml:space="preserve">3. </w:t>
      </w:r>
      <w:r>
        <w:rPr>
          <w:rFonts w:hint="default" w:ascii="Calibri" w:hAnsi="Calibri" w:cs="Calibri"/>
          <w:szCs w:val="24"/>
          <w:lang w:val="en-GB" w:eastAsia="zh-CN"/>
        </w:rPr>
        <w:t>Working Capital Management Analysis</w:t>
      </w:r>
      <w:r>
        <w:tab/>
      </w:r>
      <w:r>
        <w:fldChar w:fldCharType="begin"/>
      </w:r>
      <w:r>
        <w:instrText xml:space="preserve"> PAGEREF _Toc23250 \h </w:instrText>
      </w:r>
      <w:r>
        <w:fldChar w:fldCharType="separate"/>
      </w:r>
      <w:r>
        <w:t>10</w:t>
      </w:r>
      <w:r>
        <w:fldChar w:fldCharType="end"/>
      </w:r>
      <w:r>
        <w:rPr>
          <w:rFonts w:hint="default" w:ascii="Calibri" w:hAnsi="Calibri" w:cs="Calibri"/>
          <w:szCs w:val="32"/>
          <w:lang w:val="en-GB"/>
        </w:rPr>
        <w:fldChar w:fldCharType="end"/>
      </w:r>
    </w:p>
    <w:p w14:paraId="6C19D38F">
      <w:pPr>
        <w:pStyle w:val="13"/>
        <w:tabs>
          <w:tab w:val="right" w:leader="dot" w:pos="8306"/>
        </w:tabs>
      </w:pPr>
      <w:r>
        <w:rPr>
          <w:rFonts w:hint="default" w:ascii="Calibri" w:hAnsi="Calibri" w:cs="Calibri"/>
          <w:szCs w:val="32"/>
          <w:lang w:val="en-GB"/>
        </w:rPr>
        <w:fldChar w:fldCharType="begin"/>
      </w:r>
      <w:r>
        <w:rPr>
          <w:rFonts w:hint="default" w:ascii="Calibri" w:hAnsi="Calibri" w:cs="Calibri"/>
          <w:szCs w:val="32"/>
          <w:lang w:val="en-GB"/>
        </w:rPr>
        <w:instrText xml:space="preserve"> HYPERLINK \l _Toc14504 </w:instrText>
      </w:r>
      <w:r>
        <w:rPr>
          <w:rFonts w:hint="default" w:ascii="Calibri" w:hAnsi="Calibri" w:cs="Calibri"/>
          <w:szCs w:val="32"/>
          <w:lang w:val="en-GB"/>
        </w:rPr>
        <w:fldChar w:fldCharType="separate"/>
      </w:r>
      <w:r>
        <w:rPr>
          <w:rFonts w:hint="default" w:ascii="Calibri" w:hAnsi="Calibri" w:cs="Calibri"/>
          <w:szCs w:val="24"/>
          <w:lang w:val="en-GB" w:eastAsia="zh-CN"/>
        </w:rPr>
        <w:t>3.1 Assessment of the Cash Operating Cycle</w:t>
      </w:r>
      <w:r>
        <w:tab/>
      </w:r>
      <w:r>
        <w:fldChar w:fldCharType="begin"/>
      </w:r>
      <w:r>
        <w:instrText xml:space="preserve"> PAGEREF _Toc14504 \h </w:instrText>
      </w:r>
      <w:r>
        <w:fldChar w:fldCharType="separate"/>
      </w:r>
      <w:r>
        <w:t>11</w:t>
      </w:r>
      <w:r>
        <w:fldChar w:fldCharType="end"/>
      </w:r>
      <w:r>
        <w:rPr>
          <w:rFonts w:hint="default" w:ascii="Calibri" w:hAnsi="Calibri" w:cs="Calibri"/>
          <w:szCs w:val="32"/>
          <w:lang w:val="en-GB"/>
        </w:rPr>
        <w:fldChar w:fldCharType="end"/>
      </w:r>
    </w:p>
    <w:p w14:paraId="08CE05C4">
      <w:pPr>
        <w:pStyle w:val="13"/>
        <w:tabs>
          <w:tab w:val="right" w:leader="dot" w:pos="8306"/>
        </w:tabs>
      </w:pPr>
      <w:r>
        <w:rPr>
          <w:rFonts w:hint="default" w:ascii="Calibri" w:hAnsi="Calibri" w:cs="Calibri"/>
          <w:szCs w:val="32"/>
          <w:lang w:val="en-GB"/>
        </w:rPr>
        <w:fldChar w:fldCharType="begin"/>
      </w:r>
      <w:r>
        <w:rPr>
          <w:rFonts w:hint="default" w:ascii="Calibri" w:hAnsi="Calibri" w:cs="Calibri"/>
          <w:szCs w:val="32"/>
          <w:lang w:val="en-GB"/>
        </w:rPr>
        <w:instrText xml:space="preserve"> HYPERLINK \l _Toc5752 </w:instrText>
      </w:r>
      <w:r>
        <w:rPr>
          <w:rFonts w:hint="default" w:ascii="Calibri" w:hAnsi="Calibri" w:cs="Calibri"/>
          <w:szCs w:val="32"/>
          <w:lang w:val="en-GB"/>
        </w:rPr>
        <w:fldChar w:fldCharType="separate"/>
      </w:r>
      <w:r>
        <w:rPr>
          <w:rFonts w:hint="default" w:ascii="Calibri" w:hAnsi="Calibri" w:cs="Calibri"/>
          <w:szCs w:val="24"/>
          <w:lang w:val="en-GB" w:eastAsia="zh-CN"/>
        </w:rPr>
        <w:t>3.2 Strategies to Improve Liquidity Through Working Capital Reforms</w:t>
      </w:r>
      <w:r>
        <w:tab/>
      </w:r>
      <w:r>
        <w:fldChar w:fldCharType="begin"/>
      </w:r>
      <w:r>
        <w:instrText xml:space="preserve"> PAGEREF _Toc5752 \h </w:instrText>
      </w:r>
      <w:r>
        <w:fldChar w:fldCharType="separate"/>
      </w:r>
      <w:r>
        <w:t>12</w:t>
      </w:r>
      <w:r>
        <w:fldChar w:fldCharType="end"/>
      </w:r>
      <w:r>
        <w:rPr>
          <w:rFonts w:hint="default" w:ascii="Calibri" w:hAnsi="Calibri" w:cs="Calibri"/>
          <w:szCs w:val="32"/>
          <w:lang w:val="en-GB"/>
        </w:rPr>
        <w:fldChar w:fldCharType="end"/>
      </w:r>
    </w:p>
    <w:p w14:paraId="499E5D4A">
      <w:pPr>
        <w:pStyle w:val="13"/>
        <w:tabs>
          <w:tab w:val="right" w:leader="dot" w:pos="8306"/>
        </w:tabs>
      </w:pPr>
      <w:r>
        <w:rPr>
          <w:rFonts w:hint="default" w:ascii="Calibri" w:hAnsi="Calibri" w:cs="Calibri"/>
          <w:szCs w:val="32"/>
          <w:lang w:val="en-GB"/>
        </w:rPr>
        <w:fldChar w:fldCharType="begin"/>
      </w:r>
      <w:r>
        <w:rPr>
          <w:rFonts w:hint="default" w:ascii="Calibri" w:hAnsi="Calibri" w:cs="Calibri"/>
          <w:szCs w:val="32"/>
          <w:lang w:val="en-GB"/>
        </w:rPr>
        <w:instrText xml:space="preserve"> HYPERLINK \l _Toc3645 </w:instrText>
      </w:r>
      <w:r>
        <w:rPr>
          <w:rFonts w:hint="default" w:ascii="Calibri" w:hAnsi="Calibri" w:cs="Calibri"/>
          <w:szCs w:val="32"/>
          <w:lang w:val="en-GB"/>
        </w:rPr>
        <w:fldChar w:fldCharType="separate"/>
      </w:r>
      <w:r>
        <w:rPr>
          <w:rFonts w:hint="default" w:ascii="Calibri" w:hAnsi="Calibri" w:cs="Calibri"/>
          <w:szCs w:val="24"/>
          <w:lang w:val="en-GB" w:eastAsia="zh-CN"/>
        </w:rPr>
        <w:t>3.3 Comparison of Short-Term vs Long-Term Financing Options</w:t>
      </w:r>
      <w:r>
        <w:tab/>
      </w:r>
      <w:r>
        <w:fldChar w:fldCharType="begin"/>
      </w:r>
      <w:r>
        <w:instrText xml:space="preserve"> PAGEREF _Toc3645 \h </w:instrText>
      </w:r>
      <w:r>
        <w:fldChar w:fldCharType="separate"/>
      </w:r>
      <w:r>
        <w:t>12</w:t>
      </w:r>
      <w:r>
        <w:fldChar w:fldCharType="end"/>
      </w:r>
      <w:r>
        <w:rPr>
          <w:rFonts w:hint="default" w:ascii="Calibri" w:hAnsi="Calibri" w:cs="Calibri"/>
          <w:szCs w:val="32"/>
          <w:lang w:val="en-GB"/>
        </w:rPr>
        <w:fldChar w:fldCharType="end"/>
      </w:r>
    </w:p>
    <w:p w14:paraId="44C58AF3">
      <w:pPr>
        <w:pStyle w:val="12"/>
        <w:tabs>
          <w:tab w:val="right" w:leader="dot" w:pos="8306"/>
        </w:tabs>
      </w:pPr>
      <w:r>
        <w:rPr>
          <w:rFonts w:hint="default" w:ascii="Calibri" w:hAnsi="Calibri" w:cs="Calibri"/>
          <w:szCs w:val="32"/>
          <w:lang w:val="en-GB"/>
        </w:rPr>
        <w:fldChar w:fldCharType="begin"/>
      </w:r>
      <w:r>
        <w:rPr>
          <w:rFonts w:hint="default" w:ascii="Calibri" w:hAnsi="Calibri" w:cs="Calibri"/>
          <w:szCs w:val="32"/>
          <w:lang w:val="en-GB"/>
        </w:rPr>
        <w:instrText xml:space="preserve"> HYPERLINK \l _Toc19906 </w:instrText>
      </w:r>
      <w:r>
        <w:rPr>
          <w:rFonts w:hint="default" w:ascii="Calibri" w:hAnsi="Calibri" w:cs="Calibri"/>
          <w:szCs w:val="32"/>
          <w:lang w:val="en-GB"/>
        </w:rPr>
        <w:fldChar w:fldCharType="separate"/>
      </w:r>
      <w:r>
        <w:rPr>
          <w:rFonts w:hint="default" w:ascii="Calibri" w:hAnsi="Calibri" w:eastAsia="SimSun" w:cs="Calibri"/>
          <w:i w:val="0"/>
          <w:iCs w:val="0"/>
          <w:kern w:val="0"/>
          <w:szCs w:val="24"/>
          <w:lang w:val="en-GB" w:eastAsia="zh-CN" w:bidi="ar"/>
        </w:rPr>
        <w:t xml:space="preserve">4. </w:t>
      </w:r>
      <w:r>
        <w:rPr>
          <w:rFonts w:hint="default" w:ascii="Calibri" w:hAnsi="Calibri" w:cs="Calibri"/>
          <w:szCs w:val="24"/>
          <w:lang w:val="en-GB" w:eastAsia="zh-CN"/>
        </w:rPr>
        <w:t>Strategic Financial Restructuring Plan</w:t>
      </w:r>
      <w:r>
        <w:tab/>
      </w:r>
      <w:r>
        <w:fldChar w:fldCharType="begin"/>
      </w:r>
      <w:r>
        <w:instrText xml:space="preserve"> PAGEREF _Toc19906 \h </w:instrText>
      </w:r>
      <w:r>
        <w:fldChar w:fldCharType="separate"/>
      </w:r>
      <w:r>
        <w:t>13</w:t>
      </w:r>
      <w:r>
        <w:fldChar w:fldCharType="end"/>
      </w:r>
      <w:r>
        <w:rPr>
          <w:rFonts w:hint="default" w:ascii="Calibri" w:hAnsi="Calibri" w:cs="Calibri"/>
          <w:szCs w:val="32"/>
          <w:lang w:val="en-GB"/>
        </w:rPr>
        <w:fldChar w:fldCharType="end"/>
      </w:r>
    </w:p>
    <w:p w14:paraId="418B1E72">
      <w:pPr>
        <w:pStyle w:val="13"/>
        <w:tabs>
          <w:tab w:val="right" w:leader="dot" w:pos="8306"/>
        </w:tabs>
      </w:pPr>
      <w:r>
        <w:rPr>
          <w:rFonts w:hint="default" w:ascii="Calibri" w:hAnsi="Calibri" w:cs="Calibri"/>
          <w:szCs w:val="32"/>
          <w:lang w:val="en-GB"/>
        </w:rPr>
        <w:fldChar w:fldCharType="begin"/>
      </w:r>
      <w:r>
        <w:rPr>
          <w:rFonts w:hint="default" w:ascii="Calibri" w:hAnsi="Calibri" w:cs="Calibri"/>
          <w:szCs w:val="32"/>
          <w:lang w:val="en-GB"/>
        </w:rPr>
        <w:instrText xml:space="preserve"> HYPERLINK \l _Toc19300 </w:instrText>
      </w:r>
      <w:r>
        <w:rPr>
          <w:rFonts w:hint="default" w:ascii="Calibri" w:hAnsi="Calibri" w:cs="Calibri"/>
          <w:szCs w:val="32"/>
          <w:lang w:val="en-GB"/>
        </w:rPr>
        <w:fldChar w:fldCharType="separate"/>
      </w:r>
      <w:r>
        <w:rPr>
          <w:rFonts w:hint="default" w:ascii="Calibri" w:hAnsi="Calibri" w:cs="Calibri"/>
          <w:szCs w:val="24"/>
          <w:lang w:val="en-GB" w:eastAsia="zh-CN"/>
        </w:rPr>
        <w:t>4.1 Context and Rationale for Restructuring</w:t>
      </w:r>
      <w:r>
        <w:tab/>
      </w:r>
      <w:r>
        <w:fldChar w:fldCharType="begin"/>
      </w:r>
      <w:r>
        <w:instrText xml:space="preserve"> PAGEREF _Toc19300 \h </w:instrText>
      </w:r>
      <w:r>
        <w:fldChar w:fldCharType="separate"/>
      </w:r>
      <w:r>
        <w:t>13</w:t>
      </w:r>
      <w:r>
        <w:fldChar w:fldCharType="end"/>
      </w:r>
      <w:r>
        <w:rPr>
          <w:rFonts w:hint="default" w:ascii="Calibri" w:hAnsi="Calibri" w:cs="Calibri"/>
          <w:szCs w:val="32"/>
          <w:lang w:val="en-GB"/>
        </w:rPr>
        <w:fldChar w:fldCharType="end"/>
      </w:r>
    </w:p>
    <w:p w14:paraId="219A4DA7">
      <w:pPr>
        <w:pStyle w:val="13"/>
        <w:tabs>
          <w:tab w:val="right" w:leader="dot" w:pos="8306"/>
        </w:tabs>
      </w:pPr>
      <w:r>
        <w:rPr>
          <w:rFonts w:hint="default" w:ascii="Calibri" w:hAnsi="Calibri" w:cs="Calibri"/>
          <w:szCs w:val="32"/>
          <w:lang w:val="en-GB"/>
        </w:rPr>
        <w:fldChar w:fldCharType="begin"/>
      </w:r>
      <w:r>
        <w:rPr>
          <w:rFonts w:hint="default" w:ascii="Calibri" w:hAnsi="Calibri" w:cs="Calibri"/>
          <w:szCs w:val="32"/>
          <w:lang w:val="en-GB"/>
        </w:rPr>
        <w:instrText xml:space="preserve"> HYPERLINK \l _Toc19414 </w:instrText>
      </w:r>
      <w:r>
        <w:rPr>
          <w:rFonts w:hint="default" w:ascii="Calibri" w:hAnsi="Calibri" w:cs="Calibri"/>
          <w:szCs w:val="32"/>
          <w:lang w:val="en-GB"/>
        </w:rPr>
        <w:fldChar w:fldCharType="separate"/>
      </w:r>
      <w:r>
        <w:rPr>
          <w:rFonts w:hint="default" w:ascii="Calibri" w:hAnsi="Calibri" w:cs="Calibri"/>
          <w:i w:val="0"/>
          <w:iCs w:val="0"/>
          <w:kern w:val="0"/>
          <w:szCs w:val="24"/>
          <w:lang w:val="en-GB" w:eastAsia="zh-CN" w:bidi="ar"/>
        </w:rPr>
        <w:t xml:space="preserve">4.2 </w:t>
      </w:r>
      <w:r>
        <w:rPr>
          <w:rFonts w:hint="default" w:ascii="Calibri" w:hAnsi="Calibri" w:eastAsia="SimSun" w:cs="Calibri"/>
          <w:i w:val="0"/>
          <w:iCs w:val="0"/>
          <w:kern w:val="0"/>
          <w:szCs w:val="24"/>
          <w:lang w:val="en-GB" w:eastAsia="zh-CN" w:bidi="ar"/>
        </w:rPr>
        <w:t>Recommended Restructuring Options</w:t>
      </w:r>
      <w:r>
        <w:tab/>
      </w:r>
      <w:r>
        <w:fldChar w:fldCharType="begin"/>
      </w:r>
      <w:r>
        <w:instrText xml:space="preserve"> PAGEREF _Toc19414 \h </w:instrText>
      </w:r>
      <w:r>
        <w:fldChar w:fldCharType="separate"/>
      </w:r>
      <w:r>
        <w:t>13</w:t>
      </w:r>
      <w:r>
        <w:fldChar w:fldCharType="end"/>
      </w:r>
      <w:r>
        <w:rPr>
          <w:rFonts w:hint="default" w:ascii="Calibri" w:hAnsi="Calibri" w:cs="Calibri"/>
          <w:szCs w:val="32"/>
          <w:lang w:val="en-GB"/>
        </w:rPr>
        <w:fldChar w:fldCharType="end"/>
      </w:r>
    </w:p>
    <w:p w14:paraId="30E5C802">
      <w:pPr>
        <w:pStyle w:val="13"/>
        <w:tabs>
          <w:tab w:val="right" w:leader="dot" w:pos="8306"/>
        </w:tabs>
      </w:pPr>
      <w:r>
        <w:rPr>
          <w:rFonts w:hint="default" w:ascii="Calibri" w:hAnsi="Calibri" w:cs="Calibri"/>
          <w:szCs w:val="32"/>
          <w:lang w:val="en-GB"/>
        </w:rPr>
        <w:fldChar w:fldCharType="begin"/>
      </w:r>
      <w:r>
        <w:rPr>
          <w:rFonts w:hint="default" w:ascii="Calibri" w:hAnsi="Calibri" w:cs="Calibri"/>
          <w:szCs w:val="32"/>
          <w:lang w:val="en-GB"/>
        </w:rPr>
        <w:instrText xml:space="preserve"> HYPERLINK \l _Toc5289 </w:instrText>
      </w:r>
      <w:r>
        <w:rPr>
          <w:rFonts w:hint="default" w:ascii="Calibri" w:hAnsi="Calibri" w:cs="Calibri"/>
          <w:szCs w:val="32"/>
          <w:lang w:val="en-GB"/>
        </w:rPr>
        <w:fldChar w:fldCharType="separate"/>
      </w:r>
      <w:r>
        <w:rPr>
          <w:rFonts w:hint="default" w:ascii="Calibri" w:hAnsi="Calibri" w:cs="Calibri"/>
          <w:i w:val="0"/>
          <w:iCs w:val="0"/>
          <w:kern w:val="0"/>
          <w:szCs w:val="24"/>
          <w:lang w:val="en-GB" w:eastAsia="zh-CN" w:bidi="ar"/>
        </w:rPr>
        <w:t>4.3 Impact on Shareholder Value, Debt Structure, and Operational Flexibility</w:t>
      </w:r>
      <w:r>
        <w:tab/>
      </w:r>
      <w:r>
        <w:fldChar w:fldCharType="begin"/>
      </w:r>
      <w:r>
        <w:instrText xml:space="preserve"> PAGEREF _Toc5289 \h </w:instrText>
      </w:r>
      <w:r>
        <w:fldChar w:fldCharType="separate"/>
      </w:r>
      <w:r>
        <w:t>15</w:t>
      </w:r>
      <w:r>
        <w:fldChar w:fldCharType="end"/>
      </w:r>
      <w:r>
        <w:rPr>
          <w:rFonts w:hint="default" w:ascii="Calibri" w:hAnsi="Calibri" w:cs="Calibri"/>
          <w:szCs w:val="32"/>
          <w:lang w:val="en-GB"/>
        </w:rPr>
        <w:fldChar w:fldCharType="end"/>
      </w:r>
    </w:p>
    <w:p w14:paraId="645449AF">
      <w:pPr>
        <w:pStyle w:val="13"/>
        <w:tabs>
          <w:tab w:val="right" w:leader="dot" w:pos="8306"/>
        </w:tabs>
      </w:pPr>
      <w:r>
        <w:rPr>
          <w:rFonts w:hint="default" w:ascii="Calibri" w:hAnsi="Calibri" w:cs="Calibri"/>
          <w:szCs w:val="32"/>
          <w:lang w:val="en-GB"/>
        </w:rPr>
        <w:fldChar w:fldCharType="begin"/>
      </w:r>
      <w:r>
        <w:rPr>
          <w:rFonts w:hint="default" w:ascii="Calibri" w:hAnsi="Calibri" w:cs="Calibri"/>
          <w:szCs w:val="32"/>
          <w:lang w:val="en-GB"/>
        </w:rPr>
        <w:instrText xml:space="preserve"> HYPERLINK \l _Toc31014 </w:instrText>
      </w:r>
      <w:r>
        <w:rPr>
          <w:rFonts w:hint="default" w:ascii="Calibri" w:hAnsi="Calibri" w:cs="Calibri"/>
          <w:szCs w:val="32"/>
          <w:lang w:val="en-GB"/>
        </w:rPr>
        <w:fldChar w:fldCharType="separate"/>
      </w:r>
      <w:r>
        <w:rPr>
          <w:rFonts w:hint="default" w:ascii="Calibri" w:hAnsi="Calibri" w:cs="Calibri"/>
          <w:i w:val="0"/>
          <w:iCs w:val="0"/>
          <w:kern w:val="0"/>
          <w:szCs w:val="24"/>
          <w:lang w:val="en-GB" w:eastAsia="zh-CN" w:bidi="ar"/>
        </w:rPr>
        <w:t>4.4 International and Ethical Considerations</w:t>
      </w:r>
      <w:r>
        <w:tab/>
      </w:r>
      <w:r>
        <w:fldChar w:fldCharType="begin"/>
      </w:r>
      <w:r>
        <w:instrText xml:space="preserve"> PAGEREF _Toc31014 \h </w:instrText>
      </w:r>
      <w:r>
        <w:fldChar w:fldCharType="separate"/>
      </w:r>
      <w:r>
        <w:t>15</w:t>
      </w:r>
      <w:r>
        <w:fldChar w:fldCharType="end"/>
      </w:r>
      <w:r>
        <w:rPr>
          <w:rFonts w:hint="default" w:ascii="Calibri" w:hAnsi="Calibri" w:cs="Calibri"/>
          <w:szCs w:val="32"/>
          <w:lang w:val="en-GB"/>
        </w:rPr>
        <w:fldChar w:fldCharType="end"/>
      </w:r>
    </w:p>
    <w:p w14:paraId="1D085903">
      <w:pPr>
        <w:pStyle w:val="12"/>
        <w:tabs>
          <w:tab w:val="right" w:leader="dot" w:pos="8306"/>
        </w:tabs>
      </w:pPr>
      <w:r>
        <w:rPr>
          <w:rFonts w:hint="default" w:ascii="Calibri" w:hAnsi="Calibri" w:cs="Calibri"/>
          <w:szCs w:val="32"/>
          <w:lang w:val="en-GB"/>
        </w:rPr>
        <w:fldChar w:fldCharType="begin"/>
      </w:r>
      <w:r>
        <w:rPr>
          <w:rFonts w:hint="default" w:ascii="Calibri" w:hAnsi="Calibri" w:cs="Calibri"/>
          <w:szCs w:val="32"/>
          <w:lang w:val="en-GB"/>
        </w:rPr>
        <w:instrText xml:space="preserve"> HYPERLINK \l _Toc30333 </w:instrText>
      </w:r>
      <w:r>
        <w:rPr>
          <w:rFonts w:hint="default" w:ascii="Calibri" w:hAnsi="Calibri" w:cs="Calibri"/>
          <w:szCs w:val="32"/>
          <w:lang w:val="en-GB"/>
        </w:rPr>
        <w:fldChar w:fldCharType="separate"/>
      </w:r>
      <w:r>
        <w:rPr>
          <w:rFonts w:hint="default" w:ascii="Calibri" w:hAnsi="Calibri" w:eastAsia="SimSun" w:cs="Calibri"/>
          <w:i w:val="0"/>
          <w:iCs w:val="0"/>
          <w:kern w:val="0"/>
          <w:szCs w:val="24"/>
          <w:lang w:val="en-GB" w:eastAsia="zh-CN" w:bidi="ar"/>
        </w:rPr>
        <w:t xml:space="preserve">5. </w:t>
      </w:r>
      <w:r>
        <w:rPr>
          <w:rFonts w:hint="default" w:ascii="Calibri" w:hAnsi="Calibri" w:cs="Calibri"/>
          <w:szCs w:val="24"/>
          <w:lang w:val="en-GB" w:eastAsia="zh-CN"/>
        </w:rPr>
        <w:t>Investment Appraisal and Capital Budgeting</w:t>
      </w:r>
      <w:r>
        <w:tab/>
      </w:r>
      <w:r>
        <w:fldChar w:fldCharType="begin"/>
      </w:r>
      <w:r>
        <w:instrText xml:space="preserve"> PAGEREF _Toc30333 \h </w:instrText>
      </w:r>
      <w:r>
        <w:fldChar w:fldCharType="separate"/>
      </w:r>
      <w:r>
        <w:t>16</w:t>
      </w:r>
      <w:r>
        <w:fldChar w:fldCharType="end"/>
      </w:r>
      <w:r>
        <w:rPr>
          <w:rFonts w:hint="default" w:ascii="Calibri" w:hAnsi="Calibri" w:cs="Calibri"/>
          <w:szCs w:val="32"/>
          <w:lang w:val="en-GB"/>
        </w:rPr>
        <w:fldChar w:fldCharType="end"/>
      </w:r>
    </w:p>
    <w:p w14:paraId="57DFE2C2">
      <w:pPr>
        <w:pStyle w:val="13"/>
        <w:tabs>
          <w:tab w:val="right" w:leader="dot" w:pos="8306"/>
        </w:tabs>
      </w:pPr>
      <w:r>
        <w:rPr>
          <w:rFonts w:hint="default" w:ascii="Calibri" w:hAnsi="Calibri" w:cs="Calibri"/>
          <w:szCs w:val="32"/>
          <w:lang w:val="en-GB"/>
        </w:rPr>
        <w:fldChar w:fldCharType="begin"/>
      </w:r>
      <w:r>
        <w:rPr>
          <w:rFonts w:hint="default" w:ascii="Calibri" w:hAnsi="Calibri" w:cs="Calibri"/>
          <w:szCs w:val="32"/>
          <w:lang w:val="en-GB"/>
        </w:rPr>
        <w:instrText xml:space="preserve"> HYPERLINK \l _Toc1793 </w:instrText>
      </w:r>
      <w:r>
        <w:rPr>
          <w:rFonts w:hint="default" w:ascii="Calibri" w:hAnsi="Calibri" w:cs="Calibri"/>
          <w:szCs w:val="32"/>
          <w:lang w:val="en-GB"/>
        </w:rPr>
        <w:fldChar w:fldCharType="separate"/>
      </w:r>
      <w:r>
        <w:rPr>
          <w:rFonts w:hint="default" w:ascii="Calibri" w:hAnsi="Calibri" w:cs="Calibri"/>
          <w:i w:val="0"/>
          <w:iCs w:val="0"/>
          <w:kern w:val="0"/>
          <w:szCs w:val="24"/>
          <w:lang w:val="en-GB" w:eastAsia="zh-CN" w:bidi="ar"/>
        </w:rPr>
        <w:t xml:space="preserve">5.1 </w:t>
      </w:r>
      <w:r>
        <w:rPr>
          <w:rFonts w:hint="default" w:ascii="Calibri" w:hAnsi="Calibri" w:eastAsia="SimSun" w:cs="Calibri"/>
          <w:i w:val="0"/>
          <w:iCs w:val="0"/>
          <w:kern w:val="0"/>
          <w:szCs w:val="24"/>
          <w:lang w:val="en-GB" w:eastAsia="zh-CN" w:bidi="ar"/>
        </w:rPr>
        <w:t>Overview and Methodology</w:t>
      </w:r>
      <w:r>
        <w:tab/>
      </w:r>
      <w:r>
        <w:fldChar w:fldCharType="begin"/>
      </w:r>
      <w:r>
        <w:instrText xml:space="preserve"> PAGEREF _Toc1793 \h </w:instrText>
      </w:r>
      <w:r>
        <w:fldChar w:fldCharType="separate"/>
      </w:r>
      <w:r>
        <w:t>16</w:t>
      </w:r>
      <w:r>
        <w:fldChar w:fldCharType="end"/>
      </w:r>
      <w:r>
        <w:rPr>
          <w:rFonts w:hint="default" w:ascii="Calibri" w:hAnsi="Calibri" w:cs="Calibri"/>
          <w:szCs w:val="32"/>
          <w:lang w:val="en-GB"/>
        </w:rPr>
        <w:fldChar w:fldCharType="end"/>
      </w:r>
    </w:p>
    <w:p w14:paraId="25E59F41">
      <w:pPr>
        <w:pStyle w:val="13"/>
        <w:tabs>
          <w:tab w:val="right" w:leader="dot" w:pos="8306"/>
        </w:tabs>
      </w:pPr>
      <w:r>
        <w:rPr>
          <w:rFonts w:hint="default" w:ascii="Calibri" w:hAnsi="Calibri" w:cs="Calibri"/>
          <w:szCs w:val="32"/>
          <w:lang w:val="en-GB"/>
        </w:rPr>
        <w:fldChar w:fldCharType="begin"/>
      </w:r>
      <w:r>
        <w:rPr>
          <w:rFonts w:hint="default" w:ascii="Calibri" w:hAnsi="Calibri" w:cs="Calibri"/>
          <w:szCs w:val="32"/>
          <w:lang w:val="en-GB"/>
        </w:rPr>
        <w:instrText xml:space="preserve"> HYPERLINK \l _Toc24846 </w:instrText>
      </w:r>
      <w:r>
        <w:rPr>
          <w:rFonts w:hint="default" w:ascii="Calibri" w:hAnsi="Calibri" w:cs="Calibri"/>
          <w:szCs w:val="32"/>
          <w:lang w:val="en-GB"/>
        </w:rPr>
        <w:fldChar w:fldCharType="separate"/>
      </w:r>
      <w:r>
        <w:rPr>
          <w:rFonts w:hint="default" w:ascii="Calibri" w:hAnsi="Calibri" w:cs="Calibri"/>
          <w:i w:val="0"/>
          <w:iCs w:val="0"/>
          <w:kern w:val="0"/>
          <w:szCs w:val="24"/>
          <w:lang w:val="en-GB" w:eastAsia="zh-CN" w:bidi="ar"/>
        </w:rPr>
        <w:t>5.2 Investment Appraisal Calculations</w:t>
      </w:r>
      <w:r>
        <w:tab/>
      </w:r>
      <w:r>
        <w:fldChar w:fldCharType="begin"/>
      </w:r>
      <w:r>
        <w:instrText xml:space="preserve"> PAGEREF _Toc24846 \h </w:instrText>
      </w:r>
      <w:r>
        <w:fldChar w:fldCharType="separate"/>
      </w:r>
      <w:r>
        <w:t>16</w:t>
      </w:r>
      <w:r>
        <w:fldChar w:fldCharType="end"/>
      </w:r>
      <w:r>
        <w:rPr>
          <w:rFonts w:hint="default" w:ascii="Calibri" w:hAnsi="Calibri" w:cs="Calibri"/>
          <w:szCs w:val="32"/>
          <w:lang w:val="en-GB"/>
        </w:rPr>
        <w:fldChar w:fldCharType="end"/>
      </w:r>
    </w:p>
    <w:p w14:paraId="271C6401">
      <w:pPr>
        <w:pStyle w:val="13"/>
        <w:tabs>
          <w:tab w:val="right" w:leader="dot" w:pos="8306"/>
        </w:tabs>
      </w:pPr>
      <w:r>
        <w:rPr>
          <w:rFonts w:hint="default" w:ascii="Calibri" w:hAnsi="Calibri" w:cs="Calibri"/>
          <w:szCs w:val="32"/>
          <w:lang w:val="en-GB"/>
        </w:rPr>
        <w:fldChar w:fldCharType="begin"/>
      </w:r>
      <w:r>
        <w:rPr>
          <w:rFonts w:hint="default" w:ascii="Calibri" w:hAnsi="Calibri" w:cs="Calibri"/>
          <w:szCs w:val="32"/>
          <w:lang w:val="en-GB"/>
        </w:rPr>
        <w:instrText xml:space="preserve"> HYPERLINK \l _Toc138 </w:instrText>
      </w:r>
      <w:r>
        <w:rPr>
          <w:rFonts w:hint="default" w:ascii="Calibri" w:hAnsi="Calibri" w:cs="Calibri"/>
          <w:szCs w:val="32"/>
          <w:lang w:val="en-GB"/>
        </w:rPr>
        <w:fldChar w:fldCharType="separate"/>
      </w:r>
      <w:r>
        <w:rPr>
          <w:rFonts w:hint="default" w:ascii="Calibri" w:hAnsi="Calibri" w:cs="Calibri"/>
          <w:i w:val="0"/>
          <w:iCs w:val="0"/>
          <w:kern w:val="0"/>
          <w:szCs w:val="24"/>
          <w:lang w:val="en-GB" w:eastAsia="zh-CN" w:bidi="ar"/>
        </w:rPr>
        <w:t>5.3 Project Recommendation</w:t>
      </w:r>
      <w:r>
        <w:tab/>
      </w:r>
      <w:r>
        <w:fldChar w:fldCharType="begin"/>
      </w:r>
      <w:r>
        <w:instrText xml:space="preserve"> PAGEREF _Toc138 \h </w:instrText>
      </w:r>
      <w:r>
        <w:fldChar w:fldCharType="separate"/>
      </w:r>
      <w:r>
        <w:t>17</w:t>
      </w:r>
      <w:r>
        <w:fldChar w:fldCharType="end"/>
      </w:r>
      <w:r>
        <w:rPr>
          <w:rFonts w:hint="default" w:ascii="Calibri" w:hAnsi="Calibri" w:cs="Calibri"/>
          <w:szCs w:val="32"/>
          <w:lang w:val="en-GB"/>
        </w:rPr>
        <w:fldChar w:fldCharType="end"/>
      </w:r>
    </w:p>
    <w:p w14:paraId="375FFD0F">
      <w:pPr>
        <w:pStyle w:val="13"/>
        <w:tabs>
          <w:tab w:val="right" w:leader="dot" w:pos="8306"/>
        </w:tabs>
      </w:pPr>
      <w:r>
        <w:rPr>
          <w:rFonts w:hint="default" w:ascii="Calibri" w:hAnsi="Calibri" w:cs="Calibri"/>
          <w:szCs w:val="32"/>
          <w:lang w:val="en-GB"/>
        </w:rPr>
        <w:fldChar w:fldCharType="begin"/>
      </w:r>
      <w:r>
        <w:rPr>
          <w:rFonts w:hint="default" w:ascii="Calibri" w:hAnsi="Calibri" w:cs="Calibri"/>
          <w:szCs w:val="32"/>
          <w:lang w:val="en-GB"/>
        </w:rPr>
        <w:instrText xml:space="preserve"> HYPERLINK \l _Toc26587 </w:instrText>
      </w:r>
      <w:r>
        <w:rPr>
          <w:rFonts w:hint="default" w:ascii="Calibri" w:hAnsi="Calibri" w:cs="Calibri"/>
          <w:szCs w:val="32"/>
          <w:lang w:val="en-GB"/>
        </w:rPr>
        <w:fldChar w:fldCharType="separate"/>
      </w:r>
      <w:r>
        <w:rPr>
          <w:rFonts w:hint="default" w:ascii="Calibri" w:hAnsi="Calibri" w:cs="Calibri"/>
          <w:i w:val="0"/>
          <w:iCs w:val="0"/>
          <w:kern w:val="0"/>
          <w:szCs w:val="24"/>
          <w:lang w:val="en-GB" w:eastAsia="zh-CN" w:bidi="ar"/>
        </w:rPr>
        <w:t xml:space="preserve">5.4 </w:t>
      </w:r>
      <w:r>
        <w:rPr>
          <w:rFonts w:hint="default" w:ascii="Calibri" w:hAnsi="Calibri" w:eastAsia="SimSun" w:cs="Calibri"/>
          <w:i w:val="0"/>
          <w:iCs w:val="0"/>
          <w:kern w:val="0"/>
          <w:szCs w:val="24"/>
          <w:lang w:val="en-GB" w:eastAsia="zh-CN" w:bidi="ar"/>
        </w:rPr>
        <w:t>Capital Rationing — Optimal Combination Within £100m Budget</w:t>
      </w:r>
      <w:r>
        <w:tab/>
      </w:r>
      <w:r>
        <w:fldChar w:fldCharType="begin"/>
      </w:r>
      <w:r>
        <w:instrText xml:space="preserve"> PAGEREF _Toc26587 \h </w:instrText>
      </w:r>
      <w:r>
        <w:fldChar w:fldCharType="separate"/>
      </w:r>
      <w:r>
        <w:t>18</w:t>
      </w:r>
      <w:r>
        <w:fldChar w:fldCharType="end"/>
      </w:r>
      <w:r>
        <w:rPr>
          <w:rFonts w:hint="default" w:ascii="Calibri" w:hAnsi="Calibri" w:cs="Calibri"/>
          <w:szCs w:val="32"/>
          <w:lang w:val="en-GB"/>
        </w:rPr>
        <w:fldChar w:fldCharType="end"/>
      </w:r>
    </w:p>
    <w:p w14:paraId="1191F24D">
      <w:pPr>
        <w:pStyle w:val="12"/>
        <w:tabs>
          <w:tab w:val="right" w:leader="dot" w:pos="8306"/>
        </w:tabs>
      </w:pPr>
      <w:r>
        <w:rPr>
          <w:rFonts w:hint="default" w:ascii="Calibri" w:hAnsi="Calibri" w:cs="Calibri"/>
          <w:szCs w:val="32"/>
          <w:lang w:val="en-GB"/>
        </w:rPr>
        <w:fldChar w:fldCharType="begin"/>
      </w:r>
      <w:r>
        <w:rPr>
          <w:rFonts w:hint="default" w:ascii="Calibri" w:hAnsi="Calibri" w:cs="Calibri"/>
          <w:szCs w:val="32"/>
          <w:lang w:val="en-GB"/>
        </w:rPr>
        <w:instrText xml:space="preserve"> HYPERLINK \l _Toc13452 </w:instrText>
      </w:r>
      <w:r>
        <w:rPr>
          <w:rFonts w:hint="default" w:ascii="Calibri" w:hAnsi="Calibri" w:cs="Calibri"/>
          <w:szCs w:val="32"/>
          <w:lang w:val="en-GB"/>
        </w:rPr>
        <w:fldChar w:fldCharType="separate"/>
      </w:r>
      <w:r>
        <w:rPr>
          <w:rFonts w:hint="default" w:ascii="Calibri" w:hAnsi="Calibri" w:eastAsia="SimSun" w:cs="Calibri"/>
          <w:i w:val="0"/>
          <w:iCs w:val="0"/>
          <w:kern w:val="0"/>
          <w:szCs w:val="24"/>
          <w:lang w:val="en-GB" w:eastAsia="zh-CN" w:bidi="ar"/>
        </w:rPr>
        <w:t xml:space="preserve">6. </w:t>
      </w:r>
      <w:r>
        <w:rPr>
          <w:rFonts w:hint="default" w:ascii="Calibri" w:hAnsi="Calibri" w:cs="Calibri"/>
          <w:szCs w:val="24"/>
          <w:lang w:val="en-GB" w:eastAsia="zh-CN"/>
        </w:rPr>
        <w:t>Conclusion</w:t>
      </w:r>
      <w:r>
        <w:tab/>
      </w:r>
      <w:r>
        <w:fldChar w:fldCharType="begin"/>
      </w:r>
      <w:r>
        <w:instrText xml:space="preserve"> PAGEREF _Toc13452 \h </w:instrText>
      </w:r>
      <w:r>
        <w:fldChar w:fldCharType="separate"/>
      </w:r>
      <w:r>
        <w:t>19</w:t>
      </w:r>
      <w:r>
        <w:fldChar w:fldCharType="end"/>
      </w:r>
      <w:r>
        <w:rPr>
          <w:rFonts w:hint="default" w:ascii="Calibri" w:hAnsi="Calibri" w:cs="Calibri"/>
          <w:szCs w:val="32"/>
          <w:lang w:val="en-GB"/>
        </w:rPr>
        <w:fldChar w:fldCharType="end"/>
      </w:r>
    </w:p>
    <w:p w14:paraId="198EF32E">
      <w:pPr>
        <w:pStyle w:val="13"/>
        <w:tabs>
          <w:tab w:val="right" w:leader="dot" w:pos="8306"/>
        </w:tabs>
      </w:pPr>
      <w:r>
        <w:rPr>
          <w:rFonts w:hint="default" w:ascii="Calibri" w:hAnsi="Calibri" w:cs="Calibri"/>
          <w:szCs w:val="32"/>
          <w:lang w:val="en-GB"/>
        </w:rPr>
        <w:fldChar w:fldCharType="begin"/>
      </w:r>
      <w:r>
        <w:rPr>
          <w:rFonts w:hint="default" w:ascii="Calibri" w:hAnsi="Calibri" w:cs="Calibri"/>
          <w:szCs w:val="32"/>
          <w:lang w:val="en-GB"/>
        </w:rPr>
        <w:instrText xml:space="preserve"> HYPERLINK \l _Toc2751 </w:instrText>
      </w:r>
      <w:r>
        <w:rPr>
          <w:rFonts w:hint="default" w:ascii="Calibri" w:hAnsi="Calibri" w:cs="Calibri"/>
          <w:szCs w:val="32"/>
          <w:lang w:val="en-GB"/>
        </w:rPr>
        <w:fldChar w:fldCharType="separate"/>
      </w:r>
      <w:r>
        <w:rPr>
          <w:rFonts w:hint="default" w:ascii="Calibri" w:hAnsi="Calibri" w:cs="Calibri"/>
          <w:i w:val="0"/>
          <w:iCs w:val="0"/>
          <w:kern w:val="0"/>
          <w:szCs w:val="24"/>
          <w:lang w:val="en-GB" w:eastAsia="zh-CN" w:bidi="ar"/>
        </w:rPr>
        <w:t>6.1 Overall Financial Position of Tesla</w:t>
      </w:r>
      <w:r>
        <w:tab/>
      </w:r>
      <w:r>
        <w:fldChar w:fldCharType="begin"/>
      </w:r>
      <w:r>
        <w:instrText xml:space="preserve"> PAGEREF _Toc2751 \h </w:instrText>
      </w:r>
      <w:r>
        <w:fldChar w:fldCharType="separate"/>
      </w:r>
      <w:r>
        <w:t>19</w:t>
      </w:r>
      <w:r>
        <w:fldChar w:fldCharType="end"/>
      </w:r>
      <w:r>
        <w:rPr>
          <w:rFonts w:hint="default" w:ascii="Calibri" w:hAnsi="Calibri" w:cs="Calibri"/>
          <w:szCs w:val="32"/>
          <w:lang w:val="en-GB"/>
        </w:rPr>
        <w:fldChar w:fldCharType="end"/>
      </w:r>
    </w:p>
    <w:p w14:paraId="0BA5AF4B">
      <w:pPr>
        <w:pStyle w:val="13"/>
        <w:tabs>
          <w:tab w:val="right" w:leader="dot" w:pos="8306"/>
        </w:tabs>
      </w:pPr>
      <w:r>
        <w:rPr>
          <w:rFonts w:hint="default" w:ascii="Calibri" w:hAnsi="Calibri" w:cs="Calibri"/>
          <w:szCs w:val="32"/>
          <w:lang w:val="en-GB"/>
        </w:rPr>
        <w:fldChar w:fldCharType="begin"/>
      </w:r>
      <w:r>
        <w:rPr>
          <w:rFonts w:hint="default" w:ascii="Calibri" w:hAnsi="Calibri" w:cs="Calibri"/>
          <w:szCs w:val="32"/>
          <w:lang w:val="en-GB"/>
        </w:rPr>
        <w:instrText xml:space="preserve"> HYPERLINK \l _Toc18114 </w:instrText>
      </w:r>
      <w:r>
        <w:rPr>
          <w:rFonts w:hint="default" w:ascii="Calibri" w:hAnsi="Calibri" w:cs="Calibri"/>
          <w:szCs w:val="32"/>
          <w:lang w:val="en-GB"/>
        </w:rPr>
        <w:fldChar w:fldCharType="separate"/>
      </w:r>
      <w:r>
        <w:rPr>
          <w:rFonts w:hint="default" w:ascii="Calibri" w:hAnsi="Calibri" w:cs="Calibri"/>
          <w:i w:val="0"/>
          <w:iCs w:val="0"/>
          <w:kern w:val="0"/>
          <w:szCs w:val="24"/>
          <w:lang w:val="en-GB" w:eastAsia="zh-CN" w:bidi="ar"/>
        </w:rPr>
        <w:t>6.2 Key Weaknesses</w:t>
      </w:r>
      <w:r>
        <w:tab/>
      </w:r>
      <w:r>
        <w:fldChar w:fldCharType="begin"/>
      </w:r>
      <w:r>
        <w:instrText xml:space="preserve"> PAGEREF _Toc18114 \h </w:instrText>
      </w:r>
      <w:r>
        <w:fldChar w:fldCharType="separate"/>
      </w:r>
      <w:r>
        <w:t>19</w:t>
      </w:r>
      <w:r>
        <w:fldChar w:fldCharType="end"/>
      </w:r>
      <w:r>
        <w:rPr>
          <w:rFonts w:hint="default" w:ascii="Calibri" w:hAnsi="Calibri" w:cs="Calibri"/>
          <w:szCs w:val="32"/>
          <w:lang w:val="en-GB"/>
        </w:rPr>
        <w:fldChar w:fldCharType="end"/>
      </w:r>
    </w:p>
    <w:p w14:paraId="0A7C0EBE">
      <w:pPr>
        <w:pStyle w:val="13"/>
        <w:tabs>
          <w:tab w:val="right" w:leader="dot" w:pos="8306"/>
        </w:tabs>
      </w:pPr>
      <w:r>
        <w:rPr>
          <w:rFonts w:hint="default" w:ascii="Calibri" w:hAnsi="Calibri" w:cs="Calibri"/>
          <w:szCs w:val="32"/>
          <w:lang w:val="en-GB"/>
        </w:rPr>
        <w:fldChar w:fldCharType="begin"/>
      </w:r>
      <w:r>
        <w:rPr>
          <w:rFonts w:hint="default" w:ascii="Calibri" w:hAnsi="Calibri" w:cs="Calibri"/>
          <w:szCs w:val="32"/>
          <w:lang w:val="en-GB"/>
        </w:rPr>
        <w:instrText xml:space="preserve"> HYPERLINK \l _Toc15506 </w:instrText>
      </w:r>
      <w:r>
        <w:rPr>
          <w:rFonts w:hint="default" w:ascii="Calibri" w:hAnsi="Calibri" w:cs="Calibri"/>
          <w:szCs w:val="32"/>
          <w:lang w:val="en-GB"/>
        </w:rPr>
        <w:fldChar w:fldCharType="separate"/>
      </w:r>
      <w:r>
        <w:rPr>
          <w:rFonts w:hint="default" w:ascii="Calibri" w:hAnsi="Calibri" w:cs="Calibri"/>
          <w:i w:val="0"/>
          <w:iCs w:val="0"/>
          <w:kern w:val="0"/>
          <w:szCs w:val="24"/>
          <w:lang w:val="en-GB" w:eastAsia="zh-CN" w:bidi="ar"/>
        </w:rPr>
        <w:t>6.3 Key Strengths</w:t>
      </w:r>
      <w:r>
        <w:tab/>
      </w:r>
      <w:r>
        <w:fldChar w:fldCharType="begin"/>
      </w:r>
      <w:r>
        <w:instrText xml:space="preserve"> PAGEREF _Toc15506 \h </w:instrText>
      </w:r>
      <w:r>
        <w:fldChar w:fldCharType="separate"/>
      </w:r>
      <w:r>
        <w:t>20</w:t>
      </w:r>
      <w:r>
        <w:fldChar w:fldCharType="end"/>
      </w:r>
      <w:r>
        <w:rPr>
          <w:rFonts w:hint="default" w:ascii="Calibri" w:hAnsi="Calibri" w:cs="Calibri"/>
          <w:szCs w:val="32"/>
          <w:lang w:val="en-GB"/>
        </w:rPr>
        <w:fldChar w:fldCharType="end"/>
      </w:r>
    </w:p>
    <w:p w14:paraId="112DFD5F">
      <w:pPr>
        <w:pStyle w:val="13"/>
        <w:tabs>
          <w:tab w:val="right" w:leader="dot" w:pos="8306"/>
        </w:tabs>
      </w:pPr>
      <w:r>
        <w:rPr>
          <w:rFonts w:hint="default" w:ascii="Calibri" w:hAnsi="Calibri" w:cs="Calibri"/>
          <w:szCs w:val="32"/>
          <w:lang w:val="en-GB"/>
        </w:rPr>
        <w:fldChar w:fldCharType="begin"/>
      </w:r>
      <w:r>
        <w:rPr>
          <w:rFonts w:hint="default" w:ascii="Calibri" w:hAnsi="Calibri" w:cs="Calibri"/>
          <w:szCs w:val="32"/>
          <w:lang w:val="en-GB"/>
        </w:rPr>
        <w:instrText xml:space="preserve"> HYPERLINK \l _Toc27788 </w:instrText>
      </w:r>
      <w:r>
        <w:rPr>
          <w:rFonts w:hint="default" w:ascii="Calibri" w:hAnsi="Calibri" w:cs="Calibri"/>
          <w:szCs w:val="32"/>
          <w:lang w:val="en-GB"/>
        </w:rPr>
        <w:fldChar w:fldCharType="separate"/>
      </w:r>
      <w:r>
        <w:rPr>
          <w:rFonts w:hint="default" w:ascii="Calibri" w:hAnsi="Calibri" w:cs="Calibri"/>
          <w:i w:val="0"/>
          <w:iCs w:val="0"/>
          <w:kern w:val="0"/>
          <w:szCs w:val="24"/>
          <w:lang w:val="en-GB" w:eastAsia="zh-CN" w:bidi="ar"/>
        </w:rPr>
        <w:t>6.4 Final Recommendation to Management and Investors</w:t>
      </w:r>
      <w:r>
        <w:tab/>
      </w:r>
      <w:r>
        <w:fldChar w:fldCharType="begin"/>
      </w:r>
      <w:r>
        <w:instrText xml:space="preserve"> PAGEREF _Toc27788 \h </w:instrText>
      </w:r>
      <w:r>
        <w:fldChar w:fldCharType="separate"/>
      </w:r>
      <w:r>
        <w:t>20</w:t>
      </w:r>
      <w:r>
        <w:fldChar w:fldCharType="end"/>
      </w:r>
      <w:r>
        <w:rPr>
          <w:rFonts w:hint="default" w:ascii="Calibri" w:hAnsi="Calibri" w:cs="Calibri"/>
          <w:szCs w:val="32"/>
          <w:lang w:val="en-GB"/>
        </w:rPr>
        <w:fldChar w:fldCharType="end"/>
      </w:r>
    </w:p>
    <w:p w14:paraId="555B9D9A">
      <w:pPr>
        <w:pStyle w:val="13"/>
        <w:tabs>
          <w:tab w:val="right" w:leader="dot" w:pos="8306"/>
        </w:tabs>
      </w:pPr>
      <w:r>
        <w:rPr>
          <w:rFonts w:hint="default" w:ascii="Calibri" w:hAnsi="Calibri" w:cs="Calibri"/>
          <w:szCs w:val="32"/>
          <w:lang w:val="en-GB"/>
        </w:rPr>
        <w:fldChar w:fldCharType="begin"/>
      </w:r>
      <w:r>
        <w:rPr>
          <w:rFonts w:hint="default" w:ascii="Calibri" w:hAnsi="Calibri" w:cs="Calibri"/>
          <w:szCs w:val="32"/>
          <w:lang w:val="en-GB"/>
        </w:rPr>
        <w:instrText xml:space="preserve"> HYPERLINK \l _Toc15245 </w:instrText>
      </w:r>
      <w:r>
        <w:rPr>
          <w:rFonts w:hint="default" w:ascii="Calibri" w:hAnsi="Calibri" w:cs="Calibri"/>
          <w:szCs w:val="32"/>
          <w:lang w:val="en-GB"/>
        </w:rPr>
        <w:fldChar w:fldCharType="separate"/>
      </w:r>
      <w:r>
        <w:rPr>
          <w:rFonts w:hint="default" w:ascii="Calibri" w:hAnsi="Calibri" w:cs="Calibri"/>
          <w:i w:val="0"/>
          <w:iCs w:val="0"/>
          <w:kern w:val="0"/>
          <w:szCs w:val="24"/>
          <w:lang w:val="en-GB" w:eastAsia="zh-CN" w:bidi="ar"/>
        </w:rPr>
        <w:t>6.5 Future Outlook</w:t>
      </w:r>
      <w:r>
        <w:tab/>
      </w:r>
      <w:r>
        <w:fldChar w:fldCharType="begin"/>
      </w:r>
      <w:r>
        <w:instrText xml:space="preserve"> PAGEREF _Toc15245 \h </w:instrText>
      </w:r>
      <w:r>
        <w:fldChar w:fldCharType="separate"/>
      </w:r>
      <w:r>
        <w:t>21</w:t>
      </w:r>
      <w:r>
        <w:fldChar w:fldCharType="end"/>
      </w:r>
      <w:r>
        <w:rPr>
          <w:rFonts w:hint="default" w:ascii="Calibri" w:hAnsi="Calibri" w:cs="Calibri"/>
          <w:szCs w:val="32"/>
          <w:lang w:val="en-GB"/>
        </w:rPr>
        <w:fldChar w:fldCharType="end"/>
      </w:r>
    </w:p>
    <w:p w14:paraId="1A530CCE">
      <w:pPr>
        <w:pStyle w:val="12"/>
        <w:tabs>
          <w:tab w:val="right" w:leader="dot" w:pos="8306"/>
        </w:tabs>
      </w:pPr>
      <w:r>
        <w:rPr>
          <w:rFonts w:hint="default" w:ascii="Calibri" w:hAnsi="Calibri" w:cs="Calibri"/>
          <w:szCs w:val="32"/>
          <w:lang w:val="en-GB"/>
        </w:rPr>
        <w:fldChar w:fldCharType="begin"/>
      </w:r>
      <w:r>
        <w:rPr>
          <w:rFonts w:hint="default" w:ascii="Calibri" w:hAnsi="Calibri" w:cs="Calibri"/>
          <w:szCs w:val="32"/>
          <w:lang w:val="en-GB"/>
        </w:rPr>
        <w:instrText xml:space="preserve"> HYPERLINK \l _Toc14381 </w:instrText>
      </w:r>
      <w:r>
        <w:rPr>
          <w:rFonts w:hint="default" w:ascii="Calibri" w:hAnsi="Calibri" w:cs="Calibri"/>
          <w:szCs w:val="32"/>
          <w:lang w:val="en-GB"/>
        </w:rPr>
        <w:fldChar w:fldCharType="separate"/>
      </w:r>
      <w:r>
        <w:rPr>
          <w:rFonts w:hint="default" w:ascii="Calibri" w:hAnsi="Calibri" w:cs="Calibri"/>
          <w:szCs w:val="24"/>
          <w:lang w:val="en-GB" w:eastAsia="zh-CN"/>
        </w:rPr>
        <w:t>7. References</w:t>
      </w:r>
      <w:r>
        <w:tab/>
      </w:r>
      <w:r>
        <w:fldChar w:fldCharType="begin"/>
      </w:r>
      <w:r>
        <w:instrText xml:space="preserve"> PAGEREF _Toc14381 \h </w:instrText>
      </w:r>
      <w:r>
        <w:fldChar w:fldCharType="separate"/>
      </w:r>
      <w:r>
        <w:t>22</w:t>
      </w:r>
      <w:r>
        <w:fldChar w:fldCharType="end"/>
      </w:r>
      <w:r>
        <w:rPr>
          <w:rFonts w:hint="default" w:ascii="Calibri" w:hAnsi="Calibri" w:cs="Calibri"/>
          <w:szCs w:val="32"/>
          <w:lang w:val="en-GB"/>
        </w:rPr>
        <w:fldChar w:fldCharType="end"/>
      </w:r>
    </w:p>
    <w:p w14:paraId="01C99B9B">
      <w:pPr>
        <w:pStyle w:val="12"/>
        <w:tabs>
          <w:tab w:val="right" w:leader="dot" w:pos="8306"/>
        </w:tabs>
      </w:pPr>
      <w:r>
        <w:rPr>
          <w:rFonts w:hint="default" w:ascii="Calibri" w:hAnsi="Calibri" w:cs="Calibri"/>
          <w:szCs w:val="32"/>
          <w:lang w:val="en-GB"/>
        </w:rPr>
        <w:fldChar w:fldCharType="begin"/>
      </w:r>
      <w:r>
        <w:rPr>
          <w:rFonts w:hint="default" w:ascii="Calibri" w:hAnsi="Calibri" w:cs="Calibri"/>
          <w:szCs w:val="32"/>
          <w:lang w:val="en-GB"/>
        </w:rPr>
        <w:instrText xml:space="preserve"> HYPERLINK \l _Toc30194 </w:instrText>
      </w:r>
      <w:r>
        <w:rPr>
          <w:rFonts w:hint="default" w:ascii="Calibri" w:hAnsi="Calibri" w:cs="Calibri"/>
          <w:szCs w:val="32"/>
          <w:lang w:val="en-GB"/>
        </w:rPr>
        <w:fldChar w:fldCharType="separate"/>
      </w:r>
      <w:r>
        <w:rPr>
          <w:rFonts w:hint="default" w:ascii="Calibri" w:hAnsi="Calibri" w:cs="Calibri"/>
          <w:szCs w:val="24"/>
          <w:lang w:val="en-GB" w:eastAsia="zh-CN"/>
        </w:rPr>
        <w:t>8. Annexures</w:t>
      </w:r>
      <w:r>
        <w:tab/>
      </w:r>
      <w:r>
        <w:fldChar w:fldCharType="begin"/>
      </w:r>
      <w:r>
        <w:instrText xml:space="preserve"> PAGEREF _Toc30194 \h </w:instrText>
      </w:r>
      <w:r>
        <w:fldChar w:fldCharType="separate"/>
      </w:r>
      <w:r>
        <w:t>24</w:t>
      </w:r>
      <w:r>
        <w:fldChar w:fldCharType="end"/>
      </w:r>
      <w:r>
        <w:rPr>
          <w:rFonts w:hint="default" w:ascii="Calibri" w:hAnsi="Calibri" w:cs="Calibri"/>
          <w:szCs w:val="32"/>
          <w:lang w:val="en-GB"/>
        </w:rPr>
        <w:fldChar w:fldCharType="end"/>
      </w:r>
    </w:p>
    <w:p w14:paraId="54969AAA">
      <w:pPr>
        <w:outlineLvl w:val="9"/>
        <w:rPr>
          <w:rFonts w:hint="default" w:ascii="Calibri" w:hAnsi="Calibri" w:cs="Calibri"/>
          <w:sz w:val="32"/>
          <w:szCs w:val="32"/>
          <w:lang w:val="en-GB"/>
        </w:rPr>
      </w:pPr>
      <w:r>
        <w:rPr>
          <w:rFonts w:hint="default" w:ascii="Calibri" w:hAnsi="Calibri" w:cs="Calibri"/>
          <w:szCs w:val="32"/>
          <w:lang w:val="en-GB"/>
        </w:rPr>
        <w:fldChar w:fldCharType="end"/>
      </w:r>
    </w:p>
    <w:p w14:paraId="5D2B9990">
      <w:pPr>
        <w:pStyle w:val="2"/>
        <w:numPr>
          <w:ilvl w:val="0"/>
          <w:numId w:val="1"/>
        </w:numPr>
        <w:bidi w:val="0"/>
        <w:rPr>
          <w:rFonts w:hint="default"/>
          <w:sz w:val="24"/>
          <w:szCs w:val="24"/>
          <w:lang w:val="en-GB"/>
        </w:rPr>
      </w:pPr>
      <w:bookmarkStart w:id="1" w:name="_Toc19910"/>
      <w:bookmarkStart w:id="2" w:name="_Toc28765"/>
      <w:bookmarkStart w:id="3" w:name="_Toc27104"/>
      <w:r>
        <w:rPr>
          <w:rFonts w:hint="default" w:ascii="Calibri" w:hAnsi="Calibri" w:cs="Calibri"/>
          <w:sz w:val="24"/>
          <w:szCs w:val="24"/>
          <w:lang w:val="en-GB" w:eastAsia="zh-CN"/>
        </w:rPr>
        <w:t>Introduction</w:t>
      </w:r>
      <w:bookmarkEnd w:id="1"/>
      <w:bookmarkEnd w:id="2"/>
      <w:bookmarkEnd w:id="3"/>
      <w:bookmarkStart w:id="201" w:name="_GoBack"/>
      <w:bookmarkEnd w:id="201"/>
    </w:p>
    <w:p w14:paraId="21BF0468">
      <w:pPr>
        <w:numPr>
          <w:ilvl w:val="0"/>
          <w:numId w:val="0"/>
        </w:numPr>
        <w:jc w:val="both"/>
        <w:rPr>
          <w:rFonts w:hint="default"/>
          <w:sz w:val="24"/>
          <w:szCs w:val="24"/>
          <w:lang w:val="en-GB"/>
        </w:rPr>
      </w:pPr>
      <w:r>
        <w:rPr>
          <w:rFonts w:hint="default"/>
          <w:sz w:val="24"/>
          <w:szCs w:val="24"/>
          <w:lang w:val="en-GB"/>
        </w:rPr>
        <w:t>Tesla Inc. is one of the most well-known electric vehicle companies, holding significant market share in the industry and contributing greatly to accelerating the transition from internal combustion engine (ICE) vehicles to electric-powered mobility worldwide. Founded in 2003, the company has grown from a relatively niche luxury electric vehicle manufacturer into a multinational corporation that aggressively innovates in vehicle manufacturing, battery technology, software systems, charging infrastructure, and renewable energy generation solutions. Its direct-to-consumer business model, heavy investment in research and development, and continuous innovation in battery efficiency have allowed the company to disrupt the traditional automotive industry.</w:t>
      </w:r>
    </w:p>
    <w:p w14:paraId="55CAEF8B">
      <w:pPr>
        <w:numPr>
          <w:ilvl w:val="0"/>
          <w:numId w:val="0"/>
        </w:numPr>
        <w:jc w:val="both"/>
        <w:rPr>
          <w:rFonts w:hint="default"/>
          <w:sz w:val="24"/>
          <w:szCs w:val="24"/>
          <w:lang w:val="en-GB"/>
        </w:rPr>
      </w:pPr>
    </w:p>
    <w:p w14:paraId="1EAEBDEC">
      <w:pPr>
        <w:numPr>
          <w:ilvl w:val="0"/>
          <w:numId w:val="0"/>
        </w:numPr>
        <w:jc w:val="both"/>
        <w:rPr>
          <w:rFonts w:hint="default"/>
          <w:sz w:val="24"/>
          <w:szCs w:val="24"/>
          <w:lang w:val="en-GB"/>
        </w:rPr>
      </w:pPr>
      <w:r>
        <w:rPr>
          <w:rFonts w:hint="default"/>
          <w:sz w:val="24"/>
          <w:szCs w:val="24"/>
          <w:lang w:val="en-GB"/>
        </w:rPr>
        <w:t>The electric vehicle industry has become highly competitive in recent years. Global competitors such as BYD, Volkswagen, Hyundai, and Toyota are increasing their investments in electric vehicle technology, battery plants, and software capabilities. The global market is rapidly shifting, with consumers increasingly favouring electric vehicles over traditional internal combustion engine vehicles. Developed nations such as the UK and the USA have committed to achieving carbon neutrality in the near future, making the electric vehicle industry a pivotal sector in this transition. Furthermore, many countries are incentivising adoption by offering tax benefits and subsidies to electric vehicle buyers.</w:t>
      </w:r>
    </w:p>
    <w:p w14:paraId="54667D07">
      <w:pPr>
        <w:numPr>
          <w:ilvl w:val="0"/>
          <w:numId w:val="0"/>
        </w:numPr>
        <w:jc w:val="both"/>
        <w:rPr>
          <w:rFonts w:hint="default"/>
          <w:sz w:val="24"/>
          <w:szCs w:val="24"/>
          <w:lang w:val="en-GB"/>
        </w:rPr>
      </w:pPr>
    </w:p>
    <w:p w14:paraId="052C19C3">
      <w:pPr>
        <w:numPr>
          <w:ilvl w:val="0"/>
          <w:numId w:val="0"/>
        </w:numPr>
        <w:jc w:val="both"/>
        <w:rPr>
          <w:rFonts w:hint="default"/>
          <w:sz w:val="24"/>
          <w:szCs w:val="24"/>
          <w:lang w:val="en-GB"/>
        </w:rPr>
      </w:pPr>
    </w:p>
    <w:p w14:paraId="0DABDC7B">
      <w:pPr>
        <w:numPr>
          <w:ilvl w:val="0"/>
          <w:numId w:val="0"/>
        </w:numPr>
        <w:jc w:val="both"/>
        <w:rPr>
          <w:rFonts w:hint="default"/>
          <w:sz w:val="24"/>
          <w:szCs w:val="24"/>
          <w:lang w:val="en-GB"/>
        </w:rPr>
      </w:pPr>
    </w:p>
    <w:p w14:paraId="482501FA">
      <w:pPr>
        <w:numPr>
          <w:ilvl w:val="0"/>
          <w:numId w:val="0"/>
        </w:numPr>
        <w:jc w:val="both"/>
        <w:rPr>
          <w:rFonts w:hint="default"/>
          <w:sz w:val="24"/>
          <w:szCs w:val="24"/>
          <w:lang w:val="en-GB"/>
        </w:rPr>
      </w:pPr>
    </w:p>
    <w:p w14:paraId="016E405E">
      <w:pPr>
        <w:numPr>
          <w:ilvl w:val="0"/>
          <w:numId w:val="0"/>
        </w:numPr>
        <w:jc w:val="both"/>
        <w:rPr>
          <w:rFonts w:hint="default"/>
          <w:sz w:val="24"/>
          <w:szCs w:val="24"/>
          <w:lang w:val="en-GB"/>
        </w:rPr>
      </w:pPr>
    </w:p>
    <w:p w14:paraId="4F332AA3">
      <w:pPr>
        <w:numPr>
          <w:ilvl w:val="0"/>
          <w:numId w:val="0"/>
        </w:numPr>
        <w:jc w:val="both"/>
        <w:rPr>
          <w:rFonts w:hint="default"/>
          <w:sz w:val="24"/>
          <w:szCs w:val="24"/>
          <w:lang w:val="en-GB"/>
        </w:rPr>
      </w:pPr>
    </w:p>
    <w:p w14:paraId="62467B8A">
      <w:pPr>
        <w:numPr>
          <w:ilvl w:val="0"/>
          <w:numId w:val="0"/>
        </w:numPr>
        <w:jc w:val="both"/>
        <w:rPr>
          <w:rFonts w:hint="default"/>
          <w:sz w:val="24"/>
          <w:szCs w:val="24"/>
          <w:lang w:val="en-GB"/>
        </w:rPr>
      </w:pPr>
    </w:p>
    <w:p w14:paraId="1E120C92">
      <w:pPr>
        <w:numPr>
          <w:ilvl w:val="0"/>
          <w:numId w:val="0"/>
        </w:numPr>
        <w:jc w:val="both"/>
        <w:rPr>
          <w:rFonts w:hint="default"/>
          <w:sz w:val="24"/>
          <w:szCs w:val="24"/>
          <w:lang w:val="en-GB"/>
        </w:rPr>
      </w:pPr>
    </w:p>
    <w:p w14:paraId="4C8C5BD8">
      <w:pPr>
        <w:numPr>
          <w:ilvl w:val="0"/>
          <w:numId w:val="0"/>
        </w:numPr>
        <w:jc w:val="both"/>
        <w:rPr>
          <w:rFonts w:hint="default"/>
          <w:sz w:val="24"/>
          <w:szCs w:val="24"/>
          <w:lang w:val="en-GB"/>
        </w:rPr>
      </w:pPr>
    </w:p>
    <w:p w14:paraId="7FC85D59">
      <w:pPr>
        <w:numPr>
          <w:ilvl w:val="0"/>
          <w:numId w:val="0"/>
        </w:numPr>
        <w:jc w:val="both"/>
        <w:rPr>
          <w:rFonts w:hint="default"/>
          <w:sz w:val="24"/>
          <w:szCs w:val="24"/>
          <w:lang w:val="en-GB"/>
        </w:rPr>
      </w:pPr>
    </w:p>
    <w:p w14:paraId="2B82420E">
      <w:pPr>
        <w:numPr>
          <w:ilvl w:val="0"/>
          <w:numId w:val="0"/>
        </w:numPr>
        <w:jc w:val="both"/>
        <w:rPr>
          <w:rFonts w:hint="default"/>
          <w:sz w:val="24"/>
          <w:szCs w:val="24"/>
          <w:lang w:val="en-GB"/>
        </w:rPr>
      </w:pPr>
    </w:p>
    <w:p w14:paraId="2D65C712">
      <w:pPr>
        <w:numPr>
          <w:ilvl w:val="0"/>
          <w:numId w:val="0"/>
        </w:numPr>
        <w:jc w:val="both"/>
        <w:rPr>
          <w:rFonts w:hint="default"/>
          <w:sz w:val="24"/>
          <w:szCs w:val="24"/>
          <w:lang w:val="en-GB"/>
        </w:rPr>
      </w:pPr>
    </w:p>
    <w:p w14:paraId="60411650">
      <w:pPr>
        <w:numPr>
          <w:ilvl w:val="0"/>
          <w:numId w:val="0"/>
        </w:numPr>
        <w:jc w:val="both"/>
        <w:rPr>
          <w:rFonts w:hint="default"/>
          <w:sz w:val="24"/>
          <w:szCs w:val="24"/>
          <w:lang w:val="en-GB"/>
        </w:rPr>
      </w:pPr>
    </w:p>
    <w:p w14:paraId="7106A5E4">
      <w:pPr>
        <w:numPr>
          <w:ilvl w:val="0"/>
          <w:numId w:val="0"/>
        </w:numPr>
        <w:jc w:val="both"/>
        <w:rPr>
          <w:rFonts w:hint="default"/>
          <w:sz w:val="24"/>
          <w:szCs w:val="24"/>
          <w:lang w:val="en-GB"/>
        </w:rPr>
      </w:pPr>
    </w:p>
    <w:p w14:paraId="22824CF1">
      <w:pPr>
        <w:numPr>
          <w:ilvl w:val="0"/>
          <w:numId w:val="0"/>
        </w:numPr>
        <w:jc w:val="both"/>
        <w:rPr>
          <w:rFonts w:hint="default"/>
          <w:sz w:val="24"/>
          <w:szCs w:val="24"/>
          <w:lang w:val="en-GB"/>
        </w:rPr>
      </w:pPr>
    </w:p>
    <w:p w14:paraId="70BC4442">
      <w:pPr>
        <w:numPr>
          <w:ilvl w:val="0"/>
          <w:numId w:val="0"/>
        </w:numPr>
        <w:jc w:val="both"/>
        <w:rPr>
          <w:rFonts w:hint="default"/>
          <w:sz w:val="24"/>
          <w:szCs w:val="24"/>
          <w:lang w:val="en-GB"/>
        </w:rPr>
      </w:pPr>
    </w:p>
    <w:p w14:paraId="3BACB263">
      <w:pPr>
        <w:numPr>
          <w:ilvl w:val="0"/>
          <w:numId w:val="0"/>
        </w:numPr>
        <w:jc w:val="both"/>
        <w:rPr>
          <w:rFonts w:hint="default"/>
          <w:sz w:val="24"/>
          <w:szCs w:val="24"/>
          <w:lang w:val="en-GB"/>
        </w:rPr>
      </w:pPr>
    </w:p>
    <w:p w14:paraId="72ABCC57">
      <w:pPr>
        <w:numPr>
          <w:ilvl w:val="0"/>
          <w:numId w:val="0"/>
        </w:numPr>
        <w:jc w:val="both"/>
        <w:rPr>
          <w:rFonts w:hint="default"/>
          <w:sz w:val="24"/>
          <w:szCs w:val="24"/>
          <w:lang w:val="en-GB"/>
        </w:rPr>
      </w:pPr>
    </w:p>
    <w:p w14:paraId="5D5D7CAD">
      <w:pPr>
        <w:numPr>
          <w:ilvl w:val="0"/>
          <w:numId w:val="0"/>
        </w:numPr>
        <w:jc w:val="both"/>
        <w:rPr>
          <w:rFonts w:hint="default"/>
          <w:sz w:val="24"/>
          <w:szCs w:val="24"/>
          <w:lang w:val="en-GB"/>
        </w:rPr>
      </w:pPr>
    </w:p>
    <w:p w14:paraId="072016B1">
      <w:pPr>
        <w:numPr>
          <w:ilvl w:val="0"/>
          <w:numId w:val="0"/>
        </w:numPr>
        <w:jc w:val="both"/>
        <w:rPr>
          <w:rFonts w:hint="default"/>
          <w:sz w:val="24"/>
          <w:szCs w:val="24"/>
          <w:lang w:val="en-GB"/>
        </w:rPr>
      </w:pPr>
    </w:p>
    <w:p w14:paraId="64E74A94">
      <w:pPr>
        <w:numPr>
          <w:ilvl w:val="0"/>
          <w:numId w:val="0"/>
        </w:numPr>
        <w:jc w:val="both"/>
        <w:rPr>
          <w:rFonts w:hint="default"/>
          <w:sz w:val="24"/>
          <w:szCs w:val="24"/>
          <w:lang w:val="en-GB"/>
        </w:rPr>
      </w:pPr>
    </w:p>
    <w:p w14:paraId="1F172109">
      <w:pPr>
        <w:numPr>
          <w:ilvl w:val="0"/>
          <w:numId w:val="0"/>
        </w:numPr>
        <w:jc w:val="both"/>
        <w:rPr>
          <w:rFonts w:hint="default"/>
          <w:sz w:val="24"/>
          <w:szCs w:val="24"/>
          <w:lang w:val="en-GB"/>
        </w:rPr>
      </w:pPr>
    </w:p>
    <w:p w14:paraId="5F2E5007">
      <w:pPr>
        <w:numPr>
          <w:ilvl w:val="0"/>
          <w:numId w:val="0"/>
        </w:numPr>
        <w:jc w:val="both"/>
        <w:rPr>
          <w:rFonts w:hint="default"/>
          <w:sz w:val="24"/>
          <w:szCs w:val="24"/>
          <w:lang w:val="en-GB"/>
        </w:rPr>
      </w:pPr>
    </w:p>
    <w:p w14:paraId="2337A204">
      <w:pPr>
        <w:pStyle w:val="2"/>
        <w:numPr>
          <w:ilvl w:val="0"/>
          <w:numId w:val="1"/>
        </w:numPr>
        <w:bidi w:val="0"/>
        <w:rPr>
          <w:rFonts w:hint="default" w:ascii="Calibri" w:hAnsi="Calibri" w:cs="Calibri"/>
          <w:sz w:val="24"/>
          <w:szCs w:val="24"/>
          <w:lang w:val="en-GB" w:eastAsia="zh-CN"/>
        </w:rPr>
      </w:pPr>
      <w:bookmarkStart w:id="4" w:name="_Toc26111"/>
      <w:bookmarkStart w:id="5" w:name="_Toc4775"/>
      <w:bookmarkStart w:id="6" w:name="_Toc27384"/>
      <w:r>
        <w:rPr>
          <w:rFonts w:hint="default" w:ascii="Calibri" w:hAnsi="Calibri" w:cs="Calibri"/>
          <w:sz w:val="24"/>
          <w:szCs w:val="24"/>
          <w:lang w:val="en-GB" w:eastAsia="zh-CN"/>
        </w:rPr>
        <w:t>Financial Health Check</w:t>
      </w:r>
      <w:bookmarkEnd w:id="4"/>
      <w:bookmarkEnd w:id="5"/>
      <w:bookmarkEnd w:id="6"/>
      <w:r>
        <w:rPr>
          <w:rFonts w:hint="default" w:ascii="Calibri" w:hAnsi="Calibri" w:cs="Calibri"/>
          <w:sz w:val="24"/>
          <w:szCs w:val="24"/>
          <w:lang w:val="en-GB" w:eastAsia="zh-CN"/>
        </w:rPr>
        <w:t xml:space="preserve"> </w:t>
      </w:r>
    </w:p>
    <w:p w14:paraId="66D0AAB6">
      <w:pPr>
        <w:pStyle w:val="3"/>
        <w:bidi w:val="0"/>
        <w:rPr>
          <w:rFonts w:hint="default" w:ascii="Calibri" w:hAnsi="Calibri" w:cs="Calibri"/>
          <w:sz w:val="24"/>
          <w:szCs w:val="24"/>
          <w:lang w:val="en-GB"/>
        </w:rPr>
      </w:pPr>
      <w:bookmarkStart w:id="7" w:name="_Toc18060"/>
      <w:bookmarkStart w:id="8" w:name="_Toc17164"/>
      <w:bookmarkStart w:id="9" w:name="_Toc12055"/>
      <w:r>
        <w:rPr>
          <w:rFonts w:hint="default" w:ascii="Calibri" w:hAnsi="Calibri" w:cs="Calibri"/>
          <w:sz w:val="24"/>
          <w:szCs w:val="24"/>
          <w:lang w:val="en-GB"/>
        </w:rPr>
        <w:t>2.1 Overview of five Year Performance</w:t>
      </w:r>
      <w:bookmarkEnd w:id="7"/>
      <w:bookmarkEnd w:id="8"/>
      <w:bookmarkEnd w:id="9"/>
      <w:r>
        <w:rPr>
          <w:rFonts w:hint="default" w:ascii="Calibri" w:hAnsi="Calibri" w:cs="Calibri"/>
          <w:sz w:val="24"/>
          <w:szCs w:val="24"/>
          <w:lang w:val="en-GB"/>
        </w:rPr>
        <w:t xml:space="preserve"> </w:t>
      </w:r>
    </w:p>
    <w:p w14:paraId="4C182888">
      <w:pPr>
        <w:numPr>
          <w:ilvl w:val="0"/>
          <w:numId w:val="0"/>
        </w:numPr>
        <w:jc w:val="both"/>
        <w:rPr>
          <w:rFonts w:hint="default"/>
          <w:sz w:val="24"/>
          <w:szCs w:val="24"/>
          <w:lang w:val="en-GB"/>
        </w:rPr>
      </w:pPr>
      <w:r>
        <w:rPr>
          <w:rFonts w:hint="default"/>
          <w:sz w:val="24"/>
          <w:szCs w:val="24"/>
          <w:lang w:val="en-GB"/>
        </w:rPr>
        <w:t xml:space="preserve">Over the last five years Tesla has experienced substantial growth in revenue, production capability and global market presence. Expansion of gigafactories in the united state, china and euro up increased manufacturing scale and reduced dependency on a single production base. Tesla also increased revenue from energy generation and storage products. Energy generation business increase around 40% and storage production increase around 20% on the other hand automobile sale is decreasing around 7% that means Tesla is diversify there business in to multi-pal segments. </w:t>
      </w:r>
    </w:p>
    <w:p w14:paraId="7867643F">
      <w:pPr>
        <w:numPr>
          <w:ilvl w:val="0"/>
          <w:numId w:val="0"/>
        </w:numPr>
        <w:jc w:val="both"/>
        <w:rPr>
          <w:rFonts w:hint="default"/>
          <w:sz w:val="24"/>
          <w:szCs w:val="24"/>
          <w:lang w:val="en-GB"/>
        </w:rPr>
      </w:pPr>
    </w:p>
    <w:p w14:paraId="345C3D80">
      <w:pPr>
        <w:numPr>
          <w:ilvl w:val="0"/>
          <w:numId w:val="0"/>
        </w:numPr>
        <w:jc w:val="both"/>
        <w:rPr>
          <w:rFonts w:hint="default"/>
          <w:sz w:val="24"/>
          <w:szCs w:val="24"/>
          <w:lang w:val="en-GB"/>
        </w:rPr>
      </w:pPr>
      <w:r>
        <w:rPr>
          <w:rFonts w:hint="default"/>
          <w:sz w:val="24"/>
          <w:szCs w:val="24"/>
          <w:lang w:val="en-GB"/>
        </w:rPr>
        <w:t xml:space="preserve">Tesla is more focus in research and development the amount spending on research and development is increase around 16% it is clearly show that Tesla is still more focus in innovation and Research and development. Interest expense is also increase around 50% is shows debt and fiance lease is also increase at same proportion.  </w:t>
      </w:r>
    </w:p>
    <w:p w14:paraId="306E6BD4">
      <w:pPr>
        <w:pStyle w:val="3"/>
        <w:bidi w:val="0"/>
        <w:rPr>
          <w:rFonts w:hint="default"/>
          <w:sz w:val="24"/>
          <w:szCs w:val="24"/>
          <w:lang w:val="en-GB"/>
        </w:rPr>
      </w:pPr>
      <w:bookmarkStart w:id="10" w:name="_Toc13738"/>
      <w:bookmarkStart w:id="11" w:name="_Toc31103"/>
      <w:bookmarkStart w:id="12" w:name="_Toc19384"/>
      <w:r>
        <w:rPr>
          <w:rFonts w:hint="default" w:ascii="Calibri" w:hAnsi="Calibri" w:cs="Calibri"/>
          <w:sz w:val="24"/>
          <w:szCs w:val="24"/>
          <w:lang w:val="en-GB" w:eastAsia="zh-CN"/>
        </w:rPr>
        <w:t>2.2 Profitability Ratio Analysis</w:t>
      </w:r>
      <w:bookmarkEnd w:id="10"/>
      <w:bookmarkEnd w:id="11"/>
      <w:bookmarkEnd w:id="12"/>
    </w:p>
    <w:p w14:paraId="4B93FAA2">
      <w:pPr>
        <w:numPr>
          <w:ilvl w:val="0"/>
          <w:numId w:val="0"/>
        </w:numPr>
        <w:jc w:val="both"/>
        <w:rPr>
          <w:rFonts w:hint="default"/>
          <w:sz w:val="24"/>
          <w:szCs w:val="24"/>
          <w:lang w:val="en-GB"/>
        </w:rPr>
      </w:pPr>
      <w:r>
        <w:rPr>
          <w:rFonts w:hint="default"/>
          <w:sz w:val="24"/>
          <w:szCs w:val="24"/>
          <w:lang w:val="en-GB"/>
        </w:rPr>
        <w:t xml:space="preserve">Profitability ratios assess the companies ability to generate earnings from sales, assets and shareholder funds. It is give a view that how company is generate profit effectively.  </w:t>
      </w:r>
    </w:p>
    <w:p w14:paraId="0C5D7241">
      <w:pPr>
        <w:numPr>
          <w:ilvl w:val="0"/>
          <w:numId w:val="0"/>
        </w:numPr>
        <w:jc w:val="both"/>
        <w:rPr>
          <w:rFonts w:hint="default"/>
          <w:sz w:val="24"/>
          <w:szCs w:val="24"/>
          <w:lang w:val="en-GB"/>
        </w:rPr>
      </w:pPr>
      <w:r>
        <w:rPr>
          <w:rFonts w:hint="default"/>
          <w:sz w:val="24"/>
          <w:szCs w:val="24"/>
          <w:lang w:val="en-GB"/>
        </w:rPr>
        <w:t xml:space="preserve">  </w:t>
      </w:r>
    </w:p>
    <w:p w14:paraId="68DBAA24">
      <w:pPr>
        <w:numPr>
          <w:ilvl w:val="0"/>
          <w:numId w:val="0"/>
        </w:numPr>
        <w:jc w:val="both"/>
        <w:rPr>
          <w:rFonts w:hint="default"/>
          <w:sz w:val="24"/>
          <w:szCs w:val="24"/>
          <w:lang w:val="en-GB"/>
        </w:rPr>
      </w:pPr>
      <w:r>
        <w:drawing>
          <wp:inline distT="0" distB="0" distL="114300" distR="114300">
            <wp:extent cx="5266690" cy="2918460"/>
            <wp:effectExtent l="0" t="0" r="10160" b="152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5"/>
                    <a:stretch>
                      <a:fillRect/>
                    </a:stretch>
                  </pic:blipFill>
                  <pic:spPr>
                    <a:xfrm>
                      <a:off x="0" y="0"/>
                      <a:ext cx="5266690" cy="2918460"/>
                    </a:xfrm>
                    <a:prstGeom prst="rect">
                      <a:avLst/>
                    </a:prstGeom>
                    <a:noFill/>
                    <a:ln>
                      <a:noFill/>
                    </a:ln>
                  </pic:spPr>
                </pic:pic>
              </a:graphicData>
            </a:graphic>
          </wp:inline>
        </w:drawing>
      </w:r>
    </w:p>
    <w:p w14:paraId="63F64D21">
      <w:pPr>
        <w:pStyle w:val="4"/>
        <w:bidi w:val="0"/>
        <w:rPr>
          <w:rFonts w:hint="default"/>
          <w:sz w:val="24"/>
          <w:szCs w:val="24"/>
          <w:lang w:val="en-GB"/>
        </w:rPr>
      </w:pPr>
      <w:bookmarkStart w:id="13" w:name="_Toc20653"/>
      <w:bookmarkStart w:id="14" w:name="_Toc5873"/>
      <w:bookmarkStart w:id="15" w:name="_Toc15692"/>
      <w:r>
        <w:rPr>
          <w:rFonts w:hint="default" w:ascii="Calibri" w:hAnsi="Calibri" w:cs="Calibri"/>
          <w:sz w:val="24"/>
          <w:szCs w:val="24"/>
          <w:lang w:val="en-GB" w:eastAsia="zh-CN"/>
        </w:rPr>
        <w:t>2.2.1 Gross Profit Margin</w:t>
      </w:r>
      <w:bookmarkEnd w:id="13"/>
      <w:bookmarkEnd w:id="14"/>
      <w:bookmarkEnd w:id="15"/>
    </w:p>
    <w:p w14:paraId="2C892F15">
      <w:pPr>
        <w:numPr>
          <w:ilvl w:val="0"/>
          <w:numId w:val="0"/>
        </w:numPr>
        <w:jc w:val="both"/>
        <w:rPr>
          <w:rFonts w:hint="default"/>
          <w:sz w:val="24"/>
          <w:szCs w:val="24"/>
          <w:lang w:val="en-GB"/>
        </w:rPr>
      </w:pPr>
      <w:r>
        <w:rPr>
          <w:rFonts w:hint="default"/>
          <w:sz w:val="24"/>
          <w:szCs w:val="24"/>
          <w:lang w:val="en-GB"/>
        </w:rPr>
        <w:t>It peaked at 25.6% in 2022 and then dropped almost 8 points over the next two years. This is the main problem with the whole business. Costs have either gone up and are not being passed on, or the company has lost its pricing power. From here, all other margin weaknesses come.changed to include more low-margin items. No matter what the cause is, this is the root wound in the whole story about money. This number is the starting point for all other margin metrics.</w:t>
      </w:r>
    </w:p>
    <w:p w14:paraId="6A4C33A1">
      <w:pPr>
        <w:pStyle w:val="4"/>
        <w:bidi w:val="0"/>
        <w:rPr>
          <w:rFonts w:hint="default"/>
          <w:sz w:val="24"/>
          <w:szCs w:val="24"/>
          <w:lang w:val="en-GB"/>
        </w:rPr>
      </w:pPr>
      <w:bookmarkStart w:id="16" w:name="_Toc13955"/>
      <w:bookmarkStart w:id="17" w:name="_Toc29997"/>
      <w:bookmarkStart w:id="18" w:name="_Toc19164"/>
      <w:r>
        <w:rPr>
          <w:rFonts w:hint="default" w:ascii="Calibri" w:hAnsi="Calibri" w:cs="Calibri"/>
          <w:sz w:val="24"/>
          <w:szCs w:val="24"/>
          <w:lang w:val="en-GB" w:eastAsia="zh-CN"/>
        </w:rPr>
        <w:t>2.2.2 Operating Margin</w:t>
      </w:r>
      <w:bookmarkEnd w:id="16"/>
      <w:bookmarkEnd w:id="17"/>
      <w:bookmarkEnd w:id="18"/>
    </w:p>
    <w:p w14:paraId="3B87FC46">
      <w:pPr>
        <w:numPr>
          <w:ilvl w:val="0"/>
          <w:numId w:val="0"/>
        </w:numPr>
        <w:jc w:val="both"/>
        <w:rPr>
          <w:rFonts w:hint="default"/>
          <w:sz w:val="24"/>
          <w:szCs w:val="24"/>
          <w:lang w:val="en-GB"/>
        </w:rPr>
      </w:pPr>
      <w:r>
        <w:rPr>
          <w:rFonts w:hint="default"/>
          <w:sz w:val="24"/>
          <w:szCs w:val="24"/>
          <w:lang w:val="en-GB"/>
        </w:rPr>
        <w:t>It dropped from a strong 16.76% in 2022 to just 7.24% in 2024, which is the same level as in 2020. The difference between gross and operating margin has stayed the same, which means that overhead costs aren't to blame. The damage is happening at the gross level, which is bringing down operating profit.</w:t>
      </w:r>
    </w:p>
    <w:p w14:paraId="0FEC2745">
      <w:pPr>
        <w:pStyle w:val="4"/>
        <w:bidi w:val="0"/>
        <w:rPr>
          <w:rFonts w:hint="default"/>
          <w:sz w:val="24"/>
          <w:szCs w:val="24"/>
          <w:lang w:val="en-GB"/>
        </w:rPr>
      </w:pPr>
      <w:bookmarkStart w:id="19" w:name="_Toc20629"/>
      <w:bookmarkStart w:id="20" w:name="_Toc3055"/>
      <w:bookmarkStart w:id="21" w:name="_Toc4406"/>
      <w:r>
        <w:rPr>
          <w:rFonts w:hint="default" w:ascii="Calibri" w:hAnsi="Calibri" w:cs="Calibri"/>
          <w:sz w:val="24"/>
          <w:szCs w:val="24"/>
          <w:lang w:val="en-GB" w:eastAsia="zh-CN"/>
        </w:rPr>
        <w:t>2.2.3 Net Profit Margin</w:t>
      </w:r>
      <w:bookmarkEnd w:id="19"/>
      <w:bookmarkEnd w:id="20"/>
      <w:bookmarkEnd w:id="21"/>
    </w:p>
    <w:p w14:paraId="70142458">
      <w:pPr>
        <w:numPr>
          <w:ilvl w:val="0"/>
          <w:numId w:val="0"/>
        </w:numPr>
        <w:jc w:val="both"/>
        <w:rPr>
          <w:rFonts w:hint="default"/>
          <w:sz w:val="24"/>
          <w:szCs w:val="24"/>
          <w:lang w:val="en-GB"/>
        </w:rPr>
      </w:pPr>
      <w:r>
        <w:rPr>
          <w:rFonts w:hint="default"/>
          <w:sz w:val="24"/>
          <w:szCs w:val="24"/>
          <w:lang w:val="en-GB"/>
        </w:rPr>
        <w:t>The 15.50% figure for 2023 is clearly an outlier compared to the 10.31% pre-tax margin. That year, a big tax credit or one-time gain made the bottom line look better. Take it out, and the real net profit for 2023 was more like 7–8%. The 7.26% for 2024 is more honest, but it's still not very good.</w:t>
      </w:r>
    </w:p>
    <w:p w14:paraId="78664EE7">
      <w:pPr>
        <w:pStyle w:val="4"/>
        <w:bidi w:val="0"/>
        <w:rPr>
          <w:rFonts w:hint="default"/>
          <w:sz w:val="24"/>
          <w:szCs w:val="24"/>
          <w:lang w:val="en-GB"/>
        </w:rPr>
      </w:pPr>
      <w:bookmarkStart w:id="22" w:name="_Toc3855"/>
      <w:bookmarkStart w:id="23" w:name="_Toc29625"/>
      <w:bookmarkStart w:id="24" w:name="_Toc28473"/>
      <w:r>
        <w:rPr>
          <w:rFonts w:hint="default" w:ascii="Calibri" w:hAnsi="Calibri" w:cs="Calibri"/>
          <w:sz w:val="24"/>
          <w:szCs w:val="24"/>
          <w:lang w:val="en-GB" w:eastAsia="zh-CN"/>
        </w:rPr>
        <w:t>2.2.4 Return On Capital Employed</w:t>
      </w:r>
      <w:bookmarkEnd w:id="22"/>
      <w:bookmarkEnd w:id="23"/>
      <w:bookmarkEnd w:id="24"/>
    </w:p>
    <w:p w14:paraId="1AA0A708">
      <w:pPr>
        <w:numPr>
          <w:ilvl w:val="0"/>
          <w:numId w:val="0"/>
        </w:numPr>
        <w:jc w:val="both"/>
        <w:rPr>
          <w:rFonts w:hint="default"/>
          <w:sz w:val="24"/>
          <w:szCs w:val="24"/>
          <w:lang w:val="en-GB"/>
        </w:rPr>
      </w:pPr>
      <w:r>
        <w:rPr>
          <w:rFonts w:hint="default"/>
          <w:sz w:val="24"/>
          <w:szCs w:val="24"/>
          <w:lang w:val="en-GB"/>
        </w:rPr>
        <w:t>Tesla's ROCE over the past five years shows that the company has been using its capital in different ways. It was only 2.64% in 2020, which means that returns were low during growth. ROCE went up to 15.57% in 2021 and peaked at 26.73% in 2022, which shows that long-term capital was used well. It stayed high at 22.61% in 2023, but it was a little lower because of possible margin pressure. It did, however, drop sharply to 9.01% in 2024, which could mean that the company is less profitable or that it is making bad investments. From 2021 to 2023, Tesla did very well, but the drop in 2024 is a sign of trouble.</w:t>
      </w:r>
    </w:p>
    <w:p w14:paraId="50AC355E">
      <w:pPr>
        <w:pStyle w:val="3"/>
        <w:bidi w:val="0"/>
        <w:rPr>
          <w:rFonts w:hint="default"/>
          <w:sz w:val="24"/>
          <w:szCs w:val="24"/>
          <w:lang w:val="en-GB"/>
        </w:rPr>
      </w:pPr>
      <w:bookmarkStart w:id="25" w:name="_Toc7999"/>
      <w:bookmarkStart w:id="26" w:name="_Toc14044"/>
      <w:bookmarkStart w:id="27" w:name="_Toc1896"/>
      <w:r>
        <w:rPr>
          <w:rFonts w:hint="default" w:ascii="Calibri" w:hAnsi="Calibri" w:cs="Calibri"/>
          <w:sz w:val="24"/>
          <w:szCs w:val="24"/>
          <w:lang w:val="en-GB" w:eastAsia="zh-CN"/>
        </w:rPr>
        <w:t>2.3 Liquidity ratio</w:t>
      </w:r>
      <w:bookmarkEnd w:id="25"/>
      <w:bookmarkEnd w:id="26"/>
      <w:bookmarkEnd w:id="27"/>
    </w:p>
    <w:p w14:paraId="77966219">
      <w:pPr>
        <w:numPr>
          <w:ilvl w:val="0"/>
          <w:numId w:val="0"/>
        </w:numPr>
        <w:jc w:val="both"/>
        <w:rPr>
          <w:rFonts w:hint="default"/>
          <w:sz w:val="24"/>
          <w:szCs w:val="24"/>
          <w:lang w:val="en-GB"/>
        </w:rPr>
      </w:pPr>
      <w:r>
        <w:rPr>
          <w:rFonts w:hint="default"/>
          <w:sz w:val="24"/>
          <w:szCs w:val="24"/>
          <w:lang w:val="en-GB"/>
        </w:rPr>
        <w:t xml:space="preserve">Liquidity ratio is indicate good liquidity position. Company can meet short term obligations comfortably.  </w:t>
      </w:r>
    </w:p>
    <w:p w14:paraId="730A09D0">
      <w:pPr>
        <w:numPr>
          <w:ilvl w:val="0"/>
          <w:numId w:val="0"/>
        </w:numPr>
        <w:jc w:val="both"/>
        <w:rPr>
          <w:rFonts w:hint="default"/>
          <w:sz w:val="24"/>
          <w:szCs w:val="24"/>
          <w:lang w:val="en-GB"/>
        </w:rPr>
      </w:pPr>
    </w:p>
    <w:p w14:paraId="4326BC85">
      <w:pPr>
        <w:numPr>
          <w:ilvl w:val="0"/>
          <w:numId w:val="0"/>
        </w:numPr>
        <w:jc w:val="both"/>
        <w:rPr>
          <w:rFonts w:hint="default"/>
          <w:lang w:val="en-GB"/>
        </w:rPr>
      </w:pPr>
      <w:r>
        <w:drawing>
          <wp:inline distT="0" distB="0" distL="114300" distR="114300">
            <wp:extent cx="5266690" cy="2772410"/>
            <wp:effectExtent l="0" t="0" r="1016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6"/>
                    <a:stretch>
                      <a:fillRect/>
                    </a:stretch>
                  </pic:blipFill>
                  <pic:spPr>
                    <a:xfrm>
                      <a:off x="0" y="0"/>
                      <a:ext cx="5266690" cy="2772410"/>
                    </a:xfrm>
                    <a:prstGeom prst="rect">
                      <a:avLst/>
                    </a:prstGeom>
                    <a:noFill/>
                    <a:ln>
                      <a:noFill/>
                    </a:ln>
                  </pic:spPr>
                </pic:pic>
              </a:graphicData>
            </a:graphic>
          </wp:inline>
        </w:drawing>
      </w:r>
    </w:p>
    <w:p w14:paraId="18D0CDE3">
      <w:pPr>
        <w:pStyle w:val="4"/>
        <w:bidi w:val="0"/>
        <w:rPr>
          <w:rFonts w:hint="default"/>
          <w:sz w:val="24"/>
          <w:szCs w:val="24"/>
          <w:lang w:val="en-GB"/>
        </w:rPr>
      </w:pPr>
      <w:bookmarkStart w:id="28" w:name="_Toc30405"/>
      <w:bookmarkStart w:id="29" w:name="_Toc16866"/>
      <w:bookmarkStart w:id="30" w:name="_Toc6114"/>
      <w:r>
        <w:rPr>
          <w:rFonts w:hint="default" w:ascii="Calibri" w:hAnsi="Calibri" w:cs="Calibri"/>
          <w:sz w:val="24"/>
          <w:szCs w:val="24"/>
          <w:lang w:val="en-GB" w:eastAsia="zh-CN"/>
        </w:rPr>
        <w:t>2.3.1 Currant Ratio</w:t>
      </w:r>
      <w:bookmarkEnd w:id="28"/>
      <w:bookmarkEnd w:id="29"/>
      <w:bookmarkEnd w:id="30"/>
    </w:p>
    <w:p w14:paraId="6F02E2E7">
      <w:pPr>
        <w:numPr>
          <w:ilvl w:val="0"/>
          <w:numId w:val="0"/>
        </w:numPr>
        <w:jc w:val="both"/>
        <w:rPr>
          <w:rFonts w:hint="default"/>
          <w:sz w:val="24"/>
          <w:szCs w:val="24"/>
          <w:lang w:val="en-GB"/>
        </w:rPr>
      </w:pPr>
      <w:r>
        <w:rPr>
          <w:rFonts w:hint="default"/>
          <w:sz w:val="24"/>
          <w:szCs w:val="24"/>
          <w:lang w:val="en-GB"/>
        </w:rPr>
        <w:t>The reading of 2.03 is the highest in five years, which is a good sign. But a rising current ratio along with falling profitability is a sign of trouble, not comfort. It could be because of unsold inventory building up or customers taking longer to pay. The reason for this improvement is more important than the number itself.</w:t>
      </w:r>
    </w:p>
    <w:p w14:paraId="1DF7E296">
      <w:pPr>
        <w:pStyle w:val="4"/>
        <w:bidi w:val="0"/>
        <w:rPr>
          <w:rFonts w:hint="default"/>
          <w:sz w:val="24"/>
          <w:szCs w:val="24"/>
          <w:lang w:val="en-GB"/>
        </w:rPr>
      </w:pPr>
      <w:bookmarkStart w:id="31" w:name="_Toc22305"/>
      <w:bookmarkStart w:id="32" w:name="_Toc6064"/>
      <w:bookmarkStart w:id="33" w:name="_Toc19535"/>
      <w:r>
        <w:rPr>
          <w:rFonts w:hint="default" w:ascii="Calibri" w:hAnsi="Calibri" w:cs="Calibri"/>
          <w:sz w:val="24"/>
          <w:szCs w:val="24"/>
          <w:lang w:val="en-GB" w:eastAsia="zh-CN"/>
        </w:rPr>
        <w:t>2.3.2 Quick Ratio</w:t>
      </w:r>
      <w:bookmarkEnd w:id="31"/>
      <w:bookmarkEnd w:id="32"/>
      <w:bookmarkEnd w:id="33"/>
    </w:p>
    <w:p w14:paraId="4DDE188F">
      <w:pPr>
        <w:numPr>
          <w:ilvl w:val="0"/>
          <w:numId w:val="0"/>
        </w:numPr>
        <w:jc w:val="both"/>
        <w:rPr>
          <w:rFonts w:hint="default"/>
          <w:sz w:val="24"/>
          <w:szCs w:val="24"/>
          <w:lang w:val="en-GB"/>
        </w:rPr>
      </w:pPr>
      <w:r>
        <w:rPr>
          <w:rFonts w:hint="default"/>
          <w:sz w:val="24"/>
          <w:szCs w:val="24"/>
          <w:lang w:val="en-GB"/>
        </w:rPr>
        <w:t>This is what we were looking for an indication that the quick ratio declined from 1.88 to 1.54, even though the current ratio increased. This signals that the improvement in the current ratio must be attributed to stock piling rather than an improvement in liquid assets.</w:t>
      </w:r>
    </w:p>
    <w:p w14:paraId="5B609184">
      <w:pPr>
        <w:pStyle w:val="4"/>
        <w:bidi w:val="0"/>
        <w:rPr>
          <w:rFonts w:hint="default"/>
          <w:sz w:val="24"/>
          <w:szCs w:val="24"/>
          <w:lang w:val="en-GB"/>
        </w:rPr>
      </w:pPr>
      <w:bookmarkStart w:id="34" w:name="_Toc17330"/>
      <w:bookmarkStart w:id="35" w:name="_Toc5392"/>
      <w:bookmarkStart w:id="36" w:name="_Toc27309"/>
      <w:r>
        <w:rPr>
          <w:rFonts w:hint="default" w:ascii="Calibri" w:hAnsi="Calibri" w:cs="Calibri"/>
          <w:sz w:val="24"/>
          <w:szCs w:val="24"/>
          <w:lang w:val="en-GB" w:eastAsia="zh-CN"/>
        </w:rPr>
        <w:t>2.3.3 Cash Ratio</w:t>
      </w:r>
      <w:bookmarkEnd w:id="34"/>
      <w:bookmarkEnd w:id="35"/>
      <w:bookmarkEnd w:id="36"/>
    </w:p>
    <w:p w14:paraId="3343BE82">
      <w:pPr>
        <w:numPr>
          <w:ilvl w:val="0"/>
          <w:numId w:val="0"/>
        </w:numPr>
        <w:jc w:val="both"/>
        <w:rPr>
          <w:rFonts w:hint="default"/>
          <w:sz w:val="24"/>
          <w:szCs w:val="24"/>
          <w:lang w:val="en-GB"/>
        </w:rPr>
      </w:pPr>
      <w:r>
        <w:rPr>
          <w:rFonts w:hint="default"/>
          <w:sz w:val="24"/>
          <w:szCs w:val="24"/>
          <w:lang w:val="en-GB"/>
        </w:rPr>
        <w:t>An increase from 0.62 to greater than 1.0 over five years indicates actual cash build-up. However, a fall from its high point in 2023 of 1.37 implies that cash was used in 2024, most probably for operational purposes in an environment with much smaller margins.</w:t>
      </w:r>
    </w:p>
    <w:p w14:paraId="13C534EE">
      <w:pPr>
        <w:pStyle w:val="3"/>
        <w:bidi w:val="0"/>
        <w:rPr>
          <w:rFonts w:hint="default"/>
          <w:sz w:val="24"/>
          <w:szCs w:val="24"/>
          <w:lang w:val="en-GB"/>
        </w:rPr>
      </w:pPr>
      <w:bookmarkStart w:id="37" w:name="_Toc19900"/>
      <w:bookmarkStart w:id="38" w:name="_Toc13892"/>
      <w:bookmarkStart w:id="39" w:name="_Toc21785"/>
      <w:r>
        <w:rPr>
          <w:rFonts w:hint="default" w:ascii="Calibri" w:hAnsi="Calibri" w:cs="Calibri"/>
          <w:sz w:val="24"/>
          <w:szCs w:val="24"/>
          <w:lang w:val="en-GB" w:eastAsia="zh-CN"/>
        </w:rPr>
        <w:t>2.4 Efficiancy Ratio</w:t>
      </w:r>
      <w:bookmarkEnd w:id="37"/>
      <w:bookmarkEnd w:id="38"/>
      <w:bookmarkEnd w:id="39"/>
    </w:p>
    <w:p w14:paraId="386AC73E">
      <w:pPr>
        <w:numPr>
          <w:ilvl w:val="0"/>
          <w:numId w:val="0"/>
        </w:numPr>
        <w:jc w:val="both"/>
        <w:rPr>
          <w:rFonts w:hint="default"/>
          <w:sz w:val="24"/>
          <w:szCs w:val="24"/>
          <w:lang w:val="en-GB"/>
        </w:rPr>
      </w:pPr>
      <w:r>
        <w:rPr>
          <w:rFonts w:hint="default"/>
          <w:sz w:val="24"/>
          <w:szCs w:val="24"/>
          <w:lang w:val="en-GB"/>
        </w:rPr>
        <w:t>Efficiency ratio indicate company use assets better to generate revenue.</w:t>
      </w:r>
    </w:p>
    <w:p w14:paraId="3BDDD4F8">
      <w:pPr>
        <w:numPr>
          <w:ilvl w:val="0"/>
          <w:numId w:val="0"/>
        </w:numPr>
        <w:jc w:val="both"/>
        <w:rPr>
          <w:rFonts w:hint="default"/>
          <w:sz w:val="24"/>
          <w:szCs w:val="24"/>
          <w:lang w:val="en-GB"/>
        </w:rPr>
      </w:pPr>
    </w:p>
    <w:p w14:paraId="11F239B4">
      <w:pPr>
        <w:numPr>
          <w:ilvl w:val="0"/>
          <w:numId w:val="0"/>
        </w:numPr>
        <w:jc w:val="both"/>
      </w:pPr>
      <w:r>
        <w:drawing>
          <wp:inline distT="0" distB="0" distL="114300" distR="114300">
            <wp:extent cx="5266690" cy="2772410"/>
            <wp:effectExtent l="0" t="0" r="10160"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pic:cNvPicPr>
                  </pic:nvPicPr>
                  <pic:blipFill>
                    <a:blip r:embed="rId7"/>
                    <a:stretch>
                      <a:fillRect/>
                    </a:stretch>
                  </pic:blipFill>
                  <pic:spPr>
                    <a:xfrm>
                      <a:off x="0" y="0"/>
                      <a:ext cx="5266690" cy="2772410"/>
                    </a:xfrm>
                    <a:prstGeom prst="rect">
                      <a:avLst/>
                    </a:prstGeom>
                    <a:noFill/>
                    <a:ln>
                      <a:noFill/>
                    </a:ln>
                  </pic:spPr>
                </pic:pic>
              </a:graphicData>
            </a:graphic>
          </wp:inline>
        </w:drawing>
      </w:r>
    </w:p>
    <w:p w14:paraId="4B1E33CC">
      <w:pPr>
        <w:numPr>
          <w:ilvl w:val="0"/>
          <w:numId w:val="0"/>
        </w:numPr>
        <w:jc w:val="both"/>
        <w:rPr>
          <w:rFonts w:hint="default"/>
          <w:lang w:val="en-GB"/>
        </w:rPr>
      </w:pPr>
    </w:p>
    <w:p w14:paraId="0B13C5BA">
      <w:pPr>
        <w:pStyle w:val="4"/>
        <w:bidi w:val="0"/>
        <w:rPr>
          <w:rFonts w:hint="default"/>
          <w:sz w:val="24"/>
          <w:szCs w:val="24"/>
          <w:lang w:val="en-GB"/>
        </w:rPr>
      </w:pPr>
      <w:bookmarkStart w:id="40" w:name="_Toc5720"/>
      <w:bookmarkStart w:id="41" w:name="_Toc1441"/>
      <w:bookmarkStart w:id="42" w:name="_Toc7155"/>
      <w:r>
        <w:rPr>
          <w:rFonts w:hint="default" w:ascii="Calibri" w:hAnsi="Calibri" w:cs="Calibri"/>
          <w:sz w:val="24"/>
          <w:szCs w:val="24"/>
          <w:lang w:val="en-GB" w:eastAsia="zh-CN"/>
        </w:rPr>
        <w:t>2.4.1 Asset Turnover</w:t>
      </w:r>
      <w:bookmarkEnd w:id="40"/>
      <w:bookmarkEnd w:id="41"/>
      <w:bookmarkEnd w:id="42"/>
    </w:p>
    <w:p w14:paraId="58B85437">
      <w:pPr>
        <w:numPr>
          <w:ilvl w:val="0"/>
          <w:numId w:val="0"/>
        </w:numPr>
        <w:jc w:val="both"/>
        <w:rPr>
          <w:rFonts w:hint="default"/>
          <w:sz w:val="24"/>
          <w:szCs w:val="24"/>
          <w:lang w:val="en-GB"/>
        </w:rPr>
      </w:pPr>
      <w:r>
        <w:rPr>
          <w:rFonts w:hint="default"/>
          <w:sz w:val="24"/>
          <w:szCs w:val="24"/>
          <w:lang w:val="en-GB"/>
        </w:rPr>
        <w:t>Its highest peak was at 0.99 in 2022 and has been decreasing annually since then, currently standing at 0.81. It is making less money out of each pound of its asset. Coupled with the profit margin’s decline, which was previously discussed, this is indeed a double-edged sword for the firm; it is making less out of each sale and out of its asset.</w:t>
      </w:r>
    </w:p>
    <w:p w14:paraId="7557219D">
      <w:pPr>
        <w:pStyle w:val="4"/>
        <w:bidi w:val="0"/>
        <w:rPr>
          <w:rFonts w:hint="default"/>
          <w:sz w:val="24"/>
          <w:szCs w:val="24"/>
          <w:lang w:val="en-GB"/>
        </w:rPr>
      </w:pPr>
      <w:bookmarkStart w:id="43" w:name="_Toc18055"/>
      <w:bookmarkStart w:id="44" w:name="_Toc16852"/>
      <w:bookmarkStart w:id="45" w:name="_Toc28922"/>
      <w:r>
        <w:rPr>
          <w:rFonts w:hint="default" w:ascii="Calibri" w:hAnsi="Calibri" w:cs="Calibri"/>
          <w:sz w:val="24"/>
          <w:szCs w:val="24"/>
          <w:lang w:val="en-GB" w:eastAsia="zh-CN"/>
        </w:rPr>
        <w:t>2.4.2 Inventory Turnover Ratio</w:t>
      </w:r>
      <w:bookmarkEnd w:id="43"/>
      <w:bookmarkEnd w:id="44"/>
      <w:bookmarkEnd w:id="45"/>
    </w:p>
    <w:p w14:paraId="761ABC79">
      <w:pPr>
        <w:numPr>
          <w:ilvl w:val="0"/>
          <w:numId w:val="0"/>
        </w:numPr>
        <w:jc w:val="both"/>
        <w:rPr>
          <w:rFonts w:hint="default"/>
          <w:sz w:val="24"/>
          <w:szCs w:val="24"/>
          <w:lang w:val="en-GB"/>
        </w:rPr>
      </w:pPr>
      <w:r>
        <w:rPr>
          <w:rFonts w:hint="default"/>
          <w:sz w:val="24"/>
          <w:szCs w:val="24"/>
          <w:lang w:val="en-GB"/>
        </w:rPr>
        <w:t>Falling consistently year after year since 2021 from 1.92 all the way to a mere 1.36 in 2024. The inventory is remaining unsold for much longer periods now. This clearly validates the liquidity problem pointed out earlier as well since the reason for the rise in the current ratio is the growth in inventory and not the increase in the liquidity of cash. Unsold inventory means that more money is invested in it.</w:t>
      </w:r>
    </w:p>
    <w:p w14:paraId="7B6CE00E">
      <w:pPr>
        <w:pStyle w:val="3"/>
        <w:bidi w:val="0"/>
        <w:rPr>
          <w:rFonts w:hint="default"/>
          <w:sz w:val="24"/>
          <w:szCs w:val="24"/>
          <w:lang w:val="en-GB"/>
        </w:rPr>
      </w:pPr>
      <w:bookmarkStart w:id="46" w:name="_Toc7523"/>
      <w:bookmarkStart w:id="47" w:name="_Toc1224"/>
      <w:bookmarkStart w:id="48" w:name="_Toc340"/>
      <w:r>
        <w:rPr>
          <w:rFonts w:hint="default" w:ascii="Calibri" w:hAnsi="Calibri" w:cs="Calibri"/>
          <w:sz w:val="24"/>
          <w:szCs w:val="24"/>
          <w:lang w:val="en-GB" w:eastAsia="zh-CN"/>
        </w:rPr>
        <w:t>2.5 Gearing Ratios</w:t>
      </w:r>
      <w:bookmarkEnd w:id="46"/>
      <w:bookmarkEnd w:id="47"/>
      <w:bookmarkEnd w:id="48"/>
    </w:p>
    <w:p w14:paraId="783246AE">
      <w:pPr>
        <w:numPr>
          <w:ilvl w:val="0"/>
          <w:numId w:val="0"/>
        </w:numPr>
        <w:jc w:val="both"/>
        <w:rPr>
          <w:rFonts w:hint="default"/>
          <w:sz w:val="24"/>
          <w:szCs w:val="24"/>
          <w:lang w:val="en-GB"/>
        </w:rPr>
      </w:pPr>
      <w:r>
        <w:rPr>
          <w:rFonts w:hint="default"/>
          <w:sz w:val="24"/>
          <w:szCs w:val="24"/>
          <w:lang w:val="en-GB"/>
        </w:rPr>
        <w:t>Gearing ratio indicate company at present time company can meet its debt obligation easily or not.</w:t>
      </w:r>
    </w:p>
    <w:p w14:paraId="21F56989">
      <w:pPr>
        <w:numPr>
          <w:ilvl w:val="0"/>
          <w:numId w:val="0"/>
        </w:numPr>
        <w:jc w:val="both"/>
        <w:rPr>
          <w:rFonts w:hint="default"/>
          <w:sz w:val="24"/>
          <w:szCs w:val="24"/>
          <w:lang w:val="en-GB"/>
        </w:rPr>
      </w:pPr>
      <w:r>
        <w:drawing>
          <wp:inline distT="0" distB="0" distL="114300" distR="114300">
            <wp:extent cx="5266690" cy="3131185"/>
            <wp:effectExtent l="0" t="0" r="10160" b="1206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pic:cNvPicPr>
                  </pic:nvPicPr>
                  <pic:blipFill>
                    <a:blip r:embed="rId8"/>
                    <a:stretch>
                      <a:fillRect/>
                    </a:stretch>
                  </pic:blipFill>
                  <pic:spPr>
                    <a:xfrm>
                      <a:off x="0" y="0"/>
                      <a:ext cx="5266690" cy="3131185"/>
                    </a:xfrm>
                    <a:prstGeom prst="rect">
                      <a:avLst/>
                    </a:prstGeom>
                    <a:noFill/>
                    <a:ln>
                      <a:noFill/>
                    </a:ln>
                  </pic:spPr>
                </pic:pic>
              </a:graphicData>
            </a:graphic>
          </wp:inline>
        </w:drawing>
      </w:r>
    </w:p>
    <w:p w14:paraId="5B92503A">
      <w:pPr>
        <w:pStyle w:val="4"/>
        <w:bidi w:val="0"/>
        <w:rPr>
          <w:rFonts w:hint="default" w:ascii="Calibri" w:hAnsi="Calibri" w:eastAsia="SimSun" w:cs="Calibri"/>
          <w:i w:val="0"/>
          <w:iCs w:val="0"/>
          <w:color w:val="000000"/>
          <w:kern w:val="0"/>
          <w:sz w:val="24"/>
          <w:szCs w:val="24"/>
          <w:u w:val="none"/>
          <w:lang w:val="en-US" w:eastAsia="zh-CN" w:bidi="ar"/>
        </w:rPr>
      </w:pPr>
      <w:bookmarkStart w:id="49" w:name="_Toc4677"/>
      <w:bookmarkStart w:id="50" w:name="_Toc12783"/>
      <w:bookmarkStart w:id="51" w:name="_Toc15719"/>
      <w:r>
        <w:rPr>
          <w:rFonts w:hint="default" w:ascii="Calibri" w:hAnsi="Calibri" w:cs="Calibri"/>
          <w:sz w:val="24"/>
          <w:szCs w:val="24"/>
          <w:lang w:val="en-GB" w:eastAsia="zh-CN"/>
        </w:rPr>
        <w:t xml:space="preserve">2.5.1 </w:t>
      </w:r>
      <w:r>
        <w:rPr>
          <w:rFonts w:hint="default" w:ascii="Calibri" w:hAnsi="Calibri" w:cs="Calibri"/>
          <w:sz w:val="24"/>
          <w:szCs w:val="24"/>
          <w:lang w:val="en-US" w:eastAsia="zh-CN"/>
        </w:rPr>
        <w:t>Interest Coverage Ratio</w:t>
      </w:r>
      <w:bookmarkEnd w:id="49"/>
      <w:bookmarkEnd w:id="50"/>
      <w:bookmarkEnd w:id="51"/>
    </w:p>
    <w:p w14:paraId="27815D51">
      <w:pPr>
        <w:numPr>
          <w:ilvl w:val="0"/>
          <w:numId w:val="0"/>
        </w:numPr>
        <w:jc w:val="both"/>
        <w:rPr>
          <w:rFonts w:hint="default" w:ascii="Calibri" w:hAnsi="Calibri" w:eastAsia="SimSun" w:cs="Calibri"/>
          <w:i w:val="0"/>
          <w:iCs w:val="0"/>
          <w:color w:val="000000"/>
          <w:kern w:val="0"/>
          <w:sz w:val="24"/>
          <w:szCs w:val="24"/>
          <w:u w:val="none"/>
          <w:lang w:val="en-US" w:eastAsia="zh-CN" w:bidi="ar"/>
        </w:rPr>
      </w:pPr>
      <w:r>
        <w:rPr>
          <w:rFonts w:hint="default" w:ascii="Calibri" w:hAnsi="Calibri" w:eastAsia="SimSun" w:cs="Calibri"/>
          <w:i w:val="0"/>
          <w:iCs w:val="0"/>
          <w:color w:val="000000"/>
          <w:kern w:val="0"/>
          <w:sz w:val="24"/>
          <w:szCs w:val="24"/>
          <w:u w:val="none"/>
          <w:lang w:val="en-US" w:eastAsia="zh-CN" w:bidi="ar"/>
        </w:rPr>
        <w:t>The figure of 2.1 in 2020 was perilously low, almost inadequate for interest servicing. The rise to 68.1 in 2022 was outstanding. Yet, the fall to 32.4 in 2024, although adequate, is solely the result of reduced earnings from operations. Should this trend persist, the metric will fall further and ultimately pose a problem with debt servicing.</w:t>
      </w:r>
    </w:p>
    <w:p w14:paraId="3E6F955D">
      <w:pPr>
        <w:pStyle w:val="4"/>
        <w:bidi w:val="0"/>
        <w:rPr>
          <w:rFonts w:hint="default" w:ascii="Calibri" w:hAnsi="Calibri" w:eastAsia="SimSun" w:cs="Calibri"/>
          <w:i w:val="0"/>
          <w:iCs w:val="0"/>
          <w:color w:val="000000"/>
          <w:kern w:val="0"/>
          <w:sz w:val="24"/>
          <w:szCs w:val="24"/>
          <w:u w:val="none"/>
          <w:lang w:val="en-GB" w:eastAsia="zh-CN" w:bidi="ar"/>
        </w:rPr>
      </w:pPr>
      <w:bookmarkStart w:id="52" w:name="_Toc30762"/>
      <w:bookmarkStart w:id="53" w:name="_Toc29286"/>
      <w:bookmarkStart w:id="54" w:name="_Toc12159"/>
      <w:r>
        <w:rPr>
          <w:rFonts w:hint="default" w:ascii="Calibri" w:hAnsi="Calibri" w:cs="Calibri"/>
          <w:sz w:val="24"/>
          <w:szCs w:val="24"/>
          <w:lang w:val="en-GB" w:eastAsia="zh-CN"/>
        </w:rPr>
        <w:t xml:space="preserve">2.5.2 </w:t>
      </w:r>
      <w:r>
        <w:rPr>
          <w:rFonts w:hint="default" w:ascii="Calibri" w:hAnsi="Calibri" w:cs="Calibri"/>
          <w:sz w:val="24"/>
          <w:szCs w:val="24"/>
          <w:lang w:val="en-US" w:eastAsia="zh-CN"/>
        </w:rPr>
        <w:t>Debt Equity Ratio</w:t>
      </w:r>
      <w:bookmarkEnd w:id="52"/>
      <w:bookmarkEnd w:id="53"/>
      <w:bookmarkEnd w:id="54"/>
    </w:p>
    <w:p w14:paraId="25E92E97">
      <w:pPr>
        <w:numPr>
          <w:ilvl w:val="0"/>
          <w:numId w:val="0"/>
        </w:numPr>
        <w:jc w:val="both"/>
        <w:rPr>
          <w:rFonts w:hint="default" w:ascii="Calibri" w:hAnsi="Calibri" w:eastAsia="SimSun" w:cs="Calibri"/>
          <w:i w:val="0"/>
          <w:iCs w:val="0"/>
          <w:color w:val="000000"/>
          <w:kern w:val="0"/>
          <w:sz w:val="24"/>
          <w:szCs w:val="24"/>
          <w:u w:val="none"/>
          <w:lang w:val="en-GB" w:eastAsia="zh-CN" w:bidi="ar"/>
        </w:rPr>
      </w:pPr>
      <w:r>
        <w:rPr>
          <w:rFonts w:hint="default" w:ascii="Calibri" w:hAnsi="Calibri" w:eastAsia="SimSun" w:cs="Calibri"/>
          <w:i w:val="0"/>
          <w:iCs w:val="0"/>
          <w:color w:val="000000"/>
          <w:kern w:val="0"/>
          <w:sz w:val="24"/>
          <w:szCs w:val="24"/>
          <w:u w:val="none"/>
          <w:lang w:val="en-GB" w:eastAsia="zh-CN" w:bidi="ar"/>
        </w:rPr>
        <w:t>The reduction from 0.63 to 0.18 between 2020 and 2024 is the most convincing positive trend in the whole data set. The company has been working hard on reducing debt and improving the balance sheet structure. It is the only significant change that occurred over five years and gives a margin of safety amidst the other deteriorating operations.</w:t>
      </w:r>
    </w:p>
    <w:p w14:paraId="32FC80EB">
      <w:pPr>
        <w:numPr>
          <w:ilvl w:val="0"/>
          <w:numId w:val="0"/>
        </w:numPr>
        <w:jc w:val="both"/>
        <w:rPr>
          <w:rFonts w:hint="default" w:ascii="Calibri" w:hAnsi="Calibri" w:eastAsia="SimSun" w:cs="Calibri"/>
          <w:i w:val="0"/>
          <w:iCs w:val="0"/>
          <w:color w:val="000000"/>
          <w:kern w:val="0"/>
          <w:sz w:val="24"/>
          <w:szCs w:val="24"/>
          <w:u w:val="none"/>
          <w:lang w:val="en-GB" w:eastAsia="zh-CN" w:bidi="ar"/>
        </w:rPr>
      </w:pPr>
    </w:p>
    <w:p w14:paraId="339F41A6">
      <w:pPr>
        <w:pStyle w:val="4"/>
        <w:bidi w:val="0"/>
        <w:rPr>
          <w:rFonts w:hint="default" w:ascii="Calibri" w:hAnsi="Calibri" w:eastAsia="SimSun" w:cs="Calibri"/>
          <w:i w:val="0"/>
          <w:iCs w:val="0"/>
          <w:color w:val="000000"/>
          <w:kern w:val="0"/>
          <w:sz w:val="24"/>
          <w:szCs w:val="24"/>
          <w:u w:val="none"/>
          <w:lang w:val="en-US" w:eastAsia="zh-CN" w:bidi="ar"/>
        </w:rPr>
      </w:pPr>
      <w:bookmarkStart w:id="55" w:name="_Toc9743"/>
      <w:bookmarkStart w:id="56" w:name="_Toc7024"/>
      <w:bookmarkStart w:id="57" w:name="_Toc23860"/>
      <w:r>
        <w:rPr>
          <w:rFonts w:hint="default" w:ascii="Calibri" w:hAnsi="Calibri" w:cs="Calibri"/>
          <w:sz w:val="24"/>
          <w:szCs w:val="24"/>
          <w:lang w:val="en-GB" w:eastAsia="zh-CN"/>
        </w:rPr>
        <w:t xml:space="preserve">2.5.3 </w:t>
      </w:r>
      <w:r>
        <w:rPr>
          <w:rFonts w:hint="default" w:ascii="Calibri" w:hAnsi="Calibri" w:cs="Calibri"/>
          <w:sz w:val="24"/>
          <w:szCs w:val="24"/>
          <w:lang w:val="en-US" w:eastAsia="zh-CN"/>
        </w:rPr>
        <w:t>Net Debt Ratio</w:t>
      </w:r>
      <w:bookmarkEnd w:id="55"/>
      <w:bookmarkEnd w:id="56"/>
      <w:bookmarkEnd w:id="57"/>
    </w:p>
    <w:p w14:paraId="52156CBC">
      <w:pPr>
        <w:numPr>
          <w:ilvl w:val="0"/>
          <w:numId w:val="0"/>
        </w:numPr>
        <w:jc w:val="both"/>
        <w:rPr>
          <w:rFonts w:hint="default" w:ascii="Calibri" w:hAnsi="Calibri" w:eastAsia="SimSun" w:cs="Calibri"/>
          <w:i w:val="0"/>
          <w:iCs w:val="0"/>
          <w:color w:val="000000"/>
          <w:kern w:val="0"/>
          <w:sz w:val="24"/>
          <w:szCs w:val="24"/>
          <w:u w:val="none"/>
          <w:lang w:val="en-GB" w:eastAsia="zh-CN" w:bidi="ar"/>
        </w:rPr>
      </w:pPr>
      <w:r>
        <w:rPr>
          <w:rFonts w:hint="default" w:ascii="Calibri" w:hAnsi="Calibri" w:eastAsia="SimSun" w:cs="Calibri"/>
          <w:i w:val="0"/>
          <w:iCs w:val="0"/>
          <w:color w:val="000000"/>
          <w:kern w:val="0"/>
          <w:sz w:val="24"/>
          <w:szCs w:val="24"/>
          <w:u w:val="none"/>
          <w:lang w:val="en-GB" w:eastAsia="zh-CN" w:bidi="ar"/>
        </w:rPr>
        <w:t>A negative net debt position since 2021 implies that the company is sitting on a higher amount of cash than its debt balance. This is called a net cash position, and it is truly solid. However, the reduction from -0.42 to -0.28 between 2023 and 2024 indicates that the cushion of cash is decreasing.</w:t>
      </w:r>
    </w:p>
    <w:p w14:paraId="0D8167B7">
      <w:pPr>
        <w:pStyle w:val="4"/>
        <w:bidi w:val="0"/>
        <w:rPr>
          <w:rFonts w:hint="default" w:ascii="Calibri" w:hAnsi="Calibri" w:cs="Calibri"/>
          <w:sz w:val="24"/>
          <w:szCs w:val="24"/>
          <w:lang w:val="en-US" w:eastAsia="zh-CN"/>
        </w:rPr>
      </w:pPr>
      <w:bookmarkStart w:id="58" w:name="_Toc13845"/>
      <w:bookmarkStart w:id="59" w:name="_Toc23155"/>
      <w:bookmarkStart w:id="60" w:name="_Toc9037"/>
      <w:r>
        <w:rPr>
          <w:rFonts w:hint="default" w:ascii="Calibri" w:hAnsi="Calibri" w:cs="Calibri"/>
          <w:sz w:val="24"/>
          <w:szCs w:val="24"/>
          <w:lang w:val="en-GB" w:eastAsia="zh-CN"/>
        </w:rPr>
        <w:t xml:space="preserve">2.5.4 </w:t>
      </w:r>
      <w:r>
        <w:rPr>
          <w:rFonts w:hint="default" w:ascii="Calibri" w:hAnsi="Calibri" w:cs="Calibri"/>
          <w:sz w:val="24"/>
          <w:szCs w:val="24"/>
          <w:lang w:val="en-US" w:eastAsia="zh-CN"/>
        </w:rPr>
        <w:t>Debt to Enterprise Ratio</w:t>
      </w:r>
      <w:bookmarkEnd w:id="58"/>
      <w:bookmarkEnd w:id="59"/>
      <w:bookmarkEnd w:id="60"/>
    </w:p>
    <w:p w14:paraId="3DEB397D">
      <w:pPr>
        <w:numPr>
          <w:ilvl w:val="0"/>
          <w:numId w:val="0"/>
        </w:numPr>
        <w:jc w:val="both"/>
        <w:rPr>
          <w:rFonts w:hint="default" w:ascii="Calibri" w:hAnsi="Calibri" w:eastAsia="SimSun" w:cs="Calibri"/>
          <w:i w:val="0"/>
          <w:iCs w:val="0"/>
          <w:color w:val="000000"/>
          <w:kern w:val="0"/>
          <w:sz w:val="24"/>
          <w:szCs w:val="24"/>
          <w:u w:val="none"/>
          <w:lang w:val="en-GB" w:eastAsia="zh-CN" w:bidi="ar"/>
        </w:rPr>
      </w:pPr>
      <w:r>
        <w:rPr>
          <w:rFonts w:hint="default" w:ascii="Calibri" w:hAnsi="Calibri" w:eastAsia="SimSun" w:cs="Calibri"/>
          <w:i w:val="0"/>
          <w:iCs w:val="0"/>
          <w:color w:val="000000"/>
          <w:kern w:val="0"/>
          <w:sz w:val="24"/>
          <w:szCs w:val="24"/>
          <w:u w:val="none"/>
          <w:lang w:val="en-GB" w:eastAsia="zh-CN" w:bidi="ar"/>
        </w:rPr>
        <w:t>Extremely low and constant. The debt ratio constitutes a very small part of the company’s worth. This proves that there are no problems with the balance sheet, as well as with financing risks.</w:t>
      </w:r>
    </w:p>
    <w:p w14:paraId="149CC564">
      <w:pPr>
        <w:pStyle w:val="4"/>
        <w:bidi w:val="0"/>
        <w:rPr>
          <w:rFonts w:hint="default" w:ascii="Calibri" w:hAnsi="Calibri" w:eastAsia="SimSun" w:cs="Calibri"/>
          <w:i w:val="0"/>
          <w:iCs w:val="0"/>
          <w:color w:val="000000"/>
          <w:kern w:val="0"/>
          <w:sz w:val="24"/>
          <w:szCs w:val="24"/>
          <w:u w:val="none"/>
          <w:lang w:val="en-US" w:eastAsia="zh-CN" w:bidi="ar"/>
        </w:rPr>
      </w:pPr>
      <w:bookmarkStart w:id="61" w:name="_Toc20369"/>
      <w:bookmarkStart w:id="62" w:name="_Toc17077"/>
      <w:bookmarkStart w:id="63" w:name="_Toc4552"/>
      <w:r>
        <w:rPr>
          <w:rFonts w:hint="default" w:ascii="Calibri" w:hAnsi="Calibri" w:cs="Calibri"/>
          <w:sz w:val="24"/>
          <w:szCs w:val="24"/>
          <w:lang w:val="en-GB" w:eastAsia="zh-CN"/>
        </w:rPr>
        <w:t xml:space="preserve">2.5.5 </w:t>
      </w:r>
      <w:r>
        <w:rPr>
          <w:rFonts w:hint="default" w:ascii="Calibri" w:hAnsi="Calibri" w:cs="Calibri"/>
          <w:sz w:val="24"/>
          <w:szCs w:val="24"/>
          <w:lang w:val="en-US" w:eastAsia="zh-CN"/>
        </w:rPr>
        <w:t>Equity Multiplier Ratio</w:t>
      </w:r>
      <w:bookmarkEnd w:id="61"/>
      <w:bookmarkEnd w:id="62"/>
      <w:bookmarkEnd w:id="63"/>
    </w:p>
    <w:p w14:paraId="46E692BF">
      <w:pPr>
        <w:numPr>
          <w:ilvl w:val="0"/>
          <w:numId w:val="0"/>
        </w:numPr>
        <w:jc w:val="both"/>
        <w:rPr>
          <w:rFonts w:hint="default" w:ascii="Calibri" w:hAnsi="Calibri" w:eastAsia="SimSun" w:cs="Calibri"/>
          <w:i w:val="0"/>
          <w:iCs w:val="0"/>
          <w:color w:val="000000"/>
          <w:kern w:val="0"/>
          <w:sz w:val="24"/>
          <w:szCs w:val="24"/>
          <w:u w:val="none"/>
          <w:lang w:val="en-GB" w:eastAsia="zh-CN" w:bidi="ar"/>
        </w:rPr>
      </w:pPr>
      <w:r>
        <w:rPr>
          <w:rFonts w:hint="default" w:ascii="Calibri" w:hAnsi="Calibri" w:eastAsia="SimSun" w:cs="Calibri"/>
          <w:i w:val="0"/>
          <w:iCs w:val="0"/>
          <w:color w:val="000000"/>
          <w:kern w:val="0"/>
          <w:sz w:val="24"/>
          <w:szCs w:val="24"/>
          <w:u w:val="none"/>
          <w:lang w:val="en-GB" w:eastAsia="zh-CN" w:bidi="ar"/>
        </w:rPr>
        <w:t>Declining steadily from 2.26 to 1.66, due to continuous repayment of debts. Leverage reduces financial risk; however, it also implies that the company cannot leverage profits using debt anymore. As profit declines, the lack of leverage will ensure that the return on equity has nowhere to hide.</w:t>
      </w:r>
    </w:p>
    <w:p w14:paraId="31267EC1">
      <w:pPr>
        <w:pStyle w:val="3"/>
        <w:bidi w:val="0"/>
        <w:rPr>
          <w:rFonts w:hint="default" w:ascii="Calibri" w:hAnsi="Calibri" w:eastAsia="SimSun" w:cs="Calibri"/>
          <w:i w:val="0"/>
          <w:iCs w:val="0"/>
          <w:color w:val="000000"/>
          <w:kern w:val="0"/>
          <w:sz w:val="24"/>
          <w:szCs w:val="24"/>
          <w:u w:val="none"/>
          <w:lang w:val="en-GB" w:eastAsia="zh-CN" w:bidi="ar"/>
        </w:rPr>
      </w:pPr>
      <w:bookmarkStart w:id="64" w:name="_Toc8803"/>
      <w:bookmarkStart w:id="65" w:name="_Toc24314"/>
      <w:bookmarkStart w:id="66" w:name="_Toc14518"/>
      <w:r>
        <w:rPr>
          <w:rFonts w:hint="default" w:ascii="Calibri" w:hAnsi="Calibri" w:cs="Calibri"/>
          <w:sz w:val="24"/>
          <w:szCs w:val="24"/>
          <w:lang w:val="en-GB" w:eastAsia="zh-CN"/>
        </w:rPr>
        <w:t>2.6 Investement Ratio</w:t>
      </w:r>
      <w:bookmarkEnd w:id="64"/>
      <w:bookmarkEnd w:id="65"/>
      <w:bookmarkEnd w:id="66"/>
    </w:p>
    <w:p w14:paraId="721E2765">
      <w:pPr>
        <w:numPr>
          <w:ilvl w:val="0"/>
          <w:numId w:val="0"/>
        </w:numPr>
        <w:jc w:val="both"/>
        <w:rPr>
          <w:rFonts w:hint="default" w:ascii="Calibri" w:hAnsi="Calibri" w:eastAsia="SimSun" w:cs="Calibri"/>
          <w:i w:val="0"/>
          <w:iCs w:val="0"/>
          <w:color w:val="000000"/>
          <w:kern w:val="0"/>
          <w:sz w:val="24"/>
          <w:szCs w:val="24"/>
          <w:u w:val="none"/>
          <w:lang w:val="en-GB" w:eastAsia="zh-CN" w:bidi="ar"/>
        </w:rPr>
      </w:pPr>
      <w:r>
        <w:rPr>
          <w:rFonts w:hint="default" w:ascii="Calibri" w:hAnsi="Calibri" w:eastAsia="SimSun" w:cs="Calibri"/>
          <w:i w:val="0"/>
          <w:iCs w:val="0"/>
          <w:color w:val="000000"/>
          <w:kern w:val="0"/>
          <w:sz w:val="24"/>
          <w:szCs w:val="24"/>
          <w:u w:val="none"/>
          <w:lang w:val="en-GB" w:eastAsia="zh-CN" w:bidi="ar"/>
        </w:rPr>
        <w:t>Investment ratio is help investor to to identify that investment in this company worthy or not.</w:t>
      </w:r>
    </w:p>
    <w:p w14:paraId="5A96218C">
      <w:pPr>
        <w:numPr>
          <w:ilvl w:val="0"/>
          <w:numId w:val="0"/>
        </w:numPr>
        <w:jc w:val="both"/>
        <w:rPr>
          <w:rFonts w:hint="default" w:ascii="Calibri" w:hAnsi="Calibri" w:eastAsia="SimSun" w:cs="Calibri"/>
          <w:i w:val="0"/>
          <w:iCs w:val="0"/>
          <w:color w:val="000000"/>
          <w:kern w:val="0"/>
          <w:sz w:val="24"/>
          <w:szCs w:val="24"/>
          <w:u w:val="none"/>
          <w:lang w:val="en-GB" w:eastAsia="zh-CN" w:bidi="ar"/>
        </w:rPr>
      </w:pPr>
      <w:r>
        <w:drawing>
          <wp:inline distT="0" distB="0" distL="114300" distR="114300">
            <wp:extent cx="5266690" cy="2918460"/>
            <wp:effectExtent l="0" t="0" r="10160" b="152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pic:cNvPicPr>
                  </pic:nvPicPr>
                  <pic:blipFill>
                    <a:blip r:embed="rId9"/>
                    <a:stretch>
                      <a:fillRect/>
                    </a:stretch>
                  </pic:blipFill>
                  <pic:spPr>
                    <a:xfrm>
                      <a:off x="0" y="0"/>
                      <a:ext cx="5266690" cy="2918460"/>
                    </a:xfrm>
                    <a:prstGeom prst="rect">
                      <a:avLst/>
                    </a:prstGeom>
                    <a:noFill/>
                    <a:ln>
                      <a:noFill/>
                    </a:ln>
                  </pic:spPr>
                </pic:pic>
              </a:graphicData>
            </a:graphic>
          </wp:inline>
        </w:drawing>
      </w:r>
    </w:p>
    <w:p w14:paraId="6AD3B2F3">
      <w:pPr>
        <w:pStyle w:val="4"/>
        <w:bidi w:val="0"/>
        <w:rPr>
          <w:rFonts w:hint="default" w:ascii="Calibri" w:hAnsi="Calibri" w:eastAsia="SimSun" w:cs="Calibri"/>
          <w:i w:val="0"/>
          <w:iCs w:val="0"/>
          <w:color w:val="000000"/>
          <w:kern w:val="0"/>
          <w:sz w:val="22"/>
          <w:szCs w:val="22"/>
          <w:u w:val="none"/>
          <w:lang w:val="en-US" w:eastAsia="zh-CN" w:bidi="ar"/>
        </w:rPr>
      </w:pPr>
      <w:bookmarkStart w:id="67" w:name="_Toc6220"/>
      <w:bookmarkStart w:id="68" w:name="_Toc31803"/>
      <w:bookmarkStart w:id="69" w:name="_Toc3773"/>
      <w:r>
        <w:rPr>
          <w:rFonts w:hint="default" w:ascii="Calibri" w:hAnsi="Calibri" w:cs="Calibri"/>
          <w:sz w:val="24"/>
          <w:szCs w:val="24"/>
          <w:lang w:val="en-GB" w:eastAsia="zh-CN"/>
        </w:rPr>
        <w:t xml:space="preserve">2.6.1  </w:t>
      </w:r>
      <w:r>
        <w:rPr>
          <w:rFonts w:hint="default" w:ascii="Calibri" w:hAnsi="Calibri" w:cs="Calibri"/>
          <w:sz w:val="24"/>
          <w:szCs w:val="24"/>
          <w:lang w:val="en-US" w:eastAsia="zh-CN"/>
        </w:rPr>
        <w:t>ROE - Return On Equity</w:t>
      </w:r>
      <w:bookmarkEnd w:id="67"/>
      <w:bookmarkEnd w:id="68"/>
      <w:bookmarkEnd w:id="69"/>
    </w:p>
    <w:p w14:paraId="64AA67FC">
      <w:pPr>
        <w:numPr>
          <w:ilvl w:val="0"/>
          <w:numId w:val="0"/>
        </w:numPr>
        <w:jc w:val="both"/>
        <w:rPr>
          <w:rFonts w:hint="default" w:ascii="Calibri" w:hAnsi="Calibri" w:eastAsia="SimSun" w:cs="Calibri"/>
          <w:i w:val="0"/>
          <w:iCs w:val="0"/>
          <w:color w:val="000000"/>
          <w:kern w:val="0"/>
          <w:sz w:val="24"/>
          <w:szCs w:val="24"/>
          <w:u w:val="none"/>
          <w:lang w:val="en-GB" w:eastAsia="zh-CN" w:bidi="ar"/>
        </w:rPr>
      </w:pPr>
      <w:r>
        <w:rPr>
          <w:rFonts w:hint="default" w:ascii="Calibri" w:hAnsi="Calibri" w:eastAsia="SimSun" w:cs="Calibri"/>
          <w:i w:val="0"/>
          <w:iCs w:val="0"/>
          <w:color w:val="000000"/>
          <w:kern w:val="0"/>
          <w:sz w:val="24"/>
          <w:szCs w:val="24"/>
          <w:u w:val="none"/>
          <w:lang w:val="en-GB" w:eastAsia="zh-CN" w:bidi="ar"/>
        </w:rPr>
        <w:t>The highest level of 27.67% reached in 2022 has fallen by over half to reach 9.72% in 2024. The company can barely meet the bare minimum of return on investment expected by its stockholders. Without any leverage and declining profit margins, a drop in ROE seems inevitable.</w:t>
      </w:r>
    </w:p>
    <w:p w14:paraId="782C371D">
      <w:pPr>
        <w:numPr>
          <w:ilvl w:val="0"/>
          <w:numId w:val="0"/>
        </w:numPr>
        <w:jc w:val="both"/>
        <w:rPr>
          <w:rFonts w:hint="default" w:ascii="Calibri" w:hAnsi="Calibri" w:eastAsia="SimSun" w:cs="Calibri"/>
          <w:i w:val="0"/>
          <w:iCs w:val="0"/>
          <w:color w:val="000000"/>
          <w:kern w:val="0"/>
          <w:sz w:val="24"/>
          <w:szCs w:val="24"/>
          <w:u w:val="none"/>
          <w:lang w:val="en-GB" w:eastAsia="zh-CN" w:bidi="ar"/>
        </w:rPr>
      </w:pPr>
    </w:p>
    <w:p w14:paraId="72736651">
      <w:pPr>
        <w:pStyle w:val="4"/>
        <w:bidi w:val="0"/>
        <w:rPr>
          <w:rFonts w:hint="default" w:ascii="Calibri" w:hAnsi="Calibri" w:eastAsia="SimSun" w:cs="Calibri"/>
          <w:i w:val="0"/>
          <w:iCs w:val="0"/>
          <w:color w:val="000000"/>
          <w:kern w:val="0"/>
          <w:sz w:val="24"/>
          <w:szCs w:val="24"/>
          <w:u w:val="none"/>
          <w:lang w:val="en-US" w:eastAsia="zh-CN" w:bidi="ar"/>
        </w:rPr>
      </w:pPr>
      <w:bookmarkStart w:id="70" w:name="_Toc18146"/>
      <w:bookmarkStart w:id="71" w:name="_Toc15032"/>
      <w:bookmarkStart w:id="72" w:name="_Toc1638"/>
      <w:r>
        <w:rPr>
          <w:rFonts w:hint="default" w:ascii="Calibri" w:hAnsi="Calibri" w:cs="Calibri"/>
          <w:sz w:val="24"/>
          <w:szCs w:val="24"/>
          <w:lang w:val="en-GB" w:eastAsia="zh-CN"/>
        </w:rPr>
        <w:t xml:space="preserve">2.6.2 </w:t>
      </w:r>
      <w:r>
        <w:rPr>
          <w:rFonts w:hint="default" w:ascii="Calibri" w:hAnsi="Calibri" w:cs="Calibri"/>
          <w:sz w:val="24"/>
          <w:szCs w:val="24"/>
          <w:lang w:val="en-US" w:eastAsia="zh-CN"/>
        </w:rPr>
        <w:t>ROA - Return On Assets</w:t>
      </w:r>
      <w:bookmarkEnd w:id="70"/>
      <w:bookmarkEnd w:id="71"/>
      <w:bookmarkEnd w:id="72"/>
    </w:p>
    <w:p w14:paraId="33BB0EDD">
      <w:pPr>
        <w:numPr>
          <w:ilvl w:val="0"/>
          <w:numId w:val="0"/>
        </w:numPr>
        <w:jc w:val="both"/>
        <w:rPr>
          <w:rFonts w:hint="default" w:ascii="Calibri" w:hAnsi="Calibri" w:eastAsia="SimSun" w:cs="Calibri"/>
          <w:i w:val="0"/>
          <w:iCs w:val="0"/>
          <w:color w:val="000000"/>
          <w:kern w:val="0"/>
          <w:sz w:val="24"/>
          <w:szCs w:val="24"/>
          <w:u w:val="none"/>
          <w:lang w:val="en-GB" w:eastAsia="zh-CN" w:bidi="ar"/>
        </w:rPr>
      </w:pPr>
      <w:r>
        <w:rPr>
          <w:rFonts w:hint="default" w:ascii="Calibri" w:hAnsi="Calibri" w:eastAsia="SimSun" w:cs="Calibri"/>
          <w:i w:val="0"/>
          <w:iCs w:val="0"/>
          <w:color w:val="000000"/>
          <w:kern w:val="0"/>
          <w:sz w:val="24"/>
          <w:szCs w:val="24"/>
          <w:u w:val="none"/>
          <w:lang w:val="en-GB" w:eastAsia="zh-CN" w:bidi="ar"/>
        </w:rPr>
        <w:t>Producing only about a third of the profit per pound of assets produced during the 2022 peak. There has been inefficiency in utilizing the asset base, as there has been a drop in profitability that is far greater than the decrease in the asset base.</w:t>
      </w:r>
    </w:p>
    <w:p w14:paraId="5642C79A">
      <w:pPr>
        <w:numPr>
          <w:ilvl w:val="0"/>
          <w:numId w:val="0"/>
        </w:numPr>
        <w:jc w:val="both"/>
        <w:rPr>
          <w:rFonts w:hint="default" w:ascii="Calibri" w:hAnsi="Calibri" w:eastAsia="SimSun" w:cs="Calibri"/>
          <w:i w:val="0"/>
          <w:iCs w:val="0"/>
          <w:color w:val="000000"/>
          <w:kern w:val="0"/>
          <w:sz w:val="24"/>
          <w:szCs w:val="24"/>
          <w:u w:val="none"/>
          <w:lang w:val="en-GB" w:eastAsia="zh-CN" w:bidi="ar"/>
        </w:rPr>
      </w:pPr>
    </w:p>
    <w:p w14:paraId="338B641C">
      <w:pPr>
        <w:pStyle w:val="4"/>
        <w:bidi w:val="0"/>
        <w:rPr>
          <w:rFonts w:hint="default" w:ascii="Calibri" w:hAnsi="Calibri" w:eastAsia="SimSun" w:cs="Calibri"/>
          <w:i w:val="0"/>
          <w:iCs w:val="0"/>
          <w:color w:val="000000"/>
          <w:kern w:val="0"/>
          <w:sz w:val="24"/>
          <w:szCs w:val="24"/>
          <w:u w:val="none"/>
          <w:lang w:val="en-US" w:eastAsia="zh-CN" w:bidi="ar"/>
        </w:rPr>
      </w:pPr>
      <w:bookmarkStart w:id="73" w:name="_Toc14305"/>
      <w:bookmarkStart w:id="74" w:name="_Toc14133"/>
      <w:bookmarkStart w:id="75" w:name="_Toc25505"/>
      <w:r>
        <w:rPr>
          <w:rFonts w:hint="default" w:ascii="Calibri" w:hAnsi="Calibri" w:cs="Calibri"/>
          <w:sz w:val="24"/>
          <w:szCs w:val="24"/>
          <w:lang w:val="en-GB" w:eastAsia="zh-CN"/>
        </w:rPr>
        <w:t xml:space="preserve">2.6.3 </w:t>
      </w:r>
      <w:r>
        <w:rPr>
          <w:rFonts w:hint="default" w:ascii="Calibri" w:hAnsi="Calibri" w:cs="Calibri"/>
          <w:sz w:val="24"/>
          <w:szCs w:val="24"/>
          <w:lang w:val="en-US" w:eastAsia="zh-CN"/>
        </w:rPr>
        <w:t>ROI - Return On Investment</w:t>
      </w:r>
      <w:bookmarkEnd w:id="73"/>
      <w:bookmarkEnd w:id="74"/>
      <w:bookmarkEnd w:id="75"/>
    </w:p>
    <w:p w14:paraId="5012D3B1">
      <w:pPr>
        <w:numPr>
          <w:ilvl w:val="0"/>
          <w:numId w:val="0"/>
        </w:numPr>
        <w:jc w:val="both"/>
        <w:rPr>
          <w:rFonts w:hint="default" w:ascii="Calibri" w:hAnsi="Calibri" w:eastAsia="SimSun" w:cs="Calibri"/>
          <w:i w:val="0"/>
          <w:iCs w:val="0"/>
          <w:color w:val="000000"/>
          <w:kern w:val="0"/>
          <w:sz w:val="24"/>
          <w:szCs w:val="24"/>
          <w:u w:val="none"/>
          <w:lang w:val="en-GB" w:eastAsia="zh-CN" w:bidi="ar"/>
        </w:rPr>
      </w:pPr>
      <w:r>
        <w:rPr>
          <w:rFonts w:hint="default" w:ascii="Calibri" w:hAnsi="Calibri" w:eastAsia="SimSun" w:cs="Calibri"/>
          <w:i w:val="0"/>
          <w:iCs w:val="0"/>
          <w:color w:val="000000"/>
          <w:kern w:val="0"/>
          <w:sz w:val="24"/>
          <w:szCs w:val="24"/>
          <w:u w:val="none"/>
          <w:lang w:val="en-GB" w:eastAsia="zh-CN" w:bidi="ar"/>
        </w:rPr>
        <w:t>Had lost two-thirds of its 2022 high point in only two years. With a return on investment of 9.01%, the investment looks quite unappealing, especially when there are other opportunities available for consideration at higher interest rates.</w:t>
      </w:r>
    </w:p>
    <w:p w14:paraId="01DE1D16">
      <w:pPr>
        <w:pStyle w:val="4"/>
        <w:bidi w:val="0"/>
        <w:rPr>
          <w:rFonts w:hint="default" w:ascii="Calibri" w:hAnsi="Calibri" w:eastAsia="SimSun" w:cs="Calibri"/>
          <w:i w:val="0"/>
          <w:iCs w:val="0"/>
          <w:color w:val="000000"/>
          <w:kern w:val="0"/>
          <w:sz w:val="24"/>
          <w:szCs w:val="24"/>
          <w:u w:val="none"/>
          <w:lang w:val="en-GB" w:eastAsia="zh-CN" w:bidi="ar"/>
        </w:rPr>
      </w:pPr>
      <w:bookmarkStart w:id="76" w:name="_Toc9616"/>
      <w:bookmarkStart w:id="77" w:name="_Toc27091"/>
      <w:bookmarkStart w:id="78" w:name="_Toc11003"/>
      <w:r>
        <w:rPr>
          <w:rFonts w:hint="default" w:ascii="Calibri" w:hAnsi="Calibri" w:cs="Calibri"/>
          <w:sz w:val="24"/>
          <w:szCs w:val="24"/>
          <w:lang w:val="en-GB" w:eastAsia="zh-CN"/>
        </w:rPr>
        <w:t>2.6.4 EPS - Earnings Per Share</w:t>
      </w:r>
      <w:bookmarkEnd w:id="76"/>
      <w:bookmarkEnd w:id="77"/>
      <w:bookmarkEnd w:id="78"/>
    </w:p>
    <w:p w14:paraId="0ADD83BA">
      <w:pPr>
        <w:numPr>
          <w:ilvl w:val="0"/>
          <w:numId w:val="0"/>
        </w:numPr>
        <w:jc w:val="both"/>
        <w:rPr>
          <w:rFonts w:hint="default" w:ascii="Calibri" w:hAnsi="Calibri" w:eastAsia="SimSun" w:cs="Calibri"/>
          <w:i w:val="0"/>
          <w:iCs w:val="0"/>
          <w:color w:val="000000"/>
          <w:kern w:val="0"/>
          <w:sz w:val="24"/>
          <w:szCs w:val="24"/>
          <w:u w:val="none"/>
          <w:lang w:val="en-GB" w:eastAsia="zh-CN" w:bidi="ar"/>
        </w:rPr>
      </w:pPr>
      <w:r>
        <w:rPr>
          <w:rFonts w:hint="default" w:ascii="Calibri" w:hAnsi="Calibri" w:eastAsia="SimSun" w:cs="Calibri"/>
          <w:i w:val="0"/>
          <w:iCs w:val="0"/>
          <w:color w:val="000000"/>
          <w:kern w:val="0"/>
          <w:sz w:val="24"/>
          <w:szCs w:val="24"/>
          <w:u w:val="none"/>
          <w:lang w:val="en-GB" w:eastAsia="zh-CN" w:bidi="ar"/>
        </w:rPr>
        <w:t>Decline in two consecutive years following its peak at 3.62. Shareholder value has decreased by 44% since 2022 levels. As margins deteriorate, there is more room for EPS to drop and shareholder pressure on management will mount.</w:t>
      </w:r>
    </w:p>
    <w:p w14:paraId="7F3C1BCB">
      <w:pPr>
        <w:pStyle w:val="4"/>
        <w:bidi w:val="0"/>
        <w:rPr>
          <w:rFonts w:hint="default" w:ascii="Calibri" w:hAnsi="Calibri" w:eastAsia="SimSun" w:cs="Calibri"/>
          <w:i w:val="0"/>
          <w:iCs w:val="0"/>
          <w:color w:val="000000"/>
          <w:kern w:val="0"/>
          <w:sz w:val="24"/>
          <w:szCs w:val="24"/>
          <w:u w:val="none"/>
          <w:lang w:val="en-GB" w:eastAsia="zh-CN" w:bidi="ar"/>
        </w:rPr>
      </w:pPr>
      <w:bookmarkStart w:id="79" w:name="_Toc13740"/>
      <w:bookmarkStart w:id="80" w:name="_Toc10727"/>
      <w:bookmarkStart w:id="81" w:name="_Toc29886"/>
      <w:r>
        <w:rPr>
          <w:rFonts w:hint="default" w:ascii="Calibri" w:hAnsi="Calibri" w:cs="Calibri"/>
          <w:sz w:val="24"/>
          <w:szCs w:val="24"/>
          <w:lang w:val="en-GB" w:eastAsia="zh-CN"/>
        </w:rPr>
        <w:t>2.6.5 P/E - Price Earnings Ratio</w:t>
      </w:r>
      <w:bookmarkEnd w:id="79"/>
      <w:bookmarkEnd w:id="80"/>
      <w:bookmarkEnd w:id="81"/>
    </w:p>
    <w:p w14:paraId="7F39FA58">
      <w:pPr>
        <w:numPr>
          <w:ilvl w:val="0"/>
          <w:numId w:val="0"/>
        </w:numPr>
        <w:jc w:val="both"/>
        <w:rPr>
          <w:rFonts w:hint="default" w:ascii="Calibri" w:hAnsi="Calibri" w:eastAsia="SimSun" w:cs="Calibri"/>
          <w:i w:val="0"/>
          <w:iCs w:val="0"/>
          <w:color w:val="000000"/>
          <w:kern w:val="0"/>
          <w:sz w:val="24"/>
          <w:szCs w:val="24"/>
          <w:u w:val="none"/>
          <w:lang w:val="en-GB" w:eastAsia="zh-CN" w:bidi="ar"/>
        </w:rPr>
      </w:pPr>
      <w:r>
        <w:rPr>
          <w:rFonts w:hint="default" w:ascii="Calibri" w:hAnsi="Calibri" w:eastAsia="SimSun" w:cs="Calibri"/>
          <w:i w:val="0"/>
          <w:iCs w:val="0"/>
          <w:color w:val="000000"/>
          <w:kern w:val="0"/>
          <w:sz w:val="24"/>
          <w:szCs w:val="24"/>
          <w:u w:val="none"/>
          <w:lang w:val="en-GB" w:eastAsia="zh-CN" w:bidi="ar"/>
        </w:rPr>
        <w:t>The most concerning multiple in this data set. The market is valuing this company at 121 times earnings despite declining margin and profitability trends. This implies either that the market is discounting an extreme turnaround scenario which current fundamentals don’t support, or the stock itself is significantly overvalued. In 2022, the 34.7 multiple was the sole logical value in five years.</w:t>
      </w:r>
    </w:p>
    <w:p w14:paraId="08C01D64">
      <w:pPr>
        <w:pStyle w:val="3"/>
        <w:bidi w:val="0"/>
        <w:rPr>
          <w:rFonts w:hint="default" w:ascii="Calibri" w:hAnsi="Calibri" w:eastAsia="SimSun" w:cs="Calibri"/>
          <w:i w:val="0"/>
          <w:iCs w:val="0"/>
          <w:color w:val="000000"/>
          <w:kern w:val="0"/>
          <w:sz w:val="24"/>
          <w:szCs w:val="24"/>
          <w:u w:val="none"/>
          <w:lang w:val="en-GB" w:eastAsia="zh-CN" w:bidi="ar"/>
        </w:rPr>
      </w:pPr>
      <w:bookmarkStart w:id="82" w:name="_Toc26703"/>
      <w:bookmarkStart w:id="83" w:name="_Toc12626"/>
      <w:bookmarkStart w:id="84" w:name="_Toc16691"/>
      <w:r>
        <w:rPr>
          <w:rFonts w:hint="default" w:ascii="Calibri" w:hAnsi="Calibri" w:cs="Calibri"/>
          <w:sz w:val="24"/>
          <w:szCs w:val="24"/>
          <w:lang w:val="en-GB" w:eastAsia="zh-CN"/>
        </w:rPr>
        <w:t>2.7 Cash flow ratio</w:t>
      </w:r>
      <w:bookmarkEnd w:id="82"/>
      <w:bookmarkEnd w:id="83"/>
      <w:bookmarkEnd w:id="84"/>
    </w:p>
    <w:p w14:paraId="565A5E3D">
      <w:pPr>
        <w:numPr>
          <w:ilvl w:val="0"/>
          <w:numId w:val="0"/>
        </w:numPr>
        <w:jc w:val="both"/>
        <w:rPr>
          <w:rFonts w:hint="default" w:ascii="Calibri" w:hAnsi="Calibri" w:eastAsia="SimSun" w:cs="Calibri"/>
          <w:i w:val="0"/>
          <w:iCs w:val="0"/>
          <w:color w:val="000000"/>
          <w:kern w:val="0"/>
          <w:sz w:val="24"/>
          <w:szCs w:val="24"/>
          <w:u w:val="none"/>
          <w:lang w:val="en-GB" w:eastAsia="zh-CN" w:bidi="ar"/>
        </w:rPr>
      </w:pPr>
      <w:r>
        <w:rPr>
          <w:rFonts w:hint="default" w:ascii="Calibri" w:hAnsi="Calibri" w:eastAsia="SimSun" w:cs="Calibri"/>
          <w:i w:val="0"/>
          <w:iCs w:val="0"/>
          <w:color w:val="000000"/>
          <w:kern w:val="0"/>
          <w:sz w:val="24"/>
          <w:szCs w:val="24"/>
          <w:u w:val="none"/>
          <w:lang w:val="en-GB" w:eastAsia="zh-CN" w:bidi="ar"/>
        </w:rPr>
        <w:t xml:space="preserve">Cash flow ratio indicate company is use cash effectively in organization or not. </w:t>
      </w:r>
    </w:p>
    <w:p w14:paraId="16B55CE9">
      <w:pPr>
        <w:pStyle w:val="4"/>
        <w:bidi w:val="0"/>
        <w:rPr>
          <w:rFonts w:hint="default" w:ascii="Calibri" w:hAnsi="Calibri" w:eastAsia="SimSun" w:cs="Calibri"/>
          <w:i w:val="0"/>
          <w:iCs w:val="0"/>
          <w:color w:val="000000"/>
          <w:kern w:val="0"/>
          <w:sz w:val="24"/>
          <w:szCs w:val="24"/>
          <w:u w:val="none"/>
          <w:lang w:val="en-US" w:eastAsia="zh-CN" w:bidi="ar"/>
        </w:rPr>
      </w:pPr>
      <w:bookmarkStart w:id="85" w:name="_Toc7222"/>
      <w:bookmarkStart w:id="86" w:name="_Toc5576"/>
      <w:bookmarkStart w:id="87" w:name="_Toc778"/>
      <w:r>
        <w:rPr>
          <w:rFonts w:hint="default" w:ascii="Calibri" w:hAnsi="Calibri" w:cs="Calibri"/>
          <w:sz w:val="24"/>
          <w:szCs w:val="24"/>
          <w:lang w:val="en-GB" w:eastAsia="zh-CN"/>
        </w:rPr>
        <w:t xml:space="preserve">2.7.1 </w:t>
      </w:r>
      <w:r>
        <w:rPr>
          <w:rFonts w:hint="default" w:ascii="Calibri" w:hAnsi="Calibri" w:cs="Calibri"/>
          <w:sz w:val="24"/>
          <w:szCs w:val="24"/>
          <w:lang w:val="en-US" w:eastAsia="zh-CN"/>
        </w:rPr>
        <w:t>Operating Cash Flow Ratio</w:t>
      </w:r>
      <w:bookmarkEnd w:id="85"/>
      <w:bookmarkEnd w:id="86"/>
      <w:bookmarkEnd w:id="87"/>
    </w:p>
    <w:p w14:paraId="5841C55F">
      <w:pPr>
        <w:numPr>
          <w:ilvl w:val="0"/>
          <w:numId w:val="0"/>
        </w:numPr>
        <w:jc w:val="both"/>
        <w:rPr>
          <w:rFonts w:hint="default" w:ascii="Calibri" w:hAnsi="Calibri" w:eastAsia="SimSun" w:cs="Calibri"/>
          <w:i w:val="0"/>
          <w:iCs w:val="0"/>
          <w:color w:val="000000"/>
          <w:kern w:val="0"/>
          <w:sz w:val="24"/>
          <w:szCs w:val="24"/>
          <w:u w:val="none"/>
          <w:lang w:val="en-US" w:eastAsia="zh-CN" w:bidi="ar"/>
        </w:rPr>
      </w:pPr>
      <w:r>
        <w:rPr>
          <w:rFonts w:hint="default" w:ascii="Calibri" w:hAnsi="Calibri" w:eastAsia="SimSun" w:cs="Calibri"/>
          <w:i w:val="0"/>
          <w:iCs w:val="0"/>
          <w:color w:val="000000"/>
          <w:kern w:val="0"/>
          <w:sz w:val="24"/>
          <w:szCs w:val="24"/>
          <w:u w:val="none"/>
          <w:lang w:val="en-US" w:eastAsia="zh-CN" w:bidi="ar"/>
        </w:rPr>
        <w:t>Below 1.0 for the first time since 2020 in 2024. This implies that operating cash flows can no longer sufficiently cover current liabilities, which is quite alarming. In essence, the firm is no longer able to fund itself using cash flows generated from its operations in the current period. Together with declining margins, this is clearly a very concerning situation.</w:t>
      </w:r>
    </w:p>
    <w:p w14:paraId="3711220E">
      <w:pPr>
        <w:pStyle w:val="4"/>
        <w:bidi w:val="0"/>
        <w:rPr>
          <w:rFonts w:hint="default" w:ascii="Calibri" w:hAnsi="Calibri" w:cs="Calibri"/>
          <w:sz w:val="24"/>
          <w:szCs w:val="24"/>
          <w:lang w:val="en-US" w:eastAsia="zh-CN"/>
        </w:rPr>
      </w:pPr>
      <w:bookmarkStart w:id="88" w:name="_Toc32513"/>
      <w:bookmarkStart w:id="89" w:name="_Toc17205"/>
      <w:bookmarkStart w:id="90" w:name="_Toc6805"/>
      <w:r>
        <w:rPr>
          <w:rFonts w:hint="default" w:ascii="Calibri" w:hAnsi="Calibri" w:cs="Calibri"/>
          <w:sz w:val="24"/>
          <w:szCs w:val="24"/>
          <w:lang w:val="en-GB" w:eastAsia="zh-CN"/>
        </w:rPr>
        <w:t xml:space="preserve">2.7.2 </w:t>
      </w:r>
      <w:r>
        <w:rPr>
          <w:rFonts w:hint="default" w:ascii="Calibri" w:hAnsi="Calibri" w:cs="Calibri"/>
          <w:sz w:val="24"/>
          <w:szCs w:val="24"/>
          <w:lang w:val="en-US" w:eastAsia="zh-CN"/>
        </w:rPr>
        <w:t>Cash Flow to Debt Ratio</w:t>
      </w:r>
      <w:bookmarkEnd w:id="88"/>
      <w:bookmarkEnd w:id="89"/>
      <w:bookmarkEnd w:id="90"/>
    </w:p>
    <w:p w14:paraId="4A8A5AD6">
      <w:pPr>
        <w:numPr>
          <w:ilvl w:val="0"/>
          <w:numId w:val="0"/>
        </w:numPr>
        <w:jc w:val="both"/>
        <w:rPr>
          <w:rFonts w:hint="default" w:ascii="Calibri" w:hAnsi="Calibri" w:eastAsia="SimSun" w:cs="Calibri"/>
          <w:i w:val="0"/>
          <w:iCs w:val="0"/>
          <w:color w:val="000000"/>
          <w:kern w:val="0"/>
          <w:sz w:val="24"/>
          <w:szCs w:val="24"/>
          <w:u w:val="none"/>
          <w:lang w:val="en-US" w:eastAsia="zh-CN" w:bidi="ar"/>
        </w:rPr>
      </w:pPr>
    </w:p>
    <w:p w14:paraId="545C1DD4">
      <w:pPr>
        <w:numPr>
          <w:ilvl w:val="0"/>
          <w:numId w:val="0"/>
        </w:numPr>
        <w:jc w:val="both"/>
        <w:rPr>
          <w:rFonts w:hint="default" w:ascii="Calibri" w:hAnsi="Calibri" w:eastAsia="SimSun" w:cs="Calibri"/>
          <w:i w:val="0"/>
          <w:iCs w:val="0"/>
          <w:color w:val="000000"/>
          <w:kern w:val="0"/>
          <w:sz w:val="24"/>
          <w:szCs w:val="24"/>
          <w:u w:val="none"/>
          <w:lang w:val="en-GB" w:eastAsia="zh-CN" w:bidi="ar"/>
        </w:rPr>
      </w:pPr>
      <w:r>
        <w:rPr>
          <w:rFonts w:hint="default" w:ascii="Calibri" w:hAnsi="Calibri" w:eastAsia="SimSun" w:cs="Calibri"/>
          <w:i w:val="0"/>
          <w:iCs w:val="0"/>
          <w:color w:val="000000"/>
          <w:kern w:val="0"/>
          <w:sz w:val="24"/>
          <w:szCs w:val="24"/>
          <w:u w:val="none"/>
          <w:lang w:val="en-GB" w:eastAsia="zh-CN" w:bidi="ar"/>
        </w:rPr>
        <w:t>Nevertheless, it is good to note that the figure is still above 1.0 and indicates that the cash flow is still higher than the total debt. However, it is important to highlight that the decrease in the ratio from 2.96 in 2022 to 1.54 in 2024 is significant. In the next two years, the ratio will be challenging.</w:t>
      </w:r>
    </w:p>
    <w:p w14:paraId="0C5E3BE6">
      <w:pPr>
        <w:pStyle w:val="4"/>
        <w:bidi w:val="0"/>
        <w:rPr>
          <w:rFonts w:hint="default" w:ascii="Calibri" w:hAnsi="Calibri" w:eastAsia="SimSun" w:cs="Calibri"/>
          <w:i w:val="0"/>
          <w:iCs w:val="0"/>
          <w:color w:val="000000"/>
          <w:kern w:val="0"/>
          <w:sz w:val="24"/>
          <w:szCs w:val="24"/>
          <w:u w:val="none"/>
          <w:lang w:val="en-US" w:eastAsia="zh-CN" w:bidi="ar"/>
        </w:rPr>
      </w:pPr>
      <w:bookmarkStart w:id="91" w:name="_Toc30029"/>
      <w:bookmarkStart w:id="92" w:name="_Toc2482"/>
      <w:bookmarkStart w:id="93" w:name="_Toc1199"/>
      <w:r>
        <w:rPr>
          <w:rFonts w:hint="default" w:ascii="Calibri" w:hAnsi="Calibri" w:cs="Calibri"/>
          <w:sz w:val="24"/>
          <w:szCs w:val="24"/>
          <w:lang w:val="en-GB" w:eastAsia="zh-CN"/>
        </w:rPr>
        <w:t xml:space="preserve">2.7.3 </w:t>
      </w:r>
      <w:r>
        <w:rPr>
          <w:rFonts w:hint="default" w:ascii="Calibri" w:hAnsi="Calibri" w:cs="Calibri"/>
          <w:sz w:val="24"/>
          <w:szCs w:val="24"/>
          <w:lang w:val="en-US" w:eastAsia="zh-CN"/>
        </w:rPr>
        <w:t>Free Cash Flow ($bn)</w:t>
      </w:r>
      <w:bookmarkEnd w:id="91"/>
      <w:bookmarkEnd w:id="92"/>
      <w:bookmarkEnd w:id="93"/>
    </w:p>
    <w:p w14:paraId="1A611582">
      <w:pPr>
        <w:numPr>
          <w:ilvl w:val="0"/>
          <w:numId w:val="0"/>
        </w:numPr>
        <w:jc w:val="both"/>
        <w:rPr>
          <w:rFonts w:hint="default" w:ascii="Calibri" w:hAnsi="Calibri" w:eastAsia="SimSun" w:cs="Calibri"/>
          <w:i w:val="0"/>
          <w:iCs w:val="0"/>
          <w:color w:val="000000"/>
          <w:kern w:val="0"/>
          <w:sz w:val="24"/>
          <w:szCs w:val="24"/>
          <w:u w:val="none"/>
          <w:lang w:val="en-GB" w:eastAsia="zh-CN" w:bidi="ar"/>
        </w:rPr>
      </w:pPr>
      <w:r>
        <w:rPr>
          <w:rFonts w:hint="default" w:ascii="Calibri" w:hAnsi="Calibri" w:eastAsia="SimSun" w:cs="Calibri"/>
          <w:i w:val="0"/>
          <w:iCs w:val="0"/>
          <w:color w:val="000000"/>
          <w:kern w:val="0"/>
          <w:sz w:val="24"/>
          <w:szCs w:val="24"/>
          <w:u w:val="none"/>
          <w:lang w:val="en-GB" w:eastAsia="zh-CN" w:bidi="ar"/>
        </w:rPr>
        <w:t>The fall from $7.6bn in 2022 to $3.6bn in 2024, a reduction of more than half of its free cash flow within two years, speaks for itself. Free cash flow is what keeps the life of a company running, enabling the company to pay out dividends, conduct share repurchase programs, and invest in projects. With $3.6bn, the company remains profitable, but the trend is worrying.</w:t>
      </w:r>
    </w:p>
    <w:p w14:paraId="5A93EB22">
      <w:pPr>
        <w:pStyle w:val="4"/>
        <w:bidi w:val="0"/>
        <w:rPr>
          <w:rFonts w:hint="default" w:ascii="Calibri" w:hAnsi="Calibri" w:eastAsia="SimSun" w:cs="Calibri"/>
          <w:i w:val="0"/>
          <w:iCs w:val="0"/>
          <w:color w:val="000000"/>
          <w:kern w:val="0"/>
          <w:sz w:val="24"/>
          <w:szCs w:val="24"/>
          <w:u w:val="none"/>
          <w:lang w:val="en-US" w:eastAsia="zh-CN" w:bidi="ar"/>
        </w:rPr>
      </w:pPr>
      <w:bookmarkStart w:id="94" w:name="_Toc10192"/>
      <w:bookmarkStart w:id="95" w:name="_Toc27739"/>
      <w:bookmarkStart w:id="96" w:name="_Toc7261"/>
      <w:r>
        <w:rPr>
          <w:rFonts w:hint="default" w:ascii="Calibri" w:hAnsi="Calibri" w:cs="Calibri"/>
          <w:sz w:val="24"/>
          <w:szCs w:val="24"/>
          <w:lang w:val="en-GB" w:eastAsia="zh-CN"/>
        </w:rPr>
        <w:t xml:space="preserve">2.7.4 </w:t>
      </w:r>
      <w:r>
        <w:rPr>
          <w:rFonts w:hint="default" w:ascii="Calibri" w:hAnsi="Calibri" w:cs="Calibri"/>
          <w:sz w:val="24"/>
          <w:szCs w:val="24"/>
          <w:lang w:val="en-US" w:eastAsia="zh-CN"/>
        </w:rPr>
        <w:t>Cash Flow per Share</w:t>
      </w:r>
      <w:bookmarkEnd w:id="94"/>
      <w:bookmarkEnd w:id="95"/>
      <w:bookmarkEnd w:id="96"/>
    </w:p>
    <w:p w14:paraId="22C00FF1">
      <w:pPr>
        <w:numPr>
          <w:ilvl w:val="0"/>
          <w:numId w:val="0"/>
        </w:numPr>
        <w:jc w:val="both"/>
        <w:rPr>
          <w:rFonts w:hint="default" w:ascii="Calibri" w:hAnsi="Calibri" w:eastAsia="SimSun" w:cs="Calibri"/>
          <w:i w:val="0"/>
          <w:iCs w:val="0"/>
          <w:color w:val="000000"/>
          <w:kern w:val="0"/>
          <w:sz w:val="24"/>
          <w:szCs w:val="24"/>
          <w:u w:val="none"/>
          <w:lang w:val="en-GB" w:eastAsia="zh-CN" w:bidi="ar"/>
        </w:rPr>
      </w:pPr>
      <w:r>
        <w:rPr>
          <w:rFonts w:hint="default" w:ascii="Calibri" w:hAnsi="Calibri" w:eastAsia="SimSun" w:cs="Calibri"/>
          <w:i w:val="0"/>
          <w:iCs w:val="0"/>
          <w:color w:val="000000"/>
          <w:kern w:val="0"/>
          <w:sz w:val="24"/>
          <w:szCs w:val="24"/>
          <w:u w:val="none"/>
          <w:lang w:val="en-GB" w:eastAsia="zh-CN" w:bidi="ar"/>
        </w:rPr>
        <w:t xml:space="preserve">Fell from $5.67 to $3.11 over two years, representing a fall of 45% per share. The shareholders are getting much less money support per share. In particular, cash flow per share of $3.11 remains greater than EPS of $2.04, proving that the earning is real cash and not just a book entry. This is the only good thing in the declining scenario. </w:t>
      </w:r>
    </w:p>
    <w:p w14:paraId="09F8F726">
      <w:pPr>
        <w:pStyle w:val="2"/>
        <w:numPr>
          <w:ilvl w:val="0"/>
          <w:numId w:val="1"/>
        </w:numPr>
        <w:bidi w:val="0"/>
        <w:rPr>
          <w:rFonts w:hint="default" w:ascii="Calibri" w:hAnsi="Calibri" w:eastAsia="SimSun" w:cs="Calibri"/>
          <w:i w:val="0"/>
          <w:iCs w:val="0"/>
          <w:color w:val="000000"/>
          <w:kern w:val="0"/>
          <w:sz w:val="24"/>
          <w:szCs w:val="24"/>
          <w:u w:val="none"/>
          <w:lang w:val="en-GB" w:eastAsia="zh-CN" w:bidi="ar"/>
        </w:rPr>
      </w:pPr>
      <w:bookmarkStart w:id="97" w:name="_Toc15297"/>
      <w:bookmarkStart w:id="98" w:name="_Toc31411"/>
      <w:bookmarkStart w:id="99" w:name="_Toc23250"/>
      <w:r>
        <w:rPr>
          <w:rFonts w:hint="default" w:ascii="Calibri" w:hAnsi="Calibri" w:cs="Calibri"/>
          <w:sz w:val="24"/>
          <w:szCs w:val="24"/>
          <w:lang w:val="en-GB" w:eastAsia="zh-CN"/>
        </w:rPr>
        <w:t>Working Capital Management Analysis</w:t>
      </w:r>
      <w:bookmarkEnd w:id="97"/>
      <w:bookmarkEnd w:id="98"/>
      <w:bookmarkEnd w:id="99"/>
    </w:p>
    <w:p w14:paraId="5F36862F">
      <w:pPr>
        <w:pStyle w:val="3"/>
        <w:bidi w:val="0"/>
        <w:rPr>
          <w:rFonts w:hint="default" w:ascii="Calibri" w:hAnsi="Calibri" w:eastAsia="SimSun" w:cs="Calibri"/>
          <w:i w:val="0"/>
          <w:iCs w:val="0"/>
          <w:color w:val="000000"/>
          <w:kern w:val="0"/>
          <w:sz w:val="24"/>
          <w:szCs w:val="24"/>
          <w:u w:val="none"/>
          <w:lang w:val="en-GB" w:eastAsia="zh-CN" w:bidi="ar"/>
        </w:rPr>
      </w:pPr>
      <w:bookmarkStart w:id="100" w:name="_Toc31343"/>
      <w:bookmarkStart w:id="101" w:name="_Toc25246"/>
      <w:bookmarkStart w:id="102" w:name="_Toc14504"/>
      <w:r>
        <w:rPr>
          <w:rFonts w:hint="default" w:ascii="Calibri" w:hAnsi="Calibri" w:cs="Calibri"/>
          <w:sz w:val="24"/>
          <w:szCs w:val="24"/>
          <w:lang w:val="en-GB" w:eastAsia="zh-CN"/>
        </w:rPr>
        <w:t>3.1 Assessment of the Cash Operating Cycle</w:t>
      </w:r>
      <w:bookmarkEnd w:id="100"/>
      <w:bookmarkEnd w:id="101"/>
      <w:bookmarkEnd w:id="102"/>
    </w:p>
    <w:p w14:paraId="04927FEE">
      <w:pPr>
        <w:numPr>
          <w:ilvl w:val="0"/>
          <w:numId w:val="0"/>
        </w:numPr>
        <w:ind w:leftChars="0"/>
        <w:jc w:val="both"/>
        <w:rPr>
          <w:rFonts w:hint="default" w:ascii="Calibri" w:hAnsi="Calibri" w:eastAsia="SimSun" w:cs="Calibri"/>
          <w:i w:val="0"/>
          <w:iCs w:val="0"/>
          <w:color w:val="000000"/>
          <w:kern w:val="0"/>
          <w:sz w:val="24"/>
          <w:szCs w:val="24"/>
          <w:u w:val="none"/>
          <w:lang w:val="en-GB" w:eastAsia="zh-CN" w:bidi="ar"/>
        </w:rPr>
      </w:pPr>
      <w:r>
        <w:rPr>
          <w:rFonts w:hint="default" w:ascii="Calibri" w:hAnsi="Calibri" w:eastAsia="SimSun" w:cs="Calibri"/>
          <w:i w:val="0"/>
          <w:iCs w:val="0"/>
          <w:color w:val="000000"/>
          <w:kern w:val="0"/>
          <w:sz w:val="24"/>
          <w:szCs w:val="24"/>
          <w:u w:val="none"/>
          <w:lang w:val="en-GB" w:eastAsia="zh-CN" w:bidi="ar"/>
        </w:rPr>
        <w:t>The management of working capital is an important aspect of financial performance because it influences the organization’s ability to settle its short-term debts and finance its operational activities. The Cash Conversion Cycle (CCC), also referred to as the cash operating cycle, gives an overall evaluation of a firm’s efficiency in converting its resource investments into cash flows. This ratio is computed using the formula below.</w:t>
      </w:r>
    </w:p>
    <w:p w14:paraId="046C0207">
      <w:pPr>
        <w:numPr>
          <w:ilvl w:val="0"/>
          <w:numId w:val="0"/>
        </w:numPr>
        <w:ind w:leftChars="0"/>
        <w:jc w:val="both"/>
        <w:rPr>
          <w:rFonts w:hint="default" w:ascii="Calibri" w:hAnsi="Calibri" w:eastAsia="SimSun" w:cs="Calibri"/>
          <w:i w:val="0"/>
          <w:iCs w:val="0"/>
          <w:color w:val="000000"/>
          <w:kern w:val="0"/>
          <w:sz w:val="24"/>
          <w:szCs w:val="24"/>
          <w:u w:val="none"/>
          <w:lang w:val="en-GB" w:eastAsia="zh-CN" w:bidi="ar"/>
        </w:rPr>
      </w:pPr>
    </w:p>
    <w:p w14:paraId="0C460408">
      <w:pPr>
        <w:numPr>
          <w:ilvl w:val="0"/>
          <w:numId w:val="0"/>
        </w:numPr>
        <w:ind w:leftChars="0"/>
        <w:jc w:val="both"/>
        <w:rPr>
          <w:rFonts w:hint="default" w:ascii="Calibri" w:hAnsi="Calibri" w:eastAsia="SimSun" w:cs="Calibri"/>
          <w:i w:val="0"/>
          <w:iCs w:val="0"/>
          <w:color w:val="000000"/>
          <w:kern w:val="0"/>
          <w:sz w:val="24"/>
          <w:szCs w:val="24"/>
          <w:u w:val="none"/>
          <w:lang w:val="en-GB" w:eastAsia="zh-CN" w:bidi="ar"/>
        </w:rPr>
      </w:pPr>
      <w:r>
        <w:rPr>
          <w:rFonts w:hint="default" w:ascii="Calibri" w:hAnsi="Calibri" w:eastAsia="SimSun" w:cs="Calibri"/>
          <w:i w:val="0"/>
          <w:iCs w:val="0"/>
          <w:color w:val="000000"/>
          <w:kern w:val="0"/>
          <w:sz w:val="24"/>
          <w:szCs w:val="24"/>
          <w:u w:val="none"/>
          <w:lang w:val="en-GB" w:eastAsia="zh-CN" w:bidi="ar"/>
        </w:rPr>
        <w:t>CCC = Days Inventory Outstanding (DIO) + Days Sales Outstanding (DSO) − Days Payable Outstanding (DPO)</w:t>
      </w:r>
    </w:p>
    <w:p w14:paraId="7EF15533">
      <w:pPr>
        <w:numPr>
          <w:ilvl w:val="0"/>
          <w:numId w:val="0"/>
        </w:numPr>
        <w:ind w:leftChars="0"/>
        <w:jc w:val="both"/>
        <w:rPr>
          <w:rFonts w:hint="default" w:ascii="Calibri" w:hAnsi="Calibri" w:eastAsia="SimSun" w:cs="Calibri"/>
          <w:i w:val="0"/>
          <w:iCs w:val="0"/>
          <w:color w:val="000000"/>
          <w:kern w:val="0"/>
          <w:sz w:val="24"/>
          <w:szCs w:val="24"/>
          <w:u w:val="none"/>
          <w:lang w:val="en-GB" w:eastAsia="zh-CN" w:bidi="ar"/>
        </w:rPr>
      </w:pPr>
    </w:p>
    <w:p w14:paraId="4460A21D">
      <w:pPr>
        <w:numPr>
          <w:ilvl w:val="0"/>
          <w:numId w:val="0"/>
        </w:numPr>
        <w:ind w:leftChars="0"/>
        <w:jc w:val="both"/>
        <w:rPr>
          <w:rFonts w:hint="default" w:ascii="Calibri" w:hAnsi="Calibri" w:eastAsia="SimSun" w:cs="Calibri"/>
          <w:i w:val="0"/>
          <w:iCs w:val="0"/>
          <w:color w:val="000000"/>
          <w:kern w:val="0"/>
          <w:sz w:val="24"/>
          <w:szCs w:val="24"/>
          <w:u w:val="none"/>
          <w:lang w:val="en-GB" w:eastAsia="zh-CN" w:bidi="ar"/>
        </w:rPr>
      </w:pPr>
      <w:r>
        <w:rPr>
          <w:rFonts w:hint="default" w:ascii="Calibri" w:hAnsi="Calibri" w:eastAsia="SimSun" w:cs="Calibri"/>
          <w:i w:val="0"/>
          <w:iCs w:val="0"/>
          <w:color w:val="000000"/>
          <w:kern w:val="0"/>
          <w:sz w:val="24"/>
          <w:szCs w:val="24"/>
          <w:u w:val="none"/>
          <w:lang w:val="en-GB" w:eastAsia="zh-CN" w:bidi="ar"/>
        </w:rPr>
        <w:t xml:space="preserve">Table 1: Tesla's Cash Conversion Cycle, 2020–2024 (Source: Tesla Annual Reports) </w:t>
      </w:r>
    </w:p>
    <w:p w14:paraId="28CB87C8">
      <w:pPr>
        <w:numPr>
          <w:ilvl w:val="0"/>
          <w:numId w:val="0"/>
        </w:numPr>
        <w:ind w:leftChars="0"/>
        <w:jc w:val="both"/>
        <w:rPr>
          <w:rFonts w:hint="default" w:ascii="Calibri" w:hAnsi="Calibri" w:eastAsia="SimSun" w:cs="Calibri"/>
          <w:i w:val="0"/>
          <w:iCs w:val="0"/>
          <w:color w:val="000000"/>
          <w:kern w:val="0"/>
          <w:sz w:val="24"/>
          <w:szCs w:val="24"/>
          <w:u w:val="none"/>
          <w:lang w:val="en-GB" w:eastAsia="zh-CN" w:bidi="ar"/>
        </w:rPr>
      </w:pPr>
    </w:p>
    <w:tbl>
      <w:tblPr>
        <w:tblStyle w:val="7"/>
        <w:tblW w:w="8336" w:type="dxa"/>
        <w:tblInd w:w="93" w:type="dxa"/>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Layout w:type="autofit"/>
        <w:tblCellMar>
          <w:top w:w="0" w:type="dxa"/>
          <w:left w:w="108" w:type="dxa"/>
          <w:bottom w:w="0" w:type="dxa"/>
          <w:right w:w="108" w:type="dxa"/>
        </w:tblCellMar>
      </w:tblPr>
      <w:tblGrid>
        <w:gridCol w:w="1436"/>
        <w:gridCol w:w="1714"/>
        <w:gridCol w:w="1789"/>
        <w:gridCol w:w="1875"/>
        <w:gridCol w:w="1522"/>
      </w:tblGrid>
      <w:tr w14:paraId="40FA1752">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353" w:hRule="atLeast"/>
        </w:trPr>
        <w:tc>
          <w:tcPr>
            <w:tcW w:w="1436" w:type="dxa"/>
            <w:tcBorders>
              <w:top w:val="nil"/>
              <w:left w:val="nil"/>
              <w:bottom w:val="nil"/>
              <w:right w:val="nil"/>
            </w:tcBorders>
            <w:shd w:val="clear" w:color="auto" w:fill="auto"/>
            <w:vAlign w:val="bottom"/>
          </w:tcPr>
          <w:p w14:paraId="712E3885">
            <w:pPr>
              <w:keepNext w:val="0"/>
              <w:keepLines w:val="0"/>
              <w:widowControl/>
              <w:suppressLineNumbers w:val="0"/>
              <w:jc w:val="center"/>
              <w:textAlignment w:val="bottom"/>
              <w:rPr>
                <w:rFonts w:ascii="Calibri" w:hAnsi="Calibri" w:cs="Calibri"/>
                <w:b/>
                <w:bCs/>
                <w:i w:val="0"/>
                <w:iCs w:val="0"/>
                <w:color w:val="000000"/>
                <w:sz w:val="24"/>
                <w:szCs w:val="24"/>
                <w:u w:val="none"/>
              </w:rPr>
            </w:pPr>
            <w:r>
              <w:rPr>
                <w:rFonts w:hint="default" w:ascii="Calibri" w:hAnsi="Calibri" w:eastAsia="SimSun" w:cs="Calibri"/>
                <w:b/>
                <w:bCs/>
                <w:i w:val="0"/>
                <w:iCs w:val="0"/>
                <w:color w:val="000000"/>
                <w:kern w:val="0"/>
                <w:sz w:val="24"/>
                <w:szCs w:val="24"/>
                <w:u w:val="none"/>
                <w:lang w:val="en-US" w:eastAsia="zh-CN" w:bidi="ar"/>
              </w:rPr>
              <w:t>Year</w:t>
            </w:r>
          </w:p>
        </w:tc>
        <w:tc>
          <w:tcPr>
            <w:tcW w:w="1714" w:type="dxa"/>
            <w:tcBorders>
              <w:top w:val="nil"/>
              <w:left w:val="nil"/>
              <w:bottom w:val="nil"/>
              <w:right w:val="nil"/>
            </w:tcBorders>
            <w:shd w:val="clear" w:color="auto" w:fill="auto"/>
            <w:vAlign w:val="bottom"/>
          </w:tcPr>
          <w:p w14:paraId="67CCF1A7">
            <w:pPr>
              <w:keepNext w:val="0"/>
              <w:keepLines w:val="0"/>
              <w:widowControl/>
              <w:suppressLineNumbers w:val="0"/>
              <w:jc w:val="center"/>
              <w:textAlignment w:val="bottom"/>
              <w:rPr>
                <w:rFonts w:hint="default" w:ascii="Calibri" w:hAnsi="Calibri" w:cs="Calibri"/>
                <w:b/>
                <w:bCs/>
                <w:i w:val="0"/>
                <w:iCs w:val="0"/>
                <w:color w:val="000000"/>
                <w:sz w:val="24"/>
                <w:szCs w:val="24"/>
                <w:u w:val="none"/>
              </w:rPr>
            </w:pPr>
            <w:r>
              <w:rPr>
                <w:rFonts w:hint="default" w:ascii="Calibri" w:hAnsi="Calibri" w:eastAsia="SimSun" w:cs="Calibri"/>
                <w:b/>
                <w:bCs/>
                <w:i w:val="0"/>
                <w:iCs w:val="0"/>
                <w:color w:val="000000"/>
                <w:kern w:val="0"/>
                <w:sz w:val="24"/>
                <w:szCs w:val="24"/>
                <w:u w:val="none"/>
                <w:lang w:val="en-US" w:eastAsia="zh-CN" w:bidi="ar"/>
              </w:rPr>
              <w:t>DIO (days)</w:t>
            </w:r>
          </w:p>
        </w:tc>
        <w:tc>
          <w:tcPr>
            <w:tcW w:w="1789" w:type="dxa"/>
            <w:tcBorders>
              <w:top w:val="nil"/>
              <w:left w:val="nil"/>
              <w:bottom w:val="nil"/>
              <w:right w:val="nil"/>
            </w:tcBorders>
            <w:shd w:val="clear" w:color="auto" w:fill="auto"/>
            <w:vAlign w:val="bottom"/>
          </w:tcPr>
          <w:p w14:paraId="67DD7A7D">
            <w:pPr>
              <w:keepNext w:val="0"/>
              <w:keepLines w:val="0"/>
              <w:widowControl/>
              <w:suppressLineNumbers w:val="0"/>
              <w:jc w:val="center"/>
              <w:textAlignment w:val="bottom"/>
              <w:rPr>
                <w:rFonts w:hint="default" w:ascii="Calibri" w:hAnsi="Calibri" w:cs="Calibri"/>
                <w:b/>
                <w:bCs/>
                <w:i w:val="0"/>
                <w:iCs w:val="0"/>
                <w:color w:val="000000"/>
                <w:sz w:val="24"/>
                <w:szCs w:val="24"/>
                <w:u w:val="none"/>
              </w:rPr>
            </w:pPr>
            <w:r>
              <w:rPr>
                <w:rFonts w:hint="default" w:ascii="Calibri" w:hAnsi="Calibri" w:eastAsia="SimSun" w:cs="Calibri"/>
                <w:b/>
                <w:bCs/>
                <w:i w:val="0"/>
                <w:iCs w:val="0"/>
                <w:color w:val="000000"/>
                <w:kern w:val="0"/>
                <w:sz w:val="24"/>
                <w:szCs w:val="24"/>
                <w:u w:val="none"/>
                <w:lang w:val="en-US" w:eastAsia="zh-CN" w:bidi="ar"/>
              </w:rPr>
              <w:t>DSO (days)</w:t>
            </w:r>
          </w:p>
        </w:tc>
        <w:tc>
          <w:tcPr>
            <w:tcW w:w="1875" w:type="dxa"/>
            <w:tcBorders>
              <w:top w:val="nil"/>
              <w:left w:val="nil"/>
              <w:bottom w:val="nil"/>
              <w:right w:val="nil"/>
            </w:tcBorders>
            <w:shd w:val="clear" w:color="auto" w:fill="auto"/>
            <w:vAlign w:val="bottom"/>
          </w:tcPr>
          <w:p w14:paraId="6811ADE0">
            <w:pPr>
              <w:keepNext w:val="0"/>
              <w:keepLines w:val="0"/>
              <w:widowControl/>
              <w:suppressLineNumbers w:val="0"/>
              <w:jc w:val="center"/>
              <w:textAlignment w:val="bottom"/>
              <w:rPr>
                <w:rFonts w:hint="default" w:ascii="Calibri" w:hAnsi="Calibri" w:cs="Calibri"/>
                <w:b/>
                <w:bCs/>
                <w:i w:val="0"/>
                <w:iCs w:val="0"/>
                <w:color w:val="000000"/>
                <w:sz w:val="24"/>
                <w:szCs w:val="24"/>
                <w:u w:val="none"/>
              </w:rPr>
            </w:pPr>
            <w:r>
              <w:rPr>
                <w:rFonts w:hint="default" w:ascii="Calibri" w:hAnsi="Calibri" w:eastAsia="SimSun" w:cs="Calibri"/>
                <w:b/>
                <w:bCs/>
                <w:i w:val="0"/>
                <w:iCs w:val="0"/>
                <w:color w:val="000000"/>
                <w:kern w:val="0"/>
                <w:sz w:val="24"/>
                <w:szCs w:val="24"/>
                <w:u w:val="none"/>
                <w:lang w:val="en-US" w:eastAsia="zh-CN" w:bidi="ar"/>
              </w:rPr>
              <w:t>DPO (days, est.)</w:t>
            </w:r>
          </w:p>
        </w:tc>
        <w:tc>
          <w:tcPr>
            <w:tcW w:w="1522" w:type="dxa"/>
            <w:tcBorders>
              <w:top w:val="nil"/>
              <w:left w:val="nil"/>
              <w:bottom w:val="nil"/>
              <w:right w:val="nil"/>
            </w:tcBorders>
            <w:shd w:val="clear" w:color="auto" w:fill="auto"/>
            <w:vAlign w:val="bottom"/>
          </w:tcPr>
          <w:p w14:paraId="293EAA85">
            <w:pPr>
              <w:keepNext w:val="0"/>
              <w:keepLines w:val="0"/>
              <w:widowControl/>
              <w:suppressLineNumbers w:val="0"/>
              <w:jc w:val="center"/>
              <w:textAlignment w:val="bottom"/>
              <w:rPr>
                <w:rFonts w:hint="default" w:ascii="Calibri" w:hAnsi="Calibri" w:cs="Calibri"/>
                <w:b/>
                <w:bCs/>
                <w:i w:val="0"/>
                <w:iCs w:val="0"/>
                <w:color w:val="000000"/>
                <w:sz w:val="24"/>
                <w:szCs w:val="24"/>
                <w:u w:val="none"/>
              </w:rPr>
            </w:pPr>
            <w:r>
              <w:rPr>
                <w:rFonts w:hint="default" w:ascii="Calibri" w:hAnsi="Calibri" w:eastAsia="SimSun" w:cs="Calibri"/>
                <w:b/>
                <w:bCs/>
                <w:i w:val="0"/>
                <w:iCs w:val="0"/>
                <w:color w:val="000000"/>
                <w:kern w:val="0"/>
                <w:sz w:val="24"/>
                <w:szCs w:val="24"/>
                <w:u w:val="none"/>
                <w:lang w:val="en-US" w:eastAsia="zh-CN" w:bidi="ar"/>
              </w:rPr>
              <w:t>CCC (days)</w:t>
            </w:r>
          </w:p>
        </w:tc>
      </w:tr>
      <w:tr w14:paraId="31B1977F">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300" w:hRule="atLeast"/>
        </w:trPr>
        <w:tc>
          <w:tcPr>
            <w:tcW w:w="1436" w:type="dxa"/>
            <w:tcBorders>
              <w:top w:val="nil"/>
              <w:left w:val="nil"/>
              <w:bottom w:val="nil"/>
              <w:right w:val="nil"/>
            </w:tcBorders>
            <w:shd w:val="clear" w:color="auto" w:fill="auto"/>
            <w:vAlign w:val="bottom"/>
          </w:tcPr>
          <w:p w14:paraId="652EB873">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lang w:val="en-US" w:eastAsia="zh-CN" w:bidi="ar"/>
              </w:rPr>
              <w:t>2020</w:t>
            </w:r>
          </w:p>
        </w:tc>
        <w:tc>
          <w:tcPr>
            <w:tcW w:w="1714" w:type="dxa"/>
            <w:tcBorders>
              <w:top w:val="nil"/>
              <w:left w:val="nil"/>
              <w:bottom w:val="nil"/>
              <w:right w:val="nil"/>
            </w:tcBorders>
            <w:shd w:val="clear" w:color="auto" w:fill="auto"/>
            <w:vAlign w:val="bottom"/>
          </w:tcPr>
          <w:p w14:paraId="0A9D50F5">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lang w:val="en-US" w:eastAsia="zh-CN" w:bidi="ar"/>
              </w:rPr>
              <w:t>60.1</w:t>
            </w:r>
          </w:p>
        </w:tc>
        <w:tc>
          <w:tcPr>
            <w:tcW w:w="1789" w:type="dxa"/>
            <w:tcBorders>
              <w:top w:val="nil"/>
              <w:left w:val="nil"/>
              <w:bottom w:val="nil"/>
              <w:right w:val="nil"/>
            </w:tcBorders>
            <w:shd w:val="clear" w:color="auto" w:fill="auto"/>
            <w:vAlign w:val="bottom"/>
          </w:tcPr>
          <w:p w14:paraId="550FD397">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lang w:val="en-US" w:eastAsia="zh-CN" w:bidi="ar"/>
              </w:rPr>
              <w:t>21.8</w:t>
            </w:r>
          </w:p>
        </w:tc>
        <w:tc>
          <w:tcPr>
            <w:tcW w:w="1875" w:type="dxa"/>
            <w:tcBorders>
              <w:top w:val="nil"/>
              <w:left w:val="nil"/>
              <w:bottom w:val="nil"/>
              <w:right w:val="nil"/>
            </w:tcBorders>
            <w:shd w:val="clear" w:color="auto" w:fill="auto"/>
            <w:vAlign w:val="bottom"/>
          </w:tcPr>
          <w:p w14:paraId="0E836895">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lang w:val="en-US" w:eastAsia="zh-CN" w:bidi="ar"/>
              </w:rPr>
              <w:t>104.4</w:t>
            </w:r>
          </w:p>
        </w:tc>
        <w:tc>
          <w:tcPr>
            <w:tcW w:w="1522" w:type="dxa"/>
            <w:tcBorders>
              <w:top w:val="nil"/>
              <w:left w:val="nil"/>
              <w:bottom w:val="nil"/>
              <w:right w:val="nil"/>
            </w:tcBorders>
            <w:shd w:val="clear" w:color="auto" w:fill="auto"/>
            <w:vAlign w:val="bottom"/>
          </w:tcPr>
          <w:p w14:paraId="14708CCF">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lang w:val="en-US" w:eastAsia="zh-CN" w:bidi="ar"/>
              </w:rPr>
              <w:t>−22.5</w:t>
            </w:r>
          </w:p>
        </w:tc>
      </w:tr>
      <w:tr w14:paraId="798D3512">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300" w:hRule="atLeast"/>
        </w:trPr>
        <w:tc>
          <w:tcPr>
            <w:tcW w:w="1436" w:type="dxa"/>
            <w:tcBorders>
              <w:top w:val="nil"/>
              <w:left w:val="nil"/>
              <w:bottom w:val="nil"/>
              <w:right w:val="nil"/>
            </w:tcBorders>
            <w:shd w:val="clear" w:color="auto" w:fill="auto"/>
            <w:vAlign w:val="bottom"/>
          </w:tcPr>
          <w:p w14:paraId="1ED4DEF9">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lang w:val="en-US" w:eastAsia="zh-CN" w:bidi="ar"/>
              </w:rPr>
              <w:t>2021</w:t>
            </w:r>
          </w:p>
        </w:tc>
        <w:tc>
          <w:tcPr>
            <w:tcW w:w="1714" w:type="dxa"/>
            <w:tcBorders>
              <w:top w:val="nil"/>
              <w:left w:val="nil"/>
              <w:bottom w:val="nil"/>
              <w:right w:val="nil"/>
            </w:tcBorders>
            <w:shd w:val="clear" w:color="auto" w:fill="auto"/>
            <w:vAlign w:val="bottom"/>
          </w:tcPr>
          <w:p w14:paraId="64249D42">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lang w:val="en-US" w:eastAsia="zh-CN" w:bidi="ar"/>
              </w:rPr>
              <w:t>52.2</w:t>
            </w:r>
          </w:p>
        </w:tc>
        <w:tc>
          <w:tcPr>
            <w:tcW w:w="1789" w:type="dxa"/>
            <w:tcBorders>
              <w:top w:val="nil"/>
              <w:left w:val="nil"/>
              <w:bottom w:val="nil"/>
              <w:right w:val="nil"/>
            </w:tcBorders>
            <w:shd w:val="clear" w:color="auto" w:fill="auto"/>
            <w:vAlign w:val="bottom"/>
          </w:tcPr>
          <w:p w14:paraId="43D61A0D">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lang w:val="en-US" w:eastAsia="zh-CN" w:bidi="ar"/>
              </w:rPr>
              <w:t>13</w:t>
            </w:r>
          </w:p>
        </w:tc>
        <w:tc>
          <w:tcPr>
            <w:tcW w:w="1875" w:type="dxa"/>
            <w:tcBorders>
              <w:top w:val="nil"/>
              <w:left w:val="nil"/>
              <w:bottom w:val="nil"/>
              <w:right w:val="nil"/>
            </w:tcBorders>
            <w:shd w:val="clear" w:color="auto" w:fill="auto"/>
            <w:vAlign w:val="bottom"/>
          </w:tcPr>
          <w:p w14:paraId="3AB42B06">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lang w:val="en-US" w:eastAsia="zh-CN" w:bidi="ar"/>
              </w:rPr>
              <w:t>89.4</w:t>
            </w:r>
          </w:p>
        </w:tc>
        <w:tc>
          <w:tcPr>
            <w:tcW w:w="1522" w:type="dxa"/>
            <w:tcBorders>
              <w:top w:val="nil"/>
              <w:left w:val="nil"/>
              <w:bottom w:val="nil"/>
              <w:right w:val="nil"/>
            </w:tcBorders>
            <w:shd w:val="clear" w:color="auto" w:fill="auto"/>
            <w:vAlign w:val="bottom"/>
          </w:tcPr>
          <w:p w14:paraId="629CB804">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lang w:val="en-US" w:eastAsia="zh-CN" w:bidi="ar"/>
              </w:rPr>
              <w:t>−24.2</w:t>
            </w:r>
          </w:p>
        </w:tc>
      </w:tr>
      <w:tr w14:paraId="30ECA2C5">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300" w:hRule="atLeast"/>
        </w:trPr>
        <w:tc>
          <w:tcPr>
            <w:tcW w:w="1436" w:type="dxa"/>
            <w:tcBorders>
              <w:top w:val="nil"/>
              <w:left w:val="nil"/>
              <w:bottom w:val="nil"/>
              <w:right w:val="nil"/>
            </w:tcBorders>
            <w:shd w:val="clear" w:color="auto" w:fill="auto"/>
            <w:vAlign w:val="bottom"/>
          </w:tcPr>
          <w:p w14:paraId="2F2D9581">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lang w:val="en-US" w:eastAsia="zh-CN" w:bidi="ar"/>
              </w:rPr>
              <w:t>2022</w:t>
            </w:r>
          </w:p>
        </w:tc>
        <w:tc>
          <w:tcPr>
            <w:tcW w:w="1714" w:type="dxa"/>
            <w:tcBorders>
              <w:top w:val="nil"/>
              <w:left w:val="nil"/>
              <w:bottom w:val="nil"/>
              <w:right w:val="nil"/>
            </w:tcBorders>
            <w:shd w:val="clear" w:color="auto" w:fill="auto"/>
            <w:vAlign w:val="bottom"/>
          </w:tcPr>
          <w:p w14:paraId="7E69633F">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lang w:val="en-US" w:eastAsia="zh-CN" w:bidi="ar"/>
              </w:rPr>
              <w:t>77.3</w:t>
            </w:r>
          </w:p>
        </w:tc>
        <w:tc>
          <w:tcPr>
            <w:tcW w:w="1789" w:type="dxa"/>
            <w:tcBorders>
              <w:top w:val="nil"/>
              <w:left w:val="nil"/>
              <w:bottom w:val="nil"/>
              <w:right w:val="nil"/>
            </w:tcBorders>
            <w:shd w:val="clear" w:color="auto" w:fill="auto"/>
            <w:vAlign w:val="bottom"/>
          </w:tcPr>
          <w:p w14:paraId="6639E4A9">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lang w:val="en-US" w:eastAsia="zh-CN" w:bidi="ar"/>
              </w:rPr>
              <w:t>13.2</w:t>
            </w:r>
          </w:p>
        </w:tc>
        <w:tc>
          <w:tcPr>
            <w:tcW w:w="1875" w:type="dxa"/>
            <w:tcBorders>
              <w:top w:val="nil"/>
              <w:left w:val="nil"/>
              <w:bottom w:val="nil"/>
              <w:right w:val="nil"/>
            </w:tcBorders>
            <w:shd w:val="clear" w:color="auto" w:fill="auto"/>
            <w:vAlign w:val="bottom"/>
          </w:tcPr>
          <w:p w14:paraId="696CF4C6">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lang w:val="en-US" w:eastAsia="zh-CN" w:bidi="ar"/>
              </w:rPr>
              <w:t>80.4</w:t>
            </w:r>
          </w:p>
        </w:tc>
        <w:tc>
          <w:tcPr>
            <w:tcW w:w="1522" w:type="dxa"/>
            <w:tcBorders>
              <w:top w:val="nil"/>
              <w:left w:val="nil"/>
              <w:bottom w:val="nil"/>
              <w:right w:val="nil"/>
            </w:tcBorders>
            <w:shd w:val="clear" w:color="auto" w:fill="auto"/>
            <w:vAlign w:val="bottom"/>
          </w:tcPr>
          <w:p w14:paraId="2DF51A46">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lang w:val="en-US" w:eastAsia="zh-CN" w:bidi="ar"/>
              </w:rPr>
              <w:t>10.1</w:t>
            </w:r>
          </w:p>
        </w:tc>
      </w:tr>
      <w:tr w14:paraId="657FBAA5">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300" w:hRule="atLeast"/>
        </w:trPr>
        <w:tc>
          <w:tcPr>
            <w:tcW w:w="1436" w:type="dxa"/>
            <w:tcBorders>
              <w:top w:val="nil"/>
              <w:left w:val="nil"/>
              <w:bottom w:val="nil"/>
              <w:right w:val="nil"/>
            </w:tcBorders>
            <w:shd w:val="clear" w:color="auto" w:fill="auto"/>
            <w:vAlign w:val="bottom"/>
          </w:tcPr>
          <w:p w14:paraId="044BA508">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lang w:val="en-US" w:eastAsia="zh-CN" w:bidi="ar"/>
              </w:rPr>
              <w:t>2023</w:t>
            </w:r>
          </w:p>
        </w:tc>
        <w:tc>
          <w:tcPr>
            <w:tcW w:w="1714" w:type="dxa"/>
            <w:tcBorders>
              <w:top w:val="nil"/>
              <w:left w:val="nil"/>
              <w:bottom w:val="nil"/>
              <w:right w:val="nil"/>
            </w:tcBorders>
            <w:shd w:val="clear" w:color="auto" w:fill="auto"/>
            <w:vAlign w:val="bottom"/>
          </w:tcPr>
          <w:p w14:paraId="3D085E61">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lang w:val="en-US" w:eastAsia="zh-CN" w:bidi="ar"/>
              </w:rPr>
              <w:t>62.9</w:t>
            </w:r>
          </w:p>
        </w:tc>
        <w:tc>
          <w:tcPr>
            <w:tcW w:w="1789" w:type="dxa"/>
            <w:tcBorders>
              <w:top w:val="nil"/>
              <w:left w:val="nil"/>
              <w:bottom w:val="nil"/>
              <w:right w:val="nil"/>
            </w:tcBorders>
            <w:shd w:val="clear" w:color="auto" w:fill="auto"/>
            <w:vAlign w:val="bottom"/>
          </w:tcPr>
          <w:p w14:paraId="63CB2F7B">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lang w:val="en-US" w:eastAsia="zh-CN" w:bidi="ar"/>
              </w:rPr>
              <w:t>13.2</w:t>
            </w:r>
          </w:p>
        </w:tc>
        <w:tc>
          <w:tcPr>
            <w:tcW w:w="1875" w:type="dxa"/>
            <w:tcBorders>
              <w:top w:val="nil"/>
              <w:left w:val="nil"/>
              <w:bottom w:val="nil"/>
              <w:right w:val="nil"/>
            </w:tcBorders>
            <w:shd w:val="clear" w:color="auto" w:fill="auto"/>
            <w:vAlign w:val="bottom"/>
          </w:tcPr>
          <w:p w14:paraId="6765C871">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lang w:val="en-US" w:eastAsia="zh-CN" w:bidi="ar"/>
              </w:rPr>
              <w:t>66.3</w:t>
            </w:r>
          </w:p>
        </w:tc>
        <w:tc>
          <w:tcPr>
            <w:tcW w:w="1522" w:type="dxa"/>
            <w:tcBorders>
              <w:top w:val="nil"/>
              <w:left w:val="nil"/>
              <w:bottom w:val="nil"/>
              <w:right w:val="nil"/>
            </w:tcBorders>
            <w:shd w:val="clear" w:color="auto" w:fill="auto"/>
            <w:vAlign w:val="bottom"/>
          </w:tcPr>
          <w:p w14:paraId="023EE7BC">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lang w:val="en-US" w:eastAsia="zh-CN" w:bidi="ar"/>
              </w:rPr>
              <w:t>9.8</w:t>
            </w:r>
          </w:p>
        </w:tc>
      </w:tr>
      <w:tr w14:paraId="07C62D34">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300" w:hRule="atLeast"/>
        </w:trPr>
        <w:tc>
          <w:tcPr>
            <w:tcW w:w="1436" w:type="dxa"/>
            <w:tcBorders>
              <w:top w:val="nil"/>
              <w:left w:val="nil"/>
              <w:bottom w:val="nil"/>
              <w:right w:val="nil"/>
            </w:tcBorders>
            <w:shd w:val="clear" w:color="auto" w:fill="auto"/>
            <w:vAlign w:val="bottom"/>
          </w:tcPr>
          <w:p w14:paraId="3328CAA1">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lang w:val="en-US" w:eastAsia="zh-CN" w:bidi="ar"/>
              </w:rPr>
              <w:t>2024</w:t>
            </w:r>
          </w:p>
        </w:tc>
        <w:tc>
          <w:tcPr>
            <w:tcW w:w="1714" w:type="dxa"/>
            <w:tcBorders>
              <w:top w:val="nil"/>
              <w:left w:val="nil"/>
              <w:bottom w:val="nil"/>
              <w:right w:val="nil"/>
            </w:tcBorders>
            <w:shd w:val="clear" w:color="auto" w:fill="auto"/>
            <w:vAlign w:val="bottom"/>
          </w:tcPr>
          <w:p w14:paraId="775B401D">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lang w:val="en-US" w:eastAsia="zh-CN" w:bidi="ar"/>
              </w:rPr>
              <w:t>54.7</w:t>
            </w:r>
          </w:p>
        </w:tc>
        <w:tc>
          <w:tcPr>
            <w:tcW w:w="1789" w:type="dxa"/>
            <w:tcBorders>
              <w:top w:val="nil"/>
              <w:left w:val="nil"/>
              <w:bottom w:val="nil"/>
              <w:right w:val="nil"/>
            </w:tcBorders>
            <w:shd w:val="clear" w:color="auto" w:fill="auto"/>
            <w:vAlign w:val="bottom"/>
          </w:tcPr>
          <w:p w14:paraId="13B268D3">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lang w:val="en-US" w:eastAsia="zh-CN" w:bidi="ar"/>
              </w:rPr>
              <w:t>16.5</w:t>
            </w:r>
          </w:p>
        </w:tc>
        <w:tc>
          <w:tcPr>
            <w:tcW w:w="1875" w:type="dxa"/>
            <w:tcBorders>
              <w:top w:val="nil"/>
              <w:left w:val="nil"/>
              <w:bottom w:val="nil"/>
              <w:right w:val="nil"/>
            </w:tcBorders>
            <w:shd w:val="clear" w:color="auto" w:fill="auto"/>
            <w:vAlign w:val="bottom"/>
          </w:tcPr>
          <w:p w14:paraId="228D7ACF">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lang w:val="en-US" w:eastAsia="zh-CN" w:bidi="ar"/>
              </w:rPr>
              <w:t>65.6</w:t>
            </w:r>
          </w:p>
        </w:tc>
        <w:tc>
          <w:tcPr>
            <w:tcW w:w="1522" w:type="dxa"/>
            <w:tcBorders>
              <w:top w:val="nil"/>
              <w:left w:val="nil"/>
              <w:bottom w:val="nil"/>
              <w:right w:val="nil"/>
            </w:tcBorders>
            <w:shd w:val="clear" w:color="auto" w:fill="auto"/>
            <w:vAlign w:val="bottom"/>
          </w:tcPr>
          <w:p w14:paraId="1950EADD">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lang w:val="en-US" w:eastAsia="zh-CN" w:bidi="ar"/>
              </w:rPr>
              <w:t>5.6</w:t>
            </w:r>
          </w:p>
        </w:tc>
      </w:tr>
    </w:tbl>
    <w:p w14:paraId="03946ABB">
      <w:pPr>
        <w:numPr>
          <w:ilvl w:val="0"/>
          <w:numId w:val="0"/>
        </w:numPr>
        <w:ind w:leftChars="0"/>
        <w:jc w:val="both"/>
        <w:rPr>
          <w:rFonts w:hint="default" w:ascii="Calibri" w:hAnsi="Calibri" w:eastAsia="SimSun" w:cs="Calibri"/>
          <w:i w:val="0"/>
          <w:iCs w:val="0"/>
          <w:color w:val="000000"/>
          <w:kern w:val="0"/>
          <w:sz w:val="24"/>
          <w:szCs w:val="24"/>
          <w:u w:val="none"/>
          <w:lang w:val="en-GB" w:eastAsia="zh-CN" w:bidi="ar"/>
        </w:rPr>
      </w:pPr>
    </w:p>
    <w:p w14:paraId="73326E7B">
      <w:pPr>
        <w:numPr>
          <w:ilvl w:val="0"/>
          <w:numId w:val="0"/>
        </w:numPr>
        <w:jc w:val="both"/>
        <w:rPr>
          <w:rFonts w:hint="default" w:ascii="Calibri" w:hAnsi="Calibri" w:eastAsia="SimSun" w:cs="Calibri"/>
          <w:i w:val="0"/>
          <w:iCs w:val="0"/>
          <w:color w:val="000000"/>
          <w:kern w:val="0"/>
          <w:sz w:val="24"/>
          <w:szCs w:val="24"/>
          <w:u w:val="none"/>
          <w:lang w:val="en-US" w:eastAsia="zh-CN" w:bidi="ar"/>
        </w:rPr>
      </w:pPr>
      <w:r>
        <w:rPr>
          <w:rFonts w:hint="default" w:ascii="Calibri" w:hAnsi="Calibri" w:eastAsia="SimSun" w:cs="Calibri"/>
          <w:i w:val="0"/>
          <w:iCs w:val="0"/>
          <w:color w:val="000000"/>
          <w:kern w:val="0"/>
          <w:sz w:val="24"/>
          <w:szCs w:val="24"/>
          <w:u w:val="none"/>
          <w:lang w:val="en-GB" w:eastAsia="zh-CN" w:bidi="ar"/>
        </w:rPr>
        <w:t>Note:</w:t>
      </w:r>
      <w:r>
        <w:rPr>
          <w:rFonts w:hint="default" w:ascii="Calibri" w:hAnsi="Calibri" w:eastAsia="SimSun" w:cs="Calibri"/>
          <w:i w:val="0"/>
          <w:iCs w:val="0"/>
          <w:color w:val="000000"/>
          <w:kern w:val="0"/>
          <w:sz w:val="24"/>
          <w:szCs w:val="24"/>
          <w:u w:val="none"/>
          <w:lang w:val="en-US" w:eastAsia="zh-CN" w:bidi="ar"/>
        </w:rPr>
        <w:t xml:space="preserve"> DPO is calculated based on current liabilities as a proxy for accounts payable as per the available data disclosed by Tesla.</w:t>
      </w:r>
    </w:p>
    <w:p w14:paraId="261F7687">
      <w:pPr>
        <w:numPr>
          <w:ilvl w:val="0"/>
          <w:numId w:val="0"/>
        </w:numPr>
        <w:jc w:val="both"/>
        <w:rPr>
          <w:rFonts w:hint="default" w:ascii="Calibri" w:hAnsi="Calibri" w:eastAsia="SimSun" w:cs="Calibri"/>
          <w:i w:val="0"/>
          <w:iCs w:val="0"/>
          <w:color w:val="000000"/>
          <w:kern w:val="0"/>
          <w:sz w:val="24"/>
          <w:szCs w:val="24"/>
          <w:u w:val="none"/>
          <w:lang w:val="en-US" w:eastAsia="zh-CN" w:bidi="ar"/>
        </w:rPr>
      </w:pPr>
    </w:p>
    <w:p w14:paraId="6D33C10E">
      <w:pPr>
        <w:numPr>
          <w:ilvl w:val="0"/>
          <w:numId w:val="0"/>
        </w:numPr>
        <w:jc w:val="both"/>
        <w:rPr>
          <w:rFonts w:hint="default" w:ascii="Calibri" w:hAnsi="Calibri" w:eastAsia="SimSun" w:cs="Calibri"/>
          <w:i w:val="0"/>
          <w:iCs w:val="0"/>
          <w:color w:val="000000"/>
          <w:kern w:val="0"/>
          <w:sz w:val="24"/>
          <w:szCs w:val="24"/>
          <w:u w:val="none"/>
          <w:lang w:val="en-US" w:eastAsia="zh-CN" w:bidi="ar"/>
        </w:rPr>
      </w:pPr>
      <w:r>
        <w:rPr>
          <w:rFonts w:hint="default" w:ascii="Calibri" w:hAnsi="Calibri" w:eastAsia="SimSun" w:cs="Calibri"/>
          <w:i w:val="0"/>
          <w:iCs w:val="0"/>
          <w:color w:val="000000"/>
          <w:kern w:val="0"/>
          <w:sz w:val="24"/>
          <w:szCs w:val="24"/>
          <w:u w:val="none"/>
          <w:lang w:val="en-US" w:eastAsia="zh-CN" w:bidi="ar"/>
        </w:rPr>
        <w:t>Tesla's CCC was highly negative during the period 2020-2021 (22 to 24 days). This indicated that Tesla received cash payments from its customers well before it had to make payments to its suppliers. This represented a highly desirable working capital structure that was linked to periods of high demand and pricing power (Bragg, 2022). But during the year 2022, Tesla's CCC became positive and was +10.1 days as its inventory increased sharply owing to disruptions in its supply chain, construction of new Gigafactories (Berlin and Texas) and reduced demand due to price cuts by Tesla (Tesla Annual Report, 2022). During the year 2024, DIO fell to 54.7 days, and its CCC declined to +5.6 days.</w:t>
      </w:r>
    </w:p>
    <w:p w14:paraId="22BB3C9F">
      <w:pPr>
        <w:numPr>
          <w:ilvl w:val="0"/>
          <w:numId w:val="0"/>
        </w:numPr>
        <w:jc w:val="both"/>
        <w:rPr>
          <w:rFonts w:hint="default" w:ascii="Calibri" w:hAnsi="Calibri" w:eastAsia="SimSun" w:cs="Calibri"/>
          <w:i w:val="0"/>
          <w:iCs w:val="0"/>
          <w:color w:val="000000"/>
          <w:kern w:val="0"/>
          <w:sz w:val="24"/>
          <w:szCs w:val="24"/>
          <w:u w:val="none"/>
          <w:lang w:val="en-US" w:eastAsia="zh-CN" w:bidi="ar"/>
        </w:rPr>
      </w:pPr>
    </w:p>
    <w:p w14:paraId="4EB4FB3B">
      <w:pPr>
        <w:numPr>
          <w:ilvl w:val="0"/>
          <w:numId w:val="0"/>
        </w:numPr>
        <w:jc w:val="both"/>
        <w:rPr>
          <w:rFonts w:hint="default" w:ascii="Calibri" w:hAnsi="Calibri" w:eastAsia="SimSun" w:cs="Calibri"/>
          <w:i w:val="0"/>
          <w:iCs w:val="0"/>
          <w:color w:val="000000"/>
          <w:kern w:val="0"/>
          <w:sz w:val="24"/>
          <w:szCs w:val="24"/>
          <w:u w:val="none"/>
          <w:lang w:val="en-US" w:eastAsia="zh-CN" w:bidi="ar"/>
        </w:rPr>
      </w:pPr>
      <w:r>
        <w:rPr>
          <w:rFonts w:hint="default" w:ascii="Calibri" w:hAnsi="Calibri" w:eastAsia="SimSun" w:cs="Calibri"/>
          <w:i w:val="0"/>
          <w:iCs w:val="0"/>
          <w:color w:val="000000"/>
          <w:kern w:val="0"/>
          <w:sz w:val="24"/>
          <w:szCs w:val="24"/>
          <w:u w:val="none"/>
          <w:lang w:val="en-US" w:eastAsia="zh-CN" w:bidi="ar"/>
        </w:rPr>
        <w:t>The days sales outstanding were consistently low and fairly stable during the period (ranging from 13 to 17 days), reflecting the company's direct-to-customer selling strategy, where Tesla does not utilize the standard credit terms provided by dealerships, rather the payments are collected immediately at the point of sale or delivery (Arnold, 2020). This is one of the advantages that Tesla holds over other established car manufacturers. The trend in DPO, however, is falling from about 104 days in 2020 to approximately 66 days in 2024, and this should be monitored for any underlying reasons.</w:t>
      </w:r>
    </w:p>
    <w:p w14:paraId="167CFC5C">
      <w:pPr>
        <w:numPr>
          <w:ilvl w:val="0"/>
          <w:numId w:val="0"/>
        </w:numPr>
        <w:jc w:val="both"/>
        <w:rPr>
          <w:rFonts w:hint="default" w:ascii="Calibri" w:hAnsi="Calibri" w:eastAsia="SimSun" w:cs="Calibri"/>
          <w:i w:val="0"/>
          <w:iCs w:val="0"/>
          <w:color w:val="000000"/>
          <w:kern w:val="0"/>
          <w:sz w:val="24"/>
          <w:szCs w:val="24"/>
          <w:u w:val="none"/>
          <w:lang w:val="en-US" w:eastAsia="zh-CN" w:bidi="ar"/>
        </w:rPr>
      </w:pPr>
    </w:p>
    <w:p w14:paraId="797BC909">
      <w:pPr>
        <w:numPr>
          <w:ilvl w:val="0"/>
          <w:numId w:val="0"/>
        </w:numPr>
        <w:jc w:val="both"/>
        <w:rPr>
          <w:rFonts w:hint="default" w:ascii="Calibri" w:hAnsi="Calibri" w:eastAsia="SimSun" w:cs="Calibri"/>
          <w:i w:val="0"/>
          <w:iCs w:val="0"/>
          <w:color w:val="000000"/>
          <w:kern w:val="0"/>
          <w:sz w:val="24"/>
          <w:szCs w:val="24"/>
          <w:u w:val="none"/>
          <w:lang w:val="en-GB" w:eastAsia="zh-CN" w:bidi="ar"/>
        </w:rPr>
      </w:pPr>
      <w:r>
        <w:rPr>
          <w:rFonts w:hint="default" w:ascii="Calibri" w:hAnsi="Calibri" w:eastAsia="SimSun" w:cs="Calibri"/>
          <w:i w:val="0"/>
          <w:iCs w:val="0"/>
          <w:color w:val="000000"/>
          <w:kern w:val="0"/>
          <w:sz w:val="24"/>
          <w:szCs w:val="24"/>
          <w:u w:val="none"/>
          <w:lang w:val="en-US" w:eastAsia="zh-CN" w:bidi="ar"/>
        </w:rPr>
        <w:t>The current ratio increased gradually from 1.88 in 2020 to 2.02 in 2024, comfortably crossing the suggested range of 1.5-2.0 (Atrill and McLaney, 2021), thereby reflecting sufficient liquidity. The company held cash reserves amounting to $19.4bn in 2020 but managed to increase that figure to $36.6bn by 2024, which is indicative of good liquidity position. However, with increasing inventories and declining margin levels during 2022-20</w:t>
      </w:r>
      <w:r>
        <w:rPr>
          <w:rFonts w:hint="default" w:ascii="Calibri" w:hAnsi="Calibri" w:eastAsia="SimSun" w:cs="Calibri"/>
          <w:i w:val="0"/>
          <w:iCs w:val="0"/>
          <w:color w:val="000000"/>
          <w:kern w:val="0"/>
          <w:sz w:val="24"/>
          <w:szCs w:val="24"/>
          <w:u w:val="none"/>
          <w:lang w:val="en-GB" w:eastAsia="zh-CN" w:bidi="ar"/>
        </w:rPr>
        <w:t>.</w:t>
      </w:r>
    </w:p>
    <w:p w14:paraId="526DC4FD">
      <w:pPr>
        <w:pStyle w:val="3"/>
        <w:bidi w:val="0"/>
        <w:rPr>
          <w:rFonts w:hint="default" w:ascii="Calibri" w:hAnsi="Calibri" w:eastAsia="SimSun" w:cs="Calibri"/>
          <w:i w:val="0"/>
          <w:iCs w:val="0"/>
          <w:color w:val="000000"/>
          <w:kern w:val="0"/>
          <w:sz w:val="24"/>
          <w:szCs w:val="24"/>
          <w:u w:val="none"/>
          <w:lang w:val="en-GB" w:eastAsia="zh-CN" w:bidi="ar"/>
        </w:rPr>
      </w:pPr>
      <w:bookmarkStart w:id="103" w:name="_Toc6162"/>
      <w:bookmarkStart w:id="104" w:name="_Toc4152"/>
      <w:bookmarkStart w:id="105" w:name="_Toc5752"/>
      <w:r>
        <w:rPr>
          <w:rFonts w:hint="default" w:ascii="Calibri" w:hAnsi="Calibri" w:cs="Calibri"/>
          <w:sz w:val="24"/>
          <w:szCs w:val="24"/>
          <w:lang w:val="en-GB" w:eastAsia="zh-CN"/>
        </w:rPr>
        <w:t>3.2 Strategies to Improve Liquidity Through Working Capital Reforms</w:t>
      </w:r>
      <w:bookmarkEnd w:id="103"/>
      <w:bookmarkEnd w:id="104"/>
      <w:bookmarkEnd w:id="105"/>
    </w:p>
    <w:p w14:paraId="78182610">
      <w:pPr>
        <w:numPr>
          <w:ilvl w:val="0"/>
          <w:numId w:val="0"/>
        </w:numPr>
        <w:ind w:leftChars="0"/>
        <w:jc w:val="both"/>
        <w:rPr>
          <w:rFonts w:hint="default" w:ascii="Calibri" w:hAnsi="Calibri" w:eastAsia="SimSun" w:cs="Calibri"/>
          <w:i w:val="0"/>
          <w:iCs w:val="0"/>
          <w:color w:val="000000"/>
          <w:kern w:val="0"/>
          <w:sz w:val="24"/>
          <w:szCs w:val="24"/>
          <w:u w:val="none"/>
          <w:lang w:val="en-GB" w:eastAsia="zh-CN" w:bidi="ar"/>
        </w:rPr>
      </w:pPr>
      <w:r>
        <w:rPr>
          <w:rFonts w:hint="default" w:ascii="Calibri" w:hAnsi="Calibri" w:eastAsia="SimSun" w:cs="Calibri"/>
          <w:i w:val="0"/>
          <w:iCs w:val="0"/>
          <w:color w:val="000000"/>
          <w:kern w:val="0"/>
          <w:sz w:val="24"/>
          <w:szCs w:val="24"/>
          <w:u w:val="none"/>
          <w:lang w:val="en-GB" w:eastAsia="zh-CN" w:bidi="ar"/>
        </w:rPr>
        <w:t>Based on the CCC analysis, there are three priority areas for improving working capital:</w:t>
      </w:r>
    </w:p>
    <w:p w14:paraId="6F25EF86">
      <w:pPr>
        <w:numPr>
          <w:ilvl w:val="0"/>
          <w:numId w:val="0"/>
        </w:numPr>
        <w:ind w:leftChars="0"/>
        <w:jc w:val="both"/>
        <w:rPr>
          <w:rFonts w:hint="default" w:ascii="Calibri" w:hAnsi="Calibri" w:eastAsia="SimSun" w:cs="Calibri"/>
          <w:i w:val="0"/>
          <w:iCs w:val="0"/>
          <w:color w:val="000000"/>
          <w:kern w:val="0"/>
          <w:sz w:val="24"/>
          <w:szCs w:val="24"/>
          <w:u w:val="none"/>
          <w:lang w:val="en-GB" w:eastAsia="zh-CN" w:bidi="ar"/>
        </w:rPr>
      </w:pPr>
    </w:p>
    <w:p w14:paraId="0B6D28C0">
      <w:pPr>
        <w:numPr>
          <w:ilvl w:val="0"/>
          <w:numId w:val="0"/>
        </w:numPr>
        <w:ind w:leftChars="0"/>
        <w:jc w:val="both"/>
        <w:rPr>
          <w:rFonts w:hint="default" w:ascii="Calibri" w:hAnsi="Calibri" w:eastAsia="SimSun" w:cs="Calibri"/>
          <w:i w:val="0"/>
          <w:iCs w:val="0"/>
          <w:color w:val="000000"/>
          <w:kern w:val="0"/>
          <w:sz w:val="24"/>
          <w:szCs w:val="24"/>
          <w:u w:val="none"/>
          <w:lang w:val="en-GB" w:eastAsia="zh-CN" w:bidi="ar"/>
        </w:rPr>
      </w:pPr>
      <w:r>
        <w:rPr>
          <w:rFonts w:hint="default" w:ascii="Calibri" w:hAnsi="Calibri" w:eastAsia="SimSun" w:cs="Calibri"/>
          <w:i w:val="0"/>
          <w:iCs w:val="0"/>
          <w:color w:val="000000"/>
          <w:kern w:val="0"/>
          <w:sz w:val="24"/>
          <w:szCs w:val="24"/>
          <w:u w:val="none"/>
          <w:lang w:val="en-GB" w:eastAsia="zh-CN" w:bidi="ar"/>
        </w:rPr>
        <w:t>Inventory Optimization. The highest working capital risk is associated with inventory management. The days in inventory reached a peak of 77.3 days in 2022 but has declined to 54.7 days in 2024, which still represents higher than the company's own benchmark of 52.2 days in 2021. Tesla should use demand-based production scheduling by using internal manufacturing data, along with artificial intelligence techniques to forecast the demand and plan accordingly (Chopra and Meindl, 2016). The just-in-time (JIT) concept, which is currently partially followed by Tesla in its gigafactories, should be applied at all levels of production facilities. Moreover, the company can increase its effort towards vertical integration by developing components, especially batteries, internally in order to minimize the need for external suppliers.</w:t>
      </w:r>
    </w:p>
    <w:p w14:paraId="7832545C">
      <w:pPr>
        <w:numPr>
          <w:ilvl w:val="0"/>
          <w:numId w:val="0"/>
        </w:numPr>
        <w:ind w:leftChars="0"/>
        <w:jc w:val="both"/>
        <w:rPr>
          <w:rFonts w:hint="default" w:ascii="Calibri" w:hAnsi="Calibri" w:eastAsia="SimSun" w:cs="Calibri"/>
          <w:i w:val="0"/>
          <w:iCs w:val="0"/>
          <w:color w:val="000000"/>
          <w:kern w:val="0"/>
          <w:sz w:val="24"/>
          <w:szCs w:val="24"/>
          <w:u w:val="none"/>
          <w:lang w:val="en-GB" w:eastAsia="zh-CN" w:bidi="ar"/>
        </w:rPr>
      </w:pPr>
    </w:p>
    <w:p w14:paraId="49CBDF03">
      <w:pPr>
        <w:numPr>
          <w:ilvl w:val="0"/>
          <w:numId w:val="0"/>
        </w:numPr>
        <w:ind w:leftChars="0"/>
        <w:jc w:val="both"/>
        <w:rPr>
          <w:rFonts w:hint="default" w:ascii="Calibri" w:hAnsi="Calibri" w:eastAsia="SimSun" w:cs="Calibri"/>
          <w:i w:val="0"/>
          <w:iCs w:val="0"/>
          <w:color w:val="000000"/>
          <w:kern w:val="0"/>
          <w:sz w:val="24"/>
          <w:szCs w:val="24"/>
          <w:u w:val="none"/>
          <w:lang w:val="en-GB" w:eastAsia="zh-CN" w:bidi="ar"/>
        </w:rPr>
      </w:pPr>
      <w:r>
        <w:rPr>
          <w:rFonts w:hint="default" w:ascii="Calibri" w:hAnsi="Calibri" w:eastAsia="SimSun" w:cs="Calibri"/>
          <w:i w:val="0"/>
          <w:iCs w:val="0"/>
          <w:color w:val="000000"/>
          <w:kern w:val="0"/>
          <w:sz w:val="24"/>
          <w:szCs w:val="24"/>
          <w:u w:val="none"/>
          <w:lang w:val="en-GB" w:eastAsia="zh-CN" w:bidi="ar"/>
        </w:rPr>
        <w:t>Management of Accounts Receivable. Though Tesla has achieved relatively low DSO of 16.5 days in 2024, there was some slight increase in its level since its bottom level reached approximately 13 days back in 2022-2023. Due to increased sales activities by Tesla in terms of growing its fleets and sales to business partners, the accounts receivables may become a concern. The firm needs to devise incentives for early payments on behalf of business clients and strict credit management for them.</w:t>
      </w:r>
    </w:p>
    <w:p w14:paraId="318F7539">
      <w:pPr>
        <w:numPr>
          <w:ilvl w:val="0"/>
          <w:numId w:val="0"/>
        </w:numPr>
        <w:ind w:leftChars="0"/>
        <w:jc w:val="both"/>
        <w:rPr>
          <w:rFonts w:hint="default" w:ascii="Calibri" w:hAnsi="Calibri" w:eastAsia="SimSun" w:cs="Calibri"/>
          <w:i w:val="0"/>
          <w:iCs w:val="0"/>
          <w:color w:val="000000"/>
          <w:kern w:val="0"/>
          <w:sz w:val="24"/>
          <w:szCs w:val="24"/>
          <w:u w:val="none"/>
          <w:lang w:val="en-GB" w:eastAsia="zh-CN" w:bidi="ar"/>
        </w:rPr>
      </w:pPr>
    </w:p>
    <w:p w14:paraId="18770B0D">
      <w:pPr>
        <w:numPr>
          <w:ilvl w:val="0"/>
          <w:numId w:val="0"/>
        </w:numPr>
        <w:ind w:leftChars="0"/>
        <w:jc w:val="both"/>
        <w:rPr>
          <w:rFonts w:hint="default" w:ascii="Calibri" w:hAnsi="Calibri" w:eastAsia="SimSun" w:cs="Calibri"/>
          <w:i w:val="0"/>
          <w:iCs w:val="0"/>
          <w:color w:val="000000"/>
          <w:kern w:val="0"/>
          <w:sz w:val="24"/>
          <w:szCs w:val="24"/>
          <w:u w:val="none"/>
          <w:lang w:val="en-GB" w:eastAsia="zh-CN" w:bidi="ar"/>
        </w:rPr>
      </w:pPr>
      <w:r>
        <w:rPr>
          <w:rFonts w:hint="default" w:ascii="Calibri" w:hAnsi="Calibri" w:eastAsia="SimSun" w:cs="Calibri"/>
          <w:i w:val="0"/>
          <w:iCs w:val="0"/>
          <w:color w:val="000000"/>
          <w:kern w:val="0"/>
          <w:sz w:val="24"/>
          <w:szCs w:val="24"/>
          <w:u w:val="none"/>
          <w:lang w:val="en-GB" w:eastAsia="zh-CN" w:bidi="ar"/>
        </w:rPr>
        <w:t>Supplier Payment Terms (DPO). The falling trend in DPO is a loss of financing opportunities. Tesla must negotiate with its suppliers and push for longer supplier payment terms, especially from tier-2 and tier-3 suppliers since they will be easier to negotiate with. The company can introduce a supply chain financing program (reverse factoring) such that the supplier gets paid early by the bank but Tesla pays late – an approach widely used by leading companies (Pike and Neale, 2015).</w:t>
      </w:r>
    </w:p>
    <w:p w14:paraId="32D95B1C">
      <w:pPr>
        <w:pStyle w:val="3"/>
        <w:bidi w:val="0"/>
        <w:rPr>
          <w:rFonts w:hint="default" w:ascii="Calibri" w:hAnsi="Calibri" w:eastAsia="SimSun" w:cs="Calibri"/>
          <w:i w:val="0"/>
          <w:iCs w:val="0"/>
          <w:color w:val="000000"/>
          <w:kern w:val="0"/>
          <w:sz w:val="24"/>
          <w:szCs w:val="24"/>
          <w:u w:val="none"/>
          <w:lang w:val="en-GB" w:eastAsia="zh-CN" w:bidi="ar"/>
        </w:rPr>
      </w:pPr>
      <w:bookmarkStart w:id="106" w:name="_Toc5775"/>
      <w:bookmarkStart w:id="107" w:name="_Toc15563"/>
      <w:bookmarkStart w:id="108" w:name="_Toc3645"/>
      <w:r>
        <w:rPr>
          <w:rFonts w:hint="default" w:ascii="Calibri" w:hAnsi="Calibri" w:cs="Calibri"/>
          <w:sz w:val="24"/>
          <w:szCs w:val="24"/>
          <w:lang w:val="en-GB" w:eastAsia="zh-CN"/>
        </w:rPr>
        <w:t>3.3 Comparison of Short-Term vs Long-Term Financing Options</w:t>
      </w:r>
      <w:bookmarkEnd w:id="106"/>
      <w:bookmarkEnd w:id="107"/>
      <w:bookmarkEnd w:id="108"/>
    </w:p>
    <w:p w14:paraId="61804323">
      <w:pPr>
        <w:numPr>
          <w:ilvl w:val="0"/>
          <w:numId w:val="0"/>
        </w:numPr>
        <w:jc w:val="both"/>
        <w:rPr>
          <w:rFonts w:hint="default" w:ascii="Calibri" w:hAnsi="Calibri" w:eastAsia="SimSun" w:cs="Calibri"/>
          <w:i w:val="0"/>
          <w:iCs w:val="0"/>
          <w:color w:val="000000"/>
          <w:kern w:val="0"/>
          <w:sz w:val="24"/>
          <w:szCs w:val="24"/>
          <w:u w:val="none"/>
          <w:lang w:val="en-GB" w:eastAsia="zh-CN" w:bidi="ar"/>
        </w:rPr>
      </w:pPr>
      <w:r>
        <w:rPr>
          <w:rFonts w:hint="default" w:ascii="Calibri" w:hAnsi="Calibri" w:eastAsia="SimSun" w:cs="Calibri"/>
          <w:i w:val="0"/>
          <w:iCs w:val="0"/>
          <w:color w:val="000000"/>
          <w:kern w:val="0"/>
          <w:sz w:val="24"/>
          <w:szCs w:val="24"/>
          <w:u w:val="none"/>
          <w:lang w:val="en-GB" w:eastAsia="zh-CN" w:bidi="ar"/>
        </w:rPr>
        <w:t>For Tesla, financing decisions should take into consideration the trade-off between short-term financial tools' flexibility and long-term funds' stability, especially because Tesla is highly capital intensive.</w:t>
      </w:r>
    </w:p>
    <w:p w14:paraId="3FD0D334">
      <w:pPr>
        <w:numPr>
          <w:ilvl w:val="0"/>
          <w:numId w:val="0"/>
        </w:numPr>
        <w:jc w:val="both"/>
        <w:rPr>
          <w:rFonts w:hint="default" w:ascii="Calibri" w:hAnsi="Calibri" w:eastAsia="SimSun" w:cs="Calibri"/>
          <w:i w:val="0"/>
          <w:iCs w:val="0"/>
          <w:color w:val="000000"/>
          <w:kern w:val="0"/>
          <w:sz w:val="24"/>
          <w:szCs w:val="24"/>
          <w:u w:val="none"/>
          <w:lang w:val="en-GB" w:eastAsia="zh-CN" w:bidi="ar"/>
        </w:rPr>
      </w:pPr>
    </w:p>
    <w:p w14:paraId="11105BD7">
      <w:pPr>
        <w:numPr>
          <w:ilvl w:val="0"/>
          <w:numId w:val="0"/>
        </w:numPr>
        <w:jc w:val="both"/>
        <w:rPr>
          <w:rFonts w:hint="default" w:ascii="Calibri" w:hAnsi="Calibri" w:eastAsia="SimSun" w:cs="Calibri"/>
          <w:i w:val="0"/>
          <w:iCs w:val="0"/>
          <w:color w:val="000000"/>
          <w:kern w:val="0"/>
          <w:sz w:val="24"/>
          <w:szCs w:val="24"/>
          <w:u w:val="none"/>
          <w:lang w:val="en-GB" w:eastAsia="zh-CN" w:bidi="ar"/>
        </w:rPr>
      </w:pPr>
      <w:r>
        <w:rPr>
          <w:rFonts w:hint="default" w:ascii="Calibri" w:hAnsi="Calibri" w:eastAsia="SimSun" w:cs="Calibri"/>
          <w:i w:val="0"/>
          <w:iCs w:val="0"/>
          <w:color w:val="000000"/>
          <w:kern w:val="0"/>
          <w:sz w:val="24"/>
          <w:szCs w:val="24"/>
          <w:u w:val="none"/>
          <w:lang w:val="en-GB" w:eastAsia="zh-CN" w:bidi="ar"/>
        </w:rPr>
        <w:t>Short-Term Sources of Finance involve revolving credit lines, commercial papers, and trade credit. Tesla utilizes its revolving credit line worth billions of dollars and has used trade payables as an indirect source of short-term finance. Short-term sources of finance provide lower upfront cost and more flexibility, which makes them ideal for addressing short-term requirements like those arising due to cyclical inventory management and seasonality issues. Nonetheless, there is the risk of refinancing and exposure to changes in the interest rates that can become serious when there is tight monetary policy (Berk &amp; DeMarzo, 2020). Since interest rates are currently very high in 2024-2025, dependence on short-term finance would not be prudent.</w:t>
      </w:r>
    </w:p>
    <w:p w14:paraId="100640B2">
      <w:pPr>
        <w:numPr>
          <w:ilvl w:val="0"/>
          <w:numId w:val="0"/>
        </w:numPr>
        <w:jc w:val="both"/>
        <w:rPr>
          <w:rFonts w:hint="default" w:ascii="Calibri" w:hAnsi="Calibri" w:eastAsia="SimSun" w:cs="Calibri"/>
          <w:i w:val="0"/>
          <w:iCs w:val="0"/>
          <w:color w:val="000000"/>
          <w:kern w:val="0"/>
          <w:sz w:val="24"/>
          <w:szCs w:val="24"/>
          <w:u w:val="none"/>
          <w:lang w:val="en-GB" w:eastAsia="zh-CN" w:bidi="ar"/>
        </w:rPr>
      </w:pPr>
    </w:p>
    <w:p w14:paraId="360F864C">
      <w:pPr>
        <w:numPr>
          <w:ilvl w:val="0"/>
          <w:numId w:val="0"/>
        </w:numPr>
        <w:jc w:val="both"/>
        <w:rPr>
          <w:rFonts w:hint="default" w:ascii="Calibri" w:hAnsi="Calibri" w:eastAsia="SimSun" w:cs="Calibri"/>
          <w:i w:val="0"/>
          <w:iCs w:val="0"/>
          <w:color w:val="000000"/>
          <w:kern w:val="0"/>
          <w:sz w:val="24"/>
          <w:szCs w:val="24"/>
          <w:u w:val="none"/>
          <w:lang w:val="en-GB" w:eastAsia="zh-CN" w:bidi="ar"/>
        </w:rPr>
      </w:pPr>
      <w:r>
        <w:rPr>
          <w:rFonts w:hint="default" w:ascii="Calibri" w:hAnsi="Calibri" w:eastAsia="SimSun" w:cs="Calibri"/>
          <w:i w:val="0"/>
          <w:iCs w:val="0"/>
          <w:color w:val="000000"/>
          <w:kern w:val="0"/>
          <w:sz w:val="24"/>
          <w:szCs w:val="24"/>
          <w:u w:val="none"/>
          <w:lang w:val="en-GB" w:eastAsia="zh-CN" w:bidi="ar"/>
        </w:rPr>
        <w:t>Long-Term Financing Alternatives consist of bonds, green bonds, and equity financing. Tesla has successfully issued green bonds in past years for their capital expenditures related to sustainability – and this is still an effective strategy because of investors' rising demand for ESG factors (Tesla Annual Report, 2023). Using long-term debt results in the predictability of financing and absence of risks related to refinancing, although this financing alternative makes the company face leverage and covenants. Currently, the company has a Debt/Equity ratio equal to 0.11, which is rather low (2024).</w:t>
      </w:r>
    </w:p>
    <w:p w14:paraId="0C09321E">
      <w:pPr>
        <w:numPr>
          <w:ilvl w:val="0"/>
          <w:numId w:val="0"/>
        </w:numPr>
        <w:jc w:val="both"/>
        <w:rPr>
          <w:rFonts w:hint="default" w:ascii="Calibri" w:hAnsi="Calibri" w:eastAsia="SimSun" w:cs="Calibri"/>
          <w:i w:val="0"/>
          <w:iCs w:val="0"/>
          <w:color w:val="000000"/>
          <w:kern w:val="0"/>
          <w:sz w:val="24"/>
          <w:szCs w:val="24"/>
          <w:u w:val="none"/>
          <w:lang w:val="en-GB" w:eastAsia="zh-CN" w:bidi="ar"/>
        </w:rPr>
      </w:pPr>
    </w:p>
    <w:p w14:paraId="17375B27">
      <w:pPr>
        <w:numPr>
          <w:ilvl w:val="0"/>
          <w:numId w:val="0"/>
        </w:numPr>
        <w:jc w:val="both"/>
        <w:rPr>
          <w:rFonts w:hint="default" w:ascii="Calibri" w:hAnsi="Calibri" w:eastAsia="SimSun" w:cs="Calibri"/>
          <w:i w:val="0"/>
          <w:iCs w:val="0"/>
          <w:color w:val="000000"/>
          <w:kern w:val="0"/>
          <w:sz w:val="22"/>
          <w:szCs w:val="22"/>
          <w:u w:val="none"/>
          <w:lang w:val="en-GB" w:eastAsia="zh-CN" w:bidi="ar"/>
        </w:rPr>
      </w:pPr>
      <w:r>
        <w:rPr>
          <w:rFonts w:hint="default" w:ascii="Calibri" w:hAnsi="Calibri" w:eastAsia="SimSun" w:cs="Calibri"/>
          <w:i w:val="0"/>
          <w:iCs w:val="0"/>
          <w:color w:val="000000"/>
          <w:kern w:val="0"/>
          <w:sz w:val="24"/>
          <w:szCs w:val="24"/>
          <w:u w:val="none"/>
          <w:lang w:val="en-GB" w:eastAsia="zh-CN" w:bidi="ar"/>
        </w:rPr>
        <w:t>Recommendations. Considering that Tesla’s financial strength ($36.6 billion as at 2024) and low leverage, the company ought to finance working capital requirements using operating cash flows ($14.9 billion as at 2024). For capital investment purposes (for instance, building a new Gigafactory), long-term green bonds can be the most efficient source of funds due to their affordability. Short-term borrowings should serve as a backup option in case any other form of finance falls short for any reason. The proposed funding structure aligns with the pecking order theory of capital structure that favours internal sources of financing before external sources (Myers and Majluf, 1984).</w:t>
      </w:r>
    </w:p>
    <w:p w14:paraId="582F5F78">
      <w:pPr>
        <w:pStyle w:val="2"/>
        <w:numPr>
          <w:ilvl w:val="0"/>
          <w:numId w:val="1"/>
        </w:numPr>
        <w:bidi w:val="0"/>
        <w:rPr>
          <w:rFonts w:hint="default" w:ascii="Calibri" w:hAnsi="Calibri" w:eastAsia="SimSun" w:cs="Calibri"/>
          <w:i w:val="0"/>
          <w:iCs w:val="0"/>
          <w:color w:val="000000"/>
          <w:kern w:val="0"/>
          <w:sz w:val="24"/>
          <w:szCs w:val="24"/>
          <w:u w:val="none"/>
          <w:lang w:val="en-GB" w:eastAsia="zh-CN" w:bidi="ar"/>
        </w:rPr>
      </w:pPr>
      <w:bookmarkStart w:id="109" w:name="_Toc10139"/>
      <w:bookmarkStart w:id="110" w:name="_Toc9889"/>
      <w:bookmarkStart w:id="111" w:name="_Toc19906"/>
      <w:r>
        <w:rPr>
          <w:rFonts w:hint="default" w:ascii="Calibri" w:hAnsi="Calibri" w:cs="Calibri"/>
          <w:sz w:val="24"/>
          <w:szCs w:val="24"/>
          <w:lang w:val="en-GB" w:eastAsia="zh-CN"/>
        </w:rPr>
        <w:t>Strategic Financial Restructuring Plan</w:t>
      </w:r>
      <w:bookmarkEnd w:id="109"/>
      <w:bookmarkEnd w:id="110"/>
      <w:bookmarkEnd w:id="111"/>
    </w:p>
    <w:p w14:paraId="0E459241">
      <w:pPr>
        <w:pStyle w:val="3"/>
        <w:bidi w:val="0"/>
        <w:rPr>
          <w:rFonts w:hint="default" w:ascii="Calibri" w:hAnsi="Calibri" w:eastAsia="SimSun" w:cs="Calibri"/>
          <w:i w:val="0"/>
          <w:iCs w:val="0"/>
          <w:color w:val="000000"/>
          <w:kern w:val="0"/>
          <w:sz w:val="24"/>
          <w:szCs w:val="24"/>
          <w:u w:val="none"/>
          <w:lang w:val="en-GB" w:eastAsia="zh-CN" w:bidi="ar"/>
        </w:rPr>
      </w:pPr>
      <w:bookmarkStart w:id="112" w:name="_Toc22243"/>
      <w:bookmarkStart w:id="113" w:name="_Toc11105"/>
      <w:bookmarkStart w:id="114" w:name="_Toc19300"/>
      <w:r>
        <w:rPr>
          <w:rFonts w:hint="default" w:ascii="Calibri" w:hAnsi="Calibri" w:cs="Calibri"/>
          <w:sz w:val="24"/>
          <w:szCs w:val="24"/>
          <w:lang w:val="en-GB" w:eastAsia="zh-CN"/>
        </w:rPr>
        <w:t>4.1 Context and Rationale for Restructuring</w:t>
      </w:r>
      <w:bookmarkEnd w:id="112"/>
      <w:bookmarkEnd w:id="113"/>
      <w:bookmarkEnd w:id="114"/>
    </w:p>
    <w:p w14:paraId="11820B6F">
      <w:pPr>
        <w:numPr>
          <w:ilvl w:val="0"/>
          <w:numId w:val="0"/>
        </w:numPr>
        <w:jc w:val="both"/>
        <w:rPr>
          <w:rFonts w:hint="default" w:ascii="Calibri" w:hAnsi="Calibri" w:eastAsia="SimSun" w:cs="Calibri"/>
          <w:i w:val="0"/>
          <w:iCs w:val="0"/>
          <w:color w:val="000000"/>
          <w:kern w:val="0"/>
          <w:sz w:val="24"/>
          <w:szCs w:val="24"/>
          <w:u w:val="none"/>
          <w:lang w:val="en-GB" w:eastAsia="zh-CN" w:bidi="ar"/>
        </w:rPr>
      </w:pPr>
      <w:r>
        <w:rPr>
          <w:rFonts w:hint="default" w:ascii="Calibri" w:hAnsi="Calibri" w:eastAsia="SimSun" w:cs="Calibri"/>
          <w:i w:val="0"/>
          <w:iCs w:val="0"/>
          <w:color w:val="000000"/>
          <w:kern w:val="0"/>
          <w:sz w:val="24"/>
          <w:szCs w:val="24"/>
          <w:u w:val="none"/>
          <w:lang w:val="en-GB" w:eastAsia="zh-CN" w:bidi="ar"/>
        </w:rPr>
        <w:t>The analysis of the financial performance of Tesla from 2020 to 2024 shows that the company is currently at a strategic inflection point. Having made great profits in 2022, with gross profit margins at 25.6%, operating profit margins at 16.8%, and return on equity of 27.9%, Tesla suffered from poor financial performance in the following years, as its operating margins shrunk to 7.2% in 2024, while its ROE declined to 9.7% (see Annaxture-Ratios sheet). Poor performance was mainly caused by the reduction of prices in the company's automotive models, high R&amp;D costs ($4.54 billion in 2024 compared to $3.07 billion in 2022), and increased competition by Chinese firms like BYD (Tesla Annual Report, 2024).</w:t>
      </w:r>
    </w:p>
    <w:p w14:paraId="666FDB66">
      <w:pPr>
        <w:numPr>
          <w:ilvl w:val="0"/>
          <w:numId w:val="0"/>
        </w:numPr>
        <w:jc w:val="both"/>
        <w:rPr>
          <w:rFonts w:hint="default" w:ascii="Calibri" w:hAnsi="Calibri" w:eastAsia="SimSun" w:cs="Calibri"/>
          <w:i w:val="0"/>
          <w:iCs w:val="0"/>
          <w:color w:val="000000"/>
          <w:kern w:val="0"/>
          <w:sz w:val="24"/>
          <w:szCs w:val="24"/>
          <w:u w:val="none"/>
          <w:lang w:val="en-GB" w:eastAsia="zh-CN" w:bidi="ar"/>
        </w:rPr>
      </w:pPr>
    </w:p>
    <w:p w14:paraId="31EE6927">
      <w:pPr>
        <w:numPr>
          <w:ilvl w:val="0"/>
          <w:numId w:val="0"/>
        </w:numPr>
        <w:jc w:val="both"/>
        <w:rPr>
          <w:rFonts w:hint="default" w:ascii="Calibri" w:hAnsi="Calibri" w:eastAsia="SimSun" w:cs="Calibri"/>
          <w:i w:val="0"/>
          <w:iCs w:val="0"/>
          <w:color w:val="000000"/>
          <w:kern w:val="0"/>
          <w:sz w:val="24"/>
          <w:szCs w:val="24"/>
          <w:u w:val="none"/>
          <w:lang w:val="en-GB" w:eastAsia="zh-CN" w:bidi="ar"/>
        </w:rPr>
      </w:pPr>
      <w:r>
        <w:rPr>
          <w:rFonts w:hint="default" w:ascii="Calibri" w:hAnsi="Calibri" w:eastAsia="SimSun" w:cs="Calibri"/>
          <w:i w:val="0"/>
          <w:iCs w:val="0"/>
          <w:color w:val="000000"/>
          <w:kern w:val="0"/>
          <w:sz w:val="24"/>
          <w:szCs w:val="24"/>
          <w:u w:val="none"/>
          <w:lang w:val="en-GB" w:eastAsia="zh-CN" w:bidi="ar"/>
        </w:rPr>
        <w:t>Even with all of these challenges, the company’s balance sheet is still inherently robust, with a low Debt/Equity ratio of 0.11, US$36.6 billion in cash, and an interest coverage ratio of 32.4 times (Annaxturer sheet). Together, the presence of operational challenges combined with the inherent robustness of the balance sheet characterizes the rationale for restructuring proactively rather than reacting to crises. The purpose here is to re-channel resources into more profitable ventures while minimizing operational overheads.</w:t>
      </w:r>
    </w:p>
    <w:p w14:paraId="6735711B">
      <w:pPr>
        <w:pStyle w:val="3"/>
        <w:bidi w:val="0"/>
        <w:rPr>
          <w:rFonts w:hint="default" w:ascii="Calibri" w:hAnsi="Calibri" w:eastAsia="SimSun" w:cs="Calibri"/>
          <w:i w:val="0"/>
          <w:iCs w:val="0"/>
          <w:color w:val="000000"/>
          <w:kern w:val="0"/>
          <w:sz w:val="24"/>
          <w:szCs w:val="24"/>
          <w:u w:val="none"/>
          <w:lang w:val="en-GB" w:eastAsia="zh-CN" w:bidi="ar"/>
        </w:rPr>
      </w:pPr>
      <w:bookmarkStart w:id="115" w:name="_Toc18935"/>
      <w:bookmarkStart w:id="116" w:name="_Toc25483"/>
      <w:bookmarkStart w:id="117" w:name="_Toc19414"/>
      <w:r>
        <w:rPr>
          <w:rFonts w:hint="default" w:ascii="Calibri" w:hAnsi="Calibri" w:cs="Calibri"/>
          <w:i w:val="0"/>
          <w:iCs w:val="0"/>
          <w:color w:val="000000"/>
          <w:kern w:val="0"/>
          <w:sz w:val="24"/>
          <w:szCs w:val="24"/>
          <w:u w:val="none"/>
          <w:lang w:val="en-GB" w:eastAsia="zh-CN" w:bidi="ar"/>
        </w:rPr>
        <w:t xml:space="preserve">4.2 </w:t>
      </w:r>
      <w:r>
        <w:rPr>
          <w:rFonts w:hint="default" w:ascii="Calibri" w:hAnsi="Calibri" w:eastAsia="SimSun" w:cs="Calibri"/>
          <w:i w:val="0"/>
          <w:iCs w:val="0"/>
          <w:color w:val="000000"/>
          <w:kern w:val="0"/>
          <w:sz w:val="24"/>
          <w:szCs w:val="24"/>
          <w:u w:val="none"/>
          <w:lang w:val="en-GB" w:eastAsia="zh-CN" w:bidi="ar"/>
        </w:rPr>
        <w:t>Recommended Restructuring Options</w:t>
      </w:r>
      <w:bookmarkEnd w:id="115"/>
      <w:bookmarkEnd w:id="116"/>
      <w:bookmarkEnd w:id="117"/>
    </w:p>
    <w:p w14:paraId="31C988F4">
      <w:pPr>
        <w:numPr>
          <w:ilvl w:val="0"/>
          <w:numId w:val="0"/>
        </w:numPr>
        <w:jc w:val="both"/>
        <w:rPr>
          <w:rFonts w:hint="default" w:ascii="Calibri" w:hAnsi="Calibri" w:eastAsia="SimSun" w:cs="Calibri"/>
          <w:i w:val="0"/>
          <w:iCs w:val="0"/>
          <w:color w:val="000000"/>
          <w:kern w:val="0"/>
          <w:sz w:val="24"/>
          <w:szCs w:val="24"/>
          <w:u w:val="none"/>
          <w:lang w:val="en-GB" w:eastAsia="zh-CN" w:bidi="ar"/>
        </w:rPr>
      </w:pPr>
      <w:r>
        <w:rPr>
          <w:rFonts w:hint="default" w:ascii="Calibri" w:hAnsi="Calibri" w:eastAsia="SimSun" w:cs="Calibri"/>
          <w:i w:val="0"/>
          <w:iCs w:val="0"/>
          <w:color w:val="000000"/>
          <w:kern w:val="0"/>
          <w:sz w:val="24"/>
          <w:szCs w:val="24"/>
          <w:u w:val="none"/>
          <w:lang w:val="en-GB" w:eastAsia="zh-CN" w:bidi="ar"/>
        </w:rPr>
        <w:t>Option 1: Strategic Divestiture of Non-Core Segments</w:t>
      </w:r>
    </w:p>
    <w:p w14:paraId="4DF571C1">
      <w:pPr>
        <w:numPr>
          <w:ilvl w:val="0"/>
          <w:numId w:val="0"/>
        </w:numPr>
        <w:jc w:val="both"/>
        <w:rPr>
          <w:rFonts w:hint="default" w:ascii="Calibri" w:hAnsi="Calibri" w:eastAsia="SimSun" w:cs="Calibri"/>
          <w:i w:val="0"/>
          <w:iCs w:val="0"/>
          <w:color w:val="000000"/>
          <w:kern w:val="0"/>
          <w:sz w:val="24"/>
          <w:szCs w:val="24"/>
          <w:u w:val="none"/>
          <w:lang w:val="en-GB" w:eastAsia="zh-CN" w:bidi="ar"/>
        </w:rPr>
      </w:pPr>
    </w:p>
    <w:p w14:paraId="69068756">
      <w:pPr>
        <w:numPr>
          <w:ilvl w:val="0"/>
          <w:numId w:val="0"/>
        </w:numPr>
        <w:jc w:val="both"/>
        <w:rPr>
          <w:rFonts w:hint="default" w:ascii="Calibri" w:hAnsi="Calibri" w:eastAsia="SimSun" w:cs="Calibri"/>
          <w:i w:val="0"/>
          <w:iCs w:val="0"/>
          <w:color w:val="000000"/>
          <w:kern w:val="0"/>
          <w:sz w:val="24"/>
          <w:szCs w:val="24"/>
          <w:u w:val="none"/>
          <w:lang w:val="en-GB" w:eastAsia="zh-CN" w:bidi="ar"/>
        </w:rPr>
      </w:pPr>
      <w:r>
        <w:rPr>
          <w:rFonts w:hint="default" w:ascii="Calibri" w:hAnsi="Calibri" w:eastAsia="SimSun" w:cs="Calibri"/>
          <w:i w:val="0"/>
          <w:iCs w:val="0"/>
          <w:color w:val="000000"/>
          <w:kern w:val="0"/>
          <w:sz w:val="24"/>
          <w:szCs w:val="24"/>
          <w:u w:val="none"/>
          <w:lang w:val="en-GB" w:eastAsia="zh-CN" w:bidi="ar"/>
        </w:rPr>
        <w:t>The company has diversified into a number of sectors including electric cars, power generation and storage solutions such as Powerwall and Megapack, the insurance sector, and even the still-new Optimus robotics program. This is indicative of Musk's broader vision, but also means that management is being split between several areas of concern, especially when the primary EV market needs focus.</w:t>
      </w:r>
    </w:p>
    <w:p w14:paraId="7E486A4E">
      <w:pPr>
        <w:numPr>
          <w:ilvl w:val="0"/>
          <w:numId w:val="0"/>
        </w:numPr>
        <w:jc w:val="both"/>
        <w:rPr>
          <w:rFonts w:hint="default" w:ascii="Calibri" w:hAnsi="Calibri" w:eastAsia="SimSun" w:cs="Calibri"/>
          <w:i w:val="0"/>
          <w:iCs w:val="0"/>
          <w:color w:val="000000"/>
          <w:kern w:val="0"/>
          <w:sz w:val="24"/>
          <w:szCs w:val="24"/>
          <w:u w:val="none"/>
          <w:lang w:val="en-GB" w:eastAsia="zh-CN" w:bidi="ar"/>
        </w:rPr>
      </w:pPr>
    </w:p>
    <w:p w14:paraId="1046CE85">
      <w:pPr>
        <w:numPr>
          <w:ilvl w:val="0"/>
          <w:numId w:val="0"/>
        </w:numPr>
        <w:jc w:val="both"/>
        <w:rPr>
          <w:rFonts w:hint="default" w:ascii="Calibri" w:hAnsi="Calibri" w:eastAsia="SimSun" w:cs="Calibri"/>
          <w:i w:val="0"/>
          <w:iCs w:val="0"/>
          <w:color w:val="000000"/>
          <w:kern w:val="0"/>
          <w:sz w:val="24"/>
          <w:szCs w:val="24"/>
          <w:u w:val="none"/>
          <w:lang w:val="en-GB" w:eastAsia="zh-CN" w:bidi="ar"/>
        </w:rPr>
      </w:pPr>
      <w:r>
        <w:rPr>
          <w:rFonts w:hint="default" w:ascii="Calibri" w:hAnsi="Calibri" w:eastAsia="SimSun" w:cs="Calibri"/>
          <w:i w:val="0"/>
          <w:iCs w:val="0"/>
          <w:color w:val="000000"/>
          <w:kern w:val="0"/>
          <w:sz w:val="24"/>
          <w:szCs w:val="24"/>
          <w:u w:val="none"/>
          <w:lang w:val="en-GB" w:eastAsia="zh-CN" w:bidi="ar"/>
        </w:rPr>
        <w:t>It is suggested that Tesla divest its insurance operations in a targeted way. Since Tesla Insurance was established in 2019, it has been able to spread its tentacles in several US states. However, the insurance sector is very capital intensive and subject to heavy regulation. Therefore, by divesting the insurance division or selling it separately and making it a standalone company, Tesla will be releasing capital invested in regulatory requirements and also focus on vehicle margins as well as product innovation (Ross, Westerfield and Jordan, 2022). This is vital for the company in terms of streamlining operations to improve efficiency since it is now dealing with the challenge of balancing financial services and manufacturing. Moreover, in doing this partially and retaining minority ownership, Tesla will still retain its access to data used for pricing.</w:t>
      </w:r>
    </w:p>
    <w:p w14:paraId="1E738BFE">
      <w:pPr>
        <w:numPr>
          <w:ilvl w:val="0"/>
          <w:numId w:val="0"/>
        </w:numPr>
        <w:jc w:val="both"/>
        <w:rPr>
          <w:rFonts w:hint="default" w:ascii="Calibri" w:hAnsi="Calibri" w:eastAsia="SimSun" w:cs="Calibri"/>
          <w:i w:val="0"/>
          <w:iCs w:val="0"/>
          <w:color w:val="000000"/>
          <w:kern w:val="0"/>
          <w:sz w:val="24"/>
          <w:szCs w:val="24"/>
          <w:u w:val="none"/>
          <w:lang w:val="en-GB" w:eastAsia="zh-CN" w:bidi="ar"/>
        </w:rPr>
      </w:pPr>
    </w:p>
    <w:p w14:paraId="249D51FB">
      <w:pPr>
        <w:numPr>
          <w:ilvl w:val="0"/>
          <w:numId w:val="0"/>
        </w:numPr>
        <w:jc w:val="both"/>
        <w:rPr>
          <w:rFonts w:hint="default" w:ascii="Calibri" w:hAnsi="Calibri" w:eastAsia="SimSun" w:cs="Calibri"/>
          <w:i w:val="0"/>
          <w:iCs w:val="0"/>
          <w:color w:val="000000"/>
          <w:kern w:val="0"/>
          <w:sz w:val="24"/>
          <w:szCs w:val="24"/>
          <w:u w:val="none"/>
          <w:lang w:val="en-GB" w:eastAsia="zh-CN" w:bidi="ar"/>
        </w:rPr>
      </w:pPr>
      <w:r>
        <w:rPr>
          <w:rFonts w:hint="default" w:ascii="Calibri" w:hAnsi="Calibri" w:eastAsia="SimSun" w:cs="Calibri"/>
          <w:i w:val="0"/>
          <w:iCs w:val="0"/>
          <w:color w:val="000000"/>
          <w:kern w:val="0"/>
          <w:sz w:val="24"/>
          <w:szCs w:val="24"/>
          <w:u w:val="none"/>
          <w:lang w:val="en-GB" w:eastAsia="zh-CN" w:bidi="ar"/>
        </w:rPr>
        <w:t>In contrast, the Energy Generation &amp; Storage division is a true value adder and should not be sold. The division has seen 113% revenue growth in 2023 (Tesla Annual Report, 2023) and the division can now generate its own cash flow, separate from vehicle sales. Instead of selling the division, Tesla might consider injecting some equity funding into it via an infrastructure fund or a sovereign wealth fund that is specifically focused on the Energy division.</w:t>
      </w:r>
    </w:p>
    <w:p w14:paraId="484B6897">
      <w:pPr>
        <w:numPr>
          <w:ilvl w:val="0"/>
          <w:numId w:val="0"/>
        </w:numPr>
        <w:jc w:val="both"/>
        <w:rPr>
          <w:rFonts w:hint="default" w:ascii="Calibri" w:hAnsi="Calibri" w:eastAsia="SimSun" w:cs="Calibri"/>
          <w:i w:val="0"/>
          <w:iCs w:val="0"/>
          <w:color w:val="000000"/>
          <w:kern w:val="0"/>
          <w:sz w:val="24"/>
          <w:szCs w:val="24"/>
          <w:u w:val="none"/>
          <w:lang w:val="en-GB" w:eastAsia="zh-CN" w:bidi="ar"/>
        </w:rPr>
      </w:pPr>
    </w:p>
    <w:p w14:paraId="643DDD6E">
      <w:pPr>
        <w:numPr>
          <w:ilvl w:val="0"/>
          <w:numId w:val="0"/>
        </w:numPr>
        <w:jc w:val="both"/>
        <w:rPr>
          <w:rFonts w:hint="default" w:ascii="Calibri" w:hAnsi="Calibri" w:eastAsia="SimSun" w:cs="Calibri"/>
          <w:i w:val="0"/>
          <w:iCs w:val="0"/>
          <w:color w:val="000000"/>
          <w:kern w:val="0"/>
          <w:sz w:val="24"/>
          <w:szCs w:val="24"/>
          <w:u w:val="none"/>
          <w:lang w:val="en-GB" w:eastAsia="zh-CN" w:bidi="ar"/>
        </w:rPr>
      </w:pPr>
      <w:r>
        <w:rPr>
          <w:rFonts w:hint="default" w:ascii="Calibri" w:hAnsi="Calibri" w:eastAsia="SimSun" w:cs="Calibri"/>
          <w:i w:val="0"/>
          <w:iCs w:val="0"/>
          <w:color w:val="000000"/>
          <w:kern w:val="0"/>
          <w:sz w:val="24"/>
          <w:szCs w:val="24"/>
          <w:u w:val="none"/>
          <w:lang w:val="en-GB" w:eastAsia="zh-CN" w:bidi="ar"/>
        </w:rPr>
        <w:t>Option 2: Leveraged Recapitalisation — Strategic Use of Debt</w:t>
      </w:r>
    </w:p>
    <w:p w14:paraId="048422C1">
      <w:pPr>
        <w:numPr>
          <w:ilvl w:val="0"/>
          <w:numId w:val="0"/>
        </w:numPr>
        <w:jc w:val="both"/>
        <w:rPr>
          <w:rFonts w:hint="default" w:ascii="Calibri" w:hAnsi="Calibri" w:eastAsia="SimSun" w:cs="Calibri"/>
          <w:i w:val="0"/>
          <w:iCs w:val="0"/>
          <w:color w:val="000000"/>
          <w:kern w:val="0"/>
          <w:sz w:val="24"/>
          <w:szCs w:val="24"/>
          <w:u w:val="none"/>
          <w:lang w:val="en-GB" w:eastAsia="zh-CN" w:bidi="ar"/>
        </w:rPr>
      </w:pPr>
    </w:p>
    <w:p w14:paraId="5D3A9480">
      <w:pPr>
        <w:numPr>
          <w:ilvl w:val="0"/>
          <w:numId w:val="0"/>
        </w:numPr>
        <w:jc w:val="both"/>
        <w:rPr>
          <w:rFonts w:hint="default" w:ascii="Calibri" w:hAnsi="Calibri" w:eastAsia="SimSun" w:cs="Calibri"/>
          <w:i w:val="0"/>
          <w:iCs w:val="0"/>
          <w:color w:val="000000"/>
          <w:kern w:val="0"/>
          <w:sz w:val="24"/>
          <w:szCs w:val="24"/>
          <w:u w:val="none"/>
          <w:lang w:val="en-GB" w:eastAsia="zh-CN" w:bidi="ar"/>
        </w:rPr>
      </w:pPr>
      <w:r>
        <w:rPr>
          <w:rFonts w:hint="default" w:ascii="Calibri" w:hAnsi="Calibri" w:eastAsia="SimSun" w:cs="Calibri"/>
          <w:i w:val="0"/>
          <w:iCs w:val="0"/>
          <w:color w:val="000000"/>
          <w:kern w:val="0"/>
          <w:sz w:val="24"/>
          <w:szCs w:val="24"/>
          <w:u w:val="none"/>
          <w:lang w:val="en-GB" w:eastAsia="zh-CN" w:bidi="ar"/>
        </w:rPr>
        <w:t>The capital structure of Tesla currently appears very unleveraged indeed. Given its D/E ratio of 0.11 and its $36.6bn of cash, one can argue that Tesla is losing out since it is holding too much cash that earns relatively low returns. According to the Modigliani-Miller theory, which considers tax shields, modest leverage helps to enhance the value of the firm by lowering its cost of capital.</w:t>
      </w:r>
    </w:p>
    <w:p w14:paraId="36CC9AD9">
      <w:pPr>
        <w:numPr>
          <w:ilvl w:val="0"/>
          <w:numId w:val="0"/>
        </w:numPr>
        <w:jc w:val="both"/>
        <w:rPr>
          <w:rFonts w:hint="default" w:ascii="Calibri" w:hAnsi="Calibri" w:eastAsia="SimSun" w:cs="Calibri"/>
          <w:i w:val="0"/>
          <w:iCs w:val="0"/>
          <w:color w:val="000000"/>
          <w:kern w:val="0"/>
          <w:sz w:val="24"/>
          <w:szCs w:val="24"/>
          <w:u w:val="none"/>
          <w:lang w:val="en-GB" w:eastAsia="zh-CN" w:bidi="ar"/>
        </w:rPr>
      </w:pPr>
    </w:p>
    <w:p w14:paraId="6CE254E9">
      <w:pPr>
        <w:numPr>
          <w:ilvl w:val="0"/>
          <w:numId w:val="0"/>
        </w:numPr>
        <w:jc w:val="both"/>
        <w:rPr>
          <w:rFonts w:hint="default" w:ascii="Calibri" w:hAnsi="Calibri" w:eastAsia="SimSun" w:cs="Calibri"/>
          <w:i w:val="0"/>
          <w:iCs w:val="0"/>
          <w:color w:val="000000"/>
          <w:kern w:val="0"/>
          <w:sz w:val="24"/>
          <w:szCs w:val="24"/>
          <w:u w:val="none"/>
          <w:lang w:val="en-GB" w:eastAsia="zh-CN" w:bidi="ar"/>
        </w:rPr>
      </w:pPr>
      <w:r>
        <w:rPr>
          <w:rFonts w:hint="default" w:ascii="Calibri" w:hAnsi="Calibri" w:eastAsia="SimSun" w:cs="Calibri"/>
          <w:i w:val="0"/>
          <w:iCs w:val="0"/>
          <w:color w:val="000000"/>
          <w:kern w:val="0"/>
          <w:sz w:val="24"/>
          <w:szCs w:val="24"/>
          <w:u w:val="none"/>
          <w:lang w:val="en-GB" w:eastAsia="zh-CN" w:bidi="ar"/>
        </w:rPr>
        <w:t>Recapitalization involving the issuance of green bonds worth $10 billion to $15 billion at existing spreads for investment grade debt and investing the cash flows from such issuances between share repurchases and capital spending would achieve several things. Firstly, this would allow for the repayment of equity capital in times of reduced earnings and sub-par stock performance as a way of communicating the management’s faith in the business (Berk and DeMarzo, 2020). Secondly, the interest on the newly borrowed money would create a tax shield, hence lowering the company's tax burden. Lastly, the issuance of green bonds fits with the firm's mission of being sustainable, attracting mandatory ESG funds.</w:t>
      </w:r>
    </w:p>
    <w:p w14:paraId="3ED10D1A">
      <w:pPr>
        <w:numPr>
          <w:ilvl w:val="0"/>
          <w:numId w:val="0"/>
        </w:numPr>
        <w:jc w:val="both"/>
        <w:rPr>
          <w:rFonts w:hint="default" w:ascii="Calibri" w:hAnsi="Calibri" w:eastAsia="SimSun" w:cs="Calibri"/>
          <w:i w:val="0"/>
          <w:iCs w:val="0"/>
          <w:color w:val="000000"/>
          <w:kern w:val="0"/>
          <w:sz w:val="24"/>
          <w:szCs w:val="24"/>
          <w:u w:val="none"/>
          <w:lang w:val="en-GB" w:eastAsia="zh-CN" w:bidi="ar"/>
        </w:rPr>
      </w:pPr>
    </w:p>
    <w:p w14:paraId="1A4CD037">
      <w:pPr>
        <w:numPr>
          <w:ilvl w:val="0"/>
          <w:numId w:val="0"/>
        </w:numPr>
        <w:jc w:val="both"/>
        <w:rPr>
          <w:rFonts w:hint="default" w:ascii="Calibri" w:hAnsi="Calibri" w:eastAsia="SimSun" w:cs="Calibri"/>
          <w:i w:val="0"/>
          <w:iCs w:val="0"/>
          <w:color w:val="000000"/>
          <w:kern w:val="0"/>
          <w:sz w:val="24"/>
          <w:szCs w:val="24"/>
          <w:u w:val="none"/>
          <w:lang w:val="en-GB" w:eastAsia="zh-CN" w:bidi="ar"/>
        </w:rPr>
      </w:pPr>
      <w:r>
        <w:rPr>
          <w:rFonts w:hint="default" w:ascii="Calibri" w:hAnsi="Calibri" w:eastAsia="SimSun" w:cs="Calibri"/>
          <w:i w:val="0"/>
          <w:iCs w:val="0"/>
          <w:color w:val="000000"/>
          <w:kern w:val="0"/>
          <w:sz w:val="24"/>
          <w:szCs w:val="24"/>
          <w:u w:val="none"/>
          <w:lang w:val="en-GB" w:eastAsia="zh-CN" w:bidi="ar"/>
        </w:rPr>
        <w:t>Even in that scenario, the Debt/Equity ratio for Tesla will still be less than 0.30, which is quite within investment grade for heavy industry companies, while its Interest Coverage Ratio will still be greater than 15x, which is quite safe indeed.</w:t>
      </w:r>
    </w:p>
    <w:p w14:paraId="5A8E443F">
      <w:pPr>
        <w:numPr>
          <w:ilvl w:val="0"/>
          <w:numId w:val="0"/>
        </w:numPr>
        <w:jc w:val="both"/>
        <w:rPr>
          <w:rFonts w:hint="default" w:ascii="Calibri" w:hAnsi="Calibri" w:eastAsia="SimSun" w:cs="Calibri"/>
          <w:i w:val="0"/>
          <w:iCs w:val="0"/>
          <w:color w:val="000000"/>
          <w:kern w:val="0"/>
          <w:sz w:val="24"/>
          <w:szCs w:val="24"/>
          <w:u w:val="none"/>
          <w:lang w:val="en-GB" w:eastAsia="zh-CN" w:bidi="ar"/>
        </w:rPr>
      </w:pPr>
    </w:p>
    <w:p w14:paraId="6521A241">
      <w:pPr>
        <w:numPr>
          <w:ilvl w:val="0"/>
          <w:numId w:val="0"/>
        </w:numPr>
        <w:jc w:val="both"/>
        <w:rPr>
          <w:rFonts w:hint="default" w:ascii="Calibri" w:hAnsi="Calibri" w:eastAsia="SimSun" w:cs="Calibri"/>
          <w:i w:val="0"/>
          <w:iCs w:val="0"/>
          <w:color w:val="000000"/>
          <w:kern w:val="0"/>
          <w:sz w:val="24"/>
          <w:szCs w:val="24"/>
          <w:u w:val="none"/>
          <w:lang w:val="en-GB" w:eastAsia="zh-CN" w:bidi="ar"/>
        </w:rPr>
      </w:pPr>
      <w:r>
        <w:rPr>
          <w:rFonts w:hint="default" w:ascii="Calibri" w:hAnsi="Calibri" w:eastAsia="SimSun" w:cs="Calibri"/>
          <w:i w:val="0"/>
          <w:iCs w:val="0"/>
          <w:color w:val="000000"/>
          <w:kern w:val="0"/>
          <w:sz w:val="24"/>
          <w:szCs w:val="24"/>
          <w:u w:val="none"/>
          <w:lang w:val="en-GB" w:eastAsia="zh-CN" w:bidi="ar"/>
        </w:rPr>
        <w:t>Option 3: Strategic M&amp;A — Selective Acquisition</w:t>
      </w:r>
    </w:p>
    <w:p w14:paraId="60FE1F4C">
      <w:pPr>
        <w:numPr>
          <w:ilvl w:val="0"/>
          <w:numId w:val="0"/>
        </w:numPr>
        <w:jc w:val="both"/>
        <w:rPr>
          <w:rFonts w:hint="default" w:ascii="Calibri" w:hAnsi="Calibri" w:eastAsia="SimSun" w:cs="Calibri"/>
          <w:i w:val="0"/>
          <w:iCs w:val="0"/>
          <w:color w:val="000000"/>
          <w:kern w:val="0"/>
          <w:sz w:val="24"/>
          <w:szCs w:val="24"/>
          <w:u w:val="none"/>
          <w:lang w:val="en-GB" w:eastAsia="zh-CN" w:bidi="ar"/>
        </w:rPr>
      </w:pPr>
    </w:p>
    <w:p w14:paraId="1AAE2B19">
      <w:pPr>
        <w:numPr>
          <w:ilvl w:val="0"/>
          <w:numId w:val="0"/>
        </w:numPr>
        <w:jc w:val="both"/>
        <w:rPr>
          <w:rFonts w:hint="default" w:ascii="Calibri" w:hAnsi="Calibri" w:eastAsia="SimSun" w:cs="Calibri"/>
          <w:i w:val="0"/>
          <w:iCs w:val="0"/>
          <w:color w:val="000000"/>
          <w:kern w:val="0"/>
          <w:sz w:val="24"/>
          <w:szCs w:val="24"/>
          <w:u w:val="none"/>
          <w:lang w:val="en-GB" w:eastAsia="zh-CN" w:bidi="ar"/>
        </w:rPr>
      </w:pPr>
      <w:r>
        <w:rPr>
          <w:rFonts w:hint="default" w:ascii="Calibri" w:hAnsi="Calibri" w:eastAsia="SimSun" w:cs="Calibri"/>
          <w:i w:val="0"/>
          <w:iCs w:val="0"/>
          <w:color w:val="000000"/>
          <w:kern w:val="0"/>
          <w:sz w:val="24"/>
          <w:szCs w:val="24"/>
          <w:u w:val="none"/>
          <w:lang w:val="en-GB" w:eastAsia="zh-CN" w:bidi="ar"/>
        </w:rPr>
        <w:t>Instead of proceeding down the path of complete merger, Tesla should focus on making bolt-on acquisitions in areas which directly solve the margin pressure challenge. For example, an acquisition of a mid-size player operating in lithium refining or cathode materials will further expedite the process of vertical integration, which remains the biggest contributor to the high cost of building vehicles. It is estimated that around 40% of the total cost involved in manufacturing electric vehicles involves the cost of battery materials (BloombergNEF, 2024). In addition, such an acquisition will be in the $3–5 billion price range for Tesla.</w:t>
      </w:r>
    </w:p>
    <w:p w14:paraId="060A6831">
      <w:pPr>
        <w:pStyle w:val="3"/>
        <w:bidi w:val="0"/>
        <w:rPr>
          <w:rFonts w:hint="default" w:ascii="Calibri" w:hAnsi="Calibri" w:eastAsia="SimSun" w:cs="Calibri"/>
          <w:i w:val="0"/>
          <w:iCs w:val="0"/>
          <w:color w:val="000000"/>
          <w:kern w:val="0"/>
          <w:sz w:val="22"/>
          <w:szCs w:val="22"/>
          <w:u w:val="none"/>
          <w:lang w:val="en-GB" w:eastAsia="zh-CN" w:bidi="ar"/>
        </w:rPr>
      </w:pPr>
      <w:bookmarkStart w:id="118" w:name="_Toc13673"/>
      <w:bookmarkStart w:id="119" w:name="_Toc60"/>
      <w:bookmarkStart w:id="120" w:name="_Toc5289"/>
      <w:r>
        <w:rPr>
          <w:rFonts w:hint="default" w:ascii="Calibri" w:hAnsi="Calibri" w:cs="Calibri"/>
          <w:i w:val="0"/>
          <w:iCs w:val="0"/>
          <w:color w:val="000000"/>
          <w:kern w:val="0"/>
          <w:sz w:val="24"/>
          <w:szCs w:val="24"/>
          <w:u w:val="none"/>
          <w:lang w:val="en-GB" w:eastAsia="zh-CN" w:bidi="ar"/>
        </w:rPr>
        <w:t>4.3 Impact on Shareholder Value, Debt Structure, and Operational Flexibility</w:t>
      </w:r>
      <w:bookmarkEnd w:id="118"/>
      <w:bookmarkEnd w:id="119"/>
      <w:bookmarkEnd w:id="120"/>
    </w:p>
    <w:p w14:paraId="1613FE06">
      <w:pPr>
        <w:numPr>
          <w:ilvl w:val="0"/>
          <w:numId w:val="0"/>
        </w:numPr>
        <w:jc w:val="both"/>
        <w:rPr>
          <w:rFonts w:hint="default" w:ascii="Calibri" w:hAnsi="Calibri" w:eastAsia="SimSun" w:cs="Calibri"/>
          <w:i w:val="0"/>
          <w:iCs w:val="0"/>
          <w:color w:val="000000"/>
          <w:kern w:val="0"/>
          <w:sz w:val="24"/>
          <w:szCs w:val="24"/>
          <w:u w:val="none"/>
          <w:lang w:val="en-GB" w:eastAsia="zh-CN" w:bidi="ar"/>
        </w:rPr>
      </w:pPr>
      <w:r>
        <w:rPr>
          <w:rFonts w:hint="default" w:ascii="Calibri" w:hAnsi="Calibri" w:eastAsia="SimSun" w:cs="Calibri"/>
          <w:i w:val="0"/>
          <w:iCs w:val="0"/>
          <w:color w:val="000000"/>
          <w:kern w:val="0"/>
          <w:sz w:val="24"/>
          <w:szCs w:val="24"/>
          <w:u w:val="none"/>
          <w:lang w:val="en-GB" w:eastAsia="zh-CN" w:bidi="ar"/>
        </w:rPr>
        <w:t>With respect to the synergies generated by all three recommendations in tandem, they would be advantageous in all three areas discussed above. Firstly, the divestment of the insurance company and partial monetization of the energy division would help increase return on asset as the focus would be on allocating assets in sectors where there is high ROIC, given that ROA had been brought down from 14.0% in 2023 to 5.9% in 2024. Secondly, the leveraged recapitalization would help achieve efficient WACC by having tax-efficient debt, bettering EPS via stock buyback, and conveying proper capital management. Thirdly, the bolt-on acquisition would help margin and supply chain strength.</w:t>
      </w:r>
    </w:p>
    <w:p w14:paraId="461871B7">
      <w:pPr>
        <w:numPr>
          <w:ilvl w:val="0"/>
          <w:numId w:val="0"/>
        </w:numPr>
        <w:jc w:val="both"/>
        <w:rPr>
          <w:rFonts w:hint="default" w:ascii="Calibri" w:hAnsi="Calibri" w:eastAsia="SimSun" w:cs="Calibri"/>
          <w:i w:val="0"/>
          <w:iCs w:val="0"/>
          <w:color w:val="000000"/>
          <w:kern w:val="0"/>
          <w:sz w:val="24"/>
          <w:szCs w:val="24"/>
          <w:u w:val="none"/>
          <w:lang w:val="en-GB" w:eastAsia="zh-CN" w:bidi="ar"/>
        </w:rPr>
      </w:pPr>
    </w:p>
    <w:p w14:paraId="1BC48836">
      <w:pPr>
        <w:numPr>
          <w:ilvl w:val="0"/>
          <w:numId w:val="0"/>
        </w:numPr>
        <w:jc w:val="both"/>
        <w:rPr>
          <w:rFonts w:hint="default" w:ascii="Calibri" w:hAnsi="Calibri" w:eastAsia="SimSun" w:cs="Calibri"/>
          <w:i w:val="0"/>
          <w:iCs w:val="0"/>
          <w:color w:val="000000"/>
          <w:kern w:val="0"/>
          <w:sz w:val="24"/>
          <w:szCs w:val="24"/>
          <w:u w:val="none"/>
          <w:lang w:val="en-GB" w:eastAsia="zh-CN" w:bidi="ar"/>
        </w:rPr>
      </w:pPr>
      <w:r>
        <w:rPr>
          <w:rFonts w:hint="default" w:ascii="Calibri" w:hAnsi="Calibri" w:eastAsia="SimSun" w:cs="Calibri"/>
          <w:i w:val="0"/>
          <w:iCs w:val="0"/>
          <w:color w:val="000000"/>
          <w:kern w:val="0"/>
          <w:sz w:val="24"/>
          <w:szCs w:val="24"/>
          <w:u w:val="none"/>
          <w:lang w:val="en-GB" w:eastAsia="zh-CN" w:bidi="ar"/>
        </w:rPr>
        <w:t>In practice, these strategies would provide greater flexibility rather than less. Divesting a non-core business gives managers more time, increased leverage without compromising Tesla’s capacity to engage in research &amp; development and defend itself against competition, and ownership of the supply chain means that it is not subject to commodity pricing.</w:t>
      </w:r>
    </w:p>
    <w:p w14:paraId="57E453A4">
      <w:pPr>
        <w:pStyle w:val="3"/>
        <w:bidi w:val="0"/>
        <w:rPr>
          <w:rFonts w:hint="default" w:ascii="Calibri" w:hAnsi="Calibri" w:eastAsia="SimSun" w:cs="Calibri"/>
          <w:i w:val="0"/>
          <w:iCs w:val="0"/>
          <w:color w:val="000000"/>
          <w:kern w:val="0"/>
          <w:sz w:val="24"/>
          <w:szCs w:val="24"/>
          <w:u w:val="none"/>
          <w:lang w:val="en-GB" w:eastAsia="zh-CN" w:bidi="ar"/>
        </w:rPr>
      </w:pPr>
      <w:bookmarkStart w:id="121" w:name="_Toc3766"/>
      <w:bookmarkStart w:id="122" w:name="_Toc20816"/>
      <w:bookmarkStart w:id="123" w:name="_Toc31014"/>
      <w:r>
        <w:rPr>
          <w:rFonts w:hint="default" w:ascii="Calibri" w:hAnsi="Calibri" w:cs="Calibri"/>
          <w:i w:val="0"/>
          <w:iCs w:val="0"/>
          <w:color w:val="000000"/>
          <w:kern w:val="0"/>
          <w:sz w:val="24"/>
          <w:szCs w:val="24"/>
          <w:u w:val="none"/>
          <w:lang w:val="en-GB" w:eastAsia="zh-CN" w:bidi="ar"/>
        </w:rPr>
        <w:t>4.4 International and Ethical Considerations</w:t>
      </w:r>
      <w:bookmarkEnd w:id="121"/>
      <w:bookmarkEnd w:id="122"/>
      <w:bookmarkEnd w:id="123"/>
    </w:p>
    <w:p w14:paraId="5839618D">
      <w:pPr>
        <w:numPr>
          <w:ilvl w:val="0"/>
          <w:numId w:val="0"/>
        </w:numPr>
        <w:jc w:val="both"/>
        <w:rPr>
          <w:rFonts w:hint="default" w:ascii="Calibri" w:hAnsi="Calibri" w:eastAsia="SimSun" w:cs="Calibri"/>
          <w:i w:val="0"/>
          <w:iCs w:val="0"/>
          <w:color w:val="000000"/>
          <w:kern w:val="0"/>
          <w:sz w:val="24"/>
          <w:szCs w:val="24"/>
          <w:u w:val="none"/>
          <w:lang w:val="en-GB" w:eastAsia="zh-CN" w:bidi="ar"/>
        </w:rPr>
      </w:pPr>
      <w:r>
        <w:rPr>
          <w:rFonts w:hint="default" w:ascii="Calibri" w:hAnsi="Calibri" w:eastAsia="SimSun" w:cs="Calibri"/>
          <w:b/>
          <w:bCs/>
          <w:i w:val="0"/>
          <w:iCs w:val="0"/>
          <w:color w:val="000000"/>
          <w:kern w:val="0"/>
          <w:sz w:val="24"/>
          <w:szCs w:val="24"/>
          <w:u w:val="none"/>
          <w:lang w:val="en-GB" w:eastAsia="zh-CN" w:bidi="ar"/>
        </w:rPr>
        <w:t>Taxation</w:t>
      </w:r>
      <w:r>
        <w:rPr>
          <w:rFonts w:hint="default" w:ascii="Calibri" w:hAnsi="Calibri" w:eastAsia="SimSun" w:cs="Calibri"/>
          <w:i w:val="0"/>
          <w:iCs w:val="0"/>
          <w:color w:val="000000"/>
          <w:kern w:val="0"/>
          <w:sz w:val="24"/>
          <w:szCs w:val="24"/>
          <w:u w:val="none"/>
          <w:lang w:val="en-GB" w:eastAsia="zh-CN" w:bidi="ar"/>
        </w:rPr>
        <w:t xml:space="preserve"> : The company has numerous tax jurisdictions around the world such as the United States, Germany, China, and the Netherlands. The plan must be developed keeping the efficiency of international taxation in mind whereby the company's treasury functions, intellectual property licensing, and financing activities among affiliates are made in line with the OECD’s Base Erosion and Profit Shifting framework (OECD, 2023). Tax avoidance measures might be legally permissible but may pose risks to the company’s reputation in an age when public opinion is increasingly important for companies’ tax practices.</w:t>
      </w:r>
    </w:p>
    <w:p w14:paraId="186902DB">
      <w:pPr>
        <w:numPr>
          <w:ilvl w:val="0"/>
          <w:numId w:val="0"/>
        </w:numPr>
        <w:jc w:val="both"/>
        <w:rPr>
          <w:rFonts w:hint="default" w:ascii="Calibri" w:hAnsi="Calibri" w:eastAsia="SimSun" w:cs="Calibri"/>
          <w:i w:val="0"/>
          <w:iCs w:val="0"/>
          <w:color w:val="000000"/>
          <w:kern w:val="0"/>
          <w:sz w:val="24"/>
          <w:szCs w:val="24"/>
          <w:u w:val="none"/>
          <w:lang w:val="en-GB" w:eastAsia="zh-CN" w:bidi="ar"/>
        </w:rPr>
      </w:pPr>
    </w:p>
    <w:p w14:paraId="1841A351">
      <w:pPr>
        <w:numPr>
          <w:ilvl w:val="0"/>
          <w:numId w:val="0"/>
        </w:numPr>
        <w:jc w:val="both"/>
        <w:rPr>
          <w:rFonts w:hint="default" w:ascii="Calibri" w:hAnsi="Calibri" w:eastAsia="SimSun" w:cs="Calibri"/>
          <w:i w:val="0"/>
          <w:iCs w:val="0"/>
          <w:color w:val="000000"/>
          <w:kern w:val="0"/>
          <w:sz w:val="24"/>
          <w:szCs w:val="24"/>
          <w:u w:val="none"/>
          <w:lang w:val="en-GB" w:eastAsia="zh-CN" w:bidi="ar"/>
        </w:rPr>
      </w:pPr>
      <w:r>
        <w:rPr>
          <w:rFonts w:hint="default" w:ascii="Calibri" w:hAnsi="Calibri" w:eastAsia="SimSun" w:cs="Calibri"/>
          <w:b/>
          <w:bCs/>
          <w:i w:val="0"/>
          <w:iCs w:val="0"/>
          <w:color w:val="000000"/>
          <w:kern w:val="0"/>
          <w:sz w:val="24"/>
          <w:szCs w:val="24"/>
          <w:u w:val="none"/>
          <w:lang w:val="en-GB" w:eastAsia="zh-CN" w:bidi="ar"/>
        </w:rPr>
        <w:t>Exchange Rate</w:t>
      </w:r>
      <w:r>
        <w:rPr>
          <w:rFonts w:hint="default" w:ascii="Calibri" w:hAnsi="Calibri" w:eastAsia="SimSun" w:cs="Calibri"/>
          <w:i w:val="0"/>
          <w:iCs w:val="0"/>
          <w:color w:val="000000"/>
          <w:kern w:val="0"/>
          <w:sz w:val="24"/>
          <w:szCs w:val="24"/>
          <w:u w:val="none"/>
          <w:lang w:val="en-GB" w:eastAsia="zh-CN" w:bidi="ar"/>
        </w:rPr>
        <w:t xml:space="preserve"> :. Tesla earns substantial revenue from transactions denominated in Chinese renminbi (RMB) and Euros while maintaining its functional currency in US dollars. Any depreciation of the currencies leads to a reduction in net income. The proposed restructuring strategy ought to have an exchange rate risk management plan involving natural and synthetic hedges like forward contracts, according to sound international finance practice (Madura, 2021).</w:t>
      </w:r>
    </w:p>
    <w:p w14:paraId="7C1F8674">
      <w:pPr>
        <w:numPr>
          <w:ilvl w:val="0"/>
          <w:numId w:val="0"/>
        </w:numPr>
        <w:jc w:val="both"/>
        <w:rPr>
          <w:rFonts w:hint="default" w:ascii="Calibri" w:hAnsi="Calibri" w:eastAsia="SimSun" w:cs="Calibri"/>
          <w:i w:val="0"/>
          <w:iCs w:val="0"/>
          <w:color w:val="000000"/>
          <w:kern w:val="0"/>
          <w:sz w:val="24"/>
          <w:szCs w:val="24"/>
          <w:u w:val="none"/>
          <w:lang w:val="en-GB" w:eastAsia="zh-CN" w:bidi="ar"/>
        </w:rPr>
      </w:pPr>
    </w:p>
    <w:p w14:paraId="0A0AE5DA">
      <w:pPr>
        <w:numPr>
          <w:ilvl w:val="0"/>
          <w:numId w:val="0"/>
        </w:numPr>
        <w:jc w:val="both"/>
        <w:rPr>
          <w:rFonts w:hint="default" w:ascii="Calibri" w:hAnsi="Calibri" w:eastAsia="SimSun" w:cs="Calibri"/>
          <w:i w:val="0"/>
          <w:iCs w:val="0"/>
          <w:color w:val="000000"/>
          <w:kern w:val="0"/>
          <w:sz w:val="24"/>
          <w:szCs w:val="24"/>
          <w:u w:val="none"/>
          <w:lang w:val="en-GB" w:eastAsia="zh-CN" w:bidi="ar"/>
        </w:rPr>
      </w:pPr>
      <w:r>
        <w:rPr>
          <w:rFonts w:hint="default" w:ascii="Calibri" w:hAnsi="Calibri" w:eastAsia="SimSun" w:cs="Calibri"/>
          <w:b/>
          <w:bCs/>
          <w:i w:val="0"/>
          <w:iCs w:val="0"/>
          <w:color w:val="000000"/>
          <w:kern w:val="0"/>
          <w:sz w:val="24"/>
          <w:szCs w:val="24"/>
          <w:u w:val="none"/>
          <w:lang w:val="en-GB" w:eastAsia="zh-CN" w:bidi="ar"/>
        </w:rPr>
        <w:t>Inflation</w:t>
      </w:r>
      <w:r>
        <w:rPr>
          <w:rFonts w:hint="default" w:ascii="Calibri" w:hAnsi="Calibri" w:eastAsia="SimSun" w:cs="Calibri"/>
          <w:i w:val="0"/>
          <w:iCs w:val="0"/>
          <w:color w:val="000000"/>
          <w:kern w:val="0"/>
          <w:sz w:val="24"/>
          <w:szCs w:val="24"/>
          <w:u w:val="none"/>
          <w:lang w:val="en-GB" w:eastAsia="zh-CN" w:bidi="ar"/>
        </w:rPr>
        <w:t xml:space="preserve"> : Constantly rising input costs inflation, especially in the cases of steel, aluminum, and lithium, has continued to weigh on COGS. This is where the vertical integration business strategy comes in to play since it helps in internalizing input costs exposure.</w:t>
      </w:r>
    </w:p>
    <w:p w14:paraId="010A9C8C">
      <w:pPr>
        <w:numPr>
          <w:ilvl w:val="0"/>
          <w:numId w:val="0"/>
        </w:numPr>
        <w:jc w:val="both"/>
        <w:rPr>
          <w:rFonts w:hint="default" w:ascii="Calibri" w:hAnsi="Calibri" w:eastAsia="SimSun" w:cs="Calibri"/>
          <w:i w:val="0"/>
          <w:iCs w:val="0"/>
          <w:color w:val="000000"/>
          <w:kern w:val="0"/>
          <w:sz w:val="24"/>
          <w:szCs w:val="24"/>
          <w:u w:val="none"/>
          <w:lang w:val="en-GB" w:eastAsia="zh-CN" w:bidi="ar"/>
        </w:rPr>
      </w:pPr>
    </w:p>
    <w:p w14:paraId="0E93E532">
      <w:pPr>
        <w:numPr>
          <w:ilvl w:val="0"/>
          <w:numId w:val="0"/>
        </w:numPr>
        <w:jc w:val="both"/>
        <w:rPr>
          <w:rFonts w:hint="default" w:ascii="Calibri" w:hAnsi="Calibri" w:eastAsia="SimSun" w:cs="Calibri"/>
          <w:i w:val="0"/>
          <w:iCs w:val="0"/>
          <w:color w:val="000000"/>
          <w:kern w:val="0"/>
          <w:sz w:val="24"/>
          <w:szCs w:val="24"/>
          <w:u w:val="none"/>
          <w:lang w:val="en-GB" w:eastAsia="zh-CN" w:bidi="ar"/>
        </w:rPr>
      </w:pPr>
      <w:r>
        <w:rPr>
          <w:rFonts w:hint="default" w:ascii="Calibri" w:hAnsi="Calibri" w:eastAsia="SimSun" w:cs="Calibri"/>
          <w:b/>
          <w:bCs/>
          <w:i w:val="0"/>
          <w:iCs w:val="0"/>
          <w:color w:val="000000"/>
          <w:kern w:val="0"/>
          <w:sz w:val="24"/>
          <w:szCs w:val="24"/>
          <w:u w:val="none"/>
          <w:lang w:val="en-GB" w:eastAsia="zh-CN" w:bidi="ar"/>
        </w:rPr>
        <w:t>Corporate Social Responsibility (CSR)</w:t>
      </w:r>
      <w:r>
        <w:rPr>
          <w:rFonts w:hint="default" w:ascii="Calibri" w:hAnsi="Calibri" w:eastAsia="SimSun" w:cs="Calibri"/>
          <w:i w:val="0"/>
          <w:iCs w:val="0"/>
          <w:color w:val="000000"/>
          <w:kern w:val="0"/>
          <w:sz w:val="24"/>
          <w:szCs w:val="24"/>
          <w:u w:val="none"/>
          <w:lang w:val="en-GB" w:eastAsia="zh-CN" w:bidi="ar"/>
        </w:rPr>
        <w:t xml:space="preserve"> : The restructuring exercise must be measured by Tesla’s commitment to ESG. The sell-off of the company’s insurance division will have to involve strict data privacy protocols for customers who were subjected to data collection based on their use of insurance provided by Tesla. In light of the ethical problems associated with mining lithium and cobalt, any potential acquisitions or mergers involving minerals or metals must undergo strict ESG due diligence (Transparency International, 2022). The company must ensure that its green bonds comply with the framework to avoid greenwashing, ensuring its ESG positioning and higher value multiple compared to conventional auto makers.</w:t>
      </w:r>
    </w:p>
    <w:p w14:paraId="4C7B25C0">
      <w:pPr>
        <w:pStyle w:val="2"/>
        <w:numPr>
          <w:ilvl w:val="0"/>
          <w:numId w:val="1"/>
        </w:numPr>
        <w:bidi w:val="0"/>
        <w:rPr>
          <w:rFonts w:hint="default" w:ascii="Calibri" w:hAnsi="Calibri" w:eastAsia="SimSun" w:cs="Calibri"/>
          <w:i w:val="0"/>
          <w:iCs w:val="0"/>
          <w:color w:val="000000"/>
          <w:kern w:val="0"/>
          <w:sz w:val="24"/>
          <w:szCs w:val="24"/>
          <w:u w:val="none"/>
          <w:lang w:val="en-GB" w:eastAsia="zh-CN" w:bidi="ar"/>
        </w:rPr>
      </w:pPr>
      <w:bookmarkStart w:id="124" w:name="_Toc13010"/>
      <w:bookmarkStart w:id="125" w:name="_Toc17553"/>
      <w:bookmarkStart w:id="126" w:name="_Toc30333"/>
      <w:r>
        <w:rPr>
          <w:rFonts w:hint="default" w:ascii="Calibri" w:hAnsi="Calibri" w:cs="Calibri"/>
          <w:sz w:val="24"/>
          <w:szCs w:val="24"/>
          <w:lang w:val="en-GB" w:eastAsia="zh-CN"/>
        </w:rPr>
        <w:t>Investment Appraisal and Capital Budgeting</w:t>
      </w:r>
      <w:bookmarkEnd w:id="124"/>
      <w:bookmarkEnd w:id="125"/>
      <w:bookmarkEnd w:id="126"/>
    </w:p>
    <w:p w14:paraId="7824DE9F">
      <w:pPr>
        <w:pStyle w:val="3"/>
        <w:bidi w:val="0"/>
        <w:rPr>
          <w:rFonts w:hint="default" w:ascii="Calibri" w:hAnsi="Calibri" w:eastAsia="SimSun" w:cs="Calibri"/>
          <w:i w:val="0"/>
          <w:iCs w:val="0"/>
          <w:color w:val="000000"/>
          <w:kern w:val="0"/>
          <w:sz w:val="24"/>
          <w:szCs w:val="24"/>
          <w:u w:val="none"/>
          <w:lang w:val="en-GB" w:eastAsia="zh-CN" w:bidi="ar"/>
        </w:rPr>
      </w:pPr>
      <w:bookmarkStart w:id="127" w:name="_Toc28065"/>
      <w:bookmarkStart w:id="128" w:name="_Toc25477"/>
      <w:bookmarkStart w:id="129" w:name="_Toc1793"/>
      <w:r>
        <w:rPr>
          <w:rFonts w:hint="default" w:ascii="Calibri" w:hAnsi="Calibri" w:cs="Calibri"/>
          <w:i w:val="0"/>
          <w:iCs w:val="0"/>
          <w:color w:val="000000"/>
          <w:kern w:val="0"/>
          <w:sz w:val="24"/>
          <w:szCs w:val="24"/>
          <w:u w:val="none"/>
          <w:lang w:val="en-GB" w:eastAsia="zh-CN" w:bidi="ar"/>
        </w:rPr>
        <w:t xml:space="preserve">5.1 </w:t>
      </w:r>
      <w:r>
        <w:rPr>
          <w:rFonts w:hint="default" w:ascii="Calibri" w:hAnsi="Calibri" w:eastAsia="SimSun" w:cs="Calibri"/>
          <w:i w:val="0"/>
          <w:iCs w:val="0"/>
          <w:color w:val="000000"/>
          <w:kern w:val="0"/>
          <w:sz w:val="24"/>
          <w:szCs w:val="24"/>
          <w:u w:val="none"/>
          <w:lang w:val="en-GB" w:eastAsia="zh-CN" w:bidi="ar"/>
        </w:rPr>
        <w:t>Overview and Methodology</w:t>
      </w:r>
      <w:bookmarkEnd w:id="127"/>
      <w:bookmarkEnd w:id="128"/>
      <w:bookmarkEnd w:id="129"/>
    </w:p>
    <w:p w14:paraId="56B2626C">
      <w:pPr>
        <w:numPr>
          <w:ilvl w:val="0"/>
          <w:numId w:val="0"/>
        </w:numPr>
        <w:ind w:leftChars="0"/>
        <w:jc w:val="both"/>
        <w:rPr>
          <w:rFonts w:hint="default" w:ascii="Calibri" w:hAnsi="Calibri" w:eastAsia="SimSun" w:cs="Calibri"/>
          <w:i w:val="0"/>
          <w:iCs w:val="0"/>
          <w:color w:val="000000"/>
          <w:kern w:val="0"/>
          <w:sz w:val="24"/>
          <w:szCs w:val="24"/>
          <w:u w:val="none"/>
          <w:lang w:val="en-GB" w:eastAsia="zh-CN" w:bidi="ar"/>
        </w:rPr>
      </w:pPr>
      <w:r>
        <w:rPr>
          <w:rFonts w:hint="default" w:ascii="Calibri" w:hAnsi="Calibri" w:eastAsia="SimSun" w:cs="Calibri"/>
          <w:i w:val="0"/>
          <w:iCs w:val="0"/>
          <w:color w:val="000000"/>
          <w:kern w:val="0"/>
          <w:sz w:val="24"/>
          <w:szCs w:val="24"/>
          <w:u w:val="none"/>
          <w:lang w:val="en-GB" w:eastAsia="zh-CN" w:bidi="ar"/>
        </w:rPr>
        <w:t>The management at Tesla needs to make a choice among three potential investment projects, namely A, B, and C, each needing an initial capital expenditure of £50 million, with positive cash flows for a period of five years. The analysis will be conducted using five approaches, including Payback Period (PBP), Accounting Rate of Return (ARR), Net Present Value (NPV), Profitability Index (PI), and Internal Rate of Return (IRR). The depreciation method for all three projects will be straight line to zero salvage value, resulting in £10 million per year for each project. The required rate of return used in NPV and PI computation will be 10%.</w:t>
      </w:r>
    </w:p>
    <w:p w14:paraId="1CF9E650">
      <w:pPr>
        <w:pStyle w:val="3"/>
        <w:bidi w:val="0"/>
        <w:rPr>
          <w:rFonts w:hint="default" w:ascii="Calibri" w:hAnsi="Calibri" w:eastAsia="SimSun" w:cs="Calibri"/>
          <w:i w:val="0"/>
          <w:iCs w:val="0"/>
          <w:color w:val="000000"/>
          <w:kern w:val="0"/>
          <w:sz w:val="24"/>
          <w:szCs w:val="24"/>
          <w:u w:val="none"/>
          <w:lang w:val="en-GB" w:eastAsia="zh-CN" w:bidi="ar"/>
        </w:rPr>
      </w:pPr>
      <w:bookmarkStart w:id="130" w:name="_Toc25145"/>
      <w:bookmarkStart w:id="131" w:name="_Toc22512"/>
      <w:bookmarkStart w:id="132" w:name="_Toc24846"/>
      <w:r>
        <w:rPr>
          <w:rFonts w:hint="default" w:ascii="Calibri" w:hAnsi="Calibri" w:cs="Calibri"/>
          <w:i w:val="0"/>
          <w:iCs w:val="0"/>
          <w:color w:val="000000"/>
          <w:kern w:val="0"/>
          <w:sz w:val="24"/>
          <w:szCs w:val="24"/>
          <w:u w:val="none"/>
          <w:lang w:val="en-GB" w:eastAsia="zh-CN" w:bidi="ar"/>
        </w:rPr>
        <w:t>5.2 Investment Appraisal Calculations</w:t>
      </w:r>
      <w:bookmarkEnd w:id="130"/>
      <w:bookmarkEnd w:id="131"/>
      <w:bookmarkEnd w:id="132"/>
    </w:p>
    <w:p w14:paraId="777C5090">
      <w:pPr>
        <w:numPr>
          <w:ilvl w:val="0"/>
          <w:numId w:val="0"/>
        </w:numPr>
        <w:ind w:leftChars="0"/>
        <w:jc w:val="both"/>
        <w:rPr>
          <w:rFonts w:hint="default" w:ascii="Calibri" w:hAnsi="Calibri" w:eastAsia="SimSun" w:cs="Calibri"/>
          <w:i w:val="0"/>
          <w:iCs w:val="0"/>
          <w:color w:val="000000"/>
          <w:kern w:val="0"/>
          <w:sz w:val="24"/>
          <w:szCs w:val="24"/>
          <w:u w:val="none"/>
          <w:lang w:val="en-GB" w:eastAsia="zh-CN" w:bidi="ar"/>
        </w:rPr>
      </w:pPr>
      <w:r>
        <w:rPr>
          <w:rFonts w:hint="default" w:ascii="Calibri" w:hAnsi="Calibri" w:eastAsia="SimSun" w:cs="Calibri"/>
          <w:i w:val="0"/>
          <w:iCs w:val="0"/>
          <w:color w:val="000000"/>
          <w:kern w:val="0"/>
          <w:sz w:val="24"/>
          <w:szCs w:val="24"/>
          <w:u w:val="none"/>
          <w:lang w:val="en-GB" w:eastAsia="zh-CN" w:bidi="ar"/>
        </w:rPr>
        <w:t>Table 2: Net Cash Inflows by Year (£m)</w:t>
      </w:r>
    </w:p>
    <w:p w14:paraId="75F58096">
      <w:pPr>
        <w:numPr>
          <w:ilvl w:val="0"/>
          <w:numId w:val="0"/>
        </w:numPr>
        <w:ind w:leftChars="0"/>
        <w:jc w:val="both"/>
        <w:rPr>
          <w:rFonts w:hint="default" w:ascii="Calibri" w:hAnsi="Calibri" w:eastAsia="SimSun" w:cs="Calibri"/>
          <w:i w:val="0"/>
          <w:iCs w:val="0"/>
          <w:color w:val="000000"/>
          <w:kern w:val="0"/>
          <w:sz w:val="24"/>
          <w:szCs w:val="24"/>
          <w:u w:val="none"/>
          <w:lang w:val="en-GB" w:eastAsia="zh-CN" w:bidi="ar"/>
        </w:rPr>
      </w:pPr>
    </w:p>
    <w:tbl>
      <w:tblPr>
        <w:tblStyle w:val="7"/>
        <w:tblW w:w="8325" w:type="dxa"/>
        <w:jc w:val="center"/>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Layout w:type="fixed"/>
        <w:tblCellMar>
          <w:top w:w="0" w:type="dxa"/>
          <w:left w:w="108" w:type="dxa"/>
          <w:bottom w:w="0" w:type="dxa"/>
          <w:right w:w="108" w:type="dxa"/>
        </w:tblCellMar>
      </w:tblPr>
      <w:tblGrid>
        <w:gridCol w:w="2052"/>
        <w:gridCol w:w="2186"/>
        <w:gridCol w:w="2100"/>
        <w:gridCol w:w="1987"/>
      </w:tblGrid>
      <w:tr w14:paraId="4BA360DE">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300" w:hRule="atLeast"/>
          <w:jc w:val="center"/>
        </w:trPr>
        <w:tc>
          <w:tcPr>
            <w:tcW w:w="2052" w:type="dxa"/>
            <w:tcBorders>
              <w:top w:val="nil"/>
              <w:left w:val="nil"/>
              <w:bottom w:val="nil"/>
              <w:right w:val="nil"/>
            </w:tcBorders>
            <w:shd w:val="clear" w:color="auto" w:fill="D9E1F2"/>
            <w:noWrap/>
            <w:vAlign w:val="bottom"/>
          </w:tcPr>
          <w:p w14:paraId="1C3E0A06">
            <w:pPr>
              <w:keepNext w:val="0"/>
              <w:keepLines w:val="0"/>
              <w:widowControl/>
              <w:suppressLineNumbers w:val="0"/>
              <w:jc w:val="left"/>
              <w:textAlignment w:val="bottom"/>
              <w:rPr>
                <w:rFonts w:ascii="Calibri" w:hAnsi="Calibri" w:cs="Calibri"/>
                <w:b/>
                <w:bCs/>
                <w:i w:val="0"/>
                <w:iCs w:val="0"/>
                <w:color w:val="000000"/>
                <w:sz w:val="22"/>
                <w:szCs w:val="22"/>
                <w:u w:val="none"/>
              </w:rPr>
            </w:pPr>
            <w:r>
              <w:rPr>
                <w:rFonts w:hint="default" w:ascii="Calibri" w:hAnsi="Calibri" w:eastAsia="SimSun" w:cs="Calibri"/>
                <w:b/>
                <w:bCs/>
                <w:i w:val="0"/>
                <w:iCs w:val="0"/>
                <w:color w:val="000000"/>
                <w:kern w:val="0"/>
                <w:sz w:val="22"/>
                <w:szCs w:val="22"/>
                <w:u w:val="none"/>
                <w:lang w:val="en-US" w:eastAsia="zh-CN" w:bidi="ar"/>
              </w:rPr>
              <w:t>Year</w:t>
            </w:r>
          </w:p>
        </w:tc>
        <w:tc>
          <w:tcPr>
            <w:tcW w:w="2186" w:type="dxa"/>
            <w:tcBorders>
              <w:top w:val="nil"/>
              <w:left w:val="nil"/>
              <w:bottom w:val="nil"/>
              <w:right w:val="nil"/>
            </w:tcBorders>
            <w:shd w:val="clear" w:color="auto" w:fill="D9E1F2"/>
            <w:noWrap/>
            <w:vAlign w:val="bottom"/>
          </w:tcPr>
          <w:p w14:paraId="64D19B33">
            <w:pPr>
              <w:keepNext w:val="0"/>
              <w:keepLines w:val="0"/>
              <w:widowControl/>
              <w:suppressLineNumbers w:val="0"/>
              <w:jc w:val="left"/>
              <w:textAlignment w:val="bottom"/>
              <w:rPr>
                <w:rFonts w:hint="default" w:ascii="Calibri" w:hAnsi="Calibri" w:cs="Calibri"/>
                <w:b/>
                <w:bCs/>
                <w:i w:val="0"/>
                <w:iCs w:val="0"/>
                <w:color w:val="000000"/>
                <w:sz w:val="22"/>
                <w:szCs w:val="22"/>
                <w:u w:val="none"/>
              </w:rPr>
            </w:pPr>
            <w:r>
              <w:rPr>
                <w:rFonts w:hint="default" w:ascii="Calibri" w:hAnsi="Calibri" w:eastAsia="SimSun" w:cs="Calibri"/>
                <w:b/>
                <w:bCs/>
                <w:i w:val="0"/>
                <w:iCs w:val="0"/>
                <w:color w:val="000000"/>
                <w:kern w:val="0"/>
                <w:sz w:val="22"/>
                <w:szCs w:val="22"/>
                <w:u w:val="none"/>
                <w:lang w:val="en-US" w:eastAsia="zh-CN" w:bidi="ar"/>
              </w:rPr>
              <w:t>Project A</w:t>
            </w:r>
          </w:p>
        </w:tc>
        <w:tc>
          <w:tcPr>
            <w:tcW w:w="2100" w:type="dxa"/>
            <w:tcBorders>
              <w:top w:val="nil"/>
              <w:left w:val="nil"/>
              <w:bottom w:val="nil"/>
              <w:right w:val="nil"/>
            </w:tcBorders>
            <w:shd w:val="clear" w:color="auto" w:fill="D9E1F2"/>
            <w:noWrap/>
            <w:vAlign w:val="bottom"/>
          </w:tcPr>
          <w:p w14:paraId="09A7E4F9">
            <w:pPr>
              <w:keepNext w:val="0"/>
              <w:keepLines w:val="0"/>
              <w:widowControl/>
              <w:suppressLineNumbers w:val="0"/>
              <w:jc w:val="left"/>
              <w:textAlignment w:val="bottom"/>
              <w:rPr>
                <w:rFonts w:hint="default" w:ascii="Calibri" w:hAnsi="Calibri" w:cs="Calibri"/>
                <w:b/>
                <w:bCs/>
                <w:i w:val="0"/>
                <w:iCs w:val="0"/>
                <w:color w:val="000000"/>
                <w:sz w:val="22"/>
                <w:szCs w:val="22"/>
                <w:u w:val="none"/>
              </w:rPr>
            </w:pPr>
            <w:r>
              <w:rPr>
                <w:rFonts w:hint="default" w:ascii="Calibri" w:hAnsi="Calibri" w:eastAsia="SimSun" w:cs="Calibri"/>
                <w:b/>
                <w:bCs/>
                <w:i w:val="0"/>
                <w:iCs w:val="0"/>
                <w:color w:val="000000"/>
                <w:kern w:val="0"/>
                <w:sz w:val="22"/>
                <w:szCs w:val="22"/>
                <w:u w:val="none"/>
                <w:lang w:val="en-US" w:eastAsia="zh-CN" w:bidi="ar"/>
              </w:rPr>
              <w:t>Project B</w:t>
            </w:r>
          </w:p>
        </w:tc>
        <w:tc>
          <w:tcPr>
            <w:tcW w:w="1987" w:type="dxa"/>
            <w:tcBorders>
              <w:top w:val="nil"/>
              <w:left w:val="nil"/>
              <w:bottom w:val="nil"/>
              <w:right w:val="nil"/>
            </w:tcBorders>
            <w:shd w:val="clear" w:color="auto" w:fill="D9E1F2"/>
            <w:noWrap/>
            <w:vAlign w:val="bottom"/>
          </w:tcPr>
          <w:p w14:paraId="28302A89">
            <w:pPr>
              <w:keepNext w:val="0"/>
              <w:keepLines w:val="0"/>
              <w:widowControl/>
              <w:suppressLineNumbers w:val="0"/>
              <w:jc w:val="left"/>
              <w:textAlignment w:val="bottom"/>
              <w:rPr>
                <w:rFonts w:hint="default" w:ascii="Calibri" w:hAnsi="Calibri" w:cs="Calibri"/>
                <w:b/>
                <w:bCs/>
                <w:i w:val="0"/>
                <w:iCs w:val="0"/>
                <w:color w:val="000000"/>
                <w:sz w:val="22"/>
                <w:szCs w:val="22"/>
                <w:u w:val="none"/>
              </w:rPr>
            </w:pPr>
            <w:r>
              <w:rPr>
                <w:rFonts w:hint="default" w:ascii="Calibri" w:hAnsi="Calibri" w:eastAsia="SimSun" w:cs="Calibri"/>
                <w:b/>
                <w:bCs/>
                <w:i w:val="0"/>
                <w:iCs w:val="0"/>
                <w:color w:val="000000"/>
                <w:kern w:val="0"/>
                <w:sz w:val="22"/>
                <w:szCs w:val="22"/>
                <w:u w:val="none"/>
                <w:lang w:val="en-US" w:eastAsia="zh-CN" w:bidi="ar"/>
              </w:rPr>
              <w:t>Project C</w:t>
            </w:r>
          </w:p>
        </w:tc>
      </w:tr>
      <w:tr w14:paraId="25FBC733">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300" w:hRule="atLeast"/>
          <w:jc w:val="center"/>
        </w:trPr>
        <w:tc>
          <w:tcPr>
            <w:tcW w:w="2052" w:type="dxa"/>
            <w:tcBorders>
              <w:top w:val="nil"/>
              <w:left w:val="nil"/>
              <w:bottom w:val="nil"/>
              <w:right w:val="nil"/>
            </w:tcBorders>
            <w:shd w:val="clear" w:color="auto" w:fill="auto"/>
            <w:vAlign w:val="bottom"/>
          </w:tcPr>
          <w:p w14:paraId="567F2901">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lang w:val="en-US" w:eastAsia="zh-CN" w:bidi="ar"/>
              </w:rPr>
              <w:t>1</w:t>
            </w:r>
          </w:p>
        </w:tc>
        <w:tc>
          <w:tcPr>
            <w:tcW w:w="2186" w:type="dxa"/>
            <w:tcBorders>
              <w:top w:val="nil"/>
              <w:left w:val="nil"/>
              <w:bottom w:val="nil"/>
              <w:right w:val="nil"/>
            </w:tcBorders>
            <w:shd w:val="clear" w:color="auto" w:fill="auto"/>
            <w:vAlign w:val="bottom"/>
          </w:tcPr>
          <w:p w14:paraId="5D954228">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lang w:val="en-US" w:eastAsia="zh-CN" w:bidi="ar"/>
              </w:rPr>
              <w:t>10</w:t>
            </w:r>
          </w:p>
        </w:tc>
        <w:tc>
          <w:tcPr>
            <w:tcW w:w="2100" w:type="dxa"/>
            <w:tcBorders>
              <w:top w:val="nil"/>
              <w:left w:val="nil"/>
              <w:bottom w:val="nil"/>
              <w:right w:val="nil"/>
            </w:tcBorders>
            <w:shd w:val="clear" w:color="auto" w:fill="auto"/>
            <w:vAlign w:val="bottom"/>
          </w:tcPr>
          <w:p w14:paraId="278C0286">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lang w:val="en-US" w:eastAsia="zh-CN" w:bidi="ar"/>
              </w:rPr>
              <w:t>11</w:t>
            </w:r>
          </w:p>
        </w:tc>
        <w:tc>
          <w:tcPr>
            <w:tcW w:w="1987" w:type="dxa"/>
            <w:tcBorders>
              <w:top w:val="nil"/>
              <w:left w:val="nil"/>
              <w:bottom w:val="nil"/>
              <w:right w:val="nil"/>
            </w:tcBorders>
            <w:shd w:val="clear" w:color="auto" w:fill="auto"/>
            <w:vAlign w:val="bottom"/>
          </w:tcPr>
          <w:p w14:paraId="7C2C4FDB">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lang w:val="en-US" w:eastAsia="zh-CN" w:bidi="ar"/>
              </w:rPr>
              <w:t>5</w:t>
            </w:r>
          </w:p>
        </w:tc>
      </w:tr>
      <w:tr w14:paraId="466ABC33">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300" w:hRule="atLeast"/>
          <w:jc w:val="center"/>
        </w:trPr>
        <w:tc>
          <w:tcPr>
            <w:tcW w:w="2052" w:type="dxa"/>
            <w:tcBorders>
              <w:top w:val="nil"/>
              <w:left w:val="nil"/>
              <w:bottom w:val="nil"/>
              <w:right w:val="nil"/>
            </w:tcBorders>
            <w:shd w:val="clear" w:color="auto" w:fill="auto"/>
            <w:vAlign w:val="bottom"/>
          </w:tcPr>
          <w:p w14:paraId="01631EC0">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lang w:val="en-US" w:eastAsia="zh-CN" w:bidi="ar"/>
              </w:rPr>
              <w:t>2</w:t>
            </w:r>
          </w:p>
        </w:tc>
        <w:tc>
          <w:tcPr>
            <w:tcW w:w="2186" w:type="dxa"/>
            <w:tcBorders>
              <w:top w:val="nil"/>
              <w:left w:val="nil"/>
              <w:bottom w:val="nil"/>
              <w:right w:val="nil"/>
            </w:tcBorders>
            <w:shd w:val="clear" w:color="auto" w:fill="auto"/>
            <w:vAlign w:val="bottom"/>
          </w:tcPr>
          <w:p w14:paraId="0E9297DE">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lang w:val="en-US" w:eastAsia="zh-CN" w:bidi="ar"/>
              </w:rPr>
              <w:t>12</w:t>
            </w:r>
          </w:p>
        </w:tc>
        <w:tc>
          <w:tcPr>
            <w:tcW w:w="2100" w:type="dxa"/>
            <w:tcBorders>
              <w:top w:val="nil"/>
              <w:left w:val="nil"/>
              <w:bottom w:val="nil"/>
              <w:right w:val="nil"/>
            </w:tcBorders>
            <w:shd w:val="clear" w:color="auto" w:fill="auto"/>
            <w:vAlign w:val="bottom"/>
          </w:tcPr>
          <w:p w14:paraId="533BC940">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lang w:val="en-US" w:eastAsia="zh-CN" w:bidi="ar"/>
              </w:rPr>
              <w:t>11</w:t>
            </w:r>
          </w:p>
        </w:tc>
        <w:tc>
          <w:tcPr>
            <w:tcW w:w="1987" w:type="dxa"/>
            <w:tcBorders>
              <w:top w:val="nil"/>
              <w:left w:val="nil"/>
              <w:bottom w:val="nil"/>
              <w:right w:val="nil"/>
            </w:tcBorders>
            <w:shd w:val="clear" w:color="auto" w:fill="auto"/>
            <w:vAlign w:val="bottom"/>
          </w:tcPr>
          <w:p w14:paraId="55E44D30">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lang w:val="en-US" w:eastAsia="zh-CN" w:bidi="ar"/>
              </w:rPr>
              <w:t>10</w:t>
            </w:r>
          </w:p>
        </w:tc>
      </w:tr>
      <w:tr w14:paraId="271236A7">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00" w:hRule="atLeast"/>
          <w:jc w:val="center"/>
        </w:trPr>
        <w:tc>
          <w:tcPr>
            <w:tcW w:w="2052" w:type="dxa"/>
            <w:tcBorders>
              <w:top w:val="nil"/>
              <w:left w:val="nil"/>
              <w:bottom w:val="nil"/>
              <w:right w:val="nil"/>
            </w:tcBorders>
            <w:shd w:val="clear" w:color="auto" w:fill="auto"/>
            <w:vAlign w:val="bottom"/>
          </w:tcPr>
          <w:p w14:paraId="5677609E">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lang w:val="en-US" w:eastAsia="zh-CN" w:bidi="ar"/>
              </w:rPr>
              <w:t>3</w:t>
            </w:r>
          </w:p>
        </w:tc>
        <w:tc>
          <w:tcPr>
            <w:tcW w:w="2186" w:type="dxa"/>
            <w:tcBorders>
              <w:top w:val="nil"/>
              <w:left w:val="nil"/>
              <w:bottom w:val="nil"/>
              <w:right w:val="nil"/>
            </w:tcBorders>
            <w:shd w:val="clear" w:color="auto" w:fill="auto"/>
            <w:vAlign w:val="bottom"/>
          </w:tcPr>
          <w:p w14:paraId="3B8F0903">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lang w:val="en-US" w:eastAsia="zh-CN" w:bidi="ar"/>
              </w:rPr>
              <w:t>14</w:t>
            </w:r>
          </w:p>
        </w:tc>
        <w:tc>
          <w:tcPr>
            <w:tcW w:w="2100" w:type="dxa"/>
            <w:tcBorders>
              <w:top w:val="nil"/>
              <w:left w:val="nil"/>
              <w:bottom w:val="nil"/>
              <w:right w:val="nil"/>
            </w:tcBorders>
            <w:shd w:val="clear" w:color="auto" w:fill="auto"/>
            <w:vAlign w:val="bottom"/>
          </w:tcPr>
          <w:p w14:paraId="59F68CB3">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lang w:val="en-US" w:eastAsia="zh-CN" w:bidi="ar"/>
              </w:rPr>
              <w:t>11</w:t>
            </w:r>
          </w:p>
        </w:tc>
        <w:tc>
          <w:tcPr>
            <w:tcW w:w="1987" w:type="dxa"/>
            <w:tcBorders>
              <w:top w:val="nil"/>
              <w:left w:val="nil"/>
              <w:bottom w:val="nil"/>
              <w:right w:val="nil"/>
            </w:tcBorders>
            <w:shd w:val="clear" w:color="auto" w:fill="auto"/>
            <w:vAlign w:val="bottom"/>
          </w:tcPr>
          <w:p w14:paraId="3532F22B">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lang w:val="en-US" w:eastAsia="zh-CN" w:bidi="ar"/>
              </w:rPr>
              <w:t>20</w:t>
            </w:r>
          </w:p>
        </w:tc>
      </w:tr>
      <w:tr w14:paraId="62320CBA">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300" w:hRule="atLeast"/>
          <w:jc w:val="center"/>
        </w:trPr>
        <w:tc>
          <w:tcPr>
            <w:tcW w:w="2052" w:type="dxa"/>
            <w:tcBorders>
              <w:top w:val="nil"/>
              <w:left w:val="nil"/>
              <w:bottom w:val="nil"/>
              <w:right w:val="nil"/>
            </w:tcBorders>
            <w:shd w:val="clear" w:color="auto" w:fill="auto"/>
            <w:vAlign w:val="bottom"/>
          </w:tcPr>
          <w:p w14:paraId="7AC54B28">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lang w:val="en-US" w:eastAsia="zh-CN" w:bidi="ar"/>
              </w:rPr>
              <w:t>4</w:t>
            </w:r>
          </w:p>
        </w:tc>
        <w:tc>
          <w:tcPr>
            <w:tcW w:w="2186" w:type="dxa"/>
            <w:tcBorders>
              <w:top w:val="nil"/>
              <w:left w:val="nil"/>
              <w:bottom w:val="nil"/>
              <w:right w:val="nil"/>
            </w:tcBorders>
            <w:shd w:val="clear" w:color="auto" w:fill="auto"/>
            <w:vAlign w:val="bottom"/>
          </w:tcPr>
          <w:p w14:paraId="566396B8">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lang w:val="en-US" w:eastAsia="zh-CN" w:bidi="ar"/>
              </w:rPr>
              <w:t>10</w:t>
            </w:r>
          </w:p>
        </w:tc>
        <w:tc>
          <w:tcPr>
            <w:tcW w:w="2100" w:type="dxa"/>
            <w:tcBorders>
              <w:top w:val="nil"/>
              <w:left w:val="nil"/>
              <w:bottom w:val="nil"/>
              <w:right w:val="nil"/>
            </w:tcBorders>
            <w:shd w:val="clear" w:color="auto" w:fill="auto"/>
            <w:vAlign w:val="bottom"/>
          </w:tcPr>
          <w:p w14:paraId="67F113BB">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lang w:val="en-US" w:eastAsia="zh-CN" w:bidi="ar"/>
              </w:rPr>
              <w:t>11</w:t>
            </w:r>
          </w:p>
        </w:tc>
        <w:tc>
          <w:tcPr>
            <w:tcW w:w="1987" w:type="dxa"/>
            <w:tcBorders>
              <w:top w:val="nil"/>
              <w:left w:val="nil"/>
              <w:bottom w:val="nil"/>
              <w:right w:val="nil"/>
            </w:tcBorders>
            <w:shd w:val="clear" w:color="auto" w:fill="auto"/>
            <w:vAlign w:val="bottom"/>
          </w:tcPr>
          <w:p w14:paraId="36D14716">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lang w:val="en-US" w:eastAsia="zh-CN" w:bidi="ar"/>
              </w:rPr>
              <w:t>25</w:t>
            </w:r>
          </w:p>
        </w:tc>
      </w:tr>
      <w:tr w14:paraId="1F724A8D">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300" w:hRule="atLeast"/>
          <w:jc w:val="center"/>
        </w:trPr>
        <w:tc>
          <w:tcPr>
            <w:tcW w:w="2052" w:type="dxa"/>
            <w:tcBorders>
              <w:top w:val="nil"/>
              <w:left w:val="nil"/>
              <w:bottom w:val="nil"/>
              <w:right w:val="nil"/>
            </w:tcBorders>
            <w:shd w:val="clear" w:color="auto" w:fill="auto"/>
            <w:vAlign w:val="bottom"/>
          </w:tcPr>
          <w:p w14:paraId="16B44623">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lang w:val="en-US" w:eastAsia="zh-CN" w:bidi="ar"/>
              </w:rPr>
              <w:t>5</w:t>
            </w:r>
          </w:p>
        </w:tc>
        <w:tc>
          <w:tcPr>
            <w:tcW w:w="2186" w:type="dxa"/>
            <w:tcBorders>
              <w:top w:val="nil"/>
              <w:left w:val="nil"/>
              <w:bottom w:val="nil"/>
              <w:right w:val="nil"/>
            </w:tcBorders>
            <w:shd w:val="clear" w:color="auto" w:fill="auto"/>
            <w:vAlign w:val="bottom"/>
          </w:tcPr>
          <w:p w14:paraId="4EEDB362">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lang w:val="en-US" w:eastAsia="zh-CN" w:bidi="ar"/>
              </w:rPr>
              <w:t>8</w:t>
            </w:r>
          </w:p>
        </w:tc>
        <w:tc>
          <w:tcPr>
            <w:tcW w:w="2100" w:type="dxa"/>
            <w:tcBorders>
              <w:top w:val="nil"/>
              <w:left w:val="nil"/>
              <w:bottom w:val="nil"/>
              <w:right w:val="nil"/>
            </w:tcBorders>
            <w:shd w:val="clear" w:color="auto" w:fill="auto"/>
            <w:vAlign w:val="bottom"/>
          </w:tcPr>
          <w:p w14:paraId="6C0AFC14">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lang w:val="en-US" w:eastAsia="zh-CN" w:bidi="ar"/>
              </w:rPr>
              <w:t>11</w:t>
            </w:r>
          </w:p>
        </w:tc>
        <w:tc>
          <w:tcPr>
            <w:tcW w:w="1987" w:type="dxa"/>
            <w:tcBorders>
              <w:top w:val="nil"/>
              <w:left w:val="nil"/>
              <w:bottom w:val="nil"/>
              <w:right w:val="nil"/>
            </w:tcBorders>
            <w:shd w:val="clear" w:color="auto" w:fill="auto"/>
            <w:vAlign w:val="bottom"/>
          </w:tcPr>
          <w:p w14:paraId="19779745">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lang w:val="en-US" w:eastAsia="zh-CN" w:bidi="ar"/>
              </w:rPr>
              <w:t>5</w:t>
            </w:r>
          </w:p>
        </w:tc>
      </w:tr>
      <w:tr w14:paraId="196A4BF6">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300" w:hRule="atLeast"/>
          <w:jc w:val="center"/>
        </w:trPr>
        <w:tc>
          <w:tcPr>
            <w:tcW w:w="2052" w:type="dxa"/>
            <w:tcBorders>
              <w:top w:val="nil"/>
              <w:left w:val="nil"/>
              <w:bottom w:val="nil"/>
              <w:right w:val="nil"/>
            </w:tcBorders>
            <w:shd w:val="clear" w:color="auto" w:fill="auto"/>
            <w:vAlign w:val="bottom"/>
          </w:tcPr>
          <w:p w14:paraId="3D7D02DE">
            <w:pPr>
              <w:keepNext w:val="0"/>
              <w:keepLines w:val="0"/>
              <w:widowControl/>
              <w:suppressLineNumbers w:val="0"/>
              <w:jc w:val="left"/>
              <w:textAlignment w:val="bottom"/>
              <w:rPr>
                <w:rFonts w:hint="default" w:ascii="Calibri" w:hAnsi="Calibri" w:cs="Calibri"/>
                <w:b/>
                <w:bCs/>
                <w:i w:val="0"/>
                <w:iCs w:val="0"/>
                <w:color w:val="000000"/>
                <w:sz w:val="22"/>
                <w:szCs w:val="22"/>
                <w:u w:val="none"/>
              </w:rPr>
            </w:pPr>
            <w:r>
              <w:rPr>
                <w:rFonts w:hint="default" w:ascii="Calibri" w:hAnsi="Calibri" w:eastAsia="SimSun" w:cs="Calibri"/>
                <w:b/>
                <w:bCs/>
                <w:i w:val="0"/>
                <w:iCs w:val="0"/>
                <w:color w:val="000000"/>
                <w:kern w:val="0"/>
                <w:sz w:val="22"/>
                <w:szCs w:val="22"/>
                <w:u w:val="none"/>
                <w:lang w:val="en-US" w:eastAsia="zh-CN" w:bidi="ar"/>
              </w:rPr>
              <w:t>Total</w:t>
            </w:r>
          </w:p>
        </w:tc>
        <w:tc>
          <w:tcPr>
            <w:tcW w:w="2186" w:type="dxa"/>
            <w:tcBorders>
              <w:top w:val="nil"/>
              <w:left w:val="nil"/>
              <w:bottom w:val="nil"/>
              <w:right w:val="nil"/>
            </w:tcBorders>
            <w:shd w:val="clear" w:color="auto" w:fill="auto"/>
            <w:vAlign w:val="bottom"/>
          </w:tcPr>
          <w:p w14:paraId="10652FDD">
            <w:pPr>
              <w:keepNext w:val="0"/>
              <w:keepLines w:val="0"/>
              <w:widowControl/>
              <w:suppressLineNumbers w:val="0"/>
              <w:jc w:val="right"/>
              <w:textAlignment w:val="bottom"/>
              <w:rPr>
                <w:rFonts w:hint="default" w:ascii="Calibri" w:hAnsi="Calibri" w:cs="Calibri"/>
                <w:b/>
                <w:bCs/>
                <w:i w:val="0"/>
                <w:iCs w:val="0"/>
                <w:color w:val="000000"/>
                <w:sz w:val="22"/>
                <w:szCs w:val="22"/>
                <w:u w:val="none"/>
              </w:rPr>
            </w:pPr>
            <w:r>
              <w:rPr>
                <w:rFonts w:hint="default" w:ascii="Calibri" w:hAnsi="Calibri" w:eastAsia="SimSun" w:cs="Calibri"/>
                <w:b/>
                <w:bCs/>
                <w:i w:val="0"/>
                <w:iCs w:val="0"/>
                <w:color w:val="000000"/>
                <w:kern w:val="0"/>
                <w:sz w:val="22"/>
                <w:szCs w:val="22"/>
                <w:u w:val="none"/>
                <w:lang w:val="en-US" w:eastAsia="zh-CN" w:bidi="ar"/>
              </w:rPr>
              <w:t>54</w:t>
            </w:r>
          </w:p>
        </w:tc>
        <w:tc>
          <w:tcPr>
            <w:tcW w:w="2100" w:type="dxa"/>
            <w:tcBorders>
              <w:top w:val="nil"/>
              <w:left w:val="nil"/>
              <w:bottom w:val="nil"/>
              <w:right w:val="nil"/>
            </w:tcBorders>
            <w:shd w:val="clear" w:color="auto" w:fill="auto"/>
            <w:vAlign w:val="bottom"/>
          </w:tcPr>
          <w:p w14:paraId="234EB76C">
            <w:pPr>
              <w:keepNext w:val="0"/>
              <w:keepLines w:val="0"/>
              <w:widowControl/>
              <w:suppressLineNumbers w:val="0"/>
              <w:jc w:val="right"/>
              <w:textAlignment w:val="bottom"/>
              <w:rPr>
                <w:rFonts w:hint="default" w:ascii="Calibri" w:hAnsi="Calibri" w:cs="Calibri"/>
                <w:b/>
                <w:bCs/>
                <w:i w:val="0"/>
                <w:iCs w:val="0"/>
                <w:color w:val="000000"/>
                <w:sz w:val="22"/>
                <w:szCs w:val="22"/>
                <w:u w:val="none"/>
              </w:rPr>
            </w:pPr>
            <w:r>
              <w:rPr>
                <w:rFonts w:hint="default" w:ascii="Calibri" w:hAnsi="Calibri" w:eastAsia="SimSun" w:cs="Calibri"/>
                <w:b/>
                <w:bCs/>
                <w:i w:val="0"/>
                <w:iCs w:val="0"/>
                <w:color w:val="000000"/>
                <w:kern w:val="0"/>
                <w:sz w:val="22"/>
                <w:szCs w:val="22"/>
                <w:u w:val="none"/>
                <w:lang w:val="en-US" w:eastAsia="zh-CN" w:bidi="ar"/>
              </w:rPr>
              <w:t>55</w:t>
            </w:r>
          </w:p>
        </w:tc>
        <w:tc>
          <w:tcPr>
            <w:tcW w:w="1987" w:type="dxa"/>
            <w:tcBorders>
              <w:top w:val="nil"/>
              <w:left w:val="nil"/>
              <w:bottom w:val="nil"/>
              <w:right w:val="nil"/>
            </w:tcBorders>
            <w:shd w:val="clear" w:color="auto" w:fill="auto"/>
            <w:vAlign w:val="bottom"/>
          </w:tcPr>
          <w:p w14:paraId="4949DF05">
            <w:pPr>
              <w:keepNext w:val="0"/>
              <w:keepLines w:val="0"/>
              <w:widowControl/>
              <w:suppressLineNumbers w:val="0"/>
              <w:jc w:val="right"/>
              <w:textAlignment w:val="bottom"/>
              <w:rPr>
                <w:rFonts w:hint="default" w:ascii="Calibri" w:hAnsi="Calibri" w:cs="Calibri"/>
                <w:b/>
                <w:bCs/>
                <w:i w:val="0"/>
                <w:iCs w:val="0"/>
                <w:color w:val="000000"/>
                <w:sz w:val="22"/>
                <w:szCs w:val="22"/>
                <w:u w:val="none"/>
              </w:rPr>
            </w:pPr>
            <w:r>
              <w:rPr>
                <w:rFonts w:hint="default" w:ascii="Calibri" w:hAnsi="Calibri" w:eastAsia="SimSun" w:cs="Calibri"/>
                <w:b/>
                <w:bCs/>
                <w:i w:val="0"/>
                <w:iCs w:val="0"/>
                <w:color w:val="000000"/>
                <w:kern w:val="0"/>
                <w:sz w:val="22"/>
                <w:szCs w:val="22"/>
                <w:u w:val="none"/>
                <w:lang w:val="en-US" w:eastAsia="zh-CN" w:bidi="ar"/>
              </w:rPr>
              <w:t>65</w:t>
            </w:r>
          </w:p>
        </w:tc>
      </w:tr>
    </w:tbl>
    <w:p w14:paraId="556B857F">
      <w:pPr>
        <w:numPr>
          <w:ilvl w:val="0"/>
          <w:numId w:val="0"/>
        </w:numPr>
        <w:ind w:leftChars="0"/>
        <w:jc w:val="both"/>
        <w:rPr>
          <w:rFonts w:hint="default" w:ascii="Calibri" w:hAnsi="Calibri" w:eastAsia="SimSun" w:cs="Calibri"/>
          <w:i w:val="0"/>
          <w:iCs w:val="0"/>
          <w:color w:val="000000"/>
          <w:kern w:val="0"/>
          <w:sz w:val="24"/>
          <w:szCs w:val="24"/>
          <w:u w:val="none"/>
          <w:lang w:val="en-GB" w:eastAsia="zh-CN" w:bidi="ar"/>
        </w:rPr>
      </w:pPr>
    </w:p>
    <w:p w14:paraId="5A591129">
      <w:pPr>
        <w:numPr>
          <w:ilvl w:val="0"/>
          <w:numId w:val="0"/>
        </w:numPr>
        <w:jc w:val="both"/>
        <w:rPr>
          <w:rFonts w:hint="default" w:ascii="Calibri" w:hAnsi="Calibri" w:eastAsia="SimSun" w:cs="Calibri"/>
          <w:i w:val="0"/>
          <w:iCs w:val="0"/>
          <w:color w:val="000000"/>
          <w:kern w:val="0"/>
          <w:sz w:val="24"/>
          <w:szCs w:val="24"/>
          <w:u w:val="none"/>
          <w:lang w:val="en-GB" w:eastAsia="zh-CN" w:bidi="ar"/>
        </w:rPr>
      </w:pPr>
      <w:r>
        <w:rPr>
          <w:rFonts w:hint="default" w:ascii="Calibri" w:hAnsi="Calibri" w:eastAsia="SimSun" w:cs="Calibri"/>
          <w:i w:val="0"/>
          <w:iCs w:val="0"/>
          <w:color w:val="000000"/>
          <w:kern w:val="0"/>
          <w:sz w:val="24"/>
          <w:szCs w:val="24"/>
          <w:u w:val="none"/>
          <w:lang w:val="en-GB" w:eastAsia="zh-CN" w:bidi="ar"/>
        </w:rPr>
        <w:t>Discount factors at 10%: Year 1 = 0.9091; Year 2 = 0.8264; Year 3 = 0.7513; Year 4 = 0.6830; Year 5 = 0.6209.</w:t>
      </w:r>
    </w:p>
    <w:p w14:paraId="7A38B208">
      <w:pPr>
        <w:numPr>
          <w:ilvl w:val="0"/>
          <w:numId w:val="0"/>
        </w:numPr>
        <w:jc w:val="both"/>
        <w:rPr>
          <w:rFonts w:hint="default" w:ascii="Calibri" w:hAnsi="Calibri" w:eastAsia="SimSun" w:cs="Calibri"/>
          <w:i w:val="0"/>
          <w:iCs w:val="0"/>
          <w:color w:val="000000"/>
          <w:kern w:val="0"/>
          <w:sz w:val="24"/>
          <w:szCs w:val="24"/>
          <w:u w:val="none"/>
          <w:lang w:val="en-GB" w:eastAsia="zh-CN" w:bidi="ar"/>
        </w:rPr>
      </w:pPr>
    </w:p>
    <w:p w14:paraId="6A91450D">
      <w:pPr>
        <w:numPr>
          <w:ilvl w:val="0"/>
          <w:numId w:val="0"/>
        </w:numPr>
        <w:jc w:val="both"/>
        <w:rPr>
          <w:rFonts w:hint="default" w:ascii="Calibri" w:hAnsi="Calibri" w:eastAsia="SimSun" w:cs="Calibri"/>
          <w:i w:val="0"/>
          <w:iCs w:val="0"/>
          <w:color w:val="000000"/>
          <w:kern w:val="0"/>
          <w:sz w:val="24"/>
          <w:szCs w:val="24"/>
          <w:u w:val="none"/>
          <w:lang w:val="en-GB" w:eastAsia="zh-CN" w:bidi="ar"/>
        </w:rPr>
      </w:pPr>
      <w:r>
        <w:rPr>
          <w:rFonts w:hint="default" w:ascii="Calibri" w:hAnsi="Calibri" w:eastAsia="SimSun" w:cs="Calibri"/>
          <w:i w:val="0"/>
          <w:iCs w:val="0"/>
          <w:color w:val="000000"/>
          <w:kern w:val="0"/>
          <w:sz w:val="24"/>
          <w:szCs w:val="24"/>
          <w:u w:val="none"/>
          <w:lang w:val="en-GB" w:eastAsia="zh-CN" w:bidi="ar"/>
        </w:rPr>
        <w:t>Table 3: Investment Appraisal Summary (£m)</w:t>
      </w:r>
    </w:p>
    <w:p w14:paraId="64B2845A">
      <w:pPr>
        <w:numPr>
          <w:ilvl w:val="0"/>
          <w:numId w:val="0"/>
        </w:numPr>
        <w:jc w:val="both"/>
        <w:rPr>
          <w:rFonts w:hint="default" w:ascii="Calibri" w:hAnsi="Calibri" w:eastAsia="SimSun" w:cs="Calibri"/>
          <w:i w:val="0"/>
          <w:iCs w:val="0"/>
          <w:color w:val="000000"/>
          <w:kern w:val="0"/>
          <w:sz w:val="24"/>
          <w:szCs w:val="24"/>
          <w:u w:val="none"/>
          <w:lang w:val="en-GB" w:eastAsia="zh-CN" w:bidi="ar"/>
        </w:rPr>
      </w:pPr>
    </w:p>
    <w:tbl>
      <w:tblPr>
        <w:tblStyle w:val="7"/>
        <w:tblW w:w="8325" w:type="dxa"/>
        <w:tblInd w:w="93" w:type="dxa"/>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Layout w:type="fixed"/>
        <w:tblCellMar>
          <w:top w:w="0" w:type="dxa"/>
          <w:left w:w="108" w:type="dxa"/>
          <w:bottom w:w="0" w:type="dxa"/>
          <w:right w:w="108" w:type="dxa"/>
        </w:tblCellMar>
      </w:tblPr>
      <w:tblGrid>
        <w:gridCol w:w="2400"/>
        <w:gridCol w:w="1843"/>
        <w:gridCol w:w="2100"/>
        <w:gridCol w:w="1982"/>
      </w:tblGrid>
      <w:tr w14:paraId="525A7B94">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300" w:hRule="atLeast"/>
        </w:trPr>
        <w:tc>
          <w:tcPr>
            <w:tcW w:w="2400" w:type="dxa"/>
            <w:tcBorders>
              <w:top w:val="nil"/>
              <w:left w:val="nil"/>
              <w:bottom w:val="nil"/>
              <w:right w:val="nil"/>
            </w:tcBorders>
            <w:shd w:val="clear" w:color="auto" w:fill="D9E1F2"/>
            <w:noWrap/>
            <w:vAlign w:val="bottom"/>
          </w:tcPr>
          <w:p w14:paraId="77CF3775">
            <w:pPr>
              <w:keepNext w:val="0"/>
              <w:keepLines w:val="0"/>
              <w:widowControl/>
              <w:suppressLineNumbers w:val="0"/>
              <w:jc w:val="left"/>
              <w:textAlignment w:val="bottom"/>
              <w:rPr>
                <w:rFonts w:ascii="Calibri" w:hAnsi="Calibri" w:cs="Calibri"/>
                <w:b/>
                <w:bCs/>
                <w:i w:val="0"/>
                <w:iCs w:val="0"/>
                <w:color w:val="000000"/>
                <w:sz w:val="22"/>
                <w:szCs w:val="22"/>
                <w:u w:val="none"/>
              </w:rPr>
            </w:pPr>
            <w:r>
              <w:rPr>
                <w:rFonts w:hint="default" w:ascii="Calibri" w:hAnsi="Calibri" w:eastAsia="SimSun" w:cs="Calibri"/>
                <w:b/>
                <w:bCs/>
                <w:i w:val="0"/>
                <w:iCs w:val="0"/>
                <w:color w:val="000000"/>
                <w:kern w:val="0"/>
                <w:sz w:val="22"/>
                <w:szCs w:val="22"/>
                <w:u w:val="none"/>
                <w:lang w:val="en-US" w:eastAsia="zh-CN" w:bidi="ar"/>
              </w:rPr>
              <w:t>Metric</w:t>
            </w:r>
          </w:p>
        </w:tc>
        <w:tc>
          <w:tcPr>
            <w:tcW w:w="1843" w:type="dxa"/>
            <w:tcBorders>
              <w:top w:val="nil"/>
              <w:left w:val="nil"/>
              <w:bottom w:val="nil"/>
              <w:right w:val="nil"/>
            </w:tcBorders>
            <w:shd w:val="clear" w:color="auto" w:fill="D9E1F2"/>
            <w:noWrap/>
            <w:vAlign w:val="bottom"/>
          </w:tcPr>
          <w:p w14:paraId="58FC6C5E">
            <w:pPr>
              <w:keepNext w:val="0"/>
              <w:keepLines w:val="0"/>
              <w:widowControl/>
              <w:suppressLineNumbers w:val="0"/>
              <w:jc w:val="left"/>
              <w:textAlignment w:val="bottom"/>
              <w:rPr>
                <w:rFonts w:hint="default" w:ascii="Calibri" w:hAnsi="Calibri" w:cs="Calibri"/>
                <w:b/>
                <w:bCs/>
                <w:i w:val="0"/>
                <w:iCs w:val="0"/>
                <w:color w:val="000000"/>
                <w:sz w:val="22"/>
                <w:szCs w:val="22"/>
                <w:u w:val="none"/>
              </w:rPr>
            </w:pPr>
            <w:r>
              <w:rPr>
                <w:rFonts w:hint="default" w:ascii="Calibri" w:hAnsi="Calibri" w:eastAsia="SimSun" w:cs="Calibri"/>
                <w:b/>
                <w:bCs/>
                <w:i w:val="0"/>
                <w:iCs w:val="0"/>
                <w:color w:val="000000"/>
                <w:kern w:val="0"/>
                <w:sz w:val="22"/>
                <w:szCs w:val="22"/>
                <w:u w:val="none"/>
                <w:lang w:val="en-US" w:eastAsia="zh-CN" w:bidi="ar"/>
              </w:rPr>
              <w:t>Project A</w:t>
            </w:r>
          </w:p>
        </w:tc>
        <w:tc>
          <w:tcPr>
            <w:tcW w:w="2100" w:type="dxa"/>
            <w:tcBorders>
              <w:top w:val="nil"/>
              <w:left w:val="nil"/>
              <w:bottom w:val="nil"/>
              <w:right w:val="nil"/>
            </w:tcBorders>
            <w:shd w:val="clear" w:color="auto" w:fill="D9E1F2"/>
            <w:noWrap/>
            <w:vAlign w:val="bottom"/>
          </w:tcPr>
          <w:p w14:paraId="5D7175F0">
            <w:pPr>
              <w:keepNext w:val="0"/>
              <w:keepLines w:val="0"/>
              <w:widowControl/>
              <w:suppressLineNumbers w:val="0"/>
              <w:jc w:val="left"/>
              <w:textAlignment w:val="bottom"/>
              <w:rPr>
                <w:rFonts w:hint="default" w:ascii="Calibri" w:hAnsi="Calibri" w:cs="Calibri"/>
                <w:b/>
                <w:bCs/>
                <w:i w:val="0"/>
                <w:iCs w:val="0"/>
                <w:color w:val="000000"/>
                <w:sz w:val="22"/>
                <w:szCs w:val="22"/>
                <w:u w:val="none"/>
              </w:rPr>
            </w:pPr>
            <w:r>
              <w:rPr>
                <w:rFonts w:hint="default" w:ascii="Calibri" w:hAnsi="Calibri" w:eastAsia="SimSun" w:cs="Calibri"/>
                <w:b/>
                <w:bCs/>
                <w:i w:val="0"/>
                <w:iCs w:val="0"/>
                <w:color w:val="000000"/>
                <w:kern w:val="0"/>
                <w:sz w:val="22"/>
                <w:szCs w:val="22"/>
                <w:u w:val="none"/>
                <w:lang w:val="en-US" w:eastAsia="zh-CN" w:bidi="ar"/>
              </w:rPr>
              <w:t>Project B</w:t>
            </w:r>
          </w:p>
        </w:tc>
        <w:tc>
          <w:tcPr>
            <w:tcW w:w="1982" w:type="dxa"/>
            <w:tcBorders>
              <w:top w:val="nil"/>
              <w:left w:val="nil"/>
              <w:bottom w:val="nil"/>
              <w:right w:val="nil"/>
            </w:tcBorders>
            <w:shd w:val="clear" w:color="auto" w:fill="D9E1F2"/>
            <w:noWrap/>
            <w:vAlign w:val="bottom"/>
          </w:tcPr>
          <w:p w14:paraId="4579DC4A">
            <w:pPr>
              <w:keepNext w:val="0"/>
              <w:keepLines w:val="0"/>
              <w:widowControl/>
              <w:suppressLineNumbers w:val="0"/>
              <w:jc w:val="left"/>
              <w:textAlignment w:val="bottom"/>
              <w:rPr>
                <w:rFonts w:hint="default" w:ascii="Calibri" w:hAnsi="Calibri" w:cs="Calibri"/>
                <w:b/>
                <w:bCs/>
                <w:i w:val="0"/>
                <w:iCs w:val="0"/>
                <w:color w:val="000000"/>
                <w:sz w:val="22"/>
                <w:szCs w:val="22"/>
                <w:u w:val="none"/>
              </w:rPr>
            </w:pPr>
            <w:r>
              <w:rPr>
                <w:rFonts w:hint="default" w:ascii="Calibri" w:hAnsi="Calibri" w:eastAsia="SimSun" w:cs="Calibri"/>
                <w:b/>
                <w:bCs/>
                <w:i w:val="0"/>
                <w:iCs w:val="0"/>
                <w:color w:val="000000"/>
                <w:kern w:val="0"/>
                <w:sz w:val="22"/>
                <w:szCs w:val="22"/>
                <w:u w:val="none"/>
                <w:lang w:val="en-US" w:eastAsia="zh-CN" w:bidi="ar"/>
              </w:rPr>
              <w:t>Project C</w:t>
            </w:r>
          </w:p>
        </w:tc>
      </w:tr>
      <w:tr w14:paraId="424031FF">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300" w:hRule="atLeast"/>
        </w:trPr>
        <w:tc>
          <w:tcPr>
            <w:tcW w:w="2400" w:type="dxa"/>
            <w:tcBorders>
              <w:top w:val="nil"/>
              <w:left w:val="nil"/>
              <w:bottom w:val="nil"/>
              <w:right w:val="nil"/>
            </w:tcBorders>
            <w:shd w:val="clear" w:color="auto" w:fill="auto"/>
            <w:vAlign w:val="bottom"/>
          </w:tcPr>
          <w:p w14:paraId="50051224">
            <w:pPr>
              <w:keepNext w:val="0"/>
              <w:keepLines w:val="0"/>
              <w:widowControl/>
              <w:suppressLineNumbers w:val="0"/>
              <w:jc w:val="lef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lang w:val="en-US" w:eastAsia="zh-CN" w:bidi="ar"/>
              </w:rPr>
              <w:t>Initial Investment (£m)</w:t>
            </w:r>
          </w:p>
        </w:tc>
        <w:tc>
          <w:tcPr>
            <w:tcW w:w="1843" w:type="dxa"/>
            <w:tcBorders>
              <w:top w:val="nil"/>
              <w:left w:val="nil"/>
              <w:bottom w:val="nil"/>
              <w:right w:val="nil"/>
            </w:tcBorders>
            <w:shd w:val="clear" w:color="auto" w:fill="auto"/>
            <w:vAlign w:val="bottom"/>
          </w:tcPr>
          <w:p w14:paraId="140E9B8D">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lang w:val="en-US" w:eastAsia="zh-CN" w:bidi="ar"/>
              </w:rPr>
              <w:t>50</w:t>
            </w:r>
          </w:p>
        </w:tc>
        <w:tc>
          <w:tcPr>
            <w:tcW w:w="2100" w:type="dxa"/>
            <w:tcBorders>
              <w:top w:val="nil"/>
              <w:left w:val="nil"/>
              <w:bottom w:val="nil"/>
              <w:right w:val="nil"/>
            </w:tcBorders>
            <w:shd w:val="clear" w:color="auto" w:fill="auto"/>
            <w:vAlign w:val="bottom"/>
          </w:tcPr>
          <w:p w14:paraId="37DBA3CE">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lang w:val="en-US" w:eastAsia="zh-CN" w:bidi="ar"/>
              </w:rPr>
              <w:t>50</w:t>
            </w:r>
          </w:p>
        </w:tc>
        <w:tc>
          <w:tcPr>
            <w:tcW w:w="1982" w:type="dxa"/>
            <w:tcBorders>
              <w:top w:val="nil"/>
              <w:left w:val="nil"/>
              <w:bottom w:val="nil"/>
              <w:right w:val="nil"/>
            </w:tcBorders>
            <w:shd w:val="clear" w:color="auto" w:fill="auto"/>
            <w:vAlign w:val="bottom"/>
          </w:tcPr>
          <w:p w14:paraId="2CA0E1F3">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lang w:val="en-US" w:eastAsia="zh-CN" w:bidi="ar"/>
              </w:rPr>
              <w:t>50</w:t>
            </w:r>
          </w:p>
        </w:tc>
      </w:tr>
      <w:tr w14:paraId="2A0CD298">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300" w:hRule="atLeast"/>
        </w:trPr>
        <w:tc>
          <w:tcPr>
            <w:tcW w:w="2400" w:type="dxa"/>
            <w:tcBorders>
              <w:top w:val="nil"/>
              <w:left w:val="nil"/>
              <w:bottom w:val="nil"/>
              <w:right w:val="nil"/>
            </w:tcBorders>
            <w:shd w:val="clear" w:color="auto" w:fill="auto"/>
            <w:vAlign w:val="bottom"/>
          </w:tcPr>
          <w:p w14:paraId="4BF71763">
            <w:pPr>
              <w:keepNext w:val="0"/>
              <w:keepLines w:val="0"/>
              <w:widowControl/>
              <w:suppressLineNumbers w:val="0"/>
              <w:jc w:val="lef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lang w:val="en-US" w:eastAsia="zh-CN" w:bidi="ar"/>
              </w:rPr>
              <w:t>Total Cash Inflows (£m)</w:t>
            </w:r>
          </w:p>
        </w:tc>
        <w:tc>
          <w:tcPr>
            <w:tcW w:w="1843" w:type="dxa"/>
            <w:tcBorders>
              <w:top w:val="nil"/>
              <w:left w:val="nil"/>
              <w:bottom w:val="nil"/>
              <w:right w:val="nil"/>
            </w:tcBorders>
            <w:shd w:val="clear" w:color="auto" w:fill="auto"/>
            <w:vAlign w:val="bottom"/>
          </w:tcPr>
          <w:p w14:paraId="0D7FC0B6">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lang w:val="en-US" w:eastAsia="zh-CN" w:bidi="ar"/>
              </w:rPr>
              <w:t>54</w:t>
            </w:r>
          </w:p>
        </w:tc>
        <w:tc>
          <w:tcPr>
            <w:tcW w:w="2100" w:type="dxa"/>
            <w:tcBorders>
              <w:top w:val="nil"/>
              <w:left w:val="nil"/>
              <w:bottom w:val="nil"/>
              <w:right w:val="nil"/>
            </w:tcBorders>
            <w:shd w:val="clear" w:color="auto" w:fill="auto"/>
            <w:vAlign w:val="bottom"/>
          </w:tcPr>
          <w:p w14:paraId="2A68DC02">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lang w:val="en-US" w:eastAsia="zh-CN" w:bidi="ar"/>
              </w:rPr>
              <w:t>55</w:t>
            </w:r>
          </w:p>
        </w:tc>
        <w:tc>
          <w:tcPr>
            <w:tcW w:w="1982" w:type="dxa"/>
            <w:tcBorders>
              <w:top w:val="nil"/>
              <w:left w:val="nil"/>
              <w:bottom w:val="nil"/>
              <w:right w:val="nil"/>
            </w:tcBorders>
            <w:shd w:val="clear" w:color="auto" w:fill="auto"/>
            <w:vAlign w:val="bottom"/>
          </w:tcPr>
          <w:p w14:paraId="6DCA1440">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lang w:val="en-US" w:eastAsia="zh-CN" w:bidi="ar"/>
              </w:rPr>
              <w:t>65</w:t>
            </w:r>
          </w:p>
        </w:tc>
      </w:tr>
      <w:tr w14:paraId="1B644A74">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300" w:hRule="atLeast"/>
        </w:trPr>
        <w:tc>
          <w:tcPr>
            <w:tcW w:w="2400" w:type="dxa"/>
            <w:tcBorders>
              <w:top w:val="nil"/>
              <w:left w:val="nil"/>
              <w:bottom w:val="nil"/>
              <w:right w:val="nil"/>
            </w:tcBorders>
            <w:shd w:val="clear" w:color="auto" w:fill="auto"/>
            <w:vAlign w:val="bottom"/>
          </w:tcPr>
          <w:p w14:paraId="025F9BB1">
            <w:pPr>
              <w:keepNext w:val="0"/>
              <w:keepLines w:val="0"/>
              <w:widowControl/>
              <w:suppressLineNumbers w:val="0"/>
              <w:jc w:val="lef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lang w:val="en-US" w:eastAsia="zh-CN" w:bidi="ar"/>
              </w:rPr>
              <w:t>PBP (years)</w:t>
            </w:r>
          </w:p>
        </w:tc>
        <w:tc>
          <w:tcPr>
            <w:tcW w:w="1843" w:type="dxa"/>
            <w:tcBorders>
              <w:top w:val="nil"/>
              <w:left w:val="nil"/>
              <w:bottom w:val="nil"/>
              <w:right w:val="nil"/>
            </w:tcBorders>
            <w:shd w:val="clear" w:color="auto" w:fill="auto"/>
            <w:vAlign w:val="bottom"/>
          </w:tcPr>
          <w:p w14:paraId="76956468">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lang w:val="en-US" w:eastAsia="zh-CN" w:bidi="ar"/>
              </w:rPr>
              <w:t>4.5</w:t>
            </w:r>
          </w:p>
        </w:tc>
        <w:tc>
          <w:tcPr>
            <w:tcW w:w="2100" w:type="dxa"/>
            <w:tcBorders>
              <w:top w:val="nil"/>
              <w:left w:val="nil"/>
              <w:bottom w:val="nil"/>
              <w:right w:val="nil"/>
            </w:tcBorders>
            <w:shd w:val="clear" w:color="auto" w:fill="auto"/>
            <w:vAlign w:val="bottom"/>
          </w:tcPr>
          <w:p w14:paraId="6D762CE8">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lang w:val="en-US" w:eastAsia="zh-CN" w:bidi="ar"/>
              </w:rPr>
              <w:t>4.55</w:t>
            </w:r>
          </w:p>
        </w:tc>
        <w:tc>
          <w:tcPr>
            <w:tcW w:w="1982" w:type="dxa"/>
            <w:tcBorders>
              <w:top w:val="nil"/>
              <w:left w:val="nil"/>
              <w:bottom w:val="nil"/>
              <w:right w:val="nil"/>
            </w:tcBorders>
            <w:shd w:val="clear" w:color="auto" w:fill="auto"/>
            <w:vAlign w:val="bottom"/>
          </w:tcPr>
          <w:p w14:paraId="19C5E5D2">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lang w:val="en-US" w:eastAsia="zh-CN" w:bidi="ar"/>
              </w:rPr>
              <w:t>3.6</w:t>
            </w:r>
          </w:p>
        </w:tc>
      </w:tr>
      <w:tr w14:paraId="3539AAD1">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300" w:hRule="atLeast"/>
        </w:trPr>
        <w:tc>
          <w:tcPr>
            <w:tcW w:w="2400" w:type="dxa"/>
            <w:tcBorders>
              <w:top w:val="nil"/>
              <w:left w:val="nil"/>
              <w:bottom w:val="nil"/>
              <w:right w:val="nil"/>
            </w:tcBorders>
            <w:shd w:val="clear" w:color="auto" w:fill="auto"/>
            <w:vAlign w:val="bottom"/>
          </w:tcPr>
          <w:p w14:paraId="0DBD43B8">
            <w:pPr>
              <w:keepNext w:val="0"/>
              <w:keepLines w:val="0"/>
              <w:widowControl/>
              <w:suppressLineNumbers w:val="0"/>
              <w:jc w:val="lef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lang w:val="en-US" w:eastAsia="zh-CN" w:bidi="ar"/>
              </w:rPr>
              <w:t>ARR (%)</w:t>
            </w:r>
          </w:p>
        </w:tc>
        <w:tc>
          <w:tcPr>
            <w:tcW w:w="1843" w:type="dxa"/>
            <w:tcBorders>
              <w:top w:val="nil"/>
              <w:left w:val="nil"/>
              <w:bottom w:val="nil"/>
              <w:right w:val="nil"/>
            </w:tcBorders>
            <w:shd w:val="clear" w:color="auto" w:fill="auto"/>
            <w:vAlign w:val="bottom"/>
          </w:tcPr>
          <w:p w14:paraId="58F6FFBA">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lang w:val="en-US" w:eastAsia="zh-CN" w:bidi="ar"/>
              </w:rPr>
              <w:t>0.032</w:t>
            </w:r>
          </w:p>
        </w:tc>
        <w:tc>
          <w:tcPr>
            <w:tcW w:w="2100" w:type="dxa"/>
            <w:tcBorders>
              <w:top w:val="nil"/>
              <w:left w:val="nil"/>
              <w:bottom w:val="nil"/>
              <w:right w:val="nil"/>
            </w:tcBorders>
            <w:shd w:val="clear" w:color="auto" w:fill="auto"/>
            <w:vAlign w:val="bottom"/>
          </w:tcPr>
          <w:p w14:paraId="7F6EB149">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lang w:val="en-US" w:eastAsia="zh-CN" w:bidi="ar"/>
              </w:rPr>
              <w:t>0.04</w:t>
            </w:r>
          </w:p>
        </w:tc>
        <w:tc>
          <w:tcPr>
            <w:tcW w:w="1982" w:type="dxa"/>
            <w:tcBorders>
              <w:top w:val="nil"/>
              <w:left w:val="nil"/>
              <w:bottom w:val="nil"/>
              <w:right w:val="nil"/>
            </w:tcBorders>
            <w:shd w:val="clear" w:color="auto" w:fill="auto"/>
            <w:vAlign w:val="bottom"/>
          </w:tcPr>
          <w:p w14:paraId="41E27F0F">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lang w:val="en-US" w:eastAsia="zh-CN" w:bidi="ar"/>
              </w:rPr>
              <w:t>0.12</w:t>
            </w:r>
          </w:p>
        </w:tc>
      </w:tr>
      <w:tr w14:paraId="08EAB38C">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300" w:hRule="atLeast"/>
        </w:trPr>
        <w:tc>
          <w:tcPr>
            <w:tcW w:w="2400" w:type="dxa"/>
            <w:tcBorders>
              <w:top w:val="nil"/>
              <w:left w:val="nil"/>
              <w:bottom w:val="nil"/>
              <w:right w:val="nil"/>
            </w:tcBorders>
            <w:shd w:val="clear" w:color="auto" w:fill="auto"/>
            <w:vAlign w:val="bottom"/>
          </w:tcPr>
          <w:p w14:paraId="10FE7338">
            <w:pPr>
              <w:keepNext w:val="0"/>
              <w:keepLines w:val="0"/>
              <w:widowControl/>
              <w:suppressLineNumbers w:val="0"/>
              <w:jc w:val="lef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lang w:val="en-US" w:eastAsia="zh-CN" w:bidi="ar"/>
              </w:rPr>
              <w:t>NPV (£m)</w:t>
            </w:r>
          </w:p>
        </w:tc>
        <w:tc>
          <w:tcPr>
            <w:tcW w:w="1843" w:type="dxa"/>
            <w:tcBorders>
              <w:top w:val="nil"/>
              <w:left w:val="nil"/>
              <w:bottom w:val="nil"/>
              <w:right w:val="nil"/>
            </w:tcBorders>
            <w:shd w:val="clear" w:color="auto" w:fill="auto"/>
            <w:vAlign w:val="bottom"/>
          </w:tcPr>
          <w:p w14:paraId="103ECAD0">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lang w:val="en-US" w:eastAsia="zh-CN" w:bidi="ar"/>
              </w:rPr>
              <w:t>−8.68</w:t>
            </w:r>
          </w:p>
        </w:tc>
        <w:tc>
          <w:tcPr>
            <w:tcW w:w="2100" w:type="dxa"/>
            <w:tcBorders>
              <w:top w:val="nil"/>
              <w:left w:val="nil"/>
              <w:bottom w:val="nil"/>
              <w:right w:val="nil"/>
            </w:tcBorders>
            <w:shd w:val="clear" w:color="auto" w:fill="auto"/>
            <w:vAlign w:val="bottom"/>
          </w:tcPr>
          <w:p w14:paraId="59CF8B6A">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lang w:val="en-US" w:eastAsia="zh-CN" w:bidi="ar"/>
              </w:rPr>
              <w:t>−8.30</w:t>
            </w:r>
          </w:p>
        </w:tc>
        <w:tc>
          <w:tcPr>
            <w:tcW w:w="1982" w:type="dxa"/>
            <w:tcBorders>
              <w:top w:val="nil"/>
              <w:left w:val="nil"/>
              <w:bottom w:val="nil"/>
              <w:right w:val="nil"/>
            </w:tcBorders>
            <w:shd w:val="clear" w:color="auto" w:fill="auto"/>
            <w:vAlign w:val="bottom"/>
          </w:tcPr>
          <w:p w14:paraId="183EBE45">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lang w:val="en-US" w:eastAsia="zh-CN" w:bidi="ar"/>
              </w:rPr>
              <w:t>−1.98</w:t>
            </w:r>
          </w:p>
        </w:tc>
      </w:tr>
      <w:tr w14:paraId="567A7A32">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300" w:hRule="atLeast"/>
        </w:trPr>
        <w:tc>
          <w:tcPr>
            <w:tcW w:w="2400" w:type="dxa"/>
            <w:tcBorders>
              <w:top w:val="nil"/>
              <w:left w:val="nil"/>
              <w:bottom w:val="nil"/>
              <w:right w:val="nil"/>
            </w:tcBorders>
            <w:shd w:val="clear" w:color="auto" w:fill="auto"/>
            <w:vAlign w:val="bottom"/>
          </w:tcPr>
          <w:p w14:paraId="2FDA3B9F">
            <w:pPr>
              <w:keepNext w:val="0"/>
              <w:keepLines w:val="0"/>
              <w:widowControl/>
              <w:suppressLineNumbers w:val="0"/>
              <w:jc w:val="lef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lang w:val="en-US" w:eastAsia="zh-CN" w:bidi="ar"/>
              </w:rPr>
              <w:t>PI</w:t>
            </w:r>
          </w:p>
        </w:tc>
        <w:tc>
          <w:tcPr>
            <w:tcW w:w="1843" w:type="dxa"/>
            <w:tcBorders>
              <w:top w:val="nil"/>
              <w:left w:val="nil"/>
              <w:bottom w:val="nil"/>
              <w:right w:val="nil"/>
            </w:tcBorders>
            <w:shd w:val="clear" w:color="auto" w:fill="auto"/>
            <w:vAlign w:val="bottom"/>
          </w:tcPr>
          <w:p w14:paraId="6A58F633">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lang w:val="en-US" w:eastAsia="zh-CN" w:bidi="ar"/>
              </w:rPr>
              <w:t>0.8265</w:t>
            </w:r>
          </w:p>
        </w:tc>
        <w:tc>
          <w:tcPr>
            <w:tcW w:w="2100" w:type="dxa"/>
            <w:tcBorders>
              <w:top w:val="nil"/>
              <w:left w:val="nil"/>
              <w:bottom w:val="nil"/>
              <w:right w:val="nil"/>
            </w:tcBorders>
            <w:shd w:val="clear" w:color="auto" w:fill="auto"/>
            <w:vAlign w:val="bottom"/>
          </w:tcPr>
          <w:p w14:paraId="79A94291">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lang w:val="en-US" w:eastAsia="zh-CN" w:bidi="ar"/>
              </w:rPr>
              <w:t>0.834</w:t>
            </w:r>
          </w:p>
        </w:tc>
        <w:tc>
          <w:tcPr>
            <w:tcW w:w="1982" w:type="dxa"/>
            <w:tcBorders>
              <w:top w:val="nil"/>
              <w:left w:val="nil"/>
              <w:bottom w:val="nil"/>
              <w:right w:val="nil"/>
            </w:tcBorders>
            <w:shd w:val="clear" w:color="auto" w:fill="auto"/>
            <w:vAlign w:val="bottom"/>
          </w:tcPr>
          <w:p w14:paraId="710D7B87">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lang w:val="en-US" w:eastAsia="zh-CN" w:bidi="ar"/>
              </w:rPr>
              <w:t>0.9603</w:t>
            </w:r>
          </w:p>
        </w:tc>
      </w:tr>
      <w:tr w14:paraId="791DE9FC">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300" w:hRule="atLeast"/>
        </w:trPr>
        <w:tc>
          <w:tcPr>
            <w:tcW w:w="2400" w:type="dxa"/>
            <w:tcBorders>
              <w:top w:val="nil"/>
              <w:left w:val="nil"/>
              <w:bottom w:val="nil"/>
              <w:right w:val="nil"/>
            </w:tcBorders>
            <w:shd w:val="clear" w:color="auto" w:fill="auto"/>
            <w:vAlign w:val="bottom"/>
          </w:tcPr>
          <w:p w14:paraId="3A6FEFFA">
            <w:pPr>
              <w:keepNext w:val="0"/>
              <w:keepLines w:val="0"/>
              <w:widowControl/>
              <w:suppressLineNumbers w:val="0"/>
              <w:jc w:val="lef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lang w:val="en-US" w:eastAsia="zh-CN" w:bidi="ar"/>
              </w:rPr>
              <w:t>IRR (%)</w:t>
            </w:r>
          </w:p>
        </w:tc>
        <w:tc>
          <w:tcPr>
            <w:tcW w:w="1843" w:type="dxa"/>
            <w:tcBorders>
              <w:top w:val="nil"/>
              <w:left w:val="nil"/>
              <w:bottom w:val="nil"/>
              <w:right w:val="nil"/>
            </w:tcBorders>
            <w:shd w:val="clear" w:color="auto" w:fill="auto"/>
            <w:vAlign w:val="bottom"/>
          </w:tcPr>
          <w:p w14:paraId="40FFF79B">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lang w:val="en-US" w:eastAsia="zh-CN" w:bidi="ar"/>
              </w:rPr>
              <w:t>0.0272</w:t>
            </w:r>
          </w:p>
        </w:tc>
        <w:tc>
          <w:tcPr>
            <w:tcW w:w="2100" w:type="dxa"/>
            <w:tcBorders>
              <w:top w:val="nil"/>
              <w:left w:val="nil"/>
              <w:bottom w:val="nil"/>
              <w:right w:val="nil"/>
            </w:tcBorders>
            <w:shd w:val="clear" w:color="auto" w:fill="auto"/>
            <w:vAlign w:val="bottom"/>
          </w:tcPr>
          <w:p w14:paraId="0277D959">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lang w:val="en-US" w:eastAsia="zh-CN" w:bidi="ar"/>
              </w:rPr>
              <w:t>0.0326</w:t>
            </w:r>
          </w:p>
        </w:tc>
        <w:tc>
          <w:tcPr>
            <w:tcW w:w="1982" w:type="dxa"/>
            <w:tcBorders>
              <w:top w:val="nil"/>
              <w:left w:val="nil"/>
              <w:bottom w:val="nil"/>
              <w:right w:val="nil"/>
            </w:tcBorders>
            <w:shd w:val="clear" w:color="auto" w:fill="auto"/>
            <w:vAlign w:val="bottom"/>
          </w:tcPr>
          <w:p w14:paraId="782B0CDC">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lang w:val="en-US" w:eastAsia="zh-CN" w:bidi="ar"/>
              </w:rPr>
              <w:t>0.0859</w:t>
            </w:r>
          </w:p>
        </w:tc>
      </w:tr>
    </w:tbl>
    <w:p w14:paraId="3072816E">
      <w:pPr>
        <w:numPr>
          <w:ilvl w:val="0"/>
          <w:numId w:val="0"/>
        </w:numPr>
        <w:jc w:val="both"/>
        <w:rPr>
          <w:rFonts w:hint="default" w:ascii="Calibri" w:hAnsi="Calibri" w:eastAsia="SimSun" w:cs="Calibri"/>
          <w:i w:val="0"/>
          <w:iCs w:val="0"/>
          <w:color w:val="000000"/>
          <w:kern w:val="0"/>
          <w:sz w:val="24"/>
          <w:szCs w:val="24"/>
          <w:u w:val="none"/>
          <w:lang w:val="en-GB" w:eastAsia="zh-CN" w:bidi="ar"/>
        </w:rPr>
      </w:pPr>
    </w:p>
    <w:p w14:paraId="45110C49">
      <w:pPr>
        <w:numPr>
          <w:ilvl w:val="0"/>
          <w:numId w:val="0"/>
        </w:numPr>
        <w:jc w:val="both"/>
        <w:rPr>
          <w:rFonts w:hint="default" w:ascii="Calibri" w:hAnsi="Calibri" w:eastAsia="SimSun" w:cs="Calibri"/>
          <w:i w:val="0"/>
          <w:iCs w:val="0"/>
          <w:color w:val="000000"/>
          <w:kern w:val="0"/>
          <w:sz w:val="24"/>
          <w:szCs w:val="24"/>
          <w:u w:val="none"/>
          <w:lang w:val="en-GB" w:eastAsia="zh-CN" w:bidi="ar"/>
        </w:rPr>
      </w:pPr>
      <w:r>
        <w:rPr>
          <w:rFonts w:hint="default" w:ascii="Calibri" w:hAnsi="Calibri" w:eastAsia="SimSun" w:cs="Calibri"/>
          <w:i w:val="0"/>
          <w:iCs w:val="0"/>
          <w:color w:val="000000"/>
          <w:kern w:val="0"/>
          <w:sz w:val="24"/>
          <w:szCs w:val="24"/>
          <w:u w:val="none"/>
          <w:lang w:val="en-GB" w:eastAsia="zh-CN" w:bidi="ar"/>
        </w:rPr>
        <w:t>Payback Period (PBP) : Project C has the shortest PBP, recovering its total investment within 3.60 years (3rd year plus 15/25 of 4th year). This is because of the big inflow in Year 4 of £25 million. Both Projects A and B are similar, having PBP of 4.50 years and 4.55 years respectively. Thus, the PBP measure recommends Project C due to the fact that the earlier capital recovery results in less risk of implementation and market competition.</w:t>
      </w:r>
    </w:p>
    <w:p w14:paraId="01BD2590">
      <w:pPr>
        <w:numPr>
          <w:ilvl w:val="0"/>
          <w:numId w:val="0"/>
        </w:numPr>
        <w:jc w:val="both"/>
        <w:rPr>
          <w:rFonts w:hint="default" w:ascii="Calibri" w:hAnsi="Calibri" w:eastAsia="SimSun" w:cs="Calibri"/>
          <w:i w:val="0"/>
          <w:iCs w:val="0"/>
          <w:color w:val="000000"/>
          <w:kern w:val="0"/>
          <w:sz w:val="24"/>
          <w:szCs w:val="24"/>
          <w:u w:val="none"/>
          <w:lang w:val="en-GB" w:eastAsia="zh-CN" w:bidi="ar"/>
        </w:rPr>
      </w:pPr>
    </w:p>
    <w:p w14:paraId="292A6222">
      <w:pPr>
        <w:numPr>
          <w:ilvl w:val="0"/>
          <w:numId w:val="0"/>
        </w:numPr>
        <w:jc w:val="both"/>
        <w:rPr>
          <w:rFonts w:hint="default" w:ascii="Calibri" w:hAnsi="Calibri" w:eastAsia="SimSun" w:cs="Calibri"/>
          <w:i w:val="0"/>
          <w:iCs w:val="0"/>
          <w:color w:val="000000"/>
          <w:kern w:val="0"/>
          <w:sz w:val="24"/>
          <w:szCs w:val="24"/>
          <w:u w:val="none"/>
          <w:lang w:val="en-GB" w:eastAsia="zh-CN" w:bidi="ar"/>
        </w:rPr>
      </w:pPr>
      <w:r>
        <w:rPr>
          <w:rFonts w:hint="default" w:ascii="Calibri" w:hAnsi="Calibri" w:eastAsia="SimSun" w:cs="Calibri"/>
          <w:i w:val="0"/>
          <w:iCs w:val="0"/>
          <w:color w:val="000000"/>
          <w:kern w:val="0"/>
          <w:sz w:val="24"/>
          <w:szCs w:val="24"/>
          <w:u w:val="none"/>
          <w:lang w:val="en-GB" w:eastAsia="zh-CN" w:bidi="ar"/>
        </w:rPr>
        <w:t>Accounting Rate of Return (ARR) : ARR can be expressed by dividing the average annual accounting profit by the average investment of £25 million. The annual profit will equal cash flow less annual depreciation of £10 million. Project C offers the highest ARR of 12.00%, then comes Project B with 4.00% and Project A with 3.20%. Projects A and B show a poor ARR as they have a flat or falling profit pattern for five years, leaving little room for average annual profit after depreciation.</w:t>
      </w:r>
    </w:p>
    <w:p w14:paraId="708CBD03">
      <w:pPr>
        <w:numPr>
          <w:ilvl w:val="0"/>
          <w:numId w:val="0"/>
        </w:numPr>
        <w:jc w:val="both"/>
        <w:rPr>
          <w:rFonts w:hint="default" w:ascii="Calibri" w:hAnsi="Calibri" w:eastAsia="SimSun" w:cs="Calibri"/>
          <w:i w:val="0"/>
          <w:iCs w:val="0"/>
          <w:color w:val="000000"/>
          <w:kern w:val="0"/>
          <w:sz w:val="24"/>
          <w:szCs w:val="24"/>
          <w:u w:val="none"/>
          <w:lang w:val="en-GB" w:eastAsia="zh-CN" w:bidi="ar"/>
        </w:rPr>
      </w:pPr>
    </w:p>
    <w:p w14:paraId="78484AC7">
      <w:pPr>
        <w:numPr>
          <w:ilvl w:val="0"/>
          <w:numId w:val="0"/>
        </w:numPr>
        <w:jc w:val="both"/>
        <w:rPr>
          <w:rFonts w:hint="default" w:ascii="Calibri" w:hAnsi="Calibri" w:eastAsia="SimSun" w:cs="Calibri"/>
          <w:i w:val="0"/>
          <w:iCs w:val="0"/>
          <w:color w:val="000000"/>
          <w:kern w:val="0"/>
          <w:sz w:val="24"/>
          <w:szCs w:val="24"/>
          <w:u w:val="none"/>
          <w:lang w:val="en-GB" w:eastAsia="zh-CN" w:bidi="ar"/>
        </w:rPr>
      </w:pPr>
      <w:r>
        <w:rPr>
          <w:rFonts w:hint="default" w:ascii="Calibri" w:hAnsi="Calibri" w:eastAsia="SimSun" w:cs="Calibri"/>
          <w:i w:val="0"/>
          <w:iCs w:val="0"/>
          <w:color w:val="000000"/>
          <w:kern w:val="0"/>
          <w:sz w:val="24"/>
          <w:szCs w:val="24"/>
          <w:u w:val="none"/>
          <w:lang w:val="en-GB" w:eastAsia="zh-CN" w:bidi="ar"/>
        </w:rPr>
        <w:t>Net Present Value (NPV) : The NPVs of all three projects are negative when considering the 10% discount rate, which means that each project alone does not yield an expected return higher than the cost of capital threshold. Project C yields the least negative NPV of -£1.98m, far outperforming Project B (-£8.30m) and Project A (-£8.68m). This result is due to the time value of money concept, as Project C’s cash flows are more heavily distributed during years 3 to 4; although the discounted rate reduces the value of future flows, it outweighs the other projects based on absolute values (Brealey, Myers &amp; Allen, 2022).</w:t>
      </w:r>
    </w:p>
    <w:p w14:paraId="4FB2D0CE">
      <w:pPr>
        <w:numPr>
          <w:ilvl w:val="0"/>
          <w:numId w:val="0"/>
        </w:numPr>
        <w:jc w:val="both"/>
        <w:rPr>
          <w:rFonts w:hint="default" w:ascii="Calibri" w:hAnsi="Calibri" w:eastAsia="SimSun" w:cs="Calibri"/>
          <w:i w:val="0"/>
          <w:iCs w:val="0"/>
          <w:color w:val="000000"/>
          <w:kern w:val="0"/>
          <w:sz w:val="24"/>
          <w:szCs w:val="24"/>
          <w:u w:val="none"/>
          <w:lang w:val="en-GB" w:eastAsia="zh-CN" w:bidi="ar"/>
        </w:rPr>
      </w:pPr>
    </w:p>
    <w:p w14:paraId="440412AC">
      <w:pPr>
        <w:numPr>
          <w:ilvl w:val="0"/>
          <w:numId w:val="0"/>
        </w:numPr>
        <w:jc w:val="both"/>
        <w:rPr>
          <w:rFonts w:hint="default" w:ascii="Calibri" w:hAnsi="Calibri" w:eastAsia="SimSun" w:cs="Calibri"/>
          <w:i w:val="0"/>
          <w:iCs w:val="0"/>
          <w:color w:val="000000"/>
          <w:kern w:val="0"/>
          <w:sz w:val="24"/>
          <w:szCs w:val="24"/>
          <w:u w:val="none"/>
          <w:lang w:val="en-GB" w:eastAsia="zh-CN" w:bidi="ar"/>
        </w:rPr>
      </w:pPr>
      <w:r>
        <w:rPr>
          <w:rFonts w:hint="default" w:ascii="Calibri" w:hAnsi="Calibri" w:eastAsia="SimSun" w:cs="Calibri"/>
          <w:i w:val="0"/>
          <w:iCs w:val="0"/>
          <w:color w:val="000000"/>
          <w:kern w:val="0"/>
          <w:sz w:val="24"/>
          <w:szCs w:val="24"/>
          <w:u w:val="none"/>
          <w:lang w:val="en-GB" w:eastAsia="zh-CN" w:bidi="ar"/>
        </w:rPr>
        <w:t>Profitability Index (PI) : The Profitability Index, calculated as the ratio between the present value of all inflows to the initial outlay, supports the NPV hierarchy. Project C has a value of 0.9603, implying that each £1 of investment yields a present value of £0.9603 of cash flows, which is the highest compared to the other two. The figures for projects A (0.8265) and B (0.8340) are much lower.</w:t>
      </w:r>
    </w:p>
    <w:p w14:paraId="7F034A01">
      <w:pPr>
        <w:numPr>
          <w:ilvl w:val="0"/>
          <w:numId w:val="0"/>
        </w:numPr>
        <w:jc w:val="both"/>
        <w:rPr>
          <w:rFonts w:hint="default" w:ascii="Calibri" w:hAnsi="Calibri" w:eastAsia="SimSun" w:cs="Calibri"/>
          <w:i w:val="0"/>
          <w:iCs w:val="0"/>
          <w:color w:val="000000"/>
          <w:kern w:val="0"/>
          <w:sz w:val="24"/>
          <w:szCs w:val="24"/>
          <w:u w:val="none"/>
          <w:lang w:val="en-GB" w:eastAsia="zh-CN" w:bidi="ar"/>
        </w:rPr>
      </w:pPr>
    </w:p>
    <w:p w14:paraId="55AB54F7">
      <w:pPr>
        <w:numPr>
          <w:ilvl w:val="0"/>
          <w:numId w:val="0"/>
        </w:numPr>
        <w:jc w:val="both"/>
        <w:rPr>
          <w:rFonts w:hint="default" w:ascii="Calibri" w:hAnsi="Calibri" w:eastAsia="SimSun" w:cs="Calibri"/>
          <w:i w:val="0"/>
          <w:iCs w:val="0"/>
          <w:color w:val="000000"/>
          <w:kern w:val="0"/>
          <w:sz w:val="24"/>
          <w:szCs w:val="24"/>
          <w:u w:val="none"/>
          <w:lang w:val="en-GB" w:eastAsia="zh-CN" w:bidi="ar"/>
        </w:rPr>
      </w:pPr>
      <w:r>
        <w:rPr>
          <w:rFonts w:hint="default" w:ascii="Calibri" w:hAnsi="Calibri" w:eastAsia="SimSun" w:cs="Calibri"/>
          <w:i w:val="0"/>
          <w:iCs w:val="0"/>
          <w:color w:val="000000"/>
          <w:kern w:val="0"/>
          <w:sz w:val="24"/>
          <w:szCs w:val="24"/>
          <w:u w:val="none"/>
          <w:lang w:val="en-GB" w:eastAsia="zh-CN" w:bidi="ar"/>
        </w:rPr>
        <w:t>Internal Rate of Return (IRR) : Once more, Project C leads with an IRR of 8.59%, the highest value but slightly lower than the 10% required rate of return, followed by Project B at 3.26% and Project A at 2.72%. This sequence aligns perfectly with the NPV and PI results, thus strengthening the validity of our findings. All IRRs being lower than 10% again proves that no project meets the required level of return, as mentioned in Section 4.3.</w:t>
      </w:r>
    </w:p>
    <w:p w14:paraId="386D0BFC">
      <w:pPr>
        <w:pStyle w:val="3"/>
        <w:bidi w:val="0"/>
        <w:rPr>
          <w:rFonts w:hint="default" w:ascii="Calibri" w:hAnsi="Calibri" w:eastAsia="SimSun" w:cs="Calibri"/>
          <w:i w:val="0"/>
          <w:iCs w:val="0"/>
          <w:color w:val="000000"/>
          <w:kern w:val="0"/>
          <w:sz w:val="24"/>
          <w:szCs w:val="24"/>
          <w:u w:val="none"/>
          <w:lang w:val="en-GB" w:eastAsia="zh-CN" w:bidi="ar"/>
        </w:rPr>
      </w:pPr>
      <w:bookmarkStart w:id="133" w:name="_Toc1556"/>
      <w:bookmarkStart w:id="134" w:name="_Toc5258"/>
      <w:bookmarkStart w:id="135" w:name="_Toc138"/>
      <w:r>
        <w:rPr>
          <w:rFonts w:hint="default" w:ascii="Calibri" w:hAnsi="Calibri" w:cs="Calibri"/>
          <w:i w:val="0"/>
          <w:iCs w:val="0"/>
          <w:color w:val="000000"/>
          <w:kern w:val="0"/>
          <w:sz w:val="24"/>
          <w:szCs w:val="24"/>
          <w:u w:val="none"/>
          <w:lang w:val="en-GB" w:eastAsia="zh-CN" w:bidi="ar"/>
        </w:rPr>
        <w:t>5.3 Project Recommendation</w:t>
      </w:r>
      <w:bookmarkEnd w:id="133"/>
      <w:bookmarkEnd w:id="134"/>
      <w:bookmarkEnd w:id="135"/>
    </w:p>
    <w:p w14:paraId="3C4F5BF1">
      <w:pPr>
        <w:numPr>
          <w:ilvl w:val="0"/>
          <w:numId w:val="0"/>
        </w:numPr>
        <w:ind w:leftChars="0"/>
        <w:jc w:val="both"/>
        <w:rPr>
          <w:rFonts w:hint="default" w:ascii="Calibri" w:hAnsi="Calibri" w:eastAsia="SimSun" w:cs="Calibri"/>
          <w:i w:val="0"/>
          <w:iCs w:val="0"/>
          <w:color w:val="000000"/>
          <w:kern w:val="0"/>
          <w:sz w:val="24"/>
          <w:szCs w:val="24"/>
          <w:u w:val="none"/>
          <w:lang w:val="en-GB" w:eastAsia="zh-CN" w:bidi="ar"/>
        </w:rPr>
      </w:pPr>
      <w:r>
        <w:rPr>
          <w:rFonts w:hint="default" w:ascii="Calibri" w:hAnsi="Calibri" w:eastAsia="SimSun" w:cs="Calibri"/>
          <w:i w:val="0"/>
          <w:iCs w:val="0"/>
          <w:color w:val="000000"/>
          <w:kern w:val="0"/>
          <w:sz w:val="24"/>
          <w:szCs w:val="24"/>
          <w:u w:val="none"/>
          <w:lang w:val="en-GB" w:eastAsia="zh-CN" w:bidi="ar"/>
        </w:rPr>
        <w:t>In all five valuation methods, Project C stands out as the preferred choice. It ranks highest in payback period (3.60 years), accounting rate of return (ARR, 12.00%), net present value (NPV, −£1.98m), profit index (PI, 0.9603), and internal rate of return (IRR, 8.59%). Although none of the projects result in a positive NPV based on a 10% discount rate, it is possible that a low threshold was deliberately applied to the discount rate rather than being a criterion for rejecting the projects.</w:t>
      </w:r>
    </w:p>
    <w:p w14:paraId="5E2A3212">
      <w:pPr>
        <w:numPr>
          <w:ilvl w:val="0"/>
          <w:numId w:val="0"/>
        </w:numPr>
        <w:ind w:leftChars="0"/>
        <w:jc w:val="both"/>
        <w:rPr>
          <w:rFonts w:hint="default" w:ascii="Calibri" w:hAnsi="Calibri" w:eastAsia="SimSun" w:cs="Calibri"/>
          <w:i w:val="0"/>
          <w:iCs w:val="0"/>
          <w:color w:val="000000"/>
          <w:kern w:val="0"/>
          <w:sz w:val="24"/>
          <w:szCs w:val="24"/>
          <w:u w:val="none"/>
          <w:lang w:val="en-GB" w:eastAsia="zh-CN" w:bidi="ar"/>
        </w:rPr>
      </w:pPr>
    </w:p>
    <w:p w14:paraId="19B7AA2B">
      <w:pPr>
        <w:numPr>
          <w:ilvl w:val="0"/>
          <w:numId w:val="0"/>
        </w:numPr>
        <w:ind w:leftChars="0"/>
        <w:jc w:val="both"/>
        <w:rPr>
          <w:rFonts w:hint="default" w:ascii="Calibri" w:hAnsi="Calibri" w:eastAsia="SimSun" w:cs="Calibri"/>
          <w:i w:val="0"/>
          <w:iCs w:val="0"/>
          <w:color w:val="000000"/>
          <w:kern w:val="0"/>
          <w:sz w:val="24"/>
          <w:szCs w:val="24"/>
          <w:u w:val="none"/>
          <w:lang w:val="en-GB" w:eastAsia="zh-CN" w:bidi="ar"/>
        </w:rPr>
      </w:pPr>
      <w:r>
        <w:rPr>
          <w:rFonts w:hint="default" w:ascii="Calibri" w:hAnsi="Calibri" w:eastAsia="SimSun" w:cs="Calibri"/>
          <w:i w:val="0"/>
          <w:iCs w:val="0"/>
          <w:color w:val="000000"/>
          <w:kern w:val="0"/>
          <w:sz w:val="24"/>
          <w:szCs w:val="24"/>
          <w:u w:val="none"/>
          <w:lang w:val="en-GB" w:eastAsia="zh-CN" w:bidi="ar"/>
        </w:rPr>
        <w:t>The connection made to the financial standing of Tesla at the moment makes more sense. The operating profit margin of Tesla dropped from 9.19% in 2023 to 7.24% in 2024, while the ROE decreased from 23.79% to 9.72% in that year. Against this backdrop, a project with the highest ARR (12.00%) becomes more appropriate as it would satisfy the need of management to prove that they have recovered the profitability and ROI, especially since the drop in net income was close to 53% between 2023 and 2024. Additionally, considering Tesla’s high liquidity position ($36.6 billion in cash at the end of 2024), Project C’s back-loaded cash flows (highest in years 3-4) would be easily feasible by the firm.</w:t>
      </w:r>
    </w:p>
    <w:p w14:paraId="091EAA33">
      <w:pPr>
        <w:numPr>
          <w:ilvl w:val="0"/>
          <w:numId w:val="0"/>
        </w:numPr>
        <w:ind w:leftChars="0"/>
        <w:jc w:val="both"/>
        <w:rPr>
          <w:rFonts w:hint="default" w:ascii="Calibri" w:hAnsi="Calibri" w:eastAsia="SimSun" w:cs="Calibri"/>
          <w:i w:val="0"/>
          <w:iCs w:val="0"/>
          <w:color w:val="000000"/>
          <w:kern w:val="0"/>
          <w:sz w:val="24"/>
          <w:szCs w:val="24"/>
          <w:u w:val="none"/>
          <w:lang w:val="en-GB" w:eastAsia="zh-CN" w:bidi="ar"/>
        </w:rPr>
      </w:pPr>
    </w:p>
    <w:p w14:paraId="3A348978">
      <w:pPr>
        <w:numPr>
          <w:ilvl w:val="0"/>
          <w:numId w:val="0"/>
        </w:numPr>
        <w:ind w:leftChars="0"/>
        <w:jc w:val="both"/>
        <w:rPr>
          <w:rFonts w:hint="default" w:ascii="Calibri" w:hAnsi="Calibri" w:eastAsia="SimSun" w:cs="Calibri"/>
          <w:i w:val="0"/>
          <w:iCs w:val="0"/>
          <w:color w:val="000000"/>
          <w:kern w:val="0"/>
          <w:sz w:val="24"/>
          <w:szCs w:val="24"/>
          <w:u w:val="none"/>
          <w:lang w:val="en-GB" w:eastAsia="zh-CN" w:bidi="ar"/>
        </w:rPr>
      </w:pPr>
      <w:r>
        <w:rPr>
          <w:rFonts w:hint="default" w:ascii="Calibri" w:hAnsi="Calibri" w:eastAsia="SimSun" w:cs="Calibri"/>
          <w:i w:val="0"/>
          <w:iCs w:val="0"/>
          <w:color w:val="000000"/>
          <w:kern w:val="0"/>
          <w:sz w:val="24"/>
          <w:szCs w:val="24"/>
          <w:u w:val="none"/>
          <w:lang w:val="en-GB" w:eastAsia="zh-CN" w:bidi="ar"/>
        </w:rPr>
        <w:t>As regards non-financial risks, the extended duration before Project C generates cash is a matter of some concern because it increases Tesla’s vulnerability to external events. Indeed, political risks arise in connection with Tesla’s heavy reliance on China (Gigafactory Shanghai). Geopolitical instabilities in this region may hinder the supply chain and prevent Tesla from accessing markets. In case Project C has anything to do with new investments in geopolitically sensitive regions, a scenario analysis of year 3–4 cash inflows should be performed. Furthermore, it is imperative that Tesla considers the issue of customer loyalty risks. Indeed, Tesla has been experiencing a lot of difficulties in 2024–2025 due to its poor brand image in the market (Reuters, 2025). Any project aimed at maintaining growth in customer demand requires proper strategies to mitigate brand risks. Nevertheless, despite these risks, Project C remains superior financially, making it an ideal choice.</w:t>
      </w:r>
    </w:p>
    <w:p w14:paraId="6A4DDD63">
      <w:pPr>
        <w:pStyle w:val="3"/>
        <w:bidi w:val="0"/>
        <w:rPr>
          <w:rFonts w:hint="default" w:ascii="Calibri" w:hAnsi="Calibri" w:cs="Calibri"/>
          <w:i w:val="0"/>
          <w:iCs w:val="0"/>
          <w:color w:val="000000"/>
          <w:kern w:val="0"/>
          <w:sz w:val="24"/>
          <w:szCs w:val="24"/>
          <w:u w:val="none"/>
          <w:lang w:val="en-GB" w:eastAsia="zh-CN" w:bidi="ar"/>
        </w:rPr>
      </w:pPr>
      <w:bookmarkStart w:id="136" w:name="_Toc909"/>
      <w:bookmarkStart w:id="137" w:name="_Toc10272"/>
    </w:p>
    <w:p w14:paraId="7B54E447">
      <w:pPr>
        <w:pStyle w:val="3"/>
        <w:bidi w:val="0"/>
        <w:rPr>
          <w:rFonts w:hint="default" w:ascii="Calibri" w:hAnsi="Calibri" w:eastAsia="SimSun" w:cs="Calibri"/>
          <w:i w:val="0"/>
          <w:iCs w:val="0"/>
          <w:color w:val="000000"/>
          <w:kern w:val="0"/>
          <w:sz w:val="24"/>
          <w:szCs w:val="24"/>
          <w:u w:val="none"/>
          <w:lang w:val="en-GB" w:eastAsia="zh-CN" w:bidi="ar"/>
        </w:rPr>
      </w:pPr>
      <w:bookmarkStart w:id="138" w:name="_Toc26587"/>
      <w:r>
        <w:rPr>
          <w:rFonts w:hint="default" w:ascii="Calibri" w:hAnsi="Calibri" w:cs="Calibri"/>
          <w:i w:val="0"/>
          <w:iCs w:val="0"/>
          <w:color w:val="000000"/>
          <w:kern w:val="0"/>
          <w:sz w:val="24"/>
          <w:szCs w:val="24"/>
          <w:u w:val="none"/>
          <w:lang w:val="en-GB" w:eastAsia="zh-CN" w:bidi="ar"/>
        </w:rPr>
        <w:t xml:space="preserve">5.4 </w:t>
      </w:r>
      <w:r>
        <w:rPr>
          <w:rFonts w:hint="default" w:ascii="Calibri" w:hAnsi="Calibri" w:eastAsia="SimSun" w:cs="Calibri"/>
          <w:i w:val="0"/>
          <w:iCs w:val="0"/>
          <w:color w:val="000000"/>
          <w:kern w:val="0"/>
          <w:sz w:val="24"/>
          <w:szCs w:val="24"/>
          <w:u w:val="none"/>
          <w:lang w:val="en-GB" w:eastAsia="zh-CN" w:bidi="ar"/>
        </w:rPr>
        <w:t>Capital Rationing — Optimal Combination Within £100m Budget</w:t>
      </w:r>
      <w:bookmarkEnd w:id="136"/>
      <w:bookmarkEnd w:id="137"/>
      <w:bookmarkEnd w:id="138"/>
    </w:p>
    <w:p w14:paraId="307483FA">
      <w:pPr>
        <w:numPr>
          <w:ilvl w:val="0"/>
          <w:numId w:val="0"/>
        </w:numPr>
        <w:jc w:val="both"/>
        <w:rPr>
          <w:rFonts w:hint="default" w:ascii="Calibri" w:hAnsi="Calibri" w:eastAsia="SimSun" w:cs="Calibri"/>
          <w:i w:val="0"/>
          <w:iCs w:val="0"/>
          <w:color w:val="000000"/>
          <w:kern w:val="0"/>
          <w:sz w:val="24"/>
          <w:szCs w:val="24"/>
          <w:u w:val="none"/>
          <w:lang w:val="en-GB" w:eastAsia="zh-CN" w:bidi="ar"/>
        </w:rPr>
      </w:pPr>
      <w:r>
        <w:rPr>
          <w:rFonts w:hint="default" w:ascii="Calibri" w:hAnsi="Calibri" w:eastAsia="SimSun" w:cs="Calibri"/>
          <w:i w:val="0"/>
          <w:iCs w:val="0"/>
          <w:color w:val="000000"/>
          <w:kern w:val="0"/>
          <w:sz w:val="24"/>
          <w:szCs w:val="24"/>
          <w:u w:val="none"/>
          <w:lang w:val="en-GB" w:eastAsia="zh-CN" w:bidi="ar"/>
        </w:rPr>
        <w:t>Given that the maximum amount available for the budget is £100m, whereby each project costs £50m, only two projects can be supported. Table 4 below shows the various combinations and their corresponding NPV values.</w:t>
      </w:r>
    </w:p>
    <w:p w14:paraId="5FA6EA20">
      <w:pPr>
        <w:numPr>
          <w:ilvl w:val="0"/>
          <w:numId w:val="0"/>
        </w:numPr>
        <w:jc w:val="both"/>
        <w:rPr>
          <w:rFonts w:hint="default" w:ascii="Calibri" w:hAnsi="Calibri" w:eastAsia="SimSun" w:cs="Calibri"/>
          <w:i w:val="0"/>
          <w:iCs w:val="0"/>
          <w:color w:val="000000"/>
          <w:kern w:val="0"/>
          <w:sz w:val="24"/>
          <w:szCs w:val="24"/>
          <w:u w:val="none"/>
          <w:lang w:val="en-GB" w:eastAsia="zh-CN" w:bidi="ar"/>
        </w:rPr>
      </w:pPr>
    </w:p>
    <w:p w14:paraId="06ED6B7B">
      <w:pPr>
        <w:numPr>
          <w:ilvl w:val="0"/>
          <w:numId w:val="0"/>
        </w:numPr>
        <w:jc w:val="both"/>
        <w:rPr>
          <w:rFonts w:hint="default" w:ascii="Calibri" w:hAnsi="Calibri" w:eastAsia="SimSun" w:cs="Calibri"/>
          <w:i w:val="0"/>
          <w:iCs w:val="0"/>
          <w:color w:val="000000"/>
          <w:kern w:val="0"/>
          <w:sz w:val="24"/>
          <w:szCs w:val="24"/>
          <w:u w:val="none"/>
          <w:lang w:val="en-GB" w:eastAsia="zh-CN" w:bidi="ar"/>
        </w:rPr>
      </w:pPr>
      <w:r>
        <w:rPr>
          <w:rFonts w:hint="default" w:ascii="Calibri" w:hAnsi="Calibri" w:eastAsia="SimSun" w:cs="Calibri"/>
          <w:i w:val="0"/>
          <w:iCs w:val="0"/>
          <w:color w:val="000000"/>
          <w:kern w:val="0"/>
          <w:sz w:val="24"/>
          <w:szCs w:val="24"/>
          <w:u w:val="none"/>
          <w:lang w:val="en-GB" w:eastAsia="zh-CN" w:bidi="ar"/>
        </w:rPr>
        <w:t>Table 4: Capital Rationing — Combined NPV of Project Pairs (£m)</w:t>
      </w:r>
    </w:p>
    <w:p w14:paraId="37BCBBFF">
      <w:pPr>
        <w:numPr>
          <w:ilvl w:val="0"/>
          <w:numId w:val="0"/>
        </w:numPr>
        <w:jc w:val="both"/>
        <w:rPr>
          <w:rFonts w:hint="default" w:ascii="Calibri" w:hAnsi="Calibri" w:eastAsia="SimSun" w:cs="Calibri"/>
          <w:i w:val="0"/>
          <w:iCs w:val="0"/>
          <w:color w:val="000000"/>
          <w:kern w:val="0"/>
          <w:sz w:val="24"/>
          <w:szCs w:val="24"/>
          <w:u w:val="none"/>
          <w:lang w:val="en-GB" w:eastAsia="zh-CN" w:bidi="ar"/>
        </w:rPr>
      </w:pPr>
    </w:p>
    <w:tbl>
      <w:tblPr>
        <w:tblStyle w:val="7"/>
        <w:tblW w:w="8417" w:type="dxa"/>
        <w:tblInd w:w="93" w:type="dxa"/>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Layout w:type="fixed"/>
        <w:tblCellMar>
          <w:top w:w="0" w:type="dxa"/>
          <w:left w:w="108" w:type="dxa"/>
          <w:bottom w:w="0" w:type="dxa"/>
          <w:right w:w="108" w:type="dxa"/>
        </w:tblCellMar>
      </w:tblPr>
      <w:tblGrid>
        <w:gridCol w:w="1141"/>
        <w:gridCol w:w="1976"/>
        <w:gridCol w:w="2021"/>
        <w:gridCol w:w="2081"/>
        <w:gridCol w:w="1198"/>
      </w:tblGrid>
      <w:tr w14:paraId="2C9BE4CB">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585" w:hRule="atLeast"/>
        </w:trPr>
        <w:tc>
          <w:tcPr>
            <w:tcW w:w="1141" w:type="dxa"/>
            <w:tcBorders>
              <w:top w:val="nil"/>
              <w:left w:val="nil"/>
              <w:bottom w:val="nil"/>
              <w:right w:val="nil"/>
            </w:tcBorders>
            <w:shd w:val="clear" w:color="auto" w:fill="D9E1F2"/>
            <w:noWrap/>
            <w:vAlign w:val="bottom"/>
          </w:tcPr>
          <w:p w14:paraId="301A7F19">
            <w:pPr>
              <w:keepNext w:val="0"/>
              <w:keepLines w:val="0"/>
              <w:widowControl/>
              <w:suppressLineNumbers w:val="0"/>
              <w:jc w:val="left"/>
              <w:textAlignment w:val="bottom"/>
              <w:rPr>
                <w:rFonts w:ascii="Calibri" w:hAnsi="Calibri" w:cs="Calibri"/>
                <w:b/>
                <w:bCs/>
                <w:i w:val="0"/>
                <w:iCs w:val="0"/>
                <w:color w:val="000000"/>
                <w:sz w:val="22"/>
                <w:szCs w:val="22"/>
                <w:u w:val="none"/>
              </w:rPr>
            </w:pPr>
            <w:r>
              <w:rPr>
                <w:rFonts w:hint="default" w:ascii="Calibri" w:hAnsi="Calibri" w:eastAsia="SimSun" w:cs="Calibri"/>
                <w:b/>
                <w:bCs/>
                <w:i w:val="0"/>
                <w:iCs w:val="0"/>
                <w:color w:val="000000"/>
                <w:kern w:val="0"/>
                <w:sz w:val="22"/>
                <w:szCs w:val="22"/>
                <w:u w:val="none"/>
                <w:lang w:val="en-US" w:eastAsia="zh-CN" w:bidi="ar"/>
              </w:rPr>
              <w:t>Combination</w:t>
            </w:r>
          </w:p>
        </w:tc>
        <w:tc>
          <w:tcPr>
            <w:tcW w:w="1976" w:type="dxa"/>
            <w:tcBorders>
              <w:top w:val="nil"/>
              <w:left w:val="nil"/>
              <w:bottom w:val="nil"/>
              <w:right w:val="nil"/>
            </w:tcBorders>
            <w:shd w:val="clear" w:color="auto" w:fill="D9E1F2"/>
            <w:noWrap/>
            <w:vAlign w:val="bottom"/>
          </w:tcPr>
          <w:p w14:paraId="04E1229A">
            <w:pPr>
              <w:keepNext w:val="0"/>
              <w:keepLines w:val="0"/>
              <w:widowControl/>
              <w:suppressLineNumbers w:val="0"/>
              <w:jc w:val="left"/>
              <w:textAlignment w:val="bottom"/>
              <w:rPr>
                <w:rFonts w:hint="default" w:ascii="Calibri" w:hAnsi="Calibri" w:cs="Calibri"/>
                <w:b/>
                <w:bCs/>
                <w:i w:val="0"/>
                <w:iCs w:val="0"/>
                <w:color w:val="000000"/>
                <w:sz w:val="22"/>
                <w:szCs w:val="22"/>
                <w:u w:val="none"/>
              </w:rPr>
            </w:pPr>
            <w:r>
              <w:rPr>
                <w:rFonts w:hint="default" w:ascii="Calibri" w:hAnsi="Calibri" w:eastAsia="SimSun" w:cs="Calibri"/>
                <w:b/>
                <w:bCs/>
                <w:i w:val="0"/>
                <w:iCs w:val="0"/>
                <w:color w:val="000000"/>
                <w:kern w:val="0"/>
                <w:sz w:val="22"/>
                <w:szCs w:val="22"/>
                <w:u w:val="none"/>
                <w:lang w:val="en-US" w:eastAsia="zh-CN" w:bidi="ar"/>
              </w:rPr>
              <w:t>NPV Project 1 (£m)</w:t>
            </w:r>
          </w:p>
        </w:tc>
        <w:tc>
          <w:tcPr>
            <w:tcW w:w="2021" w:type="dxa"/>
            <w:tcBorders>
              <w:top w:val="nil"/>
              <w:left w:val="nil"/>
              <w:bottom w:val="nil"/>
              <w:right w:val="nil"/>
            </w:tcBorders>
            <w:shd w:val="clear" w:color="auto" w:fill="D9E1F2"/>
            <w:noWrap/>
            <w:vAlign w:val="bottom"/>
          </w:tcPr>
          <w:p w14:paraId="2E802888">
            <w:pPr>
              <w:keepNext w:val="0"/>
              <w:keepLines w:val="0"/>
              <w:widowControl/>
              <w:suppressLineNumbers w:val="0"/>
              <w:jc w:val="left"/>
              <w:textAlignment w:val="bottom"/>
              <w:rPr>
                <w:rFonts w:hint="default" w:ascii="Calibri" w:hAnsi="Calibri" w:cs="Calibri"/>
                <w:b/>
                <w:bCs/>
                <w:i w:val="0"/>
                <w:iCs w:val="0"/>
                <w:color w:val="000000"/>
                <w:sz w:val="22"/>
                <w:szCs w:val="22"/>
                <w:u w:val="none"/>
              </w:rPr>
            </w:pPr>
            <w:r>
              <w:rPr>
                <w:rFonts w:hint="default" w:ascii="Calibri" w:hAnsi="Calibri" w:eastAsia="SimSun" w:cs="Calibri"/>
                <w:b/>
                <w:bCs/>
                <w:i w:val="0"/>
                <w:iCs w:val="0"/>
                <w:color w:val="000000"/>
                <w:kern w:val="0"/>
                <w:sz w:val="22"/>
                <w:szCs w:val="22"/>
                <w:u w:val="none"/>
                <w:lang w:val="en-US" w:eastAsia="zh-CN" w:bidi="ar"/>
              </w:rPr>
              <w:t>NPV Project 2 (£m)</w:t>
            </w:r>
          </w:p>
        </w:tc>
        <w:tc>
          <w:tcPr>
            <w:tcW w:w="2081" w:type="dxa"/>
            <w:tcBorders>
              <w:top w:val="nil"/>
              <w:left w:val="nil"/>
              <w:bottom w:val="nil"/>
              <w:right w:val="nil"/>
            </w:tcBorders>
            <w:shd w:val="clear" w:color="auto" w:fill="D9E1F2"/>
            <w:noWrap/>
            <w:vAlign w:val="bottom"/>
          </w:tcPr>
          <w:p w14:paraId="2C0BE58D">
            <w:pPr>
              <w:keepNext w:val="0"/>
              <w:keepLines w:val="0"/>
              <w:widowControl/>
              <w:suppressLineNumbers w:val="0"/>
              <w:jc w:val="left"/>
              <w:textAlignment w:val="bottom"/>
              <w:rPr>
                <w:rFonts w:hint="default" w:ascii="Calibri" w:hAnsi="Calibri" w:cs="Calibri"/>
                <w:b/>
                <w:bCs/>
                <w:i w:val="0"/>
                <w:iCs w:val="0"/>
                <w:color w:val="000000"/>
                <w:sz w:val="22"/>
                <w:szCs w:val="22"/>
                <w:u w:val="none"/>
              </w:rPr>
            </w:pPr>
            <w:r>
              <w:rPr>
                <w:rFonts w:hint="default" w:ascii="Calibri" w:hAnsi="Calibri" w:eastAsia="SimSun" w:cs="Calibri"/>
                <w:b/>
                <w:bCs/>
                <w:i w:val="0"/>
                <w:iCs w:val="0"/>
                <w:color w:val="000000"/>
                <w:kern w:val="0"/>
                <w:sz w:val="22"/>
                <w:szCs w:val="22"/>
                <w:u w:val="none"/>
                <w:lang w:val="en-US" w:eastAsia="zh-CN" w:bidi="ar"/>
              </w:rPr>
              <w:t>Combined NPV (£m)</w:t>
            </w:r>
          </w:p>
        </w:tc>
        <w:tc>
          <w:tcPr>
            <w:tcW w:w="1198" w:type="dxa"/>
            <w:tcBorders>
              <w:top w:val="nil"/>
              <w:left w:val="nil"/>
              <w:bottom w:val="nil"/>
              <w:right w:val="nil"/>
            </w:tcBorders>
            <w:shd w:val="clear" w:color="auto" w:fill="D9E1F2"/>
            <w:noWrap/>
            <w:vAlign w:val="bottom"/>
          </w:tcPr>
          <w:p w14:paraId="78AEA1C2">
            <w:pPr>
              <w:keepNext w:val="0"/>
              <w:keepLines w:val="0"/>
              <w:widowControl/>
              <w:suppressLineNumbers w:val="0"/>
              <w:jc w:val="left"/>
              <w:textAlignment w:val="bottom"/>
              <w:rPr>
                <w:rFonts w:hint="default" w:ascii="Calibri" w:hAnsi="Calibri" w:cs="Calibri"/>
                <w:b/>
                <w:bCs/>
                <w:i w:val="0"/>
                <w:iCs w:val="0"/>
                <w:color w:val="000000"/>
                <w:sz w:val="22"/>
                <w:szCs w:val="22"/>
                <w:u w:val="none"/>
              </w:rPr>
            </w:pPr>
            <w:r>
              <w:rPr>
                <w:rFonts w:hint="default" w:ascii="Calibri" w:hAnsi="Calibri" w:eastAsia="SimSun" w:cs="Calibri"/>
                <w:b/>
                <w:bCs/>
                <w:i w:val="0"/>
                <w:iCs w:val="0"/>
                <w:color w:val="000000"/>
                <w:kern w:val="0"/>
                <w:sz w:val="22"/>
                <w:szCs w:val="22"/>
                <w:u w:val="none"/>
                <w:lang w:val="en-US" w:eastAsia="zh-CN" w:bidi="ar"/>
              </w:rPr>
              <w:t>PI Ranking</w:t>
            </w:r>
          </w:p>
        </w:tc>
      </w:tr>
      <w:tr w14:paraId="091AB6B1">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29" w:hRule="atLeast"/>
        </w:trPr>
        <w:tc>
          <w:tcPr>
            <w:tcW w:w="1141" w:type="dxa"/>
            <w:tcBorders>
              <w:top w:val="nil"/>
              <w:left w:val="nil"/>
              <w:bottom w:val="nil"/>
              <w:right w:val="nil"/>
            </w:tcBorders>
            <w:shd w:val="clear" w:color="auto" w:fill="auto"/>
            <w:vAlign w:val="bottom"/>
          </w:tcPr>
          <w:p w14:paraId="2515DA58">
            <w:pPr>
              <w:keepNext w:val="0"/>
              <w:keepLines w:val="0"/>
              <w:widowControl/>
              <w:suppressLineNumbers w:val="0"/>
              <w:jc w:val="lef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lang w:val="en-US" w:eastAsia="zh-CN" w:bidi="ar"/>
              </w:rPr>
              <w:t>A + B</w:t>
            </w:r>
          </w:p>
        </w:tc>
        <w:tc>
          <w:tcPr>
            <w:tcW w:w="1976" w:type="dxa"/>
            <w:tcBorders>
              <w:top w:val="nil"/>
              <w:left w:val="nil"/>
              <w:bottom w:val="nil"/>
              <w:right w:val="nil"/>
            </w:tcBorders>
            <w:shd w:val="clear" w:color="auto" w:fill="auto"/>
            <w:vAlign w:val="bottom"/>
          </w:tcPr>
          <w:p w14:paraId="6FB1F704">
            <w:pPr>
              <w:keepNext w:val="0"/>
              <w:keepLines w:val="0"/>
              <w:widowControl/>
              <w:suppressLineNumbers w:val="0"/>
              <w:jc w:val="lef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lang w:val="en-US" w:eastAsia="zh-CN" w:bidi="ar"/>
              </w:rPr>
              <w:t>−8.68</w:t>
            </w:r>
          </w:p>
        </w:tc>
        <w:tc>
          <w:tcPr>
            <w:tcW w:w="2021" w:type="dxa"/>
            <w:tcBorders>
              <w:top w:val="nil"/>
              <w:left w:val="nil"/>
              <w:bottom w:val="nil"/>
              <w:right w:val="nil"/>
            </w:tcBorders>
            <w:shd w:val="clear" w:color="auto" w:fill="auto"/>
            <w:vAlign w:val="bottom"/>
          </w:tcPr>
          <w:p w14:paraId="49152C28">
            <w:pPr>
              <w:keepNext w:val="0"/>
              <w:keepLines w:val="0"/>
              <w:widowControl/>
              <w:suppressLineNumbers w:val="0"/>
              <w:jc w:val="lef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lang w:val="en-US" w:eastAsia="zh-CN" w:bidi="ar"/>
              </w:rPr>
              <w:t>−8.30</w:t>
            </w:r>
          </w:p>
        </w:tc>
        <w:tc>
          <w:tcPr>
            <w:tcW w:w="2081" w:type="dxa"/>
            <w:tcBorders>
              <w:top w:val="nil"/>
              <w:left w:val="nil"/>
              <w:bottom w:val="nil"/>
              <w:right w:val="nil"/>
            </w:tcBorders>
            <w:shd w:val="clear" w:color="auto" w:fill="auto"/>
            <w:vAlign w:val="bottom"/>
          </w:tcPr>
          <w:p w14:paraId="77E5F27F">
            <w:pPr>
              <w:keepNext w:val="0"/>
              <w:keepLines w:val="0"/>
              <w:widowControl/>
              <w:suppressLineNumbers w:val="0"/>
              <w:jc w:val="lef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lang w:val="en-US" w:eastAsia="zh-CN" w:bidi="ar"/>
              </w:rPr>
              <w:t>−16.98</w:t>
            </w:r>
          </w:p>
        </w:tc>
        <w:tc>
          <w:tcPr>
            <w:tcW w:w="1198" w:type="dxa"/>
            <w:tcBorders>
              <w:top w:val="nil"/>
              <w:left w:val="nil"/>
              <w:bottom w:val="nil"/>
              <w:right w:val="nil"/>
            </w:tcBorders>
            <w:shd w:val="clear" w:color="auto" w:fill="auto"/>
            <w:vAlign w:val="bottom"/>
          </w:tcPr>
          <w:p w14:paraId="0D480C71">
            <w:pPr>
              <w:keepNext w:val="0"/>
              <w:keepLines w:val="0"/>
              <w:widowControl/>
              <w:suppressLineNumbers w:val="0"/>
              <w:jc w:val="lef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lang w:val="en-US" w:eastAsia="zh-CN" w:bidi="ar"/>
              </w:rPr>
              <w:t>Lowest</w:t>
            </w:r>
          </w:p>
        </w:tc>
      </w:tr>
      <w:tr w14:paraId="404A2D3F">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92" w:hRule="atLeast"/>
        </w:trPr>
        <w:tc>
          <w:tcPr>
            <w:tcW w:w="1141" w:type="dxa"/>
            <w:tcBorders>
              <w:top w:val="nil"/>
              <w:left w:val="nil"/>
              <w:bottom w:val="nil"/>
              <w:right w:val="nil"/>
            </w:tcBorders>
            <w:shd w:val="clear" w:color="auto" w:fill="auto"/>
            <w:vAlign w:val="bottom"/>
          </w:tcPr>
          <w:p w14:paraId="3016D8C9">
            <w:pPr>
              <w:keepNext w:val="0"/>
              <w:keepLines w:val="0"/>
              <w:widowControl/>
              <w:suppressLineNumbers w:val="0"/>
              <w:jc w:val="lef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lang w:val="en-US" w:eastAsia="zh-CN" w:bidi="ar"/>
              </w:rPr>
              <w:t>A + C</w:t>
            </w:r>
          </w:p>
        </w:tc>
        <w:tc>
          <w:tcPr>
            <w:tcW w:w="1976" w:type="dxa"/>
            <w:tcBorders>
              <w:top w:val="nil"/>
              <w:left w:val="nil"/>
              <w:bottom w:val="nil"/>
              <w:right w:val="nil"/>
            </w:tcBorders>
            <w:shd w:val="clear" w:color="auto" w:fill="auto"/>
            <w:vAlign w:val="bottom"/>
          </w:tcPr>
          <w:p w14:paraId="4EEBC6DF">
            <w:pPr>
              <w:keepNext w:val="0"/>
              <w:keepLines w:val="0"/>
              <w:widowControl/>
              <w:suppressLineNumbers w:val="0"/>
              <w:jc w:val="lef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lang w:val="en-US" w:eastAsia="zh-CN" w:bidi="ar"/>
              </w:rPr>
              <w:t>−8.68</w:t>
            </w:r>
          </w:p>
        </w:tc>
        <w:tc>
          <w:tcPr>
            <w:tcW w:w="2021" w:type="dxa"/>
            <w:tcBorders>
              <w:top w:val="nil"/>
              <w:left w:val="nil"/>
              <w:bottom w:val="nil"/>
              <w:right w:val="nil"/>
            </w:tcBorders>
            <w:shd w:val="clear" w:color="auto" w:fill="auto"/>
            <w:vAlign w:val="bottom"/>
          </w:tcPr>
          <w:p w14:paraId="1A3A6B73">
            <w:pPr>
              <w:keepNext w:val="0"/>
              <w:keepLines w:val="0"/>
              <w:widowControl/>
              <w:suppressLineNumbers w:val="0"/>
              <w:jc w:val="lef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lang w:val="en-US" w:eastAsia="zh-CN" w:bidi="ar"/>
              </w:rPr>
              <w:t>−1.98</w:t>
            </w:r>
          </w:p>
        </w:tc>
        <w:tc>
          <w:tcPr>
            <w:tcW w:w="2081" w:type="dxa"/>
            <w:tcBorders>
              <w:top w:val="nil"/>
              <w:left w:val="nil"/>
              <w:bottom w:val="nil"/>
              <w:right w:val="nil"/>
            </w:tcBorders>
            <w:shd w:val="clear" w:color="auto" w:fill="auto"/>
            <w:vAlign w:val="bottom"/>
          </w:tcPr>
          <w:p w14:paraId="46488128">
            <w:pPr>
              <w:keepNext w:val="0"/>
              <w:keepLines w:val="0"/>
              <w:widowControl/>
              <w:suppressLineNumbers w:val="0"/>
              <w:jc w:val="lef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lang w:val="en-US" w:eastAsia="zh-CN" w:bidi="ar"/>
              </w:rPr>
              <w:t>−10.66</w:t>
            </w:r>
          </w:p>
        </w:tc>
        <w:tc>
          <w:tcPr>
            <w:tcW w:w="1198" w:type="dxa"/>
            <w:tcBorders>
              <w:top w:val="nil"/>
              <w:left w:val="nil"/>
              <w:bottom w:val="nil"/>
              <w:right w:val="nil"/>
            </w:tcBorders>
            <w:shd w:val="clear" w:color="auto" w:fill="auto"/>
            <w:vAlign w:val="bottom"/>
          </w:tcPr>
          <w:p w14:paraId="362D50ED">
            <w:pPr>
              <w:keepNext w:val="0"/>
              <w:keepLines w:val="0"/>
              <w:widowControl/>
              <w:suppressLineNumbers w:val="0"/>
              <w:jc w:val="lef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lang w:val="en-US" w:eastAsia="zh-CN" w:bidi="ar"/>
              </w:rPr>
              <w:t>Middle</w:t>
            </w:r>
          </w:p>
        </w:tc>
      </w:tr>
      <w:tr w14:paraId="76458479">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92" w:hRule="atLeast"/>
        </w:trPr>
        <w:tc>
          <w:tcPr>
            <w:tcW w:w="1141" w:type="dxa"/>
            <w:tcBorders>
              <w:top w:val="nil"/>
              <w:left w:val="nil"/>
              <w:bottom w:val="nil"/>
              <w:right w:val="nil"/>
            </w:tcBorders>
            <w:shd w:val="clear" w:color="auto" w:fill="auto"/>
            <w:vAlign w:val="bottom"/>
          </w:tcPr>
          <w:p w14:paraId="4AA150C8">
            <w:pPr>
              <w:keepNext w:val="0"/>
              <w:keepLines w:val="0"/>
              <w:widowControl/>
              <w:suppressLineNumbers w:val="0"/>
              <w:jc w:val="left"/>
              <w:textAlignment w:val="bottom"/>
              <w:rPr>
                <w:rFonts w:hint="default" w:ascii="Calibri" w:hAnsi="Calibri" w:cs="Calibri"/>
                <w:b/>
                <w:bCs/>
                <w:i w:val="0"/>
                <w:iCs w:val="0"/>
                <w:color w:val="000000"/>
                <w:sz w:val="22"/>
                <w:szCs w:val="22"/>
                <w:u w:val="none"/>
              </w:rPr>
            </w:pPr>
            <w:r>
              <w:rPr>
                <w:rFonts w:hint="default" w:ascii="Calibri" w:hAnsi="Calibri" w:eastAsia="SimSun" w:cs="Calibri"/>
                <w:b/>
                <w:bCs/>
                <w:i w:val="0"/>
                <w:iCs w:val="0"/>
                <w:color w:val="000000"/>
                <w:kern w:val="0"/>
                <w:sz w:val="22"/>
                <w:szCs w:val="22"/>
                <w:u w:val="none"/>
                <w:lang w:val="en-US" w:eastAsia="zh-CN" w:bidi="ar"/>
              </w:rPr>
              <w:t>B + C</w:t>
            </w:r>
          </w:p>
        </w:tc>
        <w:tc>
          <w:tcPr>
            <w:tcW w:w="1976" w:type="dxa"/>
            <w:tcBorders>
              <w:top w:val="nil"/>
              <w:left w:val="nil"/>
              <w:bottom w:val="nil"/>
              <w:right w:val="nil"/>
            </w:tcBorders>
            <w:shd w:val="clear" w:color="auto" w:fill="auto"/>
            <w:vAlign w:val="bottom"/>
          </w:tcPr>
          <w:p w14:paraId="3B710803">
            <w:pPr>
              <w:keepNext w:val="0"/>
              <w:keepLines w:val="0"/>
              <w:widowControl/>
              <w:suppressLineNumbers w:val="0"/>
              <w:jc w:val="left"/>
              <w:textAlignment w:val="bottom"/>
              <w:rPr>
                <w:rFonts w:hint="default" w:ascii="Calibri" w:hAnsi="Calibri" w:cs="Calibri"/>
                <w:b/>
                <w:bCs/>
                <w:i w:val="0"/>
                <w:iCs w:val="0"/>
                <w:color w:val="000000"/>
                <w:sz w:val="22"/>
                <w:szCs w:val="22"/>
                <w:u w:val="none"/>
              </w:rPr>
            </w:pPr>
            <w:r>
              <w:rPr>
                <w:rFonts w:hint="default" w:ascii="Calibri" w:hAnsi="Calibri" w:eastAsia="SimSun" w:cs="Calibri"/>
                <w:b/>
                <w:bCs/>
                <w:i w:val="0"/>
                <w:iCs w:val="0"/>
                <w:color w:val="000000"/>
                <w:kern w:val="0"/>
                <w:sz w:val="22"/>
                <w:szCs w:val="22"/>
                <w:u w:val="none"/>
                <w:lang w:val="en-US" w:eastAsia="zh-CN" w:bidi="ar"/>
              </w:rPr>
              <w:t>−8.30</w:t>
            </w:r>
          </w:p>
        </w:tc>
        <w:tc>
          <w:tcPr>
            <w:tcW w:w="2021" w:type="dxa"/>
            <w:tcBorders>
              <w:top w:val="nil"/>
              <w:left w:val="nil"/>
              <w:bottom w:val="nil"/>
              <w:right w:val="nil"/>
            </w:tcBorders>
            <w:shd w:val="clear" w:color="auto" w:fill="auto"/>
            <w:vAlign w:val="bottom"/>
          </w:tcPr>
          <w:p w14:paraId="4E53B0C6">
            <w:pPr>
              <w:keepNext w:val="0"/>
              <w:keepLines w:val="0"/>
              <w:widowControl/>
              <w:suppressLineNumbers w:val="0"/>
              <w:jc w:val="left"/>
              <w:textAlignment w:val="bottom"/>
              <w:rPr>
                <w:rFonts w:hint="default" w:ascii="Calibri" w:hAnsi="Calibri" w:cs="Calibri"/>
                <w:b/>
                <w:bCs/>
                <w:i w:val="0"/>
                <w:iCs w:val="0"/>
                <w:color w:val="000000"/>
                <w:sz w:val="22"/>
                <w:szCs w:val="22"/>
                <w:u w:val="none"/>
              </w:rPr>
            </w:pPr>
            <w:r>
              <w:rPr>
                <w:rFonts w:hint="default" w:ascii="Calibri" w:hAnsi="Calibri" w:eastAsia="SimSun" w:cs="Calibri"/>
                <w:b/>
                <w:bCs/>
                <w:i w:val="0"/>
                <w:iCs w:val="0"/>
                <w:color w:val="000000"/>
                <w:kern w:val="0"/>
                <w:sz w:val="22"/>
                <w:szCs w:val="22"/>
                <w:u w:val="none"/>
                <w:lang w:val="en-US" w:eastAsia="zh-CN" w:bidi="ar"/>
              </w:rPr>
              <w:t>−1.98</w:t>
            </w:r>
          </w:p>
        </w:tc>
        <w:tc>
          <w:tcPr>
            <w:tcW w:w="2081" w:type="dxa"/>
            <w:tcBorders>
              <w:top w:val="nil"/>
              <w:left w:val="nil"/>
              <w:bottom w:val="nil"/>
              <w:right w:val="nil"/>
            </w:tcBorders>
            <w:shd w:val="clear" w:color="auto" w:fill="auto"/>
            <w:vAlign w:val="bottom"/>
          </w:tcPr>
          <w:p w14:paraId="39479044">
            <w:pPr>
              <w:keepNext w:val="0"/>
              <w:keepLines w:val="0"/>
              <w:widowControl/>
              <w:suppressLineNumbers w:val="0"/>
              <w:jc w:val="left"/>
              <w:textAlignment w:val="bottom"/>
              <w:rPr>
                <w:rFonts w:hint="default" w:ascii="Calibri" w:hAnsi="Calibri" w:cs="Calibri"/>
                <w:b/>
                <w:bCs/>
                <w:i w:val="0"/>
                <w:iCs w:val="0"/>
                <w:color w:val="000000"/>
                <w:sz w:val="22"/>
                <w:szCs w:val="22"/>
                <w:u w:val="none"/>
              </w:rPr>
            </w:pPr>
            <w:r>
              <w:rPr>
                <w:rFonts w:hint="default" w:ascii="Calibri" w:hAnsi="Calibri" w:eastAsia="SimSun" w:cs="Calibri"/>
                <w:b/>
                <w:bCs/>
                <w:i w:val="0"/>
                <w:iCs w:val="0"/>
                <w:color w:val="000000"/>
                <w:kern w:val="0"/>
                <w:sz w:val="22"/>
                <w:szCs w:val="22"/>
                <w:u w:val="none"/>
                <w:lang w:val="en-US" w:eastAsia="zh-CN" w:bidi="ar"/>
              </w:rPr>
              <w:t>−10.29</w:t>
            </w:r>
          </w:p>
        </w:tc>
        <w:tc>
          <w:tcPr>
            <w:tcW w:w="1198" w:type="dxa"/>
            <w:tcBorders>
              <w:top w:val="nil"/>
              <w:left w:val="nil"/>
              <w:bottom w:val="nil"/>
              <w:right w:val="nil"/>
            </w:tcBorders>
            <w:shd w:val="clear" w:color="auto" w:fill="auto"/>
            <w:vAlign w:val="bottom"/>
          </w:tcPr>
          <w:p w14:paraId="2029280C">
            <w:pPr>
              <w:keepNext w:val="0"/>
              <w:keepLines w:val="0"/>
              <w:widowControl/>
              <w:suppressLineNumbers w:val="0"/>
              <w:jc w:val="left"/>
              <w:textAlignment w:val="bottom"/>
              <w:rPr>
                <w:rFonts w:hint="default" w:ascii="Calibri" w:hAnsi="Calibri" w:cs="Calibri"/>
                <w:b/>
                <w:bCs/>
                <w:i w:val="0"/>
                <w:iCs w:val="0"/>
                <w:color w:val="000000"/>
                <w:sz w:val="22"/>
                <w:szCs w:val="22"/>
                <w:u w:val="none"/>
              </w:rPr>
            </w:pPr>
            <w:r>
              <w:rPr>
                <w:rFonts w:hint="default" w:ascii="Calibri" w:hAnsi="Calibri" w:eastAsia="SimSun" w:cs="Calibri"/>
                <w:b/>
                <w:bCs/>
                <w:i w:val="0"/>
                <w:iCs w:val="0"/>
                <w:color w:val="000000"/>
                <w:kern w:val="0"/>
                <w:sz w:val="22"/>
                <w:szCs w:val="22"/>
                <w:u w:val="none"/>
                <w:lang w:val="en-US" w:eastAsia="zh-CN" w:bidi="ar"/>
              </w:rPr>
              <w:t>Highest</w:t>
            </w:r>
          </w:p>
        </w:tc>
      </w:tr>
    </w:tbl>
    <w:p w14:paraId="6E35A49E">
      <w:pPr>
        <w:numPr>
          <w:ilvl w:val="0"/>
          <w:numId w:val="0"/>
        </w:numPr>
        <w:jc w:val="both"/>
        <w:rPr>
          <w:rFonts w:hint="default" w:ascii="Calibri" w:hAnsi="Calibri" w:eastAsia="SimSun" w:cs="Calibri"/>
          <w:i w:val="0"/>
          <w:iCs w:val="0"/>
          <w:color w:val="000000"/>
          <w:kern w:val="0"/>
          <w:sz w:val="24"/>
          <w:szCs w:val="24"/>
          <w:u w:val="none"/>
          <w:lang w:val="en-GB" w:eastAsia="zh-CN" w:bidi="ar"/>
        </w:rPr>
      </w:pPr>
    </w:p>
    <w:p w14:paraId="3BEF293E">
      <w:pPr>
        <w:numPr>
          <w:ilvl w:val="0"/>
          <w:numId w:val="0"/>
        </w:numPr>
        <w:jc w:val="both"/>
        <w:rPr>
          <w:rFonts w:hint="default" w:ascii="Calibri" w:hAnsi="Calibri" w:eastAsia="SimSun" w:cs="Calibri"/>
          <w:i w:val="0"/>
          <w:iCs w:val="0"/>
          <w:color w:val="000000"/>
          <w:kern w:val="0"/>
          <w:sz w:val="24"/>
          <w:szCs w:val="24"/>
          <w:u w:val="none"/>
          <w:lang w:val="en-GB" w:eastAsia="zh-CN" w:bidi="ar"/>
        </w:rPr>
      </w:pPr>
      <w:r>
        <w:rPr>
          <w:rFonts w:hint="default" w:ascii="Calibri" w:hAnsi="Calibri" w:eastAsia="SimSun" w:cs="Calibri"/>
          <w:i w:val="0"/>
          <w:iCs w:val="0"/>
          <w:color w:val="000000"/>
          <w:kern w:val="0"/>
          <w:sz w:val="24"/>
          <w:szCs w:val="24"/>
          <w:u w:val="none"/>
          <w:lang w:val="en-GB" w:eastAsia="zh-CN" w:bidi="ar"/>
        </w:rPr>
        <w:t>In the context of capital rationing, the appropriate criterion for choice is the Profitability Index, whereby projects are prioritized according to the value created per £1 invested in the project (Pike and Neale, 2015). According to the PI rankings: Project C (0.9603) &gt; Project B (0.8340) &gt; Project A (0.8265). Consequently, by choosing the two projects with the highest PI values within the £100m budget constraint, we will have selected Projects B and C, having a total NPV of −£10.29m.</w:t>
      </w:r>
    </w:p>
    <w:p w14:paraId="35C3500D">
      <w:pPr>
        <w:numPr>
          <w:ilvl w:val="0"/>
          <w:numId w:val="0"/>
        </w:numPr>
        <w:jc w:val="both"/>
        <w:rPr>
          <w:rFonts w:hint="default" w:ascii="Calibri" w:hAnsi="Calibri" w:eastAsia="SimSun" w:cs="Calibri"/>
          <w:i w:val="0"/>
          <w:iCs w:val="0"/>
          <w:color w:val="000000"/>
          <w:kern w:val="0"/>
          <w:sz w:val="24"/>
          <w:szCs w:val="24"/>
          <w:u w:val="none"/>
          <w:lang w:val="en-GB" w:eastAsia="zh-CN" w:bidi="ar"/>
        </w:rPr>
      </w:pPr>
    </w:p>
    <w:p w14:paraId="7C6C04D8">
      <w:pPr>
        <w:numPr>
          <w:ilvl w:val="0"/>
          <w:numId w:val="0"/>
        </w:numPr>
        <w:jc w:val="both"/>
        <w:rPr>
          <w:rFonts w:hint="default" w:ascii="Calibri" w:hAnsi="Calibri" w:eastAsia="SimSun" w:cs="Calibri"/>
          <w:i w:val="0"/>
          <w:iCs w:val="0"/>
          <w:color w:val="000000"/>
          <w:kern w:val="0"/>
          <w:sz w:val="24"/>
          <w:szCs w:val="24"/>
          <w:u w:val="none"/>
          <w:lang w:val="en-GB" w:eastAsia="zh-CN" w:bidi="ar"/>
        </w:rPr>
      </w:pPr>
      <w:r>
        <w:rPr>
          <w:rFonts w:hint="default" w:ascii="Calibri" w:hAnsi="Calibri" w:eastAsia="SimSun" w:cs="Calibri"/>
          <w:i w:val="0"/>
          <w:iCs w:val="0"/>
          <w:color w:val="000000"/>
          <w:kern w:val="0"/>
          <w:sz w:val="24"/>
          <w:szCs w:val="24"/>
          <w:u w:val="none"/>
          <w:lang w:val="en-GB" w:eastAsia="zh-CN" w:bidi="ar"/>
        </w:rPr>
        <w:t>The total NPV is still negative; however, the combination of B and C ensures minimal value erosion, and Project C's relatively better rate of return serves as the backbone of the portfolio. Project B's reliable and consistent £11 million per year cash flows offer an element of risk mitigation for the portfolio, given the more erratic nature of Project C's cash flows but its relatively higher return potential. This strategic blend is also well-suited to address Tesla's dual objectives of restoring margins, as facilitated by the high ARR of Project C, and cash flow stability, as provided by the annuity nature of cash flows from Project B.</w:t>
      </w:r>
    </w:p>
    <w:p w14:paraId="3D81E064">
      <w:pPr>
        <w:pStyle w:val="2"/>
        <w:numPr>
          <w:ilvl w:val="0"/>
          <w:numId w:val="1"/>
        </w:numPr>
        <w:bidi w:val="0"/>
        <w:rPr>
          <w:rFonts w:hint="default" w:ascii="Calibri" w:hAnsi="Calibri" w:eastAsia="SimSun" w:cs="Calibri"/>
          <w:i w:val="0"/>
          <w:iCs w:val="0"/>
          <w:color w:val="000000"/>
          <w:kern w:val="0"/>
          <w:sz w:val="24"/>
          <w:szCs w:val="24"/>
          <w:u w:val="none"/>
          <w:lang w:val="en-GB" w:eastAsia="zh-CN" w:bidi="ar"/>
        </w:rPr>
      </w:pPr>
      <w:bookmarkStart w:id="139" w:name="_Toc17978"/>
      <w:bookmarkStart w:id="140" w:name="_Toc3165"/>
      <w:bookmarkStart w:id="141" w:name="_Toc13452"/>
      <w:r>
        <w:rPr>
          <w:rFonts w:hint="default" w:ascii="Calibri" w:hAnsi="Calibri" w:cs="Calibri"/>
          <w:sz w:val="24"/>
          <w:szCs w:val="24"/>
          <w:lang w:val="en-GB" w:eastAsia="zh-CN"/>
        </w:rPr>
        <w:t>Conclusion</w:t>
      </w:r>
      <w:bookmarkEnd w:id="139"/>
      <w:bookmarkEnd w:id="140"/>
      <w:bookmarkEnd w:id="141"/>
    </w:p>
    <w:p w14:paraId="2D63769E">
      <w:pPr>
        <w:pStyle w:val="3"/>
        <w:bidi w:val="0"/>
        <w:rPr>
          <w:rFonts w:hint="default" w:ascii="Calibri" w:hAnsi="Calibri" w:eastAsia="SimSun" w:cs="Calibri"/>
          <w:i w:val="0"/>
          <w:iCs w:val="0"/>
          <w:color w:val="000000"/>
          <w:kern w:val="0"/>
          <w:sz w:val="24"/>
          <w:szCs w:val="24"/>
          <w:u w:val="none"/>
          <w:lang w:val="en-GB" w:eastAsia="zh-CN" w:bidi="ar"/>
        </w:rPr>
      </w:pPr>
      <w:bookmarkStart w:id="142" w:name="_Toc10842"/>
      <w:bookmarkStart w:id="143" w:name="_Toc20756"/>
      <w:bookmarkStart w:id="144" w:name="_Toc2751"/>
      <w:r>
        <w:rPr>
          <w:rFonts w:hint="default" w:ascii="Calibri" w:hAnsi="Calibri" w:cs="Calibri"/>
          <w:i w:val="0"/>
          <w:iCs w:val="0"/>
          <w:color w:val="000000"/>
          <w:kern w:val="0"/>
          <w:sz w:val="24"/>
          <w:szCs w:val="24"/>
          <w:u w:val="none"/>
          <w:lang w:val="en-GB" w:eastAsia="zh-CN" w:bidi="ar"/>
        </w:rPr>
        <w:t>6.1 Overall Financial Position of Tesla</w:t>
      </w:r>
      <w:bookmarkEnd w:id="142"/>
      <w:bookmarkEnd w:id="143"/>
      <w:bookmarkEnd w:id="144"/>
    </w:p>
    <w:p w14:paraId="408857D0">
      <w:pPr>
        <w:numPr>
          <w:ilvl w:val="0"/>
          <w:numId w:val="0"/>
        </w:numPr>
        <w:jc w:val="both"/>
        <w:rPr>
          <w:rFonts w:hint="default" w:ascii="Calibri" w:hAnsi="Calibri" w:eastAsia="SimSun" w:cs="Calibri"/>
          <w:i w:val="0"/>
          <w:iCs w:val="0"/>
          <w:color w:val="000000"/>
          <w:kern w:val="0"/>
          <w:sz w:val="24"/>
          <w:szCs w:val="24"/>
          <w:u w:val="none"/>
          <w:lang w:val="en-GB" w:eastAsia="zh-CN" w:bidi="ar"/>
        </w:rPr>
      </w:pPr>
      <w:r>
        <w:rPr>
          <w:rFonts w:hint="default" w:ascii="Calibri" w:hAnsi="Calibri" w:eastAsia="SimSun" w:cs="Calibri"/>
          <w:i w:val="0"/>
          <w:iCs w:val="0"/>
          <w:color w:val="000000"/>
          <w:kern w:val="0"/>
          <w:sz w:val="24"/>
          <w:szCs w:val="24"/>
          <w:u w:val="none"/>
          <w:lang w:val="en-GB" w:eastAsia="zh-CN" w:bidi="ar"/>
        </w:rPr>
        <w:t>During the five-year timeframe of 2020-2024, Tesla evolved from being a rapidly growing disruptor to becoming an entrenched player in the auto industry subject to the natural pressures of market maturity. The revenue base increased from $31.5 billion in 2020 to $97.7 billion in 2024, marking a compound annual growth rate of roughly 25%, and operating cash flow rose from $5.9 billion to $14.9 billion, while the balance sheet showed remarkable improvement with equity increasing to $73.6 billion from $23.1 billion in 2020 and cash position swelling to $36.6 billion (Annaxture). As can be seen, Tesla remains an exceptionally well-run business characterized by very strong liquidity, extremely low leverage (Debt/Equity ratio: 0.11 for 2024) and continued ability to finance investments out of its earnings stream. However, the marked decline in profitability ratios from 2022 to 2024 (operating margin declining from 16.8% to 7.2%, ROE dropping to 9.7% from 27.9% and 53% reduction in net income on y-o-y basis) suggests that tougher times lie ahead for Tesla.</w:t>
      </w:r>
    </w:p>
    <w:p w14:paraId="19CDDAF9">
      <w:pPr>
        <w:pStyle w:val="3"/>
        <w:bidi w:val="0"/>
        <w:rPr>
          <w:rFonts w:hint="default" w:ascii="Calibri" w:hAnsi="Calibri" w:eastAsia="SimSun" w:cs="Calibri"/>
          <w:i w:val="0"/>
          <w:iCs w:val="0"/>
          <w:color w:val="000000"/>
          <w:kern w:val="0"/>
          <w:sz w:val="24"/>
          <w:szCs w:val="24"/>
          <w:u w:val="none"/>
          <w:lang w:val="en-GB" w:eastAsia="zh-CN" w:bidi="ar"/>
        </w:rPr>
      </w:pPr>
      <w:bookmarkStart w:id="145" w:name="_Toc8502"/>
      <w:bookmarkStart w:id="146" w:name="_Toc855"/>
      <w:bookmarkStart w:id="147" w:name="_Toc18114"/>
      <w:r>
        <w:rPr>
          <w:rFonts w:hint="default" w:ascii="Calibri" w:hAnsi="Calibri" w:cs="Calibri"/>
          <w:i w:val="0"/>
          <w:iCs w:val="0"/>
          <w:color w:val="000000"/>
          <w:kern w:val="0"/>
          <w:sz w:val="24"/>
          <w:szCs w:val="24"/>
          <w:u w:val="none"/>
          <w:lang w:val="en-GB" w:eastAsia="zh-CN" w:bidi="ar"/>
        </w:rPr>
        <w:t>6.2 Key Weaknesses</w:t>
      </w:r>
      <w:bookmarkEnd w:id="145"/>
      <w:bookmarkEnd w:id="146"/>
      <w:bookmarkEnd w:id="147"/>
    </w:p>
    <w:p w14:paraId="53EE8F7F">
      <w:pPr>
        <w:numPr>
          <w:ilvl w:val="0"/>
          <w:numId w:val="0"/>
        </w:numPr>
        <w:jc w:val="both"/>
        <w:rPr>
          <w:rFonts w:hint="default" w:ascii="Calibri" w:hAnsi="Calibri" w:eastAsia="SimSun" w:cs="Calibri"/>
          <w:i w:val="0"/>
          <w:iCs w:val="0"/>
          <w:color w:val="000000"/>
          <w:kern w:val="0"/>
          <w:sz w:val="24"/>
          <w:szCs w:val="24"/>
          <w:u w:val="none"/>
          <w:lang w:val="en-GB" w:eastAsia="zh-CN" w:bidi="ar"/>
        </w:rPr>
      </w:pPr>
      <w:r>
        <w:rPr>
          <w:rFonts w:hint="default" w:ascii="Calibri" w:hAnsi="Calibri" w:eastAsia="SimSun" w:cs="Calibri"/>
          <w:i w:val="0"/>
          <w:iCs w:val="0"/>
          <w:color w:val="000000"/>
          <w:kern w:val="0"/>
          <w:sz w:val="24"/>
          <w:szCs w:val="24"/>
          <w:u w:val="none"/>
          <w:lang w:val="en-GB" w:eastAsia="zh-CN" w:bidi="ar"/>
        </w:rPr>
        <w:t>The most critical risk factor for Tesla at the moment is the squeezing of its margin. Repeated reductions of prices to protect deliveries from competitive threats by the Chinese manufacturers and increase demand have reduced the company’s margins from 25.6% in 2022 to 17.9% in 2024. While this strategy has worked in protecting deliveries, it has greatly affected the bottom line, and there is no pricing catalyst in sight.</w:t>
      </w:r>
    </w:p>
    <w:p w14:paraId="16175F30">
      <w:pPr>
        <w:numPr>
          <w:ilvl w:val="0"/>
          <w:numId w:val="0"/>
        </w:numPr>
        <w:jc w:val="both"/>
        <w:rPr>
          <w:rFonts w:hint="default" w:ascii="Calibri" w:hAnsi="Calibri" w:eastAsia="SimSun" w:cs="Calibri"/>
          <w:i w:val="0"/>
          <w:iCs w:val="0"/>
          <w:color w:val="000000"/>
          <w:kern w:val="0"/>
          <w:sz w:val="24"/>
          <w:szCs w:val="24"/>
          <w:u w:val="none"/>
          <w:lang w:val="en-GB" w:eastAsia="zh-CN" w:bidi="ar"/>
        </w:rPr>
      </w:pPr>
    </w:p>
    <w:p w14:paraId="5619BDA2">
      <w:pPr>
        <w:numPr>
          <w:ilvl w:val="0"/>
          <w:numId w:val="0"/>
        </w:numPr>
        <w:jc w:val="both"/>
        <w:rPr>
          <w:rFonts w:hint="default" w:ascii="Calibri" w:hAnsi="Calibri" w:eastAsia="SimSun" w:cs="Calibri"/>
          <w:i w:val="0"/>
          <w:iCs w:val="0"/>
          <w:color w:val="000000"/>
          <w:kern w:val="0"/>
          <w:sz w:val="24"/>
          <w:szCs w:val="24"/>
          <w:u w:val="none"/>
          <w:lang w:val="en-GB" w:eastAsia="zh-CN" w:bidi="ar"/>
        </w:rPr>
      </w:pPr>
      <w:r>
        <w:rPr>
          <w:rFonts w:hint="default" w:ascii="Calibri" w:hAnsi="Calibri" w:eastAsia="SimSun" w:cs="Calibri"/>
          <w:i w:val="0"/>
          <w:iCs w:val="0"/>
          <w:color w:val="000000"/>
          <w:kern w:val="0"/>
          <w:sz w:val="24"/>
          <w:szCs w:val="24"/>
          <w:u w:val="none"/>
          <w:lang w:val="en-GB" w:eastAsia="zh-CN" w:bidi="ar"/>
        </w:rPr>
        <w:t>Increased competitiveness is the second major vulnerability. BYD, Xiaomi, and other Chinese companies have been able to reduce costs so that they can compete with Tesla in terms of price but offer the same range of features, if not better, than Tesla in important growth markets. In Europe, traditional auto manufacturers such as Volkswagen and Stellantis are also working towards electrification with the advantage of decades of experience and production scale.</w:t>
      </w:r>
    </w:p>
    <w:p w14:paraId="21538531">
      <w:pPr>
        <w:numPr>
          <w:ilvl w:val="0"/>
          <w:numId w:val="0"/>
        </w:numPr>
        <w:jc w:val="both"/>
        <w:rPr>
          <w:rFonts w:hint="default" w:ascii="Calibri" w:hAnsi="Calibri" w:eastAsia="SimSun" w:cs="Calibri"/>
          <w:i w:val="0"/>
          <w:iCs w:val="0"/>
          <w:color w:val="000000"/>
          <w:kern w:val="0"/>
          <w:sz w:val="24"/>
          <w:szCs w:val="24"/>
          <w:u w:val="none"/>
          <w:lang w:val="en-GB" w:eastAsia="zh-CN" w:bidi="ar"/>
        </w:rPr>
      </w:pPr>
    </w:p>
    <w:p w14:paraId="14BE7E4A">
      <w:pPr>
        <w:numPr>
          <w:ilvl w:val="0"/>
          <w:numId w:val="0"/>
        </w:numPr>
        <w:jc w:val="both"/>
        <w:rPr>
          <w:rFonts w:hint="default" w:ascii="Calibri" w:hAnsi="Calibri" w:eastAsia="SimSun" w:cs="Calibri"/>
          <w:i w:val="0"/>
          <w:iCs w:val="0"/>
          <w:color w:val="000000"/>
          <w:kern w:val="0"/>
          <w:sz w:val="24"/>
          <w:szCs w:val="24"/>
          <w:u w:val="none"/>
          <w:lang w:val="en-GB" w:eastAsia="zh-CN" w:bidi="ar"/>
        </w:rPr>
      </w:pPr>
      <w:r>
        <w:rPr>
          <w:rFonts w:hint="default" w:ascii="Calibri" w:hAnsi="Calibri" w:eastAsia="SimSun" w:cs="Calibri"/>
          <w:i w:val="0"/>
          <w:iCs w:val="0"/>
          <w:color w:val="000000"/>
          <w:kern w:val="0"/>
          <w:sz w:val="24"/>
          <w:szCs w:val="24"/>
          <w:u w:val="none"/>
          <w:lang w:val="en-GB" w:eastAsia="zh-CN" w:bidi="ar"/>
        </w:rPr>
        <w:t>In the year 2022 to 2023, the issue was further exacerbated as there were 77.3 Days Inventory Outstanding and the cash conversion cycle became positive. The year 2024 has shown improvement, but the inventory efficiency ratio of 2020 and 2021 has still not been achieved.</w:t>
      </w:r>
    </w:p>
    <w:p w14:paraId="077A4B32">
      <w:pPr>
        <w:numPr>
          <w:ilvl w:val="0"/>
          <w:numId w:val="0"/>
        </w:numPr>
        <w:jc w:val="both"/>
        <w:rPr>
          <w:rFonts w:hint="default" w:ascii="Calibri" w:hAnsi="Calibri" w:eastAsia="SimSun" w:cs="Calibri"/>
          <w:i w:val="0"/>
          <w:iCs w:val="0"/>
          <w:color w:val="000000"/>
          <w:kern w:val="0"/>
          <w:sz w:val="24"/>
          <w:szCs w:val="24"/>
          <w:u w:val="none"/>
          <w:lang w:val="en-GB" w:eastAsia="zh-CN" w:bidi="ar"/>
        </w:rPr>
      </w:pPr>
    </w:p>
    <w:p w14:paraId="3CAFDEAB">
      <w:pPr>
        <w:numPr>
          <w:ilvl w:val="0"/>
          <w:numId w:val="0"/>
        </w:numPr>
        <w:jc w:val="both"/>
        <w:rPr>
          <w:rFonts w:hint="default" w:ascii="Calibri" w:hAnsi="Calibri" w:eastAsia="SimSun" w:cs="Calibri"/>
          <w:i w:val="0"/>
          <w:iCs w:val="0"/>
          <w:color w:val="000000"/>
          <w:kern w:val="0"/>
          <w:sz w:val="24"/>
          <w:szCs w:val="24"/>
          <w:u w:val="none"/>
          <w:lang w:val="en-GB" w:eastAsia="zh-CN" w:bidi="ar"/>
        </w:rPr>
      </w:pPr>
      <w:r>
        <w:rPr>
          <w:rFonts w:hint="default" w:ascii="Calibri" w:hAnsi="Calibri" w:eastAsia="SimSun" w:cs="Calibri"/>
          <w:i w:val="0"/>
          <w:iCs w:val="0"/>
          <w:color w:val="000000"/>
          <w:kern w:val="0"/>
          <w:sz w:val="24"/>
          <w:szCs w:val="24"/>
          <w:u w:val="none"/>
          <w:lang w:val="en-GB" w:eastAsia="zh-CN" w:bidi="ar"/>
        </w:rPr>
        <w:t>Lastly, reputation risk has become a nonfinancial risk factor of significance in materiality terms. The linkage of Tesla's brand name to the political actions of its CEO has generated negative consumer sentiment against the company in some Western economies for 2024–2025. This risk factor is not easy to measure but cannot be overlooked.</w:t>
      </w:r>
    </w:p>
    <w:p w14:paraId="37DA5B41">
      <w:pPr>
        <w:pStyle w:val="3"/>
        <w:bidi w:val="0"/>
        <w:rPr>
          <w:rFonts w:hint="default" w:ascii="Calibri" w:hAnsi="Calibri" w:eastAsia="SimSun" w:cs="Calibri"/>
          <w:i w:val="0"/>
          <w:iCs w:val="0"/>
          <w:color w:val="000000"/>
          <w:kern w:val="0"/>
          <w:sz w:val="24"/>
          <w:szCs w:val="24"/>
          <w:u w:val="none"/>
          <w:lang w:val="en-GB" w:eastAsia="zh-CN" w:bidi="ar"/>
        </w:rPr>
      </w:pPr>
      <w:bookmarkStart w:id="148" w:name="_Toc7129"/>
      <w:bookmarkStart w:id="149" w:name="_Toc11592"/>
      <w:bookmarkStart w:id="150" w:name="_Toc15506"/>
      <w:r>
        <w:rPr>
          <w:rFonts w:hint="default" w:ascii="Calibri" w:hAnsi="Calibri" w:cs="Calibri"/>
          <w:i w:val="0"/>
          <w:iCs w:val="0"/>
          <w:color w:val="000000"/>
          <w:kern w:val="0"/>
          <w:sz w:val="24"/>
          <w:szCs w:val="24"/>
          <w:u w:val="none"/>
          <w:lang w:val="en-GB" w:eastAsia="zh-CN" w:bidi="ar"/>
        </w:rPr>
        <w:t>6.3 Key Strengths</w:t>
      </w:r>
      <w:bookmarkEnd w:id="148"/>
      <w:bookmarkEnd w:id="149"/>
      <w:bookmarkEnd w:id="150"/>
    </w:p>
    <w:p w14:paraId="33461437">
      <w:pPr>
        <w:numPr>
          <w:ilvl w:val="0"/>
          <w:numId w:val="0"/>
        </w:numPr>
        <w:jc w:val="both"/>
        <w:rPr>
          <w:rFonts w:hint="default" w:ascii="Calibri" w:hAnsi="Calibri" w:eastAsia="SimSun" w:cs="Calibri"/>
          <w:i w:val="0"/>
          <w:iCs w:val="0"/>
          <w:color w:val="000000"/>
          <w:kern w:val="0"/>
          <w:sz w:val="24"/>
          <w:szCs w:val="24"/>
          <w:u w:val="none"/>
          <w:lang w:val="en-GB" w:eastAsia="zh-CN" w:bidi="ar"/>
        </w:rPr>
      </w:pPr>
      <w:r>
        <w:rPr>
          <w:rFonts w:hint="default" w:ascii="Calibri" w:hAnsi="Calibri" w:eastAsia="SimSun" w:cs="Calibri"/>
          <w:i w:val="0"/>
          <w:iCs w:val="0"/>
          <w:color w:val="000000"/>
          <w:kern w:val="0"/>
          <w:sz w:val="24"/>
          <w:szCs w:val="24"/>
          <w:u w:val="none"/>
          <w:lang w:val="en-GB" w:eastAsia="zh-CN" w:bidi="ar"/>
        </w:rPr>
        <w:t>The strongest asset of Tesla’s strategy is the company’s balance sheet. It has $36.6 billion in cash on hand, a Debt/Equity ratio of only 0.11, and an interest coverage ratio of 32.4 times, meaning that the company can fund itself through the current recession cycle and any acquisitions with ease. Operating cash flows of $14.9 billion in 2024 mean that Tesla can afford self-sustaining growth that most of its competitors will struggle to emulate.</w:t>
      </w:r>
    </w:p>
    <w:p w14:paraId="17A6AE12">
      <w:pPr>
        <w:numPr>
          <w:ilvl w:val="0"/>
          <w:numId w:val="0"/>
        </w:numPr>
        <w:jc w:val="both"/>
        <w:rPr>
          <w:rFonts w:hint="default" w:ascii="Calibri" w:hAnsi="Calibri" w:eastAsia="SimSun" w:cs="Calibri"/>
          <w:i w:val="0"/>
          <w:iCs w:val="0"/>
          <w:color w:val="000000"/>
          <w:kern w:val="0"/>
          <w:sz w:val="24"/>
          <w:szCs w:val="24"/>
          <w:u w:val="none"/>
          <w:lang w:val="en-GB" w:eastAsia="zh-CN" w:bidi="ar"/>
        </w:rPr>
      </w:pPr>
    </w:p>
    <w:p w14:paraId="24CD1C8C">
      <w:pPr>
        <w:numPr>
          <w:ilvl w:val="0"/>
          <w:numId w:val="0"/>
        </w:numPr>
        <w:jc w:val="both"/>
        <w:rPr>
          <w:rFonts w:hint="default" w:ascii="Calibri" w:hAnsi="Calibri" w:eastAsia="SimSun" w:cs="Calibri"/>
          <w:i w:val="0"/>
          <w:iCs w:val="0"/>
          <w:color w:val="000000"/>
          <w:kern w:val="0"/>
          <w:sz w:val="24"/>
          <w:szCs w:val="24"/>
          <w:u w:val="none"/>
          <w:lang w:val="en-GB" w:eastAsia="zh-CN" w:bidi="ar"/>
        </w:rPr>
      </w:pPr>
      <w:r>
        <w:rPr>
          <w:rFonts w:hint="default" w:ascii="Calibri" w:hAnsi="Calibri" w:eastAsia="SimSun" w:cs="Calibri"/>
          <w:i w:val="0"/>
          <w:iCs w:val="0"/>
          <w:color w:val="000000"/>
          <w:kern w:val="0"/>
          <w:sz w:val="24"/>
          <w:szCs w:val="24"/>
          <w:u w:val="none"/>
          <w:lang w:val="en-GB" w:eastAsia="zh-CN" w:bidi="ar"/>
        </w:rPr>
        <w:t>A second key advantage Tesla enjoys is related to its energy products (Megapack, Powerwall). Tesla enjoys stable sales from the Megapack, which generates healthy margins, grows rapidly, and is now independent of the company’s traditional carmaking business. The company's proprietary Supercharger network, advanced software ecosystem, Gigapress manufacturing facilities, and the latest 4680 battery cell are additional sources of sustainable competitive advantage.</w:t>
      </w:r>
    </w:p>
    <w:p w14:paraId="0A73D82A">
      <w:pPr>
        <w:pStyle w:val="3"/>
        <w:bidi w:val="0"/>
        <w:rPr>
          <w:rFonts w:hint="default" w:ascii="Calibri" w:hAnsi="Calibri" w:eastAsia="SimSun" w:cs="Calibri"/>
          <w:i w:val="0"/>
          <w:iCs w:val="0"/>
          <w:color w:val="000000"/>
          <w:kern w:val="0"/>
          <w:sz w:val="24"/>
          <w:szCs w:val="24"/>
          <w:u w:val="none"/>
          <w:lang w:val="en-GB" w:eastAsia="zh-CN" w:bidi="ar"/>
        </w:rPr>
      </w:pPr>
      <w:bookmarkStart w:id="151" w:name="_Toc29563"/>
      <w:bookmarkStart w:id="152" w:name="_Toc26489"/>
      <w:bookmarkStart w:id="153" w:name="_Toc27788"/>
      <w:r>
        <w:rPr>
          <w:rFonts w:hint="default" w:ascii="Calibri" w:hAnsi="Calibri" w:cs="Calibri"/>
          <w:i w:val="0"/>
          <w:iCs w:val="0"/>
          <w:color w:val="000000"/>
          <w:kern w:val="0"/>
          <w:sz w:val="24"/>
          <w:szCs w:val="24"/>
          <w:u w:val="none"/>
          <w:lang w:val="en-GB" w:eastAsia="zh-CN" w:bidi="ar"/>
        </w:rPr>
        <w:t>6.4 Final Recommendation to Management and Investors</w:t>
      </w:r>
      <w:bookmarkEnd w:id="151"/>
      <w:bookmarkEnd w:id="152"/>
      <w:bookmarkEnd w:id="153"/>
    </w:p>
    <w:p w14:paraId="61FD51BD">
      <w:pPr>
        <w:numPr>
          <w:ilvl w:val="0"/>
          <w:numId w:val="0"/>
        </w:numPr>
        <w:jc w:val="both"/>
        <w:rPr>
          <w:rFonts w:hint="default" w:ascii="Calibri" w:hAnsi="Calibri" w:eastAsia="SimSun" w:cs="Calibri"/>
          <w:i w:val="0"/>
          <w:iCs w:val="0"/>
          <w:color w:val="000000"/>
          <w:kern w:val="0"/>
          <w:sz w:val="24"/>
          <w:szCs w:val="24"/>
          <w:u w:val="none"/>
          <w:lang w:val="en-GB" w:eastAsia="zh-CN" w:bidi="ar"/>
        </w:rPr>
      </w:pPr>
      <w:r>
        <w:rPr>
          <w:rFonts w:hint="default" w:ascii="Calibri" w:hAnsi="Calibri" w:eastAsia="SimSun" w:cs="Calibri"/>
          <w:i w:val="0"/>
          <w:iCs w:val="0"/>
          <w:color w:val="000000"/>
          <w:kern w:val="0"/>
          <w:sz w:val="24"/>
          <w:szCs w:val="24"/>
          <w:u w:val="none"/>
          <w:lang w:val="en-GB" w:eastAsia="zh-CN" w:bidi="ar"/>
        </w:rPr>
        <w:t>In this scenario, the key for management is margin recovery by cutting costs rather than by offering discounts. What needs to happen is a fast pace in vertical integration, especially in batteries; tight working capital management; and strategic divestment from areas like Tesla Insurance that may need a lot of attention but do not generate core revenues. Leveraged recapitalization, whereby the company allocates part of its surplus funds to buy back shares and invest capital in the form of green bonds, will increase the efficiency of funds usage while ensuring shareholder value in times of low profits. Of the three investment options evaluated, Project C is favored because of its high ARR (12.00%), payback period (3.60 years), and PI (0.9603); under the £100 million capital budget limit, Projects B+C offer the best PI ranking.</w:t>
      </w:r>
    </w:p>
    <w:p w14:paraId="262748D7">
      <w:pPr>
        <w:numPr>
          <w:ilvl w:val="0"/>
          <w:numId w:val="0"/>
        </w:numPr>
        <w:jc w:val="both"/>
        <w:rPr>
          <w:rFonts w:hint="default" w:ascii="Calibri" w:hAnsi="Calibri" w:eastAsia="SimSun" w:cs="Calibri"/>
          <w:i w:val="0"/>
          <w:iCs w:val="0"/>
          <w:color w:val="000000"/>
          <w:kern w:val="0"/>
          <w:sz w:val="24"/>
          <w:szCs w:val="24"/>
          <w:u w:val="none"/>
          <w:lang w:val="en-GB" w:eastAsia="zh-CN" w:bidi="ar"/>
        </w:rPr>
      </w:pPr>
    </w:p>
    <w:p w14:paraId="13CD26E3">
      <w:pPr>
        <w:numPr>
          <w:ilvl w:val="0"/>
          <w:numId w:val="0"/>
        </w:numPr>
        <w:jc w:val="both"/>
        <w:rPr>
          <w:rFonts w:hint="default" w:ascii="Calibri" w:hAnsi="Calibri" w:eastAsia="SimSun" w:cs="Calibri"/>
          <w:i w:val="0"/>
          <w:iCs w:val="0"/>
          <w:color w:val="000000"/>
          <w:kern w:val="0"/>
          <w:sz w:val="24"/>
          <w:szCs w:val="24"/>
          <w:u w:val="none"/>
          <w:lang w:val="en-GB" w:eastAsia="zh-CN" w:bidi="ar"/>
        </w:rPr>
      </w:pPr>
      <w:r>
        <w:rPr>
          <w:rFonts w:hint="default" w:ascii="Calibri" w:hAnsi="Calibri" w:eastAsia="SimSun" w:cs="Calibri"/>
          <w:i w:val="0"/>
          <w:iCs w:val="0"/>
          <w:color w:val="000000"/>
          <w:kern w:val="0"/>
          <w:sz w:val="24"/>
          <w:szCs w:val="24"/>
          <w:u w:val="none"/>
          <w:lang w:val="en-GB" w:eastAsia="zh-CN" w:bidi="ar"/>
        </w:rPr>
        <w:t>In the context of investing in the company, Tesla should be held cautiously by investors rather than aggressively bought or sold off. Based on the current price to earnings ratio estimate of around 22.9x for 2024 amid sharp earnings decline, the stock is discounted for a recovery that has yet to occur. For investors with an investment horizon ranging from three years to five years who can withstand a certain level of risk, the upside/downside risk reward balance can be favorable.</w:t>
      </w:r>
    </w:p>
    <w:p w14:paraId="798ED85F">
      <w:pPr>
        <w:pStyle w:val="3"/>
        <w:bidi w:val="0"/>
        <w:rPr>
          <w:rFonts w:hint="default" w:ascii="Calibri" w:hAnsi="Calibri" w:eastAsia="SimSun" w:cs="Calibri"/>
          <w:i w:val="0"/>
          <w:iCs w:val="0"/>
          <w:color w:val="000000"/>
          <w:kern w:val="0"/>
          <w:sz w:val="24"/>
          <w:szCs w:val="24"/>
          <w:u w:val="none"/>
          <w:lang w:val="en-GB" w:eastAsia="zh-CN" w:bidi="ar"/>
        </w:rPr>
      </w:pPr>
      <w:bookmarkStart w:id="154" w:name="_Toc9831"/>
      <w:bookmarkStart w:id="155" w:name="_Toc25158"/>
      <w:bookmarkStart w:id="156" w:name="_Toc15245"/>
      <w:r>
        <w:rPr>
          <w:rFonts w:hint="default" w:ascii="Calibri" w:hAnsi="Calibri" w:cs="Calibri"/>
          <w:i w:val="0"/>
          <w:iCs w:val="0"/>
          <w:color w:val="000000"/>
          <w:kern w:val="0"/>
          <w:sz w:val="24"/>
          <w:szCs w:val="24"/>
          <w:u w:val="none"/>
          <w:lang w:val="en-GB" w:eastAsia="zh-CN" w:bidi="ar"/>
        </w:rPr>
        <w:t>6.5 Future Outlook</w:t>
      </w:r>
      <w:bookmarkEnd w:id="154"/>
      <w:bookmarkEnd w:id="155"/>
      <w:bookmarkEnd w:id="156"/>
    </w:p>
    <w:p w14:paraId="4F83E59F">
      <w:pPr>
        <w:numPr>
          <w:ilvl w:val="0"/>
          <w:numId w:val="0"/>
        </w:numPr>
        <w:jc w:val="both"/>
        <w:rPr>
          <w:rFonts w:hint="default" w:ascii="Calibri" w:hAnsi="Calibri" w:eastAsia="SimSun" w:cs="Calibri"/>
          <w:i w:val="0"/>
          <w:iCs w:val="0"/>
          <w:color w:val="000000"/>
          <w:kern w:val="0"/>
          <w:sz w:val="24"/>
          <w:szCs w:val="24"/>
          <w:u w:val="none"/>
          <w:lang w:val="en-GB" w:eastAsia="zh-CN" w:bidi="ar"/>
        </w:rPr>
      </w:pPr>
      <w:r>
        <w:rPr>
          <w:rFonts w:hint="default" w:ascii="Calibri" w:hAnsi="Calibri" w:eastAsia="SimSun" w:cs="Calibri"/>
          <w:i w:val="0"/>
          <w:iCs w:val="0"/>
          <w:color w:val="000000"/>
          <w:kern w:val="0"/>
          <w:sz w:val="24"/>
          <w:szCs w:val="24"/>
          <w:u w:val="none"/>
          <w:lang w:val="en-GB" w:eastAsia="zh-CN" w:bidi="ar"/>
        </w:rPr>
        <w:t>Global EV market forecasted to keep expanding, with BloombergNEF (2024) estimating that more than 40% of vehicles sold worldwide will be electric cars by 2030. The way, however, in which this expansion is likely to unfold is different. The period when high-priced electric cars were competing with few rivals is gone; the next ten years will be all about cost competitiveness, software superiority, and ecosystem entrapment, which could work against or in favor of Tesla.</w:t>
      </w:r>
    </w:p>
    <w:p w14:paraId="601753D2">
      <w:pPr>
        <w:numPr>
          <w:ilvl w:val="0"/>
          <w:numId w:val="0"/>
        </w:numPr>
        <w:jc w:val="both"/>
        <w:rPr>
          <w:rFonts w:hint="default" w:ascii="Calibri" w:hAnsi="Calibri" w:eastAsia="SimSun" w:cs="Calibri"/>
          <w:i w:val="0"/>
          <w:iCs w:val="0"/>
          <w:color w:val="000000"/>
          <w:kern w:val="0"/>
          <w:sz w:val="24"/>
          <w:szCs w:val="24"/>
          <w:u w:val="none"/>
          <w:lang w:val="en-GB" w:eastAsia="zh-CN" w:bidi="ar"/>
        </w:rPr>
      </w:pPr>
    </w:p>
    <w:p w14:paraId="3F1C8922">
      <w:pPr>
        <w:numPr>
          <w:ilvl w:val="0"/>
          <w:numId w:val="0"/>
        </w:numPr>
        <w:jc w:val="both"/>
        <w:rPr>
          <w:rFonts w:hint="default" w:ascii="Calibri" w:hAnsi="Calibri" w:eastAsia="SimSun" w:cs="Calibri"/>
          <w:i w:val="0"/>
          <w:iCs w:val="0"/>
          <w:color w:val="000000"/>
          <w:kern w:val="0"/>
          <w:sz w:val="24"/>
          <w:szCs w:val="24"/>
          <w:u w:val="none"/>
          <w:lang w:val="en-GB" w:eastAsia="zh-CN" w:bidi="ar"/>
        </w:rPr>
      </w:pPr>
      <w:r>
        <w:rPr>
          <w:rFonts w:hint="default" w:ascii="Calibri" w:hAnsi="Calibri" w:eastAsia="SimSun" w:cs="Calibri"/>
          <w:i w:val="0"/>
          <w:iCs w:val="0"/>
          <w:color w:val="000000"/>
          <w:kern w:val="0"/>
          <w:sz w:val="24"/>
          <w:szCs w:val="24"/>
          <w:u w:val="none"/>
          <w:lang w:val="en-GB" w:eastAsia="zh-CN" w:bidi="ar"/>
        </w:rPr>
        <w:t>The competitive threat from China will increase. BYD has already outpaced Tesla in terms of annual EV production volumes, and there is now policy uncertainty about whether tariffs will be imposed or withdrawn in the EU and US. The CFO of Tesla needs to prepare for such scenarios. The strategy of launching a low-cost car line and building more Gigafactories is sound but needs to be done quickly to avoid market share losses.</w:t>
      </w:r>
    </w:p>
    <w:p w14:paraId="479BFC9F">
      <w:pPr>
        <w:numPr>
          <w:ilvl w:val="0"/>
          <w:numId w:val="0"/>
        </w:numPr>
        <w:jc w:val="both"/>
        <w:rPr>
          <w:rFonts w:hint="default" w:ascii="Calibri" w:hAnsi="Calibri" w:eastAsia="SimSun" w:cs="Calibri"/>
          <w:i w:val="0"/>
          <w:iCs w:val="0"/>
          <w:color w:val="000000"/>
          <w:kern w:val="0"/>
          <w:sz w:val="24"/>
          <w:szCs w:val="24"/>
          <w:u w:val="none"/>
          <w:lang w:val="en-GB" w:eastAsia="zh-CN" w:bidi="ar"/>
        </w:rPr>
      </w:pPr>
    </w:p>
    <w:p w14:paraId="5D51EC1C">
      <w:pPr>
        <w:numPr>
          <w:ilvl w:val="0"/>
          <w:numId w:val="0"/>
        </w:numPr>
        <w:jc w:val="both"/>
        <w:rPr>
          <w:rFonts w:hint="default" w:ascii="Calibri" w:hAnsi="Calibri" w:eastAsia="SimSun" w:cs="Calibri"/>
          <w:i w:val="0"/>
          <w:iCs w:val="0"/>
          <w:color w:val="000000"/>
          <w:kern w:val="0"/>
          <w:sz w:val="24"/>
          <w:szCs w:val="24"/>
          <w:u w:val="none"/>
          <w:lang w:val="en-GB" w:eastAsia="zh-CN" w:bidi="ar"/>
        </w:rPr>
      </w:pPr>
      <w:r>
        <w:rPr>
          <w:rFonts w:hint="default" w:ascii="Calibri" w:hAnsi="Calibri" w:eastAsia="SimSun" w:cs="Calibri"/>
          <w:i w:val="0"/>
          <w:iCs w:val="0"/>
          <w:color w:val="000000"/>
          <w:kern w:val="0"/>
          <w:sz w:val="24"/>
          <w:szCs w:val="24"/>
          <w:u w:val="none"/>
          <w:lang w:val="en-GB" w:eastAsia="zh-CN" w:bidi="ar"/>
        </w:rPr>
        <w:t>The ESG and regulatory themes form a structural tailwind. Stricter emission rules from Europe, the UK, and China will further support fleet electrification and enlarge Tesla's potential customer base. The brand image of Tesla as a sustainable company, evidenced by its issuance of green bonds and its energy storage operations, is very much in line with future investment guidelines and purchasing policies (OECD, 2023).</w:t>
      </w:r>
    </w:p>
    <w:p w14:paraId="3C47CCD5">
      <w:pPr>
        <w:numPr>
          <w:ilvl w:val="0"/>
          <w:numId w:val="0"/>
        </w:numPr>
        <w:jc w:val="both"/>
        <w:rPr>
          <w:rFonts w:hint="default" w:ascii="Calibri" w:hAnsi="Calibri" w:eastAsia="SimSun" w:cs="Calibri"/>
          <w:i w:val="0"/>
          <w:iCs w:val="0"/>
          <w:color w:val="000000"/>
          <w:kern w:val="0"/>
          <w:sz w:val="24"/>
          <w:szCs w:val="24"/>
          <w:u w:val="none"/>
          <w:lang w:val="en-GB" w:eastAsia="zh-CN" w:bidi="ar"/>
        </w:rPr>
      </w:pPr>
    </w:p>
    <w:p w14:paraId="31BFD750">
      <w:pPr>
        <w:numPr>
          <w:ilvl w:val="0"/>
          <w:numId w:val="0"/>
        </w:numPr>
        <w:jc w:val="both"/>
        <w:rPr>
          <w:rFonts w:hint="default" w:ascii="Calibri" w:hAnsi="Calibri" w:eastAsia="SimSun" w:cs="Calibri"/>
          <w:i w:val="0"/>
          <w:iCs w:val="0"/>
          <w:color w:val="000000"/>
          <w:kern w:val="0"/>
          <w:sz w:val="24"/>
          <w:szCs w:val="24"/>
          <w:u w:val="none"/>
          <w:lang w:val="en-GB" w:eastAsia="zh-CN" w:bidi="ar"/>
        </w:rPr>
      </w:pPr>
      <w:r>
        <w:rPr>
          <w:rFonts w:hint="default" w:ascii="Calibri" w:hAnsi="Calibri" w:eastAsia="SimSun" w:cs="Calibri"/>
          <w:i w:val="0"/>
          <w:iCs w:val="0"/>
          <w:color w:val="000000"/>
          <w:kern w:val="0"/>
          <w:sz w:val="24"/>
          <w:szCs w:val="24"/>
          <w:u w:val="none"/>
          <w:lang w:val="en-GB" w:eastAsia="zh-CN" w:bidi="ar"/>
        </w:rPr>
        <w:t>Tech-based optionality, via FSD software, Optimus humanoid robots, and AI compute capabilities, is one form of high-margin, low-capital business opportunity that can change Tesla’s financial dynamics away from being cyclical. The opportunities may not yet be feasible on a commercial basis at present levels of development, but they do represent options value in their own right, which justifies its valuation premium over other auto-makers.</w:t>
      </w:r>
    </w:p>
    <w:p w14:paraId="56E5DAA6">
      <w:pPr>
        <w:numPr>
          <w:ilvl w:val="0"/>
          <w:numId w:val="0"/>
        </w:numPr>
        <w:jc w:val="both"/>
        <w:rPr>
          <w:rFonts w:hint="default" w:ascii="Calibri" w:hAnsi="Calibri" w:eastAsia="SimSun" w:cs="Calibri"/>
          <w:i w:val="0"/>
          <w:iCs w:val="0"/>
          <w:color w:val="000000"/>
          <w:kern w:val="0"/>
          <w:sz w:val="24"/>
          <w:szCs w:val="24"/>
          <w:u w:val="none"/>
          <w:lang w:val="en-GB" w:eastAsia="zh-CN" w:bidi="ar"/>
        </w:rPr>
      </w:pPr>
    </w:p>
    <w:p w14:paraId="198EEDF2">
      <w:pPr>
        <w:numPr>
          <w:ilvl w:val="0"/>
          <w:numId w:val="0"/>
        </w:numPr>
        <w:jc w:val="both"/>
        <w:rPr>
          <w:rFonts w:hint="default" w:ascii="Calibri" w:hAnsi="Calibri" w:eastAsia="SimSun" w:cs="Calibri"/>
          <w:i w:val="0"/>
          <w:iCs w:val="0"/>
          <w:color w:val="000000"/>
          <w:kern w:val="0"/>
          <w:sz w:val="24"/>
          <w:szCs w:val="24"/>
          <w:u w:val="none"/>
          <w:lang w:val="en-GB" w:eastAsia="zh-CN" w:bidi="ar"/>
        </w:rPr>
      </w:pPr>
      <w:r>
        <w:rPr>
          <w:rFonts w:hint="default" w:ascii="Calibri" w:hAnsi="Calibri" w:eastAsia="SimSun" w:cs="Calibri"/>
          <w:i w:val="0"/>
          <w:iCs w:val="0"/>
          <w:color w:val="000000"/>
          <w:kern w:val="0"/>
          <w:sz w:val="24"/>
          <w:szCs w:val="24"/>
          <w:u w:val="none"/>
          <w:lang w:val="en-GB" w:eastAsia="zh-CN" w:bidi="ar"/>
        </w:rPr>
        <w:t>In conclusion, Tesla embarks on its next phase of strategy implementation from a position of financial strength but operational difficulty. The choices that are made regarding capital deployment, cost management, and market focus over the next couple of years will decide whether the firm regains its extraordinary profitability in 2022 or settles for a less profitable mass-market carmaker. Both scenarios are possible; good financial stewardship will ensure success.</w:t>
      </w:r>
    </w:p>
    <w:p w14:paraId="0EB4EFB4">
      <w:pPr>
        <w:numPr>
          <w:ilvl w:val="0"/>
          <w:numId w:val="0"/>
        </w:numPr>
        <w:jc w:val="both"/>
        <w:rPr>
          <w:rFonts w:hint="default" w:ascii="Calibri" w:hAnsi="Calibri" w:eastAsia="SimSun" w:cs="Calibri"/>
          <w:i w:val="0"/>
          <w:iCs w:val="0"/>
          <w:color w:val="000000"/>
          <w:kern w:val="0"/>
          <w:sz w:val="24"/>
          <w:szCs w:val="24"/>
          <w:u w:val="none"/>
          <w:lang w:val="en-GB" w:eastAsia="zh-CN" w:bidi="ar"/>
        </w:rPr>
      </w:pPr>
    </w:p>
    <w:p w14:paraId="0EDB8140">
      <w:pPr>
        <w:numPr>
          <w:ilvl w:val="0"/>
          <w:numId w:val="0"/>
        </w:numPr>
        <w:jc w:val="both"/>
        <w:rPr>
          <w:rFonts w:hint="default" w:ascii="Calibri" w:hAnsi="Calibri" w:eastAsia="SimSun" w:cs="Calibri"/>
          <w:i w:val="0"/>
          <w:iCs w:val="0"/>
          <w:color w:val="000000"/>
          <w:kern w:val="0"/>
          <w:sz w:val="24"/>
          <w:szCs w:val="24"/>
          <w:u w:val="none"/>
          <w:lang w:val="en-GB" w:eastAsia="zh-CN" w:bidi="ar"/>
        </w:rPr>
      </w:pPr>
    </w:p>
    <w:p w14:paraId="5296541C">
      <w:pPr>
        <w:numPr>
          <w:ilvl w:val="0"/>
          <w:numId w:val="0"/>
        </w:numPr>
        <w:jc w:val="both"/>
        <w:rPr>
          <w:rFonts w:hint="default" w:ascii="Calibri" w:hAnsi="Calibri" w:eastAsia="SimSun" w:cs="Calibri"/>
          <w:i w:val="0"/>
          <w:iCs w:val="0"/>
          <w:color w:val="000000"/>
          <w:kern w:val="0"/>
          <w:sz w:val="24"/>
          <w:szCs w:val="24"/>
          <w:u w:val="none"/>
          <w:lang w:val="en-GB" w:eastAsia="zh-CN" w:bidi="ar"/>
        </w:rPr>
      </w:pPr>
    </w:p>
    <w:p w14:paraId="45585B0B">
      <w:pPr>
        <w:numPr>
          <w:ilvl w:val="0"/>
          <w:numId w:val="0"/>
        </w:numPr>
        <w:jc w:val="both"/>
        <w:rPr>
          <w:rFonts w:hint="default" w:ascii="Calibri" w:hAnsi="Calibri" w:eastAsia="SimSun" w:cs="Calibri"/>
          <w:i w:val="0"/>
          <w:iCs w:val="0"/>
          <w:color w:val="000000"/>
          <w:kern w:val="0"/>
          <w:sz w:val="24"/>
          <w:szCs w:val="24"/>
          <w:u w:val="none"/>
          <w:lang w:val="en-GB" w:eastAsia="zh-CN" w:bidi="ar"/>
        </w:rPr>
      </w:pPr>
    </w:p>
    <w:p w14:paraId="20C84DA7">
      <w:pPr>
        <w:numPr>
          <w:ilvl w:val="0"/>
          <w:numId w:val="0"/>
        </w:numPr>
        <w:jc w:val="both"/>
        <w:rPr>
          <w:rFonts w:hint="default" w:ascii="Calibri" w:hAnsi="Calibri" w:eastAsia="SimSun" w:cs="Calibri"/>
          <w:i w:val="0"/>
          <w:iCs w:val="0"/>
          <w:color w:val="000000"/>
          <w:kern w:val="0"/>
          <w:sz w:val="24"/>
          <w:szCs w:val="24"/>
          <w:u w:val="none"/>
          <w:lang w:val="en-GB" w:eastAsia="zh-CN" w:bidi="ar"/>
        </w:rPr>
      </w:pPr>
    </w:p>
    <w:p w14:paraId="76C0891E">
      <w:pPr>
        <w:numPr>
          <w:ilvl w:val="0"/>
          <w:numId w:val="0"/>
        </w:numPr>
        <w:jc w:val="both"/>
        <w:rPr>
          <w:rFonts w:hint="default"/>
          <w:sz w:val="24"/>
          <w:szCs w:val="24"/>
          <w:lang w:val="en-GB"/>
        </w:rPr>
      </w:pPr>
    </w:p>
    <w:p w14:paraId="53AC2DFC">
      <w:pPr>
        <w:numPr>
          <w:ilvl w:val="0"/>
          <w:numId w:val="0"/>
        </w:numPr>
        <w:jc w:val="both"/>
        <w:rPr>
          <w:rFonts w:hint="default"/>
          <w:sz w:val="24"/>
          <w:szCs w:val="24"/>
          <w:lang w:val="en-GB"/>
        </w:rPr>
      </w:pPr>
    </w:p>
    <w:p w14:paraId="11D9A19C">
      <w:pPr>
        <w:numPr>
          <w:ilvl w:val="0"/>
          <w:numId w:val="0"/>
        </w:numPr>
        <w:jc w:val="both"/>
        <w:rPr>
          <w:rFonts w:hint="default"/>
          <w:sz w:val="24"/>
          <w:szCs w:val="24"/>
          <w:lang w:val="en-GB"/>
        </w:rPr>
      </w:pPr>
    </w:p>
    <w:p w14:paraId="6310BA44">
      <w:pPr>
        <w:numPr>
          <w:ilvl w:val="0"/>
          <w:numId w:val="0"/>
        </w:numPr>
        <w:jc w:val="both"/>
        <w:rPr>
          <w:rFonts w:hint="default"/>
          <w:sz w:val="24"/>
          <w:szCs w:val="24"/>
          <w:lang w:val="en-GB"/>
        </w:rPr>
      </w:pPr>
    </w:p>
    <w:p w14:paraId="45083554">
      <w:pPr>
        <w:numPr>
          <w:ilvl w:val="0"/>
          <w:numId w:val="0"/>
        </w:numPr>
        <w:jc w:val="both"/>
        <w:rPr>
          <w:rFonts w:hint="default"/>
          <w:sz w:val="24"/>
          <w:szCs w:val="24"/>
          <w:lang w:val="en-GB"/>
        </w:rPr>
      </w:pPr>
      <w:r>
        <w:rPr>
          <w:rFonts w:hint="default"/>
          <w:sz w:val="24"/>
          <w:szCs w:val="24"/>
          <w:lang w:val="en-GB"/>
        </w:rPr>
        <w:t xml:space="preserve"> </w:t>
      </w:r>
    </w:p>
    <w:p w14:paraId="09DFC6E9">
      <w:pPr>
        <w:numPr>
          <w:ilvl w:val="0"/>
          <w:numId w:val="0"/>
        </w:numPr>
        <w:jc w:val="both"/>
        <w:rPr>
          <w:rFonts w:hint="default"/>
          <w:sz w:val="24"/>
          <w:szCs w:val="24"/>
          <w:lang w:val="en-GB"/>
        </w:rPr>
      </w:pPr>
    </w:p>
    <w:p w14:paraId="585300E6">
      <w:pPr>
        <w:numPr>
          <w:ilvl w:val="0"/>
          <w:numId w:val="0"/>
        </w:numPr>
        <w:rPr>
          <w:rFonts w:hint="default"/>
          <w:sz w:val="24"/>
          <w:szCs w:val="24"/>
          <w:lang w:val="en-GB"/>
        </w:rPr>
      </w:pPr>
    </w:p>
    <w:p w14:paraId="1FBE1EA1">
      <w:pPr>
        <w:numPr>
          <w:ilvl w:val="0"/>
          <w:numId w:val="0"/>
        </w:numPr>
        <w:rPr>
          <w:rFonts w:hint="default"/>
          <w:sz w:val="24"/>
          <w:szCs w:val="24"/>
          <w:lang w:val="en-GB"/>
        </w:rPr>
      </w:pPr>
    </w:p>
    <w:p w14:paraId="79F2EA6F">
      <w:pPr>
        <w:numPr>
          <w:ilvl w:val="0"/>
          <w:numId w:val="0"/>
        </w:numPr>
        <w:rPr>
          <w:rFonts w:hint="default"/>
          <w:sz w:val="24"/>
          <w:szCs w:val="24"/>
          <w:lang w:val="en-GB"/>
        </w:rPr>
      </w:pPr>
    </w:p>
    <w:p w14:paraId="1AC076EF">
      <w:pPr>
        <w:numPr>
          <w:ilvl w:val="0"/>
          <w:numId w:val="0"/>
        </w:numPr>
        <w:rPr>
          <w:rFonts w:hint="default"/>
          <w:sz w:val="24"/>
          <w:szCs w:val="24"/>
          <w:lang w:val="en-GB"/>
        </w:rPr>
      </w:pPr>
    </w:p>
    <w:p w14:paraId="530EC5F6">
      <w:pPr>
        <w:numPr>
          <w:ilvl w:val="0"/>
          <w:numId w:val="0"/>
        </w:numPr>
        <w:rPr>
          <w:rFonts w:hint="default"/>
          <w:sz w:val="24"/>
          <w:szCs w:val="24"/>
          <w:lang w:val="en-GB"/>
        </w:rPr>
      </w:pPr>
    </w:p>
    <w:p w14:paraId="5FBEC833">
      <w:pPr>
        <w:numPr>
          <w:ilvl w:val="0"/>
          <w:numId w:val="0"/>
        </w:numPr>
        <w:rPr>
          <w:rFonts w:hint="default"/>
          <w:sz w:val="24"/>
          <w:szCs w:val="24"/>
          <w:lang w:val="en-GB"/>
        </w:rPr>
      </w:pPr>
    </w:p>
    <w:p w14:paraId="391AFAB4">
      <w:pPr>
        <w:numPr>
          <w:ilvl w:val="0"/>
          <w:numId w:val="0"/>
        </w:numPr>
        <w:rPr>
          <w:rFonts w:hint="default"/>
          <w:sz w:val="24"/>
          <w:szCs w:val="24"/>
          <w:lang w:val="en-GB"/>
        </w:rPr>
      </w:pPr>
    </w:p>
    <w:p w14:paraId="402E633D">
      <w:pPr>
        <w:numPr>
          <w:ilvl w:val="0"/>
          <w:numId w:val="0"/>
        </w:numPr>
        <w:rPr>
          <w:rFonts w:hint="default"/>
          <w:sz w:val="24"/>
          <w:szCs w:val="24"/>
          <w:lang w:val="en-GB"/>
        </w:rPr>
      </w:pPr>
    </w:p>
    <w:p w14:paraId="402B4B9D">
      <w:pPr>
        <w:numPr>
          <w:ilvl w:val="0"/>
          <w:numId w:val="0"/>
        </w:numPr>
        <w:rPr>
          <w:rFonts w:hint="default"/>
          <w:sz w:val="24"/>
          <w:szCs w:val="24"/>
          <w:lang w:val="en-GB"/>
        </w:rPr>
      </w:pPr>
    </w:p>
    <w:p w14:paraId="24D499D1">
      <w:pPr>
        <w:numPr>
          <w:ilvl w:val="0"/>
          <w:numId w:val="0"/>
        </w:numPr>
        <w:rPr>
          <w:rFonts w:hint="default"/>
          <w:sz w:val="24"/>
          <w:szCs w:val="24"/>
          <w:lang w:val="en-GB"/>
        </w:rPr>
      </w:pPr>
    </w:p>
    <w:p w14:paraId="30B7364D">
      <w:pPr>
        <w:numPr>
          <w:ilvl w:val="0"/>
          <w:numId w:val="0"/>
        </w:numPr>
        <w:rPr>
          <w:rFonts w:hint="default"/>
          <w:sz w:val="24"/>
          <w:szCs w:val="24"/>
          <w:lang w:val="en-GB"/>
        </w:rPr>
      </w:pPr>
    </w:p>
    <w:p w14:paraId="40B359C7">
      <w:pPr>
        <w:numPr>
          <w:ilvl w:val="0"/>
          <w:numId w:val="0"/>
        </w:numPr>
        <w:rPr>
          <w:rFonts w:hint="default"/>
          <w:sz w:val="24"/>
          <w:szCs w:val="24"/>
          <w:lang w:val="en-GB"/>
        </w:rPr>
      </w:pPr>
    </w:p>
    <w:p w14:paraId="199522D7">
      <w:pPr>
        <w:numPr>
          <w:ilvl w:val="0"/>
          <w:numId w:val="0"/>
        </w:numPr>
        <w:rPr>
          <w:rFonts w:hint="default"/>
          <w:sz w:val="24"/>
          <w:szCs w:val="24"/>
          <w:lang w:val="en-GB"/>
        </w:rPr>
      </w:pPr>
    </w:p>
    <w:p w14:paraId="0A184931">
      <w:pPr>
        <w:numPr>
          <w:ilvl w:val="0"/>
          <w:numId w:val="0"/>
        </w:numPr>
        <w:rPr>
          <w:rFonts w:hint="default"/>
          <w:sz w:val="24"/>
          <w:szCs w:val="24"/>
          <w:lang w:val="en-GB"/>
        </w:rPr>
      </w:pPr>
    </w:p>
    <w:p w14:paraId="2942E44B">
      <w:pPr>
        <w:numPr>
          <w:ilvl w:val="0"/>
          <w:numId w:val="0"/>
        </w:numPr>
        <w:rPr>
          <w:rFonts w:hint="default"/>
          <w:sz w:val="24"/>
          <w:szCs w:val="24"/>
          <w:lang w:val="en-GB"/>
        </w:rPr>
      </w:pPr>
    </w:p>
    <w:p w14:paraId="5978DF99">
      <w:pPr>
        <w:numPr>
          <w:ilvl w:val="0"/>
          <w:numId w:val="0"/>
        </w:numPr>
        <w:rPr>
          <w:rFonts w:hint="default"/>
          <w:sz w:val="24"/>
          <w:szCs w:val="24"/>
          <w:lang w:val="en-GB"/>
        </w:rPr>
      </w:pPr>
    </w:p>
    <w:p w14:paraId="32EBA1B0">
      <w:pPr>
        <w:numPr>
          <w:ilvl w:val="0"/>
          <w:numId w:val="0"/>
        </w:numPr>
        <w:rPr>
          <w:rFonts w:hint="default"/>
          <w:sz w:val="24"/>
          <w:szCs w:val="24"/>
          <w:lang w:val="en-GB"/>
        </w:rPr>
      </w:pPr>
    </w:p>
    <w:p w14:paraId="17D188F2">
      <w:pPr>
        <w:numPr>
          <w:ilvl w:val="0"/>
          <w:numId w:val="0"/>
        </w:numPr>
        <w:rPr>
          <w:rFonts w:hint="default"/>
          <w:sz w:val="24"/>
          <w:szCs w:val="24"/>
          <w:lang w:val="en-GB"/>
        </w:rPr>
      </w:pPr>
    </w:p>
    <w:p w14:paraId="582FA0A8">
      <w:pPr>
        <w:numPr>
          <w:ilvl w:val="0"/>
          <w:numId w:val="0"/>
        </w:numPr>
        <w:rPr>
          <w:rFonts w:hint="default"/>
          <w:sz w:val="24"/>
          <w:szCs w:val="24"/>
          <w:lang w:val="en-GB"/>
        </w:rPr>
      </w:pPr>
    </w:p>
    <w:p w14:paraId="7F2E6634">
      <w:pPr>
        <w:numPr>
          <w:ilvl w:val="0"/>
          <w:numId w:val="0"/>
        </w:numPr>
        <w:rPr>
          <w:rFonts w:hint="default"/>
          <w:sz w:val="24"/>
          <w:szCs w:val="24"/>
          <w:lang w:val="en-GB"/>
        </w:rPr>
      </w:pPr>
    </w:p>
    <w:p w14:paraId="135CB10E">
      <w:pPr>
        <w:numPr>
          <w:ilvl w:val="0"/>
          <w:numId w:val="0"/>
        </w:numPr>
        <w:rPr>
          <w:rFonts w:hint="default"/>
          <w:sz w:val="24"/>
          <w:szCs w:val="24"/>
          <w:lang w:val="en-GB"/>
        </w:rPr>
      </w:pPr>
    </w:p>
    <w:p w14:paraId="740C19CE">
      <w:pPr>
        <w:numPr>
          <w:ilvl w:val="0"/>
          <w:numId w:val="0"/>
        </w:numPr>
        <w:rPr>
          <w:rFonts w:hint="default"/>
          <w:sz w:val="24"/>
          <w:szCs w:val="24"/>
          <w:lang w:val="en-GB"/>
        </w:rPr>
      </w:pPr>
    </w:p>
    <w:p w14:paraId="7F1D4740">
      <w:pPr>
        <w:numPr>
          <w:ilvl w:val="0"/>
          <w:numId w:val="0"/>
        </w:numPr>
        <w:rPr>
          <w:rFonts w:hint="default"/>
          <w:sz w:val="24"/>
          <w:szCs w:val="24"/>
          <w:lang w:val="en-GB"/>
        </w:rPr>
      </w:pPr>
    </w:p>
    <w:p w14:paraId="4507A1E7">
      <w:pPr>
        <w:numPr>
          <w:ilvl w:val="0"/>
          <w:numId w:val="0"/>
        </w:numPr>
        <w:rPr>
          <w:rFonts w:hint="default"/>
          <w:sz w:val="24"/>
          <w:szCs w:val="24"/>
          <w:lang w:val="en-GB"/>
        </w:rPr>
      </w:pPr>
    </w:p>
    <w:p w14:paraId="03A631BF">
      <w:pPr>
        <w:numPr>
          <w:ilvl w:val="0"/>
          <w:numId w:val="0"/>
        </w:numPr>
        <w:rPr>
          <w:rFonts w:hint="default"/>
          <w:sz w:val="24"/>
          <w:szCs w:val="24"/>
          <w:lang w:val="en-GB"/>
        </w:rPr>
      </w:pPr>
    </w:p>
    <w:p w14:paraId="49AAEB90">
      <w:pPr>
        <w:numPr>
          <w:ilvl w:val="0"/>
          <w:numId w:val="0"/>
        </w:numPr>
        <w:rPr>
          <w:rFonts w:hint="default"/>
          <w:sz w:val="24"/>
          <w:szCs w:val="24"/>
          <w:lang w:val="en-GB"/>
        </w:rPr>
      </w:pPr>
    </w:p>
    <w:p w14:paraId="7C232618">
      <w:pPr>
        <w:numPr>
          <w:ilvl w:val="0"/>
          <w:numId w:val="0"/>
        </w:numPr>
        <w:rPr>
          <w:rFonts w:hint="default"/>
          <w:sz w:val="24"/>
          <w:szCs w:val="24"/>
          <w:lang w:val="en-GB"/>
        </w:rPr>
      </w:pPr>
    </w:p>
    <w:p w14:paraId="04BB3C41">
      <w:pPr>
        <w:numPr>
          <w:ilvl w:val="0"/>
          <w:numId w:val="0"/>
        </w:numPr>
        <w:rPr>
          <w:rFonts w:hint="default"/>
          <w:sz w:val="24"/>
          <w:szCs w:val="24"/>
          <w:lang w:val="en-GB"/>
        </w:rPr>
      </w:pPr>
    </w:p>
    <w:p w14:paraId="56F742DE">
      <w:pPr>
        <w:pStyle w:val="2"/>
        <w:numPr>
          <w:ilvl w:val="0"/>
          <w:numId w:val="1"/>
        </w:numPr>
        <w:bidi w:val="0"/>
        <w:rPr>
          <w:rFonts w:hint="default" w:ascii="Calibri" w:hAnsi="Calibri" w:cs="Calibri"/>
          <w:sz w:val="24"/>
          <w:szCs w:val="24"/>
          <w:lang w:val="en-GB" w:eastAsia="zh-CN"/>
        </w:rPr>
      </w:pPr>
      <w:bookmarkStart w:id="157" w:name="_Toc16753"/>
      <w:bookmarkStart w:id="158" w:name="_Toc14381"/>
      <w:r>
        <w:rPr>
          <w:rFonts w:hint="default" w:ascii="Calibri" w:hAnsi="Calibri" w:cs="Calibri"/>
          <w:sz w:val="24"/>
          <w:szCs w:val="24"/>
          <w:lang w:val="en-GB" w:eastAsia="zh-CN"/>
        </w:rPr>
        <w:t>References</w:t>
      </w:r>
      <w:bookmarkEnd w:id="157"/>
      <w:bookmarkEnd w:id="158"/>
    </w:p>
    <w:p w14:paraId="071D1EB6">
      <w:pPr>
        <w:pStyle w:val="2"/>
        <w:numPr>
          <w:ilvl w:val="0"/>
          <w:numId w:val="0"/>
        </w:numPr>
        <w:bidi w:val="0"/>
        <w:outlineLvl w:val="0"/>
        <w:rPr>
          <w:rFonts w:hint="default" w:ascii="Calibri" w:hAnsi="Calibri" w:cs="Calibri"/>
          <w:b w:val="0"/>
          <w:bCs w:val="0"/>
          <w:sz w:val="24"/>
          <w:szCs w:val="24"/>
          <w:lang w:val="en-GB" w:eastAsia="zh-CN"/>
        </w:rPr>
      </w:pPr>
      <w:bookmarkStart w:id="159" w:name="_Toc4650"/>
      <w:bookmarkStart w:id="160" w:name="_Toc12820"/>
      <w:r>
        <w:rPr>
          <w:rFonts w:hint="default" w:ascii="Calibri" w:hAnsi="Calibri" w:cs="Calibri"/>
          <w:b w:val="0"/>
          <w:bCs w:val="0"/>
          <w:sz w:val="24"/>
          <w:szCs w:val="24"/>
          <w:lang w:val="en-GB" w:eastAsia="zh-CN"/>
        </w:rPr>
        <w:t xml:space="preserve">Arnold, G. (2020) </w:t>
      </w:r>
      <w:r>
        <w:rPr>
          <w:rFonts w:hint="default" w:ascii="Calibri" w:hAnsi="Calibri" w:cs="Calibri"/>
          <w:b w:val="0"/>
          <w:bCs w:val="0"/>
          <w:i/>
          <w:iCs/>
          <w:sz w:val="24"/>
          <w:szCs w:val="24"/>
          <w:lang w:val="en-GB" w:eastAsia="zh-CN"/>
        </w:rPr>
        <w:t>Corporate Financial Management</w:t>
      </w:r>
      <w:r>
        <w:rPr>
          <w:rFonts w:hint="default" w:ascii="Calibri" w:hAnsi="Calibri" w:cs="Calibri"/>
          <w:b w:val="0"/>
          <w:bCs w:val="0"/>
          <w:sz w:val="24"/>
          <w:szCs w:val="24"/>
          <w:lang w:val="en-GB" w:eastAsia="zh-CN"/>
        </w:rPr>
        <w:t>. 6th edn. Pearson.</w:t>
      </w:r>
      <w:bookmarkEnd w:id="159"/>
      <w:bookmarkEnd w:id="160"/>
    </w:p>
    <w:p w14:paraId="02F5DB88">
      <w:pPr>
        <w:pStyle w:val="2"/>
        <w:numPr>
          <w:ilvl w:val="0"/>
          <w:numId w:val="0"/>
        </w:numPr>
        <w:bidi w:val="0"/>
        <w:outlineLvl w:val="0"/>
        <w:rPr>
          <w:rFonts w:hint="default" w:ascii="Calibri" w:hAnsi="Calibri" w:cs="Calibri"/>
          <w:b w:val="0"/>
          <w:bCs w:val="0"/>
          <w:sz w:val="24"/>
          <w:szCs w:val="24"/>
          <w:lang w:val="en-GB" w:eastAsia="zh-CN"/>
        </w:rPr>
      </w:pPr>
      <w:bookmarkStart w:id="161" w:name="_Toc32387"/>
      <w:bookmarkStart w:id="162" w:name="_Toc12028"/>
      <w:r>
        <w:rPr>
          <w:rFonts w:hint="default" w:ascii="Calibri" w:hAnsi="Calibri" w:cs="Calibri"/>
          <w:b w:val="0"/>
          <w:bCs w:val="0"/>
          <w:sz w:val="24"/>
          <w:szCs w:val="24"/>
          <w:lang w:val="en-GB" w:eastAsia="zh-CN"/>
        </w:rPr>
        <w:t xml:space="preserve">Atrill, P. and McLaney, E. (2021) </w:t>
      </w:r>
      <w:r>
        <w:rPr>
          <w:rFonts w:hint="default" w:ascii="Calibri" w:hAnsi="Calibri" w:cs="Calibri"/>
          <w:b w:val="0"/>
          <w:bCs w:val="0"/>
          <w:i/>
          <w:iCs/>
          <w:sz w:val="24"/>
          <w:szCs w:val="24"/>
          <w:lang w:val="en-GB" w:eastAsia="zh-CN"/>
        </w:rPr>
        <w:t>Financial Management for Decision Makers.</w:t>
      </w:r>
      <w:r>
        <w:rPr>
          <w:rFonts w:hint="default" w:ascii="Calibri" w:hAnsi="Calibri" w:cs="Calibri"/>
          <w:b w:val="0"/>
          <w:bCs w:val="0"/>
          <w:sz w:val="24"/>
          <w:szCs w:val="24"/>
          <w:lang w:val="en-GB" w:eastAsia="zh-CN"/>
        </w:rPr>
        <w:t xml:space="preserve"> 9th edn. Pearson.</w:t>
      </w:r>
      <w:bookmarkEnd w:id="161"/>
      <w:bookmarkEnd w:id="162"/>
    </w:p>
    <w:p w14:paraId="3E151F74">
      <w:pPr>
        <w:pStyle w:val="2"/>
        <w:numPr>
          <w:ilvl w:val="0"/>
          <w:numId w:val="0"/>
        </w:numPr>
        <w:bidi w:val="0"/>
        <w:outlineLvl w:val="0"/>
        <w:rPr>
          <w:rFonts w:hint="default" w:ascii="Calibri" w:hAnsi="Calibri" w:cs="Calibri"/>
          <w:b w:val="0"/>
          <w:bCs w:val="0"/>
          <w:sz w:val="24"/>
          <w:szCs w:val="24"/>
          <w:lang w:val="en-GB" w:eastAsia="zh-CN"/>
        </w:rPr>
      </w:pPr>
      <w:bookmarkStart w:id="163" w:name="_Toc25174"/>
      <w:bookmarkStart w:id="164" w:name="_Toc2712"/>
      <w:r>
        <w:rPr>
          <w:rFonts w:hint="default" w:ascii="Calibri" w:hAnsi="Calibri" w:cs="Calibri"/>
          <w:b w:val="0"/>
          <w:bCs w:val="0"/>
          <w:sz w:val="24"/>
          <w:szCs w:val="24"/>
          <w:lang w:val="en-GB" w:eastAsia="zh-CN"/>
        </w:rPr>
        <w:t xml:space="preserve">Berk, J. and DeMarzo, P. (2020) </w:t>
      </w:r>
      <w:r>
        <w:rPr>
          <w:rFonts w:hint="default" w:ascii="Calibri" w:hAnsi="Calibri" w:cs="Calibri"/>
          <w:b w:val="0"/>
          <w:bCs w:val="0"/>
          <w:i/>
          <w:iCs/>
          <w:sz w:val="24"/>
          <w:szCs w:val="24"/>
          <w:lang w:val="en-GB" w:eastAsia="zh-CN"/>
        </w:rPr>
        <w:t>Corporate Finance</w:t>
      </w:r>
      <w:r>
        <w:rPr>
          <w:rFonts w:hint="default" w:ascii="Calibri" w:hAnsi="Calibri" w:cs="Calibri"/>
          <w:b w:val="0"/>
          <w:bCs w:val="0"/>
          <w:sz w:val="24"/>
          <w:szCs w:val="24"/>
          <w:lang w:val="en-GB" w:eastAsia="zh-CN"/>
        </w:rPr>
        <w:t>. 5th edn. Pearson.</w:t>
      </w:r>
      <w:bookmarkEnd w:id="163"/>
      <w:bookmarkEnd w:id="164"/>
    </w:p>
    <w:p w14:paraId="75BF04A8">
      <w:pPr>
        <w:pStyle w:val="2"/>
        <w:numPr>
          <w:ilvl w:val="0"/>
          <w:numId w:val="0"/>
        </w:numPr>
        <w:bidi w:val="0"/>
        <w:outlineLvl w:val="0"/>
        <w:rPr>
          <w:rFonts w:hint="default" w:ascii="Calibri" w:hAnsi="Calibri" w:cs="Calibri"/>
          <w:b w:val="0"/>
          <w:bCs w:val="0"/>
          <w:sz w:val="24"/>
          <w:szCs w:val="24"/>
          <w:lang w:val="en-GB" w:eastAsia="zh-CN"/>
        </w:rPr>
      </w:pPr>
      <w:bookmarkStart w:id="165" w:name="_Toc12024"/>
      <w:bookmarkStart w:id="166" w:name="_Toc2618"/>
      <w:r>
        <w:rPr>
          <w:rFonts w:hint="default" w:ascii="Calibri" w:hAnsi="Calibri" w:cs="Calibri"/>
          <w:b w:val="0"/>
          <w:bCs w:val="0"/>
          <w:sz w:val="24"/>
          <w:szCs w:val="24"/>
          <w:lang w:val="en-GB" w:eastAsia="zh-CN"/>
        </w:rPr>
        <w:t xml:space="preserve">BloombergNEF (2024) Electric Vehicle Outlook 2024. Available at: </w:t>
      </w:r>
      <w:r>
        <w:rPr>
          <w:rFonts w:hint="default" w:ascii="Calibri" w:hAnsi="Calibri" w:cs="Calibri"/>
          <w:b w:val="0"/>
          <w:bCs w:val="0"/>
          <w:sz w:val="24"/>
          <w:szCs w:val="24"/>
          <w:lang w:val="en-GB" w:eastAsia="zh-CN"/>
        </w:rPr>
        <w:fldChar w:fldCharType="begin"/>
      </w:r>
      <w:r>
        <w:rPr>
          <w:rFonts w:hint="default" w:ascii="Calibri" w:hAnsi="Calibri" w:cs="Calibri"/>
          <w:b w:val="0"/>
          <w:bCs w:val="0"/>
          <w:sz w:val="24"/>
          <w:szCs w:val="24"/>
          <w:lang w:val="en-GB" w:eastAsia="zh-CN"/>
        </w:rPr>
        <w:instrText xml:space="preserve"> HYPERLINK "https://about.bnef.com" </w:instrText>
      </w:r>
      <w:r>
        <w:rPr>
          <w:rFonts w:hint="default" w:ascii="Calibri" w:hAnsi="Calibri" w:cs="Calibri"/>
          <w:b w:val="0"/>
          <w:bCs w:val="0"/>
          <w:sz w:val="24"/>
          <w:szCs w:val="24"/>
          <w:lang w:val="en-GB" w:eastAsia="zh-CN"/>
        </w:rPr>
        <w:fldChar w:fldCharType="separate"/>
      </w:r>
      <w:r>
        <w:rPr>
          <w:rFonts w:hint="default" w:ascii="Calibri" w:hAnsi="Calibri" w:cs="Calibri"/>
          <w:b w:val="0"/>
          <w:bCs w:val="0"/>
          <w:sz w:val="24"/>
          <w:szCs w:val="24"/>
          <w:lang w:val="en-GB" w:eastAsia="zh-CN"/>
        </w:rPr>
        <w:t>https://about.bnef.com</w:t>
      </w:r>
      <w:r>
        <w:rPr>
          <w:rFonts w:hint="default" w:ascii="Calibri" w:hAnsi="Calibri" w:cs="Calibri"/>
          <w:b w:val="0"/>
          <w:bCs w:val="0"/>
          <w:sz w:val="24"/>
          <w:szCs w:val="24"/>
          <w:lang w:val="en-GB" w:eastAsia="zh-CN"/>
        </w:rPr>
        <w:fldChar w:fldCharType="end"/>
      </w:r>
      <w:bookmarkEnd w:id="165"/>
      <w:bookmarkEnd w:id="166"/>
    </w:p>
    <w:p w14:paraId="4E8C8426">
      <w:pPr>
        <w:pStyle w:val="2"/>
        <w:numPr>
          <w:ilvl w:val="0"/>
          <w:numId w:val="0"/>
        </w:numPr>
        <w:bidi w:val="0"/>
        <w:outlineLvl w:val="0"/>
        <w:rPr>
          <w:rFonts w:hint="default" w:ascii="Calibri" w:hAnsi="Calibri" w:cs="Calibri"/>
          <w:b w:val="0"/>
          <w:bCs w:val="0"/>
          <w:sz w:val="24"/>
          <w:szCs w:val="24"/>
          <w:lang w:val="en-GB" w:eastAsia="zh-CN"/>
        </w:rPr>
      </w:pPr>
      <w:bookmarkStart w:id="167" w:name="_Toc18614"/>
      <w:bookmarkStart w:id="168" w:name="_Toc30630"/>
      <w:r>
        <w:rPr>
          <w:rFonts w:hint="default" w:ascii="Calibri" w:hAnsi="Calibri" w:cs="Calibri"/>
          <w:b w:val="0"/>
          <w:bCs w:val="0"/>
          <w:sz w:val="24"/>
          <w:szCs w:val="24"/>
          <w:lang w:val="en-GB" w:eastAsia="zh-CN"/>
        </w:rPr>
        <w:t xml:space="preserve">Bragg, S. (2022) </w:t>
      </w:r>
      <w:r>
        <w:rPr>
          <w:rFonts w:hint="default" w:ascii="Calibri" w:hAnsi="Calibri" w:cs="Calibri"/>
          <w:b w:val="0"/>
          <w:bCs w:val="0"/>
          <w:i/>
          <w:iCs/>
          <w:sz w:val="24"/>
          <w:szCs w:val="24"/>
          <w:lang w:val="en-GB" w:eastAsia="zh-CN"/>
        </w:rPr>
        <w:t>Financial Analysis</w:t>
      </w:r>
      <w:r>
        <w:rPr>
          <w:rFonts w:hint="default" w:ascii="Calibri" w:hAnsi="Calibri" w:cs="Calibri"/>
          <w:b w:val="0"/>
          <w:bCs w:val="0"/>
          <w:sz w:val="24"/>
          <w:szCs w:val="24"/>
          <w:lang w:val="en-GB" w:eastAsia="zh-CN"/>
        </w:rPr>
        <w:t>: A Controller's Guide. 3rd edn. Wiley.</w:t>
      </w:r>
      <w:bookmarkEnd w:id="167"/>
      <w:bookmarkEnd w:id="168"/>
    </w:p>
    <w:p w14:paraId="0E255EA4">
      <w:pPr>
        <w:pStyle w:val="2"/>
        <w:numPr>
          <w:ilvl w:val="0"/>
          <w:numId w:val="0"/>
        </w:numPr>
        <w:bidi w:val="0"/>
        <w:outlineLvl w:val="0"/>
        <w:rPr>
          <w:rFonts w:hint="default" w:ascii="Calibri" w:hAnsi="Calibri" w:cs="Calibri"/>
          <w:b w:val="0"/>
          <w:bCs w:val="0"/>
          <w:sz w:val="24"/>
          <w:szCs w:val="24"/>
          <w:lang w:val="en-GB" w:eastAsia="zh-CN"/>
        </w:rPr>
      </w:pPr>
      <w:bookmarkStart w:id="169" w:name="_Toc1215"/>
      <w:bookmarkStart w:id="170" w:name="_Toc16224"/>
      <w:r>
        <w:rPr>
          <w:rFonts w:hint="default" w:ascii="Calibri" w:hAnsi="Calibri" w:cs="Calibri"/>
          <w:b w:val="0"/>
          <w:bCs w:val="0"/>
          <w:sz w:val="24"/>
          <w:szCs w:val="24"/>
          <w:lang w:val="en-GB" w:eastAsia="zh-CN"/>
        </w:rPr>
        <w:t xml:space="preserve">Brealey, R.A., Myers, S.C. and Allen, F. (2022) </w:t>
      </w:r>
      <w:r>
        <w:rPr>
          <w:rFonts w:hint="default" w:ascii="Calibri" w:hAnsi="Calibri" w:cs="Calibri"/>
          <w:b w:val="0"/>
          <w:bCs w:val="0"/>
          <w:i/>
          <w:iCs/>
          <w:sz w:val="24"/>
          <w:szCs w:val="24"/>
          <w:lang w:val="en-GB" w:eastAsia="zh-CN"/>
        </w:rPr>
        <w:t>Principles of Corporate Finance.</w:t>
      </w:r>
      <w:r>
        <w:rPr>
          <w:rFonts w:hint="default" w:ascii="Calibri" w:hAnsi="Calibri" w:cs="Calibri"/>
          <w:b w:val="0"/>
          <w:bCs w:val="0"/>
          <w:sz w:val="24"/>
          <w:szCs w:val="24"/>
          <w:lang w:val="en-GB" w:eastAsia="zh-CN"/>
        </w:rPr>
        <w:t xml:space="preserve"> 14th edn. McGraw-Hill.</w:t>
      </w:r>
      <w:bookmarkEnd w:id="169"/>
      <w:bookmarkEnd w:id="170"/>
    </w:p>
    <w:p w14:paraId="6AB37530">
      <w:pPr>
        <w:pStyle w:val="2"/>
        <w:numPr>
          <w:ilvl w:val="0"/>
          <w:numId w:val="0"/>
        </w:numPr>
        <w:bidi w:val="0"/>
        <w:outlineLvl w:val="0"/>
        <w:rPr>
          <w:rFonts w:hint="default" w:ascii="Calibri" w:hAnsi="Calibri" w:cs="Calibri"/>
          <w:b w:val="0"/>
          <w:bCs w:val="0"/>
          <w:sz w:val="24"/>
          <w:szCs w:val="24"/>
          <w:lang w:val="en-GB" w:eastAsia="zh-CN"/>
        </w:rPr>
      </w:pPr>
      <w:bookmarkStart w:id="171" w:name="_Toc23625"/>
      <w:bookmarkStart w:id="172" w:name="_Toc31077"/>
      <w:r>
        <w:rPr>
          <w:rFonts w:hint="default" w:ascii="Calibri" w:hAnsi="Calibri" w:cs="Calibri"/>
          <w:b w:val="0"/>
          <w:bCs w:val="0"/>
          <w:sz w:val="24"/>
          <w:szCs w:val="24"/>
          <w:lang w:val="en-GB" w:eastAsia="zh-CN"/>
        </w:rPr>
        <w:t xml:space="preserve">Chopra, S. and Meindl, P. (2016) </w:t>
      </w:r>
      <w:r>
        <w:rPr>
          <w:rFonts w:hint="default" w:ascii="Calibri" w:hAnsi="Calibri" w:cs="Calibri"/>
          <w:b w:val="0"/>
          <w:bCs w:val="0"/>
          <w:i/>
          <w:iCs/>
          <w:sz w:val="24"/>
          <w:szCs w:val="24"/>
          <w:lang w:val="en-GB" w:eastAsia="zh-CN"/>
        </w:rPr>
        <w:t>Supply Chain Management</w:t>
      </w:r>
      <w:r>
        <w:rPr>
          <w:rFonts w:hint="default" w:ascii="Calibri" w:hAnsi="Calibri" w:cs="Calibri"/>
          <w:b w:val="0"/>
          <w:bCs w:val="0"/>
          <w:sz w:val="24"/>
          <w:szCs w:val="24"/>
          <w:lang w:val="en-GB" w:eastAsia="zh-CN"/>
        </w:rPr>
        <w:t>. 6th edn. Pearson.</w:t>
      </w:r>
      <w:bookmarkEnd w:id="171"/>
      <w:bookmarkEnd w:id="172"/>
    </w:p>
    <w:p w14:paraId="07424BB5">
      <w:pPr>
        <w:pStyle w:val="2"/>
        <w:numPr>
          <w:ilvl w:val="0"/>
          <w:numId w:val="0"/>
        </w:numPr>
        <w:bidi w:val="0"/>
        <w:outlineLvl w:val="0"/>
        <w:rPr>
          <w:rFonts w:hint="default" w:ascii="Calibri" w:hAnsi="Calibri" w:cs="Calibri"/>
          <w:b w:val="0"/>
          <w:bCs w:val="0"/>
          <w:sz w:val="24"/>
          <w:szCs w:val="24"/>
          <w:lang w:val="en-GB" w:eastAsia="zh-CN"/>
        </w:rPr>
      </w:pPr>
      <w:bookmarkStart w:id="173" w:name="_Toc31847"/>
      <w:bookmarkStart w:id="174" w:name="_Toc5162"/>
      <w:r>
        <w:rPr>
          <w:rFonts w:hint="default" w:ascii="Calibri" w:hAnsi="Calibri" w:cs="Calibri"/>
          <w:b w:val="0"/>
          <w:bCs w:val="0"/>
          <w:sz w:val="24"/>
          <w:szCs w:val="24"/>
          <w:lang w:val="en-GB" w:eastAsia="zh-CN"/>
        </w:rPr>
        <w:t>Madura, J. (2021) International Financial Management. 14th edn. Cengage Learning.</w:t>
      </w:r>
      <w:bookmarkEnd w:id="173"/>
      <w:bookmarkEnd w:id="174"/>
    </w:p>
    <w:p w14:paraId="19BCFCE8">
      <w:pPr>
        <w:pStyle w:val="2"/>
        <w:numPr>
          <w:ilvl w:val="0"/>
          <w:numId w:val="0"/>
        </w:numPr>
        <w:bidi w:val="0"/>
        <w:outlineLvl w:val="0"/>
        <w:rPr>
          <w:rFonts w:hint="default" w:ascii="Calibri" w:hAnsi="Calibri" w:cs="Calibri"/>
          <w:b w:val="0"/>
          <w:bCs w:val="0"/>
          <w:sz w:val="24"/>
          <w:szCs w:val="24"/>
          <w:lang w:val="en-GB" w:eastAsia="zh-CN"/>
        </w:rPr>
      </w:pPr>
      <w:bookmarkStart w:id="175" w:name="_Toc2762"/>
      <w:bookmarkStart w:id="176" w:name="_Toc13328"/>
      <w:r>
        <w:rPr>
          <w:rFonts w:hint="default" w:ascii="Calibri" w:hAnsi="Calibri" w:cs="Calibri"/>
          <w:b w:val="0"/>
          <w:bCs w:val="0"/>
          <w:sz w:val="24"/>
          <w:szCs w:val="24"/>
          <w:lang w:val="en-GB" w:eastAsia="zh-CN"/>
        </w:rPr>
        <w:t>Modigliani, F. and Miller, M.H. (1963) '</w:t>
      </w:r>
      <w:r>
        <w:rPr>
          <w:rFonts w:hint="default" w:ascii="Calibri" w:hAnsi="Calibri" w:cs="Calibri"/>
          <w:b w:val="0"/>
          <w:bCs w:val="0"/>
          <w:i/>
          <w:iCs/>
          <w:sz w:val="24"/>
          <w:szCs w:val="24"/>
          <w:lang w:val="en-GB" w:eastAsia="zh-CN"/>
        </w:rPr>
        <w:t>Corporate income taxes and the cost of capital</w:t>
      </w:r>
      <w:r>
        <w:rPr>
          <w:rFonts w:hint="default" w:ascii="Calibri" w:hAnsi="Calibri" w:cs="Calibri"/>
          <w:b w:val="0"/>
          <w:bCs w:val="0"/>
          <w:sz w:val="24"/>
          <w:szCs w:val="24"/>
          <w:lang w:val="en-GB" w:eastAsia="zh-CN"/>
        </w:rPr>
        <w:t>: a correction', American Economic Review, 53(3), pp. 433–443.</w:t>
      </w:r>
      <w:bookmarkEnd w:id="175"/>
      <w:bookmarkEnd w:id="176"/>
    </w:p>
    <w:p w14:paraId="5C5CAF9A">
      <w:pPr>
        <w:pStyle w:val="2"/>
        <w:numPr>
          <w:ilvl w:val="0"/>
          <w:numId w:val="0"/>
        </w:numPr>
        <w:bidi w:val="0"/>
        <w:outlineLvl w:val="0"/>
        <w:rPr>
          <w:rFonts w:hint="default" w:ascii="Calibri" w:hAnsi="Calibri" w:cs="Calibri"/>
          <w:b w:val="0"/>
          <w:bCs w:val="0"/>
          <w:sz w:val="24"/>
          <w:szCs w:val="24"/>
          <w:lang w:val="en-GB" w:eastAsia="zh-CN"/>
        </w:rPr>
      </w:pPr>
      <w:bookmarkStart w:id="177" w:name="_Toc10908"/>
      <w:bookmarkStart w:id="178" w:name="_Toc25513"/>
      <w:r>
        <w:rPr>
          <w:rFonts w:hint="default" w:ascii="Calibri" w:hAnsi="Calibri" w:cs="Calibri"/>
          <w:b w:val="0"/>
          <w:bCs w:val="0"/>
          <w:sz w:val="24"/>
          <w:szCs w:val="24"/>
          <w:lang w:val="en-GB" w:eastAsia="zh-CN"/>
        </w:rPr>
        <w:t xml:space="preserve">Myers, S.C. and Majluf, N.S. (1984) 'Corporate financing and investment decisions when firms have information that investors do not have', </w:t>
      </w:r>
      <w:r>
        <w:rPr>
          <w:rFonts w:hint="default" w:ascii="Calibri" w:hAnsi="Calibri" w:cs="Calibri"/>
          <w:b w:val="0"/>
          <w:bCs w:val="0"/>
          <w:i/>
          <w:iCs/>
          <w:sz w:val="24"/>
          <w:szCs w:val="24"/>
          <w:lang w:val="en-GB" w:eastAsia="zh-CN"/>
        </w:rPr>
        <w:t>Journal of Financial Economics</w:t>
      </w:r>
      <w:r>
        <w:rPr>
          <w:rFonts w:hint="default" w:ascii="Calibri" w:hAnsi="Calibri" w:cs="Calibri"/>
          <w:b w:val="0"/>
          <w:bCs w:val="0"/>
          <w:sz w:val="24"/>
          <w:szCs w:val="24"/>
          <w:lang w:val="en-GB" w:eastAsia="zh-CN"/>
        </w:rPr>
        <w:t>, 13(2), pp. 187–221.</w:t>
      </w:r>
      <w:bookmarkEnd w:id="177"/>
      <w:bookmarkEnd w:id="178"/>
    </w:p>
    <w:p w14:paraId="1073E59C">
      <w:pPr>
        <w:pStyle w:val="2"/>
        <w:numPr>
          <w:ilvl w:val="0"/>
          <w:numId w:val="0"/>
        </w:numPr>
        <w:bidi w:val="0"/>
        <w:outlineLvl w:val="0"/>
        <w:rPr>
          <w:rFonts w:hint="default" w:ascii="Calibri" w:hAnsi="Calibri" w:cs="Calibri"/>
          <w:b w:val="0"/>
          <w:bCs w:val="0"/>
          <w:sz w:val="24"/>
          <w:szCs w:val="24"/>
          <w:lang w:val="en-GB" w:eastAsia="zh-CN"/>
        </w:rPr>
      </w:pPr>
      <w:bookmarkStart w:id="179" w:name="_Toc25764"/>
      <w:bookmarkStart w:id="180" w:name="_Toc18224"/>
      <w:r>
        <w:rPr>
          <w:rFonts w:hint="default" w:ascii="Calibri" w:hAnsi="Calibri" w:cs="Calibri"/>
          <w:b w:val="0"/>
          <w:bCs w:val="0"/>
          <w:sz w:val="24"/>
          <w:szCs w:val="24"/>
          <w:lang w:val="en-GB" w:eastAsia="zh-CN"/>
        </w:rPr>
        <w:t xml:space="preserve">OECD (2023) BEPS Actions: Base Erosion and Profit Shifting. Available at: </w:t>
      </w:r>
      <w:r>
        <w:rPr>
          <w:rFonts w:hint="default" w:ascii="Calibri" w:hAnsi="Calibri" w:cs="Calibri"/>
          <w:b w:val="0"/>
          <w:bCs w:val="0"/>
          <w:sz w:val="24"/>
          <w:szCs w:val="24"/>
          <w:lang w:val="en-GB" w:eastAsia="zh-CN"/>
        </w:rPr>
        <w:fldChar w:fldCharType="begin"/>
      </w:r>
      <w:r>
        <w:rPr>
          <w:rFonts w:hint="default" w:ascii="Calibri" w:hAnsi="Calibri" w:cs="Calibri"/>
          <w:b w:val="0"/>
          <w:bCs w:val="0"/>
          <w:sz w:val="24"/>
          <w:szCs w:val="24"/>
          <w:lang w:val="en-GB" w:eastAsia="zh-CN"/>
        </w:rPr>
        <w:instrText xml:space="preserve"> HYPERLINK "https://www.oecd.org/tax/beps/" </w:instrText>
      </w:r>
      <w:r>
        <w:rPr>
          <w:rFonts w:hint="default" w:ascii="Calibri" w:hAnsi="Calibri" w:cs="Calibri"/>
          <w:b w:val="0"/>
          <w:bCs w:val="0"/>
          <w:sz w:val="24"/>
          <w:szCs w:val="24"/>
          <w:lang w:val="en-GB" w:eastAsia="zh-CN"/>
        </w:rPr>
        <w:fldChar w:fldCharType="separate"/>
      </w:r>
      <w:r>
        <w:rPr>
          <w:rFonts w:hint="default" w:ascii="Calibri" w:hAnsi="Calibri" w:cs="Calibri"/>
          <w:b w:val="0"/>
          <w:bCs w:val="0"/>
          <w:sz w:val="24"/>
          <w:szCs w:val="24"/>
          <w:lang w:val="en-GB" w:eastAsia="zh-CN"/>
        </w:rPr>
        <w:t>https://www.oecd.org/tax/beps/</w:t>
      </w:r>
      <w:r>
        <w:rPr>
          <w:rFonts w:hint="default" w:ascii="Calibri" w:hAnsi="Calibri" w:cs="Calibri"/>
          <w:b w:val="0"/>
          <w:bCs w:val="0"/>
          <w:sz w:val="24"/>
          <w:szCs w:val="24"/>
          <w:lang w:val="en-GB" w:eastAsia="zh-CN"/>
        </w:rPr>
        <w:fldChar w:fldCharType="end"/>
      </w:r>
      <w:bookmarkEnd w:id="179"/>
      <w:bookmarkEnd w:id="180"/>
    </w:p>
    <w:p w14:paraId="301D3CE7">
      <w:pPr>
        <w:pStyle w:val="2"/>
        <w:numPr>
          <w:ilvl w:val="0"/>
          <w:numId w:val="0"/>
        </w:numPr>
        <w:bidi w:val="0"/>
        <w:outlineLvl w:val="0"/>
        <w:rPr>
          <w:rFonts w:hint="default" w:ascii="Calibri" w:hAnsi="Calibri" w:cs="Calibri"/>
          <w:b w:val="0"/>
          <w:bCs w:val="0"/>
          <w:sz w:val="24"/>
          <w:szCs w:val="24"/>
          <w:lang w:val="en-GB" w:eastAsia="zh-CN"/>
        </w:rPr>
      </w:pPr>
      <w:bookmarkStart w:id="181" w:name="_Toc15047"/>
      <w:bookmarkStart w:id="182" w:name="_Toc9496"/>
      <w:r>
        <w:rPr>
          <w:rFonts w:hint="default" w:ascii="Calibri" w:hAnsi="Calibri" w:cs="Calibri"/>
          <w:b w:val="0"/>
          <w:bCs w:val="0"/>
          <w:sz w:val="24"/>
          <w:szCs w:val="24"/>
          <w:lang w:val="en-GB" w:eastAsia="zh-CN"/>
        </w:rPr>
        <w:t xml:space="preserve">Pike, R. and Neale, B. (2015) </w:t>
      </w:r>
      <w:r>
        <w:rPr>
          <w:rFonts w:hint="default" w:ascii="Calibri" w:hAnsi="Calibri" w:cs="Calibri"/>
          <w:b w:val="0"/>
          <w:bCs w:val="0"/>
          <w:i/>
          <w:iCs/>
          <w:sz w:val="24"/>
          <w:szCs w:val="24"/>
          <w:lang w:val="en-GB" w:eastAsia="zh-CN"/>
        </w:rPr>
        <w:t>Corporate Finance and Investment</w:t>
      </w:r>
      <w:r>
        <w:rPr>
          <w:rFonts w:hint="default" w:ascii="Calibri" w:hAnsi="Calibri" w:cs="Calibri"/>
          <w:b w:val="0"/>
          <w:bCs w:val="0"/>
          <w:sz w:val="24"/>
          <w:szCs w:val="24"/>
          <w:lang w:val="en-GB" w:eastAsia="zh-CN"/>
        </w:rPr>
        <w:t>. 8th edn. Pearson.</w:t>
      </w:r>
      <w:bookmarkEnd w:id="181"/>
      <w:bookmarkEnd w:id="182"/>
    </w:p>
    <w:p w14:paraId="5BD32DAE">
      <w:pPr>
        <w:pStyle w:val="2"/>
        <w:numPr>
          <w:ilvl w:val="0"/>
          <w:numId w:val="0"/>
        </w:numPr>
        <w:bidi w:val="0"/>
        <w:outlineLvl w:val="0"/>
        <w:rPr>
          <w:rFonts w:hint="default" w:ascii="Calibri" w:hAnsi="Calibri" w:cs="Calibri"/>
          <w:b w:val="0"/>
          <w:bCs w:val="0"/>
          <w:sz w:val="24"/>
          <w:szCs w:val="24"/>
          <w:lang w:val="en-GB" w:eastAsia="zh-CN"/>
        </w:rPr>
      </w:pPr>
      <w:bookmarkStart w:id="183" w:name="_Toc31134"/>
      <w:bookmarkStart w:id="184" w:name="_Toc5017"/>
      <w:r>
        <w:rPr>
          <w:rFonts w:hint="default" w:ascii="Calibri" w:hAnsi="Calibri" w:cs="Calibri"/>
          <w:b w:val="0"/>
          <w:bCs w:val="0"/>
          <w:sz w:val="24"/>
          <w:szCs w:val="24"/>
          <w:lang w:val="en-GB" w:eastAsia="zh-CN"/>
        </w:rPr>
        <w:t xml:space="preserve">Reuters (2025) Tesla brand perception challenges amid leadership scrutiny. Available at: </w:t>
      </w:r>
      <w:r>
        <w:rPr>
          <w:rFonts w:hint="default" w:ascii="Calibri" w:hAnsi="Calibri" w:cs="Calibri"/>
          <w:b w:val="0"/>
          <w:bCs w:val="0"/>
          <w:sz w:val="24"/>
          <w:szCs w:val="24"/>
          <w:lang w:val="en-GB" w:eastAsia="zh-CN"/>
        </w:rPr>
        <w:fldChar w:fldCharType="begin"/>
      </w:r>
      <w:r>
        <w:rPr>
          <w:rFonts w:hint="default" w:ascii="Calibri" w:hAnsi="Calibri" w:cs="Calibri"/>
          <w:b w:val="0"/>
          <w:bCs w:val="0"/>
          <w:sz w:val="24"/>
          <w:szCs w:val="24"/>
          <w:lang w:val="en-GB" w:eastAsia="zh-CN"/>
        </w:rPr>
        <w:instrText xml:space="preserve"> HYPERLINK "https://www.reuters.com" </w:instrText>
      </w:r>
      <w:r>
        <w:rPr>
          <w:rFonts w:hint="default" w:ascii="Calibri" w:hAnsi="Calibri" w:cs="Calibri"/>
          <w:b w:val="0"/>
          <w:bCs w:val="0"/>
          <w:sz w:val="24"/>
          <w:szCs w:val="24"/>
          <w:lang w:val="en-GB" w:eastAsia="zh-CN"/>
        </w:rPr>
        <w:fldChar w:fldCharType="separate"/>
      </w:r>
      <w:r>
        <w:rPr>
          <w:rFonts w:hint="default" w:ascii="Calibri" w:hAnsi="Calibri" w:cs="Calibri"/>
          <w:b w:val="0"/>
          <w:bCs w:val="0"/>
          <w:sz w:val="24"/>
          <w:szCs w:val="24"/>
          <w:lang w:val="en-GB" w:eastAsia="zh-CN"/>
        </w:rPr>
        <w:t>https://www.reuters.com</w:t>
      </w:r>
      <w:r>
        <w:rPr>
          <w:rFonts w:hint="default" w:ascii="Calibri" w:hAnsi="Calibri" w:cs="Calibri"/>
          <w:b w:val="0"/>
          <w:bCs w:val="0"/>
          <w:sz w:val="24"/>
          <w:szCs w:val="24"/>
          <w:lang w:val="en-GB" w:eastAsia="zh-CN"/>
        </w:rPr>
        <w:fldChar w:fldCharType="end"/>
      </w:r>
      <w:bookmarkEnd w:id="183"/>
      <w:bookmarkEnd w:id="184"/>
    </w:p>
    <w:p w14:paraId="32207728">
      <w:pPr>
        <w:pStyle w:val="2"/>
        <w:numPr>
          <w:ilvl w:val="0"/>
          <w:numId w:val="0"/>
        </w:numPr>
        <w:bidi w:val="0"/>
        <w:outlineLvl w:val="0"/>
        <w:rPr>
          <w:rFonts w:hint="default" w:ascii="Calibri" w:hAnsi="Calibri" w:cs="Calibri"/>
          <w:b w:val="0"/>
          <w:bCs w:val="0"/>
          <w:sz w:val="24"/>
          <w:szCs w:val="24"/>
          <w:lang w:val="en-GB" w:eastAsia="zh-CN"/>
        </w:rPr>
      </w:pPr>
      <w:bookmarkStart w:id="185" w:name="_Toc20361"/>
      <w:bookmarkStart w:id="186" w:name="_Toc2649"/>
      <w:r>
        <w:rPr>
          <w:rFonts w:hint="default" w:ascii="Calibri" w:hAnsi="Calibri" w:cs="Calibri"/>
          <w:b w:val="0"/>
          <w:bCs w:val="0"/>
          <w:sz w:val="24"/>
          <w:szCs w:val="24"/>
          <w:lang w:val="en-GB" w:eastAsia="zh-CN"/>
        </w:rPr>
        <w:t xml:space="preserve">Ross, S., Westerfield, R. and Jordan, B. (2022) </w:t>
      </w:r>
      <w:r>
        <w:rPr>
          <w:rFonts w:hint="default" w:ascii="Calibri" w:hAnsi="Calibri" w:cs="Calibri"/>
          <w:b w:val="0"/>
          <w:bCs w:val="0"/>
          <w:i/>
          <w:iCs/>
          <w:sz w:val="24"/>
          <w:szCs w:val="24"/>
          <w:lang w:val="en-GB" w:eastAsia="zh-CN"/>
        </w:rPr>
        <w:t xml:space="preserve">Fundamentals of Corporate Finance. </w:t>
      </w:r>
      <w:r>
        <w:rPr>
          <w:rFonts w:hint="default" w:ascii="Calibri" w:hAnsi="Calibri" w:cs="Calibri"/>
          <w:b w:val="0"/>
          <w:bCs w:val="0"/>
          <w:sz w:val="24"/>
          <w:szCs w:val="24"/>
          <w:lang w:val="en-GB" w:eastAsia="zh-CN"/>
        </w:rPr>
        <w:t>13th edn. McGraw-Hill.</w:t>
      </w:r>
      <w:bookmarkEnd w:id="185"/>
      <w:bookmarkEnd w:id="186"/>
    </w:p>
    <w:p w14:paraId="7A6223D0">
      <w:pPr>
        <w:pStyle w:val="2"/>
        <w:numPr>
          <w:ilvl w:val="0"/>
          <w:numId w:val="0"/>
        </w:numPr>
        <w:bidi w:val="0"/>
        <w:outlineLvl w:val="0"/>
        <w:rPr>
          <w:rFonts w:hint="default" w:ascii="Calibri" w:hAnsi="Calibri" w:cs="Calibri"/>
          <w:b w:val="0"/>
          <w:bCs w:val="0"/>
          <w:sz w:val="24"/>
          <w:szCs w:val="24"/>
          <w:lang w:val="en-GB" w:eastAsia="zh-CN"/>
        </w:rPr>
      </w:pPr>
      <w:bookmarkStart w:id="187" w:name="_Toc21479"/>
      <w:bookmarkStart w:id="188" w:name="_Toc3715"/>
      <w:r>
        <w:rPr>
          <w:rFonts w:hint="default" w:ascii="Calibri" w:hAnsi="Calibri" w:cs="Calibri"/>
          <w:b w:val="0"/>
          <w:bCs w:val="0"/>
          <w:sz w:val="24"/>
          <w:szCs w:val="24"/>
          <w:lang w:val="en-GB" w:eastAsia="zh-CN"/>
        </w:rPr>
        <w:t xml:space="preserve">Tesla, Inc. (2022) Annual Report 2022. Available at: </w:t>
      </w:r>
      <w:r>
        <w:rPr>
          <w:rFonts w:hint="default" w:ascii="Calibri" w:hAnsi="Calibri" w:cs="Calibri"/>
          <w:b w:val="0"/>
          <w:bCs w:val="0"/>
          <w:sz w:val="24"/>
          <w:szCs w:val="24"/>
          <w:lang w:val="en-GB" w:eastAsia="zh-CN"/>
        </w:rPr>
        <w:fldChar w:fldCharType="begin"/>
      </w:r>
      <w:r>
        <w:rPr>
          <w:rFonts w:hint="default" w:ascii="Calibri" w:hAnsi="Calibri" w:cs="Calibri"/>
          <w:b w:val="0"/>
          <w:bCs w:val="0"/>
          <w:sz w:val="24"/>
          <w:szCs w:val="24"/>
          <w:lang w:val="en-GB" w:eastAsia="zh-CN"/>
        </w:rPr>
        <w:instrText xml:space="preserve"> HYPERLINK "https://ir.tesla.com" </w:instrText>
      </w:r>
      <w:r>
        <w:rPr>
          <w:rFonts w:hint="default" w:ascii="Calibri" w:hAnsi="Calibri" w:cs="Calibri"/>
          <w:b w:val="0"/>
          <w:bCs w:val="0"/>
          <w:sz w:val="24"/>
          <w:szCs w:val="24"/>
          <w:lang w:val="en-GB" w:eastAsia="zh-CN"/>
        </w:rPr>
        <w:fldChar w:fldCharType="separate"/>
      </w:r>
      <w:r>
        <w:rPr>
          <w:rFonts w:hint="default" w:ascii="Calibri" w:hAnsi="Calibri" w:cs="Calibri"/>
          <w:b w:val="0"/>
          <w:bCs w:val="0"/>
          <w:sz w:val="24"/>
          <w:szCs w:val="24"/>
          <w:lang w:val="en-GB" w:eastAsia="zh-CN"/>
        </w:rPr>
        <w:t>https://ir.tesla.com</w:t>
      </w:r>
      <w:r>
        <w:rPr>
          <w:rFonts w:hint="default" w:ascii="Calibri" w:hAnsi="Calibri" w:cs="Calibri"/>
          <w:b w:val="0"/>
          <w:bCs w:val="0"/>
          <w:sz w:val="24"/>
          <w:szCs w:val="24"/>
          <w:lang w:val="en-GB" w:eastAsia="zh-CN"/>
        </w:rPr>
        <w:fldChar w:fldCharType="end"/>
      </w:r>
      <w:bookmarkEnd w:id="187"/>
      <w:bookmarkEnd w:id="188"/>
    </w:p>
    <w:p w14:paraId="276635C9">
      <w:pPr>
        <w:pStyle w:val="2"/>
        <w:numPr>
          <w:ilvl w:val="0"/>
          <w:numId w:val="0"/>
        </w:numPr>
        <w:bidi w:val="0"/>
        <w:outlineLvl w:val="0"/>
        <w:rPr>
          <w:rFonts w:hint="default" w:ascii="Calibri" w:hAnsi="Calibri" w:cs="Calibri"/>
          <w:b w:val="0"/>
          <w:bCs w:val="0"/>
          <w:sz w:val="24"/>
          <w:szCs w:val="24"/>
          <w:lang w:val="en-GB" w:eastAsia="zh-CN"/>
        </w:rPr>
      </w:pPr>
      <w:bookmarkStart w:id="189" w:name="_Toc15394"/>
      <w:bookmarkStart w:id="190" w:name="_Toc31543"/>
      <w:r>
        <w:rPr>
          <w:rFonts w:hint="default" w:ascii="Calibri" w:hAnsi="Calibri" w:cs="Calibri"/>
          <w:b w:val="0"/>
          <w:bCs w:val="0"/>
          <w:sz w:val="24"/>
          <w:szCs w:val="24"/>
          <w:lang w:val="en-GB" w:eastAsia="zh-CN"/>
        </w:rPr>
        <w:t xml:space="preserve">Tesla, Inc. (2023) Annual Report 2023. Available at: </w:t>
      </w:r>
      <w:r>
        <w:rPr>
          <w:rFonts w:hint="default" w:ascii="Calibri" w:hAnsi="Calibri" w:cs="Calibri"/>
          <w:b w:val="0"/>
          <w:bCs w:val="0"/>
          <w:sz w:val="24"/>
          <w:szCs w:val="24"/>
          <w:lang w:val="en-GB" w:eastAsia="zh-CN"/>
        </w:rPr>
        <w:fldChar w:fldCharType="begin"/>
      </w:r>
      <w:r>
        <w:rPr>
          <w:rFonts w:hint="default" w:ascii="Calibri" w:hAnsi="Calibri" w:cs="Calibri"/>
          <w:b w:val="0"/>
          <w:bCs w:val="0"/>
          <w:sz w:val="24"/>
          <w:szCs w:val="24"/>
          <w:lang w:val="en-GB" w:eastAsia="zh-CN"/>
        </w:rPr>
        <w:instrText xml:space="preserve"> HYPERLINK "https://ir.tesla.com" </w:instrText>
      </w:r>
      <w:r>
        <w:rPr>
          <w:rFonts w:hint="default" w:ascii="Calibri" w:hAnsi="Calibri" w:cs="Calibri"/>
          <w:b w:val="0"/>
          <w:bCs w:val="0"/>
          <w:sz w:val="24"/>
          <w:szCs w:val="24"/>
          <w:lang w:val="en-GB" w:eastAsia="zh-CN"/>
        </w:rPr>
        <w:fldChar w:fldCharType="separate"/>
      </w:r>
      <w:r>
        <w:rPr>
          <w:rFonts w:hint="default" w:ascii="Calibri" w:hAnsi="Calibri" w:cs="Calibri"/>
          <w:b w:val="0"/>
          <w:bCs w:val="0"/>
          <w:sz w:val="24"/>
          <w:szCs w:val="24"/>
          <w:lang w:val="en-GB" w:eastAsia="zh-CN"/>
        </w:rPr>
        <w:t>https://ir.tesla.com</w:t>
      </w:r>
      <w:r>
        <w:rPr>
          <w:rFonts w:hint="default" w:ascii="Calibri" w:hAnsi="Calibri" w:cs="Calibri"/>
          <w:b w:val="0"/>
          <w:bCs w:val="0"/>
          <w:sz w:val="24"/>
          <w:szCs w:val="24"/>
          <w:lang w:val="en-GB" w:eastAsia="zh-CN"/>
        </w:rPr>
        <w:fldChar w:fldCharType="end"/>
      </w:r>
      <w:bookmarkEnd w:id="189"/>
      <w:bookmarkEnd w:id="190"/>
    </w:p>
    <w:p w14:paraId="3AA86A5A">
      <w:pPr>
        <w:pStyle w:val="2"/>
        <w:numPr>
          <w:ilvl w:val="0"/>
          <w:numId w:val="0"/>
        </w:numPr>
        <w:bidi w:val="0"/>
        <w:outlineLvl w:val="0"/>
        <w:rPr>
          <w:rFonts w:hint="default" w:ascii="Calibri" w:hAnsi="Calibri" w:cs="Calibri"/>
          <w:b w:val="0"/>
          <w:bCs w:val="0"/>
          <w:sz w:val="24"/>
          <w:szCs w:val="24"/>
          <w:lang w:val="en-GB" w:eastAsia="zh-CN"/>
        </w:rPr>
      </w:pPr>
      <w:bookmarkStart w:id="191" w:name="_Toc19551"/>
      <w:bookmarkStart w:id="192" w:name="_Toc29234"/>
      <w:r>
        <w:rPr>
          <w:rFonts w:hint="default" w:ascii="Calibri" w:hAnsi="Calibri" w:cs="Calibri"/>
          <w:b w:val="0"/>
          <w:bCs w:val="0"/>
          <w:sz w:val="24"/>
          <w:szCs w:val="24"/>
          <w:lang w:val="en-GB" w:eastAsia="zh-CN"/>
        </w:rPr>
        <w:t xml:space="preserve">Tesla, Inc. (2024) Annual Report 2024. Available at: </w:t>
      </w:r>
      <w:r>
        <w:rPr>
          <w:rFonts w:hint="default" w:ascii="Calibri" w:hAnsi="Calibri" w:cs="Calibri"/>
          <w:b w:val="0"/>
          <w:bCs w:val="0"/>
          <w:sz w:val="24"/>
          <w:szCs w:val="24"/>
          <w:lang w:val="en-GB" w:eastAsia="zh-CN"/>
        </w:rPr>
        <w:fldChar w:fldCharType="begin"/>
      </w:r>
      <w:r>
        <w:rPr>
          <w:rFonts w:hint="default" w:ascii="Calibri" w:hAnsi="Calibri" w:cs="Calibri"/>
          <w:b w:val="0"/>
          <w:bCs w:val="0"/>
          <w:sz w:val="24"/>
          <w:szCs w:val="24"/>
          <w:lang w:val="en-GB" w:eastAsia="zh-CN"/>
        </w:rPr>
        <w:instrText xml:space="preserve"> HYPERLINK "https://ir.tesla.com" </w:instrText>
      </w:r>
      <w:r>
        <w:rPr>
          <w:rFonts w:hint="default" w:ascii="Calibri" w:hAnsi="Calibri" w:cs="Calibri"/>
          <w:b w:val="0"/>
          <w:bCs w:val="0"/>
          <w:sz w:val="24"/>
          <w:szCs w:val="24"/>
          <w:lang w:val="en-GB" w:eastAsia="zh-CN"/>
        </w:rPr>
        <w:fldChar w:fldCharType="separate"/>
      </w:r>
      <w:r>
        <w:rPr>
          <w:rFonts w:hint="default" w:ascii="Calibri" w:hAnsi="Calibri" w:cs="Calibri"/>
          <w:b w:val="0"/>
          <w:bCs w:val="0"/>
          <w:sz w:val="24"/>
          <w:szCs w:val="24"/>
          <w:lang w:val="en-GB" w:eastAsia="zh-CN"/>
        </w:rPr>
        <w:t>https://ir.tesla.com</w:t>
      </w:r>
      <w:r>
        <w:rPr>
          <w:rFonts w:hint="default" w:ascii="Calibri" w:hAnsi="Calibri" w:cs="Calibri"/>
          <w:b w:val="0"/>
          <w:bCs w:val="0"/>
          <w:sz w:val="24"/>
          <w:szCs w:val="24"/>
          <w:lang w:val="en-GB" w:eastAsia="zh-CN"/>
        </w:rPr>
        <w:fldChar w:fldCharType="end"/>
      </w:r>
      <w:bookmarkEnd w:id="191"/>
      <w:bookmarkEnd w:id="192"/>
    </w:p>
    <w:p w14:paraId="34EF0AE0">
      <w:pPr>
        <w:pStyle w:val="2"/>
        <w:numPr>
          <w:ilvl w:val="0"/>
          <w:numId w:val="0"/>
        </w:numPr>
        <w:bidi w:val="0"/>
        <w:outlineLvl w:val="0"/>
        <w:rPr>
          <w:rFonts w:hint="default" w:ascii="Calibri" w:hAnsi="Calibri" w:cs="Calibri"/>
          <w:b w:val="0"/>
          <w:bCs w:val="0"/>
          <w:sz w:val="24"/>
          <w:szCs w:val="24"/>
          <w:lang w:val="en-GB" w:eastAsia="zh-CN"/>
        </w:rPr>
      </w:pPr>
      <w:bookmarkStart w:id="193" w:name="_Toc1545"/>
      <w:bookmarkStart w:id="194" w:name="_Toc7143"/>
      <w:r>
        <w:rPr>
          <w:rFonts w:hint="default" w:ascii="Calibri" w:hAnsi="Calibri" w:cs="Calibri"/>
          <w:b w:val="0"/>
          <w:bCs w:val="0"/>
          <w:sz w:val="24"/>
          <w:szCs w:val="24"/>
          <w:lang w:val="en-GB" w:eastAsia="zh-CN"/>
        </w:rPr>
        <w:t xml:space="preserve">Tesla, Inc. (2020) Annual Report 2020. Available at: </w:t>
      </w:r>
      <w:r>
        <w:rPr>
          <w:rFonts w:hint="default" w:ascii="Calibri" w:hAnsi="Calibri" w:cs="Calibri"/>
          <w:b w:val="0"/>
          <w:bCs w:val="0"/>
          <w:sz w:val="24"/>
          <w:szCs w:val="24"/>
          <w:lang w:val="en-GB" w:eastAsia="zh-CN"/>
        </w:rPr>
        <w:fldChar w:fldCharType="begin"/>
      </w:r>
      <w:r>
        <w:rPr>
          <w:rFonts w:hint="default" w:ascii="Calibri" w:hAnsi="Calibri" w:cs="Calibri"/>
          <w:b w:val="0"/>
          <w:bCs w:val="0"/>
          <w:sz w:val="24"/>
          <w:szCs w:val="24"/>
          <w:lang w:val="en-GB" w:eastAsia="zh-CN"/>
        </w:rPr>
        <w:instrText xml:space="preserve"> HYPERLINK "https://ir.tesla.com" </w:instrText>
      </w:r>
      <w:r>
        <w:rPr>
          <w:rFonts w:hint="default" w:ascii="Calibri" w:hAnsi="Calibri" w:cs="Calibri"/>
          <w:b w:val="0"/>
          <w:bCs w:val="0"/>
          <w:sz w:val="24"/>
          <w:szCs w:val="24"/>
          <w:lang w:val="en-GB" w:eastAsia="zh-CN"/>
        </w:rPr>
        <w:fldChar w:fldCharType="separate"/>
      </w:r>
      <w:r>
        <w:rPr>
          <w:rFonts w:hint="default" w:ascii="Calibri" w:hAnsi="Calibri" w:cs="Calibri"/>
          <w:b w:val="0"/>
          <w:bCs w:val="0"/>
          <w:sz w:val="24"/>
          <w:szCs w:val="24"/>
          <w:lang w:val="en-GB" w:eastAsia="zh-CN"/>
        </w:rPr>
        <w:t>https://ir.tesla.com</w:t>
      </w:r>
      <w:r>
        <w:rPr>
          <w:rFonts w:hint="default" w:ascii="Calibri" w:hAnsi="Calibri" w:cs="Calibri"/>
          <w:b w:val="0"/>
          <w:bCs w:val="0"/>
          <w:sz w:val="24"/>
          <w:szCs w:val="24"/>
          <w:lang w:val="en-GB" w:eastAsia="zh-CN"/>
        </w:rPr>
        <w:fldChar w:fldCharType="end"/>
      </w:r>
      <w:bookmarkEnd w:id="193"/>
      <w:bookmarkEnd w:id="194"/>
    </w:p>
    <w:p w14:paraId="5F630DA7">
      <w:pPr>
        <w:pStyle w:val="2"/>
        <w:numPr>
          <w:ilvl w:val="0"/>
          <w:numId w:val="0"/>
        </w:numPr>
        <w:bidi w:val="0"/>
        <w:outlineLvl w:val="0"/>
        <w:rPr>
          <w:rFonts w:hint="default" w:ascii="Calibri" w:hAnsi="Calibri" w:cs="Calibri"/>
          <w:b w:val="0"/>
          <w:bCs w:val="0"/>
          <w:sz w:val="24"/>
          <w:szCs w:val="24"/>
          <w:lang w:val="en-GB" w:eastAsia="zh-CN"/>
        </w:rPr>
      </w:pPr>
      <w:bookmarkStart w:id="195" w:name="_Toc2647"/>
      <w:bookmarkStart w:id="196" w:name="_Toc24839"/>
      <w:r>
        <w:rPr>
          <w:rFonts w:hint="default" w:ascii="Calibri" w:hAnsi="Calibri" w:cs="Calibri"/>
          <w:b w:val="0"/>
          <w:bCs w:val="0"/>
          <w:sz w:val="24"/>
          <w:szCs w:val="24"/>
          <w:lang w:val="en-GB" w:eastAsia="zh-CN"/>
        </w:rPr>
        <w:t xml:space="preserve">Tesla, Inc. (2021) Annual Report 2021. Available at: </w:t>
      </w:r>
      <w:r>
        <w:rPr>
          <w:rFonts w:hint="default" w:ascii="Calibri" w:hAnsi="Calibri" w:cs="Calibri"/>
          <w:b w:val="0"/>
          <w:bCs w:val="0"/>
          <w:sz w:val="24"/>
          <w:szCs w:val="24"/>
          <w:lang w:val="en-GB" w:eastAsia="zh-CN"/>
        </w:rPr>
        <w:fldChar w:fldCharType="begin"/>
      </w:r>
      <w:r>
        <w:rPr>
          <w:rFonts w:hint="default" w:ascii="Calibri" w:hAnsi="Calibri" w:cs="Calibri"/>
          <w:b w:val="0"/>
          <w:bCs w:val="0"/>
          <w:sz w:val="24"/>
          <w:szCs w:val="24"/>
          <w:lang w:val="en-GB" w:eastAsia="zh-CN"/>
        </w:rPr>
        <w:instrText xml:space="preserve"> HYPERLINK "https://ir.tesla.com" </w:instrText>
      </w:r>
      <w:r>
        <w:rPr>
          <w:rFonts w:hint="default" w:ascii="Calibri" w:hAnsi="Calibri" w:cs="Calibri"/>
          <w:b w:val="0"/>
          <w:bCs w:val="0"/>
          <w:sz w:val="24"/>
          <w:szCs w:val="24"/>
          <w:lang w:val="en-GB" w:eastAsia="zh-CN"/>
        </w:rPr>
        <w:fldChar w:fldCharType="separate"/>
      </w:r>
      <w:r>
        <w:rPr>
          <w:rFonts w:hint="default" w:ascii="Calibri" w:hAnsi="Calibri" w:cs="Calibri"/>
          <w:b w:val="0"/>
          <w:bCs w:val="0"/>
          <w:sz w:val="24"/>
          <w:szCs w:val="24"/>
          <w:lang w:val="en-GB" w:eastAsia="zh-CN"/>
        </w:rPr>
        <w:t>https://ir.tesla.com</w:t>
      </w:r>
      <w:r>
        <w:rPr>
          <w:rFonts w:hint="default" w:ascii="Calibri" w:hAnsi="Calibri" w:cs="Calibri"/>
          <w:b w:val="0"/>
          <w:bCs w:val="0"/>
          <w:sz w:val="24"/>
          <w:szCs w:val="24"/>
          <w:lang w:val="en-GB" w:eastAsia="zh-CN"/>
        </w:rPr>
        <w:fldChar w:fldCharType="end"/>
      </w:r>
      <w:bookmarkEnd w:id="195"/>
      <w:bookmarkEnd w:id="196"/>
    </w:p>
    <w:p w14:paraId="52540213">
      <w:pPr>
        <w:rPr>
          <w:rFonts w:hint="default"/>
          <w:lang w:val="en-GB" w:eastAsia="zh-CN"/>
        </w:rPr>
      </w:pPr>
    </w:p>
    <w:p w14:paraId="016F361D">
      <w:pPr>
        <w:pStyle w:val="2"/>
        <w:numPr>
          <w:ilvl w:val="0"/>
          <w:numId w:val="0"/>
        </w:numPr>
        <w:bidi w:val="0"/>
        <w:outlineLvl w:val="0"/>
        <w:rPr>
          <w:rFonts w:hint="default" w:ascii="Calibri" w:hAnsi="Calibri" w:cs="Calibri"/>
          <w:b w:val="0"/>
          <w:bCs w:val="0"/>
          <w:sz w:val="24"/>
          <w:szCs w:val="24"/>
          <w:lang w:val="en-GB" w:eastAsia="zh-CN"/>
        </w:rPr>
      </w:pPr>
      <w:bookmarkStart w:id="197" w:name="_Toc22587"/>
      <w:bookmarkStart w:id="198" w:name="_Toc16476"/>
      <w:r>
        <w:rPr>
          <w:rFonts w:hint="default" w:ascii="Calibri" w:hAnsi="Calibri" w:cs="Calibri"/>
          <w:b w:val="0"/>
          <w:bCs w:val="0"/>
          <w:sz w:val="24"/>
          <w:szCs w:val="24"/>
          <w:lang w:val="en-GB" w:eastAsia="zh-CN"/>
        </w:rPr>
        <w:t xml:space="preserve">Transparency International (2022) Mining and the Sustainable Development Goals. Available at: </w:t>
      </w:r>
      <w:r>
        <w:rPr>
          <w:rFonts w:hint="default" w:ascii="Calibri" w:hAnsi="Calibri" w:cs="Calibri"/>
          <w:b w:val="0"/>
          <w:bCs w:val="0"/>
          <w:sz w:val="24"/>
          <w:szCs w:val="24"/>
          <w:lang w:val="en-GB" w:eastAsia="zh-CN"/>
        </w:rPr>
        <w:fldChar w:fldCharType="begin"/>
      </w:r>
      <w:r>
        <w:rPr>
          <w:rFonts w:hint="default" w:ascii="Calibri" w:hAnsi="Calibri" w:cs="Calibri"/>
          <w:b w:val="0"/>
          <w:bCs w:val="0"/>
          <w:sz w:val="24"/>
          <w:szCs w:val="24"/>
          <w:lang w:val="en-GB" w:eastAsia="zh-CN"/>
        </w:rPr>
        <w:instrText xml:space="preserve"> HYPERLINK "https://www.transparency.org" </w:instrText>
      </w:r>
      <w:r>
        <w:rPr>
          <w:rFonts w:hint="default" w:ascii="Calibri" w:hAnsi="Calibri" w:cs="Calibri"/>
          <w:b w:val="0"/>
          <w:bCs w:val="0"/>
          <w:sz w:val="24"/>
          <w:szCs w:val="24"/>
          <w:lang w:val="en-GB" w:eastAsia="zh-CN"/>
        </w:rPr>
        <w:fldChar w:fldCharType="separate"/>
      </w:r>
      <w:r>
        <w:rPr>
          <w:rFonts w:hint="default" w:ascii="Calibri" w:hAnsi="Calibri" w:cs="Calibri"/>
          <w:b w:val="0"/>
          <w:bCs w:val="0"/>
          <w:sz w:val="24"/>
          <w:szCs w:val="24"/>
          <w:lang w:val="en-GB" w:eastAsia="zh-CN"/>
        </w:rPr>
        <w:t>https://www.transparency.org</w:t>
      </w:r>
      <w:r>
        <w:rPr>
          <w:rFonts w:hint="default" w:ascii="Calibri" w:hAnsi="Calibri" w:cs="Calibri"/>
          <w:b w:val="0"/>
          <w:bCs w:val="0"/>
          <w:sz w:val="24"/>
          <w:szCs w:val="24"/>
          <w:lang w:val="en-GB" w:eastAsia="zh-CN"/>
        </w:rPr>
        <w:fldChar w:fldCharType="end"/>
      </w:r>
      <w:bookmarkEnd w:id="197"/>
      <w:bookmarkEnd w:id="198"/>
    </w:p>
    <w:p w14:paraId="2893B849">
      <w:pPr>
        <w:pStyle w:val="2"/>
        <w:numPr>
          <w:ilvl w:val="0"/>
          <w:numId w:val="0"/>
        </w:numPr>
        <w:bidi w:val="0"/>
        <w:outlineLvl w:val="0"/>
        <w:rPr>
          <w:rFonts w:hint="default" w:ascii="Calibri" w:hAnsi="Calibri" w:cs="Calibri"/>
          <w:sz w:val="24"/>
          <w:szCs w:val="24"/>
          <w:lang w:val="en-GB" w:eastAsia="zh-CN"/>
        </w:rPr>
      </w:pPr>
    </w:p>
    <w:p w14:paraId="502CEDB1">
      <w:pPr>
        <w:rPr>
          <w:rFonts w:hint="default" w:ascii="Calibri" w:hAnsi="Calibri" w:cs="Calibri"/>
          <w:sz w:val="24"/>
          <w:szCs w:val="24"/>
          <w:lang w:val="en-GB" w:eastAsia="zh-CN"/>
        </w:rPr>
      </w:pPr>
    </w:p>
    <w:p w14:paraId="4437ACF6">
      <w:pPr>
        <w:rPr>
          <w:rFonts w:hint="default" w:ascii="Calibri" w:hAnsi="Calibri" w:cs="Calibri"/>
          <w:sz w:val="24"/>
          <w:szCs w:val="24"/>
          <w:lang w:val="en-GB" w:eastAsia="zh-CN"/>
        </w:rPr>
      </w:pPr>
    </w:p>
    <w:p w14:paraId="1865BD45">
      <w:pPr>
        <w:rPr>
          <w:rFonts w:hint="default" w:ascii="Calibri" w:hAnsi="Calibri" w:cs="Calibri"/>
          <w:sz w:val="24"/>
          <w:szCs w:val="24"/>
          <w:lang w:val="en-GB" w:eastAsia="zh-CN"/>
        </w:rPr>
      </w:pPr>
    </w:p>
    <w:p w14:paraId="12F1053B">
      <w:pPr>
        <w:rPr>
          <w:rFonts w:hint="default" w:ascii="Calibri" w:hAnsi="Calibri" w:cs="Calibri"/>
          <w:sz w:val="24"/>
          <w:szCs w:val="24"/>
          <w:lang w:val="en-GB" w:eastAsia="zh-CN"/>
        </w:rPr>
      </w:pPr>
    </w:p>
    <w:p w14:paraId="045DA62B">
      <w:pPr>
        <w:rPr>
          <w:rFonts w:hint="default" w:ascii="Calibri" w:hAnsi="Calibri" w:cs="Calibri"/>
          <w:sz w:val="24"/>
          <w:szCs w:val="24"/>
          <w:lang w:val="en-GB" w:eastAsia="zh-CN"/>
        </w:rPr>
      </w:pPr>
    </w:p>
    <w:p w14:paraId="0E7A584B">
      <w:pPr>
        <w:rPr>
          <w:rFonts w:hint="default" w:ascii="Calibri" w:hAnsi="Calibri" w:cs="Calibri"/>
          <w:sz w:val="24"/>
          <w:szCs w:val="24"/>
          <w:lang w:val="en-GB" w:eastAsia="zh-CN"/>
        </w:rPr>
      </w:pPr>
    </w:p>
    <w:p w14:paraId="66D3EC31">
      <w:pPr>
        <w:rPr>
          <w:rFonts w:hint="default" w:ascii="Calibri" w:hAnsi="Calibri" w:cs="Calibri"/>
          <w:sz w:val="24"/>
          <w:szCs w:val="24"/>
          <w:lang w:val="en-GB" w:eastAsia="zh-CN"/>
        </w:rPr>
      </w:pPr>
    </w:p>
    <w:p w14:paraId="268EEA62">
      <w:pPr>
        <w:rPr>
          <w:rFonts w:hint="default" w:ascii="Calibri" w:hAnsi="Calibri" w:cs="Calibri"/>
          <w:sz w:val="24"/>
          <w:szCs w:val="24"/>
          <w:lang w:val="en-GB" w:eastAsia="zh-CN"/>
        </w:rPr>
      </w:pPr>
    </w:p>
    <w:p w14:paraId="2C722763">
      <w:pPr>
        <w:rPr>
          <w:rFonts w:hint="default" w:ascii="Calibri" w:hAnsi="Calibri" w:cs="Calibri"/>
          <w:sz w:val="24"/>
          <w:szCs w:val="24"/>
          <w:lang w:val="en-GB" w:eastAsia="zh-CN"/>
        </w:rPr>
      </w:pPr>
    </w:p>
    <w:p w14:paraId="247495AA">
      <w:pPr>
        <w:rPr>
          <w:rFonts w:hint="default" w:ascii="Calibri" w:hAnsi="Calibri" w:cs="Calibri"/>
          <w:sz w:val="24"/>
          <w:szCs w:val="24"/>
          <w:lang w:val="en-GB" w:eastAsia="zh-CN"/>
        </w:rPr>
      </w:pPr>
    </w:p>
    <w:p w14:paraId="05E032AC">
      <w:pPr>
        <w:rPr>
          <w:rFonts w:hint="default" w:ascii="Calibri" w:hAnsi="Calibri" w:cs="Calibri"/>
          <w:sz w:val="24"/>
          <w:szCs w:val="24"/>
          <w:lang w:val="en-GB" w:eastAsia="zh-CN"/>
        </w:rPr>
      </w:pPr>
    </w:p>
    <w:p w14:paraId="0F1F06C3">
      <w:pPr>
        <w:rPr>
          <w:rFonts w:hint="default" w:ascii="Calibri" w:hAnsi="Calibri" w:cs="Calibri"/>
          <w:sz w:val="24"/>
          <w:szCs w:val="24"/>
          <w:lang w:val="en-GB" w:eastAsia="zh-CN"/>
        </w:rPr>
      </w:pPr>
    </w:p>
    <w:p w14:paraId="5817311D">
      <w:pPr>
        <w:rPr>
          <w:rFonts w:hint="default" w:ascii="Calibri" w:hAnsi="Calibri" w:cs="Calibri"/>
          <w:sz w:val="24"/>
          <w:szCs w:val="24"/>
          <w:lang w:val="en-GB" w:eastAsia="zh-CN"/>
        </w:rPr>
      </w:pPr>
    </w:p>
    <w:p w14:paraId="080279D2">
      <w:pPr>
        <w:rPr>
          <w:rFonts w:hint="default" w:ascii="Calibri" w:hAnsi="Calibri" w:cs="Calibri"/>
          <w:sz w:val="24"/>
          <w:szCs w:val="24"/>
          <w:lang w:val="en-GB" w:eastAsia="zh-CN"/>
        </w:rPr>
      </w:pPr>
    </w:p>
    <w:p w14:paraId="0A87AD40">
      <w:pPr>
        <w:rPr>
          <w:rFonts w:hint="default" w:ascii="Calibri" w:hAnsi="Calibri" w:cs="Calibri"/>
          <w:sz w:val="24"/>
          <w:szCs w:val="24"/>
          <w:lang w:val="en-GB" w:eastAsia="zh-CN"/>
        </w:rPr>
      </w:pPr>
    </w:p>
    <w:p w14:paraId="1E0164F3">
      <w:pPr>
        <w:rPr>
          <w:rFonts w:hint="default" w:ascii="Calibri" w:hAnsi="Calibri" w:cs="Calibri"/>
          <w:sz w:val="24"/>
          <w:szCs w:val="24"/>
          <w:lang w:val="en-GB" w:eastAsia="zh-CN"/>
        </w:rPr>
      </w:pPr>
    </w:p>
    <w:p w14:paraId="149FAD86">
      <w:pPr>
        <w:rPr>
          <w:rFonts w:hint="default" w:ascii="Calibri" w:hAnsi="Calibri" w:cs="Calibri"/>
          <w:sz w:val="24"/>
          <w:szCs w:val="24"/>
          <w:lang w:val="en-GB" w:eastAsia="zh-CN"/>
        </w:rPr>
      </w:pPr>
    </w:p>
    <w:p w14:paraId="7A9A5E64">
      <w:pPr>
        <w:rPr>
          <w:rFonts w:hint="default" w:ascii="Calibri" w:hAnsi="Calibri" w:cs="Calibri"/>
          <w:sz w:val="24"/>
          <w:szCs w:val="24"/>
          <w:lang w:val="en-GB" w:eastAsia="zh-CN"/>
        </w:rPr>
      </w:pPr>
    </w:p>
    <w:p w14:paraId="0D2C82BA">
      <w:pPr>
        <w:rPr>
          <w:rFonts w:hint="default" w:ascii="Calibri" w:hAnsi="Calibri" w:cs="Calibri"/>
          <w:sz w:val="24"/>
          <w:szCs w:val="24"/>
          <w:lang w:val="en-GB" w:eastAsia="zh-CN"/>
        </w:rPr>
      </w:pPr>
    </w:p>
    <w:p w14:paraId="7B17A6C3">
      <w:pPr>
        <w:rPr>
          <w:rFonts w:hint="default" w:ascii="Calibri" w:hAnsi="Calibri" w:cs="Calibri"/>
          <w:sz w:val="24"/>
          <w:szCs w:val="24"/>
          <w:lang w:val="en-GB" w:eastAsia="zh-CN"/>
        </w:rPr>
      </w:pPr>
    </w:p>
    <w:p w14:paraId="79601C45">
      <w:pPr>
        <w:rPr>
          <w:rFonts w:hint="default" w:ascii="Calibri" w:hAnsi="Calibri" w:cs="Calibri"/>
          <w:sz w:val="24"/>
          <w:szCs w:val="24"/>
          <w:lang w:val="en-GB" w:eastAsia="zh-CN"/>
        </w:rPr>
      </w:pPr>
    </w:p>
    <w:p w14:paraId="6779119F">
      <w:pPr>
        <w:rPr>
          <w:rFonts w:hint="default" w:ascii="Calibri" w:hAnsi="Calibri" w:cs="Calibri"/>
          <w:sz w:val="24"/>
          <w:szCs w:val="24"/>
          <w:lang w:val="en-GB" w:eastAsia="zh-CN"/>
        </w:rPr>
      </w:pPr>
    </w:p>
    <w:p w14:paraId="16A7A8D3">
      <w:pPr>
        <w:rPr>
          <w:rFonts w:hint="default" w:ascii="Calibri" w:hAnsi="Calibri" w:cs="Calibri"/>
          <w:sz w:val="24"/>
          <w:szCs w:val="24"/>
          <w:lang w:val="en-GB" w:eastAsia="zh-CN"/>
        </w:rPr>
      </w:pPr>
    </w:p>
    <w:p w14:paraId="1E044AAF">
      <w:pPr>
        <w:rPr>
          <w:rFonts w:hint="default" w:ascii="Calibri" w:hAnsi="Calibri" w:cs="Calibri"/>
          <w:sz w:val="24"/>
          <w:szCs w:val="24"/>
          <w:lang w:val="en-GB" w:eastAsia="zh-CN"/>
        </w:rPr>
      </w:pPr>
    </w:p>
    <w:p w14:paraId="3DC3E0AA">
      <w:pPr>
        <w:rPr>
          <w:rFonts w:hint="default" w:ascii="Calibri" w:hAnsi="Calibri" w:cs="Calibri"/>
          <w:sz w:val="24"/>
          <w:szCs w:val="24"/>
          <w:lang w:val="en-GB" w:eastAsia="zh-CN"/>
        </w:rPr>
      </w:pPr>
    </w:p>
    <w:p w14:paraId="70EC37E7">
      <w:pPr>
        <w:rPr>
          <w:rFonts w:hint="default" w:ascii="Calibri" w:hAnsi="Calibri" w:cs="Calibri"/>
          <w:sz w:val="24"/>
          <w:szCs w:val="24"/>
          <w:lang w:val="en-GB" w:eastAsia="zh-CN"/>
        </w:rPr>
      </w:pPr>
    </w:p>
    <w:p w14:paraId="3565CD4A">
      <w:pPr>
        <w:rPr>
          <w:rFonts w:hint="default" w:ascii="Calibri" w:hAnsi="Calibri" w:cs="Calibri"/>
          <w:sz w:val="24"/>
          <w:szCs w:val="24"/>
          <w:lang w:val="en-GB" w:eastAsia="zh-CN"/>
        </w:rPr>
      </w:pPr>
    </w:p>
    <w:p w14:paraId="32C87736">
      <w:pPr>
        <w:rPr>
          <w:rFonts w:hint="default" w:ascii="Calibri" w:hAnsi="Calibri" w:cs="Calibri"/>
          <w:sz w:val="24"/>
          <w:szCs w:val="24"/>
          <w:lang w:val="en-GB" w:eastAsia="zh-CN"/>
        </w:rPr>
      </w:pPr>
    </w:p>
    <w:p w14:paraId="649C4F6B">
      <w:pPr>
        <w:rPr>
          <w:rFonts w:hint="default" w:ascii="Calibri" w:hAnsi="Calibri" w:cs="Calibri"/>
          <w:sz w:val="24"/>
          <w:szCs w:val="24"/>
          <w:lang w:val="en-GB" w:eastAsia="zh-CN"/>
        </w:rPr>
      </w:pPr>
    </w:p>
    <w:p w14:paraId="3E8E6CCA">
      <w:pPr>
        <w:rPr>
          <w:rFonts w:hint="default" w:ascii="Calibri" w:hAnsi="Calibri" w:cs="Calibri"/>
          <w:sz w:val="24"/>
          <w:szCs w:val="24"/>
          <w:lang w:val="en-GB" w:eastAsia="zh-CN"/>
        </w:rPr>
      </w:pPr>
    </w:p>
    <w:p w14:paraId="4978175D">
      <w:pPr>
        <w:rPr>
          <w:rFonts w:hint="default" w:ascii="Calibri" w:hAnsi="Calibri" w:cs="Calibri"/>
          <w:sz w:val="24"/>
          <w:szCs w:val="24"/>
          <w:lang w:val="en-GB" w:eastAsia="zh-CN"/>
        </w:rPr>
      </w:pPr>
    </w:p>
    <w:p w14:paraId="3CDB4F9E">
      <w:pPr>
        <w:rPr>
          <w:rFonts w:hint="default" w:ascii="Calibri" w:hAnsi="Calibri" w:cs="Calibri"/>
          <w:sz w:val="24"/>
          <w:szCs w:val="24"/>
          <w:lang w:val="en-GB" w:eastAsia="zh-CN"/>
        </w:rPr>
      </w:pPr>
    </w:p>
    <w:p w14:paraId="317162D3">
      <w:pPr>
        <w:rPr>
          <w:rFonts w:hint="default" w:ascii="Calibri" w:hAnsi="Calibri" w:cs="Calibri"/>
          <w:sz w:val="24"/>
          <w:szCs w:val="24"/>
          <w:lang w:val="en-GB" w:eastAsia="zh-CN"/>
        </w:rPr>
      </w:pPr>
    </w:p>
    <w:p w14:paraId="20EF2007">
      <w:pPr>
        <w:rPr>
          <w:rFonts w:hint="default" w:ascii="Calibri" w:hAnsi="Calibri" w:cs="Calibri"/>
          <w:sz w:val="24"/>
          <w:szCs w:val="24"/>
          <w:lang w:val="en-GB" w:eastAsia="zh-CN"/>
        </w:rPr>
      </w:pPr>
    </w:p>
    <w:p w14:paraId="4801D233">
      <w:pPr>
        <w:rPr>
          <w:rFonts w:hint="default" w:ascii="Calibri" w:hAnsi="Calibri" w:cs="Calibri"/>
          <w:sz w:val="24"/>
          <w:szCs w:val="24"/>
          <w:lang w:val="en-GB" w:eastAsia="zh-CN"/>
        </w:rPr>
      </w:pPr>
    </w:p>
    <w:p w14:paraId="455F5141">
      <w:pPr>
        <w:rPr>
          <w:rFonts w:hint="default" w:ascii="Calibri" w:hAnsi="Calibri" w:cs="Calibri"/>
          <w:sz w:val="24"/>
          <w:szCs w:val="24"/>
          <w:lang w:val="en-GB" w:eastAsia="zh-CN"/>
        </w:rPr>
      </w:pPr>
    </w:p>
    <w:p w14:paraId="620E3DF6">
      <w:pPr>
        <w:rPr>
          <w:rFonts w:hint="default" w:ascii="Calibri" w:hAnsi="Calibri" w:cs="Calibri"/>
          <w:sz w:val="24"/>
          <w:szCs w:val="24"/>
          <w:lang w:val="en-GB" w:eastAsia="zh-CN"/>
        </w:rPr>
      </w:pPr>
    </w:p>
    <w:p w14:paraId="4BAC5F8B">
      <w:pPr>
        <w:rPr>
          <w:rFonts w:hint="default" w:ascii="Calibri" w:hAnsi="Calibri" w:cs="Calibri"/>
          <w:sz w:val="24"/>
          <w:szCs w:val="24"/>
          <w:lang w:val="en-GB" w:eastAsia="zh-CN"/>
        </w:rPr>
      </w:pPr>
    </w:p>
    <w:p w14:paraId="2A58B18A">
      <w:pPr>
        <w:rPr>
          <w:rFonts w:hint="default" w:ascii="Calibri" w:hAnsi="Calibri" w:cs="Calibri"/>
          <w:sz w:val="24"/>
          <w:szCs w:val="24"/>
          <w:lang w:val="en-GB" w:eastAsia="zh-CN"/>
        </w:rPr>
      </w:pPr>
    </w:p>
    <w:p w14:paraId="165CB825">
      <w:pPr>
        <w:rPr>
          <w:rFonts w:hint="default" w:ascii="Calibri" w:hAnsi="Calibri" w:cs="Calibri"/>
          <w:sz w:val="24"/>
          <w:szCs w:val="24"/>
          <w:lang w:val="en-GB" w:eastAsia="zh-CN"/>
        </w:rPr>
      </w:pPr>
    </w:p>
    <w:p w14:paraId="5D880A90">
      <w:pPr>
        <w:pStyle w:val="2"/>
        <w:numPr>
          <w:ilvl w:val="0"/>
          <w:numId w:val="1"/>
        </w:numPr>
        <w:bidi w:val="0"/>
        <w:rPr>
          <w:rFonts w:hint="default" w:ascii="Calibri" w:hAnsi="Calibri" w:cs="Calibri"/>
          <w:sz w:val="24"/>
          <w:szCs w:val="24"/>
          <w:lang w:val="en-GB" w:eastAsia="zh-CN"/>
        </w:rPr>
      </w:pPr>
      <w:bookmarkStart w:id="199" w:name="_Toc21018"/>
      <w:bookmarkStart w:id="200" w:name="_Toc30194"/>
      <w:r>
        <w:rPr>
          <w:rFonts w:hint="default" w:ascii="Calibri" w:hAnsi="Calibri" w:cs="Calibri"/>
          <w:sz w:val="24"/>
          <w:szCs w:val="24"/>
          <w:lang w:val="en-GB" w:eastAsia="zh-CN"/>
        </w:rPr>
        <w:t>Annexures</w:t>
      </w:r>
      <w:bookmarkEnd w:id="199"/>
      <w:bookmarkEnd w:id="200"/>
    </w:p>
    <w:tbl>
      <w:tblPr>
        <w:tblW w:w="8540" w:type="dxa"/>
        <w:tblInd w:w="93" w:type="dxa"/>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Layout w:type="autofit"/>
        <w:tblCellMar>
          <w:top w:w="0" w:type="dxa"/>
          <w:left w:w="108" w:type="dxa"/>
          <w:bottom w:w="0" w:type="dxa"/>
          <w:right w:w="108" w:type="dxa"/>
        </w:tblCellMar>
      </w:tblPr>
      <w:tblGrid>
        <w:gridCol w:w="3389"/>
        <w:gridCol w:w="1026"/>
        <w:gridCol w:w="1048"/>
        <w:gridCol w:w="1026"/>
        <w:gridCol w:w="1026"/>
        <w:gridCol w:w="1025"/>
      </w:tblGrid>
      <w:tr w14:paraId="7114AC19">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310" w:hRule="atLeast"/>
        </w:trPr>
        <w:tc>
          <w:tcPr>
            <w:tcW w:w="8540" w:type="dxa"/>
            <w:gridSpan w:val="6"/>
            <w:tcBorders>
              <w:top w:val="single" w:color="000000" w:sz="4" w:space="0"/>
              <w:left w:val="single" w:color="000000" w:sz="4" w:space="0"/>
              <w:bottom w:val="single" w:color="000000" w:sz="4" w:space="0"/>
              <w:right w:val="single" w:color="000000" w:sz="4" w:space="0"/>
            </w:tcBorders>
            <w:shd w:val="clear" w:color="auto" w:fill="090170"/>
            <w:noWrap/>
            <w:vAlign w:val="bottom"/>
          </w:tcPr>
          <w:p w14:paraId="37FF594C">
            <w:pPr>
              <w:keepNext w:val="0"/>
              <w:keepLines w:val="0"/>
              <w:widowControl/>
              <w:suppressLineNumbers w:val="0"/>
              <w:jc w:val="center"/>
              <w:textAlignment w:val="bottom"/>
              <w:rPr>
                <w:rFonts w:ascii="Calibri" w:hAnsi="Calibri" w:cs="Calibri"/>
                <w:b/>
                <w:bCs/>
                <w:i w:val="0"/>
                <w:iCs w:val="0"/>
                <w:color w:val="FFFFFF"/>
                <w:sz w:val="22"/>
                <w:szCs w:val="22"/>
                <w:u w:val="none"/>
              </w:rPr>
            </w:pPr>
            <w:r>
              <w:rPr>
                <w:rFonts w:hint="default" w:ascii="Calibri" w:hAnsi="Calibri" w:eastAsia="SimSun" w:cs="Calibri"/>
                <w:b/>
                <w:bCs/>
                <w:i w:val="0"/>
                <w:iCs w:val="0"/>
                <w:color w:val="FFFFFF"/>
                <w:kern w:val="0"/>
                <w:sz w:val="22"/>
                <w:szCs w:val="22"/>
                <w:u w:val="none"/>
                <w:bdr w:val="none" w:color="auto" w:sz="0" w:space="0"/>
                <w:lang w:val="en-US" w:eastAsia="zh-CN" w:bidi="ar"/>
              </w:rPr>
              <w:t>Consolidated statement of operation - Tesla Inc.</w:t>
            </w:r>
          </w:p>
        </w:tc>
      </w:tr>
      <w:tr w14:paraId="6806B43E">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310" w:hRule="atLeast"/>
        </w:trPr>
        <w:tc>
          <w:tcPr>
            <w:tcW w:w="0" w:type="auto"/>
            <w:tcBorders>
              <w:top w:val="single" w:color="000000" w:sz="4" w:space="0"/>
              <w:left w:val="single" w:color="000000" w:sz="4" w:space="0"/>
              <w:bottom w:val="single" w:color="000000" w:sz="4" w:space="0"/>
              <w:right w:val="single" w:color="000000" w:sz="4" w:space="0"/>
            </w:tcBorders>
            <w:shd w:val="clear" w:color="auto" w:fill="090170"/>
            <w:noWrap/>
            <w:vAlign w:val="bottom"/>
          </w:tcPr>
          <w:p w14:paraId="7C34B7EA">
            <w:pPr>
              <w:keepNext w:val="0"/>
              <w:keepLines w:val="0"/>
              <w:widowControl/>
              <w:suppressLineNumbers w:val="0"/>
              <w:jc w:val="left"/>
              <w:textAlignment w:val="bottom"/>
              <w:rPr>
                <w:rFonts w:hint="default" w:ascii="Calibri" w:hAnsi="Calibri" w:cs="Calibri"/>
                <w:b/>
                <w:bCs/>
                <w:i w:val="0"/>
                <w:iCs w:val="0"/>
                <w:color w:val="FFFFFF"/>
                <w:sz w:val="22"/>
                <w:szCs w:val="22"/>
                <w:u w:val="none"/>
              </w:rPr>
            </w:pPr>
            <w:r>
              <w:rPr>
                <w:rFonts w:hint="default" w:ascii="Calibri" w:hAnsi="Calibri" w:eastAsia="SimSun" w:cs="Calibri"/>
                <w:b/>
                <w:bCs/>
                <w:i w:val="0"/>
                <w:iCs w:val="0"/>
                <w:color w:val="FFFFFF"/>
                <w:kern w:val="0"/>
                <w:sz w:val="22"/>
                <w:szCs w:val="22"/>
                <w:u w:val="none"/>
                <w:bdr w:val="none" w:color="auto" w:sz="0" w:space="0"/>
                <w:lang w:val="en-US" w:eastAsia="zh-CN" w:bidi="ar"/>
              </w:rPr>
              <w:t>Particulers</w:t>
            </w:r>
          </w:p>
        </w:tc>
        <w:tc>
          <w:tcPr>
            <w:tcW w:w="0" w:type="auto"/>
            <w:tcBorders>
              <w:top w:val="single" w:color="000000" w:sz="4" w:space="0"/>
              <w:left w:val="single" w:color="000000" w:sz="4" w:space="0"/>
              <w:bottom w:val="single" w:color="000000" w:sz="4" w:space="0"/>
              <w:right w:val="single" w:color="000000" w:sz="4" w:space="0"/>
            </w:tcBorders>
            <w:shd w:val="clear" w:color="auto" w:fill="090170"/>
            <w:noWrap/>
            <w:vAlign w:val="bottom"/>
          </w:tcPr>
          <w:p w14:paraId="0A84FB2D">
            <w:pPr>
              <w:keepNext w:val="0"/>
              <w:keepLines w:val="0"/>
              <w:widowControl/>
              <w:suppressLineNumbers w:val="0"/>
              <w:jc w:val="right"/>
              <w:textAlignment w:val="bottom"/>
              <w:rPr>
                <w:rFonts w:hint="default" w:ascii="Calibri" w:hAnsi="Calibri" w:cs="Calibri"/>
                <w:b/>
                <w:bCs/>
                <w:i w:val="0"/>
                <w:iCs w:val="0"/>
                <w:color w:val="FFFFFF"/>
                <w:sz w:val="22"/>
                <w:szCs w:val="22"/>
                <w:u w:val="none"/>
              </w:rPr>
            </w:pPr>
            <w:r>
              <w:rPr>
                <w:rFonts w:hint="default" w:ascii="Calibri" w:hAnsi="Calibri" w:eastAsia="SimSun" w:cs="Calibri"/>
                <w:b/>
                <w:bCs/>
                <w:i w:val="0"/>
                <w:iCs w:val="0"/>
                <w:color w:val="FFFFFF"/>
                <w:kern w:val="0"/>
                <w:sz w:val="22"/>
                <w:szCs w:val="22"/>
                <w:u w:val="none"/>
                <w:bdr w:val="none" w:color="auto" w:sz="0" w:space="0"/>
                <w:lang w:val="en-US" w:eastAsia="zh-CN" w:bidi="ar"/>
              </w:rPr>
              <w:t>2024</w:t>
            </w:r>
          </w:p>
        </w:tc>
        <w:tc>
          <w:tcPr>
            <w:tcW w:w="0" w:type="auto"/>
            <w:tcBorders>
              <w:top w:val="single" w:color="000000" w:sz="4" w:space="0"/>
              <w:left w:val="single" w:color="000000" w:sz="4" w:space="0"/>
              <w:bottom w:val="single" w:color="000000" w:sz="4" w:space="0"/>
              <w:right w:val="single" w:color="000000" w:sz="4" w:space="0"/>
            </w:tcBorders>
            <w:shd w:val="clear" w:color="auto" w:fill="090170"/>
            <w:noWrap/>
            <w:vAlign w:val="bottom"/>
          </w:tcPr>
          <w:p w14:paraId="3D48A821">
            <w:pPr>
              <w:keepNext w:val="0"/>
              <w:keepLines w:val="0"/>
              <w:widowControl/>
              <w:suppressLineNumbers w:val="0"/>
              <w:jc w:val="right"/>
              <w:textAlignment w:val="bottom"/>
              <w:rPr>
                <w:rFonts w:hint="default" w:ascii="Calibri" w:hAnsi="Calibri" w:cs="Calibri"/>
                <w:b/>
                <w:bCs/>
                <w:i w:val="0"/>
                <w:iCs w:val="0"/>
                <w:color w:val="FFFFFF"/>
                <w:sz w:val="22"/>
                <w:szCs w:val="22"/>
                <w:u w:val="none"/>
              </w:rPr>
            </w:pPr>
            <w:r>
              <w:rPr>
                <w:rFonts w:hint="default" w:ascii="Calibri" w:hAnsi="Calibri" w:eastAsia="SimSun" w:cs="Calibri"/>
                <w:b/>
                <w:bCs/>
                <w:i w:val="0"/>
                <w:iCs w:val="0"/>
                <w:color w:val="FFFFFF"/>
                <w:kern w:val="0"/>
                <w:sz w:val="22"/>
                <w:szCs w:val="22"/>
                <w:u w:val="none"/>
                <w:bdr w:val="none" w:color="auto" w:sz="0" w:space="0"/>
                <w:lang w:val="en-US" w:eastAsia="zh-CN" w:bidi="ar"/>
              </w:rPr>
              <w:t>2023</w:t>
            </w:r>
          </w:p>
        </w:tc>
        <w:tc>
          <w:tcPr>
            <w:tcW w:w="0" w:type="auto"/>
            <w:tcBorders>
              <w:top w:val="single" w:color="000000" w:sz="4" w:space="0"/>
              <w:left w:val="single" w:color="000000" w:sz="4" w:space="0"/>
              <w:bottom w:val="single" w:color="000000" w:sz="4" w:space="0"/>
              <w:right w:val="single" w:color="000000" w:sz="4" w:space="0"/>
            </w:tcBorders>
            <w:shd w:val="clear" w:color="auto" w:fill="090170"/>
            <w:noWrap/>
            <w:vAlign w:val="bottom"/>
          </w:tcPr>
          <w:p w14:paraId="3A3442E4">
            <w:pPr>
              <w:keepNext w:val="0"/>
              <w:keepLines w:val="0"/>
              <w:widowControl/>
              <w:suppressLineNumbers w:val="0"/>
              <w:jc w:val="right"/>
              <w:textAlignment w:val="bottom"/>
              <w:rPr>
                <w:rFonts w:hint="default" w:ascii="Calibri" w:hAnsi="Calibri" w:cs="Calibri"/>
                <w:b/>
                <w:bCs/>
                <w:i w:val="0"/>
                <w:iCs w:val="0"/>
                <w:color w:val="FFFFFF"/>
                <w:sz w:val="22"/>
                <w:szCs w:val="22"/>
                <w:u w:val="none"/>
              </w:rPr>
            </w:pPr>
            <w:r>
              <w:rPr>
                <w:rFonts w:hint="default" w:ascii="Calibri" w:hAnsi="Calibri" w:eastAsia="SimSun" w:cs="Calibri"/>
                <w:b/>
                <w:bCs/>
                <w:i w:val="0"/>
                <w:iCs w:val="0"/>
                <w:color w:val="FFFFFF"/>
                <w:kern w:val="0"/>
                <w:sz w:val="22"/>
                <w:szCs w:val="22"/>
                <w:u w:val="none"/>
                <w:bdr w:val="none" w:color="auto" w:sz="0" w:space="0"/>
                <w:lang w:val="en-US" w:eastAsia="zh-CN" w:bidi="ar"/>
              </w:rPr>
              <w:t>2022</w:t>
            </w:r>
          </w:p>
        </w:tc>
        <w:tc>
          <w:tcPr>
            <w:tcW w:w="0" w:type="auto"/>
            <w:tcBorders>
              <w:top w:val="single" w:color="000000" w:sz="4" w:space="0"/>
              <w:left w:val="single" w:color="000000" w:sz="4" w:space="0"/>
              <w:bottom w:val="single" w:color="000000" w:sz="4" w:space="0"/>
              <w:right w:val="single" w:color="000000" w:sz="4" w:space="0"/>
            </w:tcBorders>
            <w:shd w:val="clear" w:color="auto" w:fill="090170"/>
            <w:noWrap/>
            <w:vAlign w:val="bottom"/>
          </w:tcPr>
          <w:p w14:paraId="5AF3B989">
            <w:pPr>
              <w:keepNext w:val="0"/>
              <w:keepLines w:val="0"/>
              <w:widowControl/>
              <w:suppressLineNumbers w:val="0"/>
              <w:jc w:val="right"/>
              <w:textAlignment w:val="bottom"/>
              <w:rPr>
                <w:rFonts w:hint="default" w:ascii="Calibri" w:hAnsi="Calibri" w:cs="Calibri"/>
                <w:b/>
                <w:bCs/>
                <w:i w:val="0"/>
                <w:iCs w:val="0"/>
                <w:color w:val="FFFFFF"/>
                <w:sz w:val="22"/>
                <w:szCs w:val="22"/>
                <w:u w:val="none"/>
              </w:rPr>
            </w:pPr>
            <w:r>
              <w:rPr>
                <w:rFonts w:hint="default" w:ascii="Calibri" w:hAnsi="Calibri" w:eastAsia="SimSun" w:cs="Calibri"/>
                <w:b/>
                <w:bCs/>
                <w:i w:val="0"/>
                <w:iCs w:val="0"/>
                <w:color w:val="FFFFFF"/>
                <w:kern w:val="0"/>
                <w:sz w:val="22"/>
                <w:szCs w:val="22"/>
                <w:u w:val="none"/>
                <w:bdr w:val="none" w:color="auto" w:sz="0" w:space="0"/>
                <w:lang w:val="en-US" w:eastAsia="zh-CN" w:bidi="ar"/>
              </w:rPr>
              <w:t>2021</w:t>
            </w:r>
          </w:p>
        </w:tc>
        <w:tc>
          <w:tcPr>
            <w:tcW w:w="0" w:type="auto"/>
            <w:tcBorders>
              <w:top w:val="single" w:color="000000" w:sz="4" w:space="0"/>
              <w:left w:val="single" w:color="000000" w:sz="4" w:space="0"/>
              <w:bottom w:val="single" w:color="000000" w:sz="4" w:space="0"/>
              <w:right w:val="single" w:color="000000" w:sz="4" w:space="0"/>
            </w:tcBorders>
            <w:shd w:val="clear" w:color="auto" w:fill="090170"/>
            <w:noWrap/>
            <w:vAlign w:val="bottom"/>
          </w:tcPr>
          <w:p w14:paraId="7B91B564">
            <w:pPr>
              <w:keepNext w:val="0"/>
              <w:keepLines w:val="0"/>
              <w:widowControl/>
              <w:suppressLineNumbers w:val="0"/>
              <w:jc w:val="right"/>
              <w:textAlignment w:val="bottom"/>
              <w:rPr>
                <w:rFonts w:hint="default" w:ascii="Calibri" w:hAnsi="Calibri" w:cs="Calibri"/>
                <w:b/>
                <w:bCs/>
                <w:i w:val="0"/>
                <w:iCs w:val="0"/>
                <w:color w:val="FFFFFF"/>
                <w:sz w:val="22"/>
                <w:szCs w:val="22"/>
                <w:u w:val="none"/>
              </w:rPr>
            </w:pPr>
            <w:r>
              <w:rPr>
                <w:rFonts w:hint="default" w:ascii="Calibri" w:hAnsi="Calibri" w:eastAsia="SimSun" w:cs="Calibri"/>
                <w:b/>
                <w:bCs/>
                <w:i w:val="0"/>
                <w:iCs w:val="0"/>
                <w:color w:val="FFFFFF"/>
                <w:kern w:val="0"/>
                <w:sz w:val="22"/>
                <w:szCs w:val="22"/>
                <w:u w:val="none"/>
                <w:bdr w:val="none" w:color="auto" w:sz="0" w:space="0"/>
                <w:lang w:val="en-US" w:eastAsia="zh-CN" w:bidi="ar"/>
              </w:rPr>
              <w:t>2020</w:t>
            </w:r>
          </w:p>
        </w:tc>
      </w:tr>
      <w:tr w14:paraId="6177617B">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310" w:hRule="atLeast"/>
        </w:trPr>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68F63997">
            <w:pPr>
              <w:keepNext w:val="0"/>
              <w:keepLines w:val="0"/>
              <w:widowControl/>
              <w:suppressLineNumbers w:val="0"/>
              <w:jc w:val="lef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Automotive Sales</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0CD87BC9">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72,480.0</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0BB8372B">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78,509.0</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261A4027">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67,210.0</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7AA550F3">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44,125.0</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11A0DB6E">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24,604.0</w:t>
            </w:r>
          </w:p>
        </w:tc>
      </w:tr>
      <w:tr w14:paraId="19F24FEC">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310" w:hRule="atLeast"/>
        </w:trPr>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70594A08">
            <w:pPr>
              <w:keepNext w:val="0"/>
              <w:keepLines w:val="0"/>
              <w:widowControl/>
              <w:suppressLineNumbers w:val="0"/>
              <w:jc w:val="lef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Automotive regulatory credits</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6B4633CF">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2,763.0</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66213E52">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1,790.0</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66469040">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1,776.0</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61124AA3">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1,465.0</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0F582A38">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1,580.0</w:t>
            </w:r>
          </w:p>
        </w:tc>
      </w:tr>
      <w:tr w14:paraId="0E1140B2">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310" w:hRule="atLeast"/>
        </w:trPr>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29DD5B00">
            <w:pPr>
              <w:keepNext w:val="0"/>
              <w:keepLines w:val="0"/>
              <w:widowControl/>
              <w:suppressLineNumbers w:val="0"/>
              <w:jc w:val="lef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Automotive leasing</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0034260B">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1,827.0</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39495AE7">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2,120.0</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1C884590">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2,476.0</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4B7E72C2">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1,642.0</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667BE77C">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1,052.0</w:t>
            </w:r>
          </w:p>
        </w:tc>
      </w:tr>
      <w:tr w14:paraId="49E154D4">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310" w:hRule="atLeast"/>
        </w:trPr>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3D24DE16">
            <w:pPr>
              <w:keepNext w:val="0"/>
              <w:keepLines w:val="0"/>
              <w:widowControl/>
              <w:suppressLineNumbers w:val="0"/>
              <w:jc w:val="lef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Total Automotive Revanues</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122B2943">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77,070.0</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561FDE47">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82,419.0</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7B42687A">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71,462.0</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4A91B8F3">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47,232.0</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17F41751">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27,236.0</w:t>
            </w:r>
          </w:p>
        </w:tc>
      </w:tr>
      <w:tr w14:paraId="11AB55A9">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310" w:hRule="atLeast"/>
        </w:trPr>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780C5C33">
            <w:pPr>
              <w:keepNext w:val="0"/>
              <w:keepLines w:val="0"/>
              <w:widowControl/>
              <w:suppressLineNumbers w:val="0"/>
              <w:jc w:val="lef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Energy generation and storage</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781BB1E9">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10,086.0</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6060A004">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6,035.0</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4D192900">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3,909.0</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06EFBC25">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2,789.0</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4552DAC3">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1,994.0</w:t>
            </w:r>
          </w:p>
        </w:tc>
      </w:tr>
      <w:tr w14:paraId="6C9CBDC2">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310" w:hRule="atLeast"/>
        </w:trPr>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4E10AF88">
            <w:pPr>
              <w:keepNext w:val="0"/>
              <w:keepLines w:val="0"/>
              <w:widowControl/>
              <w:suppressLineNumbers w:val="0"/>
              <w:jc w:val="lef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Service and Others</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418EBF4F">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10,534.0</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145E9E25">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8,319.0</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7306568A">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6,091.0</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2E2652A3">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3,802.0</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62C7E877">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2,306.0</w:t>
            </w:r>
          </w:p>
        </w:tc>
      </w:tr>
      <w:tr w14:paraId="1F582179">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310" w:hRule="atLeast"/>
        </w:trPr>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6499E651">
            <w:pPr>
              <w:keepNext w:val="0"/>
              <w:keepLines w:val="0"/>
              <w:widowControl/>
              <w:suppressLineNumbers w:val="0"/>
              <w:jc w:val="lef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Total Revenue</w:t>
            </w:r>
          </w:p>
        </w:tc>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4DC76575">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97,690.0</w:t>
            </w:r>
          </w:p>
        </w:tc>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4715EDDB">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96,773.0</w:t>
            </w:r>
          </w:p>
        </w:tc>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743F4E9E">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81,462.0</w:t>
            </w:r>
          </w:p>
        </w:tc>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3B886F46">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53,823.0</w:t>
            </w:r>
          </w:p>
        </w:tc>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1C7AA1B4">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31,536.0</w:t>
            </w:r>
          </w:p>
        </w:tc>
      </w:tr>
      <w:tr w14:paraId="0326A58D">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310" w:hRule="atLeast"/>
        </w:trPr>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5912C2C4">
            <w:pPr>
              <w:keepNext w:val="0"/>
              <w:keepLines w:val="0"/>
              <w:widowControl/>
              <w:suppressLineNumbers w:val="0"/>
              <w:jc w:val="lef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Automotive  Sales</w:t>
            </w:r>
          </w:p>
        </w:tc>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4375CE96">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61,870.0</w:t>
            </w:r>
          </w:p>
        </w:tc>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0DD49AAC">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65,121.0</w:t>
            </w:r>
          </w:p>
        </w:tc>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107A45D4">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49,599.0</w:t>
            </w:r>
          </w:p>
        </w:tc>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75006F51">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32,419.0</w:t>
            </w:r>
          </w:p>
        </w:tc>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3DB06F0E">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19,696.0</w:t>
            </w:r>
          </w:p>
        </w:tc>
      </w:tr>
      <w:tr w14:paraId="3A5BEF27">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310" w:hRule="atLeast"/>
        </w:trPr>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483D50EE">
            <w:pPr>
              <w:keepNext w:val="0"/>
              <w:keepLines w:val="0"/>
              <w:widowControl/>
              <w:suppressLineNumbers w:val="0"/>
              <w:jc w:val="lef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Autpmotive leasing</w:t>
            </w:r>
          </w:p>
        </w:tc>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5B84315F">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1,003.0</w:t>
            </w:r>
          </w:p>
        </w:tc>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0ADC9517">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1,268.0</w:t>
            </w:r>
          </w:p>
        </w:tc>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12A0DFE0">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1,509.0</w:t>
            </w:r>
          </w:p>
        </w:tc>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03704613">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978.0</w:t>
            </w:r>
          </w:p>
        </w:tc>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62FB87D3">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563.0</w:t>
            </w:r>
          </w:p>
        </w:tc>
      </w:tr>
      <w:tr w14:paraId="794ADB82">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310" w:hRule="atLeast"/>
        </w:trPr>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5E27297C">
            <w:pPr>
              <w:keepNext w:val="0"/>
              <w:keepLines w:val="0"/>
              <w:widowControl/>
              <w:suppressLineNumbers w:val="0"/>
              <w:jc w:val="lef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Total Automotive cost of ravanues</w:t>
            </w:r>
          </w:p>
        </w:tc>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38794C17">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62,873.0</w:t>
            </w:r>
          </w:p>
        </w:tc>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2029FC4F">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66,389.0</w:t>
            </w:r>
          </w:p>
        </w:tc>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3EDA378D">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51,108.0</w:t>
            </w:r>
          </w:p>
        </w:tc>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7DAAA367">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33,397.0</w:t>
            </w:r>
          </w:p>
        </w:tc>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29C09A41">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20,259.0</w:t>
            </w:r>
          </w:p>
        </w:tc>
      </w:tr>
      <w:tr w14:paraId="1C523971">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310" w:hRule="atLeast"/>
        </w:trPr>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3E3621AC">
            <w:pPr>
              <w:keepNext w:val="0"/>
              <w:keepLines w:val="0"/>
              <w:widowControl/>
              <w:suppressLineNumbers w:val="0"/>
              <w:jc w:val="lef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Engrgy generation and storage</w:t>
            </w:r>
          </w:p>
        </w:tc>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06964187">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7,446.0</w:t>
            </w:r>
          </w:p>
        </w:tc>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00A81D1E">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4,894.0</w:t>
            </w:r>
          </w:p>
        </w:tc>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03A29A07">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3,621.0</w:t>
            </w:r>
          </w:p>
        </w:tc>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161B9591">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2,918.0</w:t>
            </w:r>
          </w:p>
        </w:tc>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5A119094">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1,978.0</w:t>
            </w:r>
          </w:p>
        </w:tc>
      </w:tr>
      <w:tr w14:paraId="6239F4D7">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310" w:hRule="atLeast"/>
        </w:trPr>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496445FD">
            <w:pPr>
              <w:keepNext w:val="0"/>
              <w:keepLines w:val="0"/>
              <w:widowControl/>
              <w:suppressLineNumbers w:val="0"/>
              <w:jc w:val="lef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Service and Others</w:t>
            </w:r>
          </w:p>
        </w:tc>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32B53D25">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9,921.0</w:t>
            </w:r>
          </w:p>
        </w:tc>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1CB440E5">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7,830.0</w:t>
            </w:r>
          </w:p>
        </w:tc>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114916B9">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5,880.0</w:t>
            </w:r>
          </w:p>
        </w:tc>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57B8B088">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3,906.0</w:t>
            </w:r>
          </w:p>
        </w:tc>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1880083A">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2,671.0</w:t>
            </w:r>
          </w:p>
        </w:tc>
      </w:tr>
      <w:tr w14:paraId="2509DAF1">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310" w:hRule="atLeast"/>
        </w:trPr>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4428D653">
            <w:pPr>
              <w:keepNext w:val="0"/>
              <w:keepLines w:val="0"/>
              <w:widowControl/>
              <w:suppressLineNumbers w:val="0"/>
              <w:jc w:val="lef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Cost of Goods Sold</w:t>
            </w:r>
          </w:p>
        </w:tc>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37BBC17E">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80,240.0</w:t>
            </w:r>
          </w:p>
        </w:tc>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3999843D">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79,113.0</w:t>
            </w:r>
          </w:p>
        </w:tc>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74F5CCE9">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60,609.0</w:t>
            </w:r>
          </w:p>
        </w:tc>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4C872434">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40,221.0</w:t>
            </w:r>
          </w:p>
        </w:tc>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2B79B264">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24,908.0</w:t>
            </w:r>
          </w:p>
        </w:tc>
      </w:tr>
      <w:tr w14:paraId="07D6F288">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310" w:hRule="atLeast"/>
        </w:trPr>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1BEADDD8">
            <w:pPr>
              <w:keepNext w:val="0"/>
              <w:keepLines w:val="0"/>
              <w:widowControl/>
              <w:suppressLineNumbers w:val="0"/>
              <w:jc w:val="lef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Gross Profit</w:t>
            </w:r>
          </w:p>
        </w:tc>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36E99FFD">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17,450.0</w:t>
            </w:r>
          </w:p>
        </w:tc>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03A3930D">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17,660.0</w:t>
            </w:r>
          </w:p>
        </w:tc>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56481B65">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20,853.0</w:t>
            </w:r>
          </w:p>
        </w:tc>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7A3DDC6F">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13,602.0</w:t>
            </w:r>
          </w:p>
        </w:tc>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2F7A11B3">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6,628.0</w:t>
            </w:r>
          </w:p>
        </w:tc>
      </w:tr>
      <w:tr w14:paraId="51B0E13E">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310" w:hRule="atLeast"/>
        </w:trPr>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7EAEDF24">
            <w:pPr>
              <w:keepNext w:val="0"/>
              <w:keepLines w:val="0"/>
              <w:widowControl/>
              <w:suppressLineNumbers w:val="0"/>
              <w:jc w:val="lef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R&amp;D Expense</w:t>
            </w:r>
          </w:p>
        </w:tc>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62409973">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4,540.0</w:t>
            </w:r>
          </w:p>
        </w:tc>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1EBAD235">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3,969.0</w:t>
            </w:r>
          </w:p>
        </w:tc>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67A13CE0">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3,075.0</w:t>
            </w:r>
          </w:p>
        </w:tc>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7E443284">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2,593.0</w:t>
            </w:r>
          </w:p>
        </w:tc>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1100B4BB">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1,491.0</w:t>
            </w:r>
          </w:p>
        </w:tc>
      </w:tr>
      <w:tr w14:paraId="04F77AD1">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310" w:hRule="atLeast"/>
        </w:trPr>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508B9E85">
            <w:pPr>
              <w:keepNext w:val="0"/>
              <w:keepLines w:val="0"/>
              <w:widowControl/>
              <w:suppressLineNumbers w:val="0"/>
              <w:jc w:val="lef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SG&amp;A Expense</w:t>
            </w:r>
          </w:p>
        </w:tc>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5D17FE8E">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5,150.0</w:t>
            </w:r>
          </w:p>
        </w:tc>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6DFFABC1">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4,800.0</w:t>
            </w:r>
          </w:p>
        </w:tc>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0017AA5A">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3,946.0</w:t>
            </w:r>
          </w:p>
        </w:tc>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63E776F2">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4,517.0</w:t>
            </w:r>
          </w:p>
        </w:tc>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2AB20491">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3,145.0</w:t>
            </w:r>
          </w:p>
        </w:tc>
      </w:tr>
      <w:tr w14:paraId="444B3698">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310" w:hRule="atLeast"/>
        </w:trPr>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54259179">
            <w:pPr>
              <w:keepNext w:val="0"/>
              <w:keepLines w:val="0"/>
              <w:widowControl/>
              <w:suppressLineNumbers w:val="0"/>
              <w:jc w:val="lef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Operating Expenses</w:t>
            </w:r>
          </w:p>
        </w:tc>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38B8D331">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10,374.0</w:t>
            </w:r>
          </w:p>
        </w:tc>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6FE8B1EB">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8,769.0</w:t>
            </w:r>
          </w:p>
        </w:tc>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636CD41C">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7,197.0</w:t>
            </w:r>
          </w:p>
        </w:tc>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530191E2">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7,083.0</w:t>
            </w:r>
          </w:p>
        </w:tc>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5576F4C5">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4,636.0</w:t>
            </w:r>
          </w:p>
        </w:tc>
      </w:tr>
      <w:tr w14:paraId="4B983211">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310" w:hRule="atLeast"/>
        </w:trPr>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049A5958">
            <w:pPr>
              <w:keepNext w:val="0"/>
              <w:keepLines w:val="0"/>
              <w:widowControl/>
              <w:suppressLineNumbers w:val="0"/>
              <w:jc w:val="lef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Operating Income</w:t>
            </w:r>
          </w:p>
        </w:tc>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029CC792">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7,076.0</w:t>
            </w:r>
          </w:p>
        </w:tc>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4928B0D9">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8,891.0</w:t>
            </w:r>
          </w:p>
        </w:tc>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2BFD3EF9">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13,656.0</w:t>
            </w:r>
          </w:p>
        </w:tc>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7B87C915">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6,523.0</w:t>
            </w:r>
          </w:p>
        </w:tc>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71FF6695">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1,994.0</w:t>
            </w:r>
          </w:p>
        </w:tc>
      </w:tr>
      <w:tr w14:paraId="3ECF2563">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310" w:hRule="atLeast"/>
        </w:trPr>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2F9E4D53">
            <w:pPr>
              <w:keepNext w:val="0"/>
              <w:keepLines w:val="0"/>
              <w:widowControl/>
              <w:suppressLineNumbers w:val="0"/>
              <w:jc w:val="lef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Pre-Tax Income</w:t>
            </w:r>
          </w:p>
        </w:tc>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05B5C45F">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8,990.0</w:t>
            </w:r>
          </w:p>
        </w:tc>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39B9F3DE">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9,973.0</w:t>
            </w:r>
          </w:p>
        </w:tc>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7E0C3411">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13,719.0</w:t>
            </w:r>
          </w:p>
        </w:tc>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07DE1258">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6,343.0</w:t>
            </w:r>
          </w:p>
        </w:tc>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7A4BB79A">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1,154.0</w:t>
            </w:r>
          </w:p>
        </w:tc>
      </w:tr>
      <w:tr w14:paraId="7E7CFA9F">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310" w:hRule="atLeast"/>
        </w:trPr>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726E8E4E">
            <w:pPr>
              <w:keepNext w:val="0"/>
              <w:keepLines w:val="0"/>
              <w:widowControl/>
              <w:suppressLineNumbers w:val="0"/>
              <w:jc w:val="lef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Income Taxes</w:t>
            </w:r>
          </w:p>
        </w:tc>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10AF07F0">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1,837.0</w:t>
            </w:r>
          </w:p>
        </w:tc>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01B99826">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(5,001.0)</w:t>
            </w:r>
          </w:p>
        </w:tc>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0DAD56F9">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1,132.0</w:t>
            </w:r>
          </w:p>
        </w:tc>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04AE89C0">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699.0</w:t>
            </w:r>
          </w:p>
        </w:tc>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1BFF89B1">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292.0</w:t>
            </w:r>
          </w:p>
        </w:tc>
      </w:tr>
      <w:tr w14:paraId="77D69DA4">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310" w:hRule="atLeast"/>
        </w:trPr>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5F2F8C84">
            <w:pPr>
              <w:keepNext w:val="0"/>
              <w:keepLines w:val="0"/>
              <w:widowControl/>
              <w:suppressLineNumbers w:val="0"/>
              <w:jc w:val="lef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Net Income</w:t>
            </w:r>
          </w:p>
        </w:tc>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79FB9958">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7,091.0</w:t>
            </w:r>
          </w:p>
        </w:tc>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07F11EDE">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14,997.0</w:t>
            </w:r>
          </w:p>
        </w:tc>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4466D2C0">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12,583.0</w:t>
            </w:r>
          </w:p>
        </w:tc>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0AD057F6">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5,524.0</w:t>
            </w:r>
          </w:p>
        </w:tc>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13074F71">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690.0</w:t>
            </w:r>
          </w:p>
        </w:tc>
      </w:tr>
      <w:tr w14:paraId="3259747A">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310" w:hRule="atLeast"/>
        </w:trPr>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67D4C930">
            <w:pPr>
              <w:keepNext w:val="0"/>
              <w:keepLines w:val="0"/>
              <w:widowControl/>
              <w:suppressLineNumbers w:val="0"/>
              <w:jc w:val="lef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EBITDA</w:t>
            </w:r>
          </w:p>
        </w:tc>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302FB03F">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12,444.0</w:t>
            </w:r>
          </w:p>
        </w:tc>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6BA159B4">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13,558.0</w:t>
            </w:r>
          </w:p>
        </w:tc>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1B026E56">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17,403.0</w:t>
            </w:r>
          </w:p>
        </w:tc>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23EE1211">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9,434.0</w:t>
            </w:r>
          </w:p>
        </w:tc>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4E742901">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4,316.0</w:t>
            </w:r>
          </w:p>
        </w:tc>
      </w:tr>
      <w:tr w14:paraId="18E0C34B">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310" w:hRule="atLeast"/>
        </w:trPr>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4EEB42BE">
            <w:pPr>
              <w:keepNext w:val="0"/>
              <w:keepLines w:val="0"/>
              <w:widowControl/>
              <w:suppressLineNumbers w:val="0"/>
              <w:jc w:val="lef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Basic EPS</w:t>
            </w:r>
          </w:p>
        </w:tc>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7A0B0088">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2.2</w:t>
            </w:r>
          </w:p>
        </w:tc>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7D01D77F">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4.7</w:t>
            </w:r>
          </w:p>
        </w:tc>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135A733E">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4.0</w:t>
            </w:r>
          </w:p>
        </w:tc>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3482035A">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1.9</w:t>
            </w:r>
          </w:p>
        </w:tc>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74123458">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0.3</w:t>
            </w:r>
          </w:p>
        </w:tc>
      </w:tr>
      <w:tr w14:paraId="598F0E81">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320" w:hRule="atLeast"/>
        </w:trPr>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36F83B18">
            <w:pPr>
              <w:keepNext w:val="0"/>
              <w:keepLines w:val="0"/>
              <w:widowControl/>
              <w:suppressLineNumbers w:val="0"/>
              <w:jc w:val="lef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Diluted EPS</w:t>
            </w:r>
          </w:p>
        </w:tc>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057550B2">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2.0</w:t>
            </w:r>
          </w:p>
        </w:tc>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3E4AC6DB">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4.3</w:t>
            </w:r>
          </w:p>
        </w:tc>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4839F8AC">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3.6</w:t>
            </w:r>
          </w:p>
        </w:tc>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2C58B765">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1.6</w:t>
            </w:r>
          </w:p>
        </w:tc>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49663DA6">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0.2</w:t>
            </w:r>
          </w:p>
        </w:tc>
      </w:tr>
    </w:tbl>
    <w:p w14:paraId="2CA6D177">
      <w:pPr>
        <w:rPr>
          <w:rFonts w:hint="default"/>
          <w:lang w:val="en-GB" w:eastAsia="zh-CN"/>
        </w:rPr>
      </w:pPr>
    </w:p>
    <w:p w14:paraId="4A8C18C8">
      <w:pPr>
        <w:rPr>
          <w:rFonts w:hint="default"/>
          <w:lang w:val="en-GB" w:eastAsia="zh-CN"/>
        </w:rPr>
      </w:pPr>
    </w:p>
    <w:p w14:paraId="03195688">
      <w:pPr>
        <w:numPr>
          <w:ilvl w:val="0"/>
          <w:numId w:val="0"/>
        </w:numPr>
        <w:rPr>
          <w:rFonts w:hint="default" w:ascii="Calibri" w:hAnsi="Calibri" w:cs="Calibri"/>
          <w:sz w:val="24"/>
          <w:szCs w:val="24"/>
          <w:lang w:val="en-GB" w:eastAsia="zh-CN"/>
        </w:rPr>
      </w:pPr>
    </w:p>
    <w:p w14:paraId="7956208B">
      <w:pPr>
        <w:numPr>
          <w:ilvl w:val="0"/>
          <w:numId w:val="0"/>
        </w:numPr>
        <w:rPr>
          <w:rFonts w:hint="default" w:ascii="Calibri" w:hAnsi="Calibri" w:cs="Calibri"/>
          <w:sz w:val="24"/>
          <w:szCs w:val="24"/>
          <w:lang w:val="en-GB" w:eastAsia="zh-CN"/>
        </w:rPr>
      </w:pPr>
    </w:p>
    <w:p w14:paraId="23C9A343">
      <w:pPr>
        <w:numPr>
          <w:ilvl w:val="0"/>
          <w:numId w:val="0"/>
        </w:numPr>
        <w:ind w:leftChars="0"/>
        <w:rPr>
          <w:rFonts w:hint="default" w:ascii="Calibri" w:hAnsi="Calibri" w:cs="Calibri"/>
          <w:sz w:val="24"/>
          <w:szCs w:val="24"/>
          <w:lang w:val="en-GB" w:eastAsia="zh-CN"/>
        </w:rPr>
      </w:pPr>
    </w:p>
    <w:p w14:paraId="6C9F01F9">
      <w:pPr>
        <w:numPr>
          <w:ilvl w:val="0"/>
          <w:numId w:val="0"/>
        </w:numPr>
        <w:ind w:leftChars="0"/>
        <w:rPr>
          <w:rFonts w:hint="default" w:ascii="Calibri" w:hAnsi="Calibri" w:cs="Calibri"/>
          <w:sz w:val="24"/>
          <w:szCs w:val="24"/>
          <w:lang w:val="en-GB" w:eastAsia="zh-CN"/>
        </w:rPr>
      </w:pPr>
    </w:p>
    <w:p w14:paraId="0BD172D8">
      <w:pPr>
        <w:rPr>
          <w:rFonts w:hint="default" w:ascii="Calibri" w:hAnsi="Calibri" w:cs="Calibri"/>
          <w:sz w:val="24"/>
          <w:szCs w:val="24"/>
          <w:lang w:val="en-GB" w:eastAsia="zh-CN"/>
        </w:rPr>
      </w:pPr>
    </w:p>
    <w:p w14:paraId="340CF756">
      <w:pPr>
        <w:rPr>
          <w:rFonts w:hint="default" w:ascii="Calibri" w:hAnsi="Calibri" w:cs="Calibri"/>
          <w:sz w:val="24"/>
          <w:szCs w:val="24"/>
          <w:lang w:val="en-GB" w:eastAsia="zh-CN"/>
        </w:rPr>
      </w:pPr>
    </w:p>
    <w:p w14:paraId="15D9A1E1">
      <w:pPr>
        <w:rPr>
          <w:rFonts w:hint="default" w:ascii="Calibri" w:hAnsi="Calibri" w:cs="Calibri"/>
          <w:sz w:val="24"/>
          <w:szCs w:val="24"/>
          <w:lang w:val="en-GB" w:eastAsia="zh-CN"/>
        </w:rPr>
      </w:pPr>
    </w:p>
    <w:p w14:paraId="490C72A3">
      <w:pPr>
        <w:rPr>
          <w:rFonts w:hint="default"/>
          <w:lang w:val="en-GB" w:eastAsia="zh-CN"/>
        </w:rPr>
      </w:pPr>
    </w:p>
    <w:p w14:paraId="505AE287">
      <w:pPr>
        <w:rPr>
          <w:rFonts w:hint="default"/>
          <w:lang w:val="en-GB" w:eastAsia="zh-CN"/>
        </w:rPr>
      </w:pPr>
    </w:p>
    <w:p w14:paraId="3B8265CE">
      <w:pPr>
        <w:rPr>
          <w:rFonts w:hint="default"/>
          <w:lang w:val="en-GB" w:eastAsia="zh-CN"/>
        </w:rPr>
      </w:pPr>
    </w:p>
    <w:p w14:paraId="3FBFF505">
      <w:pPr>
        <w:rPr>
          <w:rFonts w:hint="default"/>
          <w:lang w:val="en-GB" w:eastAsia="zh-CN"/>
        </w:rPr>
      </w:pPr>
    </w:p>
    <w:p w14:paraId="4990BB41">
      <w:pPr>
        <w:rPr>
          <w:rFonts w:hint="default"/>
          <w:lang w:val="en-GB" w:eastAsia="zh-CN"/>
        </w:rPr>
      </w:pPr>
    </w:p>
    <w:p w14:paraId="00288ABA">
      <w:pPr>
        <w:rPr>
          <w:rFonts w:hint="default"/>
          <w:lang w:val="en-GB" w:eastAsia="zh-CN"/>
        </w:rPr>
      </w:pPr>
    </w:p>
    <w:p w14:paraId="20F46B1E">
      <w:pPr>
        <w:rPr>
          <w:rFonts w:hint="default"/>
          <w:lang w:val="en-GB" w:eastAsia="zh-CN"/>
        </w:rPr>
      </w:pPr>
    </w:p>
    <w:p w14:paraId="5B8E3DB0">
      <w:pPr>
        <w:rPr>
          <w:rFonts w:hint="default"/>
          <w:lang w:val="en-GB" w:eastAsia="zh-CN"/>
        </w:rPr>
      </w:pPr>
    </w:p>
    <w:p w14:paraId="19E0CB17">
      <w:pPr>
        <w:rPr>
          <w:rFonts w:hint="default"/>
          <w:lang w:val="en-GB" w:eastAsia="zh-CN"/>
        </w:rPr>
      </w:pPr>
    </w:p>
    <w:p w14:paraId="78FE277E">
      <w:pPr>
        <w:rPr>
          <w:rFonts w:hint="default"/>
          <w:lang w:val="en-GB" w:eastAsia="zh-CN"/>
        </w:rPr>
      </w:pPr>
    </w:p>
    <w:p w14:paraId="4B089407">
      <w:pPr>
        <w:rPr>
          <w:rFonts w:hint="default"/>
          <w:lang w:val="en-GB" w:eastAsia="zh-CN"/>
        </w:rPr>
      </w:pPr>
    </w:p>
    <w:p w14:paraId="23B6E431">
      <w:pPr>
        <w:rPr>
          <w:rFonts w:hint="default"/>
          <w:lang w:val="en-GB" w:eastAsia="zh-CN"/>
        </w:rPr>
      </w:pPr>
    </w:p>
    <w:p w14:paraId="71CE4F1F">
      <w:pPr>
        <w:rPr>
          <w:rFonts w:hint="default"/>
          <w:lang w:val="en-GB" w:eastAsia="zh-CN"/>
        </w:rPr>
      </w:pPr>
    </w:p>
    <w:tbl>
      <w:tblPr>
        <w:tblW w:w="8420" w:type="dxa"/>
        <w:tblInd w:w="93" w:type="dxa"/>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Layout w:type="autofit"/>
        <w:tblCellMar>
          <w:top w:w="0" w:type="dxa"/>
          <w:left w:w="108" w:type="dxa"/>
          <w:bottom w:w="0" w:type="dxa"/>
          <w:right w:w="108" w:type="dxa"/>
        </w:tblCellMar>
      </w:tblPr>
      <w:tblGrid>
        <w:gridCol w:w="2734"/>
        <w:gridCol w:w="1210"/>
        <w:gridCol w:w="1210"/>
        <w:gridCol w:w="1089"/>
        <w:gridCol w:w="1089"/>
        <w:gridCol w:w="1088"/>
      </w:tblGrid>
      <w:tr w14:paraId="09C798F3">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318" w:hRule="atLeast"/>
        </w:trPr>
        <w:tc>
          <w:tcPr>
            <w:tcW w:w="8420" w:type="dxa"/>
            <w:gridSpan w:val="6"/>
            <w:tcBorders>
              <w:top w:val="single" w:color="000000" w:sz="4" w:space="0"/>
              <w:left w:val="single" w:color="000000" w:sz="4" w:space="0"/>
              <w:bottom w:val="single" w:color="000000" w:sz="4" w:space="0"/>
              <w:right w:val="single" w:color="000000" w:sz="4" w:space="0"/>
            </w:tcBorders>
            <w:shd w:val="clear" w:color="auto" w:fill="090170"/>
            <w:noWrap/>
            <w:vAlign w:val="bottom"/>
          </w:tcPr>
          <w:p w14:paraId="69925046">
            <w:pPr>
              <w:keepNext w:val="0"/>
              <w:keepLines w:val="0"/>
              <w:widowControl/>
              <w:suppressLineNumbers w:val="0"/>
              <w:jc w:val="center"/>
              <w:textAlignment w:val="bottom"/>
              <w:rPr>
                <w:rFonts w:ascii="Calibri" w:hAnsi="Calibri" w:cs="Calibri"/>
                <w:b/>
                <w:bCs/>
                <w:i w:val="0"/>
                <w:iCs w:val="0"/>
                <w:color w:val="FFFFFF"/>
                <w:sz w:val="22"/>
                <w:szCs w:val="22"/>
                <w:u w:val="none"/>
              </w:rPr>
            </w:pPr>
            <w:r>
              <w:rPr>
                <w:rFonts w:hint="default" w:ascii="Calibri" w:hAnsi="Calibri" w:eastAsia="SimSun" w:cs="Calibri"/>
                <w:b/>
                <w:bCs/>
                <w:i w:val="0"/>
                <w:iCs w:val="0"/>
                <w:color w:val="FFFFFF"/>
                <w:kern w:val="0"/>
                <w:sz w:val="22"/>
                <w:szCs w:val="22"/>
                <w:u w:val="none"/>
                <w:bdr w:val="none" w:color="auto" w:sz="0" w:space="0"/>
                <w:lang w:val="en-US" w:eastAsia="zh-CN" w:bidi="ar"/>
              </w:rPr>
              <w:t>Consolidated Balance sheet - Tesla Inc.</w:t>
            </w:r>
          </w:p>
        </w:tc>
      </w:tr>
      <w:tr w14:paraId="24CEBEE7">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318" w:hRule="atLeast"/>
        </w:trPr>
        <w:tc>
          <w:tcPr>
            <w:tcW w:w="0" w:type="auto"/>
            <w:tcBorders>
              <w:top w:val="single" w:color="000000" w:sz="4" w:space="0"/>
              <w:left w:val="single" w:color="000000" w:sz="4" w:space="0"/>
              <w:bottom w:val="single" w:color="000000" w:sz="4" w:space="0"/>
              <w:right w:val="single" w:color="000000" w:sz="4" w:space="0"/>
            </w:tcBorders>
            <w:shd w:val="clear" w:color="auto" w:fill="090170"/>
            <w:noWrap/>
            <w:vAlign w:val="bottom"/>
          </w:tcPr>
          <w:p w14:paraId="7102CAE7">
            <w:pPr>
              <w:keepNext w:val="0"/>
              <w:keepLines w:val="0"/>
              <w:widowControl/>
              <w:suppressLineNumbers w:val="0"/>
              <w:jc w:val="left"/>
              <w:textAlignment w:val="bottom"/>
              <w:rPr>
                <w:rFonts w:hint="default" w:ascii="Calibri" w:hAnsi="Calibri" w:cs="Calibri"/>
                <w:b/>
                <w:bCs/>
                <w:i w:val="0"/>
                <w:iCs w:val="0"/>
                <w:color w:val="FFFFFF"/>
                <w:sz w:val="22"/>
                <w:szCs w:val="22"/>
                <w:u w:val="none"/>
              </w:rPr>
            </w:pPr>
            <w:r>
              <w:rPr>
                <w:rFonts w:hint="default" w:ascii="Calibri" w:hAnsi="Calibri" w:eastAsia="SimSun" w:cs="Calibri"/>
                <w:b/>
                <w:bCs/>
                <w:i w:val="0"/>
                <w:iCs w:val="0"/>
                <w:color w:val="FFFFFF"/>
                <w:kern w:val="0"/>
                <w:sz w:val="22"/>
                <w:szCs w:val="22"/>
                <w:u w:val="none"/>
                <w:bdr w:val="none" w:color="auto" w:sz="0" w:space="0"/>
                <w:lang w:val="en-US" w:eastAsia="zh-CN" w:bidi="ar"/>
              </w:rPr>
              <w:t>Perticulares</w:t>
            </w:r>
          </w:p>
        </w:tc>
        <w:tc>
          <w:tcPr>
            <w:tcW w:w="0" w:type="auto"/>
            <w:tcBorders>
              <w:top w:val="single" w:color="000000" w:sz="4" w:space="0"/>
              <w:left w:val="single" w:color="000000" w:sz="4" w:space="0"/>
              <w:bottom w:val="single" w:color="000000" w:sz="4" w:space="0"/>
              <w:right w:val="single" w:color="000000" w:sz="4" w:space="0"/>
            </w:tcBorders>
            <w:shd w:val="clear" w:color="auto" w:fill="090170"/>
            <w:noWrap/>
            <w:vAlign w:val="bottom"/>
          </w:tcPr>
          <w:p w14:paraId="054488C3">
            <w:pPr>
              <w:keepNext w:val="0"/>
              <w:keepLines w:val="0"/>
              <w:widowControl/>
              <w:suppressLineNumbers w:val="0"/>
              <w:jc w:val="right"/>
              <w:textAlignment w:val="bottom"/>
              <w:rPr>
                <w:rFonts w:hint="default" w:ascii="Calibri" w:hAnsi="Calibri" w:cs="Calibri"/>
                <w:b/>
                <w:bCs/>
                <w:i w:val="0"/>
                <w:iCs w:val="0"/>
                <w:color w:val="FFFFFF"/>
                <w:sz w:val="22"/>
                <w:szCs w:val="22"/>
                <w:u w:val="none"/>
              </w:rPr>
            </w:pPr>
            <w:r>
              <w:rPr>
                <w:rFonts w:hint="default" w:ascii="Calibri" w:hAnsi="Calibri" w:eastAsia="SimSun" w:cs="Calibri"/>
                <w:b/>
                <w:bCs/>
                <w:i w:val="0"/>
                <w:iCs w:val="0"/>
                <w:color w:val="FFFFFF"/>
                <w:kern w:val="0"/>
                <w:sz w:val="22"/>
                <w:szCs w:val="22"/>
                <w:u w:val="none"/>
                <w:bdr w:val="none" w:color="auto" w:sz="0" w:space="0"/>
                <w:lang w:val="en-US" w:eastAsia="zh-CN" w:bidi="ar"/>
              </w:rPr>
              <w:t>2024</w:t>
            </w:r>
          </w:p>
        </w:tc>
        <w:tc>
          <w:tcPr>
            <w:tcW w:w="0" w:type="auto"/>
            <w:tcBorders>
              <w:top w:val="single" w:color="000000" w:sz="4" w:space="0"/>
              <w:left w:val="single" w:color="000000" w:sz="4" w:space="0"/>
              <w:bottom w:val="single" w:color="000000" w:sz="4" w:space="0"/>
              <w:right w:val="single" w:color="000000" w:sz="4" w:space="0"/>
            </w:tcBorders>
            <w:shd w:val="clear" w:color="auto" w:fill="090170"/>
            <w:noWrap/>
            <w:vAlign w:val="bottom"/>
          </w:tcPr>
          <w:p w14:paraId="3C16AFC9">
            <w:pPr>
              <w:keepNext w:val="0"/>
              <w:keepLines w:val="0"/>
              <w:widowControl/>
              <w:suppressLineNumbers w:val="0"/>
              <w:jc w:val="right"/>
              <w:textAlignment w:val="bottom"/>
              <w:rPr>
                <w:rFonts w:hint="default" w:ascii="Calibri" w:hAnsi="Calibri" w:cs="Calibri"/>
                <w:b/>
                <w:bCs/>
                <w:i w:val="0"/>
                <w:iCs w:val="0"/>
                <w:color w:val="FFFFFF"/>
                <w:sz w:val="22"/>
                <w:szCs w:val="22"/>
                <w:u w:val="none"/>
              </w:rPr>
            </w:pPr>
            <w:r>
              <w:rPr>
                <w:rFonts w:hint="default" w:ascii="Calibri" w:hAnsi="Calibri" w:eastAsia="SimSun" w:cs="Calibri"/>
                <w:b/>
                <w:bCs/>
                <w:i w:val="0"/>
                <w:iCs w:val="0"/>
                <w:color w:val="FFFFFF"/>
                <w:kern w:val="0"/>
                <w:sz w:val="22"/>
                <w:szCs w:val="22"/>
                <w:u w:val="none"/>
                <w:bdr w:val="none" w:color="auto" w:sz="0" w:space="0"/>
                <w:lang w:val="en-US" w:eastAsia="zh-CN" w:bidi="ar"/>
              </w:rPr>
              <w:t>2023</w:t>
            </w:r>
          </w:p>
        </w:tc>
        <w:tc>
          <w:tcPr>
            <w:tcW w:w="0" w:type="auto"/>
            <w:tcBorders>
              <w:top w:val="single" w:color="000000" w:sz="4" w:space="0"/>
              <w:left w:val="single" w:color="000000" w:sz="4" w:space="0"/>
              <w:bottom w:val="single" w:color="000000" w:sz="4" w:space="0"/>
              <w:right w:val="single" w:color="000000" w:sz="4" w:space="0"/>
            </w:tcBorders>
            <w:shd w:val="clear" w:color="auto" w:fill="090170"/>
            <w:noWrap/>
            <w:vAlign w:val="bottom"/>
          </w:tcPr>
          <w:p w14:paraId="3565CEA2">
            <w:pPr>
              <w:keepNext w:val="0"/>
              <w:keepLines w:val="0"/>
              <w:widowControl/>
              <w:suppressLineNumbers w:val="0"/>
              <w:jc w:val="right"/>
              <w:textAlignment w:val="bottom"/>
              <w:rPr>
                <w:rFonts w:hint="default" w:ascii="Calibri" w:hAnsi="Calibri" w:cs="Calibri"/>
                <w:b/>
                <w:bCs/>
                <w:i w:val="0"/>
                <w:iCs w:val="0"/>
                <w:color w:val="FFFFFF"/>
                <w:sz w:val="22"/>
                <w:szCs w:val="22"/>
                <w:u w:val="none"/>
              </w:rPr>
            </w:pPr>
            <w:r>
              <w:rPr>
                <w:rFonts w:hint="default" w:ascii="Calibri" w:hAnsi="Calibri" w:eastAsia="SimSun" w:cs="Calibri"/>
                <w:b/>
                <w:bCs/>
                <w:i w:val="0"/>
                <w:iCs w:val="0"/>
                <w:color w:val="FFFFFF"/>
                <w:kern w:val="0"/>
                <w:sz w:val="22"/>
                <w:szCs w:val="22"/>
                <w:u w:val="none"/>
                <w:bdr w:val="none" w:color="auto" w:sz="0" w:space="0"/>
                <w:lang w:val="en-US" w:eastAsia="zh-CN" w:bidi="ar"/>
              </w:rPr>
              <w:t>2022</w:t>
            </w:r>
          </w:p>
        </w:tc>
        <w:tc>
          <w:tcPr>
            <w:tcW w:w="0" w:type="auto"/>
            <w:tcBorders>
              <w:top w:val="single" w:color="000000" w:sz="4" w:space="0"/>
              <w:left w:val="single" w:color="000000" w:sz="4" w:space="0"/>
              <w:bottom w:val="single" w:color="000000" w:sz="4" w:space="0"/>
              <w:right w:val="single" w:color="000000" w:sz="4" w:space="0"/>
            </w:tcBorders>
            <w:shd w:val="clear" w:color="auto" w:fill="090170"/>
            <w:noWrap/>
            <w:vAlign w:val="bottom"/>
          </w:tcPr>
          <w:p w14:paraId="7900F9B7">
            <w:pPr>
              <w:keepNext w:val="0"/>
              <w:keepLines w:val="0"/>
              <w:widowControl/>
              <w:suppressLineNumbers w:val="0"/>
              <w:jc w:val="right"/>
              <w:textAlignment w:val="bottom"/>
              <w:rPr>
                <w:rFonts w:hint="default" w:ascii="Calibri" w:hAnsi="Calibri" w:cs="Calibri"/>
                <w:b/>
                <w:bCs/>
                <w:i w:val="0"/>
                <w:iCs w:val="0"/>
                <w:color w:val="FFFFFF"/>
                <w:sz w:val="22"/>
                <w:szCs w:val="22"/>
                <w:u w:val="none"/>
              </w:rPr>
            </w:pPr>
            <w:r>
              <w:rPr>
                <w:rFonts w:hint="default" w:ascii="Calibri" w:hAnsi="Calibri" w:eastAsia="SimSun" w:cs="Calibri"/>
                <w:b/>
                <w:bCs/>
                <w:i w:val="0"/>
                <w:iCs w:val="0"/>
                <w:color w:val="FFFFFF"/>
                <w:kern w:val="0"/>
                <w:sz w:val="22"/>
                <w:szCs w:val="22"/>
                <w:u w:val="none"/>
                <w:bdr w:val="none" w:color="auto" w:sz="0" w:space="0"/>
                <w:lang w:val="en-US" w:eastAsia="zh-CN" w:bidi="ar"/>
              </w:rPr>
              <w:t>2021</w:t>
            </w:r>
          </w:p>
        </w:tc>
        <w:tc>
          <w:tcPr>
            <w:tcW w:w="0" w:type="auto"/>
            <w:tcBorders>
              <w:top w:val="single" w:color="000000" w:sz="4" w:space="0"/>
              <w:left w:val="single" w:color="000000" w:sz="4" w:space="0"/>
              <w:bottom w:val="single" w:color="000000" w:sz="4" w:space="0"/>
              <w:right w:val="single" w:color="000000" w:sz="4" w:space="0"/>
            </w:tcBorders>
            <w:shd w:val="clear" w:color="auto" w:fill="090170"/>
            <w:noWrap/>
            <w:vAlign w:val="bottom"/>
          </w:tcPr>
          <w:p w14:paraId="3B3E2D0B">
            <w:pPr>
              <w:keepNext w:val="0"/>
              <w:keepLines w:val="0"/>
              <w:widowControl/>
              <w:suppressLineNumbers w:val="0"/>
              <w:jc w:val="right"/>
              <w:textAlignment w:val="bottom"/>
              <w:rPr>
                <w:rFonts w:hint="default" w:ascii="Calibri" w:hAnsi="Calibri" w:cs="Calibri"/>
                <w:b/>
                <w:bCs/>
                <w:i w:val="0"/>
                <w:iCs w:val="0"/>
                <w:color w:val="FFFFFF"/>
                <w:sz w:val="22"/>
                <w:szCs w:val="22"/>
                <w:u w:val="none"/>
              </w:rPr>
            </w:pPr>
            <w:r>
              <w:rPr>
                <w:rFonts w:hint="default" w:ascii="Calibri" w:hAnsi="Calibri" w:eastAsia="SimSun" w:cs="Calibri"/>
                <w:b/>
                <w:bCs/>
                <w:i w:val="0"/>
                <w:iCs w:val="0"/>
                <w:color w:val="FFFFFF"/>
                <w:kern w:val="0"/>
                <w:sz w:val="22"/>
                <w:szCs w:val="22"/>
                <w:u w:val="none"/>
                <w:bdr w:val="none" w:color="auto" w:sz="0" w:space="0"/>
                <w:lang w:val="en-US" w:eastAsia="zh-CN" w:bidi="ar"/>
              </w:rPr>
              <w:t>2020</w:t>
            </w:r>
          </w:p>
        </w:tc>
      </w:tr>
      <w:tr w14:paraId="6B931A17">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318" w:hRule="atLeast"/>
        </w:trPr>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073CA699">
            <w:pPr>
              <w:keepNext w:val="0"/>
              <w:keepLines w:val="0"/>
              <w:widowControl/>
              <w:suppressLineNumbers w:val="0"/>
              <w:jc w:val="lef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Cash</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02F64342">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36,563.0</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26755DC4">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29,094.0</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7DE5381B">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22,185.0</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5CFB0D73">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17,707.0</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3C4E78DB">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19,384.0</w:t>
            </w:r>
          </w:p>
        </w:tc>
      </w:tr>
      <w:tr w14:paraId="1E0D7E7D">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318" w:hRule="atLeast"/>
        </w:trPr>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54827CA5">
            <w:pPr>
              <w:keepNext w:val="0"/>
              <w:keepLines w:val="0"/>
              <w:widowControl/>
              <w:suppressLineNumbers w:val="0"/>
              <w:jc w:val="lef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Receivables</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120A6C72">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4,418.0</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2A3B31E7">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3,508.0</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1A38D6ED">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2,952.0</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703AA9A8">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1,913.0</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68AAE318">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1,886.0</w:t>
            </w:r>
          </w:p>
        </w:tc>
      </w:tr>
      <w:tr w14:paraId="273DBFE1">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318" w:hRule="atLeast"/>
        </w:trPr>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6CCE57B2">
            <w:pPr>
              <w:keepNext w:val="0"/>
              <w:keepLines w:val="0"/>
              <w:widowControl/>
              <w:suppressLineNumbers w:val="0"/>
              <w:jc w:val="lef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Inventory</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4607EB33">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12,017.0</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5A92E8A4">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13,626.0</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62E93CB4">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12,839.0</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35B8227D">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5,757.0</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2757F2FC">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4,101.0</w:t>
            </w:r>
          </w:p>
        </w:tc>
      </w:tr>
      <w:tr w14:paraId="6D67B92F">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318" w:hRule="atLeast"/>
        </w:trPr>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03F9C92D">
            <w:pPr>
              <w:keepNext w:val="0"/>
              <w:keepLines w:val="0"/>
              <w:widowControl/>
              <w:suppressLineNumbers w:val="0"/>
              <w:jc w:val="lef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Prepaid Expenses</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6CC9F01F">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5,362.0</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3D6336FF">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3,388.0</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505414E4">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2,941.0</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754BE93B">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1,723.0</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0702C80C">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1,346.0</w:t>
            </w:r>
          </w:p>
        </w:tc>
      </w:tr>
      <w:tr w14:paraId="01B78184">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318" w:hRule="atLeast"/>
        </w:trPr>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6ADAD946">
            <w:pPr>
              <w:keepNext w:val="0"/>
              <w:keepLines w:val="0"/>
              <w:widowControl/>
              <w:suppressLineNumbers w:val="0"/>
              <w:jc w:val="lef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Total Current Assets</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799922B8">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58,360.0</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7470A731">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49,616.0</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1BFCC83B">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40,917.0</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19FC51A9">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27,100.0</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3DF8BE86">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26,717.0</w:t>
            </w:r>
          </w:p>
        </w:tc>
      </w:tr>
      <w:tr w14:paraId="16F16411">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318" w:hRule="atLeast"/>
        </w:trPr>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2BF6395E">
            <w:pPr>
              <w:keepNext w:val="0"/>
              <w:keepLines w:val="0"/>
              <w:widowControl/>
              <w:suppressLineNumbers w:val="0"/>
              <w:jc w:val="lef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PPE</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141CAFB0">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35,836.0</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05B89B20">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29,725.0</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7028FC57">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23,548.0</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55F45B12">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18,884.0</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50D40479">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12,747.0</w:t>
            </w:r>
          </w:p>
        </w:tc>
      </w:tr>
      <w:tr w14:paraId="6D200F49">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318" w:hRule="atLeast"/>
        </w:trPr>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3D1C0561">
            <w:pPr>
              <w:keepNext w:val="0"/>
              <w:keepLines w:val="0"/>
              <w:widowControl/>
              <w:suppressLineNumbers w:val="0"/>
              <w:jc w:val="lef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Other Assets</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04199EE2">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10,609.0</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5FAFF0E0">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9,944.0</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483C00FF">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9,538.0</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4120C9CB">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9,163.0</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76D4B0A4">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7,515.0</w:t>
            </w:r>
          </w:p>
        </w:tc>
      </w:tr>
      <w:tr w14:paraId="795F982E">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318" w:hRule="atLeast"/>
        </w:trPr>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6B36E827">
            <w:pPr>
              <w:keepNext w:val="0"/>
              <w:keepLines w:val="0"/>
              <w:widowControl/>
              <w:suppressLineNumbers w:val="0"/>
              <w:jc w:val="lef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Total Assets</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3BA566C5">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122,070.0</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3553B92F">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106,618.0</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7735580D">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82,338.0</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202FF173">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62,131.0</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5F2AA2B6">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52,148.0</w:t>
            </w:r>
          </w:p>
        </w:tc>
      </w:tr>
      <w:tr w14:paraId="555AC6CF">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318" w:hRule="atLeast"/>
        </w:trPr>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5533CB34">
            <w:pPr>
              <w:keepNext w:val="0"/>
              <w:keepLines w:val="0"/>
              <w:widowControl/>
              <w:suppressLineNumbers w:val="0"/>
              <w:jc w:val="lef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Current Liabilities</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3418E0CE">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28,821.0</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53E5E8B9">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28,748.0</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00C2F4C0">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26,709.0</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532E49FC">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19,705.0</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597C9C3B">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14,248.0</w:t>
            </w:r>
          </w:p>
        </w:tc>
      </w:tr>
      <w:tr w14:paraId="0D4CA68D">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318" w:hRule="atLeast"/>
        </w:trPr>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05815EBB">
            <w:pPr>
              <w:keepNext w:val="0"/>
              <w:keepLines w:val="0"/>
              <w:widowControl/>
              <w:suppressLineNumbers w:val="0"/>
              <w:jc w:val="lef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Long Term Debt</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7812ADCD">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5,757.0</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22449249">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2,857.0</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36133F95">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1,597.0</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7957D9F9">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5,245.0</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67545056">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9,607.0</w:t>
            </w:r>
          </w:p>
        </w:tc>
      </w:tr>
      <w:tr w14:paraId="4109B5E0">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318" w:hRule="atLeast"/>
        </w:trPr>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014BE388">
            <w:pPr>
              <w:keepNext w:val="0"/>
              <w:keepLines w:val="0"/>
              <w:widowControl/>
              <w:suppressLineNumbers w:val="0"/>
              <w:jc w:val="lef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Other long term liabilities</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7513BA5B">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13,812.0</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2698D72B">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11,404.0</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33E1E944">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8,134.0</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7D5C213E">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5,598.0</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447299A1">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4,614.0</w:t>
            </w:r>
          </w:p>
        </w:tc>
      </w:tr>
      <w:tr w14:paraId="21E9A945">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318" w:hRule="atLeast"/>
        </w:trPr>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5034851C">
            <w:pPr>
              <w:keepNext w:val="0"/>
              <w:keepLines w:val="0"/>
              <w:widowControl/>
              <w:suppressLineNumbers w:val="0"/>
              <w:jc w:val="lef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Total Liabilities</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78D07118">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48,390.0</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3C3A0BCD">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43,009.0</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75C0B04F">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36,440.0</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705699A4">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30,548.0</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5EAC44FE">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28,469.0</w:t>
            </w:r>
          </w:p>
        </w:tc>
      </w:tr>
      <w:tr w14:paraId="780A3AF1">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328" w:hRule="atLeast"/>
        </w:trPr>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7C20FBF4">
            <w:pPr>
              <w:keepNext w:val="0"/>
              <w:keepLines w:val="0"/>
              <w:widowControl/>
              <w:suppressLineNumbers w:val="0"/>
              <w:jc w:val="lef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Equity</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75CF7792">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73,617.0</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115CF0E9">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63,367.0</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3CAEF185">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45,489.0</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6A71D2ED">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31,015.0</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34BC7190">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23,075.0</w:t>
            </w:r>
          </w:p>
        </w:tc>
      </w:tr>
    </w:tbl>
    <w:p w14:paraId="541FB2B0">
      <w:pPr>
        <w:rPr>
          <w:rFonts w:hint="default"/>
          <w:lang w:val="en-GB" w:eastAsia="zh-CN"/>
        </w:rPr>
      </w:pPr>
    </w:p>
    <w:p w14:paraId="6F91B211">
      <w:pPr>
        <w:rPr>
          <w:rFonts w:hint="default"/>
          <w:lang w:val="en-GB" w:eastAsia="zh-CN"/>
        </w:rPr>
      </w:pPr>
    </w:p>
    <w:tbl>
      <w:tblPr>
        <w:tblW w:w="8400" w:type="dxa"/>
        <w:tblInd w:w="93" w:type="dxa"/>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Layout w:type="autofit"/>
        <w:tblCellMar>
          <w:top w:w="0" w:type="dxa"/>
          <w:left w:w="108" w:type="dxa"/>
          <w:bottom w:w="0" w:type="dxa"/>
          <w:right w:w="108" w:type="dxa"/>
        </w:tblCellMar>
      </w:tblPr>
      <w:tblGrid>
        <w:gridCol w:w="2704"/>
        <w:gridCol w:w="1186"/>
        <w:gridCol w:w="1186"/>
        <w:gridCol w:w="1186"/>
        <w:gridCol w:w="1069"/>
        <w:gridCol w:w="1069"/>
      </w:tblGrid>
      <w:tr w14:paraId="05A8C498">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322" w:hRule="atLeast"/>
        </w:trPr>
        <w:tc>
          <w:tcPr>
            <w:tcW w:w="8400" w:type="dxa"/>
            <w:gridSpan w:val="6"/>
            <w:tcBorders>
              <w:top w:val="single" w:color="000000" w:sz="4" w:space="0"/>
              <w:left w:val="single" w:color="000000" w:sz="4" w:space="0"/>
              <w:bottom w:val="single" w:color="000000" w:sz="4" w:space="0"/>
              <w:right w:val="single" w:color="000000" w:sz="4" w:space="0"/>
            </w:tcBorders>
            <w:shd w:val="clear" w:color="auto" w:fill="090170"/>
            <w:noWrap/>
            <w:vAlign w:val="bottom"/>
          </w:tcPr>
          <w:p w14:paraId="4A055EE9">
            <w:pPr>
              <w:keepNext w:val="0"/>
              <w:keepLines w:val="0"/>
              <w:widowControl/>
              <w:suppressLineNumbers w:val="0"/>
              <w:jc w:val="center"/>
              <w:textAlignment w:val="bottom"/>
              <w:rPr>
                <w:rFonts w:ascii="Calibri" w:hAnsi="Calibri" w:cs="Calibri"/>
                <w:b/>
                <w:bCs/>
                <w:i w:val="0"/>
                <w:iCs w:val="0"/>
                <w:color w:val="FFFFFF"/>
                <w:sz w:val="22"/>
                <w:szCs w:val="22"/>
                <w:u w:val="none"/>
              </w:rPr>
            </w:pPr>
            <w:r>
              <w:rPr>
                <w:rFonts w:hint="default" w:ascii="Calibri" w:hAnsi="Calibri" w:eastAsia="SimSun" w:cs="Calibri"/>
                <w:b/>
                <w:bCs/>
                <w:i w:val="0"/>
                <w:iCs w:val="0"/>
                <w:color w:val="FFFFFF"/>
                <w:kern w:val="0"/>
                <w:sz w:val="22"/>
                <w:szCs w:val="22"/>
                <w:u w:val="none"/>
                <w:bdr w:val="none" w:color="auto" w:sz="0" w:space="0"/>
                <w:lang w:val="en-US" w:eastAsia="zh-CN" w:bidi="ar"/>
              </w:rPr>
              <w:t>Consolidated Statements of Cash Flows - Tesla Inc.</w:t>
            </w:r>
          </w:p>
        </w:tc>
      </w:tr>
      <w:tr w14:paraId="0A64675D">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322" w:hRule="atLeast"/>
        </w:trPr>
        <w:tc>
          <w:tcPr>
            <w:tcW w:w="0" w:type="auto"/>
            <w:tcBorders>
              <w:top w:val="single" w:color="000000" w:sz="4" w:space="0"/>
              <w:left w:val="single" w:color="000000" w:sz="4" w:space="0"/>
              <w:bottom w:val="single" w:color="000000" w:sz="4" w:space="0"/>
              <w:right w:val="single" w:color="000000" w:sz="4" w:space="0"/>
            </w:tcBorders>
            <w:shd w:val="clear" w:color="auto" w:fill="090170"/>
            <w:noWrap/>
            <w:vAlign w:val="bottom"/>
          </w:tcPr>
          <w:p w14:paraId="0A3A42B5">
            <w:pPr>
              <w:keepNext w:val="0"/>
              <w:keepLines w:val="0"/>
              <w:widowControl/>
              <w:suppressLineNumbers w:val="0"/>
              <w:jc w:val="left"/>
              <w:textAlignment w:val="bottom"/>
              <w:rPr>
                <w:rFonts w:hint="default" w:ascii="Calibri" w:hAnsi="Calibri" w:cs="Calibri"/>
                <w:b/>
                <w:bCs/>
                <w:i w:val="0"/>
                <w:iCs w:val="0"/>
                <w:color w:val="FFFFFF"/>
                <w:sz w:val="22"/>
                <w:szCs w:val="22"/>
                <w:u w:val="none"/>
              </w:rPr>
            </w:pPr>
            <w:r>
              <w:rPr>
                <w:rFonts w:hint="default" w:ascii="Calibri" w:hAnsi="Calibri" w:eastAsia="SimSun" w:cs="Calibri"/>
                <w:b/>
                <w:bCs/>
                <w:i w:val="0"/>
                <w:iCs w:val="0"/>
                <w:color w:val="FFFFFF"/>
                <w:kern w:val="0"/>
                <w:sz w:val="22"/>
                <w:szCs w:val="22"/>
                <w:u w:val="none"/>
                <w:bdr w:val="none" w:color="auto" w:sz="0" w:space="0"/>
                <w:lang w:val="en-US" w:eastAsia="zh-CN" w:bidi="ar"/>
              </w:rPr>
              <w:t>Particulers</w:t>
            </w:r>
          </w:p>
        </w:tc>
        <w:tc>
          <w:tcPr>
            <w:tcW w:w="0" w:type="auto"/>
            <w:tcBorders>
              <w:top w:val="single" w:color="000000" w:sz="4" w:space="0"/>
              <w:left w:val="single" w:color="000000" w:sz="4" w:space="0"/>
              <w:bottom w:val="single" w:color="000000" w:sz="4" w:space="0"/>
              <w:right w:val="single" w:color="000000" w:sz="4" w:space="0"/>
            </w:tcBorders>
            <w:shd w:val="clear" w:color="auto" w:fill="090170"/>
            <w:noWrap/>
            <w:vAlign w:val="bottom"/>
          </w:tcPr>
          <w:p w14:paraId="313C88A8">
            <w:pPr>
              <w:keepNext w:val="0"/>
              <w:keepLines w:val="0"/>
              <w:widowControl/>
              <w:suppressLineNumbers w:val="0"/>
              <w:jc w:val="right"/>
              <w:textAlignment w:val="bottom"/>
              <w:rPr>
                <w:rFonts w:hint="default" w:ascii="Calibri" w:hAnsi="Calibri" w:cs="Calibri"/>
                <w:b/>
                <w:bCs/>
                <w:i w:val="0"/>
                <w:iCs w:val="0"/>
                <w:color w:val="FFFFFF"/>
                <w:sz w:val="22"/>
                <w:szCs w:val="22"/>
                <w:u w:val="none"/>
              </w:rPr>
            </w:pPr>
            <w:r>
              <w:rPr>
                <w:rFonts w:hint="default" w:ascii="Calibri" w:hAnsi="Calibri" w:eastAsia="SimSun" w:cs="Calibri"/>
                <w:b/>
                <w:bCs/>
                <w:i w:val="0"/>
                <w:iCs w:val="0"/>
                <w:color w:val="FFFFFF"/>
                <w:kern w:val="0"/>
                <w:sz w:val="22"/>
                <w:szCs w:val="22"/>
                <w:u w:val="none"/>
                <w:bdr w:val="none" w:color="auto" w:sz="0" w:space="0"/>
                <w:lang w:val="en-US" w:eastAsia="zh-CN" w:bidi="ar"/>
              </w:rPr>
              <w:t>2024</w:t>
            </w:r>
          </w:p>
        </w:tc>
        <w:tc>
          <w:tcPr>
            <w:tcW w:w="0" w:type="auto"/>
            <w:tcBorders>
              <w:top w:val="single" w:color="000000" w:sz="4" w:space="0"/>
              <w:left w:val="single" w:color="000000" w:sz="4" w:space="0"/>
              <w:bottom w:val="single" w:color="000000" w:sz="4" w:space="0"/>
              <w:right w:val="single" w:color="000000" w:sz="4" w:space="0"/>
            </w:tcBorders>
            <w:shd w:val="clear" w:color="auto" w:fill="090170"/>
            <w:noWrap/>
            <w:vAlign w:val="bottom"/>
          </w:tcPr>
          <w:p w14:paraId="24500788">
            <w:pPr>
              <w:keepNext w:val="0"/>
              <w:keepLines w:val="0"/>
              <w:widowControl/>
              <w:suppressLineNumbers w:val="0"/>
              <w:jc w:val="right"/>
              <w:textAlignment w:val="bottom"/>
              <w:rPr>
                <w:rFonts w:hint="default" w:ascii="Calibri" w:hAnsi="Calibri" w:cs="Calibri"/>
                <w:b/>
                <w:bCs/>
                <w:i w:val="0"/>
                <w:iCs w:val="0"/>
                <w:color w:val="FFFFFF"/>
                <w:sz w:val="22"/>
                <w:szCs w:val="22"/>
                <w:u w:val="none"/>
              </w:rPr>
            </w:pPr>
            <w:r>
              <w:rPr>
                <w:rFonts w:hint="default" w:ascii="Calibri" w:hAnsi="Calibri" w:eastAsia="SimSun" w:cs="Calibri"/>
                <w:b/>
                <w:bCs/>
                <w:i w:val="0"/>
                <w:iCs w:val="0"/>
                <w:color w:val="FFFFFF"/>
                <w:kern w:val="0"/>
                <w:sz w:val="22"/>
                <w:szCs w:val="22"/>
                <w:u w:val="none"/>
                <w:bdr w:val="none" w:color="auto" w:sz="0" w:space="0"/>
                <w:lang w:val="en-US" w:eastAsia="zh-CN" w:bidi="ar"/>
              </w:rPr>
              <w:t>2023</w:t>
            </w:r>
          </w:p>
        </w:tc>
        <w:tc>
          <w:tcPr>
            <w:tcW w:w="0" w:type="auto"/>
            <w:tcBorders>
              <w:top w:val="single" w:color="000000" w:sz="4" w:space="0"/>
              <w:left w:val="single" w:color="000000" w:sz="4" w:space="0"/>
              <w:bottom w:val="single" w:color="000000" w:sz="4" w:space="0"/>
              <w:right w:val="single" w:color="000000" w:sz="4" w:space="0"/>
            </w:tcBorders>
            <w:shd w:val="clear" w:color="auto" w:fill="090170"/>
            <w:noWrap/>
            <w:vAlign w:val="bottom"/>
          </w:tcPr>
          <w:p w14:paraId="7A5C54E2">
            <w:pPr>
              <w:keepNext w:val="0"/>
              <w:keepLines w:val="0"/>
              <w:widowControl/>
              <w:suppressLineNumbers w:val="0"/>
              <w:jc w:val="right"/>
              <w:textAlignment w:val="bottom"/>
              <w:rPr>
                <w:rFonts w:hint="default" w:ascii="Calibri" w:hAnsi="Calibri" w:cs="Calibri"/>
                <w:b/>
                <w:bCs/>
                <w:i w:val="0"/>
                <w:iCs w:val="0"/>
                <w:color w:val="FFFFFF"/>
                <w:sz w:val="22"/>
                <w:szCs w:val="22"/>
                <w:u w:val="none"/>
              </w:rPr>
            </w:pPr>
            <w:r>
              <w:rPr>
                <w:rFonts w:hint="default" w:ascii="Calibri" w:hAnsi="Calibri" w:eastAsia="SimSun" w:cs="Calibri"/>
                <w:b/>
                <w:bCs/>
                <w:i w:val="0"/>
                <w:iCs w:val="0"/>
                <w:color w:val="FFFFFF"/>
                <w:kern w:val="0"/>
                <w:sz w:val="22"/>
                <w:szCs w:val="22"/>
                <w:u w:val="none"/>
                <w:bdr w:val="none" w:color="auto" w:sz="0" w:space="0"/>
                <w:lang w:val="en-US" w:eastAsia="zh-CN" w:bidi="ar"/>
              </w:rPr>
              <w:t>2022</w:t>
            </w:r>
          </w:p>
        </w:tc>
        <w:tc>
          <w:tcPr>
            <w:tcW w:w="0" w:type="auto"/>
            <w:tcBorders>
              <w:top w:val="single" w:color="000000" w:sz="4" w:space="0"/>
              <w:left w:val="single" w:color="000000" w:sz="4" w:space="0"/>
              <w:bottom w:val="single" w:color="000000" w:sz="4" w:space="0"/>
              <w:right w:val="single" w:color="000000" w:sz="4" w:space="0"/>
            </w:tcBorders>
            <w:shd w:val="clear" w:color="auto" w:fill="090170"/>
            <w:noWrap/>
            <w:vAlign w:val="bottom"/>
          </w:tcPr>
          <w:p w14:paraId="2A39EC30">
            <w:pPr>
              <w:keepNext w:val="0"/>
              <w:keepLines w:val="0"/>
              <w:widowControl/>
              <w:suppressLineNumbers w:val="0"/>
              <w:jc w:val="right"/>
              <w:textAlignment w:val="bottom"/>
              <w:rPr>
                <w:rFonts w:hint="default" w:ascii="Calibri" w:hAnsi="Calibri" w:cs="Calibri"/>
                <w:b/>
                <w:bCs/>
                <w:i w:val="0"/>
                <w:iCs w:val="0"/>
                <w:color w:val="FFFFFF"/>
                <w:sz w:val="22"/>
                <w:szCs w:val="22"/>
                <w:u w:val="none"/>
              </w:rPr>
            </w:pPr>
            <w:r>
              <w:rPr>
                <w:rFonts w:hint="default" w:ascii="Calibri" w:hAnsi="Calibri" w:eastAsia="SimSun" w:cs="Calibri"/>
                <w:b/>
                <w:bCs/>
                <w:i w:val="0"/>
                <w:iCs w:val="0"/>
                <w:color w:val="FFFFFF"/>
                <w:kern w:val="0"/>
                <w:sz w:val="22"/>
                <w:szCs w:val="22"/>
                <w:u w:val="none"/>
                <w:bdr w:val="none" w:color="auto" w:sz="0" w:space="0"/>
                <w:lang w:val="en-US" w:eastAsia="zh-CN" w:bidi="ar"/>
              </w:rPr>
              <w:t>2021</w:t>
            </w:r>
          </w:p>
        </w:tc>
        <w:tc>
          <w:tcPr>
            <w:tcW w:w="0" w:type="auto"/>
            <w:tcBorders>
              <w:top w:val="single" w:color="000000" w:sz="4" w:space="0"/>
              <w:left w:val="single" w:color="000000" w:sz="4" w:space="0"/>
              <w:bottom w:val="single" w:color="000000" w:sz="4" w:space="0"/>
              <w:right w:val="single" w:color="000000" w:sz="4" w:space="0"/>
            </w:tcBorders>
            <w:shd w:val="clear" w:color="auto" w:fill="090170"/>
            <w:noWrap/>
            <w:vAlign w:val="bottom"/>
          </w:tcPr>
          <w:p w14:paraId="6384F85C">
            <w:pPr>
              <w:keepNext w:val="0"/>
              <w:keepLines w:val="0"/>
              <w:widowControl/>
              <w:suppressLineNumbers w:val="0"/>
              <w:jc w:val="right"/>
              <w:textAlignment w:val="bottom"/>
              <w:rPr>
                <w:rFonts w:hint="default" w:ascii="Calibri" w:hAnsi="Calibri" w:cs="Calibri"/>
                <w:b/>
                <w:bCs/>
                <w:i w:val="0"/>
                <w:iCs w:val="0"/>
                <w:color w:val="FFFFFF"/>
                <w:sz w:val="22"/>
                <w:szCs w:val="22"/>
                <w:u w:val="none"/>
              </w:rPr>
            </w:pPr>
            <w:r>
              <w:rPr>
                <w:rFonts w:hint="default" w:ascii="Calibri" w:hAnsi="Calibri" w:eastAsia="SimSun" w:cs="Calibri"/>
                <w:b/>
                <w:bCs/>
                <w:i w:val="0"/>
                <w:iCs w:val="0"/>
                <w:color w:val="FFFFFF"/>
                <w:kern w:val="0"/>
                <w:sz w:val="22"/>
                <w:szCs w:val="22"/>
                <w:u w:val="none"/>
                <w:bdr w:val="none" w:color="auto" w:sz="0" w:space="0"/>
                <w:lang w:val="en-US" w:eastAsia="zh-CN" w:bidi="ar"/>
              </w:rPr>
              <w:t>2020</w:t>
            </w:r>
          </w:p>
        </w:tc>
      </w:tr>
      <w:tr w14:paraId="580F6B29">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322" w:hRule="atLeast"/>
        </w:trPr>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23DDBBB5">
            <w:pPr>
              <w:keepNext w:val="0"/>
              <w:keepLines w:val="0"/>
              <w:widowControl/>
              <w:suppressLineNumbers w:val="0"/>
              <w:jc w:val="lef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Net Income</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478D0BEA">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7,153.0</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489F61F1">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14,974.0</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301041EF">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12,587.0</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41671C99">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5,644.0</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13A53E5B">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862.0</w:t>
            </w:r>
          </w:p>
        </w:tc>
      </w:tr>
      <w:tr w14:paraId="4BF35A22">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322" w:hRule="atLeast"/>
        </w:trPr>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1A91206F">
            <w:pPr>
              <w:keepNext w:val="0"/>
              <w:keepLines w:val="0"/>
              <w:widowControl/>
              <w:suppressLineNumbers w:val="0"/>
              <w:jc w:val="lef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Depreciation</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3BA05392">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5,368.0</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5FE65B70">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4,667.0</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14354D8E">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3,747.0</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53042A9F">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2,911.0</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0143453A">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2,322.0</w:t>
            </w:r>
          </w:p>
        </w:tc>
      </w:tr>
      <w:tr w14:paraId="08A650F0">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322" w:hRule="atLeast"/>
        </w:trPr>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46B68321">
            <w:pPr>
              <w:keepNext w:val="0"/>
              <w:keepLines w:val="0"/>
              <w:widowControl/>
              <w:suppressLineNumbers w:val="0"/>
              <w:jc w:val="lef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Change in Working Capital</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62B7B6CE">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81.0</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2D34BE15">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(2,248.0)</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15B38705">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(3,712.0)</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095A5B14">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667.0</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5C4974D9">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184.0</w:t>
            </w:r>
          </w:p>
        </w:tc>
      </w:tr>
      <w:tr w14:paraId="06CE9453">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322" w:hRule="atLeast"/>
        </w:trPr>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46241524">
            <w:pPr>
              <w:keepNext w:val="0"/>
              <w:keepLines w:val="0"/>
              <w:widowControl/>
              <w:suppressLineNumbers w:val="0"/>
              <w:jc w:val="lef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Operating Cash Flow</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62D86E07">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14,923.0</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21176F37">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13,256.0</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44DA3858">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14,724.0</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37949D4D">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11,497.0</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2F00C023">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5,943.0</w:t>
            </w:r>
          </w:p>
        </w:tc>
      </w:tr>
      <w:tr w14:paraId="3F0799F1">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322" w:hRule="atLeast"/>
        </w:trPr>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004C6403">
            <w:pPr>
              <w:keepNext w:val="0"/>
              <w:keepLines w:val="0"/>
              <w:widowControl/>
              <w:suppressLineNumbers w:val="0"/>
              <w:jc w:val="lef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CapEx</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0018A5E2">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(11,342.0)</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30C6002E">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(8,899.0)</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71D8FBAF">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(6,222.0)</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7EEF6A9C">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(7,710.0)</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4DFB8FCD">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(3,157.0)</w:t>
            </w:r>
          </w:p>
        </w:tc>
      </w:tr>
      <w:tr w14:paraId="4E5CB14C">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322" w:hRule="atLeast"/>
        </w:trPr>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1508767E">
            <w:pPr>
              <w:keepNext w:val="0"/>
              <w:keepLines w:val="0"/>
              <w:widowControl/>
              <w:suppressLineNumbers w:val="0"/>
              <w:jc w:val="lef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Investing Cash Flow</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60ED8F95">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(18,787.0)</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286924FD">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(15,584.0)</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3759957B">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(11,973.0)</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0D4B4B8F">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(7,868.0)</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13A35956">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(3,132.0)</w:t>
            </w:r>
          </w:p>
        </w:tc>
      </w:tr>
      <w:tr w14:paraId="42018484">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322" w:hRule="atLeast"/>
        </w:trPr>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6C65FC78">
            <w:pPr>
              <w:keepNext w:val="0"/>
              <w:keepLines w:val="0"/>
              <w:widowControl/>
              <w:suppressLineNumbers w:val="0"/>
              <w:jc w:val="lef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Financing Cash Flow</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6723F7B9">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3,853.0</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38568CEE">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2,589.0</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3EB51BBD">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(3,527.0)</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11FC641F">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(5,203.0)</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53B3B45E">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9,973.0</w:t>
            </w:r>
          </w:p>
        </w:tc>
      </w:tr>
      <w:tr w14:paraId="22358EC0">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333" w:hRule="atLeast"/>
        </w:trPr>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4C1A0AC4">
            <w:pPr>
              <w:keepNext w:val="0"/>
              <w:keepLines w:val="0"/>
              <w:widowControl/>
              <w:suppressLineNumbers w:val="0"/>
              <w:jc w:val="lef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Net Cash Flow</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100D2663">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(152.0)</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21E475E8">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265.0</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6E915EC9">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(1,220.0)</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748D4EF3">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(1,757.0)</w:t>
            </w:r>
          </w:p>
        </w:tc>
        <w:tc>
          <w:tcPr>
            <w:tcW w:w="0" w:type="auto"/>
            <w:tcBorders>
              <w:top w:val="single" w:color="000000" w:sz="4" w:space="0"/>
              <w:left w:val="single" w:color="000000" w:sz="4" w:space="0"/>
              <w:bottom w:val="single" w:color="000000" w:sz="4" w:space="0"/>
              <w:right w:val="single" w:color="000000" w:sz="4" w:space="0"/>
            </w:tcBorders>
            <w:shd w:val="clear" w:color="auto" w:fill="FFFFFF"/>
            <w:noWrap/>
            <w:vAlign w:val="bottom"/>
          </w:tcPr>
          <w:p w14:paraId="1F923F46">
            <w:pPr>
              <w:keepNext w:val="0"/>
              <w:keepLines w:val="0"/>
              <w:widowControl/>
              <w:suppressLineNumbers w:val="0"/>
              <w:jc w:val="right"/>
              <w:textAlignment w:val="bottom"/>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13,118.0</w:t>
            </w:r>
          </w:p>
        </w:tc>
      </w:tr>
    </w:tbl>
    <w:p w14:paraId="3491B726">
      <w:pPr>
        <w:rPr>
          <w:rFonts w:hint="default"/>
          <w:lang w:val="en-GB" w:eastAsia="zh-CN"/>
        </w:rPr>
      </w:pPr>
    </w:p>
    <w:p w14:paraId="149992F8">
      <w:pPr>
        <w:rPr>
          <w:rFonts w:hint="default"/>
          <w:lang w:val="en-GB" w:eastAsia="zh-CN"/>
        </w:rPr>
      </w:pPr>
    </w:p>
    <w:p w14:paraId="1F7C67BC">
      <w:pPr>
        <w:rPr>
          <w:rFonts w:hint="default"/>
          <w:lang w:val="en-GB" w:eastAsia="zh-CN"/>
        </w:rPr>
      </w:pPr>
    </w:p>
    <w:p w14:paraId="560390D8">
      <w:pPr>
        <w:rPr>
          <w:rFonts w:hint="default"/>
          <w:lang w:val="en-GB" w:eastAsia="zh-CN"/>
        </w:rPr>
      </w:pPr>
    </w:p>
    <w:p w14:paraId="604D9CC7">
      <w:pPr>
        <w:rPr>
          <w:rFonts w:hint="default"/>
          <w:lang w:val="en-GB" w:eastAsia="zh-CN"/>
        </w:rPr>
      </w:pPr>
    </w:p>
    <w:p w14:paraId="15393825">
      <w:pPr>
        <w:rPr>
          <w:rFonts w:hint="default"/>
          <w:lang w:val="en-GB" w:eastAsia="zh-CN"/>
        </w:rPr>
      </w:pPr>
    </w:p>
    <w:p w14:paraId="5338FDAD">
      <w:pPr>
        <w:rPr>
          <w:rFonts w:hint="default"/>
          <w:lang w:val="en-GB" w:eastAsia="zh-CN"/>
        </w:rPr>
      </w:pPr>
    </w:p>
    <w:p w14:paraId="01FFD77C">
      <w:pPr>
        <w:rPr>
          <w:rFonts w:hint="default"/>
          <w:lang w:val="en-GB" w:eastAsia="zh-CN"/>
        </w:rPr>
      </w:pPr>
    </w:p>
    <w:p w14:paraId="5662D0B2">
      <w:pPr>
        <w:rPr>
          <w:rFonts w:hint="default"/>
          <w:lang w:val="en-GB" w:eastAsia="zh-CN"/>
        </w:rPr>
      </w:pPr>
    </w:p>
    <w:p w14:paraId="4B34094A">
      <w:pPr>
        <w:rPr>
          <w:rFonts w:hint="default"/>
          <w:lang w:val="en-GB" w:eastAsia="zh-CN"/>
        </w:rPr>
      </w:pPr>
    </w:p>
    <w:p w14:paraId="18181470">
      <w:pPr>
        <w:rPr>
          <w:rFonts w:hint="default"/>
          <w:lang w:val="en-GB" w:eastAsia="zh-CN"/>
        </w:rPr>
      </w:pPr>
    </w:p>
    <w:p w14:paraId="707C577D">
      <w:pPr>
        <w:rPr>
          <w:rFonts w:hint="default"/>
          <w:lang w:val="en-GB" w:eastAsia="zh-CN"/>
        </w:rPr>
      </w:pPr>
    </w:p>
    <w:p w14:paraId="625540DC">
      <w:pPr>
        <w:rPr>
          <w:rFonts w:hint="default"/>
          <w:lang w:val="en-GB" w:eastAsia="zh-CN"/>
        </w:rPr>
      </w:pPr>
    </w:p>
    <w:p w14:paraId="42CD3433">
      <w:pPr>
        <w:rPr>
          <w:rFonts w:hint="default"/>
          <w:lang w:val="en-GB" w:eastAsia="zh-CN"/>
        </w:rPr>
      </w:pPr>
    </w:p>
    <w:p w14:paraId="7BBF9E89">
      <w:pPr>
        <w:rPr>
          <w:rFonts w:hint="default"/>
          <w:lang w:val="en-GB" w:eastAsia="zh-CN"/>
        </w:rPr>
      </w:pPr>
    </w:p>
    <w:p w14:paraId="672ECBCD">
      <w:pPr>
        <w:rPr>
          <w:rFonts w:hint="default"/>
          <w:lang w:val="en-GB" w:eastAsia="zh-CN"/>
        </w:rPr>
      </w:pPr>
    </w:p>
    <w:p w14:paraId="0E8651A0">
      <w:pPr>
        <w:rPr>
          <w:rFonts w:hint="default"/>
          <w:lang w:val="en-GB" w:eastAsia="zh-CN"/>
        </w:rPr>
      </w:pPr>
    </w:p>
    <w:p w14:paraId="263C7529">
      <w:pPr>
        <w:rPr>
          <w:rFonts w:hint="default"/>
          <w:lang w:val="en-GB" w:eastAsia="zh-CN"/>
        </w:rPr>
      </w:pPr>
    </w:p>
    <w:p w14:paraId="1DF3CDB5">
      <w:pPr>
        <w:rPr>
          <w:rFonts w:hint="default"/>
          <w:lang w:val="en-GB" w:eastAsia="zh-CN"/>
        </w:rPr>
      </w:pPr>
    </w:p>
    <w:p w14:paraId="2F76699B">
      <w:pPr>
        <w:rPr>
          <w:rFonts w:hint="default"/>
          <w:lang w:val="en-GB" w:eastAsia="zh-CN"/>
        </w:rPr>
      </w:pPr>
    </w:p>
    <w:tbl>
      <w:tblPr>
        <w:tblW w:w="8565" w:type="dxa"/>
        <w:tblInd w:w="93" w:type="dxa"/>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Layout w:type="autofit"/>
        <w:tblCellMar>
          <w:top w:w="0" w:type="dxa"/>
          <w:left w:w="108" w:type="dxa"/>
          <w:bottom w:w="0" w:type="dxa"/>
          <w:right w:w="108" w:type="dxa"/>
        </w:tblCellMar>
      </w:tblPr>
      <w:tblGrid>
        <w:gridCol w:w="3705"/>
        <w:gridCol w:w="990"/>
        <w:gridCol w:w="990"/>
        <w:gridCol w:w="960"/>
        <w:gridCol w:w="960"/>
        <w:gridCol w:w="960"/>
      </w:tblGrid>
      <w:tr w14:paraId="32E65B39">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315" w:hRule="atLeast"/>
        </w:trPr>
        <w:tc>
          <w:tcPr>
            <w:tcW w:w="8565" w:type="dxa"/>
            <w:gridSpan w:val="6"/>
            <w:tcBorders>
              <w:top w:val="single" w:color="000000" w:sz="8" w:space="0"/>
              <w:left w:val="single" w:color="000000" w:sz="8" w:space="0"/>
              <w:bottom w:val="single" w:color="000000" w:sz="4" w:space="0"/>
              <w:right w:val="single" w:color="000000" w:sz="4" w:space="0"/>
            </w:tcBorders>
            <w:shd w:val="clear" w:color="auto" w:fill="090170"/>
            <w:noWrap/>
            <w:vAlign w:val="bottom"/>
          </w:tcPr>
          <w:p w14:paraId="5DCC1A4A">
            <w:pPr>
              <w:keepNext w:val="0"/>
              <w:keepLines w:val="0"/>
              <w:widowControl/>
              <w:suppressLineNumbers w:val="0"/>
              <w:jc w:val="center"/>
              <w:textAlignment w:val="bottom"/>
              <w:rPr>
                <w:rFonts w:ascii="Calibri" w:hAnsi="Calibri" w:cs="Calibri"/>
                <w:b/>
                <w:bCs/>
                <w:i w:val="0"/>
                <w:iCs w:val="0"/>
                <w:color w:val="FFFFFF"/>
                <w:sz w:val="24"/>
                <w:szCs w:val="24"/>
                <w:u w:val="none"/>
              </w:rPr>
            </w:pPr>
            <w:r>
              <w:rPr>
                <w:rFonts w:hint="default" w:ascii="Calibri" w:hAnsi="Calibri" w:eastAsia="SimSun" w:cs="Calibri"/>
                <w:b/>
                <w:bCs/>
                <w:i w:val="0"/>
                <w:iCs w:val="0"/>
                <w:color w:val="FFFFFF"/>
                <w:kern w:val="0"/>
                <w:sz w:val="24"/>
                <w:szCs w:val="24"/>
                <w:u w:val="none"/>
                <w:bdr w:val="none" w:color="auto" w:sz="0" w:space="0"/>
                <w:lang w:val="en-US" w:eastAsia="zh-CN" w:bidi="ar"/>
              </w:rPr>
              <w:t>Profitability Ratio</w:t>
            </w:r>
          </w:p>
        </w:tc>
      </w:tr>
      <w:tr w14:paraId="20AC6F59">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315" w:hRule="atLeast"/>
        </w:trPr>
        <w:tc>
          <w:tcPr>
            <w:tcW w:w="0" w:type="auto"/>
            <w:tcBorders>
              <w:top w:val="single" w:color="000000" w:sz="4" w:space="0"/>
              <w:left w:val="single" w:color="000000" w:sz="8" w:space="0"/>
              <w:bottom w:val="single" w:color="000000" w:sz="4" w:space="0"/>
              <w:right w:val="single" w:color="000000" w:sz="4" w:space="0"/>
            </w:tcBorders>
            <w:shd w:val="clear" w:color="auto" w:fill="090170"/>
            <w:noWrap/>
            <w:vAlign w:val="bottom"/>
          </w:tcPr>
          <w:p w14:paraId="36736A57">
            <w:pPr>
              <w:keepNext w:val="0"/>
              <w:keepLines w:val="0"/>
              <w:widowControl/>
              <w:suppressLineNumbers w:val="0"/>
              <w:jc w:val="left"/>
              <w:textAlignment w:val="bottom"/>
              <w:rPr>
                <w:rFonts w:hint="default" w:ascii="Calibri" w:hAnsi="Calibri" w:cs="Calibri"/>
                <w:b/>
                <w:bCs/>
                <w:i w:val="0"/>
                <w:iCs w:val="0"/>
                <w:color w:val="FFFFFF"/>
                <w:sz w:val="24"/>
                <w:szCs w:val="24"/>
                <w:u w:val="none"/>
              </w:rPr>
            </w:pPr>
            <w:r>
              <w:rPr>
                <w:rFonts w:hint="default" w:ascii="Calibri" w:hAnsi="Calibri" w:eastAsia="SimSun" w:cs="Calibri"/>
                <w:b/>
                <w:bCs/>
                <w:i w:val="0"/>
                <w:iCs w:val="0"/>
                <w:color w:val="FFFFFF"/>
                <w:kern w:val="0"/>
                <w:sz w:val="24"/>
                <w:szCs w:val="24"/>
                <w:u w:val="none"/>
                <w:bdr w:val="none" w:color="auto" w:sz="0" w:space="0"/>
                <w:lang w:val="en-US" w:eastAsia="zh-CN" w:bidi="ar"/>
              </w:rPr>
              <w:t>Ratio</w:t>
            </w:r>
          </w:p>
        </w:tc>
        <w:tc>
          <w:tcPr>
            <w:tcW w:w="0" w:type="auto"/>
            <w:tcBorders>
              <w:top w:val="single" w:color="000000" w:sz="4" w:space="0"/>
              <w:left w:val="single" w:color="000000" w:sz="4" w:space="0"/>
              <w:bottom w:val="single" w:color="000000" w:sz="4" w:space="0"/>
              <w:right w:val="single" w:color="000000" w:sz="4" w:space="0"/>
            </w:tcBorders>
            <w:shd w:val="clear" w:color="auto" w:fill="090170"/>
            <w:noWrap/>
            <w:vAlign w:val="bottom"/>
          </w:tcPr>
          <w:p w14:paraId="4B946766">
            <w:pPr>
              <w:keepNext w:val="0"/>
              <w:keepLines w:val="0"/>
              <w:widowControl/>
              <w:suppressLineNumbers w:val="0"/>
              <w:jc w:val="left"/>
              <w:textAlignment w:val="bottom"/>
              <w:rPr>
                <w:rFonts w:hint="default" w:ascii="Calibri" w:hAnsi="Calibri" w:cs="Calibri"/>
                <w:b/>
                <w:bCs/>
                <w:i w:val="0"/>
                <w:iCs w:val="0"/>
                <w:color w:val="FFFFFF"/>
                <w:sz w:val="24"/>
                <w:szCs w:val="24"/>
                <w:u w:val="none"/>
              </w:rPr>
            </w:pPr>
            <w:r>
              <w:rPr>
                <w:rFonts w:hint="default" w:ascii="Calibri" w:hAnsi="Calibri" w:eastAsia="SimSun" w:cs="Calibri"/>
                <w:b/>
                <w:bCs/>
                <w:i w:val="0"/>
                <w:iCs w:val="0"/>
                <w:color w:val="FFFFFF"/>
                <w:kern w:val="0"/>
                <w:sz w:val="24"/>
                <w:szCs w:val="24"/>
                <w:u w:val="none"/>
                <w:bdr w:val="none" w:color="auto" w:sz="0" w:space="0"/>
                <w:lang w:val="en-US" w:eastAsia="zh-CN" w:bidi="ar"/>
              </w:rPr>
              <w:t>2024</w:t>
            </w:r>
          </w:p>
        </w:tc>
        <w:tc>
          <w:tcPr>
            <w:tcW w:w="0" w:type="auto"/>
            <w:tcBorders>
              <w:top w:val="single" w:color="000000" w:sz="4" w:space="0"/>
              <w:left w:val="single" w:color="000000" w:sz="4" w:space="0"/>
              <w:bottom w:val="single" w:color="000000" w:sz="4" w:space="0"/>
              <w:right w:val="single" w:color="000000" w:sz="4" w:space="0"/>
            </w:tcBorders>
            <w:shd w:val="clear" w:color="auto" w:fill="090170"/>
            <w:noWrap/>
            <w:vAlign w:val="bottom"/>
          </w:tcPr>
          <w:p w14:paraId="0D2089E1">
            <w:pPr>
              <w:keepNext w:val="0"/>
              <w:keepLines w:val="0"/>
              <w:widowControl/>
              <w:suppressLineNumbers w:val="0"/>
              <w:jc w:val="left"/>
              <w:textAlignment w:val="bottom"/>
              <w:rPr>
                <w:rFonts w:hint="default" w:ascii="Calibri" w:hAnsi="Calibri" w:cs="Calibri"/>
                <w:b/>
                <w:bCs/>
                <w:i w:val="0"/>
                <w:iCs w:val="0"/>
                <w:color w:val="FFFFFF"/>
                <w:sz w:val="24"/>
                <w:szCs w:val="24"/>
                <w:u w:val="none"/>
              </w:rPr>
            </w:pPr>
            <w:r>
              <w:rPr>
                <w:rFonts w:hint="default" w:ascii="Calibri" w:hAnsi="Calibri" w:eastAsia="SimSun" w:cs="Calibri"/>
                <w:b/>
                <w:bCs/>
                <w:i w:val="0"/>
                <w:iCs w:val="0"/>
                <w:color w:val="FFFFFF"/>
                <w:kern w:val="0"/>
                <w:sz w:val="24"/>
                <w:szCs w:val="24"/>
                <w:u w:val="none"/>
                <w:bdr w:val="none" w:color="auto" w:sz="0" w:space="0"/>
                <w:lang w:val="en-US" w:eastAsia="zh-CN" w:bidi="ar"/>
              </w:rPr>
              <w:t>2023</w:t>
            </w:r>
          </w:p>
        </w:tc>
        <w:tc>
          <w:tcPr>
            <w:tcW w:w="0" w:type="auto"/>
            <w:tcBorders>
              <w:top w:val="single" w:color="000000" w:sz="4" w:space="0"/>
              <w:left w:val="single" w:color="000000" w:sz="4" w:space="0"/>
              <w:bottom w:val="single" w:color="000000" w:sz="4" w:space="0"/>
              <w:right w:val="single" w:color="000000" w:sz="4" w:space="0"/>
            </w:tcBorders>
            <w:shd w:val="clear" w:color="auto" w:fill="090170"/>
            <w:noWrap/>
            <w:vAlign w:val="bottom"/>
          </w:tcPr>
          <w:p w14:paraId="5E7298FC">
            <w:pPr>
              <w:keepNext w:val="0"/>
              <w:keepLines w:val="0"/>
              <w:widowControl/>
              <w:suppressLineNumbers w:val="0"/>
              <w:jc w:val="left"/>
              <w:textAlignment w:val="bottom"/>
              <w:rPr>
                <w:rFonts w:hint="default" w:ascii="Calibri" w:hAnsi="Calibri" w:cs="Calibri"/>
                <w:b/>
                <w:bCs/>
                <w:i w:val="0"/>
                <w:iCs w:val="0"/>
                <w:color w:val="FFFFFF"/>
                <w:sz w:val="24"/>
                <w:szCs w:val="24"/>
                <w:u w:val="none"/>
              </w:rPr>
            </w:pPr>
            <w:r>
              <w:rPr>
                <w:rFonts w:hint="default" w:ascii="Calibri" w:hAnsi="Calibri" w:eastAsia="SimSun" w:cs="Calibri"/>
                <w:b/>
                <w:bCs/>
                <w:i w:val="0"/>
                <w:iCs w:val="0"/>
                <w:color w:val="FFFFFF"/>
                <w:kern w:val="0"/>
                <w:sz w:val="24"/>
                <w:szCs w:val="24"/>
                <w:u w:val="none"/>
                <w:bdr w:val="none" w:color="auto" w:sz="0" w:space="0"/>
                <w:lang w:val="en-US" w:eastAsia="zh-CN" w:bidi="ar"/>
              </w:rPr>
              <w:t>2022</w:t>
            </w:r>
          </w:p>
        </w:tc>
        <w:tc>
          <w:tcPr>
            <w:tcW w:w="0" w:type="auto"/>
            <w:tcBorders>
              <w:top w:val="single" w:color="000000" w:sz="4" w:space="0"/>
              <w:left w:val="single" w:color="000000" w:sz="4" w:space="0"/>
              <w:bottom w:val="single" w:color="000000" w:sz="4" w:space="0"/>
              <w:right w:val="single" w:color="000000" w:sz="4" w:space="0"/>
            </w:tcBorders>
            <w:shd w:val="clear" w:color="auto" w:fill="090170"/>
            <w:noWrap/>
            <w:vAlign w:val="bottom"/>
          </w:tcPr>
          <w:p w14:paraId="7C377DA9">
            <w:pPr>
              <w:keepNext w:val="0"/>
              <w:keepLines w:val="0"/>
              <w:widowControl/>
              <w:suppressLineNumbers w:val="0"/>
              <w:jc w:val="left"/>
              <w:textAlignment w:val="bottom"/>
              <w:rPr>
                <w:rFonts w:hint="default" w:ascii="Calibri" w:hAnsi="Calibri" w:cs="Calibri"/>
                <w:b/>
                <w:bCs/>
                <w:i w:val="0"/>
                <w:iCs w:val="0"/>
                <w:color w:val="FFFFFF"/>
                <w:sz w:val="24"/>
                <w:szCs w:val="24"/>
                <w:u w:val="none"/>
              </w:rPr>
            </w:pPr>
            <w:r>
              <w:rPr>
                <w:rFonts w:hint="default" w:ascii="Calibri" w:hAnsi="Calibri" w:eastAsia="SimSun" w:cs="Calibri"/>
                <w:b/>
                <w:bCs/>
                <w:i w:val="0"/>
                <w:iCs w:val="0"/>
                <w:color w:val="FFFFFF"/>
                <w:kern w:val="0"/>
                <w:sz w:val="24"/>
                <w:szCs w:val="24"/>
                <w:u w:val="none"/>
                <w:bdr w:val="none" w:color="auto" w:sz="0" w:space="0"/>
                <w:lang w:val="en-US" w:eastAsia="zh-CN" w:bidi="ar"/>
              </w:rPr>
              <w:t>2021</w:t>
            </w:r>
          </w:p>
        </w:tc>
        <w:tc>
          <w:tcPr>
            <w:tcW w:w="0" w:type="auto"/>
            <w:tcBorders>
              <w:top w:val="single" w:color="000000" w:sz="4" w:space="0"/>
              <w:left w:val="single" w:color="000000" w:sz="4" w:space="0"/>
              <w:bottom w:val="single" w:color="000000" w:sz="4" w:space="0"/>
              <w:right w:val="single" w:color="000000" w:sz="8" w:space="0"/>
            </w:tcBorders>
            <w:shd w:val="clear" w:color="auto" w:fill="090170"/>
            <w:noWrap/>
            <w:vAlign w:val="bottom"/>
          </w:tcPr>
          <w:p w14:paraId="38FAF87B">
            <w:pPr>
              <w:keepNext w:val="0"/>
              <w:keepLines w:val="0"/>
              <w:widowControl/>
              <w:suppressLineNumbers w:val="0"/>
              <w:jc w:val="left"/>
              <w:textAlignment w:val="bottom"/>
              <w:rPr>
                <w:rFonts w:hint="default" w:ascii="Calibri" w:hAnsi="Calibri" w:cs="Calibri"/>
                <w:b/>
                <w:bCs/>
                <w:i w:val="0"/>
                <w:iCs w:val="0"/>
                <w:color w:val="FFFFFF"/>
                <w:sz w:val="24"/>
                <w:szCs w:val="24"/>
                <w:u w:val="none"/>
              </w:rPr>
            </w:pPr>
            <w:r>
              <w:rPr>
                <w:rFonts w:hint="default" w:ascii="Calibri" w:hAnsi="Calibri" w:eastAsia="SimSun" w:cs="Calibri"/>
                <w:b/>
                <w:bCs/>
                <w:i w:val="0"/>
                <w:iCs w:val="0"/>
                <w:color w:val="FFFFFF"/>
                <w:kern w:val="0"/>
                <w:sz w:val="24"/>
                <w:szCs w:val="24"/>
                <w:u w:val="none"/>
                <w:bdr w:val="none" w:color="auto" w:sz="0" w:space="0"/>
                <w:lang w:val="en-US" w:eastAsia="zh-CN" w:bidi="ar"/>
              </w:rPr>
              <w:t>2020</w:t>
            </w:r>
          </w:p>
        </w:tc>
      </w:tr>
      <w:tr w14:paraId="14E4F7A1">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315" w:hRule="atLeast"/>
        </w:trPr>
        <w:tc>
          <w:tcPr>
            <w:tcW w:w="0" w:type="auto"/>
            <w:tcBorders>
              <w:top w:val="single" w:color="000000" w:sz="4" w:space="0"/>
              <w:left w:val="single" w:color="000000" w:sz="8" w:space="0"/>
              <w:bottom w:val="single" w:color="000000" w:sz="4" w:space="0"/>
              <w:right w:val="single" w:color="000000" w:sz="4" w:space="0"/>
            </w:tcBorders>
            <w:shd w:val="clear"/>
            <w:noWrap/>
            <w:vAlign w:val="bottom"/>
          </w:tcPr>
          <w:p w14:paraId="5DD932E0">
            <w:pPr>
              <w:keepNext w:val="0"/>
              <w:keepLines w:val="0"/>
              <w:widowControl/>
              <w:suppressLineNumbers w:val="0"/>
              <w:jc w:val="lef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Gross Profit Margin</w:t>
            </w:r>
          </w:p>
        </w:tc>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3766F7FE">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17.86%</w:t>
            </w:r>
          </w:p>
        </w:tc>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2076E630">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18.24%</w:t>
            </w:r>
          </w:p>
        </w:tc>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719F69C0">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25.59%</w:t>
            </w:r>
          </w:p>
        </w:tc>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2E4CE514">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25.28%</w:t>
            </w:r>
          </w:p>
        </w:tc>
        <w:tc>
          <w:tcPr>
            <w:tcW w:w="0" w:type="auto"/>
            <w:tcBorders>
              <w:top w:val="single" w:color="000000" w:sz="4" w:space="0"/>
              <w:left w:val="single" w:color="000000" w:sz="4" w:space="0"/>
              <w:bottom w:val="single" w:color="000000" w:sz="4" w:space="0"/>
              <w:right w:val="single" w:color="000000" w:sz="8" w:space="0"/>
            </w:tcBorders>
            <w:shd w:val="clear"/>
            <w:noWrap/>
            <w:vAlign w:val="bottom"/>
          </w:tcPr>
          <w:p w14:paraId="63CF5B7E">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21.02%</w:t>
            </w:r>
          </w:p>
        </w:tc>
      </w:tr>
      <w:tr w14:paraId="7CD32589">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315" w:hRule="atLeast"/>
        </w:trPr>
        <w:tc>
          <w:tcPr>
            <w:tcW w:w="0" w:type="auto"/>
            <w:tcBorders>
              <w:top w:val="single" w:color="000000" w:sz="4" w:space="0"/>
              <w:left w:val="single" w:color="000000" w:sz="8" w:space="0"/>
              <w:bottom w:val="single" w:color="000000" w:sz="4" w:space="0"/>
              <w:right w:val="single" w:color="000000" w:sz="4" w:space="0"/>
            </w:tcBorders>
            <w:shd w:val="clear"/>
            <w:noWrap/>
            <w:vAlign w:val="bottom"/>
          </w:tcPr>
          <w:p w14:paraId="6B541FD6">
            <w:pPr>
              <w:keepNext w:val="0"/>
              <w:keepLines w:val="0"/>
              <w:widowControl/>
              <w:suppressLineNumbers w:val="0"/>
              <w:jc w:val="lef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Operating Margin</w:t>
            </w:r>
          </w:p>
        </w:tc>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33881E77">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7.24%</w:t>
            </w:r>
          </w:p>
        </w:tc>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0416601C">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9.19%</w:t>
            </w:r>
          </w:p>
        </w:tc>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5C98FEA8">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16.76%</w:t>
            </w:r>
          </w:p>
        </w:tc>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1DC6FB4A">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12.11%</w:t>
            </w:r>
          </w:p>
        </w:tc>
        <w:tc>
          <w:tcPr>
            <w:tcW w:w="0" w:type="auto"/>
            <w:tcBorders>
              <w:top w:val="single" w:color="000000" w:sz="4" w:space="0"/>
              <w:left w:val="single" w:color="000000" w:sz="4" w:space="0"/>
              <w:bottom w:val="single" w:color="000000" w:sz="4" w:space="0"/>
              <w:right w:val="single" w:color="000000" w:sz="8" w:space="0"/>
            </w:tcBorders>
            <w:shd w:val="clear"/>
            <w:noWrap/>
            <w:vAlign w:val="bottom"/>
          </w:tcPr>
          <w:p w14:paraId="31B8C5CC">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6.32%</w:t>
            </w:r>
          </w:p>
        </w:tc>
      </w:tr>
      <w:tr w14:paraId="7C0A19D2">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315" w:hRule="atLeast"/>
        </w:trPr>
        <w:tc>
          <w:tcPr>
            <w:tcW w:w="0" w:type="auto"/>
            <w:tcBorders>
              <w:top w:val="single" w:color="000000" w:sz="4" w:space="0"/>
              <w:left w:val="single" w:color="000000" w:sz="8" w:space="0"/>
              <w:bottom w:val="single" w:color="000000" w:sz="4" w:space="0"/>
              <w:right w:val="single" w:color="000000" w:sz="4" w:space="0"/>
            </w:tcBorders>
            <w:shd w:val="clear"/>
            <w:noWrap/>
            <w:vAlign w:val="bottom"/>
          </w:tcPr>
          <w:p w14:paraId="061C9A5B">
            <w:pPr>
              <w:keepNext w:val="0"/>
              <w:keepLines w:val="0"/>
              <w:widowControl/>
              <w:suppressLineNumbers w:val="0"/>
              <w:jc w:val="lef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Net Profit Margin</w:t>
            </w:r>
          </w:p>
        </w:tc>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48C0B344">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7.26%</w:t>
            </w:r>
          </w:p>
        </w:tc>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44FD901E">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15.49%</w:t>
            </w:r>
          </w:p>
        </w:tc>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4E9BF393">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15.45%</w:t>
            </w:r>
          </w:p>
        </w:tc>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2195A94E">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10.26%</w:t>
            </w:r>
          </w:p>
        </w:tc>
        <w:tc>
          <w:tcPr>
            <w:tcW w:w="0" w:type="auto"/>
            <w:tcBorders>
              <w:top w:val="single" w:color="000000" w:sz="4" w:space="0"/>
              <w:left w:val="single" w:color="000000" w:sz="4" w:space="0"/>
              <w:bottom w:val="single" w:color="000000" w:sz="4" w:space="0"/>
              <w:right w:val="single" w:color="000000" w:sz="8" w:space="0"/>
            </w:tcBorders>
            <w:shd w:val="clear"/>
            <w:noWrap/>
            <w:vAlign w:val="bottom"/>
          </w:tcPr>
          <w:p w14:paraId="6B4A2140">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2.19%</w:t>
            </w:r>
          </w:p>
        </w:tc>
      </w:tr>
      <w:tr w14:paraId="10487581">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330" w:hRule="atLeast"/>
        </w:trPr>
        <w:tc>
          <w:tcPr>
            <w:tcW w:w="0" w:type="auto"/>
            <w:tcBorders>
              <w:top w:val="single" w:color="000000" w:sz="4" w:space="0"/>
              <w:left w:val="single" w:color="000000" w:sz="8" w:space="0"/>
              <w:bottom w:val="single" w:color="000000" w:sz="8" w:space="0"/>
              <w:right w:val="single" w:color="000000" w:sz="4" w:space="0"/>
            </w:tcBorders>
            <w:shd w:val="clear"/>
            <w:noWrap/>
            <w:vAlign w:val="bottom"/>
          </w:tcPr>
          <w:p w14:paraId="477D5259">
            <w:pPr>
              <w:keepNext w:val="0"/>
              <w:keepLines w:val="0"/>
              <w:widowControl/>
              <w:suppressLineNumbers w:val="0"/>
              <w:jc w:val="lef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ROCE - Return On Capital Employed</w:t>
            </w:r>
          </w:p>
        </w:tc>
        <w:tc>
          <w:tcPr>
            <w:tcW w:w="0" w:type="auto"/>
            <w:tcBorders>
              <w:top w:val="single" w:color="000000" w:sz="4" w:space="0"/>
              <w:left w:val="single" w:color="000000" w:sz="4" w:space="0"/>
              <w:bottom w:val="single" w:color="000000" w:sz="8" w:space="0"/>
              <w:right w:val="single" w:color="000000" w:sz="4" w:space="0"/>
            </w:tcBorders>
            <w:shd w:val="clear"/>
            <w:noWrap/>
            <w:vAlign w:val="bottom"/>
          </w:tcPr>
          <w:p w14:paraId="31520D6D">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9.72%</w:t>
            </w:r>
          </w:p>
        </w:tc>
        <w:tc>
          <w:tcPr>
            <w:tcW w:w="0" w:type="auto"/>
            <w:tcBorders>
              <w:top w:val="single" w:color="000000" w:sz="4" w:space="0"/>
              <w:left w:val="single" w:color="000000" w:sz="4" w:space="0"/>
              <w:bottom w:val="single" w:color="000000" w:sz="8" w:space="0"/>
              <w:right w:val="single" w:color="000000" w:sz="4" w:space="0"/>
            </w:tcBorders>
            <w:shd w:val="clear"/>
            <w:noWrap/>
            <w:vAlign w:val="bottom"/>
          </w:tcPr>
          <w:p w14:paraId="27C4752B">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23.63%</w:t>
            </w:r>
          </w:p>
        </w:tc>
        <w:tc>
          <w:tcPr>
            <w:tcW w:w="0" w:type="auto"/>
            <w:tcBorders>
              <w:top w:val="single" w:color="000000" w:sz="4" w:space="0"/>
              <w:left w:val="single" w:color="000000" w:sz="4" w:space="0"/>
              <w:bottom w:val="single" w:color="000000" w:sz="8" w:space="0"/>
              <w:right w:val="single" w:color="000000" w:sz="4" w:space="0"/>
            </w:tcBorders>
            <w:shd w:val="clear"/>
            <w:noWrap/>
            <w:vAlign w:val="bottom"/>
          </w:tcPr>
          <w:p w14:paraId="42D4D3C8">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27.67%</w:t>
            </w:r>
          </w:p>
        </w:tc>
        <w:tc>
          <w:tcPr>
            <w:tcW w:w="0" w:type="auto"/>
            <w:tcBorders>
              <w:top w:val="single" w:color="000000" w:sz="4" w:space="0"/>
              <w:left w:val="single" w:color="000000" w:sz="4" w:space="0"/>
              <w:bottom w:val="single" w:color="000000" w:sz="8" w:space="0"/>
              <w:right w:val="single" w:color="000000" w:sz="4" w:space="0"/>
            </w:tcBorders>
            <w:shd w:val="clear"/>
            <w:noWrap/>
            <w:vAlign w:val="bottom"/>
          </w:tcPr>
          <w:p w14:paraId="2479211B">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18.20%</w:t>
            </w:r>
          </w:p>
        </w:tc>
        <w:tc>
          <w:tcPr>
            <w:tcW w:w="0" w:type="auto"/>
            <w:tcBorders>
              <w:top w:val="single" w:color="000000" w:sz="4" w:space="0"/>
              <w:left w:val="single" w:color="000000" w:sz="4" w:space="0"/>
              <w:bottom w:val="single" w:color="000000" w:sz="8" w:space="0"/>
              <w:right w:val="single" w:color="000000" w:sz="8" w:space="0"/>
            </w:tcBorders>
            <w:shd w:val="clear"/>
            <w:noWrap/>
            <w:vAlign w:val="bottom"/>
          </w:tcPr>
          <w:p w14:paraId="245A1B50">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3.74%</w:t>
            </w:r>
          </w:p>
        </w:tc>
      </w:tr>
      <w:tr w14:paraId="00E45871">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330" w:hRule="atLeast"/>
        </w:trPr>
        <w:tc>
          <w:tcPr>
            <w:tcW w:w="0" w:type="auto"/>
            <w:tcBorders>
              <w:top w:val="nil"/>
              <w:left w:val="nil"/>
              <w:bottom w:val="nil"/>
              <w:right w:val="nil"/>
            </w:tcBorders>
            <w:shd w:val="clear"/>
            <w:noWrap/>
            <w:vAlign w:val="bottom"/>
          </w:tcPr>
          <w:p w14:paraId="2D3378A9">
            <w:pPr>
              <w:jc w:val="left"/>
              <w:rPr>
                <w:rFonts w:hint="default" w:ascii="Calibri" w:hAnsi="Calibri" w:cs="Calibri"/>
                <w:i w:val="0"/>
                <w:iCs w:val="0"/>
                <w:color w:val="000000"/>
                <w:sz w:val="24"/>
                <w:szCs w:val="24"/>
                <w:u w:val="none"/>
              </w:rPr>
            </w:pPr>
          </w:p>
        </w:tc>
        <w:tc>
          <w:tcPr>
            <w:tcW w:w="0" w:type="auto"/>
            <w:tcBorders>
              <w:top w:val="nil"/>
              <w:left w:val="nil"/>
              <w:bottom w:val="nil"/>
              <w:right w:val="nil"/>
            </w:tcBorders>
            <w:shd w:val="clear"/>
            <w:noWrap/>
            <w:vAlign w:val="bottom"/>
          </w:tcPr>
          <w:p w14:paraId="7C600218">
            <w:pPr>
              <w:jc w:val="right"/>
              <w:rPr>
                <w:rFonts w:hint="default" w:ascii="Calibri" w:hAnsi="Calibri" w:cs="Calibri"/>
                <w:i w:val="0"/>
                <w:iCs w:val="0"/>
                <w:color w:val="000000"/>
                <w:sz w:val="24"/>
                <w:szCs w:val="24"/>
                <w:u w:val="none"/>
              </w:rPr>
            </w:pPr>
          </w:p>
        </w:tc>
        <w:tc>
          <w:tcPr>
            <w:tcW w:w="0" w:type="auto"/>
            <w:tcBorders>
              <w:top w:val="nil"/>
              <w:left w:val="nil"/>
              <w:bottom w:val="nil"/>
              <w:right w:val="nil"/>
            </w:tcBorders>
            <w:shd w:val="clear"/>
            <w:noWrap/>
            <w:vAlign w:val="bottom"/>
          </w:tcPr>
          <w:p w14:paraId="7BCA4452">
            <w:pPr>
              <w:jc w:val="right"/>
              <w:rPr>
                <w:rFonts w:hint="default" w:ascii="Calibri" w:hAnsi="Calibri" w:cs="Calibri"/>
                <w:i w:val="0"/>
                <w:iCs w:val="0"/>
                <w:color w:val="000000"/>
                <w:sz w:val="24"/>
                <w:szCs w:val="24"/>
                <w:u w:val="none"/>
              </w:rPr>
            </w:pPr>
          </w:p>
        </w:tc>
        <w:tc>
          <w:tcPr>
            <w:tcW w:w="0" w:type="auto"/>
            <w:tcBorders>
              <w:top w:val="nil"/>
              <w:left w:val="nil"/>
              <w:bottom w:val="nil"/>
              <w:right w:val="nil"/>
            </w:tcBorders>
            <w:shd w:val="clear"/>
            <w:noWrap/>
            <w:vAlign w:val="bottom"/>
          </w:tcPr>
          <w:p w14:paraId="42D03A07">
            <w:pPr>
              <w:jc w:val="right"/>
              <w:rPr>
                <w:rFonts w:hint="default" w:ascii="Calibri" w:hAnsi="Calibri" w:cs="Calibri"/>
                <w:i w:val="0"/>
                <w:iCs w:val="0"/>
                <w:color w:val="000000"/>
                <w:sz w:val="24"/>
                <w:szCs w:val="24"/>
                <w:u w:val="none"/>
              </w:rPr>
            </w:pPr>
          </w:p>
        </w:tc>
        <w:tc>
          <w:tcPr>
            <w:tcW w:w="0" w:type="auto"/>
            <w:tcBorders>
              <w:top w:val="nil"/>
              <w:left w:val="nil"/>
              <w:bottom w:val="nil"/>
              <w:right w:val="nil"/>
            </w:tcBorders>
            <w:shd w:val="clear"/>
            <w:noWrap/>
            <w:vAlign w:val="bottom"/>
          </w:tcPr>
          <w:p w14:paraId="0276D320">
            <w:pPr>
              <w:jc w:val="right"/>
              <w:rPr>
                <w:rFonts w:hint="default" w:ascii="Calibri" w:hAnsi="Calibri" w:cs="Calibri"/>
                <w:i w:val="0"/>
                <w:iCs w:val="0"/>
                <w:color w:val="000000"/>
                <w:sz w:val="24"/>
                <w:szCs w:val="24"/>
                <w:u w:val="none"/>
              </w:rPr>
            </w:pPr>
          </w:p>
        </w:tc>
        <w:tc>
          <w:tcPr>
            <w:tcW w:w="0" w:type="auto"/>
            <w:tcBorders>
              <w:top w:val="nil"/>
              <w:left w:val="nil"/>
              <w:bottom w:val="nil"/>
              <w:right w:val="nil"/>
            </w:tcBorders>
            <w:shd w:val="clear"/>
            <w:noWrap/>
            <w:vAlign w:val="bottom"/>
          </w:tcPr>
          <w:p w14:paraId="66398E5A">
            <w:pPr>
              <w:jc w:val="right"/>
              <w:rPr>
                <w:rFonts w:hint="default" w:ascii="Calibri" w:hAnsi="Calibri" w:cs="Calibri"/>
                <w:i w:val="0"/>
                <w:iCs w:val="0"/>
                <w:color w:val="000000"/>
                <w:sz w:val="24"/>
                <w:szCs w:val="24"/>
                <w:u w:val="none"/>
              </w:rPr>
            </w:pPr>
          </w:p>
        </w:tc>
      </w:tr>
      <w:tr w14:paraId="77089171">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315" w:hRule="atLeast"/>
        </w:trPr>
        <w:tc>
          <w:tcPr>
            <w:tcW w:w="0" w:type="auto"/>
            <w:gridSpan w:val="6"/>
            <w:tcBorders>
              <w:top w:val="single" w:color="000000" w:sz="8" w:space="0"/>
              <w:left w:val="single" w:color="000000" w:sz="8" w:space="0"/>
              <w:bottom w:val="single" w:color="000000" w:sz="4" w:space="0"/>
              <w:right w:val="single" w:color="000000" w:sz="4" w:space="0"/>
            </w:tcBorders>
            <w:shd w:val="clear" w:color="auto" w:fill="090170"/>
            <w:noWrap/>
            <w:vAlign w:val="bottom"/>
          </w:tcPr>
          <w:p w14:paraId="1066889A">
            <w:pPr>
              <w:keepNext w:val="0"/>
              <w:keepLines w:val="0"/>
              <w:widowControl/>
              <w:suppressLineNumbers w:val="0"/>
              <w:jc w:val="center"/>
              <w:textAlignment w:val="bottom"/>
              <w:rPr>
                <w:rFonts w:hint="default" w:ascii="Calibri" w:hAnsi="Calibri" w:cs="Calibri"/>
                <w:b/>
                <w:bCs/>
                <w:i w:val="0"/>
                <w:iCs w:val="0"/>
                <w:color w:val="FFFFFF"/>
                <w:sz w:val="24"/>
                <w:szCs w:val="24"/>
                <w:u w:val="none"/>
              </w:rPr>
            </w:pPr>
            <w:r>
              <w:rPr>
                <w:rFonts w:hint="default" w:ascii="Calibri" w:hAnsi="Calibri" w:eastAsia="SimSun" w:cs="Calibri"/>
                <w:b/>
                <w:bCs/>
                <w:i w:val="0"/>
                <w:iCs w:val="0"/>
                <w:color w:val="FFFFFF"/>
                <w:kern w:val="0"/>
                <w:sz w:val="24"/>
                <w:szCs w:val="24"/>
                <w:u w:val="none"/>
                <w:bdr w:val="none" w:color="auto" w:sz="0" w:space="0"/>
                <w:lang w:val="en-US" w:eastAsia="zh-CN" w:bidi="ar"/>
              </w:rPr>
              <w:t>Liquidity Ratio</w:t>
            </w:r>
          </w:p>
        </w:tc>
      </w:tr>
      <w:tr w14:paraId="34BC5DB3">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315" w:hRule="atLeast"/>
        </w:trPr>
        <w:tc>
          <w:tcPr>
            <w:tcW w:w="0" w:type="auto"/>
            <w:tcBorders>
              <w:top w:val="single" w:color="000000" w:sz="4" w:space="0"/>
              <w:left w:val="single" w:color="000000" w:sz="8" w:space="0"/>
              <w:bottom w:val="single" w:color="000000" w:sz="4" w:space="0"/>
              <w:right w:val="single" w:color="000000" w:sz="4" w:space="0"/>
            </w:tcBorders>
            <w:shd w:val="clear" w:color="auto" w:fill="090170"/>
            <w:noWrap/>
            <w:vAlign w:val="bottom"/>
          </w:tcPr>
          <w:p w14:paraId="7A6A868E">
            <w:pPr>
              <w:keepNext w:val="0"/>
              <w:keepLines w:val="0"/>
              <w:widowControl/>
              <w:suppressLineNumbers w:val="0"/>
              <w:jc w:val="left"/>
              <w:textAlignment w:val="bottom"/>
              <w:rPr>
                <w:rFonts w:hint="default" w:ascii="Calibri" w:hAnsi="Calibri" w:cs="Calibri"/>
                <w:b/>
                <w:bCs/>
                <w:i w:val="0"/>
                <w:iCs w:val="0"/>
                <w:color w:val="FFFFFF"/>
                <w:sz w:val="24"/>
                <w:szCs w:val="24"/>
                <w:u w:val="none"/>
              </w:rPr>
            </w:pPr>
            <w:r>
              <w:rPr>
                <w:rFonts w:hint="default" w:ascii="Calibri" w:hAnsi="Calibri" w:eastAsia="SimSun" w:cs="Calibri"/>
                <w:b/>
                <w:bCs/>
                <w:i w:val="0"/>
                <w:iCs w:val="0"/>
                <w:color w:val="FFFFFF"/>
                <w:kern w:val="0"/>
                <w:sz w:val="24"/>
                <w:szCs w:val="24"/>
                <w:u w:val="none"/>
                <w:bdr w:val="none" w:color="auto" w:sz="0" w:space="0"/>
                <w:lang w:val="en-US" w:eastAsia="zh-CN" w:bidi="ar"/>
              </w:rPr>
              <w:t>Ratio</w:t>
            </w:r>
          </w:p>
        </w:tc>
        <w:tc>
          <w:tcPr>
            <w:tcW w:w="0" w:type="auto"/>
            <w:tcBorders>
              <w:top w:val="single" w:color="000000" w:sz="4" w:space="0"/>
              <w:left w:val="single" w:color="000000" w:sz="4" w:space="0"/>
              <w:bottom w:val="single" w:color="000000" w:sz="4" w:space="0"/>
              <w:right w:val="single" w:color="000000" w:sz="4" w:space="0"/>
            </w:tcBorders>
            <w:shd w:val="clear" w:color="auto" w:fill="090170"/>
            <w:noWrap/>
            <w:vAlign w:val="bottom"/>
          </w:tcPr>
          <w:p w14:paraId="4AAAEE39">
            <w:pPr>
              <w:keepNext w:val="0"/>
              <w:keepLines w:val="0"/>
              <w:widowControl/>
              <w:suppressLineNumbers w:val="0"/>
              <w:jc w:val="left"/>
              <w:textAlignment w:val="bottom"/>
              <w:rPr>
                <w:rFonts w:hint="default" w:ascii="Calibri" w:hAnsi="Calibri" w:cs="Calibri"/>
                <w:b/>
                <w:bCs/>
                <w:i w:val="0"/>
                <w:iCs w:val="0"/>
                <w:color w:val="FFFFFF"/>
                <w:sz w:val="24"/>
                <w:szCs w:val="24"/>
                <w:u w:val="none"/>
              </w:rPr>
            </w:pPr>
            <w:r>
              <w:rPr>
                <w:rFonts w:hint="default" w:ascii="Calibri" w:hAnsi="Calibri" w:eastAsia="SimSun" w:cs="Calibri"/>
                <w:b/>
                <w:bCs/>
                <w:i w:val="0"/>
                <w:iCs w:val="0"/>
                <w:color w:val="FFFFFF"/>
                <w:kern w:val="0"/>
                <w:sz w:val="24"/>
                <w:szCs w:val="24"/>
                <w:u w:val="none"/>
                <w:bdr w:val="none" w:color="auto" w:sz="0" w:space="0"/>
                <w:lang w:val="en-US" w:eastAsia="zh-CN" w:bidi="ar"/>
              </w:rPr>
              <w:t>2024</w:t>
            </w:r>
          </w:p>
        </w:tc>
        <w:tc>
          <w:tcPr>
            <w:tcW w:w="0" w:type="auto"/>
            <w:tcBorders>
              <w:top w:val="single" w:color="000000" w:sz="4" w:space="0"/>
              <w:left w:val="single" w:color="000000" w:sz="4" w:space="0"/>
              <w:bottom w:val="single" w:color="000000" w:sz="4" w:space="0"/>
              <w:right w:val="single" w:color="000000" w:sz="4" w:space="0"/>
            </w:tcBorders>
            <w:shd w:val="clear" w:color="auto" w:fill="090170"/>
            <w:noWrap/>
            <w:vAlign w:val="bottom"/>
          </w:tcPr>
          <w:p w14:paraId="4B58F709">
            <w:pPr>
              <w:keepNext w:val="0"/>
              <w:keepLines w:val="0"/>
              <w:widowControl/>
              <w:suppressLineNumbers w:val="0"/>
              <w:jc w:val="left"/>
              <w:textAlignment w:val="bottom"/>
              <w:rPr>
                <w:rFonts w:hint="default" w:ascii="Calibri" w:hAnsi="Calibri" w:cs="Calibri"/>
                <w:b/>
                <w:bCs/>
                <w:i w:val="0"/>
                <w:iCs w:val="0"/>
                <w:color w:val="FFFFFF"/>
                <w:sz w:val="24"/>
                <w:szCs w:val="24"/>
                <w:u w:val="none"/>
              </w:rPr>
            </w:pPr>
            <w:r>
              <w:rPr>
                <w:rFonts w:hint="default" w:ascii="Calibri" w:hAnsi="Calibri" w:eastAsia="SimSun" w:cs="Calibri"/>
                <w:b/>
                <w:bCs/>
                <w:i w:val="0"/>
                <w:iCs w:val="0"/>
                <w:color w:val="FFFFFF"/>
                <w:kern w:val="0"/>
                <w:sz w:val="24"/>
                <w:szCs w:val="24"/>
                <w:u w:val="none"/>
                <w:bdr w:val="none" w:color="auto" w:sz="0" w:space="0"/>
                <w:lang w:val="en-US" w:eastAsia="zh-CN" w:bidi="ar"/>
              </w:rPr>
              <w:t>2023</w:t>
            </w:r>
          </w:p>
        </w:tc>
        <w:tc>
          <w:tcPr>
            <w:tcW w:w="0" w:type="auto"/>
            <w:tcBorders>
              <w:top w:val="single" w:color="000000" w:sz="4" w:space="0"/>
              <w:left w:val="single" w:color="000000" w:sz="4" w:space="0"/>
              <w:bottom w:val="single" w:color="000000" w:sz="4" w:space="0"/>
              <w:right w:val="single" w:color="000000" w:sz="4" w:space="0"/>
            </w:tcBorders>
            <w:shd w:val="clear" w:color="auto" w:fill="090170"/>
            <w:noWrap/>
            <w:vAlign w:val="bottom"/>
          </w:tcPr>
          <w:p w14:paraId="2684D13C">
            <w:pPr>
              <w:keepNext w:val="0"/>
              <w:keepLines w:val="0"/>
              <w:widowControl/>
              <w:suppressLineNumbers w:val="0"/>
              <w:jc w:val="left"/>
              <w:textAlignment w:val="bottom"/>
              <w:rPr>
                <w:rFonts w:hint="default" w:ascii="Calibri" w:hAnsi="Calibri" w:cs="Calibri"/>
                <w:b/>
                <w:bCs/>
                <w:i w:val="0"/>
                <w:iCs w:val="0"/>
                <w:color w:val="FFFFFF"/>
                <w:sz w:val="24"/>
                <w:szCs w:val="24"/>
                <w:u w:val="none"/>
              </w:rPr>
            </w:pPr>
            <w:r>
              <w:rPr>
                <w:rFonts w:hint="default" w:ascii="Calibri" w:hAnsi="Calibri" w:eastAsia="SimSun" w:cs="Calibri"/>
                <w:b/>
                <w:bCs/>
                <w:i w:val="0"/>
                <w:iCs w:val="0"/>
                <w:color w:val="FFFFFF"/>
                <w:kern w:val="0"/>
                <w:sz w:val="24"/>
                <w:szCs w:val="24"/>
                <w:u w:val="none"/>
                <w:bdr w:val="none" w:color="auto" w:sz="0" w:space="0"/>
                <w:lang w:val="en-US" w:eastAsia="zh-CN" w:bidi="ar"/>
              </w:rPr>
              <w:t>2022</w:t>
            </w:r>
          </w:p>
        </w:tc>
        <w:tc>
          <w:tcPr>
            <w:tcW w:w="0" w:type="auto"/>
            <w:tcBorders>
              <w:top w:val="single" w:color="000000" w:sz="4" w:space="0"/>
              <w:left w:val="single" w:color="000000" w:sz="4" w:space="0"/>
              <w:bottom w:val="single" w:color="000000" w:sz="4" w:space="0"/>
              <w:right w:val="single" w:color="000000" w:sz="4" w:space="0"/>
            </w:tcBorders>
            <w:shd w:val="clear" w:color="auto" w:fill="090170"/>
            <w:noWrap/>
            <w:vAlign w:val="bottom"/>
          </w:tcPr>
          <w:p w14:paraId="2BB84063">
            <w:pPr>
              <w:keepNext w:val="0"/>
              <w:keepLines w:val="0"/>
              <w:widowControl/>
              <w:suppressLineNumbers w:val="0"/>
              <w:jc w:val="left"/>
              <w:textAlignment w:val="bottom"/>
              <w:rPr>
                <w:rFonts w:hint="default" w:ascii="Calibri" w:hAnsi="Calibri" w:cs="Calibri"/>
                <w:b/>
                <w:bCs/>
                <w:i w:val="0"/>
                <w:iCs w:val="0"/>
                <w:color w:val="FFFFFF"/>
                <w:sz w:val="24"/>
                <w:szCs w:val="24"/>
                <w:u w:val="none"/>
              </w:rPr>
            </w:pPr>
            <w:r>
              <w:rPr>
                <w:rFonts w:hint="default" w:ascii="Calibri" w:hAnsi="Calibri" w:eastAsia="SimSun" w:cs="Calibri"/>
                <w:b/>
                <w:bCs/>
                <w:i w:val="0"/>
                <w:iCs w:val="0"/>
                <w:color w:val="FFFFFF"/>
                <w:kern w:val="0"/>
                <w:sz w:val="24"/>
                <w:szCs w:val="24"/>
                <w:u w:val="none"/>
                <w:bdr w:val="none" w:color="auto" w:sz="0" w:space="0"/>
                <w:lang w:val="en-US" w:eastAsia="zh-CN" w:bidi="ar"/>
              </w:rPr>
              <w:t>2021</w:t>
            </w:r>
          </w:p>
        </w:tc>
        <w:tc>
          <w:tcPr>
            <w:tcW w:w="0" w:type="auto"/>
            <w:tcBorders>
              <w:top w:val="single" w:color="000000" w:sz="4" w:space="0"/>
              <w:left w:val="single" w:color="000000" w:sz="4" w:space="0"/>
              <w:bottom w:val="single" w:color="000000" w:sz="4" w:space="0"/>
              <w:right w:val="single" w:color="000000" w:sz="8" w:space="0"/>
            </w:tcBorders>
            <w:shd w:val="clear" w:color="auto" w:fill="090170"/>
            <w:noWrap/>
            <w:vAlign w:val="bottom"/>
          </w:tcPr>
          <w:p w14:paraId="15C9F622">
            <w:pPr>
              <w:keepNext w:val="0"/>
              <w:keepLines w:val="0"/>
              <w:widowControl/>
              <w:suppressLineNumbers w:val="0"/>
              <w:jc w:val="left"/>
              <w:textAlignment w:val="bottom"/>
              <w:rPr>
                <w:rFonts w:hint="default" w:ascii="Calibri" w:hAnsi="Calibri" w:cs="Calibri"/>
                <w:b/>
                <w:bCs/>
                <w:i w:val="0"/>
                <w:iCs w:val="0"/>
                <w:color w:val="FFFFFF"/>
                <w:sz w:val="24"/>
                <w:szCs w:val="24"/>
                <w:u w:val="none"/>
              </w:rPr>
            </w:pPr>
            <w:r>
              <w:rPr>
                <w:rFonts w:hint="default" w:ascii="Calibri" w:hAnsi="Calibri" w:eastAsia="SimSun" w:cs="Calibri"/>
                <w:b/>
                <w:bCs/>
                <w:i w:val="0"/>
                <w:iCs w:val="0"/>
                <w:color w:val="FFFFFF"/>
                <w:kern w:val="0"/>
                <w:sz w:val="24"/>
                <w:szCs w:val="24"/>
                <w:u w:val="none"/>
                <w:bdr w:val="none" w:color="auto" w:sz="0" w:space="0"/>
                <w:lang w:val="en-US" w:eastAsia="zh-CN" w:bidi="ar"/>
              </w:rPr>
              <w:t>2020</w:t>
            </w:r>
          </w:p>
        </w:tc>
      </w:tr>
      <w:tr w14:paraId="03BB08C1">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315" w:hRule="atLeast"/>
        </w:trPr>
        <w:tc>
          <w:tcPr>
            <w:tcW w:w="0" w:type="auto"/>
            <w:tcBorders>
              <w:top w:val="single" w:color="000000" w:sz="4" w:space="0"/>
              <w:left w:val="single" w:color="000000" w:sz="8" w:space="0"/>
              <w:bottom w:val="single" w:color="000000" w:sz="4" w:space="0"/>
              <w:right w:val="single" w:color="000000" w:sz="4" w:space="0"/>
            </w:tcBorders>
            <w:shd w:val="clear"/>
            <w:noWrap/>
            <w:vAlign w:val="bottom"/>
          </w:tcPr>
          <w:p w14:paraId="25445F1D">
            <w:pPr>
              <w:keepNext w:val="0"/>
              <w:keepLines w:val="0"/>
              <w:widowControl/>
              <w:suppressLineNumbers w:val="0"/>
              <w:jc w:val="lef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Current Ratio</w:t>
            </w:r>
          </w:p>
        </w:tc>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3F741056">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2.03</w:t>
            </w:r>
          </w:p>
        </w:tc>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24E193F5">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1.73</w:t>
            </w:r>
          </w:p>
        </w:tc>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0B0D26E0">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1.53</w:t>
            </w:r>
          </w:p>
        </w:tc>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561D1741">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1.38</w:t>
            </w:r>
          </w:p>
        </w:tc>
        <w:tc>
          <w:tcPr>
            <w:tcW w:w="0" w:type="auto"/>
            <w:tcBorders>
              <w:top w:val="single" w:color="000000" w:sz="4" w:space="0"/>
              <w:left w:val="single" w:color="000000" w:sz="4" w:space="0"/>
              <w:bottom w:val="single" w:color="000000" w:sz="4" w:space="0"/>
              <w:right w:val="single" w:color="000000" w:sz="8" w:space="0"/>
            </w:tcBorders>
            <w:shd w:val="clear"/>
            <w:noWrap/>
            <w:vAlign w:val="bottom"/>
          </w:tcPr>
          <w:p w14:paraId="494A8A93">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1.88</w:t>
            </w:r>
          </w:p>
        </w:tc>
      </w:tr>
      <w:tr w14:paraId="53B82B07">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315" w:hRule="atLeast"/>
        </w:trPr>
        <w:tc>
          <w:tcPr>
            <w:tcW w:w="0" w:type="auto"/>
            <w:tcBorders>
              <w:top w:val="single" w:color="000000" w:sz="4" w:space="0"/>
              <w:left w:val="single" w:color="000000" w:sz="8" w:space="0"/>
              <w:bottom w:val="single" w:color="000000" w:sz="4" w:space="0"/>
              <w:right w:val="single" w:color="000000" w:sz="4" w:space="0"/>
            </w:tcBorders>
            <w:shd w:val="clear"/>
            <w:noWrap/>
            <w:vAlign w:val="bottom"/>
          </w:tcPr>
          <w:p w14:paraId="7031F472">
            <w:pPr>
              <w:keepNext w:val="0"/>
              <w:keepLines w:val="0"/>
              <w:widowControl/>
              <w:suppressLineNumbers w:val="0"/>
              <w:jc w:val="lef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Quick Ratio</w:t>
            </w:r>
          </w:p>
        </w:tc>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066EEBAE">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1.54</w:t>
            </w:r>
          </w:p>
        </w:tc>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7C2C3C49">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1.88</w:t>
            </w:r>
          </w:p>
        </w:tc>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74378BB1">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1.39</w:t>
            </w:r>
          </w:p>
        </w:tc>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7EB11DE0">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1.19</w:t>
            </w:r>
          </w:p>
        </w:tc>
        <w:tc>
          <w:tcPr>
            <w:tcW w:w="0" w:type="auto"/>
            <w:tcBorders>
              <w:top w:val="single" w:color="000000" w:sz="4" w:space="0"/>
              <w:left w:val="single" w:color="000000" w:sz="4" w:space="0"/>
              <w:bottom w:val="single" w:color="000000" w:sz="4" w:space="0"/>
              <w:right w:val="single" w:color="000000" w:sz="8" w:space="0"/>
            </w:tcBorders>
            <w:shd w:val="clear"/>
            <w:noWrap/>
            <w:vAlign w:val="bottom"/>
          </w:tcPr>
          <w:p w14:paraId="6E9831D9">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1.12</w:t>
            </w:r>
          </w:p>
        </w:tc>
      </w:tr>
      <w:tr w14:paraId="0DA0774A">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315" w:hRule="atLeast"/>
        </w:trPr>
        <w:tc>
          <w:tcPr>
            <w:tcW w:w="0" w:type="auto"/>
            <w:tcBorders>
              <w:top w:val="single" w:color="000000" w:sz="4" w:space="0"/>
              <w:left w:val="single" w:color="000000" w:sz="8" w:space="0"/>
              <w:bottom w:val="single" w:color="000000" w:sz="4" w:space="0"/>
              <w:right w:val="single" w:color="000000" w:sz="4" w:space="0"/>
            </w:tcBorders>
            <w:shd w:val="clear"/>
            <w:noWrap/>
            <w:vAlign w:val="bottom"/>
          </w:tcPr>
          <w:p w14:paraId="254CBEF0">
            <w:pPr>
              <w:keepNext w:val="0"/>
              <w:keepLines w:val="0"/>
              <w:widowControl/>
              <w:suppressLineNumbers w:val="0"/>
              <w:jc w:val="lef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Cash Ratio</w:t>
            </w:r>
          </w:p>
        </w:tc>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3F005021">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1.06</w:t>
            </w:r>
          </w:p>
        </w:tc>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1E4674A2">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1.37</w:t>
            </w:r>
          </w:p>
        </w:tc>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0988D585">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0.87</w:t>
            </w:r>
          </w:p>
        </w:tc>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10652B63">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0.72</w:t>
            </w:r>
          </w:p>
        </w:tc>
        <w:tc>
          <w:tcPr>
            <w:tcW w:w="0" w:type="auto"/>
            <w:tcBorders>
              <w:top w:val="single" w:color="000000" w:sz="4" w:space="0"/>
              <w:left w:val="single" w:color="000000" w:sz="4" w:space="0"/>
              <w:bottom w:val="single" w:color="000000" w:sz="4" w:space="0"/>
              <w:right w:val="single" w:color="000000" w:sz="8" w:space="0"/>
            </w:tcBorders>
            <w:shd w:val="clear"/>
            <w:noWrap/>
            <w:vAlign w:val="bottom"/>
          </w:tcPr>
          <w:p w14:paraId="62FE6F38">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0.62</w:t>
            </w:r>
          </w:p>
        </w:tc>
      </w:tr>
      <w:tr w14:paraId="4A799DF4">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330" w:hRule="atLeast"/>
        </w:trPr>
        <w:tc>
          <w:tcPr>
            <w:tcW w:w="0" w:type="auto"/>
            <w:tcBorders>
              <w:top w:val="nil"/>
              <w:left w:val="nil"/>
              <w:bottom w:val="nil"/>
              <w:right w:val="nil"/>
            </w:tcBorders>
            <w:shd w:val="clear"/>
            <w:noWrap/>
            <w:vAlign w:val="bottom"/>
          </w:tcPr>
          <w:p w14:paraId="1C1CB1EF">
            <w:pPr>
              <w:jc w:val="left"/>
              <w:rPr>
                <w:rFonts w:hint="default" w:ascii="Calibri" w:hAnsi="Calibri" w:cs="Calibri"/>
                <w:i w:val="0"/>
                <w:iCs w:val="0"/>
                <w:color w:val="000000"/>
                <w:sz w:val="24"/>
                <w:szCs w:val="24"/>
                <w:u w:val="none"/>
              </w:rPr>
            </w:pPr>
          </w:p>
        </w:tc>
        <w:tc>
          <w:tcPr>
            <w:tcW w:w="0" w:type="auto"/>
            <w:tcBorders>
              <w:top w:val="nil"/>
              <w:left w:val="nil"/>
              <w:bottom w:val="nil"/>
              <w:right w:val="nil"/>
            </w:tcBorders>
            <w:shd w:val="clear"/>
            <w:noWrap/>
            <w:vAlign w:val="bottom"/>
          </w:tcPr>
          <w:p w14:paraId="5340283F">
            <w:pPr>
              <w:jc w:val="right"/>
              <w:rPr>
                <w:rFonts w:hint="default" w:ascii="Calibri" w:hAnsi="Calibri" w:cs="Calibri"/>
                <w:i w:val="0"/>
                <w:iCs w:val="0"/>
                <w:color w:val="000000"/>
                <w:sz w:val="24"/>
                <w:szCs w:val="24"/>
                <w:u w:val="none"/>
              </w:rPr>
            </w:pPr>
          </w:p>
        </w:tc>
        <w:tc>
          <w:tcPr>
            <w:tcW w:w="0" w:type="auto"/>
            <w:tcBorders>
              <w:top w:val="nil"/>
              <w:left w:val="nil"/>
              <w:bottom w:val="nil"/>
              <w:right w:val="nil"/>
            </w:tcBorders>
            <w:shd w:val="clear"/>
            <w:noWrap/>
            <w:vAlign w:val="bottom"/>
          </w:tcPr>
          <w:p w14:paraId="227A2F43">
            <w:pPr>
              <w:jc w:val="right"/>
              <w:rPr>
                <w:rFonts w:hint="default" w:ascii="Calibri" w:hAnsi="Calibri" w:cs="Calibri"/>
                <w:i w:val="0"/>
                <w:iCs w:val="0"/>
                <w:color w:val="000000"/>
                <w:sz w:val="24"/>
                <w:szCs w:val="24"/>
                <w:u w:val="none"/>
              </w:rPr>
            </w:pPr>
          </w:p>
        </w:tc>
        <w:tc>
          <w:tcPr>
            <w:tcW w:w="0" w:type="auto"/>
            <w:tcBorders>
              <w:top w:val="nil"/>
              <w:left w:val="nil"/>
              <w:bottom w:val="nil"/>
              <w:right w:val="nil"/>
            </w:tcBorders>
            <w:shd w:val="clear"/>
            <w:noWrap/>
            <w:vAlign w:val="bottom"/>
          </w:tcPr>
          <w:p w14:paraId="75142D6F">
            <w:pPr>
              <w:jc w:val="right"/>
              <w:rPr>
                <w:rFonts w:hint="default" w:ascii="Calibri" w:hAnsi="Calibri" w:cs="Calibri"/>
                <w:i w:val="0"/>
                <w:iCs w:val="0"/>
                <w:color w:val="000000"/>
                <w:sz w:val="24"/>
                <w:szCs w:val="24"/>
                <w:u w:val="none"/>
              </w:rPr>
            </w:pPr>
          </w:p>
        </w:tc>
        <w:tc>
          <w:tcPr>
            <w:tcW w:w="0" w:type="auto"/>
            <w:tcBorders>
              <w:top w:val="nil"/>
              <w:left w:val="nil"/>
              <w:bottom w:val="nil"/>
              <w:right w:val="nil"/>
            </w:tcBorders>
            <w:shd w:val="clear"/>
            <w:noWrap/>
            <w:vAlign w:val="bottom"/>
          </w:tcPr>
          <w:p w14:paraId="79E7268D">
            <w:pPr>
              <w:jc w:val="right"/>
              <w:rPr>
                <w:rFonts w:hint="default" w:ascii="Calibri" w:hAnsi="Calibri" w:cs="Calibri"/>
                <w:i w:val="0"/>
                <w:iCs w:val="0"/>
                <w:color w:val="000000"/>
                <w:sz w:val="24"/>
                <w:szCs w:val="24"/>
                <w:u w:val="none"/>
              </w:rPr>
            </w:pPr>
          </w:p>
        </w:tc>
        <w:tc>
          <w:tcPr>
            <w:tcW w:w="0" w:type="auto"/>
            <w:tcBorders>
              <w:top w:val="nil"/>
              <w:left w:val="nil"/>
              <w:bottom w:val="nil"/>
              <w:right w:val="nil"/>
            </w:tcBorders>
            <w:shd w:val="clear"/>
            <w:noWrap/>
            <w:vAlign w:val="bottom"/>
          </w:tcPr>
          <w:p w14:paraId="70AE0E7D">
            <w:pPr>
              <w:jc w:val="right"/>
              <w:rPr>
                <w:rFonts w:hint="default" w:ascii="Calibri" w:hAnsi="Calibri" w:cs="Calibri"/>
                <w:i w:val="0"/>
                <w:iCs w:val="0"/>
                <w:color w:val="000000"/>
                <w:sz w:val="24"/>
                <w:szCs w:val="24"/>
                <w:u w:val="none"/>
              </w:rPr>
            </w:pPr>
          </w:p>
        </w:tc>
      </w:tr>
      <w:tr w14:paraId="083349E4">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315" w:hRule="atLeast"/>
        </w:trPr>
        <w:tc>
          <w:tcPr>
            <w:tcW w:w="0" w:type="auto"/>
            <w:gridSpan w:val="6"/>
            <w:tcBorders>
              <w:top w:val="single" w:color="000000" w:sz="8" w:space="0"/>
              <w:left w:val="single" w:color="000000" w:sz="8" w:space="0"/>
              <w:bottom w:val="single" w:color="000000" w:sz="4" w:space="0"/>
              <w:right w:val="single" w:color="000000" w:sz="4" w:space="0"/>
            </w:tcBorders>
            <w:shd w:val="clear" w:color="auto" w:fill="090170"/>
            <w:noWrap/>
            <w:vAlign w:val="bottom"/>
          </w:tcPr>
          <w:p w14:paraId="4E5763AB">
            <w:pPr>
              <w:keepNext w:val="0"/>
              <w:keepLines w:val="0"/>
              <w:widowControl/>
              <w:suppressLineNumbers w:val="0"/>
              <w:jc w:val="center"/>
              <w:textAlignment w:val="bottom"/>
              <w:rPr>
                <w:rFonts w:hint="default" w:ascii="Calibri" w:hAnsi="Calibri" w:cs="Calibri"/>
                <w:b/>
                <w:bCs/>
                <w:i w:val="0"/>
                <w:iCs w:val="0"/>
                <w:color w:val="FFFFFF"/>
                <w:sz w:val="24"/>
                <w:szCs w:val="24"/>
                <w:u w:val="none"/>
              </w:rPr>
            </w:pPr>
            <w:r>
              <w:rPr>
                <w:rFonts w:hint="default" w:ascii="Calibri" w:hAnsi="Calibri" w:eastAsia="SimSun" w:cs="Calibri"/>
                <w:b/>
                <w:bCs/>
                <w:i w:val="0"/>
                <w:iCs w:val="0"/>
                <w:color w:val="FFFFFF"/>
                <w:kern w:val="0"/>
                <w:sz w:val="24"/>
                <w:szCs w:val="24"/>
                <w:u w:val="none"/>
                <w:bdr w:val="none" w:color="auto" w:sz="0" w:space="0"/>
                <w:lang w:val="en-US" w:eastAsia="zh-CN" w:bidi="ar"/>
              </w:rPr>
              <w:t>Efficiancy Ratio</w:t>
            </w:r>
          </w:p>
        </w:tc>
      </w:tr>
      <w:tr w14:paraId="04410B2A">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315" w:hRule="atLeast"/>
        </w:trPr>
        <w:tc>
          <w:tcPr>
            <w:tcW w:w="0" w:type="auto"/>
            <w:tcBorders>
              <w:top w:val="single" w:color="000000" w:sz="4" w:space="0"/>
              <w:left w:val="single" w:color="000000" w:sz="8" w:space="0"/>
              <w:bottom w:val="single" w:color="000000" w:sz="4" w:space="0"/>
              <w:right w:val="single" w:color="000000" w:sz="4" w:space="0"/>
            </w:tcBorders>
            <w:shd w:val="clear" w:color="auto" w:fill="090170"/>
            <w:noWrap/>
            <w:vAlign w:val="bottom"/>
          </w:tcPr>
          <w:p w14:paraId="47AB39FF">
            <w:pPr>
              <w:keepNext w:val="0"/>
              <w:keepLines w:val="0"/>
              <w:widowControl/>
              <w:suppressLineNumbers w:val="0"/>
              <w:jc w:val="left"/>
              <w:textAlignment w:val="bottom"/>
              <w:rPr>
                <w:rFonts w:hint="default" w:ascii="Calibri" w:hAnsi="Calibri" w:cs="Calibri"/>
                <w:b/>
                <w:bCs/>
                <w:i w:val="0"/>
                <w:iCs w:val="0"/>
                <w:color w:val="FFFFFF"/>
                <w:sz w:val="24"/>
                <w:szCs w:val="24"/>
                <w:u w:val="none"/>
              </w:rPr>
            </w:pPr>
            <w:r>
              <w:rPr>
                <w:rFonts w:hint="default" w:ascii="Calibri" w:hAnsi="Calibri" w:eastAsia="SimSun" w:cs="Calibri"/>
                <w:b/>
                <w:bCs/>
                <w:i w:val="0"/>
                <w:iCs w:val="0"/>
                <w:color w:val="FFFFFF"/>
                <w:kern w:val="0"/>
                <w:sz w:val="24"/>
                <w:szCs w:val="24"/>
                <w:u w:val="none"/>
                <w:bdr w:val="none" w:color="auto" w:sz="0" w:space="0"/>
                <w:lang w:val="en-US" w:eastAsia="zh-CN" w:bidi="ar"/>
              </w:rPr>
              <w:t>Ratio</w:t>
            </w:r>
          </w:p>
        </w:tc>
        <w:tc>
          <w:tcPr>
            <w:tcW w:w="0" w:type="auto"/>
            <w:tcBorders>
              <w:top w:val="single" w:color="000000" w:sz="4" w:space="0"/>
              <w:left w:val="single" w:color="000000" w:sz="4" w:space="0"/>
              <w:bottom w:val="single" w:color="000000" w:sz="4" w:space="0"/>
              <w:right w:val="single" w:color="000000" w:sz="4" w:space="0"/>
            </w:tcBorders>
            <w:shd w:val="clear" w:color="auto" w:fill="090170"/>
            <w:noWrap/>
            <w:vAlign w:val="bottom"/>
          </w:tcPr>
          <w:p w14:paraId="54C1745A">
            <w:pPr>
              <w:keepNext w:val="0"/>
              <w:keepLines w:val="0"/>
              <w:widowControl/>
              <w:suppressLineNumbers w:val="0"/>
              <w:jc w:val="left"/>
              <w:textAlignment w:val="bottom"/>
              <w:rPr>
                <w:rFonts w:hint="default" w:ascii="Calibri" w:hAnsi="Calibri" w:cs="Calibri"/>
                <w:b/>
                <w:bCs/>
                <w:i w:val="0"/>
                <w:iCs w:val="0"/>
                <w:color w:val="FFFFFF"/>
                <w:sz w:val="24"/>
                <w:szCs w:val="24"/>
                <w:u w:val="none"/>
              </w:rPr>
            </w:pPr>
            <w:r>
              <w:rPr>
                <w:rFonts w:hint="default" w:ascii="Calibri" w:hAnsi="Calibri" w:eastAsia="SimSun" w:cs="Calibri"/>
                <w:b/>
                <w:bCs/>
                <w:i w:val="0"/>
                <w:iCs w:val="0"/>
                <w:color w:val="FFFFFF"/>
                <w:kern w:val="0"/>
                <w:sz w:val="24"/>
                <w:szCs w:val="24"/>
                <w:u w:val="none"/>
                <w:bdr w:val="none" w:color="auto" w:sz="0" w:space="0"/>
                <w:lang w:val="en-US" w:eastAsia="zh-CN" w:bidi="ar"/>
              </w:rPr>
              <w:t>2024</w:t>
            </w:r>
          </w:p>
        </w:tc>
        <w:tc>
          <w:tcPr>
            <w:tcW w:w="0" w:type="auto"/>
            <w:tcBorders>
              <w:top w:val="single" w:color="000000" w:sz="4" w:space="0"/>
              <w:left w:val="single" w:color="000000" w:sz="4" w:space="0"/>
              <w:bottom w:val="single" w:color="000000" w:sz="4" w:space="0"/>
              <w:right w:val="single" w:color="000000" w:sz="4" w:space="0"/>
            </w:tcBorders>
            <w:shd w:val="clear" w:color="auto" w:fill="090170"/>
            <w:noWrap/>
            <w:vAlign w:val="bottom"/>
          </w:tcPr>
          <w:p w14:paraId="0A01F918">
            <w:pPr>
              <w:keepNext w:val="0"/>
              <w:keepLines w:val="0"/>
              <w:widowControl/>
              <w:suppressLineNumbers w:val="0"/>
              <w:jc w:val="left"/>
              <w:textAlignment w:val="bottom"/>
              <w:rPr>
                <w:rFonts w:hint="default" w:ascii="Calibri" w:hAnsi="Calibri" w:cs="Calibri"/>
                <w:b/>
                <w:bCs/>
                <w:i w:val="0"/>
                <w:iCs w:val="0"/>
                <w:color w:val="FFFFFF"/>
                <w:sz w:val="24"/>
                <w:szCs w:val="24"/>
                <w:u w:val="none"/>
              </w:rPr>
            </w:pPr>
            <w:r>
              <w:rPr>
                <w:rFonts w:hint="default" w:ascii="Calibri" w:hAnsi="Calibri" w:eastAsia="SimSun" w:cs="Calibri"/>
                <w:b/>
                <w:bCs/>
                <w:i w:val="0"/>
                <w:iCs w:val="0"/>
                <w:color w:val="FFFFFF"/>
                <w:kern w:val="0"/>
                <w:sz w:val="24"/>
                <w:szCs w:val="24"/>
                <w:u w:val="none"/>
                <w:bdr w:val="none" w:color="auto" w:sz="0" w:space="0"/>
                <w:lang w:val="en-US" w:eastAsia="zh-CN" w:bidi="ar"/>
              </w:rPr>
              <w:t>2023</w:t>
            </w:r>
          </w:p>
        </w:tc>
        <w:tc>
          <w:tcPr>
            <w:tcW w:w="0" w:type="auto"/>
            <w:tcBorders>
              <w:top w:val="single" w:color="000000" w:sz="4" w:space="0"/>
              <w:left w:val="single" w:color="000000" w:sz="4" w:space="0"/>
              <w:bottom w:val="single" w:color="000000" w:sz="4" w:space="0"/>
              <w:right w:val="single" w:color="000000" w:sz="4" w:space="0"/>
            </w:tcBorders>
            <w:shd w:val="clear" w:color="auto" w:fill="090170"/>
            <w:noWrap/>
            <w:vAlign w:val="bottom"/>
          </w:tcPr>
          <w:p w14:paraId="79529FF3">
            <w:pPr>
              <w:keepNext w:val="0"/>
              <w:keepLines w:val="0"/>
              <w:widowControl/>
              <w:suppressLineNumbers w:val="0"/>
              <w:jc w:val="left"/>
              <w:textAlignment w:val="bottom"/>
              <w:rPr>
                <w:rFonts w:hint="default" w:ascii="Calibri" w:hAnsi="Calibri" w:cs="Calibri"/>
                <w:b/>
                <w:bCs/>
                <w:i w:val="0"/>
                <w:iCs w:val="0"/>
                <w:color w:val="FFFFFF"/>
                <w:sz w:val="24"/>
                <w:szCs w:val="24"/>
                <w:u w:val="none"/>
              </w:rPr>
            </w:pPr>
            <w:r>
              <w:rPr>
                <w:rFonts w:hint="default" w:ascii="Calibri" w:hAnsi="Calibri" w:eastAsia="SimSun" w:cs="Calibri"/>
                <w:b/>
                <w:bCs/>
                <w:i w:val="0"/>
                <w:iCs w:val="0"/>
                <w:color w:val="FFFFFF"/>
                <w:kern w:val="0"/>
                <w:sz w:val="24"/>
                <w:szCs w:val="24"/>
                <w:u w:val="none"/>
                <w:bdr w:val="none" w:color="auto" w:sz="0" w:space="0"/>
                <w:lang w:val="en-US" w:eastAsia="zh-CN" w:bidi="ar"/>
              </w:rPr>
              <w:t>2022</w:t>
            </w:r>
          </w:p>
        </w:tc>
        <w:tc>
          <w:tcPr>
            <w:tcW w:w="0" w:type="auto"/>
            <w:tcBorders>
              <w:top w:val="single" w:color="000000" w:sz="4" w:space="0"/>
              <w:left w:val="single" w:color="000000" w:sz="4" w:space="0"/>
              <w:bottom w:val="single" w:color="000000" w:sz="4" w:space="0"/>
              <w:right w:val="single" w:color="000000" w:sz="4" w:space="0"/>
            </w:tcBorders>
            <w:shd w:val="clear" w:color="auto" w:fill="090170"/>
            <w:noWrap/>
            <w:vAlign w:val="bottom"/>
          </w:tcPr>
          <w:p w14:paraId="47C9C927">
            <w:pPr>
              <w:keepNext w:val="0"/>
              <w:keepLines w:val="0"/>
              <w:widowControl/>
              <w:suppressLineNumbers w:val="0"/>
              <w:jc w:val="left"/>
              <w:textAlignment w:val="bottom"/>
              <w:rPr>
                <w:rFonts w:hint="default" w:ascii="Calibri" w:hAnsi="Calibri" w:cs="Calibri"/>
                <w:b/>
                <w:bCs/>
                <w:i w:val="0"/>
                <w:iCs w:val="0"/>
                <w:color w:val="FFFFFF"/>
                <w:sz w:val="24"/>
                <w:szCs w:val="24"/>
                <w:u w:val="none"/>
              </w:rPr>
            </w:pPr>
            <w:r>
              <w:rPr>
                <w:rFonts w:hint="default" w:ascii="Calibri" w:hAnsi="Calibri" w:eastAsia="SimSun" w:cs="Calibri"/>
                <w:b/>
                <w:bCs/>
                <w:i w:val="0"/>
                <w:iCs w:val="0"/>
                <w:color w:val="FFFFFF"/>
                <w:kern w:val="0"/>
                <w:sz w:val="24"/>
                <w:szCs w:val="24"/>
                <w:u w:val="none"/>
                <w:bdr w:val="none" w:color="auto" w:sz="0" w:space="0"/>
                <w:lang w:val="en-US" w:eastAsia="zh-CN" w:bidi="ar"/>
              </w:rPr>
              <w:t>2021</w:t>
            </w:r>
          </w:p>
        </w:tc>
        <w:tc>
          <w:tcPr>
            <w:tcW w:w="0" w:type="auto"/>
            <w:tcBorders>
              <w:top w:val="single" w:color="000000" w:sz="4" w:space="0"/>
              <w:left w:val="single" w:color="000000" w:sz="4" w:space="0"/>
              <w:bottom w:val="single" w:color="000000" w:sz="4" w:space="0"/>
              <w:right w:val="single" w:color="000000" w:sz="8" w:space="0"/>
            </w:tcBorders>
            <w:shd w:val="clear" w:color="auto" w:fill="090170"/>
            <w:noWrap/>
            <w:vAlign w:val="bottom"/>
          </w:tcPr>
          <w:p w14:paraId="4E975EC5">
            <w:pPr>
              <w:keepNext w:val="0"/>
              <w:keepLines w:val="0"/>
              <w:widowControl/>
              <w:suppressLineNumbers w:val="0"/>
              <w:jc w:val="left"/>
              <w:textAlignment w:val="bottom"/>
              <w:rPr>
                <w:rFonts w:hint="default" w:ascii="Calibri" w:hAnsi="Calibri" w:cs="Calibri"/>
                <w:b/>
                <w:bCs/>
                <w:i w:val="0"/>
                <w:iCs w:val="0"/>
                <w:color w:val="FFFFFF"/>
                <w:sz w:val="24"/>
                <w:szCs w:val="24"/>
                <w:u w:val="none"/>
              </w:rPr>
            </w:pPr>
            <w:r>
              <w:rPr>
                <w:rFonts w:hint="default" w:ascii="Calibri" w:hAnsi="Calibri" w:eastAsia="SimSun" w:cs="Calibri"/>
                <w:b/>
                <w:bCs/>
                <w:i w:val="0"/>
                <w:iCs w:val="0"/>
                <w:color w:val="FFFFFF"/>
                <w:kern w:val="0"/>
                <w:sz w:val="24"/>
                <w:szCs w:val="24"/>
                <w:u w:val="none"/>
                <w:bdr w:val="none" w:color="auto" w:sz="0" w:space="0"/>
                <w:lang w:val="en-US" w:eastAsia="zh-CN" w:bidi="ar"/>
              </w:rPr>
              <w:t>2020</w:t>
            </w:r>
          </w:p>
        </w:tc>
      </w:tr>
      <w:tr w14:paraId="11B02F00">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315" w:hRule="atLeast"/>
        </w:trPr>
        <w:tc>
          <w:tcPr>
            <w:tcW w:w="0" w:type="auto"/>
            <w:tcBorders>
              <w:top w:val="single" w:color="000000" w:sz="4" w:space="0"/>
              <w:left w:val="single" w:color="000000" w:sz="8" w:space="0"/>
              <w:bottom w:val="single" w:color="000000" w:sz="4" w:space="0"/>
              <w:right w:val="single" w:color="000000" w:sz="4" w:space="0"/>
            </w:tcBorders>
            <w:shd w:val="clear"/>
            <w:noWrap/>
            <w:vAlign w:val="bottom"/>
          </w:tcPr>
          <w:p w14:paraId="72BC57E8">
            <w:pPr>
              <w:keepNext w:val="0"/>
              <w:keepLines w:val="0"/>
              <w:widowControl/>
              <w:suppressLineNumbers w:val="0"/>
              <w:jc w:val="lef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Asset Turnover</w:t>
            </w:r>
          </w:p>
        </w:tc>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2D4FB46A">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0.81</w:t>
            </w:r>
          </w:p>
        </w:tc>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18FDAE3B">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0.91</w:t>
            </w:r>
          </w:p>
        </w:tc>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57ABE07A">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0.99</w:t>
            </w:r>
          </w:p>
        </w:tc>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142F5B44">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0.89</w:t>
            </w:r>
          </w:p>
        </w:tc>
        <w:tc>
          <w:tcPr>
            <w:tcW w:w="0" w:type="auto"/>
            <w:tcBorders>
              <w:top w:val="single" w:color="000000" w:sz="4" w:space="0"/>
              <w:left w:val="single" w:color="000000" w:sz="4" w:space="0"/>
              <w:bottom w:val="single" w:color="000000" w:sz="4" w:space="0"/>
              <w:right w:val="single" w:color="000000" w:sz="8" w:space="0"/>
            </w:tcBorders>
            <w:shd w:val="clear"/>
            <w:noWrap/>
            <w:vAlign w:val="bottom"/>
          </w:tcPr>
          <w:p w14:paraId="1AAFBAC0">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0.76</w:t>
            </w:r>
          </w:p>
        </w:tc>
      </w:tr>
      <w:tr w14:paraId="7615CD57">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315" w:hRule="atLeast"/>
        </w:trPr>
        <w:tc>
          <w:tcPr>
            <w:tcW w:w="0" w:type="auto"/>
            <w:tcBorders>
              <w:top w:val="single" w:color="000000" w:sz="4" w:space="0"/>
              <w:left w:val="single" w:color="000000" w:sz="8" w:space="0"/>
              <w:bottom w:val="single" w:color="000000" w:sz="4" w:space="0"/>
              <w:right w:val="single" w:color="000000" w:sz="4" w:space="0"/>
            </w:tcBorders>
            <w:shd w:val="clear"/>
            <w:noWrap/>
            <w:vAlign w:val="bottom"/>
          </w:tcPr>
          <w:p w14:paraId="32989F18">
            <w:pPr>
              <w:keepNext w:val="0"/>
              <w:keepLines w:val="0"/>
              <w:widowControl/>
              <w:suppressLineNumbers w:val="0"/>
              <w:jc w:val="lef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Inventory Turnover Ratio</w:t>
            </w:r>
          </w:p>
        </w:tc>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49589CFB">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1.36</w:t>
            </w:r>
          </w:p>
        </w:tc>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07A55979">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1.55</w:t>
            </w:r>
          </w:p>
        </w:tc>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68D98C01">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1.78</w:t>
            </w:r>
          </w:p>
        </w:tc>
        <w:tc>
          <w:tcPr>
            <w:tcW w:w="0" w:type="auto"/>
            <w:tcBorders>
              <w:top w:val="single" w:color="000000" w:sz="4" w:space="0"/>
              <w:left w:val="single" w:color="000000" w:sz="4" w:space="0"/>
              <w:bottom w:val="single" w:color="000000" w:sz="4" w:space="0"/>
              <w:right w:val="single" w:color="000000" w:sz="4" w:space="0"/>
            </w:tcBorders>
            <w:shd w:val="clear"/>
            <w:noWrap/>
            <w:vAlign w:val="bottom"/>
          </w:tcPr>
          <w:p w14:paraId="64FD2AFA">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1.92</w:t>
            </w:r>
          </w:p>
        </w:tc>
        <w:tc>
          <w:tcPr>
            <w:tcW w:w="0" w:type="auto"/>
            <w:tcBorders>
              <w:top w:val="single" w:color="000000" w:sz="4" w:space="0"/>
              <w:left w:val="single" w:color="000000" w:sz="4" w:space="0"/>
              <w:bottom w:val="single" w:color="000000" w:sz="4" w:space="0"/>
              <w:right w:val="single" w:color="000000" w:sz="8" w:space="0"/>
            </w:tcBorders>
            <w:shd w:val="clear"/>
            <w:noWrap/>
            <w:vAlign w:val="bottom"/>
          </w:tcPr>
          <w:p w14:paraId="53DD3622">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1.64</w:t>
            </w:r>
          </w:p>
        </w:tc>
      </w:tr>
      <w:tr w14:paraId="7B7E6F04">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300" w:hRule="atLeast"/>
        </w:trPr>
        <w:tc>
          <w:tcPr>
            <w:tcW w:w="0" w:type="auto"/>
            <w:tcBorders>
              <w:top w:val="nil"/>
              <w:left w:val="nil"/>
              <w:bottom w:val="nil"/>
              <w:right w:val="nil"/>
            </w:tcBorders>
            <w:shd w:val="clear"/>
            <w:noWrap/>
            <w:vAlign w:val="bottom"/>
          </w:tcPr>
          <w:p w14:paraId="1BF8E456">
            <w:pPr>
              <w:rPr>
                <w:rFonts w:hint="default" w:ascii="Calibri" w:hAnsi="Calibri" w:cs="Calibri"/>
                <w:i w:val="0"/>
                <w:iCs w:val="0"/>
                <w:color w:val="000000"/>
                <w:sz w:val="22"/>
                <w:szCs w:val="22"/>
                <w:u w:val="none"/>
              </w:rPr>
            </w:pPr>
          </w:p>
        </w:tc>
        <w:tc>
          <w:tcPr>
            <w:tcW w:w="0" w:type="auto"/>
            <w:tcBorders>
              <w:top w:val="nil"/>
              <w:left w:val="nil"/>
              <w:bottom w:val="nil"/>
              <w:right w:val="nil"/>
            </w:tcBorders>
            <w:shd w:val="clear"/>
            <w:noWrap/>
            <w:vAlign w:val="bottom"/>
          </w:tcPr>
          <w:p w14:paraId="6083B210">
            <w:pPr>
              <w:rPr>
                <w:rFonts w:hint="default" w:ascii="Calibri" w:hAnsi="Calibri" w:cs="Calibri"/>
                <w:i w:val="0"/>
                <w:iCs w:val="0"/>
                <w:color w:val="000000"/>
                <w:sz w:val="22"/>
                <w:szCs w:val="22"/>
                <w:u w:val="none"/>
              </w:rPr>
            </w:pPr>
          </w:p>
        </w:tc>
        <w:tc>
          <w:tcPr>
            <w:tcW w:w="0" w:type="auto"/>
            <w:tcBorders>
              <w:top w:val="nil"/>
              <w:left w:val="nil"/>
              <w:bottom w:val="nil"/>
              <w:right w:val="nil"/>
            </w:tcBorders>
            <w:shd w:val="clear"/>
            <w:noWrap/>
            <w:vAlign w:val="bottom"/>
          </w:tcPr>
          <w:p w14:paraId="63DA53AF">
            <w:pPr>
              <w:rPr>
                <w:rFonts w:hint="default" w:ascii="Calibri" w:hAnsi="Calibri" w:cs="Calibri"/>
                <w:i w:val="0"/>
                <w:iCs w:val="0"/>
                <w:color w:val="000000"/>
                <w:sz w:val="22"/>
                <w:szCs w:val="22"/>
                <w:u w:val="none"/>
              </w:rPr>
            </w:pPr>
          </w:p>
        </w:tc>
        <w:tc>
          <w:tcPr>
            <w:tcW w:w="0" w:type="auto"/>
            <w:tcBorders>
              <w:top w:val="nil"/>
              <w:left w:val="nil"/>
              <w:bottom w:val="nil"/>
              <w:right w:val="nil"/>
            </w:tcBorders>
            <w:shd w:val="clear"/>
            <w:noWrap/>
            <w:vAlign w:val="bottom"/>
          </w:tcPr>
          <w:p w14:paraId="2C9B7C03">
            <w:pPr>
              <w:rPr>
                <w:rFonts w:hint="default" w:ascii="Calibri" w:hAnsi="Calibri" w:cs="Calibri"/>
                <w:i w:val="0"/>
                <w:iCs w:val="0"/>
                <w:color w:val="000000"/>
                <w:sz w:val="22"/>
                <w:szCs w:val="22"/>
                <w:u w:val="none"/>
              </w:rPr>
            </w:pPr>
          </w:p>
        </w:tc>
        <w:tc>
          <w:tcPr>
            <w:tcW w:w="0" w:type="auto"/>
            <w:tcBorders>
              <w:top w:val="nil"/>
              <w:left w:val="nil"/>
              <w:bottom w:val="nil"/>
              <w:right w:val="nil"/>
            </w:tcBorders>
            <w:shd w:val="clear"/>
            <w:noWrap/>
            <w:vAlign w:val="bottom"/>
          </w:tcPr>
          <w:p w14:paraId="244668D2">
            <w:pPr>
              <w:rPr>
                <w:rFonts w:hint="default" w:ascii="Calibri" w:hAnsi="Calibri" w:cs="Calibri"/>
                <w:i w:val="0"/>
                <w:iCs w:val="0"/>
                <w:color w:val="000000"/>
                <w:sz w:val="22"/>
                <w:szCs w:val="22"/>
                <w:u w:val="none"/>
              </w:rPr>
            </w:pPr>
          </w:p>
        </w:tc>
        <w:tc>
          <w:tcPr>
            <w:tcW w:w="0" w:type="auto"/>
            <w:tcBorders>
              <w:top w:val="nil"/>
              <w:left w:val="nil"/>
              <w:bottom w:val="nil"/>
              <w:right w:val="nil"/>
            </w:tcBorders>
            <w:shd w:val="clear"/>
            <w:noWrap/>
            <w:vAlign w:val="bottom"/>
          </w:tcPr>
          <w:p w14:paraId="070B6038">
            <w:pPr>
              <w:rPr>
                <w:rFonts w:hint="default" w:ascii="Calibri" w:hAnsi="Calibri" w:cs="Calibri"/>
                <w:i w:val="0"/>
                <w:iCs w:val="0"/>
                <w:color w:val="000000"/>
                <w:sz w:val="22"/>
                <w:szCs w:val="22"/>
                <w:u w:val="none"/>
              </w:rPr>
            </w:pPr>
          </w:p>
        </w:tc>
      </w:tr>
      <w:tr w14:paraId="197A2F86">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315" w:hRule="atLeast"/>
        </w:trPr>
        <w:tc>
          <w:tcPr>
            <w:tcW w:w="0" w:type="auto"/>
            <w:gridSpan w:val="6"/>
            <w:tcBorders>
              <w:top w:val="single" w:color="000000" w:sz="4" w:space="0"/>
              <w:left w:val="single" w:color="000000" w:sz="4" w:space="0"/>
              <w:bottom w:val="single" w:color="000000" w:sz="4" w:space="0"/>
              <w:right w:val="single" w:color="000000" w:sz="4" w:space="0"/>
            </w:tcBorders>
            <w:shd w:val="clear" w:color="auto" w:fill="090170"/>
            <w:noWrap/>
            <w:vAlign w:val="bottom"/>
          </w:tcPr>
          <w:p w14:paraId="6BEF724A">
            <w:pPr>
              <w:keepNext w:val="0"/>
              <w:keepLines w:val="0"/>
              <w:widowControl/>
              <w:suppressLineNumbers w:val="0"/>
              <w:jc w:val="center"/>
              <w:textAlignment w:val="bottom"/>
              <w:rPr>
                <w:rFonts w:hint="default" w:ascii="Calibri" w:hAnsi="Calibri" w:cs="Calibri"/>
                <w:b/>
                <w:bCs/>
                <w:i w:val="0"/>
                <w:iCs w:val="0"/>
                <w:color w:val="FFFFFF"/>
                <w:sz w:val="24"/>
                <w:szCs w:val="24"/>
                <w:u w:val="none"/>
              </w:rPr>
            </w:pPr>
            <w:r>
              <w:rPr>
                <w:rFonts w:hint="default" w:ascii="Calibri" w:hAnsi="Calibri" w:eastAsia="SimSun" w:cs="Calibri"/>
                <w:b/>
                <w:bCs/>
                <w:i w:val="0"/>
                <w:iCs w:val="0"/>
                <w:color w:val="FFFFFF"/>
                <w:kern w:val="0"/>
                <w:sz w:val="24"/>
                <w:szCs w:val="24"/>
                <w:u w:val="none"/>
                <w:bdr w:val="none" w:color="auto" w:sz="0" w:space="0"/>
                <w:lang w:val="en-US" w:eastAsia="zh-CN" w:bidi="ar"/>
              </w:rPr>
              <w:t>Gearing Ratios</w:t>
            </w:r>
          </w:p>
        </w:tc>
      </w:tr>
      <w:tr w14:paraId="685872BD">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315" w:hRule="atLeast"/>
        </w:trPr>
        <w:tc>
          <w:tcPr>
            <w:tcW w:w="0" w:type="auto"/>
            <w:tcBorders>
              <w:top w:val="single" w:color="000000" w:sz="4" w:space="0"/>
              <w:left w:val="single" w:color="000000" w:sz="4" w:space="0"/>
              <w:bottom w:val="single" w:color="000000" w:sz="4" w:space="0"/>
              <w:right w:val="single" w:color="000000" w:sz="4" w:space="0"/>
            </w:tcBorders>
            <w:shd w:val="clear" w:color="auto" w:fill="090170"/>
            <w:noWrap/>
            <w:vAlign w:val="bottom"/>
          </w:tcPr>
          <w:p w14:paraId="46D93B7F">
            <w:pPr>
              <w:keepNext w:val="0"/>
              <w:keepLines w:val="0"/>
              <w:widowControl/>
              <w:suppressLineNumbers w:val="0"/>
              <w:jc w:val="left"/>
              <w:textAlignment w:val="bottom"/>
              <w:rPr>
                <w:rFonts w:hint="default" w:ascii="Calibri" w:hAnsi="Calibri" w:cs="Calibri"/>
                <w:b/>
                <w:bCs/>
                <w:i w:val="0"/>
                <w:iCs w:val="0"/>
                <w:color w:val="FFFFFF"/>
                <w:sz w:val="24"/>
                <w:szCs w:val="24"/>
                <w:u w:val="none"/>
              </w:rPr>
            </w:pPr>
            <w:r>
              <w:rPr>
                <w:rFonts w:hint="default" w:ascii="Calibri" w:hAnsi="Calibri" w:eastAsia="SimSun" w:cs="Calibri"/>
                <w:b/>
                <w:bCs/>
                <w:i w:val="0"/>
                <w:iCs w:val="0"/>
                <w:color w:val="FFFFFF"/>
                <w:kern w:val="0"/>
                <w:sz w:val="24"/>
                <w:szCs w:val="24"/>
                <w:u w:val="none"/>
                <w:bdr w:val="none" w:color="auto" w:sz="0" w:space="0"/>
                <w:lang w:val="en-US" w:eastAsia="zh-CN" w:bidi="ar"/>
              </w:rPr>
              <w:t>Ratio</w:t>
            </w:r>
          </w:p>
        </w:tc>
        <w:tc>
          <w:tcPr>
            <w:tcW w:w="0" w:type="auto"/>
            <w:tcBorders>
              <w:top w:val="single" w:color="000000" w:sz="4" w:space="0"/>
              <w:left w:val="single" w:color="000000" w:sz="4" w:space="0"/>
              <w:bottom w:val="single" w:color="000000" w:sz="4" w:space="0"/>
              <w:right w:val="single" w:color="000000" w:sz="4" w:space="0"/>
            </w:tcBorders>
            <w:shd w:val="clear" w:color="auto" w:fill="090170"/>
            <w:noWrap/>
            <w:vAlign w:val="bottom"/>
          </w:tcPr>
          <w:p w14:paraId="286017B2">
            <w:pPr>
              <w:keepNext w:val="0"/>
              <w:keepLines w:val="0"/>
              <w:widowControl/>
              <w:suppressLineNumbers w:val="0"/>
              <w:jc w:val="left"/>
              <w:textAlignment w:val="bottom"/>
              <w:rPr>
                <w:rFonts w:hint="default" w:ascii="Calibri" w:hAnsi="Calibri" w:cs="Calibri"/>
                <w:b/>
                <w:bCs/>
                <w:i w:val="0"/>
                <w:iCs w:val="0"/>
                <w:color w:val="FFFFFF"/>
                <w:sz w:val="24"/>
                <w:szCs w:val="24"/>
                <w:u w:val="none"/>
              </w:rPr>
            </w:pPr>
            <w:r>
              <w:rPr>
                <w:rFonts w:hint="default" w:ascii="Calibri" w:hAnsi="Calibri" w:eastAsia="SimSun" w:cs="Calibri"/>
                <w:b/>
                <w:bCs/>
                <w:i w:val="0"/>
                <w:iCs w:val="0"/>
                <w:color w:val="FFFFFF"/>
                <w:kern w:val="0"/>
                <w:sz w:val="24"/>
                <w:szCs w:val="24"/>
                <w:u w:val="none"/>
                <w:bdr w:val="none" w:color="auto" w:sz="0" w:space="0"/>
                <w:lang w:val="en-US" w:eastAsia="zh-CN" w:bidi="ar"/>
              </w:rPr>
              <w:t>2024</w:t>
            </w:r>
          </w:p>
        </w:tc>
        <w:tc>
          <w:tcPr>
            <w:tcW w:w="0" w:type="auto"/>
            <w:tcBorders>
              <w:top w:val="single" w:color="000000" w:sz="4" w:space="0"/>
              <w:left w:val="single" w:color="000000" w:sz="4" w:space="0"/>
              <w:bottom w:val="single" w:color="000000" w:sz="4" w:space="0"/>
              <w:right w:val="single" w:color="000000" w:sz="4" w:space="0"/>
            </w:tcBorders>
            <w:shd w:val="clear" w:color="auto" w:fill="090170"/>
            <w:noWrap/>
            <w:vAlign w:val="bottom"/>
          </w:tcPr>
          <w:p w14:paraId="2492F87E">
            <w:pPr>
              <w:keepNext w:val="0"/>
              <w:keepLines w:val="0"/>
              <w:widowControl/>
              <w:suppressLineNumbers w:val="0"/>
              <w:jc w:val="left"/>
              <w:textAlignment w:val="bottom"/>
              <w:rPr>
                <w:rFonts w:hint="default" w:ascii="Calibri" w:hAnsi="Calibri" w:cs="Calibri"/>
                <w:b/>
                <w:bCs/>
                <w:i w:val="0"/>
                <w:iCs w:val="0"/>
                <w:color w:val="FFFFFF"/>
                <w:sz w:val="24"/>
                <w:szCs w:val="24"/>
                <w:u w:val="none"/>
              </w:rPr>
            </w:pPr>
            <w:r>
              <w:rPr>
                <w:rFonts w:hint="default" w:ascii="Calibri" w:hAnsi="Calibri" w:eastAsia="SimSun" w:cs="Calibri"/>
                <w:b/>
                <w:bCs/>
                <w:i w:val="0"/>
                <w:iCs w:val="0"/>
                <w:color w:val="FFFFFF"/>
                <w:kern w:val="0"/>
                <w:sz w:val="24"/>
                <w:szCs w:val="24"/>
                <w:u w:val="none"/>
                <w:bdr w:val="none" w:color="auto" w:sz="0" w:space="0"/>
                <w:lang w:val="en-US" w:eastAsia="zh-CN" w:bidi="ar"/>
              </w:rPr>
              <w:t>2023</w:t>
            </w:r>
          </w:p>
        </w:tc>
        <w:tc>
          <w:tcPr>
            <w:tcW w:w="0" w:type="auto"/>
            <w:tcBorders>
              <w:top w:val="single" w:color="000000" w:sz="4" w:space="0"/>
              <w:left w:val="single" w:color="000000" w:sz="4" w:space="0"/>
              <w:bottom w:val="single" w:color="000000" w:sz="4" w:space="0"/>
              <w:right w:val="single" w:color="000000" w:sz="4" w:space="0"/>
            </w:tcBorders>
            <w:shd w:val="clear" w:color="auto" w:fill="090170"/>
            <w:noWrap/>
            <w:vAlign w:val="bottom"/>
          </w:tcPr>
          <w:p w14:paraId="28BF54DD">
            <w:pPr>
              <w:keepNext w:val="0"/>
              <w:keepLines w:val="0"/>
              <w:widowControl/>
              <w:suppressLineNumbers w:val="0"/>
              <w:jc w:val="left"/>
              <w:textAlignment w:val="bottom"/>
              <w:rPr>
                <w:rFonts w:hint="default" w:ascii="Calibri" w:hAnsi="Calibri" w:cs="Calibri"/>
                <w:b/>
                <w:bCs/>
                <w:i w:val="0"/>
                <w:iCs w:val="0"/>
                <w:color w:val="FFFFFF"/>
                <w:sz w:val="24"/>
                <w:szCs w:val="24"/>
                <w:u w:val="none"/>
              </w:rPr>
            </w:pPr>
            <w:r>
              <w:rPr>
                <w:rFonts w:hint="default" w:ascii="Calibri" w:hAnsi="Calibri" w:eastAsia="SimSun" w:cs="Calibri"/>
                <w:b/>
                <w:bCs/>
                <w:i w:val="0"/>
                <w:iCs w:val="0"/>
                <w:color w:val="FFFFFF"/>
                <w:kern w:val="0"/>
                <w:sz w:val="24"/>
                <w:szCs w:val="24"/>
                <w:u w:val="none"/>
                <w:bdr w:val="none" w:color="auto" w:sz="0" w:space="0"/>
                <w:lang w:val="en-US" w:eastAsia="zh-CN" w:bidi="ar"/>
              </w:rPr>
              <w:t>2022</w:t>
            </w:r>
          </w:p>
        </w:tc>
        <w:tc>
          <w:tcPr>
            <w:tcW w:w="0" w:type="auto"/>
            <w:tcBorders>
              <w:top w:val="single" w:color="000000" w:sz="4" w:space="0"/>
              <w:left w:val="single" w:color="000000" w:sz="4" w:space="0"/>
              <w:bottom w:val="single" w:color="000000" w:sz="4" w:space="0"/>
              <w:right w:val="single" w:color="000000" w:sz="4" w:space="0"/>
            </w:tcBorders>
            <w:shd w:val="clear" w:color="auto" w:fill="090170"/>
            <w:noWrap/>
            <w:vAlign w:val="bottom"/>
          </w:tcPr>
          <w:p w14:paraId="0F0DDFFA">
            <w:pPr>
              <w:keepNext w:val="0"/>
              <w:keepLines w:val="0"/>
              <w:widowControl/>
              <w:suppressLineNumbers w:val="0"/>
              <w:jc w:val="left"/>
              <w:textAlignment w:val="bottom"/>
              <w:rPr>
                <w:rFonts w:hint="default" w:ascii="Calibri" w:hAnsi="Calibri" w:cs="Calibri"/>
                <w:b/>
                <w:bCs/>
                <w:i w:val="0"/>
                <w:iCs w:val="0"/>
                <w:color w:val="FFFFFF"/>
                <w:sz w:val="24"/>
                <w:szCs w:val="24"/>
                <w:u w:val="none"/>
              </w:rPr>
            </w:pPr>
            <w:r>
              <w:rPr>
                <w:rFonts w:hint="default" w:ascii="Calibri" w:hAnsi="Calibri" w:eastAsia="SimSun" w:cs="Calibri"/>
                <w:b/>
                <w:bCs/>
                <w:i w:val="0"/>
                <w:iCs w:val="0"/>
                <w:color w:val="FFFFFF"/>
                <w:kern w:val="0"/>
                <w:sz w:val="24"/>
                <w:szCs w:val="24"/>
                <w:u w:val="none"/>
                <w:bdr w:val="none" w:color="auto" w:sz="0" w:space="0"/>
                <w:lang w:val="en-US" w:eastAsia="zh-CN" w:bidi="ar"/>
              </w:rPr>
              <w:t>2021</w:t>
            </w:r>
          </w:p>
        </w:tc>
        <w:tc>
          <w:tcPr>
            <w:tcW w:w="0" w:type="auto"/>
            <w:tcBorders>
              <w:top w:val="single" w:color="000000" w:sz="4" w:space="0"/>
              <w:left w:val="single" w:color="000000" w:sz="4" w:space="0"/>
              <w:bottom w:val="single" w:color="000000" w:sz="4" w:space="0"/>
              <w:right w:val="single" w:color="000000" w:sz="4" w:space="0"/>
            </w:tcBorders>
            <w:shd w:val="clear" w:color="auto" w:fill="090170"/>
            <w:noWrap/>
            <w:vAlign w:val="bottom"/>
          </w:tcPr>
          <w:p w14:paraId="5A28EEBE">
            <w:pPr>
              <w:keepNext w:val="0"/>
              <w:keepLines w:val="0"/>
              <w:widowControl/>
              <w:suppressLineNumbers w:val="0"/>
              <w:jc w:val="left"/>
              <w:textAlignment w:val="bottom"/>
              <w:rPr>
                <w:rFonts w:hint="default" w:ascii="Calibri" w:hAnsi="Calibri" w:cs="Calibri"/>
                <w:b/>
                <w:bCs/>
                <w:i w:val="0"/>
                <w:iCs w:val="0"/>
                <w:color w:val="FFFFFF"/>
                <w:sz w:val="24"/>
                <w:szCs w:val="24"/>
                <w:u w:val="none"/>
              </w:rPr>
            </w:pPr>
            <w:r>
              <w:rPr>
                <w:rFonts w:hint="default" w:ascii="Calibri" w:hAnsi="Calibri" w:eastAsia="SimSun" w:cs="Calibri"/>
                <w:b/>
                <w:bCs/>
                <w:i w:val="0"/>
                <w:iCs w:val="0"/>
                <w:color w:val="FFFFFF"/>
                <w:kern w:val="0"/>
                <w:sz w:val="24"/>
                <w:szCs w:val="24"/>
                <w:u w:val="none"/>
                <w:bdr w:val="none" w:color="auto" w:sz="0" w:space="0"/>
                <w:lang w:val="en-US" w:eastAsia="zh-CN" w:bidi="ar"/>
              </w:rPr>
              <w:t>2020</w:t>
            </w:r>
          </w:p>
        </w:tc>
      </w:tr>
      <w:tr w14:paraId="23F5F938">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315" w:hRule="atLeast"/>
        </w:trPr>
        <w:tc>
          <w:tcPr>
            <w:tcW w:w="3705" w:type="dxa"/>
            <w:tcBorders>
              <w:top w:val="single" w:color="000000" w:sz="4" w:space="0"/>
              <w:left w:val="single" w:color="000000" w:sz="4" w:space="0"/>
              <w:bottom w:val="single" w:color="000000" w:sz="4" w:space="0"/>
              <w:right w:val="single" w:color="000000" w:sz="4" w:space="0"/>
            </w:tcBorders>
            <w:shd w:val="clear"/>
            <w:vAlign w:val="bottom"/>
          </w:tcPr>
          <w:p w14:paraId="6C629F27">
            <w:pPr>
              <w:keepNext w:val="0"/>
              <w:keepLines w:val="0"/>
              <w:widowControl/>
              <w:suppressLineNumbers w:val="0"/>
              <w:jc w:val="lef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Interest Coverage Ratio</w:t>
            </w:r>
          </w:p>
        </w:tc>
        <w:tc>
          <w:tcPr>
            <w:tcW w:w="990" w:type="dxa"/>
            <w:tcBorders>
              <w:top w:val="single" w:color="000000" w:sz="4" w:space="0"/>
              <w:left w:val="single" w:color="000000" w:sz="4" w:space="0"/>
              <w:bottom w:val="single" w:color="000000" w:sz="4" w:space="0"/>
              <w:right w:val="single" w:color="000000" w:sz="4" w:space="0"/>
            </w:tcBorders>
            <w:shd w:val="clear"/>
            <w:vAlign w:val="bottom"/>
          </w:tcPr>
          <w:p w14:paraId="3D5AF278">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32.4</w:t>
            </w:r>
          </w:p>
        </w:tc>
        <w:tc>
          <w:tcPr>
            <w:tcW w:w="990" w:type="dxa"/>
            <w:tcBorders>
              <w:top w:val="single" w:color="000000" w:sz="4" w:space="0"/>
              <w:left w:val="single" w:color="000000" w:sz="4" w:space="0"/>
              <w:bottom w:val="single" w:color="000000" w:sz="4" w:space="0"/>
              <w:right w:val="single" w:color="000000" w:sz="4" w:space="0"/>
            </w:tcBorders>
            <w:shd w:val="clear"/>
            <w:vAlign w:val="bottom"/>
          </w:tcPr>
          <w:p w14:paraId="18DF1F6B">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45.8</w:t>
            </w:r>
          </w:p>
        </w:tc>
        <w:tc>
          <w:tcPr>
            <w:tcW w:w="960" w:type="dxa"/>
            <w:tcBorders>
              <w:top w:val="single" w:color="000000" w:sz="4" w:space="0"/>
              <w:left w:val="single" w:color="000000" w:sz="4" w:space="0"/>
              <w:bottom w:val="single" w:color="000000" w:sz="4" w:space="0"/>
              <w:right w:val="single" w:color="000000" w:sz="4" w:space="0"/>
            </w:tcBorders>
            <w:shd w:val="clear"/>
            <w:vAlign w:val="bottom"/>
          </w:tcPr>
          <w:p w14:paraId="2A582B0F">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68.1</w:t>
            </w:r>
          </w:p>
        </w:tc>
        <w:tc>
          <w:tcPr>
            <w:tcW w:w="960" w:type="dxa"/>
            <w:tcBorders>
              <w:top w:val="single" w:color="000000" w:sz="4" w:space="0"/>
              <w:left w:val="single" w:color="000000" w:sz="4" w:space="0"/>
              <w:bottom w:val="single" w:color="000000" w:sz="4" w:space="0"/>
              <w:right w:val="single" w:color="000000" w:sz="4" w:space="0"/>
            </w:tcBorders>
            <w:shd w:val="clear"/>
            <w:vAlign w:val="bottom"/>
          </w:tcPr>
          <w:p w14:paraId="291EDE98">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18.6</w:t>
            </w:r>
          </w:p>
        </w:tc>
        <w:tc>
          <w:tcPr>
            <w:tcW w:w="960" w:type="dxa"/>
            <w:tcBorders>
              <w:top w:val="single" w:color="000000" w:sz="4" w:space="0"/>
              <w:left w:val="single" w:color="000000" w:sz="4" w:space="0"/>
              <w:bottom w:val="single" w:color="000000" w:sz="4" w:space="0"/>
              <w:right w:val="single" w:color="000000" w:sz="4" w:space="0"/>
            </w:tcBorders>
            <w:shd w:val="clear"/>
            <w:vAlign w:val="bottom"/>
          </w:tcPr>
          <w:p w14:paraId="75B2F26F">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2.1</w:t>
            </w:r>
          </w:p>
        </w:tc>
      </w:tr>
      <w:tr w14:paraId="082B99B6">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315" w:hRule="atLeast"/>
        </w:trPr>
        <w:tc>
          <w:tcPr>
            <w:tcW w:w="3705" w:type="dxa"/>
            <w:tcBorders>
              <w:top w:val="single" w:color="000000" w:sz="4" w:space="0"/>
              <w:left w:val="single" w:color="000000" w:sz="4" w:space="0"/>
              <w:bottom w:val="single" w:color="000000" w:sz="4" w:space="0"/>
              <w:right w:val="single" w:color="000000" w:sz="4" w:space="0"/>
            </w:tcBorders>
            <w:shd w:val="clear"/>
            <w:vAlign w:val="bottom"/>
          </w:tcPr>
          <w:p w14:paraId="42748203">
            <w:pPr>
              <w:keepNext w:val="0"/>
              <w:keepLines w:val="0"/>
              <w:widowControl/>
              <w:suppressLineNumbers w:val="0"/>
              <w:jc w:val="lef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Debt Equity Ratio</w:t>
            </w:r>
          </w:p>
        </w:tc>
        <w:tc>
          <w:tcPr>
            <w:tcW w:w="990" w:type="dxa"/>
            <w:tcBorders>
              <w:top w:val="single" w:color="000000" w:sz="4" w:space="0"/>
              <w:left w:val="single" w:color="000000" w:sz="4" w:space="0"/>
              <w:bottom w:val="single" w:color="000000" w:sz="4" w:space="0"/>
              <w:right w:val="single" w:color="000000" w:sz="4" w:space="0"/>
            </w:tcBorders>
            <w:shd w:val="clear"/>
            <w:vAlign w:val="bottom"/>
          </w:tcPr>
          <w:p w14:paraId="21FEDE43">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0.18</w:t>
            </w:r>
          </w:p>
        </w:tc>
        <w:tc>
          <w:tcPr>
            <w:tcW w:w="990" w:type="dxa"/>
            <w:tcBorders>
              <w:top w:val="single" w:color="000000" w:sz="4" w:space="0"/>
              <w:left w:val="single" w:color="000000" w:sz="4" w:space="0"/>
              <w:bottom w:val="single" w:color="000000" w:sz="4" w:space="0"/>
              <w:right w:val="single" w:color="000000" w:sz="4" w:space="0"/>
            </w:tcBorders>
            <w:shd w:val="clear"/>
            <w:vAlign w:val="bottom"/>
          </w:tcPr>
          <w:p w14:paraId="433E421E">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0.14</w:t>
            </w:r>
          </w:p>
        </w:tc>
        <w:tc>
          <w:tcPr>
            <w:tcW w:w="960" w:type="dxa"/>
            <w:tcBorders>
              <w:top w:val="single" w:color="000000" w:sz="4" w:space="0"/>
              <w:left w:val="single" w:color="000000" w:sz="4" w:space="0"/>
              <w:bottom w:val="single" w:color="000000" w:sz="4" w:space="0"/>
              <w:right w:val="single" w:color="000000" w:sz="4" w:space="0"/>
            </w:tcBorders>
            <w:shd w:val="clear"/>
            <w:vAlign w:val="bottom"/>
          </w:tcPr>
          <w:p w14:paraId="103129CD">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0.17</w:t>
            </w:r>
          </w:p>
        </w:tc>
        <w:tc>
          <w:tcPr>
            <w:tcW w:w="960" w:type="dxa"/>
            <w:tcBorders>
              <w:top w:val="single" w:color="000000" w:sz="4" w:space="0"/>
              <w:left w:val="single" w:color="000000" w:sz="4" w:space="0"/>
              <w:bottom w:val="single" w:color="000000" w:sz="4" w:space="0"/>
              <w:right w:val="single" w:color="000000" w:sz="4" w:space="0"/>
            </w:tcBorders>
            <w:shd w:val="clear"/>
            <w:vAlign w:val="bottom"/>
          </w:tcPr>
          <w:p w14:paraId="084B25ED">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0.24</w:t>
            </w:r>
          </w:p>
        </w:tc>
        <w:tc>
          <w:tcPr>
            <w:tcW w:w="960" w:type="dxa"/>
            <w:tcBorders>
              <w:top w:val="single" w:color="000000" w:sz="4" w:space="0"/>
              <w:left w:val="single" w:color="000000" w:sz="4" w:space="0"/>
              <w:bottom w:val="single" w:color="000000" w:sz="4" w:space="0"/>
              <w:right w:val="single" w:color="000000" w:sz="4" w:space="0"/>
            </w:tcBorders>
            <w:shd w:val="clear"/>
            <w:vAlign w:val="bottom"/>
          </w:tcPr>
          <w:p w14:paraId="22A5D489">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0.63</w:t>
            </w:r>
          </w:p>
        </w:tc>
      </w:tr>
      <w:tr w14:paraId="1D4B71C1">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315" w:hRule="atLeast"/>
        </w:trPr>
        <w:tc>
          <w:tcPr>
            <w:tcW w:w="3705" w:type="dxa"/>
            <w:tcBorders>
              <w:top w:val="single" w:color="000000" w:sz="4" w:space="0"/>
              <w:left w:val="single" w:color="000000" w:sz="4" w:space="0"/>
              <w:bottom w:val="single" w:color="000000" w:sz="4" w:space="0"/>
              <w:right w:val="single" w:color="000000" w:sz="4" w:space="0"/>
            </w:tcBorders>
            <w:shd w:val="clear"/>
            <w:vAlign w:val="bottom"/>
          </w:tcPr>
          <w:p w14:paraId="1278DBD9">
            <w:pPr>
              <w:keepNext w:val="0"/>
              <w:keepLines w:val="0"/>
              <w:widowControl/>
              <w:suppressLineNumbers w:val="0"/>
              <w:jc w:val="lef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Net Debt Ratio</w:t>
            </w:r>
          </w:p>
        </w:tc>
        <w:tc>
          <w:tcPr>
            <w:tcW w:w="990" w:type="dxa"/>
            <w:tcBorders>
              <w:top w:val="single" w:color="000000" w:sz="4" w:space="0"/>
              <w:left w:val="single" w:color="000000" w:sz="4" w:space="0"/>
              <w:bottom w:val="single" w:color="000000" w:sz="4" w:space="0"/>
              <w:right w:val="single" w:color="000000" w:sz="4" w:space="0"/>
            </w:tcBorders>
            <w:shd w:val="clear"/>
            <w:vAlign w:val="bottom"/>
          </w:tcPr>
          <w:p w14:paraId="6FDEFB37">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-0.28</w:t>
            </w:r>
          </w:p>
        </w:tc>
        <w:tc>
          <w:tcPr>
            <w:tcW w:w="990" w:type="dxa"/>
            <w:tcBorders>
              <w:top w:val="single" w:color="000000" w:sz="4" w:space="0"/>
              <w:left w:val="single" w:color="000000" w:sz="4" w:space="0"/>
              <w:bottom w:val="single" w:color="000000" w:sz="4" w:space="0"/>
              <w:right w:val="single" w:color="000000" w:sz="4" w:space="0"/>
            </w:tcBorders>
            <w:shd w:val="clear"/>
            <w:vAlign w:val="bottom"/>
          </w:tcPr>
          <w:p w14:paraId="53C31BE4">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-0.42</w:t>
            </w:r>
          </w:p>
        </w:tc>
        <w:tc>
          <w:tcPr>
            <w:tcW w:w="960" w:type="dxa"/>
            <w:tcBorders>
              <w:top w:val="single" w:color="000000" w:sz="4" w:space="0"/>
              <w:left w:val="single" w:color="000000" w:sz="4" w:space="0"/>
              <w:bottom w:val="single" w:color="000000" w:sz="4" w:space="0"/>
              <w:right w:val="single" w:color="000000" w:sz="4" w:space="0"/>
            </w:tcBorders>
            <w:shd w:val="clear"/>
            <w:vAlign w:val="bottom"/>
          </w:tcPr>
          <w:p w14:paraId="5A7C03A0">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-0.36</w:t>
            </w:r>
          </w:p>
        </w:tc>
        <w:tc>
          <w:tcPr>
            <w:tcW w:w="960" w:type="dxa"/>
            <w:tcBorders>
              <w:top w:val="single" w:color="000000" w:sz="4" w:space="0"/>
              <w:left w:val="single" w:color="000000" w:sz="4" w:space="0"/>
              <w:bottom w:val="single" w:color="000000" w:sz="4" w:space="0"/>
              <w:right w:val="single" w:color="000000" w:sz="4" w:space="0"/>
            </w:tcBorders>
            <w:shd w:val="clear"/>
            <w:vAlign w:val="bottom"/>
          </w:tcPr>
          <w:p w14:paraId="453036BB">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-0.22</w:t>
            </w:r>
          </w:p>
        </w:tc>
        <w:tc>
          <w:tcPr>
            <w:tcW w:w="960" w:type="dxa"/>
            <w:tcBorders>
              <w:top w:val="single" w:color="000000" w:sz="4" w:space="0"/>
              <w:left w:val="single" w:color="000000" w:sz="4" w:space="0"/>
              <w:bottom w:val="single" w:color="000000" w:sz="4" w:space="0"/>
              <w:right w:val="single" w:color="000000" w:sz="4" w:space="0"/>
            </w:tcBorders>
            <w:shd w:val="clear"/>
            <w:vAlign w:val="bottom"/>
          </w:tcPr>
          <w:p w14:paraId="37D8366A">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0.12</w:t>
            </w:r>
          </w:p>
        </w:tc>
      </w:tr>
      <w:tr w14:paraId="79F755A2">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315" w:hRule="atLeast"/>
        </w:trPr>
        <w:tc>
          <w:tcPr>
            <w:tcW w:w="3705" w:type="dxa"/>
            <w:tcBorders>
              <w:top w:val="single" w:color="000000" w:sz="4" w:space="0"/>
              <w:left w:val="single" w:color="000000" w:sz="4" w:space="0"/>
              <w:bottom w:val="single" w:color="000000" w:sz="4" w:space="0"/>
              <w:right w:val="single" w:color="000000" w:sz="4" w:space="0"/>
            </w:tcBorders>
            <w:shd w:val="clear"/>
            <w:vAlign w:val="bottom"/>
          </w:tcPr>
          <w:p w14:paraId="39C14BB0">
            <w:pPr>
              <w:keepNext w:val="0"/>
              <w:keepLines w:val="0"/>
              <w:widowControl/>
              <w:suppressLineNumbers w:val="0"/>
              <w:jc w:val="lef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Debt to Enterprise Ratio</w:t>
            </w:r>
          </w:p>
        </w:tc>
        <w:tc>
          <w:tcPr>
            <w:tcW w:w="990" w:type="dxa"/>
            <w:tcBorders>
              <w:top w:val="single" w:color="000000" w:sz="4" w:space="0"/>
              <w:left w:val="single" w:color="000000" w:sz="4" w:space="0"/>
              <w:bottom w:val="single" w:color="000000" w:sz="4" w:space="0"/>
              <w:right w:val="single" w:color="000000" w:sz="4" w:space="0"/>
            </w:tcBorders>
            <w:shd w:val="clear"/>
            <w:vAlign w:val="bottom"/>
          </w:tcPr>
          <w:p w14:paraId="73F02F33">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0.05</w:t>
            </w:r>
          </w:p>
        </w:tc>
        <w:tc>
          <w:tcPr>
            <w:tcW w:w="990" w:type="dxa"/>
            <w:tcBorders>
              <w:top w:val="single" w:color="000000" w:sz="4" w:space="0"/>
              <w:left w:val="single" w:color="000000" w:sz="4" w:space="0"/>
              <w:bottom w:val="single" w:color="000000" w:sz="4" w:space="0"/>
              <w:right w:val="single" w:color="000000" w:sz="4" w:space="0"/>
            </w:tcBorders>
            <w:shd w:val="clear"/>
            <w:vAlign w:val="bottom"/>
          </w:tcPr>
          <w:p w14:paraId="6841A79F">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0.03</w:t>
            </w:r>
          </w:p>
        </w:tc>
        <w:tc>
          <w:tcPr>
            <w:tcW w:w="960" w:type="dxa"/>
            <w:tcBorders>
              <w:top w:val="single" w:color="000000" w:sz="4" w:space="0"/>
              <w:left w:val="single" w:color="000000" w:sz="4" w:space="0"/>
              <w:bottom w:val="single" w:color="000000" w:sz="4" w:space="0"/>
              <w:right w:val="single" w:color="000000" w:sz="4" w:space="0"/>
            </w:tcBorders>
            <w:shd w:val="clear"/>
            <w:vAlign w:val="bottom"/>
          </w:tcPr>
          <w:p w14:paraId="02D4FC25">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0.02</w:t>
            </w:r>
          </w:p>
        </w:tc>
        <w:tc>
          <w:tcPr>
            <w:tcW w:w="960" w:type="dxa"/>
            <w:tcBorders>
              <w:top w:val="single" w:color="000000" w:sz="4" w:space="0"/>
              <w:left w:val="single" w:color="000000" w:sz="4" w:space="0"/>
              <w:bottom w:val="single" w:color="000000" w:sz="4" w:space="0"/>
              <w:right w:val="single" w:color="000000" w:sz="4" w:space="0"/>
            </w:tcBorders>
            <w:shd w:val="clear"/>
            <w:vAlign w:val="bottom"/>
          </w:tcPr>
          <w:p w14:paraId="0F71F556">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0.04</w:t>
            </w:r>
          </w:p>
        </w:tc>
        <w:tc>
          <w:tcPr>
            <w:tcW w:w="960" w:type="dxa"/>
            <w:tcBorders>
              <w:top w:val="single" w:color="000000" w:sz="4" w:space="0"/>
              <w:left w:val="single" w:color="000000" w:sz="4" w:space="0"/>
              <w:bottom w:val="single" w:color="000000" w:sz="4" w:space="0"/>
              <w:right w:val="single" w:color="000000" w:sz="4" w:space="0"/>
            </w:tcBorders>
            <w:shd w:val="clear"/>
            <w:vAlign w:val="bottom"/>
          </w:tcPr>
          <w:p w14:paraId="5DCA65D2">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0.15</w:t>
            </w:r>
          </w:p>
        </w:tc>
      </w:tr>
      <w:tr w14:paraId="6A2C3B18">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315" w:hRule="atLeast"/>
        </w:trPr>
        <w:tc>
          <w:tcPr>
            <w:tcW w:w="3705" w:type="dxa"/>
            <w:tcBorders>
              <w:top w:val="single" w:color="000000" w:sz="4" w:space="0"/>
              <w:left w:val="single" w:color="000000" w:sz="4" w:space="0"/>
              <w:bottom w:val="single" w:color="000000" w:sz="4" w:space="0"/>
              <w:right w:val="single" w:color="000000" w:sz="4" w:space="0"/>
            </w:tcBorders>
            <w:shd w:val="clear"/>
            <w:vAlign w:val="bottom"/>
          </w:tcPr>
          <w:p w14:paraId="6C657A34">
            <w:pPr>
              <w:keepNext w:val="0"/>
              <w:keepLines w:val="0"/>
              <w:widowControl/>
              <w:suppressLineNumbers w:val="0"/>
              <w:jc w:val="lef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Equity Multiplier Ratio</w:t>
            </w:r>
          </w:p>
        </w:tc>
        <w:tc>
          <w:tcPr>
            <w:tcW w:w="990" w:type="dxa"/>
            <w:tcBorders>
              <w:top w:val="single" w:color="000000" w:sz="4" w:space="0"/>
              <w:left w:val="single" w:color="000000" w:sz="4" w:space="0"/>
              <w:bottom w:val="single" w:color="000000" w:sz="4" w:space="0"/>
              <w:right w:val="single" w:color="000000" w:sz="4" w:space="0"/>
            </w:tcBorders>
            <w:shd w:val="clear"/>
            <w:vAlign w:val="bottom"/>
          </w:tcPr>
          <w:p w14:paraId="1167B248">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1.66</w:t>
            </w:r>
          </w:p>
        </w:tc>
        <w:tc>
          <w:tcPr>
            <w:tcW w:w="990" w:type="dxa"/>
            <w:tcBorders>
              <w:top w:val="single" w:color="000000" w:sz="4" w:space="0"/>
              <w:left w:val="single" w:color="000000" w:sz="4" w:space="0"/>
              <w:bottom w:val="single" w:color="000000" w:sz="4" w:space="0"/>
              <w:right w:val="single" w:color="000000" w:sz="4" w:space="0"/>
            </w:tcBorders>
            <w:shd w:val="clear"/>
            <w:vAlign w:val="bottom"/>
          </w:tcPr>
          <w:p w14:paraId="412A922D">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1.68</w:t>
            </w:r>
          </w:p>
        </w:tc>
        <w:tc>
          <w:tcPr>
            <w:tcW w:w="960" w:type="dxa"/>
            <w:tcBorders>
              <w:top w:val="single" w:color="000000" w:sz="4" w:space="0"/>
              <w:left w:val="single" w:color="000000" w:sz="4" w:space="0"/>
              <w:bottom w:val="single" w:color="000000" w:sz="4" w:space="0"/>
              <w:right w:val="single" w:color="000000" w:sz="4" w:space="0"/>
            </w:tcBorders>
            <w:shd w:val="clear"/>
            <w:vAlign w:val="bottom"/>
          </w:tcPr>
          <w:p w14:paraId="79113542">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1.81</w:t>
            </w:r>
          </w:p>
        </w:tc>
        <w:tc>
          <w:tcPr>
            <w:tcW w:w="960" w:type="dxa"/>
            <w:tcBorders>
              <w:top w:val="single" w:color="000000" w:sz="4" w:space="0"/>
              <w:left w:val="single" w:color="000000" w:sz="4" w:space="0"/>
              <w:bottom w:val="single" w:color="000000" w:sz="4" w:space="0"/>
              <w:right w:val="single" w:color="000000" w:sz="4" w:space="0"/>
            </w:tcBorders>
            <w:shd w:val="clear"/>
            <w:vAlign w:val="bottom"/>
          </w:tcPr>
          <w:p w14:paraId="37AAD717">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2</w:t>
            </w:r>
          </w:p>
        </w:tc>
        <w:tc>
          <w:tcPr>
            <w:tcW w:w="960" w:type="dxa"/>
            <w:tcBorders>
              <w:top w:val="single" w:color="000000" w:sz="4" w:space="0"/>
              <w:left w:val="single" w:color="000000" w:sz="4" w:space="0"/>
              <w:bottom w:val="single" w:color="000000" w:sz="4" w:space="0"/>
              <w:right w:val="single" w:color="000000" w:sz="4" w:space="0"/>
            </w:tcBorders>
            <w:shd w:val="clear"/>
            <w:vAlign w:val="bottom"/>
          </w:tcPr>
          <w:p w14:paraId="1CDB3175">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2.26</w:t>
            </w:r>
          </w:p>
        </w:tc>
      </w:tr>
      <w:tr w14:paraId="60623872">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315" w:hRule="atLeast"/>
        </w:trPr>
        <w:tc>
          <w:tcPr>
            <w:tcW w:w="3705" w:type="dxa"/>
            <w:tcBorders>
              <w:top w:val="nil"/>
              <w:left w:val="nil"/>
              <w:bottom w:val="nil"/>
              <w:right w:val="nil"/>
            </w:tcBorders>
            <w:shd w:val="clear"/>
            <w:vAlign w:val="bottom"/>
          </w:tcPr>
          <w:p w14:paraId="56F46800">
            <w:pPr>
              <w:jc w:val="left"/>
              <w:rPr>
                <w:rFonts w:hint="default" w:ascii="Calibri" w:hAnsi="Calibri" w:cs="Calibri"/>
                <w:i w:val="0"/>
                <w:iCs w:val="0"/>
                <w:color w:val="000000"/>
                <w:sz w:val="24"/>
                <w:szCs w:val="24"/>
                <w:u w:val="none"/>
              </w:rPr>
            </w:pPr>
          </w:p>
        </w:tc>
        <w:tc>
          <w:tcPr>
            <w:tcW w:w="990" w:type="dxa"/>
            <w:tcBorders>
              <w:top w:val="nil"/>
              <w:left w:val="nil"/>
              <w:bottom w:val="nil"/>
              <w:right w:val="nil"/>
            </w:tcBorders>
            <w:shd w:val="clear"/>
            <w:vAlign w:val="bottom"/>
          </w:tcPr>
          <w:p w14:paraId="6C95EEDA">
            <w:pPr>
              <w:jc w:val="right"/>
              <w:rPr>
                <w:rFonts w:hint="default" w:ascii="Calibri" w:hAnsi="Calibri" w:cs="Calibri"/>
                <w:i w:val="0"/>
                <w:iCs w:val="0"/>
                <w:color w:val="000000"/>
                <w:sz w:val="24"/>
                <w:szCs w:val="24"/>
                <w:u w:val="none"/>
              </w:rPr>
            </w:pPr>
          </w:p>
        </w:tc>
        <w:tc>
          <w:tcPr>
            <w:tcW w:w="990" w:type="dxa"/>
            <w:tcBorders>
              <w:top w:val="nil"/>
              <w:left w:val="nil"/>
              <w:bottom w:val="nil"/>
              <w:right w:val="nil"/>
            </w:tcBorders>
            <w:shd w:val="clear"/>
            <w:vAlign w:val="bottom"/>
          </w:tcPr>
          <w:p w14:paraId="29E52891">
            <w:pPr>
              <w:jc w:val="right"/>
              <w:rPr>
                <w:rFonts w:hint="default" w:ascii="Calibri" w:hAnsi="Calibri" w:cs="Calibri"/>
                <w:i w:val="0"/>
                <w:iCs w:val="0"/>
                <w:color w:val="000000"/>
                <w:sz w:val="24"/>
                <w:szCs w:val="24"/>
                <w:u w:val="none"/>
              </w:rPr>
            </w:pPr>
          </w:p>
        </w:tc>
        <w:tc>
          <w:tcPr>
            <w:tcW w:w="960" w:type="dxa"/>
            <w:tcBorders>
              <w:top w:val="nil"/>
              <w:left w:val="nil"/>
              <w:bottom w:val="nil"/>
              <w:right w:val="nil"/>
            </w:tcBorders>
            <w:shd w:val="clear"/>
            <w:vAlign w:val="bottom"/>
          </w:tcPr>
          <w:p w14:paraId="4D4A22F2">
            <w:pPr>
              <w:jc w:val="right"/>
              <w:rPr>
                <w:rFonts w:hint="default" w:ascii="Calibri" w:hAnsi="Calibri" w:cs="Calibri"/>
                <w:i w:val="0"/>
                <w:iCs w:val="0"/>
                <w:color w:val="000000"/>
                <w:sz w:val="24"/>
                <w:szCs w:val="24"/>
                <w:u w:val="none"/>
              </w:rPr>
            </w:pPr>
          </w:p>
        </w:tc>
        <w:tc>
          <w:tcPr>
            <w:tcW w:w="960" w:type="dxa"/>
            <w:tcBorders>
              <w:top w:val="nil"/>
              <w:left w:val="nil"/>
              <w:bottom w:val="nil"/>
              <w:right w:val="nil"/>
            </w:tcBorders>
            <w:shd w:val="clear"/>
            <w:vAlign w:val="bottom"/>
          </w:tcPr>
          <w:p w14:paraId="605B0449">
            <w:pPr>
              <w:jc w:val="right"/>
              <w:rPr>
                <w:rFonts w:hint="default" w:ascii="Calibri" w:hAnsi="Calibri" w:cs="Calibri"/>
                <w:i w:val="0"/>
                <w:iCs w:val="0"/>
                <w:color w:val="000000"/>
                <w:sz w:val="24"/>
                <w:szCs w:val="24"/>
                <w:u w:val="none"/>
              </w:rPr>
            </w:pPr>
          </w:p>
        </w:tc>
        <w:tc>
          <w:tcPr>
            <w:tcW w:w="960" w:type="dxa"/>
            <w:tcBorders>
              <w:top w:val="nil"/>
              <w:left w:val="nil"/>
              <w:bottom w:val="nil"/>
              <w:right w:val="nil"/>
            </w:tcBorders>
            <w:shd w:val="clear"/>
            <w:vAlign w:val="bottom"/>
          </w:tcPr>
          <w:p w14:paraId="6D8E5FA9">
            <w:pPr>
              <w:jc w:val="right"/>
              <w:rPr>
                <w:rFonts w:hint="default" w:ascii="Calibri" w:hAnsi="Calibri" w:cs="Calibri"/>
                <w:i w:val="0"/>
                <w:iCs w:val="0"/>
                <w:color w:val="000000"/>
                <w:sz w:val="24"/>
                <w:szCs w:val="24"/>
                <w:u w:val="none"/>
              </w:rPr>
            </w:pPr>
          </w:p>
        </w:tc>
      </w:tr>
      <w:tr w14:paraId="7F767A60">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315" w:hRule="atLeast"/>
        </w:trPr>
        <w:tc>
          <w:tcPr>
            <w:tcW w:w="0" w:type="auto"/>
            <w:gridSpan w:val="6"/>
            <w:tcBorders>
              <w:top w:val="single" w:color="000000" w:sz="4" w:space="0"/>
              <w:left w:val="single" w:color="000000" w:sz="4" w:space="0"/>
              <w:bottom w:val="single" w:color="000000" w:sz="4" w:space="0"/>
              <w:right w:val="single" w:color="000000" w:sz="4" w:space="0"/>
            </w:tcBorders>
            <w:shd w:val="clear" w:color="auto" w:fill="090170"/>
            <w:noWrap/>
            <w:vAlign w:val="bottom"/>
          </w:tcPr>
          <w:p w14:paraId="38672AD3">
            <w:pPr>
              <w:keepNext w:val="0"/>
              <w:keepLines w:val="0"/>
              <w:widowControl/>
              <w:suppressLineNumbers w:val="0"/>
              <w:jc w:val="center"/>
              <w:textAlignment w:val="bottom"/>
              <w:rPr>
                <w:rFonts w:hint="default" w:ascii="Calibri" w:hAnsi="Calibri" w:cs="Calibri"/>
                <w:b/>
                <w:bCs/>
                <w:i w:val="0"/>
                <w:iCs w:val="0"/>
                <w:color w:val="FFFFFF"/>
                <w:sz w:val="24"/>
                <w:szCs w:val="24"/>
                <w:u w:val="none"/>
              </w:rPr>
            </w:pPr>
            <w:r>
              <w:rPr>
                <w:rFonts w:hint="default" w:ascii="Calibri" w:hAnsi="Calibri" w:eastAsia="SimSun" w:cs="Calibri"/>
                <w:b/>
                <w:bCs/>
                <w:i w:val="0"/>
                <w:iCs w:val="0"/>
                <w:color w:val="FFFFFF"/>
                <w:kern w:val="0"/>
                <w:sz w:val="24"/>
                <w:szCs w:val="24"/>
                <w:u w:val="none"/>
                <w:bdr w:val="none" w:color="auto" w:sz="0" w:space="0"/>
                <w:lang w:val="en-US" w:eastAsia="zh-CN" w:bidi="ar"/>
              </w:rPr>
              <w:t>Investement Ratio</w:t>
            </w:r>
          </w:p>
        </w:tc>
      </w:tr>
      <w:tr w14:paraId="56942E05">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315" w:hRule="atLeast"/>
        </w:trPr>
        <w:tc>
          <w:tcPr>
            <w:tcW w:w="0" w:type="auto"/>
            <w:tcBorders>
              <w:top w:val="single" w:color="000000" w:sz="4" w:space="0"/>
              <w:left w:val="single" w:color="000000" w:sz="4" w:space="0"/>
              <w:bottom w:val="single" w:color="000000" w:sz="4" w:space="0"/>
              <w:right w:val="single" w:color="000000" w:sz="4" w:space="0"/>
            </w:tcBorders>
            <w:shd w:val="clear" w:color="auto" w:fill="090170"/>
            <w:noWrap/>
            <w:vAlign w:val="bottom"/>
          </w:tcPr>
          <w:p w14:paraId="7E27ABE3">
            <w:pPr>
              <w:keepNext w:val="0"/>
              <w:keepLines w:val="0"/>
              <w:widowControl/>
              <w:suppressLineNumbers w:val="0"/>
              <w:jc w:val="left"/>
              <w:textAlignment w:val="bottom"/>
              <w:rPr>
                <w:rFonts w:hint="default" w:ascii="Calibri" w:hAnsi="Calibri" w:cs="Calibri"/>
                <w:b/>
                <w:bCs/>
                <w:i w:val="0"/>
                <w:iCs w:val="0"/>
                <w:color w:val="FFFFFF"/>
                <w:sz w:val="24"/>
                <w:szCs w:val="24"/>
                <w:u w:val="none"/>
              </w:rPr>
            </w:pPr>
            <w:r>
              <w:rPr>
                <w:rFonts w:hint="default" w:ascii="Calibri" w:hAnsi="Calibri" w:eastAsia="SimSun" w:cs="Calibri"/>
                <w:b/>
                <w:bCs/>
                <w:i w:val="0"/>
                <w:iCs w:val="0"/>
                <w:color w:val="FFFFFF"/>
                <w:kern w:val="0"/>
                <w:sz w:val="24"/>
                <w:szCs w:val="24"/>
                <w:u w:val="none"/>
                <w:bdr w:val="none" w:color="auto" w:sz="0" w:space="0"/>
                <w:lang w:val="en-US" w:eastAsia="zh-CN" w:bidi="ar"/>
              </w:rPr>
              <w:t>Ratio</w:t>
            </w:r>
          </w:p>
        </w:tc>
        <w:tc>
          <w:tcPr>
            <w:tcW w:w="0" w:type="auto"/>
            <w:tcBorders>
              <w:top w:val="single" w:color="000000" w:sz="4" w:space="0"/>
              <w:left w:val="single" w:color="000000" w:sz="4" w:space="0"/>
              <w:bottom w:val="single" w:color="000000" w:sz="4" w:space="0"/>
              <w:right w:val="single" w:color="000000" w:sz="4" w:space="0"/>
            </w:tcBorders>
            <w:shd w:val="clear" w:color="auto" w:fill="090170"/>
            <w:noWrap/>
            <w:vAlign w:val="bottom"/>
          </w:tcPr>
          <w:p w14:paraId="308CC76A">
            <w:pPr>
              <w:keepNext w:val="0"/>
              <w:keepLines w:val="0"/>
              <w:widowControl/>
              <w:suppressLineNumbers w:val="0"/>
              <w:jc w:val="left"/>
              <w:textAlignment w:val="bottom"/>
              <w:rPr>
                <w:rFonts w:hint="default" w:ascii="Calibri" w:hAnsi="Calibri" w:cs="Calibri"/>
                <w:b/>
                <w:bCs/>
                <w:i w:val="0"/>
                <w:iCs w:val="0"/>
                <w:color w:val="FFFFFF"/>
                <w:sz w:val="24"/>
                <w:szCs w:val="24"/>
                <w:u w:val="none"/>
              </w:rPr>
            </w:pPr>
            <w:r>
              <w:rPr>
                <w:rFonts w:hint="default" w:ascii="Calibri" w:hAnsi="Calibri" w:eastAsia="SimSun" w:cs="Calibri"/>
                <w:b/>
                <w:bCs/>
                <w:i w:val="0"/>
                <w:iCs w:val="0"/>
                <w:color w:val="FFFFFF"/>
                <w:kern w:val="0"/>
                <w:sz w:val="24"/>
                <w:szCs w:val="24"/>
                <w:u w:val="none"/>
                <w:bdr w:val="none" w:color="auto" w:sz="0" w:space="0"/>
                <w:lang w:val="en-US" w:eastAsia="zh-CN" w:bidi="ar"/>
              </w:rPr>
              <w:t>2024</w:t>
            </w:r>
          </w:p>
        </w:tc>
        <w:tc>
          <w:tcPr>
            <w:tcW w:w="0" w:type="auto"/>
            <w:tcBorders>
              <w:top w:val="single" w:color="000000" w:sz="4" w:space="0"/>
              <w:left w:val="single" w:color="000000" w:sz="4" w:space="0"/>
              <w:bottom w:val="single" w:color="000000" w:sz="4" w:space="0"/>
              <w:right w:val="single" w:color="000000" w:sz="4" w:space="0"/>
            </w:tcBorders>
            <w:shd w:val="clear" w:color="auto" w:fill="090170"/>
            <w:noWrap/>
            <w:vAlign w:val="bottom"/>
          </w:tcPr>
          <w:p w14:paraId="0C5F8C78">
            <w:pPr>
              <w:keepNext w:val="0"/>
              <w:keepLines w:val="0"/>
              <w:widowControl/>
              <w:suppressLineNumbers w:val="0"/>
              <w:jc w:val="left"/>
              <w:textAlignment w:val="bottom"/>
              <w:rPr>
                <w:rFonts w:hint="default" w:ascii="Calibri" w:hAnsi="Calibri" w:cs="Calibri"/>
                <w:b/>
                <w:bCs/>
                <w:i w:val="0"/>
                <w:iCs w:val="0"/>
                <w:color w:val="FFFFFF"/>
                <w:sz w:val="24"/>
                <w:szCs w:val="24"/>
                <w:u w:val="none"/>
              </w:rPr>
            </w:pPr>
            <w:r>
              <w:rPr>
                <w:rFonts w:hint="default" w:ascii="Calibri" w:hAnsi="Calibri" w:eastAsia="SimSun" w:cs="Calibri"/>
                <w:b/>
                <w:bCs/>
                <w:i w:val="0"/>
                <w:iCs w:val="0"/>
                <w:color w:val="FFFFFF"/>
                <w:kern w:val="0"/>
                <w:sz w:val="24"/>
                <w:szCs w:val="24"/>
                <w:u w:val="none"/>
                <w:bdr w:val="none" w:color="auto" w:sz="0" w:space="0"/>
                <w:lang w:val="en-US" w:eastAsia="zh-CN" w:bidi="ar"/>
              </w:rPr>
              <w:t>2023</w:t>
            </w:r>
          </w:p>
        </w:tc>
        <w:tc>
          <w:tcPr>
            <w:tcW w:w="0" w:type="auto"/>
            <w:tcBorders>
              <w:top w:val="single" w:color="000000" w:sz="4" w:space="0"/>
              <w:left w:val="single" w:color="000000" w:sz="4" w:space="0"/>
              <w:bottom w:val="single" w:color="000000" w:sz="4" w:space="0"/>
              <w:right w:val="single" w:color="000000" w:sz="4" w:space="0"/>
            </w:tcBorders>
            <w:shd w:val="clear" w:color="auto" w:fill="090170"/>
            <w:noWrap/>
            <w:vAlign w:val="bottom"/>
          </w:tcPr>
          <w:p w14:paraId="0D31CA3B">
            <w:pPr>
              <w:keepNext w:val="0"/>
              <w:keepLines w:val="0"/>
              <w:widowControl/>
              <w:suppressLineNumbers w:val="0"/>
              <w:jc w:val="left"/>
              <w:textAlignment w:val="bottom"/>
              <w:rPr>
                <w:rFonts w:hint="default" w:ascii="Calibri" w:hAnsi="Calibri" w:cs="Calibri"/>
                <w:b/>
                <w:bCs/>
                <w:i w:val="0"/>
                <w:iCs w:val="0"/>
                <w:color w:val="FFFFFF"/>
                <w:sz w:val="24"/>
                <w:szCs w:val="24"/>
                <w:u w:val="none"/>
              </w:rPr>
            </w:pPr>
            <w:r>
              <w:rPr>
                <w:rFonts w:hint="default" w:ascii="Calibri" w:hAnsi="Calibri" w:eastAsia="SimSun" w:cs="Calibri"/>
                <w:b/>
                <w:bCs/>
                <w:i w:val="0"/>
                <w:iCs w:val="0"/>
                <w:color w:val="FFFFFF"/>
                <w:kern w:val="0"/>
                <w:sz w:val="24"/>
                <w:szCs w:val="24"/>
                <w:u w:val="none"/>
                <w:bdr w:val="none" w:color="auto" w:sz="0" w:space="0"/>
                <w:lang w:val="en-US" w:eastAsia="zh-CN" w:bidi="ar"/>
              </w:rPr>
              <w:t>2022</w:t>
            </w:r>
          </w:p>
        </w:tc>
        <w:tc>
          <w:tcPr>
            <w:tcW w:w="0" w:type="auto"/>
            <w:tcBorders>
              <w:top w:val="single" w:color="000000" w:sz="4" w:space="0"/>
              <w:left w:val="single" w:color="000000" w:sz="4" w:space="0"/>
              <w:bottom w:val="single" w:color="000000" w:sz="4" w:space="0"/>
              <w:right w:val="single" w:color="000000" w:sz="4" w:space="0"/>
            </w:tcBorders>
            <w:shd w:val="clear" w:color="auto" w:fill="090170"/>
            <w:noWrap/>
            <w:vAlign w:val="bottom"/>
          </w:tcPr>
          <w:p w14:paraId="30FCC492">
            <w:pPr>
              <w:keepNext w:val="0"/>
              <w:keepLines w:val="0"/>
              <w:widowControl/>
              <w:suppressLineNumbers w:val="0"/>
              <w:jc w:val="left"/>
              <w:textAlignment w:val="bottom"/>
              <w:rPr>
                <w:rFonts w:hint="default" w:ascii="Calibri" w:hAnsi="Calibri" w:cs="Calibri"/>
                <w:b/>
                <w:bCs/>
                <w:i w:val="0"/>
                <w:iCs w:val="0"/>
                <w:color w:val="FFFFFF"/>
                <w:sz w:val="24"/>
                <w:szCs w:val="24"/>
                <w:u w:val="none"/>
              </w:rPr>
            </w:pPr>
            <w:r>
              <w:rPr>
                <w:rFonts w:hint="default" w:ascii="Calibri" w:hAnsi="Calibri" w:eastAsia="SimSun" w:cs="Calibri"/>
                <w:b/>
                <w:bCs/>
                <w:i w:val="0"/>
                <w:iCs w:val="0"/>
                <w:color w:val="FFFFFF"/>
                <w:kern w:val="0"/>
                <w:sz w:val="24"/>
                <w:szCs w:val="24"/>
                <w:u w:val="none"/>
                <w:bdr w:val="none" w:color="auto" w:sz="0" w:space="0"/>
                <w:lang w:val="en-US" w:eastAsia="zh-CN" w:bidi="ar"/>
              </w:rPr>
              <w:t>2021</w:t>
            </w:r>
          </w:p>
        </w:tc>
        <w:tc>
          <w:tcPr>
            <w:tcW w:w="0" w:type="auto"/>
            <w:tcBorders>
              <w:top w:val="single" w:color="000000" w:sz="4" w:space="0"/>
              <w:left w:val="single" w:color="000000" w:sz="4" w:space="0"/>
              <w:bottom w:val="single" w:color="000000" w:sz="4" w:space="0"/>
              <w:right w:val="single" w:color="000000" w:sz="4" w:space="0"/>
            </w:tcBorders>
            <w:shd w:val="clear" w:color="auto" w:fill="090170"/>
            <w:noWrap/>
            <w:vAlign w:val="bottom"/>
          </w:tcPr>
          <w:p w14:paraId="2C816CE3">
            <w:pPr>
              <w:keepNext w:val="0"/>
              <w:keepLines w:val="0"/>
              <w:widowControl/>
              <w:suppressLineNumbers w:val="0"/>
              <w:jc w:val="left"/>
              <w:textAlignment w:val="bottom"/>
              <w:rPr>
                <w:rFonts w:hint="default" w:ascii="Calibri" w:hAnsi="Calibri" w:cs="Calibri"/>
                <w:b/>
                <w:bCs/>
                <w:i w:val="0"/>
                <w:iCs w:val="0"/>
                <w:color w:val="FFFFFF"/>
                <w:sz w:val="24"/>
                <w:szCs w:val="24"/>
                <w:u w:val="none"/>
              </w:rPr>
            </w:pPr>
            <w:r>
              <w:rPr>
                <w:rFonts w:hint="default" w:ascii="Calibri" w:hAnsi="Calibri" w:eastAsia="SimSun" w:cs="Calibri"/>
                <w:b/>
                <w:bCs/>
                <w:i w:val="0"/>
                <w:iCs w:val="0"/>
                <w:color w:val="FFFFFF"/>
                <w:kern w:val="0"/>
                <w:sz w:val="24"/>
                <w:szCs w:val="24"/>
                <w:u w:val="none"/>
                <w:bdr w:val="none" w:color="auto" w:sz="0" w:space="0"/>
                <w:lang w:val="en-US" w:eastAsia="zh-CN" w:bidi="ar"/>
              </w:rPr>
              <w:t>2020</w:t>
            </w:r>
          </w:p>
        </w:tc>
      </w:tr>
      <w:tr w14:paraId="7C5AFEDF">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315" w:hRule="atLeast"/>
        </w:trPr>
        <w:tc>
          <w:tcPr>
            <w:tcW w:w="3705" w:type="dxa"/>
            <w:tcBorders>
              <w:top w:val="single" w:color="000000" w:sz="4" w:space="0"/>
              <w:left w:val="single" w:color="000000" w:sz="4" w:space="0"/>
              <w:bottom w:val="single" w:color="000000" w:sz="4" w:space="0"/>
              <w:right w:val="single" w:color="000000" w:sz="4" w:space="0"/>
            </w:tcBorders>
            <w:shd w:val="clear"/>
            <w:vAlign w:val="bottom"/>
          </w:tcPr>
          <w:p w14:paraId="5D8EFE30">
            <w:pPr>
              <w:keepNext w:val="0"/>
              <w:keepLines w:val="0"/>
              <w:widowControl/>
              <w:suppressLineNumbers w:val="0"/>
              <w:jc w:val="lef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ROE - Return On Equity</w:t>
            </w:r>
          </w:p>
        </w:tc>
        <w:tc>
          <w:tcPr>
            <w:tcW w:w="990" w:type="dxa"/>
            <w:tcBorders>
              <w:top w:val="single" w:color="000000" w:sz="4" w:space="0"/>
              <w:left w:val="single" w:color="000000" w:sz="4" w:space="0"/>
              <w:bottom w:val="single" w:color="000000" w:sz="4" w:space="0"/>
              <w:right w:val="single" w:color="000000" w:sz="4" w:space="0"/>
            </w:tcBorders>
            <w:shd w:val="clear"/>
            <w:vAlign w:val="bottom"/>
          </w:tcPr>
          <w:p w14:paraId="0BF718B7">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9.72</w:t>
            </w:r>
          </w:p>
        </w:tc>
        <w:tc>
          <w:tcPr>
            <w:tcW w:w="990" w:type="dxa"/>
            <w:tcBorders>
              <w:top w:val="single" w:color="000000" w:sz="4" w:space="0"/>
              <w:left w:val="single" w:color="000000" w:sz="4" w:space="0"/>
              <w:bottom w:val="single" w:color="000000" w:sz="4" w:space="0"/>
              <w:right w:val="single" w:color="000000" w:sz="4" w:space="0"/>
            </w:tcBorders>
            <w:shd w:val="clear"/>
            <w:vAlign w:val="bottom"/>
          </w:tcPr>
          <w:p w14:paraId="73E3BE44">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23.63</w:t>
            </w:r>
          </w:p>
        </w:tc>
        <w:tc>
          <w:tcPr>
            <w:tcW w:w="960" w:type="dxa"/>
            <w:tcBorders>
              <w:top w:val="single" w:color="000000" w:sz="4" w:space="0"/>
              <w:left w:val="single" w:color="000000" w:sz="4" w:space="0"/>
              <w:bottom w:val="single" w:color="000000" w:sz="4" w:space="0"/>
              <w:right w:val="single" w:color="000000" w:sz="4" w:space="0"/>
            </w:tcBorders>
            <w:shd w:val="clear"/>
            <w:vAlign w:val="bottom"/>
          </w:tcPr>
          <w:p w14:paraId="63A87947">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27.67</w:t>
            </w:r>
          </w:p>
        </w:tc>
        <w:tc>
          <w:tcPr>
            <w:tcW w:w="960" w:type="dxa"/>
            <w:tcBorders>
              <w:top w:val="single" w:color="000000" w:sz="4" w:space="0"/>
              <w:left w:val="single" w:color="000000" w:sz="4" w:space="0"/>
              <w:bottom w:val="single" w:color="000000" w:sz="4" w:space="0"/>
              <w:right w:val="single" w:color="000000" w:sz="4" w:space="0"/>
            </w:tcBorders>
            <w:shd w:val="clear"/>
            <w:vAlign w:val="bottom"/>
          </w:tcPr>
          <w:p w14:paraId="0AC61137">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18.2</w:t>
            </w:r>
          </w:p>
        </w:tc>
        <w:tc>
          <w:tcPr>
            <w:tcW w:w="960" w:type="dxa"/>
            <w:tcBorders>
              <w:top w:val="single" w:color="000000" w:sz="4" w:space="0"/>
              <w:left w:val="single" w:color="000000" w:sz="4" w:space="0"/>
              <w:bottom w:val="single" w:color="000000" w:sz="4" w:space="0"/>
              <w:right w:val="single" w:color="000000" w:sz="4" w:space="0"/>
            </w:tcBorders>
            <w:shd w:val="clear"/>
            <w:vAlign w:val="bottom"/>
          </w:tcPr>
          <w:p w14:paraId="4737F032">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3.74</w:t>
            </w:r>
          </w:p>
        </w:tc>
      </w:tr>
      <w:tr w14:paraId="59CD0319">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315" w:hRule="atLeast"/>
        </w:trPr>
        <w:tc>
          <w:tcPr>
            <w:tcW w:w="3705" w:type="dxa"/>
            <w:tcBorders>
              <w:top w:val="single" w:color="000000" w:sz="4" w:space="0"/>
              <w:left w:val="single" w:color="000000" w:sz="4" w:space="0"/>
              <w:bottom w:val="single" w:color="000000" w:sz="4" w:space="0"/>
              <w:right w:val="single" w:color="000000" w:sz="4" w:space="0"/>
            </w:tcBorders>
            <w:shd w:val="clear"/>
            <w:vAlign w:val="bottom"/>
          </w:tcPr>
          <w:p w14:paraId="30A2F891">
            <w:pPr>
              <w:keepNext w:val="0"/>
              <w:keepLines w:val="0"/>
              <w:widowControl/>
              <w:suppressLineNumbers w:val="0"/>
              <w:jc w:val="lef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ROA - Return On Assets</w:t>
            </w:r>
          </w:p>
        </w:tc>
        <w:tc>
          <w:tcPr>
            <w:tcW w:w="990" w:type="dxa"/>
            <w:tcBorders>
              <w:top w:val="single" w:color="000000" w:sz="4" w:space="0"/>
              <w:left w:val="single" w:color="000000" w:sz="4" w:space="0"/>
              <w:bottom w:val="single" w:color="000000" w:sz="4" w:space="0"/>
              <w:right w:val="single" w:color="000000" w:sz="4" w:space="0"/>
            </w:tcBorders>
            <w:shd w:val="clear"/>
            <w:vAlign w:val="bottom"/>
          </w:tcPr>
          <w:p w14:paraId="2D965B66">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5.86</w:t>
            </w:r>
          </w:p>
        </w:tc>
        <w:tc>
          <w:tcPr>
            <w:tcW w:w="990" w:type="dxa"/>
            <w:tcBorders>
              <w:top w:val="single" w:color="000000" w:sz="4" w:space="0"/>
              <w:left w:val="single" w:color="000000" w:sz="4" w:space="0"/>
              <w:bottom w:val="single" w:color="000000" w:sz="4" w:space="0"/>
              <w:right w:val="single" w:color="000000" w:sz="4" w:space="0"/>
            </w:tcBorders>
            <w:shd w:val="clear"/>
            <w:vAlign w:val="bottom"/>
          </w:tcPr>
          <w:p w14:paraId="078F4592">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14.05</w:t>
            </w:r>
          </w:p>
        </w:tc>
        <w:tc>
          <w:tcPr>
            <w:tcW w:w="960" w:type="dxa"/>
            <w:tcBorders>
              <w:top w:val="single" w:color="000000" w:sz="4" w:space="0"/>
              <w:left w:val="single" w:color="000000" w:sz="4" w:space="0"/>
              <w:bottom w:val="single" w:color="000000" w:sz="4" w:space="0"/>
              <w:right w:val="single" w:color="000000" w:sz="4" w:space="0"/>
            </w:tcBorders>
            <w:shd w:val="clear"/>
            <w:vAlign w:val="bottom"/>
          </w:tcPr>
          <w:p w14:paraId="56DB72FC">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15.29</w:t>
            </w:r>
          </w:p>
        </w:tc>
        <w:tc>
          <w:tcPr>
            <w:tcW w:w="960" w:type="dxa"/>
            <w:tcBorders>
              <w:top w:val="single" w:color="000000" w:sz="4" w:space="0"/>
              <w:left w:val="single" w:color="000000" w:sz="4" w:space="0"/>
              <w:bottom w:val="single" w:color="000000" w:sz="4" w:space="0"/>
              <w:right w:val="single" w:color="000000" w:sz="4" w:space="0"/>
            </w:tcBorders>
            <w:shd w:val="clear"/>
            <w:vAlign w:val="bottom"/>
          </w:tcPr>
          <w:p w14:paraId="47C8BDAA">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9.08</w:t>
            </w:r>
          </w:p>
        </w:tc>
        <w:tc>
          <w:tcPr>
            <w:tcW w:w="960" w:type="dxa"/>
            <w:tcBorders>
              <w:top w:val="single" w:color="000000" w:sz="4" w:space="0"/>
              <w:left w:val="single" w:color="000000" w:sz="4" w:space="0"/>
              <w:bottom w:val="single" w:color="000000" w:sz="4" w:space="0"/>
              <w:right w:val="single" w:color="000000" w:sz="4" w:space="0"/>
            </w:tcBorders>
            <w:shd w:val="clear"/>
            <w:vAlign w:val="bottom"/>
          </w:tcPr>
          <w:p w14:paraId="59EAAA3A">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1.65</w:t>
            </w:r>
          </w:p>
        </w:tc>
      </w:tr>
      <w:tr w14:paraId="66A221C1">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315" w:hRule="atLeast"/>
        </w:trPr>
        <w:tc>
          <w:tcPr>
            <w:tcW w:w="3705" w:type="dxa"/>
            <w:tcBorders>
              <w:top w:val="single" w:color="000000" w:sz="4" w:space="0"/>
              <w:left w:val="single" w:color="000000" w:sz="4" w:space="0"/>
              <w:bottom w:val="single" w:color="000000" w:sz="4" w:space="0"/>
              <w:right w:val="single" w:color="000000" w:sz="4" w:space="0"/>
            </w:tcBorders>
            <w:shd w:val="clear"/>
            <w:vAlign w:val="bottom"/>
          </w:tcPr>
          <w:p w14:paraId="534AB184">
            <w:pPr>
              <w:keepNext w:val="0"/>
              <w:keepLines w:val="0"/>
              <w:widowControl/>
              <w:suppressLineNumbers w:val="0"/>
              <w:jc w:val="lef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ROI - Return On Investment</w:t>
            </w:r>
          </w:p>
        </w:tc>
        <w:tc>
          <w:tcPr>
            <w:tcW w:w="990" w:type="dxa"/>
            <w:tcBorders>
              <w:top w:val="single" w:color="000000" w:sz="4" w:space="0"/>
              <w:left w:val="single" w:color="000000" w:sz="4" w:space="0"/>
              <w:bottom w:val="single" w:color="000000" w:sz="4" w:space="0"/>
              <w:right w:val="single" w:color="000000" w:sz="4" w:space="0"/>
            </w:tcBorders>
            <w:shd w:val="clear"/>
            <w:vAlign w:val="bottom"/>
          </w:tcPr>
          <w:p w14:paraId="36E96B83">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9.01</w:t>
            </w:r>
          </w:p>
        </w:tc>
        <w:tc>
          <w:tcPr>
            <w:tcW w:w="990" w:type="dxa"/>
            <w:tcBorders>
              <w:top w:val="single" w:color="000000" w:sz="4" w:space="0"/>
              <w:left w:val="single" w:color="000000" w:sz="4" w:space="0"/>
              <w:bottom w:val="single" w:color="000000" w:sz="4" w:space="0"/>
              <w:right w:val="single" w:color="000000" w:sz="4" w:space="0"/>
            </w:tcBorders>
            <w:shd w:val="clear"/>
            <w:vAlign w:val="bottom"/>
          </w:tcPr>
          <w:p w14:paraId="524F9ADF">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22.61</w:t>
            </w:r>
          </w:p>
        </w:tc>
        <w:tc>
          <w:tcPr>
            <w:tcW w:w="960" w:type="dxa"/>
            <w:tcBorders>
              <w:top w:val="single" w:color="000000" w:sz="4" w:space="0"/>
              <w:left w:val="single" w:color="000000" w:sz="4" w:space="0"/>
              <w:bottom w:val="single" w:color="000000" w:sz="4" w:space="0"/>
              <w:right w:val="single" w:color="000000" w:sz="4" w:space="0"/>
            </w:tcBorders>
            <w:shd w:val="clear"/>
            <w:vAlign w:val="bottom"/>
          </w:tcPr>
          <w:p w14:paraId="68551B17">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26.73</w:t>
            </w:r>
          </w:p>
        </w:tc>
        <w:tc>
          <w:tcPr>
            <w:tcW w:w="960" w:type="dxa"/>
            <w:tcBorders>
              <w:top w:val="single" w:color="000000" w:sz="4" w:space="0"/>
              <w:left w:val="single" w:color="000000" w:sz="4" w:space="0"/>
              <w:bottom w:val="single" w:color="000000" w:sz="4" w:space="0"/>
              <w:right w:val="single" w:color="000000" w:sz="4" w:space="0"/>
            </w:tcBorders>
            <w:shd w:val="clear"/>
            <w:vAlign w:val="bottom"/>
          </w:tcPr>
          <w:p w14:paraId="1B2D38CA">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15.57</w:t>
            </w:r>
          </w:p>
        </w:tc>
        <w:tc>
          <w:tcPr>
            <w:tcW w:w="960" w:type="dxa"/>
            <w:tcBorders>
              <w:top w:val="single" w:color="000000" w:sz="4" w:space="0"/>
              <w:left w:val="single" w:color="000000" w:sz="4" w:space="0"/>
              <w:bottom w:val="single" w:color="000000" w:sz="4" w:space="0"/>
              <w:right w:val="single" w:color="000000" w:sz="4" w:space="0"/>
            </w:tcBorders>
            <w:shd w:val="clear"/>
            <w:vAlign w:val="bottom"/>
          </w:tcPr>
          <w:p w14:paraId="6358396E">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2.64</w:t>
            </w:r>
          </w:p>
        </w:tc>
      </w:tr>
      <w:tr w14:paraId="47F93CA9">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315" w:hRule="atLeast"/>
        </w:trPr>
        <w:tc>
          <w:tcPr>
            <w:tcW w:w="3705" w:type="dxa"/>
            <w:tcBorders>
              <w:top w:val="single" w:color="000000" w:sz="4" w:space="0"/>
              <w:left w:val="single" w:color="000000" w:sz="4" w:space="0"/>
              <w:bottom w:val="single" w:color="000000" w:sz="4" w:space="0"/>
              <w:right w:val="single" w:color="000000" w:sz="4" w:space="0"/>
            </w:tcBorders>
            <w:shd w:val="clear"/>
            <w:vAlign w:val="bottom"/>
          </w:tcPr>
          <w:p w14:paraId="036306ED">
            <w:pPr>
              <w:keepNext w:val="0"/>
              <w:keepLines w:val="0"/>
              <w:widowControl/>
              <w:suppressLineNumbers w:val="0"/>
              <w:jc w:val="lef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EPS - Earnings Per Share</w:t>
            </w:r>
          </w:p>
        </w:tc>
        <w:tc>
          <w:tcPr>
            <w:tcW w:w="990" w:type="dxa"/>
            <w:tcBorders>
              <w:top w:val="single" w:color="000000" w:sz="4" w:space="0"/>
              <w:left w:val="single" w:color="000000" w:sz="4" w:space="0"/>
              <w:bottom w:val="single" w:color="000000" w:sz="4" w:space="0"/>
              <w:right w:val="single" w:color="000000" w:sz="4" w:space="0"/>
            </w:tcBorders>
            <w:shd w:val="clear"/>
            <w:vAlign w:val="bottom"/>
          </w:tcPr>
          <w:p w14:paraId="444A61F1">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2.04</w:t>
            </w:r>
          </w:p>
        </w:tc>
        <w:tc>
          <w:tcPr>
            <w:tcW w:w="990" w:type="dxa"/>
            <w:tcBorders>
              <w:top w:val="single" w:color="000000" w:sz="4" w:space="0"/>
              <w:left w:val="single" w:color="000000" w:sz="4" w:space="0"/>
              <w:bottom w:val="single" w:color="000000" w:sz="4" w:space="0"/>
              <w:right w:val="single" w:color="000000" w:sz="4" w:space="0"/>
            </w:tcBorders>
            <w:shd w:val="clear"/>
            <w:vAlign w:val="bottom"/>
          </w:tcPr>
          <w:p w14:paraId="73375B85">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2.79</w:t>
            </w:r>
          </w:p>
        </w:tc>
        <w:tc>
          <w:tcPr>
            <w:tcW w:w="960" w:type="dxa"/>
            <w:tcBorders>
              <w:top w:val="single" w:color="000000" w:sz="4" w:space="0"/>
              <w:left w:val="single" w:color="000000" w:sz="4" w:space="0"/>
              <w:bottom w:val="single" w:color="000000" w:sz="4" w:space="0"/>
              <w:right w:val="single" w:color="000000" w:sz="4" w:space="0"/>
            </w:tcBorders>
            <w:shd w:val="clear"/>
            <w:vAlign w:val="bottom"/>
          </w:tcPr>
          <w:p w14:paraId="602ADF55">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3.62</w:t>
            </w:r>
          </w:p>
        </w:tc>
        <w:tc>
          <w:tcPr>
            <w:tcW w:w="960" w:type="dxa"/>
            <w:tcBorders>
              <w:top w:val="single" w:color="000000" w:sz="4" w:space="0"/>
              <w:left w:val="single" w:color="000000" w:sz="4" w:space="0"/>
              <w:bottom w:val="single" w:color="000000" w:sz="4" w:space="0"/>
              <w:right w:val="single" w:color="000000" w:sz="4" w:space="0"/>
            </w:tcBorders>
            <w:shd w:val="clear"/>
            <w:vAlign w:val="bottom"/>
          </w:tcPr>
          <w:p w14:paraId="74C6EE1E">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2.26</w:t>
            </w:r>
          </w:p>
        </w:tc>
        <w:tc>
          <w:tcPr>
            <w:tcW w:w="960" w:type="dxa"/>
            <w:tcBorders>
              <w:top w:val="single" w:color="000000" w:sz="4" w:space="0"/>
              <w:left w:val="single" w:color="000000" w:sz="4" w:space="0"/>
              <w:bottom w:val="single" w:color="000000" w:sz="4" w:space="0"/>
              <w:right w:val="single" w:color="000000" w:sz="4" w:space="0"/>
            </w:tcBorders>
            <w:shd w:val="clear"/>
            <w:vAlign w:val="bottom"/>
          </w:tcPr>
          <w:p w14:paraId="4EA0EEAD">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0.21</w:t>
            </w:r>
          </w:p>
        </w:tc>
      </w:tr>
      <w:tr w14:paraId="03845443">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315" w:hRule="atLeast"/>
        </w:trPr>
        <w:tc>
          <w:tcPr>
            <w:tcW w:w="3705" w:type="dxa"/>
            <w:tcBorders>
              <w:top w:val="single" w:color="000000" w:sz="4" w:space="0"/>
              <w:left w:val="single" w:color="000000" w:sz="4" w:space="0"/>
              <w:bottom w:val="single" w:color="000000" w:sz="4" w:space="0"/>
              <w:right w:val="single" w:color="000000" w:sz="4" w:space="0"/>
            </w:tcBorders>
            <w:shd w:val="clear"/>
            <w:vAlign w:val="bottom"/>
          </w:tcPr>
          <w:p w14:paraId="51E926A0">
            <w:pPr>
              <w:keepNext w:val="0"/>
              <w:keepLines w:val="0"/>
              <w:widowControl/>
              <w:suppressLineNumbers w:val="0"/>
              <w:jc w:val="lef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P/E - Price Earnings Ratio</w:t>
            </w:r>
          </w:p>
        </w:tc>
        <w:tc>
          <w:tcPr>
            <w:tcW w:w="990" w:type="dxa"/>
            <w:tcBorders>
              <w:top w:val="single" w:color="000000" w:sz="4" w:space="0"/>
              <w:left w:val="single" w:color="000000" w:sz="4" w:space="0"/>
              <w:bottom w:val="single" w:color="000000" w:sz="4" w:space="0"/>
              <w:right w:val="single" w:color="000000" w:sz="4" w:space="0"/>
            </w:tcBorders>
            <w:shd w:val="clear"/>
            <w:vAlign w:val="bottom"/>
          </w:tcPr>
          <w:p w14:paraId="35E856BA">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121.6</w:t>
            </w:r>
          </w:p>
        </w:tc>
        <w:tc>
          <w:tcPr>
            <w:tcW w:w="990" w:type="dxa"/>
            <w:tcBorders>
              <w:top w:val="single" w:color="000000" w:sz="4" w:space="0"/>
              <w:left w:val="single" w:color="000000" w:sz="4" w:space="0"/>
              <w:bottom w:val="single" w:color="000000" w:sz="4" w:space="0"/>
              <w:right w:val="single" w:color="000000" w:sz="4" w:space="0"/>
            </w:tcBorders>
            <w:shd w:val="clear"/>
            <w:vAlign w:val="bottom"/>
          </w:tcPr>
          <w:p w14:paraId="7F136AFA">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89.4</w:t>
            </w:r>
          </w:p>
        </w:tc>
        <w:tc>
          <w:tcPr>
            <w:tcW w:w="960" w:type="dxa"/>
            <w:tcBorders>
              <w:top w:val="single" w:color="000000" w:sz="4" w:space="0"/>
              <w:left w:val="single" w:color="000000" w:sz="4" w:space="0"/>
              <w:bottom w:val="single" w:color="000000" w:sz="4" w:space="0"/>
              <w:right w:val="single" w:color="000000" w:sz="4" w:space="0"/>
            </w:tcBorders>
            <w:shd w:val="clear"/>
            <w:vAlign w:val="bottom"/>
          </w:tcPr>
          <w:p w14:paraId="31F34A6B">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34.7</w:t>
            </w:r>
          </w:p>
        </w:tc>
        <w:tc>
          <w:tcPr>
            <w:tcW w:w="960" w:type="dxa"/>
            <w:tcBorders>
              <w:top w:val="single" w:color="000000" w:sz="4" w:space="0"/>
              <w:left w:val="single" w:color="000000" w:sz="4" w:space="0"/>
              <w:bottom w:val="single" w:color="000000" w:sz="4" w:space="0"/>
              <w:right w:val="single" w:color="000000" w:sz="4" w:space="0"/>
            </w:tcBorders>
            <w:shd w:val="clear"/>
            <w:vAlign w:val="bottom"/>
          </w:tcPr>
          <w:p w14:paraId="6BC76521">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47.8</w:t>
            </w:r>
          </w:p>
        </w:tc>
        <w:tc>
          <w:tcPr>
            <w:tcW w:w="960" w:type="dxa"/>
            <w:tcBorders>
              <w:top w:val="single" w:color="000000" w:sz="4" w:space="0"/>
              <w:left w:val="single" w:color="000000" w:sz="4" w:space="0"/>
              <w:bottom w:val="single" w:color="000000" w:sz="4" w:space="0"/>
              <w:right w:val="single" w:color="000000" w:sz="4" w:space="0"/>
            </w:tcBorders>
            <w:shd w:val="clear"/>
            <w:vAlign w:val="bottom"/>
          </w:tcPr>
          <w:p w14:paraId="63E2ABD6">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332.1</w:t>
            </w:r>
          </w:p>
        </w:tc>
      </w:tr>
    </w:tbl>
    <w:p w14:paraId="47ED0D90">
      <w:pPr>
        <w:rPr>
          <w:rFonts w:hint="default"/>
          <w:lang w:val="en-GB" w:eastAsia="zh-CN"/>
        </w:rPr>
      </w:pPr>
    </w:p>
    <w:tbl>
      <w:tblPr>
        <w:tblW w:w="8565" w:type="dxa"/>
        <w:tblInd w:w="93" w:type="dxa"/>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Layout w:type="autofit"/>
        <w:tblCellMar>
          <w:top w:w="0" w:type="dxa"/>
          <w:left w:w="108" w:type="dxa"/>
          <w:bottom w:w="0" w:type="dxa"/>
          <w:right w:w="108" w:type="dxa"/>
        </w:tblCellMar>
      </w:tblPr>
      <w:tblGrid>
        <w:gridCol w:w="3705"/>
        <w:gridCol w:w="990"/>
        <w:gridCol w:w="990"/>
        <w:gridCol w:w="960"/>
        <w:gridCol w:w="960"/>
        <w:gridCol w:w="960"/>
      </w:tblGrid>
      <w:tr w14:paraId="34216FA7">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315" w:hRule="atLeast"/>
        </w:trPr>
        <w:tc>
          <w:tcPr>
            <w:tcW w:w="8565" w:type="dxa"/>
            <w:gridSpan w:val="6"/>
            <w:tcBorders>
              <w:top w:val="single" w:color="000000" w:sz="4" w:space="0"/>
              <w:left w:val="single" w:color="000000" w:sz="4" w:space="0"/>
              <w:bottom w:val="single" w:color="000000" w:sz="4" w:space="0"/>
              <w:right w:val="single" w:color="000000" w:sz="4" w:space="0"/>
            </w:tcBorders>
            <w:shd w:val="clear" w:color="auto" w:fill="090170"/>
            <w:noWrap/>
            <w:vAlign w:val="bottom"/>
          </w:tcPr>
          <w:p w14:paraId="16352022">
            <w:pPr>
              <w:keepNext w:val="0"/>
              <w:keepLines w:val="0"/>
              <w:widowControl/>
              <w:suppressLineNumbers w:val="0"/>
              <w:jc w:val="center"/>
              <w:textAlignment w:val="bottom"/>
              <w:rPr>
                <w:rFonts w:ascii="Calibri" w:hAnsi="Calibri" w:cs="Calibri"/>
                <w:b/>
                <w:bCs/>
                <w:i w:val="0"/>
                <w:iCs w:val="0"/>
                <w:color w:val="FFFFFF"/>
                <w:sz w:val="24"/>
                <w:szCs w:val="24"/>
                <w:u w:val="none"/>
              </w:rPr>
            </w:pPr>
            <w:r>
              <w:rPr>
                <w:rFonts w:hint="default" w:ascii="Calibri" w:hAnsi="Calibri" w:eastAsia="SimSun" w:cs="Calibri"/>
                <w:b/>
                <w:bCs/>
                <w:i w:val="0"/>
                <w:iCs w:val="0"/>
                <w:color w:val="FFFFFF"/>
                <w:kern w:val="0"/>
                <w:sz w:val="24"/>
                <w:szCs w:val="24"/>
                <w:u w:val="none"/>
                <w:bdr w:val="none" w:color="auto" w:sz="0" w:space="0"/>
                <w:lang w:val="en-US" w:eastAsia="zh-CN" w:bidi="ar"/>
              </w:rPr>
              <w:t>Cash Flow Ratios</w:t>
            </w:r>
          </w:p>
        </w:tc>
      </w:tr>
      <w:tr w14:paraId="30701ACB">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315" w:hRule="atLeast"/>
        </w:trPr>
        <w:tc>
          <w:tcPr>
            <w:tcW w:w="0" w:type="auto"/>
            <w:tcBorders>
              <w:top w:val="single" w:color="000000" w:sz="4" w:space="0"/>
              <w:left w:val="single" w:color="000000" w:sz="4" w:space="0"/>
              <w:bottom w:val="single" w:color="000000" w:sz="4" w:space="0"/>
              <w:right w:val="single" w:color="000000" w:sz="4" w:space="0"/>
            </w:tcBorders>
            <w:shd w:val="clear" w:color="auto" w:fill="090170"/>
            <w:noWrap/>
            <w:vAlign w:val="bottom"/>
          </w:tcPr>
          <w:p w14:paraId="17E1FB0A">
            <w:pPr>
              <w:keepNext w:val="0"/>
              <w:keepLines w:val="0"/>
              <w:widowControl/>
              <w:suppressLineNumbers w:val="0"/>
              <w:jc w:val="left"/>
              <w:textAlignment w:val="bottom"/>
              <w:rPr>
                <w:rFonts w:hint="default" w:ascii="Calibri" w:hAnsi="Calibri" w:cs="Calibri"/>
                <w:b/>
                <w:bCs/>
                <w:i w:val="0"/>
                <w:iCs w:val="0"/>
                <w:color w:val="FFFFFF"/>
                <w:sz w:val="24"/>
                <w:szCs w:val="24"/>
                <w:u w:val="none"/>
              </w:rPr>
            </w:pPr>
            <w:r>
              <w:rPr>
                <w:rFonts w:hint="default" w:ascii="Calibri" w:hAnsi="Calibri" w:eastAsia="SimSun" w:cs="Calibri"/>
                <w:b/>
                <w:bCs/>
                <w:i w:val="0"/>
                <w:iCs w:val="0"/>
                <w:color w:val="FFFFFF"/>
                <w:kern w:val="0"/>
                <w:sz w:val="24"/>
                <w:szCs w:val="24"/>
                <w:u w:val="none"/>
                <w:bdr w:val="none" w:color="auto" w:sz="0" w:space="0"/>
                <w:lang w:val="en-US" w:eastAsia="zh-CN" w:bidi="ar"/>
              </w:rPr>
              <w:t>Ratio</w:t>
            </w:r>
          </w:p>
        </w:tc>
        <w:tc>
          <w:tcPr>
            <w:tcW w:w="0" w:type="auto"/>
            <w:tcBorders>
              <w:top w:val="single" w:color="000000" w:sz="4" w:space="0"/>
              <w:left w:val="single" w:color="000000" w:sz="4" w:space="0"/>
              <w:bottom w:val="single" w:color="000000" w:sz="4" w:space="0"/>
              <w:right w:val="single" w:color="000000" w:sz="4" w:space="0"/>
            </w:tcBorders>
            <w:shd w:val="clear" w:color="auto" w:fill="090170"/>
            <w:noWrap/>
            <w:vAlign w:val="bottom"/>
          </w:tcPr>
          <w:p w14:paraId="5451092A">
            <w:pPr>
              <w:keepNext w:val="0"/>
              <w:keepLines w:val="0"/>
              <w:widowControl/>
              <w:suppressLineNumbers w:val="0"/>
              <w:jc w:val="left"/>
              <w:textAlignment w:val="bottom"/>
              <w:rPr>
                <w:rFonts w:hint="default" w:ascii="Calibri" w:hAnsi="Calibri" w:cs="Calibri"/>
                <w:b/>
                <w:bCs/>
                <w:i w:val="0"/>
                <w:iCs w:val="0"/>
                <w:color w:val="FFFFFF"/>
                <w:sz w:val="24"/>
                <w:szCs w:val="24"/>
                <w:u w:val="none"/>
              </w:rPr>
            </w:pPr>
            <w:r>
              <w:rPr>
                <w:rFonts w:hint="default" w:ascii="Calibri" w:hAnsi="Calibri" w:eastAsia="SimSun" w:cs="Calibri"/>
                <w:b/>
                <w:bCs/>
                <w:i w:val="0"/>
                <w:iCs w:val="0"/>
                <w:color w:val="FFFFFF"/>
                <w:kern w:val="0"/>
                <w:sz w:val="24"/>
                <w:szCs w:val="24"/>
                <w:u w:val="none"/>
                <w:bdr w:val="none" w:color="auto" w:sz="0" w:space="0"/>
                <w:lang w:val="en-US" w:eastAsia="zh-CN" w:bidi="ar"/>
              </w:rPr>
              <w:t>2024</w:t>
            </w:r>
          </w:p>
        </w:tc>
        <w:tc>
          <w:tcPr>
            <w:tcW w:w="0" w:type="auto"/>
            <w:tcBorders>
              <w:top w:val="single" w:color="000000" w:sz="4" w:space="0"/>
              <w:left w:val="single" w:color="000000" w:sz="4" w:space="0"/>
              <w:bottom w:val="single" w:color="000000" w:sz="4" w:space="0"/>
              <w:right w:val="single" w:color="000000" w:sz="4" w:space="0"/>
            </w:tcBorders>
            <w:shd w:val="clear" w:color="auto" w:fill="090170"/>
            <w:noWrap/>
            <w:vAlign w:val="bottom"/>
          </w:tcPr>
          <w:p w14:paraId="5566AFD6">
            <w:pPr>
              <w:keepNext w:val="0"/>
              <w:keepLines w:val="0"/>
              <w:widowControl/>
              <w:suppressLineNumbers w:val="0"/>
              <w:jc w:val="left"/>
              <w:textAlignment w:val="bottom"/>
              <w:rPr>
                <w:rFonts w:hint="default" w:ascii="Calibri" w:hAnsi="Calibri" w:cs="Calibri"/>
                <w:b/>
                <w:bCs/>
                <w:i w:val="0"/>
                <w:iCs w:val="0"/>
                <w:color w:val="FFFFFF"/>
                <w:sz w:val="24"/>
                <w:szCs w:val="24"/>
                <w:u w:val="none"/>
              </w:rPr>
            </w:pPr>
            <w:r>
              <w:rPr>
                <w:rFonts w:hint="default" w:ascii="Calibri" w:hAnsi="Calibri" w:eastAsia="SimSun" w:cs="Calibri"/>
                <w:b/>
                <w:bCs/>
                <w:i w:val="0"/>
                <w:iCs w:val="0"/>
                <w:color w:val="FFFFFF"/>
                <w:kern w:val="0"/>
                <w:sz w:val="24"/>
                <w:szCs w:val="24"/>
                <w:u w:val="none"/>
                <w:bdr w:val="none" w:color="auto" w:sz="0" w:space="0"/>
                <w:lang w:val="en-US" w:eastAsia="zh-CN" w:bidi="ar"/>
              </w:rPr>
              <w:t>2023</w:t>
            </w:r>
          </w:p>
        </w:tc>
        <w:tc>
          <w:tcPr>
            <w:tcW w:w="0" w:type="auto"/>
            <w:tcBorders>
              <w:top w:val="single" w:color="000000" w:sz="4" w:space="0"/>
              <w:left w:val="single" w:color="000000" w:sz="4" w:space="0"/>
              <w:bottom w:val="single" w:color="000000" w:sz="4" w:space="0"/>
              <w:right w:val="single" w:color="000000" w:sz="4" w:space="0"/>
            </w:tcBorders>
            <w:shd w:val="clear" w:color="auto" w:fill="090170"/>
            <w:noWrap/>
            <w:vAlign w:val="bottom"/>
          </w:tcPr>
          <w:p w14:paraId="5286519C">
            <w:pPr>
              <w:keepNext w:val="0"/>
              <w:keepLines w:val="0"/>
              <w:widowControl/>
              <w:suppressLineNumbers w:val="0"/>
              <w:jc w:val="left"/>
              <w:textAlignment w:val="bottom"/>
              <w:rPr>
                <w:rFonts w:hint="default" w:ascii="Calibri" w:hAnsi="Calibri" w:cs="Calibri"/>
                <w:b/>
                <w:bCs/>
                <w:i w:val="0"/>
                <w:iCs w:val="0"/>
                <w:color w:val="FFFFFF"/>
                <w:sz w:val="24"/>
                <w:szCs w:val="24"/>
                <w:u w:val="none"/>
              </w:rPr>
            </w:pPr>
            <w:r>
              <w:rPr>
                <w:rFonts w:hint="default" w:ascii="Calibri" w:hAnsi="Calibri" w:eastAsia="SimSun" w:cs="Calibri"/>
                <w:b/>
                <w:bCs/>
                <w:i w:val="0"/>
                <w:iCs w:val="0"/>
                <w:color w:val="FFFFFF"/>
                <w:kern w:val="0"/>
                <w:sz w:val="24"/>
                <w:szCs w:val="24"/>
                <w:u w:val="none"/>
                <w:bdr w:val="none" w:color="auto" w:sz="0" w:space="0"/>
                <w:lang w:val="en-US" w:eastAsia="zh-CN" w:bidi="ar"/>
              </w:rPr>
              <w:t>2022</w:t>
            </w:r>
          </w:p>
        </w:tc>
        <w:tc>
          <w:tcPr>
            <w:tcW w:w="0" w:type="auto"/>
            <w:tcBorders>
              <w:top w:val="single" w:color="000000" w:sz="4" w:space="0"/>
              <w:left w:val="single" w:color="000000" w:sz="4" w:space="0"/>
              <w:bottom w:val="single" w:color="000000" w:sz="4" w:space="0"/>
              <w:right w:val="single" w:color="000000" w:sz="4" w:space="0"/>
            </w:tcBorders>
            <w:shd w:val="clear" w:color="auto" w:fill="090170"/>
            <w:noWrap/>
            <w:vAlign w:val="bottom"/>
          </w:tcPr>
          <w:p w14:paraId="507C02EF">
            <w:pPr>
              <w:keepNext w:val="0"/>
              <w:keepLines w:val="0"/>
              <w:widowControl/>
              <w:suppressLineNumbers w:val="0"/>
              <w:jc w:val="left"/>
              <w:textAlignment w:val="bottom"/>
              <w:rPr>
                <w:rFonts w:hint="default" w:ascii="Calibri" w:hAnsi="Calibri" w:cs="Calibri"/>
                <w:b/>
                <w:bCs/>
                <w:i w:val="0"/>
                <w:iCs w:val="0"/>
                <w:color w:val="FFFFFF"/>
                <w:sz w:val="24"/>
                <w:szCs w:val="24"/>
                <w:u w:val="none"/>
              </w:rPr>
            </w:pPr>
            <w:r>
              <w:rPr>
                <w:rFonts w:hint="default" w:ascii="Calibri" w:hAnsi="Calibri" w:eastAsia="SimSun" w:cs="Calibri"/>
                <w:b/>
                <w:bCs/>
                <w:i w:val="0"/>
                <w:iCs w:val="0"/>
                <w:color w:val="FFFFFF"/>
                <w:kern w:val="0"/>
                <w:sz w:val="24"/>
                <w:szCs w:val="24"/>
                <w:u w:val="none"/>
                <w:bdr w:val="none" w:color="auto" w:sz="0" w:space="0"/>
                <w:lang w:val="en-US" w:eastAsia="zh-CN" w:bidi="ar"/>
              </w:rPr>
              <w:t>2021</w:t>
            </w:r>
          </w:p>
        </w:tc>
        <w:tc>
          <w:tcPr>
            <w:tcW w:w="0" w:type="auto"/>
            <w:tcBorders>
              <w:top w:val="single" w:color="000000" w:sz="4" w:space="0"/>
              <w:left w:val="single" w:color="000000" w:sz="4" w:space="0"/>
              <w:bottom w:val="single" w:color="000000" w:sz="4" w:space="0"/>
              <w:right w:val="single" w:color="000000" w:sz="4" w:space="0"/>
            </w:tcBorders>
            <w:shd w:val="clear" w:color="auto" w:fill="090170"/>
            <w:noWrap/>
            <w:vAlign w:val="bottom"/>
          </w:tcPr>
          <w:p w14:paraId="11AB5616">
            <w:pPr>
              <w:keepNext w:val="0"/>
              <w:keepLines w:val="0"/>
              <w:widowControl/>
              <w:suppressLineNumbers w:val="0"/>
              <w:jc w:val="left"/>
              <w:textAlignment w:val="bottom"/>
              <w:rPr>
                <w:rFonts w:hint="default" w:ascii="Calibri" w:hAnsi="Calibri" w:cs="Calibri"/>
                <w:b/>
                <w:bCs/>
                <w:i w:val="0"/>
                <w:iCs w:val="0"/>
                <w:color w:val="FFFFFF"/>
                <w:sz w:val="24"/>
                <w:szCs w:val="24"/>
                <w:u w:val="none"/>
              </w:rPr>
            </w:pPr>
            <w:r>
              <w:rPr>
                <w:rFonts w:hint="default" w:ascii="Calibri" w:hAnsi="Calibri" w:eastAsia="SimSun" w:cs="Calibri"/>
                <w:b/>
                <w:bCs/>
                <w:i w:val="0"/>
                <w:iCs w:val="0"/>
                <w:color w:val="FFFFFF"/>
                <w:kern w:val="0"/>
                <w:sz w:val="24"/>
                <w:szCs w:val="24"/>
                <w:u w:val="none"/>
                <w:bdr w:val="none" w:color="auto" w:sz="0" w:space="0"/>
                <w:lang w:val="en-US" w:eastAsia="zh-CN" w:bidi="ar"/>
              </w:rPr>
              <w:t>2020</w:t>
            </w:r>
          </w:p>
        </w:tc>
      </w:tr>
      <w:tr w14:paraId="16DF18F8">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315" w:hRule="atLeast"/>
        </w:trPr>
        <w:tc>
          <w:tcPr>
            <w:tcW w:w="3705" w:type="dxa"/>
            <w:tcBorders>
              <w:top w:val="single" w:color="000000" w:sz="4" w:space="0"/>
              <w:left w:val="single" w:color="000000" w:sz="4" w:space="0"/>
              <w:bottom w:val="single" w:color="000000" w:sz="4" w:space="0"/>
              <w:right w:val="single" w:color="000000" w:sz="4" w:space="0"/>
            </w:tcBorders>
            <w:shd w:val="clear"/>
            <w:vAlign w:val="bottom"/>
          </w:tcPr>
          <w:p w14:paraId="2303E10C">
            <w:pPr>
              <w:keepNext w:val="0"/>
              <w:keepLines w:val="0"/>
              <w:widowControl/>
              <w:suppressLineNumbers w:val="0"/>
              <w:jc w:val="lef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Operating Cash Flow Ratio</w:t>
            </w:r>
          </w:p>
        </w:tc>
        <w:tc>
          <w:tcPr>
            <w:tcW w:w="990" w:type="dxa"/>
            <w:tcBorders>
              <w:top w:val="single" w:color="000000" w:sz="4" w:space="0"/>
              <w:left w:val="single" w:color="000000" w:sz="4" w:space="0"/>
              <w:bottom w:val="single" w:color="000000" w:sz="4" w:space="0"/>
              <w:right w:val="single" w:color="000000" w:sz="4" w:space="0"/>
            </w:tcBorders>
            <w:shd w:val="clear"/>
            <w:vAlign w:val="bottom"/>
          </w:tcPr>
          <w:p w14:paraId="38BD1B23">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0.78</w:t>
            </w:r>
          </w:p>
        </w:tc>
        <w:tc>
          <w:tcPr>
            <w:tcW w:w="990" w:type="dxa"/>
            <w:tcBorders>
              <w:top w:val="single" w:color="000000" w:sz="4" w:space="0"/>
              <w:left w:val="single" w:color="000000" w:sz="4" w:space="0"/>
              <w:bottom w:val="single" w:color="000000" w:sz="4" w:space="0"/>
              <w:right w:val="single" w:color="000000" w:sz="4" w:space="0"/>
            </w:tcBorders>
            <w:shd w:val="clear"/>
            <w:vAlign w:val="bottom"/>
          </w:tcPr>
          <w:p w14:paraId="72E3F4DD">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1.02</w:t>
            </w:r>
          </w:p>
        </w:tc>
        <w:tc>
          <w:tcPr>
            <w:tcW w:w="960" w:type="dxa"/>
            <w:tcBorders>
              <w:top w:val="single" w:color="000000" w:sz="4" w:space="0"/>
              <w:left w:val="single" w:color="000000" w:sz="4" w:space="0"/>
              <w:bottom w:val="single" w:color="000000" w:sz="4" w:space="0"/>
              <w:right w:val="single" w:color="000000" w:sz="4" w:space="0"/>
            </w:tcBorders>
            <w:shd w:val="clear"/>
            <w:vAlign w:val="bottom"/>
          </w:tcPr>
          <w:p w14:paraId="6CC85C62">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1.18</w:t>
            </w:r>
          </w:p>
        </w:tc>
        <w:tc>
          <w:tcPr>
            <w:tcW w:w="960" w:type="dxa"/>
            <w:tcBorders>
              <w:top w:val="single" w:color="000000" w:sz="4" w:space="0"/>
              <w:left w:val="single" w:color="000000" w:sz="4" w:space="0"/>
              <w:bottom w:val="single" w:color="000000" w:sz="4" w:space="0"/>
              <w:right w:val="single" w:color="000000" w:sz="4" w:space="0"/>
            </w:tcBorders>
            <w:shd w:val="clear"/>
            <w:vAlign w:val="bottom"/>
          </w:tcPr>
          <w:p w14:paraId="291D8D3E">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1.05</w:t>
            </w:r>
          </w:p>
        </w:tc>
        <w:tc>
          <w:tcPr>
            <w:tcW w:w="960" w:type="dxa"/>
            <w:tcBorders>
              <w:top w:val="single" w:color="000000" w:sz="4" w:space="0"/>
              <w:left w:val="single" w:color="000000" w:sz="4" w:space="0"/>
              <w:bottom w:val="single" w:color="000000" w:sz="4" w:space="0"/>
              <w:right w:val="single" w:color="000000" w:sz="4" w:space="0"/>
            </w:tcBorders>
            <w:shd w:val="clear"/>
            <w:vAlign w:val="bottom"/>
          </w:tcPr>
          <w:p w14:paraId="640252FC">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0.89</w:t>
            </w:r>
          </w:p>
        </w:tc>
      </w:tr>
      <w:tr w14:paraId="6F2FF4E9">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315" w:hRule="atLeast"/>
        </w:trPr>
        <w:tc>
          <w:tcPr>
            <w:tcW w:w="3705" w:type="dxa"/>
            <w:tcBorders>
              <w:top w:val="single" w:color="000000" w:sz="4" w:space="0"/>
              <w:left w:val="single" w:color="000000" w:sz="4" w:space="0"/>
              <w:bottom w:val="single" w:color="000000" w:sz="4" w:space="0"/>
              <w:right w:val="single" w:color="000000" w:sz="4" w:space="0"/>
            </w:tcBorders>
            <w:shd w:val="clear"/>
            <w:vAlign w:val="bottom"/>
          </w:tcPr>
          <w:p w14:paraId="3F52327F">
            <w:pPr>
              <w:keepNext w:val="0"/>
              <w:keepLines w:val="0"/>
              <w:widowControl/>
              <w:suppressLineNumbers w:val="0"/>
              <w:jc w:val="lef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Cash Flow to Debt Ratio</w:t>
            </w:r>
          </w:p>
        </w:tc>
        <w:tc>
          <w:tcPr>
            <w:tcW w:w="990" w:type="dxa"/>
            <w:tcBorders>
              <w:top w:val="single" w:color="000000" w:sz="4" w:space="0"/>
              <w:left w:val="single" w:color="000000" w:sz="4" w:space="0"/>
              <w:bottom w:val="single" w:color="000000" w:sz="4" w:space="0"/>
              <w:right w:val="single" w:color="000000" w:sz="4" w:space="0"/>
            </w:tcBorders>
            <w:shd w:val="clear"/>
            <w:vAlign w:val="bottom"/>
          </w:tcPr>
          <w:p w14:paraId="7C323B15">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1.54</w:t>
            </w:r>
          </w:p>
        </w:tc>
        <w:tc>
          <w:tcPr>
            <w:tcW w:w="990" w:type="dxa"/>
            <w:tcBorders>
              <w:top w:val="single" w:color="000000" w:sz="4" w:space="0"/>
              <w:left w:val="single" w:color="000000" w:sz="4" w:space="0"/>
              <w:bottom w:val="single" w:color="000000" w:sz="4" w:space="0"/>
              <w:right w:val="single" w:color="000000" w:sz="4" w:space="0"/>
            </w:tcBorders>
            <w:shd w:val="clear"/>
            <w:vAlign w:val="bottom"/>
          </w:tcPr>
          <w:p w14:paraId="2B32524A">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2.41</w:t>
            </w:r>
          </w:p>
        </w:tc>
        <w:tc>
          <w:tcPr>
            <w:tcW w:w="960" w:type="dxa"/>
            <w:tcBorders>
              <w:top w:val="single" w:color="000000" w:sz="4" w:space="0"/>
              <w:left w:val="single" w:color="000000" w:sz="4" w:space="0"/>
              <w:bottom w:val="single" w:color="000000" w:sz="4" w:space="0"/>
              <w:right w:val="single" w:color="000000" w:sz="4" w:space="0"/>
            </w:tcBorders>
            <w:shd w:val="clear"/>
            <w:vAlign w:val="bottom"/>
          </w:tcPr>
          <w:p w14:paraId="43AD698B">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2.96</w:t>
            </w:r>
          </w:p>
        </w:tc>
        <w:tc>
          <w:tcPr>
            <w:tcW w:w="960" w:type="dxa"/>
            <w:tcBorders>
              <w:top w:val="single" w:color="000000" w:sz="4" w:space="0"/>
              <w:left w:val="single" w:color="000000" w:sz="4" w:space="0"/>
              <w:bottom w:val="single" w:color="000000" w:sz="4" w:space="0"/>
              <w:right w:val="single" w:color="000000" w:sz="4" w:space="0"/>
            </w:tcBorders>
            <w:shd w:val="clear"/>
            <w:vAlign w:val="bottom"/>
          </w:tcPr>
          <w:p w14:paraId="22A2B0A4">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1.88</w:t>
            </w:r>
          </w:p>
        </w:tc>
        <w:tc>
          <w:tcPr>
            <w:tcW w:w="960" w:type="dxa"/>
            <w:tcBorders>
              <w:top w:val="single" w:color="000000" w:sz="4" w:space="0"/>
              <w:left w:val="single" w:color="000000" w:sz="4" w:space="0"/>
              <w:bottom w:val="single" w:color="000000" w:sz="4" w:space="0"/>
              <w:right w:val="single" w:color="000000" w:sz="4" w:space="0"/>
            </w:tcBorders>
            <w:shd w:val="clear"/>
            <w:vAlign w:val="bottom"/>
          </w:tcPr>
          <w:p w14:paraId="6C9576A1">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0.74</w:t>
            </w:r>
          </w:p>
        </w:tc>
      </w:tr>
      <w:tr w14:paraId="1B37BDD8">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315" w:hRule="atLeast"/>
        </w:trPr>
        <w:tc>
          <w:tcPr>
            <w:tcW w:w="3705" w:type="dxa"/>
            <w:tcBorders>
              <w:top w:val="single" w:color="000000" w:sz="4" w:space="0"/>
              <w:left w:val="single" w:color="000000" w:sz="4" w:space="0"/>
              <w:bottom w:val="single" w:color="000000" w:sz="4" w:space="0"/>
              <w:right w:val="single" w:color="000000" w:sz="4" w:space="0"/>
            </w:tcBorders>
            <w:shd w:val="clear"/>
            <w:vAlign w:val="bottom"/>
          </w:tcPr>
          <w:p w14:paraId="3D643D05">
            <w:pPr>
              <w:keepNext w:val="0"/>
              <w:keepLines w:val="0"/>
              <w:widowControl/>
              <w:suppressLineNumbers w:val="0"/>
              <w:jc w:val="lef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Free Cash Flow ($bn)</w:t>
            </w:r>
          </w:p>
        </w:tc>
        <w:tc>
          <w:tcPr>
            <w:tcW w:w="990" w:type="dxa"/>
            <w:tcBorders>
              <w:top w:val="single" w:color="000000" w:sz="4" w:space="0"/>
              <w:left w:val="single" w:color="000000" w:sz="4" w:space="0"/>
              <w:bottom w:val="single" w:color="000000" w:sz="4" w:space="0"/>
              <w:right w:val="single" w:color="000000" w:sz="4" w:space="0"/>
            </w:tcBorders>
            <w:shd w:val="clear"/>
            <w:vAlign w:val="bottom"/>
          </w:tcPr>
          <w:p w14:paraId="2279F021">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3.6</w:t>
            </w:r>
          </w:p>
        </w:tc>
        <w:tc>
          <w:tcPr>
            <w:tcW w:w="990" w:type="dxa"/>
            <w:tcBorders>
              <w:top w:val="single" w:color="000000" w:sz="4" w:space="0"/>
              <w:left w:val="single" w:color="000000" w:sz="4" w:space="0"/>
              <w:bottom w:val="single" w:color="000000" w:sz="4" w:space="0"/>
              <w:right w:val="single" w:color="000000" w:sz="4" w:space="0"/>
            </w:tcBorders>
            <w:shd w:val="clear"/>
            <w:vAlign w:val="bottom"/>
          </w:tcPr>
          <w:p w14:paraId="6240283C">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4.4</w:t>
            </w:r>
          </w:p>
        </w:tc>
        <w:tc>
          <w:tcPr>
            <w:tcW w:w="960" w:type="dxa"/>
            <w:tcBorders>
              <w:top w:val="single" w:color="000000" w:sz="4" w:space="0"/>
              <w:left w:val="single" w:color="000000" w:sz="4" w:space="0"/>
              <w:bottom w:val="single" w:color="000000" w:sz="4" w:space="0"/>
              <w:right w:val="single" w:color="000000" w:sz="4" w:space="0"/>
            </w:tcBorders>
            <w:shd w:val="clear"/>
            <w:vAlign w:val="bottom"/>
          </w:tcPr>
          <w:p w14:paraId="01321956">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7.6</w:t>
            </w:r>
          </w:p>
        </w:tc>
        <w:tc>
          <w:tcPr>
            <w:tcW w:w="960" w:type="dxa"/>
            <w:tcBorders>
              <w:top w:val="single" w:color="000000" w:sz="4" w:space="0"/>
              <w:left w:val="single" w:color="000000" w:sz="4" w:space="0"/>
              <w:bottom w:val="single" w:color="000000" w:sz="4" w:space="0"/>
              <w:right w:val="single" w:color="000000" w:sz="4" w:space="0"/>
            </w:tcBorders>
            <w:shd w:val="clear"/>
            <w:vAlign w:val="bottom"/>
          </w:tcPr>
          <w:p w14:paraId="25CB7444">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5</w:t>
            </w:r>
          </w:p>
        </w:tc>
        <w:tc>
          <w:tcPr>
            <w:tcW w:w="960" w:type="dxa"/>
            <w:tcBorders>
              <w:top w:val="single" w:color="000000" w:sz="4" w:space="0"/>
              <w:left w:val="single" w:color="000000" w:sz="4" w:space="0"/>
              <w:bottom w:val="single" w:color="000000" w:sz="4" w:space="0"/>
              <w:right w:val="single" w:color="000000" w:sz="4" w:space="0"/>
            </w:tcBorders>
            <w:shd w:val="clear"/>
            <w:vAlign w:val="bottom"/>
          </w:tcPr>
          <w:p w14:paraId="489B435E">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2.8</w:t>
            </w:r>
          </w:p>
        </w:tc>
      </w:tr>
      <w:tr w14:paraId="765B8B37">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315" w:hRule="atLeast"/>
        </w:trPr>
        <w:tc>
          <w:tcPr>
            <w:tcW w:w="3705" w:type="dxa"/>
            <w:tcBorders>
              <w:top w:val="single" w:color="000000" w:sz="4" w:space="0"/>
              <w:left w:val="single" w:color="000000" w:sz="4" w:space="0"/>
              <w:bottom w:val="single" w:color="000000" w:sz="4" w:space="0"/>
              <w:right w:val="single" w:color="000000" w:sz="4" w:space="0"/>
            </w:tcBorders>
            <w:shd w:val="clear"/>
            <w:vAlign w:val="bottom"/>
          </w:tcPr>
          <w:p w14:paraId="3BB80397">
            <w:pPr>
              <w:keepNext w:val="0"/>
              <w:keepLines w:val="0"/>
              <w:widowControl/>
              <w:suppressLineNumbers w:val="0"/>
              <w:jc w:val="lef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Cash Flow per Share $</w:t>
            </w:r>
          </w:p>
        </w:tc>
        <w:tc>
          <w:tcPr>
            <w:tcW w:w="990" w:type="dxa"/>
            <w:tcBorders>
              <w:top w:val="single" w:color="000000" w:sz="4" w:space="0"/>
              <w:left w:val="single" w:color="000000" w:sz="4" w:space="0"/>
              <w:bottom w:val="single" w:color="000000" w:sz="4" w:space="0"/>
              <w:right w:val="single" w:color="000000" w:sz="4" w:space="0"/>
            </w:tcBorders>
            <w:shd w:val="clear"/>
            <w:vAlign w:val="bottom"/>
          </w:tcPr>
          <w:p w14:paraId="57124F7F">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3.11</w:t>
            </w:r>
          </w:p>
        </w:tc>
        <w:tc>
          <w:tcPr>
            <w:tcW w:w="990" w:type="dxa"/>
            <w:tcBorders>
              <w:top w:val="single" w:color="000000" w:sz="4" w:space="0"/>
              <w:left w:val="single" w:color="000000" w:sz="4" w:space="0"/>
              <w:bottom w:val="single" w:color="000000" w:sz="4" w:space="0"/>
              <w:right w:val="single" w:color="000000" w:sz="4" w:space="0"/>
            </w:tcBorders>
            <w:shd w:val="clear"/>
            <w:vAlign w:val="bottom"/>
          </w:tcPr>
          <w:p w14:paraId="1B08E430">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4.22</w:t>
            </w:r>
          </w:p>
        </w:tc>
        <w:tc>
          <w:tcPr>
            <w:tcW w:w="960" w:type="dxa"/>
            <w:tcBorders>
              <w:top w:val="single" w:color="000000" w:sz="4" w:space="0"/>
              <w:left w:val="single" w:color="000000" w:sz="4" w:space="0"/>
              <w:bottom w:val="single" w:color="000000" w:sz="4" w:space="0"/>
              <w:right w:val="single" w:color="000000" w:sz="4" w:space="0"/>
            </w:tcBorders>
            <w:shd w:val="clear"/>
            <w:vAlign w:val="bottom"/>
          </w:tcPr>
          <w:p w14:paraId="6D2FEA95">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5.67</w:t>
            </w:r>
          </w:p>
        </w:tc>
        <w:tc>
          <w:tcPr>
            <w:tcW w:w="960" w:type="dxa"/>
            <w:tcBorders>
              <w:top w:val="single" w:color="000000" w:sz="4" w:space="0"/>
              <w:left w:val="single" w:color="000000" w:sz="4" w:space="0"/>
              <w:bottom w:val="single" w:color="000000" w:sz="4" w:space="0"/>
              <w:right w:val="single" w:color="000000" w:sz="4" w:space="0"/>
            </w:tcBorders>
            <w:shd w:val="clear"/>
            <w:vAlign w:val="bottom"/>
          </w:tcPr>
          <w:p w14:paraId="5C6873F0">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3.42</w:t>
            </w:r>
          </w:p>
        </w:tc>
        <w:tc>
          <w:tcPr>
            <w:tcW w:w="960" w:type="dxa"/>
            <w:tcBorders>
              <w:top w:val="single" w:color="000000" w:sz="4" w:space="0"/>
              <w:left w:val="single" w:color="000000" w:sz="4" w:space="0"/>
              <w:bottom w:val="single" w:color="000000" w:sz="4" w:space="0"/>
              <w:right w:val="single" w:color="000000" w:sz="4" w:space="0"/>
            </w:tcBorders>
            <w:shd w:val="clear"/>
            <w:vAlign w:val="bottom"/>
          </w:tcPr>
          <w:p w14:paraId="7325F352">
            <w:pPr>
              <w:keepNext w:val="0"/>
              <w:keepLines w:val="0"/>
              <w:widowControl/>
              <w:suppressLineNumbers w:val="0"/>
              <w:jc w:val="right"/>
              <w:textAlignment w:val="bottom"/>
              <w:rPr>
                <w:rFonts w:hint="default" w:ascii="Calibri" w:hAnsi="Calibri" w:cs="Calibri"/>
                <w:i w:val="0"/>
                <w:iCs w:val="0"/>
                <w:color w:val="000000"/>
                <w:sz w:val="24"/>
                <w:szCs w:val="24"/>
                <w:u w:val="none"/>
              </w:rPr>
            </w:pPr>
            <w:r>
              <w:rPr>
                <w:rFonts w:hint="default" w:ascii="Calibri" w:hAnsi="Calibri" w:eastAsia="SimSun" w:cs="Calibri"/>
                <w:i w:val="0"/>
                <w:iCs w:val="0"/>
                <w:color w:val="000000"/>
                <w:kern w:val="0"/>
                <w:sz w:val="24"/>
                <w:szCs w:val="24"/>
                <w:u w:val="none"/>
                <w:bdr w:val="none" w:color="auto" w:sz="0" w:space="0"/>
                <w:lang w:val="en-US" w:eastAsia="zh-CN" w:bidi="ar"/>
              </w:rPr>
              <w:t>1.31</w:t>
            </w:r>
          </w:p>
        </w:tc>
      </w:tr>
    </w:tbl>
    <w:p w14:paraId="3860A1F0">
      <w:pPr>
        <w:rPr>
          <w:rFonts w:hint="default"/>
          <w:lang w:val="en-GB" w:eastAsia="zh-CN"/>
        </w:rPr>
      </w:pPr>
    </w:p>
    <w:sectPr>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DejaVuSans-Bold">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Microsoft YaHei">
    <w:panose1 w:val="020B0503020204020204"/>
    <w:charset w:val="86"/>
    <w:family w:val="auto"/>
    <w:pitch w:val="default"/>
    <w:sig w:usb0="80000287" w:usb1="2ACF3C50" w:usb2="00000016" w:usb3="00000000" w:csb0="0004001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403CCBF5"/>
    <w:multiLevelType w:val="multilevel"/>
    <w:tmpl w:val="403CCBF5"/>
    <w:lvl w:ilvl="0" w:tentative="0">
      <w:start w:val="1"/>
      <w:numFmt w:val="decimal"/>
      <w:suff w:val="space"/>
      <w:lvlText w:val="%1."/>
      <w:lvlJc w:val="left"/>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60"/>
  <w:embedSystemFonts/>
  <w:bordersDoNotSurroundHeader w:val="0"/>
  <w:bordersDoNotSurroundFooter w:val="0"/>
  <w:documentProtection w:enforcement="0"/>
  <w:defaultTabStop w:val="720"/>
  <w:drawingGridVerticalSpacing w:val="156"/>
  <w:displayHorizontalDrawingGridEvery w:val="1"/>
  <w:displayVerticalDrawingGridEvery w:val="1"/>
  <w:noPunctuationKerning w:val="1"/>
  <w:characterSpacingControl w:val="doNotCompress"/>
  <w:compat>
    <w:spaceForUL/>
    <w:doNotLeaveBackslashAlone/>
    <w:ulTrailSpace/>
    <w:doNotExpandShiftReturn/>
    <w:adjustLineHeightInTable/>
    <w:doNotWrapTextWithPunct/>
    <w:doNotUseEastAsian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40E14B90"/>
    <w:rsid w:val="010D4557"/>
    <w:rsid w:val="01317F69"/>
    <w:rsid w:val="022C3206"/>
    <w:rsid w:val="03070680"/>
    <w:rsid w:val="04DA26C6"/>
    <w:rsid w:val="05281683"/>
    <w:rsid w:val="05A21435"/>
    <w:rsid w:val="05CE2B72"/>
    <w:rsid w:val="076A5F83"/>
    <w:rsid w:val="08966603"/>
    <w:rsid w:val="09241289"/>
    <w:rsid w:val="09976DD7"/>
    <w:rsid w:val="0A18079F"/>
    <w:rsid w:val="0A7D3799"/>
    <w:rsid w:val="0AC97464"/>
    <w:rsid w:val="0B143885"/>
    <w:rsid w:val="0B4F377D"/>
    <w:rsid w:val="0C2B0C79"/>
    <w:rsid w:val="0C580AA0"/>
    <w:rsid w:val="0D9F52BA"/>
    <w:rsid w:val="0DA50C06"/>
    <w:rsid w:val="0DA87805"/>
    <w:rsid w:val="0DC161D1"/>
    <w:rsid w:val="10A06571"/>
    <w:rsid w:val="10B82ADB"/>
    <w:rsid w:val="11A54207"/>
    <w:rsid w:val="148F3CD9"/>
    <w:rsid w:val="15415E49"/>
    <w:rsid w:val="159D39C7"/>
    <w:rsid w:val="181B72DB"/>
    <w:rsid w:val="185F7A70"/>
    <w:rsid w:val="19897EB5"/>
    <w:rsid w:val="19DF45AE"/>
    <w:rsid w:val="19E12BD3"/>
    <w:rsid w:val="1B2E0C1E"/>
    <w:rsid w:val="1B4D19EC"/>
    <w:rsid w:val="1C330BE1"/>
    <w:rsid w:val="1CD423AD"/>
    <w:rsid w:val="1DEF0B61"/>
    <w:rsid w:val="1DF56A5B"/>
    <w:rsid w:val="1E7D4396"/>
    <w:rsid w:val="1EBF1AFC"/>
    <w:rsid w:val="1EE461C3"/>
    <w:rsid w:val="1F346382"/>
    <w:rsid w:val="20AB24BE"/>
    <w:rsid w:val="21115B02"/>
    <w:rsid w:val="211A5ECC"/>
    <w:rsid w:val="21BB393B"/>
    <w:rsid w:val="22290F7C"/>
    <w:rsid w:val="244A58BF"/>
    <w:rsid w:val="24C06D8A"/>
    <w:rsid w:val="25754019"/>
    <w:rsid w:val="26492DAF"/>
    <w:rsid w:val="28EF721D"/>
    <w:rsid w:val="29C27101"/>
    <w:rsid w:val="2BAC4EA2"/>
    <w:rsid w:val="2BCE6231"/>
    <w:rsid w:val="2C077995"/>
    <w:rsid w:val="2D060942"/>
    <w:rsid w:val="2E4B2B8A"/>
    <w:rsid w:val="2E4C5823"/>
    <w:rsid w:val="2E625025"/>
    <w:rsid w:val="2F4C28B1"/>
    <w:rsid w:val="2F713AA3"/>
    <w:rsid w:val="2FA21B63"/>
    <w:rsid w:val="2FE34275"/>
    <w:rsid w:val="30B359F5"/>
    <w:rsid w:val="31E367AE"/>
    <w:rsid w:val="33CA19D4"/>
    <w:rsid w:val="34AC2E87"/>
    <w:rsid w:val="354B0547"/>
    <w:rsid w:val="35B549A8"/>
    <w:rsid w:val="388760E5"/>
    <w:rsid w:val="38894E5B"/>
    <w:rsid w:val="39643D30"/>
    <w:rsid w:val="39661FCD"/>
    <w:rsid w:val="396867BB"/>
    <w:rsid w:val="39CB0253"/>
    <w:rsid w:val="39D92970"/>
    <w:rsid w:val="3A9C399E"/>
    <w:rsid w:val="3AA81763"/>
    <w:rsid w:val="3FF011AB"/>
    <w:rsid w:val="40E14B90"/>
    <w:rsid w:val="41807B75"/>
    <w:rsid w:val="42235FA0"/>
    <w:rsid w:val="431020F5"/>
    <w:rsid w:val="437E6C9A"/>
    <w:rsid w:val="439E2535"/>
    <w:rsid w:val="442405D6"/>
    <w:rsid w:val="4496320C"/>
    <w:rsid w:val="483B47F6"/>
    <w:rsid w:val="49B27247"/>
    <w:rsid w:val="4AF07B1A"/>
    <w:rsid w:val="4B751DCD"/>
    <w:rsid w:val="4D141D69"/>
    <w:rsid w:val="4DF05378"/>
    <w:rsid w:val="4EAD7AD0"/>
    <w:rsid w:val="4EB15812"/>
    <w:rsid w:val="4F0F2539"/>
    <w:rsid w:val="4F7D0063"/>
    <w:rsid w:val="4F9E6E5A"/>
    <w:rsid w:val="50173181"/>
    <w:rsid w:val="51BB01A8"/>
    <w:rsid w:val="52034BD6"/>
    <w:rsid w:val="52466271"/>
    <w:rsid w:val="554F3A03"/>
    <w:rsid w:val="56CE6835"/>
    <w:rsid w:val="57514B11"/>
    <w:rsid w:val="57B343A9"/>
    <w:rsid w:val="59E135B0"/>
    <w:rsid w:val="5A711F99"/>
    <w:rsid w:val="5AB04BD0"/>
    <w:rsid w:val="5BBB2830"/>
    <w:rsid w:val="5D6F6A3F"/>
    <w:rsid w:val="5DFD1054"/>
    <w:rsid w:val="5EAD626E"/>
    <w:rsid w:val="614E0BB7"/>
    <w:rsid w:val="617526CF"/>
    <w:rsid w:val="63185A08"/>
    <w:rsid w:val="654D6B95"/>
    <w:rsid w:val="65511A03"/>
    <w:rsid w:val="655D5954"/>
    <w:rsid w:val="65750EF0"/>
    <w:rsid w:val="66760FD3"/>
    <w:rsid w:val="66AF641C"/>
    <w:rsid w:val="66B21902"/>
    <w:rsid w:val="6712451C"/>
    <w:rsid w:val="67687B35"/>
    <w:rsid w:val="676D0A6D"/>
    <w:rsid w:val="68D91796"/>
    <w:rsid w:val="690D7691"/>
    <w:rsid w:val="6D745F31"/>
    <w:rsid w:val="6F413BF1"/>
    <w:rsid w:val="6FD44A65"/>
    <w:rsid w:val="70B07280"/>
    <w:rsid w:val="71347EB1"/>
    <w:rsid w:val="71E75931"/>
    <w:rsid w:val="72086A86"/>
    <w:rsid w:val="747B1953"/>
    <w:rsid w:val="747E1443"/>
    <w:rsid w:val="75CB690A"/>
    <w:rsid w:val="75CD1C51"/>
    <w:rsid w:val="76127A8D"/>
    <w:rsid w:val="761A519B"/>
    <w:rsid w:val="77712CAB"/>
    <w:rsid w:val="781976DF"/>
    <w:rsid w:val="7882684D"/>
    <w:rsid w:val="78897F81"/>
    <w:rsid w:val="78BA46F5"/>
    <w:rsid w:val="79926D9A"/>
    <w:rsid w:val="7AED662E"/>
    <w:rsid w:val="7B573728"/>
    <w:rsid w:val="7B65510B"/>
    <w:rsid w:val="7CE81738"/>
    <w:rsid w:val="7E286F6A"/>
    <w:rsid w:val="7E6E7FBE"/>
    <w:rsid w:val="7F496E0A"/>
    <w:rsid w:val="7F8631A4"/>
    <w:rsid w:val="7FCF0B3D"/>
    <w:rsid w:val="7FF335C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qFormat="1"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paragraph" w:styleId="2">
    <w:name w:val="heading 1"/>
    <w:next w:val="1"/>
    <w:qFormat/>
    <w:uiPriority w:val="0"/>
    <w:pPr>
      <w:spacing w:before="0" w:beforeAutospacing="1" w:after="0" w:afterAutospacing="1"/>
      <w:jc w:val="left"/>
    </w:pPr>
    <w:rPr>
      <w:rFonts w:hint="eastAsia" w:ascii="SimSun" w:hAnsi="SimSun" w:eastAsia="SimSun" w:cs="SimSun"/>
      <w:b/>
      <w:bCs/>
      <w:kern w:val="44"/>
      <w:sz w:val="48"/>
      <w:szCs w:val="48"/>
      <w:lang w:val="en-US" w:eastAsia="zh-CN" w:bidi="ar"/>
    </w:rPr>
  </w:style>
  <w:style w:type="paragraph" w:styleId="3">
    <w:name w:val="heading 2"/>
    <w:next w:val="1"/>
    <w:unhideWhenUsed/>
    <w:qFormat/>
    <w:uiPriority w:val="0"/>
    <w:pPr>
      <w:spacing w:before="0" w:beforeAutospacing="1" w:after="0" w:afterAutospacing="1"/>
      <w:jc w:val="left"/>
    </w:pPr>
    <w:rPr>
      <w:rFonts w:hint="eastAsia" w:ascii="SimSun" w:hAnsi="SimSun" w:eastAsia="SimSun" w:cs="SimSun"/>
      <w:b/>
      <w:bCs/>
      <w:kern w:val="0"/>
      <w:sz w:val="36"/>
      <w:szCs w:val="36"/>
      <w:lang w:val="en-US" w:eastAsia="zh-CN" w:bidi="ar"/>
    </w:rPr>
  </w:style>
  <w:style w:type="paragraph" w:styleId="4">
    <w:name w:val="heading 3"/>
    <w:next w:val="1"/>
    <w:unhideWhenUsed/>
    <w:qFormat/>
    <w:uiPriority w:val="0"/>
    <w:pPr>
      <w:spacing w:before="0" w:beforeAutospacing="1" w:after="0" w:afterAutospacing="1"/>
      <w:jc w:val="left"/>
    </w:pPr>
    <w:rPr>
      <w:rFonts w:hint="eastAsia" w:ascii="SimSun" w:hAnsi="SimSun" w:eastAsia="SimSun" w:cs="SimSun"/>
      <w:b/>
      <w:bCs/>
      <w:kern w:val="0"/>
      <w:sz w:val="27"/>
      <w:szCs w:val="27"/>
      <w:lang w:val="en-US" w:eastAsia="zh-CN" w:bidi="ar"/>
    </w:rPr>
  </w:style>
  <w:style w:type="paragraph" w:styleId="5">
    <w:name w:val="heading 4"/>
    <w:next w:val="1"/>
    <w:semiHidden/>
    <w:unhideWhenUsed/>
    <w:qFormat/>
    <w:uiPriority w:val="0"/>
    <w:pPr>
      <w:spacing w:before="0" w:beforeAutospacing="1" w:after="0" w:afterAutospacing="1"/>
      <w:jc w:val="left"/>
    </w:pPr>
    <w:rPr>
      <w:rFonts w:hint="eastAsia" w:ascii="SimSun" w:hAnsi="SimSun" w:eastAsia="SimSun" w:cs="SimSun"/>
      <w:b/>
      <w:bCs/>
      <w:kern w:val="0"/>
      <w:sz w:val="24"/>
      <w:szCs w:val="24"/>
      <w:lang w:val="en-US" w:eastAsia="zh-CN" w:bidi="ar"/>
    </w:rPr>
  </w:style>
  <w:style w:type="character" w:default="1" w:styleId="6">
    <w:name w:val="Default Paragraph Font"/>
    <w:semiHidden/>
    <w:qFormat/>
    <w:uiPriority w:val="0"/>
  </w:style>
  <w:style w:type="table" w:default="1" w:styleId="7">
    <w:name w:val="Normal Table"/>
    <w:semiHidden/>
    <w:qFormat/>
    <w:uiPriority w:val="0"/>
    <w:tblPr>
      <w:tblCellMar>
        <w:top w:w="0" w:type="dxa"/>
        <w:left w:w="108" w:type="dxa"/>
        <w:bottom w:w="0" w:type="dxa"/>
        <w:right w:w="108" w:type="dxa"/>
      </w:tblCellMar>
    </w:tblPr>
  </w:style>
  <w:style w:type="character" w:styleId="8">
    <w:name w:val="Hyperlink"/>
    <w:basedOn w:val="6"/>
    <w:uiPriority w:val="0"/>
    <w:rPr>
      <w:color w:val="0000FF"/>
      <w:u w:val="single"/>
    </w:rPr>
  </w:style>
  <w:style w:type="paragraph" w:styleId="9">
    <w:name w:val="Normal (Web)"/>
    <w:qFormat/>
    <w:uiPriority w:val="0"/>
    <w:pPr>
      <w:spacing w:before="0" w:beforeAutospacing="1" w:after="0" w:afterAutospacing="1"/>
      <w:ind w:left="0" w:right="0"/>
      <w:jc w:val="left"/>
    </w:pPr>
    <w:rPr>
      <w:rFonts w:ascii="Times New Roman" w:hAnsi="Times New Roman" w:eastAsia="SimSun" w:cs="Times New Roman"/>
      <w:kern w:val="0"/>
      <w:sz w:val="24"/>
      <w:szCs w:val="24"/>
      <w:lang w:val="en-US" w:eastAsia="zh-CN" w:bidi="ar"/>
    </w:rPr>
  </w:style>
  <w:style w:type="character" w:styleId="10">
    <w:name w:val="Strong"/>
    <w:basedOn w:val="6"/>
    <w:qFormat/>
    <w:uiPriority w:val="0"/>
    <w:rPr>
      <w:b/>
      <w:bCs/>
    </w:rPr>
  </w:style>
  <w:style w:type="table" w:styleId="11">
    <w:name w:val="Table Grid"/>
    <w:basedOn w:val="7"/>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12">
    <w:name w:val="toc 1"/>
    <w:basedOn w:val="1"/>
    <w:next w:val="1"/>
    <w:qFormat/>
    <w:uiPriority w:val="0"/>
  </w:style>
  <w:style w:type="paragraph" w:styleId="13">
    <w:name w:val="toc 2"/>
    <w:basedOn w:val="1"/>
    <w:next w:val="1"/>
    <w:qFormat/>
    <w:uiPriority w:val="0"/>
    <w:pPr>
      <w:ind w:left="420" w:leftChars="200"/>
    </w:pPr>
  </w:style>
  <w:style w:type="paragraph" w:styleId="14">
    <w:name w:val="toc 3"/>
    <w:basedOn w:val="1"/>
    <w:next w:val="1"/>
    <w:qFormat/>
    <w:uiPriority w:val="0"/>
    <w:pPr>
      <w:ind w:left="840" w:leftChars="400"/>
    </w:pPr>
  </w:style>
</w:styles>
</file>

<file path=word/_rels/document.xml.rels><?xml version="1.0" encoding="UTF-8" standalone="yes"?>
<Relationships xmlns="http://schemas.openxmlformats.org/package/2006/relationships"><Relationship Id="rId9" Type="http://schemas.openxmlformats.org/officeDocument/2006/relationships/image" Target="media/image6.png"/><Relationship Id="rId8" Type="http://schemas.openxmlformats.org/officeDocument/2006/relationships/image" Target="media/image5.png"/><Relationship Id="rId7" Type="http://schemas.openxmlformats.org/officeDocument/2006/relationships/image" Target="media/image4.png"/><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numbering" Target="numbering.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游ゴシック Light"/>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26</Pages>
  <Words>1957</Words>
  <Characters>10023</Characters>
  <Lines>0</Lines>
  <Paragraphs>0</Paragraphs>
  <TotalTime>3</TotalTime>
  <ScaleCrop>false</ScaleCrop>
  <LinksUpToDate>false</LinksUpToDate>
  <CharactersWithSpaces>11865</CharactersWithSpaces>
  <Application>WPS Office_12.1.0.25830_F1E327BC-269C-435d-A152-05C5408002CA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2026-04-20T18:01:00Z</dcterms:created>
  <dc:creator>dip</dc:creator>
  <cp:lastModifiedBy>WPS_1776713643</cp:lastModifiedBy>
  <dcterms:modified xsi:type="dcterms:W3CDTF">2026-04-23T14:49:06Z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1033-12.1.0.25830</vt:lpwstr>
  </property>
  <property fmtid="{D5CDD505-2E9C-101B-9397-08002B2CF9AE}" pid="3" name="ICV">
    <vt:lpwstr>B84BD45CBA8D4447B690F8C95D44245D_13</vt:lpwstr>
  </property>
  <property fmtid="{D5CDD505-2E9C-101B-9397-08002B2CF9AE}" pid="4" name="KSOTemplateDocerSaveRecord">
    <vt:lpwstr>eyJoZGlkIjoiOWMzM2JmYjk2MWI4NTFkOTU3ZTExYzIxNTUzNjQ2ZjYiLCJ1c2VySWQiOiIzODQ4MjkxNzI4MDc1In0=</vt:lpwstr>
  </property>
</Properties>
</file>