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8E027" w14:textId="77777777" w:rsidR="002F1832" w:rsidRPr="00161423" w:rsidRDefault="002F1832" w:rsidP="002F1832">
      <w:r w:rsidRPr="00161423">
        <w:t>This critical reflection explores my professional experience and practice during the completion of an assessment within an adult disability team. I will critically examine the theoretical frameworks, models of practice, and communication strategies employed throughout the assessment process. Additionally, I will demonstrate my understanding and application of relevant legislation, policies, and safeguarding procedures. To ensure a structured and continuous approach to critical reflection, I will utilise Borton’s Model of Reflection (1970), which facilitates analysis through the sequential stages of ‘What?’, ‘So What?’, and ‘What Now?’.</w:t>
      </w:r>
    </w:p>
    <w:p w14:paraId="571C35AC" w14:textId="77777777" w:rsidR="002F1832" w:rsidRPr="00161423" w:rsidRDefault="002F1832" w:rsidP="002F1832">
      <w:r w:rsidRPr="00161423">
        <w:t>The subject of this reflection, hereafter referred to as ‘4’ to maintain confidentiality, is a 55-year-old male diagnosed with paranoid schizophrenia and a mild intellectual disability. Although 4 possesses effective verbal communication skills, he has limited social connections and lacks an informal support network. At the time of assessment, 4 resided in a retirement complex located in a rural town, where staff support was available intermittently throughout the week. He has been known to social care and community mental health services for much of his life, primarily due to adverse childhood experiences and multiple admissions to hospital under Section 3 of the Mental Health Act (1983).</w:t>
      </w:r>
    </w:p>
    <w:p w14:paraId="7043EAE9" w14:textId="77777777" w:rsidR="002F1832" w:rsidRPr="00161423" w:rsidRDefault="002F1832" w:rsidP="002F1832">
      <w:r w:rsidRPr="00161423">
        <w:t xml:space="preserve">Concerns regarding 4’s capacity to manage his finances emerged following his initial hospital admission, prompted by repeated instances of self-neglect and financial exploitation. A formal assessment under the Mental Capacity Act (2005) concluded that 4 lacked the capacity to make decisions regarding his property and financial affairs. Consequently, the Court of Protection authorised a Deputyship Order, assigning the local authority responsibility for managing his finances </w:t>
      </w:r>
      <w:proofErr w:type="gramStart"/>
      <w:r w:rsidRPr="00161423">
        <w:t>in order to</w:t>
      </w:r>
      <w:proofErr w:type="gramEnd"/>
      <w:r w:rsidRPr="00161423">
        <w:t xml:space="preserve"> safeguard him from further financial abuse.</w:t>
      </w:r>
    </w:p>
    <w:p w14:paraId="7897EE44" w14:textId="77777777" w:rsidR="002F1832" w:rsidRPr="00161423" w:rsidRDefault="002F1832" w:rsidP="002F1832">
      <w:r w:rsidRPr="00161423">
        <w:t>Subsequent challenges arose following the breakdown of 4’s relationship with his partner. Staff at his accommodation reported an increase in visitors to and from his flat. When approached, 4 dismissed these concerns, attributing the visits to new friendships formed post-separation. Despite staff reminders about his tenancy obligations and the importance of maintaining a respectful environment for other residents, concerns persisted and were escalated to me in my capacity as 4’s allocated social worker.</w:t>
      </w:r>
    </w:p>
    <w:p w14:paraId="779CB032" w14:textId="77777777" w:rsidR="002F1832" w:rsidRPr="00161423" w:rsidRDefault="002F1832" w:rsidP="002F1832">
      <w:r w:rsidRPr="00161423">
        <w:t>During my initial interaction with 4, there were observable indicators of self-neglect, particularly in relation to his personal hygiene and physical health. He appeared unwashed and noticeably underweight. Of greater concern, however, was the absence of several essential household items, including his kettle, toaster, and other smaller appliances. When I raised these observations with 4, he denied any issues with his weight and asserted that he was maintaining regular personal hygiene. Regarding the missing items, 4 stated that he had sold them to friends, yet he was unable to recall specific details such as the amount received, the identities of the buyers, or the timing of the transactions. This lack of clarity, coupled with his dismissive tone, suggested a possible attempt to deflect further inquiry.</w:t>
      </w:r>
    </w:p>
    <w:p w14:paraId="512053FE" w14:textId="77777777" w:rsidR="002F1832" w:rsidRPr="00161423" w:rsidRDefault="002F1832" w:rsidP="002F1832">
      <w:r w:rsidRPr="00161423">
        <w:t>In line with principles of transparency and person-centred practice, I shared my concerns with 4, highlighting the potential indicators of financial exploitation. I sought his informed consent to make a safeguarding referral to the local authority. Although initially resistant, I was able to engage 4 in a discussion about the potential benefits of the referral, including access to a broader support network and assistance in meeting his needs in a more sustainable and protective manner. As a result, 4 consented to the referral.</w:t>
      </w:r>
    </w:p>
    <w:p w14:paraId="60430B6B" w14:textId="77777777" w:rsidR="002F1832" w:rsidRPr="00161423" w:rsidRDefault="002F1832" w:rsidP="002F1832">
      <w:r w:rsidRPr="00161423">
        <w:lastRenderedPageBreak/>
        <w:t>Prior to submitting the Multi-Agency Referral Form (MARF), I consulted with 4’s appointed deputy to gain a clearer understanding of his financial circumstances. I also reviewed the Local Safeguarding Board’s Threshold Guidance to ensure that my referral met the criteria for intervention. This preparatory work enabled me to assess 4’s situation against the statutory definition of an ‘adult at risk’ as outlined in Part 7 of the Social Services and Well-being (Wales) Act 2014 (SSWBA).</w:t>
      </w:r>
    </w:p>
    <w:p w14:paraId="0719E10A" w14:textId="77777777" w:rsidR="002F1832" w:rsidRPr="00161423" w:rsidRDefault="002F1832" w:rsidP="002F1832">
      <w:r w:rsidRPr="00161423">
        <w:t>According to the SSWBA, an adult at risk is defined as someone who:</w:t>
      </w:r>
    </w:p>
    <w:p w14:paraId="06DAF5F5" w14:textId="77777777" w:rsidR="002F1832" w:rsidRPr="00161423" w:rsidRDefault="002F1832" w:rsidP="002F1832">
      <w:pPr>
        <w:numPr>
          <w:ilvl w:val="0"/>
          <w:numId w:val="1"/>
        </w:numPr>
      </w:pPr>
      <w:r w:rsidRPr="00161423">
        <w:t xml:space="preserve">Is experiencing or is at risk of abuse or </w:t>
      </w:r>
      <w:proofErr w:type="gramStart"/>
      <w:r w:rsidRPr="00161423">
        <w:t>neglect;</w:t>
      </w:r>
      <w:proofErr w:type="gramEnd"/>
    </w:p>
    <w:p w14:paraId="191A69C2" w14:textId="77777777" w:rsidR="002F1832" w:rsidRPr="00161423" w:rsidRDefault="002F1832" w:rsidP="002F1832">
      <w:pPr>
        <w:numPr>
          <w:ilvl w:val="0"/>
          <w:numId w:val="1"/>
        </w:numPr>
      </w:pPr>
      <w:r w:rsidRPr="00161423">
        <w:t>Has needs for care and support (regardless of whether those needs are being met); and</w:t>
      </w:r>
    </w:p>
    <w:p w14:paraId="25580255" w14:textId="77777777" w:rsidR="002F1832" w:rsidRPr="00161423" w:rsidRDefault="002F1832" w:rsidP="002F1832">
      <w:pPr>
        <w:numPr>
          <w:ilvl w:val="0"/>
          <w:numId w:val="1"/>
        </w:numPr>
      </w:pPr>
      <w:r w:rsidRPr="00161423">
        <w:t>As a result of those needs, is unable to protect themselves against the abuse or neglect or the risk thereof.</w:t>
      </w:r>
    </w:p>
    <w:p w14:paraId="3C5E3BF7" w14:textId="77777777" w:rsidR="002F1832" w:rsidRPr="00161423" w:rsidRDefault="002F1832" w:rsidP="002F1832">
      <w:r w:rsidRPr="00161423">
        <w:t>The Act emphasises the importance of early intervention and preventative measures, asserting that action should be taken not only in response to actual harm but also where there is a credible risk of harm. In this context, the decision to proceed with a safeguarding referral was justified, as it aligned with both legislative requirements and best practice in adult protection.</w:t>
      </w:r>
    </w:p>
    <w:p w14:paraId="062F3858" w14:textId="77777777" w:rsidR="002F1832" w:rsidRPr="00161423" w:rsidRDefault="002F1832" w:rsidP="002F1832">
      <w:r w:rsidRPr="00161423">
        <w:t>By aligning my practice with both the SSWBA and broader international human rights instruments, I ensured that the safeguarding referral for 4 was not only a statutory obligation but also a reflection of global ethical standards. The recognition of financial abuse as a serious and often hidden form of harm is consistent across these frameworks, reinforcing the importance of early intervention, multi-agency collaboration, and person-centred safeguarding</w:t>
      </w:r>
    </w:p>
    <w:p w14:paraId="5C9131A1" w14:textId="77777777" w:rsidR="002F1832" w:rsidRPr="00161423" w:rsidRDefault="002F1832" w:rsidP="002F1832">
      <w:r w:rsidRPr="00161423">
        <w:t>Under Section 6 of the Human Rights Act</w:t>
      </w:r>
      <w:r>
        <w:t xml:space="preserve"> (1998)</w:t>
      </w:r>
      <w:r w:rsidRPr="00161423">
        <w:t>, it is unlawful for a public authority to act in a way that is incompatible with a</w:t>
      </w:r>
      <w:r>
        <w:t xml:space="preserve"> European</w:t>
      </w:r>
      <w:r w:rsidRPr="00161423">
        <w:t xml:space="preserve"> Convention </w:t>
      </w:r>
      <w:r>
        <w:t xml:space="preserve">of Human Rights </w:t>
      </w:r>
      <w:r w:rsidRPr="00161423">
        <w:t>right. This means that social workers and other safeguarding professionals must ensure that their actions are not only compliant with domestic safeguarding legislation (e.g., the Social Services and Well-being (Wales) Act 2014) but also uphold the broader human rights of the individuals they support</w:t>
      </w:r>
      <w:r>
        <w:t>.</w:t>
      </w:r>
    </w:p>
    <w:p w14:paraId="4929C707" w14:textId="77777777" w:rsidR="002F1832" w:rsidRPr="00161423" w:rsidRDefault="002F1832" w:rsidP="002F1832">
      <w:r w:rsidRPr="00161423">
        <w:t>For example, in the case of 4, the safeguarding concerns around financial exploitation and self-neglect engage both Article 3 and Article 8</w:t>
      </w:r>
      <w:r>
        <w:t xml:space="preserve"> of the Human Rights Act</w:t>
      </w:r>
      <w:r w:rsidRPr="00161423">
        <w:t>. The decision to intervene—through a safeguarding referral and multi-agency response—was not only a statutory duty under the SSWBA but also a human rights obligation to prevent degrading treatment and protect his dignity and autonomy.</w:t>
      </w:r>
    </w:p>
    <w:p w14:paraId="62C533B4" w14:textId="77777777" w:rsidR="002F1832" w:rsidRPr="00161423" w:rsidRDefault="002F1832" w:rsidP="002F1832">
      <w:r w:rsidRPr="00161423">
        <w:t>The safeguarding team concurred with my assessment and concluded that 4 met the criteria of an adult at risk, as defined under Section 126 of the </w:t>
      </w:r>
      <w:r w:rsidRPr="00161423">
        <w:rPr>
          <w:i/>
          <w:iCs/>
        </w:rPr>
        <w:t>Social Services and Well-being (Wales) Act 2014</w:t>
      </w:r>
      <w:r w:rsidRPr="00161423">
        <w:t> (SSWBA). This section places a statutory duty on local authorities to undertake enquiries where there is reasonable cause to suspect that an individual is at risk of abuse or neglect. Specifically, the Act states that the local authority must:</w:t>
      </w:r>
    </w:p>
    <w:p w14:paraId="425D6A44" w14:textId="77777777" w:rsidR="002F1832" w:rsidRPr="00161423" w:rsidRDefault="002F1832" w:rsidP="002F1832">
      <w:pPr>
        <w:numPr>
          <w:ilvl w:val="0"/>
          <w:numId w:val="2"/>
        </w:numPr>
      </w:pPr>
      <w:r w:rsidRPr="00161423">
        <w:t>Make whatever enquiries it considers necessary to determine whether any action should be taken (under the Act or otherwise), and if so, what action and by whom; and</w:t>
      </w:r>
    </w:p>
    <w:p w14:paraId="14C27F6F" w14:textId="77777777" w:rsidR="002F1832" w:rsidRPr="00161423" w:rsidRDefault="002F1832" w:rsidP="002F1832">
      <w:pPr>
        <w:numPr>
          <w:ilvl w:val="0"/>
          <w:numId w:val="2"/>
        </w:numPr>
      </w:pPr>
      <w:r w:rsidRPr="00161423">
        <w:t>Decide whether such action should be taken.</w:t>
      </w:r>
    </w:p>
    <w:p w14:paraId="049F78CE" w14:textId="77777777" w:rsidR="002F1832" w:rsidRPr="00161423" w:rsidRDefault="002F1832" w:rsidP="002F1832">
      <w:r w:rsidRPr="00161423">
        <w:t xml:space="preserve">In accordance with this statutory framework, it was agreed that I would assume the role of lead practitioner for the enquiry, with my team manager designated as the Designated Lead Coordinator (DLC). As lead practitioner, my responsibilities included maintaining regular </w:t>
      </w:r>
      <w:r w:rsidRPr="00161423">
        <w:lastRenderedPageBreak/>
        <w:t>contact with 4, ensuring he remained informed and engaged throughout the safeguarding process, and acting as the primary liaison between 4 and the multi-disciplinary strategy group, in line with Section 35 of the SSWBA.</w:t>
      </w:r>
    </w:p>
    <w:p w14:paraId="74EA2224" w14:textId="77777777" w:rsidR="002F1832" w:rsidRPr="00161423" w:rsidRDefault="002F1832" w:rsidP="002F1832">
      <w:r w:rsidRPr="00161423">
        <w:t>The initial strategy meeting was convened with the participation of myself, the DLC, 4’s independent advocate, and the manager of the local authority’s safeguarding team. It was determined that 4 should not attend this initial meeting due to the potentially distressing nature of the information to be discussed. The meeting focused on identifying the primary risks, assessing whether 4 was in immediate danger, and establishing the scope and direction of the enquiry. Roles and responsibilities were clearly delineated to ensure a coordinated and effective response aimed at both safeguarding 4 and gaining a comprehensive understanding of his current circumstances.</w:t>
      </w:r>
    </w:p>
    <w:p w14:paraId="552CBED4" w14:textId="77777777" w:rsidR="002F1832" w:rsidRPr="00161423" w:rsidRDefault="002F1832" w:rsidP="002F1832">
      <w:r w:rsidRPr="00161423">
        <w:t>My initial task within the enquiry process was to gather relevant information concerning 4’s situation. This involved conducting a direct interview with 4 to explore his lived experience, perceptions of the events occurring around him, his desired outcomes, and his current needs. Additionally, I sought to assess his mental capacity in relation to financial decision-making and his insight into social relationships, which were central to the concerns raised.</w:t>
      </w:r>
    </w:p>
    <w:p w14:paraId="30A1BFAE" w14:textId="77777777" w:rsidR="002F1832" w:rsidRPr="00161423" w:rsidRDefault="002F1832" w:rsidP="002F1832">
      <w:r w:rsidRPr="00161423">
        <w:t>Drawing upon the knowledge and skills acquired through prior safeguarding training, I adopted the PEACE model of investigative interviewing to guide my approach. This model—comprising five stages: </w:t>
      </w:r>
      <w:r w:rsidRPr="00161423">
        <w:rPr>
          <w:i/>
          <w:iCs/>
        </w:rPr>
        <w:t>Planning and Preparation, Engage and Explain, Account, Closure,</w:t>
      </w:r>
      <w:r w:rsidRPr="00161423">
        <w:t> and </w:t>
      </w:r>
      <w:r w:rsidRPr="00161423">
        <w:rPr>
          <w:i/>
          <w:iCs/>
        </w:rPr>
        <w:t>Evaluation</w:t>
      </w:r>
      <w:r w:rsidRPr="00161423">
        <w:t>—is widely recognised for its ethical and structured methodology in eliciting accurate and reliable information, particularly in sensitive or complex cases (Barron, 2017 1).</w:t>
      </w:r>
    </w:p>
    <w:p w14:paraId="484348EE" w14:textId="77777777" w:rsidR="002F1832" w:rsidRPr="00161423" w:rsidRDefault="002F1832" w:rsidP="002F1832">
      <w:r w:rsidRPr="00161423">
        <w:t>During the </w:t>
      </w:r>
      <w:r w:rsidRPr="00161423">
        <w:rPr>
          <w:i/>
          <w:iCs/>
        </w:rPr>
        <w:t>Planning and Preparation</w:t>
      </w:r>
      <w:r w:rsidRPr="00161423">
        <w:t> phase, I identified key areas of inquiry relevant to the safeguarding concerns. Specifically, I aimed to explore 4’s perceptions of the new social relationships he had formed following his recent separation, as well as his emotional and practical adjustment to living independently in a new property. While gathering this information was essential to the safeguarding enquiry, I remained acutely aware of the need to respect 4’s right to privacy, as protected under Article 8 of the Human Rights Act 1998. This article guarantees the right to respect for private and family life, home, and correspondence, and any interference by public authorities must be lawful, necessary, and proportionate to the aim pursued 2.</w:t>
      </w:r>
    </w:p>
    <w:p w14:paraId="5851C0AE" w14:textId="77777777" w:rsidR="002F1832" w:rsidRPr="00161423" w:rsidRDefault="002F1832" w:rsidP="002F1832">
      <w:r w:rsidRPr="00161423">
        <w:t>This stage of the process presented an ethical dilemma. The very nature of safeguarding interventions often involves a degree of intrusion into an individual’s private life, potentially conflicting with their autonomy and rights. Reflecting on this tension, I considered the ethical principles underpinning social work practice. A classical liberal perspective—which prioritises freedom from interference and the minimisation of state intervention—would advocate for the least restrictive approach, supporting 4’s autonomy even in the face of potential harm. However, this must be balanced against the duty of care owed to individuals who may lack the capacity to protect themselves from abuse or exploitation (BASW, 2021 3).</w:t>
      </w:r>
    </w:p>
    <w:p w14:paraId="5359B478" w14:textId="77777777" w:rsidR="002F1832" w:rsidRPr="00161423" w:rsidRDefault="002F1832" w:rsidP="002F1832">
      <w:r w:rsidRPr="00161423">
        <w:t xml:space="preserve">In contrast, a positive liberal approach—which seeks to enhance individuals’ capacity for self-determination through supportive intervention—may justify a more proactive safeguarding response, even if it temporarily limits autonomy, </w:t>
      </w:r>
      <w:proofErr w:type="gramStart"/>
      <w:r w:rsidRPr="00161423">
        <w:t>in order to</w:t>
      </w:r>
      <w:proofErr w:type="gramEnd"/>
      <w:r w:rsidRPr="00161423">
        <w:t xml:space="preserve"> prevent greater harm. This ethical tension is central to adult safeguarding practice, where professionals must constantly navigate the fine line between empowerment and protection.</w:t>
      </w:r>
    </w:p>
    <w:p w14:paraId="336D3098" w14:textId="77777777" w:rsidR="002F1832" w:rsidRPr="00161423" w:rsidRDefault="002F1832" w:rsidP="002F1832">
      <w:r w:rsidRPr="00161423">
        <w:lastRenderedPageBreak/>
        <w:t>Throughout the interview and wider enquiry, I remained mindful of the risk of adopting a risk-averse or overly paternalistic stance. As Braye, Orr, and Preston-Shoot (2015) argue, safeguarding decisions that fail to consider human rights can lead to restrictive practices that undermine the very autonomy they seek to protect. Therefore, I aimed to maintain a balanced approach—one that recognised the seriousness of the risks while upholding 4’s rights, voice, and participation in the process.</w:t>
      </w:r>
    </w:p>
    <w:p w14:paraId="7EEDF841" w14:textId="77777777" w:rsidR="002F1832" w:rsidRPr="00161423" w:rsidRDefault="002F1832" w:rsidP="002F1832">
      <w:r w:rsidRPr="00161423">
        <w:t>Given the nature of the risks identified and 4’s historical lack of capacity in managing his finances, it was necessary to reassess his decision-making ability in accordance with the core principles of the </w:t>
      </w:r>
      <w:r w:rsidRPr="00161423">
        <w:rPr>
          <w:i/>
          <w:iCs/>
        </w:rPr>
        <w:t>Mental Capacity Act 2005</w:t>
      </w:r>
      <w:r w:rsidRPr="00161423">
        <w:t> (MCA). The Act requires that assessments of capacity be both time-specific and decision-specific, meaning that previous determinations could not be relied upon in this context. I therefore concluded that there was sufficient doubt to override the presumption of capacity and initiated a reassessment focused specifically on 4’s ability to manage his weekly personal allowance </w:t>
      </w:r>
    </w:p>
    <w:p w14:paraId="0A59C8EE" w14:textId="77777777" w:rsidR="002F1832" w:rsidRPr="00161423" w:rsidRDefault="002F1832" w:rsidP="002F1832">
      <w:r w:rsidRPr="00161423">
        <w:t>The MCA recognises that individuals have the right to make unwise decisions (s.1(4)); however, this right must be balanced against the need to determine whether a person is able to understand, retain, use or weigh relevant information, and communicate their decision (s.3). In this case, it was essential to establish whether 4 could comprehend the potential consequences of his financial decisions and whether any impairment of his mind or brain was affecting his ability to make informed choices </w:t>
      </w:r>
    </w:p>
    <w:p w14:paraId="317E1AEB" w14:textId="77777777" w:rsidR="002F1832" w:rsidRPr="00161423" w:rsidRDefault="002F1832" w:rsidP="002F1832">
      <w:r w:rsidRPr="00161423">
        <w:t>Having worked with 4 over an extended period, I had no concerns regarding his capacity to engage in the interview process. In line with best practice and the principle of supporting individuals to make their own decisions (MCA, s.1(3)), I offered 4 access to independent advocacy to support him through the assessment. He declined this offer, which was respected in accordance with his rights. However, I requested the presence of 4’s appointed deputy during the assessment. This individual had a longstanding professional relationship with 4 and was well-placed to provide contextual insight and support. 4 consented to their involvement, which further ensured that the process remained transparent, collaborative, and person-centred.</w:t>
      </w:r>
    </w:p>
    <w:p w14:paraId="4DDB75A6" w14:textId="77777777" w:rsidR="002F1832" w:rsidRPr="00161423" w:rsidRDefault="002F1832" w:rsidP="002F1832">
      <w:r w:rsidRPr="00161423">
        <w:t>Due to the comorbidity of 4’s diagnosed learning disability and paranoid schizophrenia the interface between the mental health act and the mental capacity act, becomes particularly relevant when a person with a mental disorder also lacks capacity. In such cases, professionals must determine which legal framework is most appropriate. For example, if a person lacks capacity due to a mental disorder and is not objecting to treatment, the MCA may be used. However, if the person is objecting or if deprivation of liberty is required for treatment of a mental disorder, the MHA may be more appropriate </w:t>
      </w:r>
    </w:p>
    <w:p w14:paraId="773D37B2" w14:textId="77777777" w:rsidR="002F1832" w:rsidRPr="00161423" w:rsidRDefault="002F1832" w:rsidP="002F1832">
      <w:r w:rsidRPr="00161423">
        <w:t>In 4’s case, although he has a diagnosis of paranoid schizophrenia, there was no indication that he required detention or treatment under the MHA at the time of assessment. Therefore, the MCA remained the most appropriate legal framework for assessing his financial decision-making capacity and safeguarding his rights.</w:t>
      </w:r>
    </w:p>
    <w:p w14:paraId="028E9211" w14:textId="77777777" w:rsidR="002F1832" w:rsidRPr="00161423" w:rsidRDefault="002F1832" w:rsidP="002F1832">
      <w:r w:rsidRPr="00161423">
        <w:t>Having established the purpose of the interview and identified key participants, I turned my attention to ensuring that the process aligned with the principles of person-centred care, as outlined in the </w:t>
      </w:r>
      <w:r w:rsidRPr="00161423">
        <w:rPr>
          <w:i/>
          <w:iCs/>
        </w:rPr>
        <w:t>Social Services and Well-being (Wales) Act 2014</w:t>
      </w:r>
      <w:r w:rsidRPr="00161423">
        <w:t> (SSWBA) and the </w:t>
      </w:r>
      <w:r w:rsidRPr="00161423">
        <w:rPr>
          <w:i/>
          <w:iCs/>
        </w:rPr>
        <w:t>Wales Safeguarding Procedures</w:t>
      </w:r>
      <w:r w:rsidRPr="00161423">
        <w:t xml:space="preserve">. In preparation, I engaged openly with 4, explaining the rationale for the meeting, the concerns raised by the strategy group, and the specific areas of inquiry, </w:t>
      </w:r>
      <w:r w:rsidRPr="00161423">
        <w:lastRenderedPageBreak/>
        <w:t>including his financial decision-making capacity. This transparency helped to reduce 4’s anxiety and fostered trust, ensuring he was not surprised by the nature of the discussions.</w:t>
      </w:r>
    </w:p>
    <w:p w14:paraId="328646F5" w14:textId="77777777" w:rsidR="002F1832" w:rsidRPr="00161423" w:rsidRDefault="002F1832" w:rsidP="002F1832">
      <w:r w:rsidRPr="00161423">
        <w:t>In line with the Active Offer—a key component of the </w:t>
      </w:r>
      <w:r w:rsidRPr="00161423">
        <w:rPr>
          <w:i/>
          <w:iCs/>
        </w:rPr>
        <w:t>More Than Just Words</w:t>
      </w:r>
      <w:r w:rsidRPr="00161423">
        <w:t> framework—I considered 4’s preferred language, culture, and beliefs, and supported him to make choices about the venue, timing, and attendees. By holding the meeting in his own flat, 4 was able to exercise greater control over the environment, which promoted confidence and engagement. Additionally, conducting the interview in the location where potential financial abuse had occurred enabled me to reference missing items and available support directly, enhancing the clarity and relevance of the safeguarding conversation. This approach reflected my statutory duty to uphold the rights, dignity, and autonomy of the individual, while ensuring that safeguarding interventions remained proportionate, respectful, and empowering.</w:t>
      </w:r>
    </w:p>
    <w:p w14:paraId="645CE1FF" w14:textId="77777777" w:rsidR="002F1832" w:rsidRPr="00161423" w:rsidRDefault="002F1832" w:rsidP="002F1832">
      <w:r w:rsidRPr="00161423">
        <w:t xml:space="preserve">Prior to conducting the interview, I considered the environmental and social context in which 4 lives. His residence in a remote rural Welsh village presents both challenges and opportunities in relation to his well-being and ability to achieve personal outcomes. Rurality in Wales is often associated with geographic isolation, limited access to services, and economic disadvantage, all of which can contribute to social exclusion and reduced quality of life (Welsh Government, 2022). </w:t>
      </w:r>
    </w:p>
    <w:p w14:paraId="5A56DEEF" w14:textId="77777777" w:rsidR="002F1832" w:rsidRPr="00161423" w:rsidRDefault="002F1832" w:rsidP="002F1832">
      <w:r w:rsidRPr="00161423">
        <w:t>Geographically, 4’s community is situated in a sparsely populated market town, many miles from larger urban centres. This remoteness is compounded by infrequent and unreliable public transport, which significantly limits access to health services, social opportunities, and community engagement. According to the </w:t>
      </w:r>
      <w:r w:rsidRPr="00161423">
        <w:rPr>
          <w:i/>
          <w:iCs/>
        </w:rPr>
        <w:t>Welsh Index of Multiple Deprivation</w:t>
      </w:r>
      <w:r w:rsidRPr="00161423">
        <w:t>, access to services is a key domain of rural deprivation, with travel times to essential services often exceeding 40 minutes for those without private transport.</w:t>
      </w:r>
    </w:p>
    <w:p w14:paraId="51B354DC" w14:textId="77777777" w:rsidR="002F1832" w:rsidRPr="00161423" w:rsidRDefault="002F1832" w:rsidP="002F1832">
      <w:r w:rsidRPr="00161423">
        <w:t>Economically, the area is dominated by agriculture, a sector that demands physical labour and offers limited opportunities for individuals with additional needs or disabilities. The lack of diverse employment, voluntary roles, and digital infrastructure further restricts 4’s ability to engage in meaningful activity or develop informal support networks. These barriers are exacerbated by the ageing demographic of the region, which often results in reduced investment and centralised funding due to a shrinking workforce and lower service demand (Norris, 2020; Wentworth, 2024).</w:t>
      </w:r>
    </w:p>
    <w:p w14:paraId="67CB542F" w14:textId="77777777" w:rsidR="002F1832" w:rsidRPr="00161423" w:rsidRDefault="002F1832" w:rsidP="002F1832">
      <w:r w:rsidRPr="00161423">
        <w:t>In this context, I also considered my responsibilities under the Active Offer, a core principle of the </w:t>
      </w:r>
      <w:r w:rsidRPr="00161423">
        <w:rPr>
          <w:i/>
          <w:iCs/>
        </w:rPr>
        <w:t>More Than Just Words</w:t>
      </w:r>
      <w:r w:rsidRPr="00161423">
        <w:t> strategy. This Welsh Government initiative requires that services in Welsh be offered proactively, rather than waiting for individuals to request them. The strategy recognises that language is not only a communication tool but also a matter of dignity, identity, and emotional well-being—particularly for vulnerable individuals in rural communities. Although 4 did not request to use Welsh, the process of offering this choice was essential in ensuring equitable, culturally sensitive care.</w:t>
      </w:r>
    </w:p>
    <w:p w14:paraId="7E698E39" w14:textId="77777777" w:rsidR="002F1832" w:rsidRPr="00161423" w:rsidRDefault="002F1832" w:rsidP="002F1832">
      <w:r w:rsidRPr="00161423">
        <w:t>By acknowledging the intersection of rural deprivation, social isolation, and linguistic rights, I aimed to create a safe and empowering environment for 4. Holding the interview in his home—his chosen setting—was intended to reduce anxiety, promote engagement, and allow for contextual references to the safeguarding concerns. This approach aligned with the person-centred ethos of the </w:t>
      </w:r>
      <w:r w:rsidRPr="00161423">
        <w:rPr>
          <w:i/>
          <w:iCs/>
        </w:rPr>
        <w:t xml:space="preserve">Social Services and Well-being (Wales) Act </w:t>
      </w:r>
      <w:proofErr w:type="gramStart"/>
      <w:r w:rsidRPr="00161423">
        <w:rPr>
          <w:i/>
          <w:iCs/>
        </w:rPr>
        <w:t>2014</w:t>
      </w:r>
      <w:r w:rsidRPr="00161423">
        <w:t>, and</w:t>
      </w:r>
      <w:proofErr w:type="gramEnd"/>
      <w:r w:rsidRPr="00161423">
        <w:t xml:space="preserve"> demonstrated how place-based practice can enhance both the effectiveness and ethical integrity of social work in rural Wales.</w:t>
      </w:r>
    </w:p>
    <w:p w14:paraId="32822A47" w14:textId="77777777" w:rsidR="002F1832" w:rsidRPr="00161423" w:rsidRDefault="002F1832" w:rsidP="002F1832">
      <w:r w:rsidRPr="00161423">
        <w:lastRenderedPageBreak/>
        <w:t>Conducting the interview marked the transition into both the </w:t>
      </w:r>
      <w:r w:rsidRPr="00161423">
        <w:rPr>
          <w:i/>
          <w:iCs/>
        </w:rPr>
        <w:t>Engage</w:t>
      </w:r>
      <w:r w:rsidRPr="00161423">
        <w:t> phase of the PEACE model and the ‘So What’ stage of Borton’s reflective framework. Having previously established a rapport with 4, I prioritised reducing his anxiety to facilitate open dialogue. Drawing on Ruch et al. (2018), I avoided beginning with the legal basis of the safeguarding enquiry or the concerns raised, instead focusing initially on 4’s interests and daily routines. Ruch et al. argue that early engagement is shaped significantly by first impressions, and that a relational, strengths-based approach fosters trust and openness. In hindsight, I recognise that my reluctance to lead with formal concerns may have also reflected my own anxiety about managing a safeguarding enquiry and my empathy for 4’s recent experiences.</w:t>
      </w:r>
    </w:p>
    <w:p w14:paraId="469CAC27" w14:textId="77777777" w:rsidR="002F1832" w:rsidRPr="00161423" w:rsidRDefault="002F1832" w:rsidP="002F1832">
      <w:r w:rsidRPr="00161423">
        <w:t>While the </w:t>
      </w:r>
      <w:r w:rsidRPr="00161423">
        <w:rPr>
          <w:i/>
          <w:iCs/>
        </w:rPr>
        <w:t>Engage</w:t>
      </w:r>
      <w:r w:rsidRPr="00161423">
        <w:t> phase helped establish a safe space, the </w:t>
      </w:r>
      <w:r w:rsidRPr="00161423">
        <w:rPr>
          <w:i/>
          <w:iCs/>
        </w:rPr>
        <w:t>Account</w:t>
      </w:r>
      <w:r w:rsidRPr="00161423">
        <w:t> phase was where substantive information was gathered. In line with the </w:t>
      </w:r>
      <w:r w:rsidRPr="00161423">
        <w:rPr>
          <w:i/>
          <w:iCs/>
        </w:rPr>
        <w:t>Social Services and Well-being (Wales) Act 2014</w:t>
      </w:r>
      <w:r w:rsidRPr="00161423">
        <w:t> and the </w:t>
      </w:r>
      <w:r w:rsidRPr="00161423">
        <w:rPr>
          <w:i/>
          <w:iCs/>
        </w:rPr>
        <w:t>Wales Safeguarding Procedures</w:t>
      </w:r>
      <w:r w:rsidRPr="00161423">
        <w:t xml:space="preserve">, I adopted a person-centred approach, underpinned by motivational interviewing. This communication model empowers individuals to explore their own motivations and </w:t>
      </w:r>
      <w:proofErr w:type="gramStart"/>
      <w:r w:rsidRPr="00161423">
        <w:t>strengths, and</w:t>
      </w:r>
      <w:proofErr w:type="gramEnd"/>
      <w:r w:rsidRPr="00161423">
        <w:t xml:space="preserve"> is particularly effective in promoting autonomy and self-reflection. The use of OARS—Open-ended questions, Affirmations, Reflections, and Summarisation—enabled me to facilitate a non-judgemental dialogue that encouraged 4 to share his experiences freely (Miller &amp; Rollnick, 2002; Teater, 2014). </w:t>
      </w:r>
    </w:p>
    <w:p w14:paraId="03851D27" w14:textId="77777777" w:rsidR="002F1832" w:rsidRPr="00161423" w:rsidRDefault="002F1832" w:rsidP="002F1832">
      <w:r w:rsidRPr="00161423">
        <w:t xml:space="preserve">This approach also aligned with the strengths-based model, which emphasises individuals’ capacity to identify challenges and work toward outcomes using their own resources and networks. </w:t>
      </w:r>
      <w:proofErr w:type="spellStart"/>
      <w:r w:rsidRPr="00161423">
        <w:t>Caiels</w:t>
      </w:r>
      <w:proofErr w:type="spellEnd"/>
      <w:r w:rsidRPr="00161423">
        <w:t xml:space="preserve"> et al. (2024) highlight that strengths-based practice not only promotes empowerment but also enhances engagement and well-being when embedded in meaningful communication. By focusing on 4’s capabilities rather than deficits, I was able to support him in articulating his needs and aspirations, while also gathering the information necessary for the safeguarding enquiry.</w:t>
      </w:r>
    </w:p>
    <w:p w14:paraId="24BC1180" w14:textId="77777777" w:rsidR="002F1832" w:rsidRPr="00161423" w:rsidRDefault="002F1832" w:rsidP="002F1832">
      <w:r w:rsidRPr="00161423">
        <w:t>Schwalbe et al. (2014) contend that reflection constitutes a pivotal component of motivational interviewing, as it facilitates deeper cognitive engagement and encourages clients to elaborate on their thoughts and experiences. Within my own practice, this stage proved particularly challenging. My reflective responses often diverged from the client’s (referred to as “4”) expressed interpretations, which inadvertently positioned my reflections in opposition to his perspective. This misalignment stemmed largely from the client’s inconsistent articulation of the presenting issue, particularly regarding whether he perceived himself as experiencing abuse. These ambiguities complicated my efforts to formulate reflections that accurately captured his viewpoint. Although this did not appear to undermine the therapeutic rapport that had been established, it may have contributed to a degree of defensiveness on his part. Nevertheless, Magill et al. (2014) emphasize that the primary function of reflection is not to produce an immediate or definitive understanding, but rather to convey empathy and a commitment to collaborative meaning-making. In this context, the initial misalignment in my reflection served a constructive purpose by prompting the client to further clarify his perceptions, thereby fostering a more nuanced and shared understanding of his experience.</w:t>
      </w:r>
    </w:p>
    <w:p w14:paraId="5DF8150B" w14:textId="77777777" w:rsidR="002F1832" w:rsidRPr="00161423" w:rsidRDefault="002F1832" w:rsidP="002F1832">
      <w:r w:rsidRPr="00161423">
        <w:t>The final element of OARS—summaries—aligns with the ‘closure’ stage of the PEACE model, offering a structured end to the conversation by reviewing key points and outlining next steps. While summaries often overlap with reflections, I found them particularly useful in providing 4 with clarity on what had been discussed and the decisions he had made. His responses reflected Holloway’s (2012) concept of </w:t>
      </w:r>
      <w:r w:rsidRPr="00161423">
        <w:rPr>
          <w:i/>
          <w:iCs/>
        </w:rPr>
        <w:t>change talk</w:t>
      </w:r>
      <w:r w:rsidRPr="00161423">
        <w:t> (reasons to change) and </w:t>
      </w:r>
      <w:r w:rsidRPr="00161423">
        <w:rPr>
          <w:i/>
          <w:iCs/>
        </w:rPr>
        <w:t>sustain talk</w:t>
      </w:r>
      <w:r w:rsidRPr="00161423">
        <w:t xml:space="preserve"> (reasons to maintain the status quo). Although 4 acknowledged the need for change, he also justified the perceived benefits of the abusive behaviour. Summarising allowed me to </w:t>
      </w:r>
      <w:r w:rsidRPr="00161423">
        <w:lastRenderedPageBreak/>
        <w:t>present his thoughts in a more organised way, highlighting his motivations for change and leaving him with a clear point of reflection.</w:t>
      </w:r>
    </w:p>
    <w:p w14:paraId="114C3405" w14:textId="77777777" w:rsidR="002F1832" w:rsidRPr="00161423" w:rsidRDefault="002F1832" w:rsidP="002F1832">
      <w:r w:rsidRPr="00161423">
        <w:t>As the assessment progressed, it became increasingly evident that social exchange theory (Homans, 1958) influenced 4’s decision-making. This theory posits that individuals evaluate relationships based on perceived costs and benefits. In discussing his post-separation relationships, 4 emphasised perceived gains—such as companionship—despite clear indicators of exploitation, including missing possessions and repeated, unsecured lending. He rejected the notion of abuse, focusing instead on emotional fulfilment. Foa (2023) identifies </w:t>
      </w:r>
      <w:r w:rsidRPr="00161423">
        <w:rPr>
          <w:i/>
          <w:iCs/>
        </w:rPr>
        <w:t>comparison levels</w:t>
      </w:r>
      <w:r w:rsidRPr="00161423">
        <w:t> and </w:t>
      </w:r>
      <w:r w:rsidRPr="00161423">
        <w:rPr>
          <w:i/>
          <w:iCs/>
        </w:rPr>
        <w:t>reciprocity</w:t>
      </w:r>
      <w:r w:rsidRPr="00161423">
        <w:t> as central to this theory, both of which were evident in 4’s attempts to replicate the emotional security of his previous relationship. His willingness to incur financial loss in exchange for social connection suggests a skewed cost-benefit analysis, likely exacerbated by cognitive impairments and limited insight due to his intellectual disability.</w:t>
      </w:r>
    </w:p>
    <w:p w14:paraId="3374624F" w14:textId="77777777" w:rsidR="002F1832" w:rsidRPr="00161423" w:rsidRDefault="002F1832" w:rsidP="002F1832">
      <w:r w:rsidRPr="00161423">
        <w:t>In reflecting on 4’s behaviour, I also considered whether his motivations stemmed not solely from impaired insight, but from adverse childhood experiences and environmental factors. His tendency to prioritise connection over personal safety suggested a deeper psychological need. This aligns with both attachment theory and Maslow’s Hierarchy of Needs, particularly the idea that individuals may sacrifice safety to fulfil a stronger need for belonging. Given 4’s limited ties to his rural community and the lack of accessible social resources, his efforts to form connections—despite personal cost—may reflect a desire to alleviate social isolation. More plausibly, however, this behaviour may be rooted in unresolved feelings of abandonment, both from his ex-partner and earlier childhood neglect. As Oved (2020) argues, Maslow’s model is not strictly linear; individuals may prioritise different needs depending on context. Holmes (2014) similarly suggests that early attachment disruptions can resurface in adulthood, influencing relational patterns. In 4’s case, the drive for intimacy may have overridden his need for safety, shaped by both past trauma and present loneliness.</w:t>
      </w:r>
    </w:p>
    <w:p w14:paraId="12EC36E9" w14:textId="77777777" w:rsidR="002F1832" w:rsidRPr="00B268E6" w:rsidRDefault="002F1832" w:rsidP="002F1832">
      <w:r w:rsidRPr="00B268E6">
        <w:t xml:space="preserve">The final stage of the PEACE model, evaluation, provided an opportunity to critically reflect on the information-gathering process and analyse outcomes during the final strategy meeting. It was concluded that 4 retained </w:t>
      </w:r>
      <w:proofErr w:type="gramStart"/>
      <w:r w:rsidRPr="00B268E6">
        <w:t>capacity</w:t>
      </w:r>
      <w:proofErr w:type="gramEnd"/>
      <w:r w:rsidRPr="00B268E6">
        <w:t xml:space="preserve"> to manage small, day-to-day financial tasks but lacked capacity for more complex financial decisions—such as managing bills, rent, and savings—as determined through the Mental Capacity Act (2005) assessment. Consequently, the existing Court of Protection deputyship remained necessary for safeguarding.</w:t>
      </w:r>
    </w:p>
    <w:p w14:paraId="0B0343B1" w14:textId="77777777" w:rsidR="002F1832" w:rsidRPr="00B268E6" w:rsidRDefault="002F1832" w:rsidP="002F1832">
      <w:r w:rsidRPr="00B268E6">
        <w:t>Regarding 4’s decisions to lend money or give away possessions, the discussion centred on the MCA principle of the right to make unwise decisions. Although these relationships were clearly exploitative, 4 consistently expressed that the emotional connection outweighed the financial cost. His reasoning demonstrated sufficient understanding and justification, indicating that these choices stemmed not from a lack of capacity but from limited education and life experience. With appropriate support, it was felt that 4 could develop the skills needed to make safer social and financial decisions.</w:t>
      </w:r>
    </w:p>
    <w:p w14:paraId="174895E0" w14:textId="77777777" w:rsidR="002F1832" w:rsidRPr="00B268E6" w:rsidRDefault="002F1832" w:rsidP="002F1832">
      <w:r w:rsidRPr="00B268E6">
        <w:t>Nonetheless, 4 remained vulnerable during this transitional period. It was agreed he met Determination 2 of the Wales Safeguarding Procedures (WSP), meaning outcomes could be achieved through adjustments to his personal allowance and further exploration of his care and support needs. Targeted interventions were recommended to mitigate ongoing risks.</w:t>
      </w:r>
    </w:p>
    <w:p w14:paraId="56AA6B2B" w14:textId="77777777" w:rsidR="002F1832" w:rsidRPr="00203A49" w:rsidRDefault="002F1832" w:rsidP="002F1832">
      <w:r w:rsidRPr="00203A49">
        <w:t xml:space="preserve">An MDT meeting was held with 4 and key support figures to develop a care plan that was both effective and least restrictive. Following consultation with his deputy, it was agreed that 4’s </w:t>
      </w:r>
      <w:r w:rsidRPr="00203A49">
        <w:lastRenderedPageBreak/>
        <w:t xml:space="preserve">personal cash allowance would shift from bi-weekly to daily disbursements. This adjustment served to reduce the amount of cash he carried—minimising financial risk—and provided regular opportunities for welfare checks by myself or his </w:t>
      </w:r>
      <w:r>
        <w:t xml:space="preserve">court of protection appointed </w:t>
      </w:r>
      <w:r w:rsidRPr="00203A49">
        <w:t>deputy.</w:t>
      </w:r>
    </w:p>
    <w:p w14:paraId="62DE44AF" w14:textId="77777777" w:rsidR="002F1832" w:rsidRPr="00203A49" w:rsidRDefault="002F1832" w:rsidP="002F1832">
      <w:r w:rsidRPr="00203A49">
        <w:t xml:space="preserve">The meeting also highlighted that 4’s risky behaviours were largely driven by unmet needs for social inclusion. A key outcome was to reassess his care and support plan to identify </w:t>
      </w:r>
      <w:r>
        <w:t>better</w:t>
      </w:r>
      <w:r w:rsidRPr="00203A49">
        <w:t xml:space="preserve"> ways to meet this need. With the introduction of direct payments, 4 was supported to access local community activities, accompanied by a personal assistant (PA) who also helped develop his daily living skills, thereby addressing risks related to self-neglect. Additionally, 4 requested increased staff presence at his residence to monitor visitors and provide on-site support, which was agreed upon as a further safeguarding measure.</w:t>
      </w:r>
    </w:p>
    <w:p w14:paraId="03FDD547" w14:textId="77777777" w:rsidR="002F1832" w:rsidRPr="00203A49" w:rsidRDefault="002F1832" w:rsidP="002F1832">
      <w:r w:rsidRPr="00203A49">
        <w:t>In line with Borton’s model of reflection, the evaluation phase prompted me to consider my learning and development. While I felt confident in building rapport and supporting 4 through sensitive discussions, I recognised my anxiety when forming final decisions—highlighting my limited experience in complex safeguarding cases. Although drawing on the expertise of senior colleagues was beneficial, I aim to build confidence in my own professional judgement. To support this, I plan to liaise with the safeguarding team for shadowing opportunities and request more safeguarding-involved cases through my line manager.</w:t>
      </w:r>
    </w:p>
    <w:p w14:paraId="22862651" w14:textId="77777777" w:rsidR="006A7E24" w:rsidRDefault="006A7E24"/>
    <w:p w14:paraId="03B76617" w14:textId="5DF0D1D2" w:rsidR="002F1832" w:rsidRDefault="002F1832">
      <w:pPr>
        <w:rPr>
          <w:b/>
          <w:bCs/>
          <w:u w:val="single"/>
        </w:rPr>
      </w:pPr>
      <w:r w:rsidRPr="002F1832">
        <w:rPr>
          <w:b/>
          <w:bCs/>
          <w:u w:val="single"/>
        </w:rPr>
        <w:t>4118</w:t>
      </w:r>
    </w:p>
    <w:p w14:paraId="09232D64" w14:textId="77777777" w:rsidR="002F1832" w:rsidRDefault="002F1832">
      <w:pPr>
        <w:rPr>
          <w:b/>
          <w:bCs/>
          <w:u w:val="single"/>
        </w:rPr>
      </w:pPr>
    </w:p>
    <w:p w14:paraId="459EB471" w14:textId="77777777" w:rsidR="002F1832" w:rsidRDefault="002F1832">
      <w:pPr>
        <w:rPr>
          <w:b/>
          <w:bCs/>
          <w:u w:val="single"/>
        </w:rPr>
      </w:pPr>
    </w:p>
    <w:p w14:paraId="0249ABD5" w14:textId="77777777" w:rsidR="002F1832" w:rsidRDefault="002F1832">
      <w:pPr>
        <w:rPr>
          <w:b/>
          <w:bCs/>
          <w:u w:val="single"/>
        </w:rPr>
      </w:pPr>
    </w:p>
    <w:p w14:paraId="5AD3EFED" w14:textId="77777777" w:rsidR="002F1832" w:rsidRDefault="002F1832">
      <w:pPr>
        <w:rPr>
          <w:b/>
          <w:bCs/>
          <w:u w:val="single"/>
        </w:rPr>
      </w:pPr>
    </w:p>
    <w:p w14:paraId="43C60936" w14:textId="77777777" w:rsidR="002F1832" w:rsidRDefault="002F1832">
      <w:pPr>
        <w:rPr>
          <w:b/>
          <w:bCs/>
          <w:u w:val="single"/>
        </w:rPr>
      </w:pPr>
    </w:p>
    <w:p w14:paraId="2F9398D3" w14:textId="77777777" w:rsidR="002F1832" w:rsidRDefault="002F1832">
      <w:pPr>
        <w:rPr>
          <w:b/>
          <w:bCs/>
          <w:u w:val="single"/>
        </w:rPr>
      </w:pPr>
    </w:p>
    <w:p w14:paraId="4B7722DF" w14:textId="77777777" w:rsidR="002F1832" w:rsidRDefault="002F1832">
      <w:pPr>
        <w:rPr>
          <w:b/>
          <w:bCs/>
          <w:u w:val="single"/>
        </w:rPr>
      </w:pPr>
    </w:p>
    <w:p w14:paraId="6C3EFCC9" w14:textId="77777777" w:rsidR="002F1832" w:rsidRDefault="002F1832">
      <w:pPr>
        <w:rPr>
          <w:b/>
          <w:bCs/>
          <w:u w:val="single"/>
        </w:rPr>
      </w:pPr>
    </w:p>
    <w:p w14:paraId="61805F63" w14:textId="77777777" w:rsidR="002F1832" w:rsidRDefault="002F1832">
      <w:pPr>
        <w:rPr>
          <w:b/>
          <w:bCs/>
          <w:u w:val="single"/>
        </w:rPr>
      </w:pPr>
    </w:p>
    <w:p w14:paraId="46F6656D" w14:textId="77777777" w:rsidR="002F1832" w:rsidRDefault="002F1832">
      <w:pPr>
        <w:rPr>
          <w:b/>
          <w:bCs/>
          <w:u w:val="single"/>
        </w:rPr>
      </w:pPr>
    </w:p>
    <w:p w14:paraId="47783AAD" w14:textId="77777777" w:rsidR="002F1832" w:rsidRDefault="002F1832">
      <w:pPr>
        <w:rPr>
          <w:b/>
          <w:bCs/>
          <w:u w:val="single"/>
        </w:rPr>
      </w:pPr>
    </w:p>
    <w:p w14:paraId="5DF5BF56" w14:textId="77777777" w:rsidR="002F1832" w:rsidRDefault="002F1832">
      <w:pPr>
        <w:rPr>
          <w:b/>
          <w:bCs/>
          <w:u w:val="single"/>
        </w:rPr>
      </w:pPr>
    </w:p>
    <w:p w14:paraId="7AA154F8" w14:textId="77777777" w:rsidR="002F1832" w:rsidRDefault="002F1832">
      <w:pPr>
        <w:rPr>
          <w:b/>
          <w:bCs/>
          <w:u w:val="single"/>
        </w:rPr>
      </w:pPr>
    </w:p>
    <w:p w14:paraId="7E8CE7BB" w14:textId="77777777" w:rsidR="002F1832" w:rsidRDefault="002F1832">
      <w:pPr>
        <w:rPr>
          <w:b/>
          <w:bCs/>
          <w:u w:val="single"/>
        </w:rPr>
      </w:pPr>
    </w:p>
    <w:p w14:paraId="4CF832CD" w14:textId="77777777" w:rsidR="002F1832" w:rsidRDefault="002F1832">
      <w:pPr>
        <w:rPr>
          <w:b/>
          <w:bCs/>
          <w:u w:val="single"/>
        </w:rPr>
      </w:pPr>
    </w:p>
    <w:p w14:paraId="6DE5FDC3" w14:textId="77777777" w:rsidR="002F1832" w:rsidRDefault="002F1832">
      <w:pPr>
        <w:rPr>
          <w:b/>
          <w:bCs/>
          <w:u w:val="single"/>
        </w:rPr>
      </w:pPr>
    </w:p>
    <w:p w14:paraId="15CA96A9" w14:textId="77777777" w:rsidR="002F1832" w:rsidRDefault="002F1832">
      <w:pPr>
        <w:rPr>
          <w:b/>
          <w:bCs/>
          <w:u w:val="single"/>
        </w:rPr>
      </w:pPr>
    </w:p>
    <w:p w14:paraId="2EC6F692" w14:textId="77777777" w:rsidR="002F1832" w:rsidRDefault="002F1832" w:rsidP="002F1832">
      <w:r>
        <w:lastRenderedPageBreak/>
        <w:t>References:</w:t>
      </w:r>
    </w:p>
    <w:p w14:paraId="21EE1A14" w14:textId="77777777" w:rsidR="002F1832" w:rsidRDefault="002F1832" w:rsidP="002F1832"/>
    <w:p w14:paraId="466B3F57" w14:textId="77777777" w:rsidR="002F1832" w:rsidRDefault="002F1832" w:rsidP="002F1832">
      <w:r>
        <w:t>Barron, J. (2017) The PEACE model of investigative interviewing: A guide for practitioners. London: Investigative Interviewing Press.</w:t>
      </w:r>
    </w:p>
    <w:p w14:paraId="1B69D0CA" w14:textId="77777777" w:rsidR="002F1832" w:rsidRDefault="002F1832" w:rsidP="002F1832">
      <w:r>
        <w:t>Borton, T. (1970) Reach, touch and teach. London: Hutchinson.</w:t>
      </w:r>
    </w:p>
    <w:p w14:paraId="457B833D" w14:textId="77777777" w:rsidR="002F1832" w:rsidRDefault="002F1832" w:rsidP="002F1832">
      <w:r>
        <w:t xml:space="preserve">Braye, S., Orr, D. and Preston-Shoot, M. (2015) ‘Serious case review findings on the challenges of self-neglect: indicators for good practice’, The Journal of Adult Protection, 17(2), pp. 75–87. Available at: https://doi.org/10.1108/JAP-05-2014-0015 (Accessed: 3 February 2025) </w:t>
      </w:r>
    </w:p>
    <w:p w14:paraId="2E669B4B" w14:textId="77777777" w:rsidR="002F1832" w:rsidRDefault="002F1832" w:rsidP="002F1832">
      <w:r>
        <w:t>British Association of Social Workers (BASW). (2021) The BASW code of ethics for social work [Online]. Available at: https://www.basw.co.uk/resources/basw-code-ethics (Accessed: 3 February 2025).</w:t>
      </w:r>
    </w:p>
    <w:p w14:paraId="316067CF" w14:textId="77777777" w:rsidR="002F1832" w:rsidRDefault="002F1832" w:rsidP="002F1832">
      <w:proofErr w:type="spellStart"/>
      <w:r>
        <w:t>Caiels</w:t>
      </w:r>
      <w:proofErr w:type="spellEnd"/>
      <w:r>
        <w:t>, J. et al. (2024) ‘Strengths-based approaches in adult social care: evidence and implications’, British Journal of Social Work, 54(1), pp. 45–62.</w:t>
      </w:r>
    </w:p>
    <w:p w14:paraId="5A7B48B0" w14:textId="77777777" w:rsidR="002F1832" w:rsidRDefault="002F1832" w:rsidP="002F1832">
      <w:r>
        <w:t>Foa, J. (2023) Modern applications of social exchange theory in vulnerable populations. Oxford: Oxford University Press.</w:t>
      </w:r>
    </w:p>
    <w:p w14:paraId="46A075A2" w14:textId="77777777" w:rsidR="002F1832" w:rsidRDefault="002F1832" w:rsidP="002F1832">
      <w:r>
        <w:t>Holloway, R. (2012) Change talk and sustain talk in motivational interviewing: a guide for practitioners. London: Sage.</w:t>
      </w:r>
    </w:p>
    <w:p w14:paraId="14CD9EB2" w14:textId="77777777" w:rsidR="002F1832" w:rsidRDefault="002F1832" w:rsidP="002F1832">
      <w:r>
        <w:t xml:space="preserve">Holmes, J. (2014) John Bowlby and attachment theory. 2nd </w:t>
      </w:r>
      <w:proofErr w:type="spellStart"/>
      <w:r>
        <w:t>edn</w:t>
      </w:r>
      <w:proofErr w:type="spellEnd"/>
      <w:r>
        <w:t>. London: Routledge.</w:t>
      </w:r>
    </w:p>
    <w:p w14:paraId="2F4DDA26" w14:textId="77777777" w:rsidR="002F1832" w:rsidRDefault="002F1832" w:rsidP="002F1832">
      <w:r>
        <w:t xml:space="preserve">Homans, G.C. (1958) ‘Social </w:t>
      </w:r>
      <w:proofErr w:type="spellStart"/>
      <w:r>
        <w:t>behavior</w:t>
      </w:r>
      <w:proofErr w:type="spellEnd"/>
      <w:r>
        <w:t xml:space="preserve"> as exchange’, American Journal of Sociology, 63(6), pp. 597–606. Available at: https://doi.org/10.1086/222355.</w:t>
      </w:r>
    </w:p>
    <w:p w14:paraId="58B6A238" w14:textId="77777777" w:rsidR="002F1832" w:rsidRDefault="002F1832" w:rsidP="002F1832">
      <w:r>
        <w:t>Human Rights Act 1998, c.42. Available at: https://www.legislation.gov.uk/ukpga/1998/42/contents (Accessed: 2 February 2025)</w:t>
      </w:r>
    </w:p>
    <w:p w14:paraId="717A23F2" w14:textId="77777777" w:rsidR="002F1832" w:rsidRDefault="002F1832" w:rsidP="002F1832">
      <w:r>
        <w:t>Magill, M. et al. (2014) ‘The role of therapist reflection in motivational interviewing: a meta-analysis’, Journal of Substance Abuse Treatment, 46(5), pp. 523–533.</w:t>
      </w:r>
    </w:p>
    <w:p w14:paraId="75C1E070" w14:textId="77777777" w:rsidR="002F1832" w:rsidRDefault="002F1832" w:rsidP="002F1832">
      <w:r>
        <w:t>Mental Capacity Act 2005. (2005) c.9. Available at: https://www.legislation.gov.uk/ukpga/2005/9/contents (Accessed: 1 February 2025).</w:t>
      </w:r>
    </w:p>
    <w:p w14:paraId="29CC2DB0" w14:textId="77777777" w:rsidR="002F1832" w:rsidRDefault="002F1832" w:rsidP="002F1832">
      <w:r>
        <w:t>Mental Health Act 1983. (1983) c.20. Available at: https://www.legislation.gov.uk/ukpga/1983/20/contents (Accessed: 1 February 2025).</w:t>
      </w:r>
    </w:p>
    <w:p w14:paraId="19017C4D" w14:textId="77777777" w:rsidR="002F1832" w:rsidRDefault="002F1832" w:rsidP="002F1832">
      <w:r>
        <w:t xml:space="preserve">Miller, W.R. and Rollnick, S. (2002) Motivational interviewing: preparing people for change. 2nd </w:t>
      </w:r>
      <w:proofErr w:type="spellStart"/>
      <w:r>
        <w:t>edn</w:t>
      </w:r>
      <w:proofErr w:type="spellEnd"/>
      <w:r>
        <w:t>. New York: Guilford Press.</w:t>
      </w:r>
    </w:p>
    <w:p w14:paraId="690A54C3" w14:textId="77777777" w:rsidR="002F1832" w:rsidRDefault="002F1832" w:rsidP="002F1832">
      <w:r>
        <w:t>Norris, T. (2020) Living on the edge: social exclusion in rural Wales. Aberystwyth: Rural Policy Centre.</w:t>
      </w:r>
    </w:p>
    <w:p w14:paraId="4C629EEC" w14:textId="77777777" w:rsidR="002F1832" w:rsidRDefault="002F1832" w:rsidP="002F1832">
      <w:r>
        <w:t>Oved, I. (2020) Revisiting Maslow: Contextualising human needs in modern society. Tel Aviv: Humanistic Press.</w:t>
      </w:r>
    </w:p>
    <w:p w14:paraId="7E7794A7" w14:textId="77777777" w:rsidR="002F1832" w:rsidRDefault="002F1832" w:rsidP="002F1832">
      <w:r>
        <w:t xml:space="preserve">Ruch, G., Turney, D. and Ward, A. (2018) Relationship-based social work: getting to the heart of practice. 2nd </w:t>
      </w:r>
      <w:proofErr w:type="spellStart"/>
      <w:r>
        <w:t>edn</w:t>
      </w:r>
      <w:proofErr w:type="spellEnd"/>
      <w:r>
        <w:t>. London: Jessica Kingsley Publishers.</w:t>
      </w:r>
    </w:p>
    <w:p w14:paraId="4C8ED177" w14:textId="77777777" w:rsidR="002F1832" w:rsidRDefault="002F1832" w:rsidP="002F1832">
      <w:r>
        <w:lastRenderedPageBreak/>
        <w:t>Schwalbe, C.S. et al. (2014) ‘A meta-analysis of motivational interviewing: twenty-five years of empirical studies’, Research on Social Work Practice, 24(4), pp. 408–420.</w:t>
      </w:r>
    </w:p>
    <w:p w14:paraId="1E069361" w14:textId="77777777" w:rsidR="002F1832" w:rsidRDefault="002F1832" w:rsidP="002F1832">
      <w:r>
        <w:t>Social Care Wales. (2019) Wales safeguarding procedures. Available at: https://www.safeguarding.wales/en/ (Accessed: 3 February 2025)</w:t>
      </w:r>
    </w:p>
    <w:p w14:paraId="7D50BF36" w14:textId="77777777" w:rsidR="002F1832" w:rsidRDefault="002F1832" w:rsidP="002F1832">
      <w:r>
        <w:t xml:space="preserve">Social Services and Well-being (Wales) Act 2014, </w:t>
      </w:r>
      <w:proofErr w:type="spellStart"/>
      <w:r>
        <w:t>anaw</w:t>
      </w:r>
      <w:proofErr w:type="spellEnd"/>
      <w:r>
        <w:t xml:space="preserve"> 4. Available at: https://www.legislation.gov.uk/anaw/2014/4/contents (Accessed: 2 February 2025).</w:t>
      </w:r>
    </w:p>
    <w:p w14:paraId="1DC465B1" w14:textId="77777777" w:rsidR="002F1832" w:rsidRDefault="002F1832" w:rsidP="002F1832">
      <w:r>
        <w:t xml:space="preserve">Teater, B. (2014) An introduction to applying social work theories and methods. 2nd </w:t>
      </w:r>
      <w:proofErr w:type="spellStart"/>
      <w:r>
        <w:t>edn</w:t>
      </w:r>
      <w:proofErr w:type="spellEnd"/>
      <w:r>
        <w:t>. Maidenhead: Open University Press.</w:t>
      </w:r>
    </w:p>
    <w:p w14:paraId="127E0082" w14:textId="77777777" w:rsidR="002F1832" w:rsidRDefault="002F1832" w:rsidP="002F1832">
      <w:r>
        <w:t>Welsh Government. (2016) More than just words: follow-on strategic framework for Welsh language services in health, social services and social care 2016–2019. Cardiff: Welsh Government. Available at: https://gov.wales/more-just-words (Accessed: 4 February 2025).</w:t>
      </w:r>
    </w:p>
    <w:p w14:paraId="06E64077" w14:textId="77777777" w:rsidR="002F1832" w:rsidRDefault="002F1832" w:rsidP="002F1832">
      <w:r>
        <w:t>Welsh Government. (2022) Understanding rural deprivation in Wales: evidence review. Cardiff: Welsh Government. Available at: https://gov.wales (Accessed: 4 February 2025).</w:t>
      </w:r>
    </w:p>
    <w:p w14:paraId="4A43C269" w14:textId="77777777" w:rsidR="002F1832" w:rsidRDefault="002F1832" w:rsidP="002F1832">
      <w:r>
        <w:t>Wentworth, L. (2024) Aging and isolation: demographic change in rural Welsh communities. Swansea: University of Wales Press.</w:t>
      </w:r>
    </w:p>
    <w:p w14:paraId="6749761C" w14:textId="77777777" w:rsidR="002F1832" w:rsidRPr="002F1832" w:rsidRDefault="002F1832">
      <w:pPr>
        <w:rPr>
          <w:b/>
          <w:bCs/>
          <w:u w:val="single"/>
        </w:rPr>
      </w:pPr>
    </w:p>
    <w:sectPr w:rsidR="002F1832" w:rsidRPr="002F18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5617A7"/>
    <w:multiLevelType w:val="multilevel"/>
    <w:tmpl w:val="288CD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EC7801"/>
    <w:multiLevelType w:val="multilevel"/>
    <w:tmpl w:val="14381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7317409">
    <w:abstractNumId w:val="1"/>
  </w:num>
  <w:num w:numId="2" w16cid:durableId="698161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832"/>
    <w:rsid w:val="00226FE2"/>
    <w:rsid w:val="002F1832"/>
    <w:rsid w:val="006A7E24"/>
    <w:rsid w:val="00CD5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93113"/>
  <w15:chartTrackingRefBased/>
  <w15:docId w15:val="{592B5EB3-75B5-4F46-8571-7C0D3AC2C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832"/>
  </w:style>
  <w:style w:type="paragraph" w:styleId="Heading1">
    <w:name w:val="heading 1"/>
    <w:basedOn w:val="Normal"/>
    <w:next w:val="Normal"/>
    <w:link w:val="Heading1Char"/>
    <w:uiPriority w:val="9"/>
    <w:qFormat/>
    <w:rsid w:val="002F18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8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8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8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8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8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8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8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8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8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8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8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8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8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8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8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832"/>
    <w:rPr>
      <w:rFonts w:eastAsiaTheme="majorEastAsia" w:cstheme="majorBidi"/>
      <w:color w:val="272727" w:themeColor="text1" w:themeTint="D8"/>
    </w:rPr>
  </w:style>
  <w:style w:type="paragraph" w:styleId="Title">
    <w:name w:val="Title"/>
    <w:basedOn w:val="Normal"/>
    <w:next w:val="Normal"/>
    <w:link w:val="TitleChar"/>
    <w:uiPriority w:val="10"/>
    <w:qFormat/>
    <w:rsid w:val="002F18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8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8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8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832"/>
    <w:pPr>
      <w:spacing w:before="160"/>
      <w:jc w:val="center"/>
    </w:pPr>
    <w:rPr>
      <w:i/>
      <w:iCs/>
      <w:color w:val="404040" w:themeColor="text1" w:themeTint="BF"/>
    </w:rPr>
  </w:style>
  <w:style w:type="character" w:customStyle="1" w:styleId="QuoteChar">
    <w:name w:val="Quote Char"/>
    <w:basedOn w:val="DefaultParagraphFont"/>
    <w:link w:val="Quote"/>
    <w:uiPriority w:val="29"/>
    <w:rsid w:val="002F1832"/>
    <w:rPr>
      <w:i/>
      <w:iCs/>
      <w:color w:val="404040" w:themeColor="text1" w:themeTint="BF"/>
    </w:rPr>
  </w:style>
  <w:style w:type="paragraph" w:styleId="ListParagraph">
    <w:name w:val="List Paragraph"/>
    <w:basedOn w:val="Normal"/>
    <w:uiPriority w:val="34"/>
    <w:qFormat/>
    <w:rsid w:val="002F1832"/>
    <w:pPr>
      <w:ind w:left="720"/>
      <w:contextualSpacing/>
    </w:pPr>
  </w:style>
  <w:style w:type="character" w:styleId="IntenseEmphasis">
    <w:name w:val="Intense Emphasis"/>
    <w:basedOn w:val="DefaultParagraphFont"/>
    <w:uiPriority w:val="21"/>
    <w:qFormat/>
    <w:rsid w:val="002F1832"/>
    <w:rPr>
      <w:i/>
      <w:iCs/>
      <w:color w:val="0F4761" w:themeColor="accent1" w:themeShade="BF"/>
    </w:rPr>
  </w:style>
  <w:style w:type="paragraph" w:styleId="IntenseQuote">
    <w:name w:val="Intense Quote"/>
    <w:basedOn w:val="Normal"/>
    <w:next w:val="Normal"/>
    <w:link w:val="IntenseQuoteChar"/>
    <w:uiPriority w:val="30"/>
    <w:qFormat/>
    <w:rsid w:val="002F18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832"/>
    <w:rPr>
      <w:i/>
      <w:iCs/>
      <w:color w:val="0F4761" w:themeColor="accent1" w:themeShade="BF"/>
    </w:rPr>
  </w:style>
  <w:style w:type="character" w:styleId="IntenseReference">
    <w:name w:val="Intense Reference"/>
    <w:basedOn w:val="DefaultParagraphFont"/>
    <w:uiPriority w:val="32"/>
    <w:qFormat/>
    <w:rsid w:val="002F18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4677</Words>
  <Characters>26660</Characters>
  <Application>Microsoft Office Word</Application>
  <DocSecurity>0</DocSecurity>
  <Lines>222</Lines>
  <Paragraphs>62</Paragraphs>
  <ScaleCrop>false</ScaleCrop>
  <Company/>
  <LinksUpToDate>false</LinksUpToDate>
  <CharactersWithSpaces>31275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Finn</dc:creator>
  <cp:keywords/>
  <dc:description/>
  <cp:lastModifiedBy>Adam Finn</cp:lastModifiedBy>
  <cp:revision>1</cp:revision>
  <dcterms:created xsi:type="dcterms:W3CDTF">2025-07-21T12:13:00Z</dcterms:created>
  <dcterms:modified xsi:type="dcterms:W3CDTF">2025-07-21T12:15:00Z</dcterms:modified>
</cp:coreProperties>
</file>