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ADF8688" w14:textId="77777777" w:rsidR="006172CF" w:rsidRDefault="006172CF" w:rsidP="006172CF">
      <w:pPr>
        <w:rPr>
          <w:rFonts w:asciiTheme="minorBidi" w:hAnsiTheme="minorBidi" w:cstheme="minorBidi"/>
        </w:rPr>
      </w:pPr>
    </w:p>
    <w:p w14:paraId="3C38C55B" w14:textId="77777777" w:rsidR="006172CF" w:rsidRDefault="006172CF" w:rsidP="006172CF">
      <w:pPr>
        <w:rPr>
          <w:rFonts w:asciiTheme="minorBidi" w:hAnsiTheme="minorBidi" w:cstheme="minorBidi"/>
        </w:rPr>
      </w:pPr>
    </w:p>
    <w:p w14:paraId="68F80581" w14:textId="77777777" w:rsidR="006172CF" w:rsidRDefault="006172CF" w:rsidP="006172CF">
      <w:pPr>
        <w:rPr>
          <w:rFonts w:asciiTheme="minorBidi" w:hAnsiTheme="minorBidi" w:cstheme="minorBidi"/>
        </w:rPr>
      </w:pPr>
    </w:p>
    <w:p w14:paraId="0DF810B7" w14:textId="77777777" w:rsidR="006172CF" w:rsidRDefault="006172CF" w:rsidP="006172CF">
      <w:pPr>
        <w:rPr>
          <w:rFonts w:asciiTheme="minorBidi" w:hAnsiTheme="minorBidi" w:cstheme="minorBidi"/>
        </w:rPr>
      </w:pPr>
    </w:p>
    <w:p w14:paraId="00A5F0B6" w14:textId="77777777" w:rsidR="006172CF" w:rsidRDefault="006172CF" w:rsidP="006172CF">
      <w:pPr>
        <w:rPr>
          <w:rFonts w:asciiTheme="minorBidi" w:hAnsiTheme="minorBidi" w:cstheme="minorBidi"/>
        </w:rPr>
      </w:pPr>
    </w:p>
    <w:p w14:paraId="79101A61" w14:textId="77777777" w:rsidR="006172CF" w:rsidRDefault="006172CF" w:rsidP="006172CF">
      <w:pPr>
        <w:rPr>
          <w:rFonts w:asciiTheme="minorBidi" w:hAnsiTheme="minorBidi" w:cstheme="minorBidi"/>
        </w:rPr>
      </w:pPr>
    </w:p>
    <w:p w14:paraId="79D0F824" w14:textId="77777777" w:rsidR="006172CF" w:rsidRDefault="006172CF" w:rsidP="006172CF">
      <w:pPr>
        <w:rPr>
          <w:rFonts w:asciiTheme="minorBidi" w:hAnsiTheme="minorBidi" w:cstheme="minorBidi"/>
        </w:rPr>
      </w:pPr>
    </w:p>
    <w:p w14:paraId="60CC80E0" w14:textId="77777777" w:rsidR="006172CF" w:rsidRDefault="006172CF" w:rsidP="006172CF">
      <w:pPr>
        <w:rPr>
          <w:rFonts w:asciiTheme="minorBidi" w:hAnsiTheme="minorBidi" w:cstheme="minorBidi"/>
        </w:rPr>
      </w:pPr>
    </w:p>
    <w:p w14:paraId="2078FEB3" w14:textId="77777777" w:rsidR="006172CF" w:rsidRDefault="006172CF" w:rsidP="006172CF">
      <w:pPr>
        <w:rPr>
          <w:rFonts w:asciiTheme="minorBidi" w:hAnsiTheme="minorBidi" w:cstheme="minorBidi"/>
        </w:rPr>
      </w:pPr>
    </w:p>
    <w:p w14:paraId="5CCFCD07" w14:textId="77777777" w:rsidR="006172CF" w:rsidRDefault="006172CF" w:rsidP="006172CF">
      <w:pPr>
        <w:rPr>
          <w:rFonts w:asciiTheme="minorBidi" w:hAnsiTheme="minorBidi" w:cstheme="minorBidi"/>
        </w:rPr>
      </w:pPr>
    </w:p>
    <w:p w14:paraId="2AF961A2" w14:textId="77777777" w:rsidR="006172CF" w:rsidRDefault="006172CF" w:rsidP="006172CF">
      <w:pPr>
        <w:rPr>
          <w:rFonts w:asciiTheme="minorBidi" w:hAnsiTheme="minorBidi" w:cstheme="minorBidi"/>
        </w:rPr>
      </w:pPr>
    </w:p>
    <w:p w14:paraId="3C234065" w14:textId="77777777" w:rsidR="006172CF" w:rsidRDefault="006172CF" w:rsidP="006172CF">
      <w:pPr>
        <w:jc w:val="center"/>
        <w:rPr>
          <w:rFonts w:asciiTheme="minorBidi" w:hAnsiTheme="minorBidi" w:cstheme="minorBidi"/>
        </w:rPr>
      </w:pPr>
    </w:p>
    <w:p w14:paraId="2F6A338A" w14:textId="77777777" w:rsidR="006172CF" w:rsidRPr="00B9302E" w:rsidRDefault="006172CF" w:rsidP="006172CF">
      <w:pPr>
        <w:spacing w:line="360" w:lineRule="auto"/>
        <w:jc w:val="center"/>
        <w:rPr>
          <w:rFonts w:asciiTheme="minorBidi" w:hAnsiTheme="minorBidi" w:cstheme="minorBidi"/>
          <w:b/>
        </w:rPr>
      </w:pPr>
      <w:r w:rsidRPr="00B9302E">
        <w:rPr>
          <w:rFonts w:asciiTheme="minorBidi" w:hAnsiTheme="minorBidi" w:cstheme="minorBidi"/>
          <w:b/>
          <w:noProof/>
        </w:rPr>
        <w:drawing>
          <wp:anchor distT="0" distB="0" distL="114300" distR="114300" simplePos="0" relativeHeight="251659264" behindDoc="0" locked="0" layoutInCell="1" allowOverlap="1" wp14:anchorId="7080F3E7" wp14:editId="39DF1D37">
            <wp:simplePos x="914400" y="914400"/>
            <wp:positionH relativeFrom="margin">
              <wp:align>center</wp:align>
            </wp:positionH>
            <wp:positionV relativeFrom="margin">
              <wp:align>top</wp:align>
            </wp:positionV>
            <wp:extent cx="3208020" cy="1062143"/>
            <wp:effectExtent l="0" t="0" r="0" b="508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Logo-1024x339.pn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208020" cy="1062143"/>
                    </a:xfrm>
                    <a:prstGeom prst="rect">
                      <a:avLst/>
                    </a:prstGeom>
                  </pic:spPr>
                </pic:pic>
              </a:graphicData>
            </a:graphic>
          </wp:anchor>
        </w:drawing>
      </w:r>
      <w:proofErr w:type="gramStart"/>
      <w:r w:rsidRPr="00B9302E">
        <w:rPr>
          <w:rFonts w:asciiTheme="minorBidi" w:hAnsiTheme="minorBidi" w:cstheme="minorBidi"/>
          <w:b/>
        </w:rPr>
        <w:t>MASTERS OF BUSINESS ADMINISTRATION</w:t>
      </w:r>
      <w:proofErr w:type="gramEnd"/>
    </w:p>
    <w:p w14:paraId="18480E9A" w14:textId="77777777" w:rsidR="006172CF" w:rsidRPr="00B9302E" w:rsidRDefault="006172CF" w:rsidP="006172CF">
      <w:pPr>
        <w:spacing w:line="360" w:lineRule="auto"/>
        <w:jc w:val="center"/>
        <w:rPr>
          <w:rFonts w:asciiTheme="minorBidi" w:hAnsiTheme="minorBidi" w:cstheme="minorBidi"/>
          <w:b/>
          <w:sz w:val="40"/>
        </w:rPr>
      </w:pPr>
      <w:r w:rsidRPr="00B9302E">
        <w:rPr>
          <w:rFonts w:asciiTheme="minorBidi" w:hAnsiTheme="minorBidi" w:cstheme="minorBidi"/>
          <w:b/>
          <w:sz w:val="40"/>
        </w:rPr>
        <w:t>MARKETING MANAGEMENT</w:t>
      </w:r>
    </w:p>
    <w:p w14:paraId="1F64D8C7" w14:textId="77777777" w:rsidR="006172CF" w:rsidRDefault="006172CF" w:rsidP="006172CF">
      <w:pPr>
        <w:spacing w:line="360" w:lineRule="auto"/>
        <w:jc w:val="center"/>
        <w:rPr>
          <w:rFonts w:asciiTheme="minorBidi" w:hAnsiTheme="minorBidi" w:cstheme="minorBidi"/>
          <w:b/>
        </w:rPr>
      </w:pPr>
      <w:r w:rsidRPr="00B9302E">
        <w:rPr>
          <w:rFonts w:asciiTheme="minorBidi" w:hAnsiTheme="minorBidi" w:cstheme="minorBidi"/>
          <w:b/>
        </w:rPr>
        <w:t>MODULE CODE – LCMB7024</w:t>
      </w:r>
    </w:p>
    <w:p w14:paraId="7ADD11EC" w14:textId="016CBBBA" w:rsidR="006172CF" w:rsidRPr="00B9302E" w:rsidRDefault="006172CF" w:rsidP="006172CF">
      <w:pPr>
        <w:spacing w:line="360" w:lineRule="auto"/>
        <w:jc w:val="center"/>
        <w:rPr>
          <w:rFonts w:asciiTheme="minorBidi" w:hAnsiTheme="minorBidi" w:cstheme="minorBidi"/>
          <w:b/>
        </w:rPr>
      </w:pPr>
      <w:r>
        <w:rPr>
          <w:rFonts w:asciiTheme="minorBidi" w:hAnsiTheme="minorBidi" w:cstheme="minorBidi"/>
          <w:b/>
        </w:rPr>
        <w:t xml:space="preserve">COMPONENT 1 </w:t>
      </w:r>
    </w:p>
    <w:p w14:paraId="0E057D74" w14:textId="5DDF6600" w:rsidR="006172CF" w:rsidRPr="00B9302E" w:rsidRDefault="006172CF" w:rsidP="006172CF">
      <w:pPr>
        <w:spacing w:line="360" w:lineRule="auto"/>
        <w:jc w:val="center"/>
        <w:rPr>
          <w:rFonts w:asciiTheme="minorBidi" w:hAnsiTheme="minorBidi" w:cstheme="minorBidi"/>
          <w:b/>
        </w:rPr>
      </w:pPr>
      <w:r w:rsidRPr="00B9302E">
        <w:rPr>
          <w:rFonts w:asciiTheme="minorBidi" w:hAnsiTheme="minorBidi" w:cstheme="minorBidi"/>
          <w:b/>
        </w:rPr>
        <w:t>LECTURER –TAONGA KAONGA SOBERE</w:t>
      </w:r>
    </w:p>
    <w:p w14:paraId="3F523EDD" w14:textId="77777777" w:rsidR="006172CF" w:rsidRPr="00B9302E" w:rsidRDefault="006172CF" w:rsidP="006172CF">
      <w:pPr>
        <w:spacing w:line="360" w:lineRule="auto"/>
        <w:jc w:val="center"/>
        <w:rPr>
          <w:rFonts w:asciiTheme="minorBidi" w:hAnsiTheme="minorBidi" w:cstheme="minorBidi"/>
          <w:b/>
        </w:rPr>
      </w:pPr>
      <w:r w:rsidRPr="00B9302E">
        <w:rPr>
          <w:rFonts w:asciiTheme="minorBidi" w:hAnsiTheme="minorBidi" w:cstheme="minorBidi"/>
          <w:b/>
        </w:rPr>
        <w:t>__________________________________</w:t>
      </w:r>
      <w:r w:rsidRPr="00B9302E">
        <w:rPr>
          <w:rFonts w:asciiTheme="minorBidi" w:hAnsiTheme="minorBidi" w:cstheme="minorBidi"/>
          <w:b/>
        </w:rPr>
        <w:br/>
      </w:r>
      <w:r w:rsidRPr="00B9302E">
        <w:rPr>
          <w:rFonts w:asciiTheme="minorBidi" w:hAnsiTheme="minorBidi" w:cstheme="minorBidi"/>
          <w:b/>
        </w:rPr>
        <w:br/>
        <w:t>SUBMITTED</w:t>
      </w:r>
    </w:p>
    <w:p w14:paraId="514277AE" w14:textId="77777777" w:rsidR="006172CF" w:rsidRDefault="006172CF" w:rsidP="006172CF">
      <w:pPr>
        <w:spacing w:line="360" w:lineRule="auto"/>
        <w:jc w:val="center"/>
        <w:rPr>
          <w:rFonts w:asciiTheme="minorBidi" w:hAnsiTheme="minorBidi" w:cstheme="minorBidi"/>
          <w:b/>
        </w:rPr>
      </w:pPr>
      <w:r w:rsidRPr="00B9302E">
        <w:rPr>
          <w:rFonts w:asciiTheme="minorBidi" w:hAnsiTheme="minorBidi" w:cstheme="minorBidi"/>
          <w:b/>
        </w:rPr>
        <w:t>BY</w:t>
      </w:r>
    </w:p>
    <w:p w14:paraId="7DF62E6A" w14:textId="77777777" w:rsidR="006172CF" w:rsidRPr="00B9302E" w:rsidRDefault="006172CF" w:rsidP="006172CF">
      <w:pPr>
        <w:spacing w:line="360" w:lineRule="auto"/>
        <w:jc w:val="center"/>
        <w:rPr>
          <w:rFonts w:asciiTheme="minorBidi" w:hAnsiTheme="minorBidi" w:cstheme="minorBidi"/>
          <w:b/>
        </w:rPr>
      </w:pPr>
      <w:r>
        <w:rPr>
          <w:rFonts w:asciiTheme="minorBidi" w:hAnsiTheme="minorBidi" w:cstheme="minorBidi"/>
          <w:b/>
        </w:rPr>
        <w:t>Ishan Kevadiya</w:t>
      </w:r>
    </w:p>
    <w:p w14:paraId="685FA166" w14:textId="77777777" w:rsidR="006172CF" w:rsidRDefault="006172CF" w:rsidP="006172CF">
      <w:pPr>
        <w:spacing w:line="360" w:lineRule="auto"/>
        <w:jc w:val="center"/>
        <w:rPr>
          <w:rFonts w:asciiTheme="minorBidi" w:hAnsiTheme="minorBidi" w:cstheme="minorBidi"/>
          <w:b/>
        </w:rPr>
      </w:pPr>
      <w:r w:rsidRPr="00B9302E">
        <w:rPr>
          <w:rFonts w:asciiTheme="minorBidi" w:hAnsiTheme="minorBidi" w:cstheme="minorBidi"/>
          <w:b/>
        </w:rPr>
        <w:t>STUDENT ID</w:t>
      </w:r>
      <w:r>
        <w:rPr>
          <w:rFonts w:asciiTheme="minorBidi" w:hAnsiTheme="minorBidi" w:cstheme="minorBidi"/>
          <w:b/>
        </w:rPr>
        <w:t xml:space="preserve"> - 2541464</w:t>
      </w:r>
    </w:p>
    <w:p w14:paraId="37BFC0DD" w14:textId="77777777" w:rsidR="006172CF" w:rsidRDefault="006172CF" w:rsidP="006172CF">
      <w:pPr>
        <w:spacing w:line="360" w:lineRule="auto"/>
        <w:jc w:val="center"/>
        <w:rPr>
          <w:rFonts w:asciiTheme="minorBidi" w:hAnsiTheme="minorBidi" w:cstheme="minorBidi"/>
          <w:b/>
        </w:rPr>
      </w:pPr>
    </w:p>
    <w:p w14:paraId="5256ACF6" w14:textId="77777777" w:rsidR="006172CF" w:rsidRDefault="006172CF" w:rsidP="006172CF">
      <w:pPr>
        <w:spacing w:line="360" w:lineRule="auto"/>
        <w:jc w:val="center"/>
        <w:rPr>
          <w:rFonts w:asciiTheme="minorBidi" w:hAnsiTheme="minorBidi" w:cstheme="minorBidi"/>
          <w:b/>
        </w:rPr>
      </w:pPr>
    </w:p>
    <w:p w14:paraId="62362891" w14:textId="77777777" w:rsidR="006172CF" w:rsidRDefault="006172CF" w:rsidP="006172CF">
      <w:pPr>
        <w:spacing w:line="360" w:lineRule="auto"/>
        <w:jc w:val="center"/>
        <w:rPr>
          <w:rFonts w:asciiTheme="minorBidi" w:hAnsiTheme="minorBidi" w:cstheme="minorBidi"/>
          <w:b/>
        </w:rPr>
      </w:pPr>
    </w:p>
    <w:p w14:paraId="52BF1C4A" w14:textId="77777777" w:rsidR="006172CF" w:rsidRDefault="006172CF" w:rsidP="006172CF">
      <w:pPr>
        <w:spacing w:line="360" w:lineRule="auto"/>
        <w:jc w:val="center"/>
        <w:rPr>
          <w:rFonts w:asciiTheme="minorBidi" w:hAnsiTheme="minorBidi" w:cstheme="minorBidi"/>
          <w:b/>
        </w:rPr>
      </w:pPr>
    </w:p>
    <w:p w14:paraId="08AD2604" w14:textId="77777777" w:rsidR="006172CF" w:rsidRDefault="006172CF" w:rsidP="006172CF">
      <w:pPr>
        <w:spacing w:line="360" w:lineRule="auto"/>
        <w:jc w:val="center"/>
        <w:rPr>
          <w:rFonts w:asciiTheme="minorBidi" w:hAnsiTheme="minorBidi" w:cstheme="minorBidi"/>
          <w:b/>
        </w:rPr>
      </w:pPr>
    </w:p>
    <w:p w14:paraId="759826D7" w14:textId="77777777" w:rsidR="006172CF" w:rsidRDefault="006172CF" w:rsidP="006172CF">
      <w:pPr>
        <w:spacing w:line="360" w:lineRule="auto"/>
        <w:jc w:val="center"/>
        <w:rPr>
          <w:rFonts w:asciiTheme="minorBidi" w:hAnsiTheme="minorBidi" w:cstheme="minorBidi"/>
          <w:b/>
        </w:rPr>
      </w:pPr>
    </w:p>
    <w:p w14:paraId="6916F991" w14:textId="77777777" w:rsidR="006172CF" w:rsidRDefault="006172CF" w:rsidP="006172CF">
      <w:pPr>
        <w:spacing w:line="360" w:lineRule="auto"/>
        <w:jc w:val="center"/>
        <w:rPr>
          <w:rFonts w:asciiTheme="minorBidi" w:hAnsiTheme="minorBidi" w:cstheme="minorBidi"/>
          <w:b/>
        </w:rPr>
      </w:pPr>
    </w:p>
    <w:p w14:paraId="170D2EE3" w14:textId="77777777" w:rsidR="00A06579" w:rsidRDefault="00A06579" w:rsidP="006172CF">
      <w:pPr>
        <w:spacing w:line="360" w:lineRule="auto"/>
        <w:jc w:val="center"/>
        <w:rPr>
          <w:rFonts w:asciiTheme="minorBidi" w:hAnsiTheme="minorBidi" w:cstheme="minorBidi"/>
          <w:b/>
        </w:rPr>
      </w:pPr>
    </w:p>
    <w:p w14:paraId="31712C6F" w14:textId="77777777" w:rsidR="006172CF" w:rsidRDefault="006172CF" w:rsidP="006172CF">
      <w:pPr>
        <w:spacing w:line="360" w:lineRule="auto"/>
        <w:jc w:val="center"/>
        <w:rPr>
          <w:rFonts w:asciiTheme="minorBidi" w:hAnsiTheme="minorBidi" w:cstheme="minorBidi"/>
          <w:b/>
        </w:rPr>
      </w:pPr>
    </w:p>
    <w:p w14:paraId="5DC2625C" w14:textId="77777777" w:rsidR="006172CF" w:rsidRDefault="006172CF" w:rsidP="006172CF">
      <w:pPr>
        <w:spacing w:line="360" w:lineRule="auto"/>
        <w:jc w:val="center"/>
        <w:rPr>
          <w:rFonts w:asciiTheme="minorBidi" w:hAnsiTheme="minorBidi" w:cstheme="minorBidi"/>
          <w:b/>
        </w:rPr>
      </w:pPr>
    </w:p>
    <w:p w14:paraId="05443A91" w14:textId="77777777" w:rsidR="006172CF" w:rsidRPr="005A73DF" w:rsidRDefault="006172CF" w:rsidP="006172CF">
      <w:pPr>
        <w:spacing w:line="360" w:lineRule="auto"/>
        <w:jc w:val="center"/>
        <w:rPr>
          <w:rFonts w:asciiTheme="minorBidi" w:eastAsiaTheme="majorEastAsia" w:hAnsiTheme="minorBidi" w:cstheme="minorBidi"/>
          <w:b/>
          <w:color w:val="000000" w:themeColor="text1"/>
        </w:rPr>
      </w:pPr>
    </w:p>
    <w:sdt>
      <w:sdtPr>
        <w:rPr>
          <w:b/>
          <w:bCs/>
        </w:rPr>
        <w:id w:val="-2111805184"/>
        <w:docPartObj>
          <w:docPartGallery w:val="Table of Contents"/>
          <w:docPartUnique/>
        </w:docPartObj>
      </w:sdtPr>
      <w:sdtEndPr>
        <w:rPr>
          <w:b w:val="0"/>
          <w:bCs w:val="0"/>
          <w:noProof/>
        </w:rPr>
      </w:sdtEndPr>
      <w:sdtContent>
        <w:p w14:paraId="258789AB" w14:textId="77777777" w:rsidR="006172CF" w:rsidRPr="00AF0EEA" w:rsidRDefault="006172CF" w:rsidP="006172CF">
          <w:pPr>
            <w:rPr>
              <w:rFonts w:ascii="Arial" w:eastAsiaTheme="majorEastAsia" w:hAnsi="Arial" w:cs="Arial"/>
              <w:b/>
              <w:bCs/>
              <w:color w:val="000000" w:themeColor="text1"/>
            </w:rPr>
          </w:pPr>
          <w:r w:rsidRPr="00AF0EEA">
            <w:rPr>
              <w:rFonts w:ascii="Arial" w:hAnsi="Arial" w:cs="Arial"/>
              <w:b/>
              <w:bCs/>
            </w:rPr>
            <w:t>Table of Contents</w:t>
          </w:r>
        </w:p>
        <w:p w14:paraId="5BB9396A" w14:textId="77777777" w:rsidR="006172CF" w:rsidRPr="00386576" w:rsidRDefault="006172CF" w:rsidP="006172CF">
          <w:pPr>
            <w:pStyle w:val="TOC1"/>
            <w:tabs>
              <w:tab w:val="right" w:leader="dot" w:pos="9350"/>
            </w:tabs>
            <w:spacing w:line="360" w:lineRule="auto"/>
            <w:rPr>
              <w:rFonts w:asciiTheme="minorBidi" w:hAnsiTheme="minorBidi" w:cstheme="minorBidi"/>
              <w:noProof/>
              <w:sz w:val="24"/>
            </w:rPr>
          </w:pPr>
          <w:r w:rsidRPr="00386576">
            <w:rPr>
              <w:rFonts w:asciiTheme="minorBidi" w:hAnsiTheme="minorBidi" w:cstheme="minorBidi"/>
              <w:b w:val="0"/>
              <w:bCs w:val="0"/>
              <w:sz w:val="24"/>
            </w:rPr>
            <w:fldChar w:fldCharType="begin"/>
          </w:r>
          <w:r w:rsidRPr="00386576">
            <w:rPr>
              <w:rFonts w:asciiTheme="minorBidi" w:hAnsiTheme="minorBidi" w:cstheme="minorBidi"/>
              <w:sz w:val="24"/>
            </w:rPr>
            <w:instrText xml:space="preserve"> TOC \o "1-3" \h \z \u </w:instrText>
          </w:r>
          <w:r w:rsidRPr="00386576">
            <w:rPr>
              <w:rFonts w:asciiTheme="minorBidi" w:hAnsiTheme="minorBidi" w:cstheme="minorBidi"/>
              <w:b w:val="0"/>
              <w:bCs w:val="0"/>
              <w:sz w:val="24"/>
            </w:rPr>
            <w:fldChar w:fldCharType="separate"/>
          </w:r>
          <w:hyperlink w:anchor="_Toc232730112" w:history="1">
            <w:r w:rsidRPr="00386576">
              <w:rPr>
                <w:rStyle w:val="Hyperlink"/>
                <w:rFonts w:asciiTheme="minorBidi" w:hAnsiTheme="minorBidi" w:cstheme="minorBidi"/>
                <w:noProof/>
                <w:sz w:val="24"/>
              </w:rPr>
              <w:t>Task 1: Marketing Environment Analysis of Tata Steel</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_Toc232730112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3</w:t>
            </w:r>
            <w:r w:rsidRPr="00386576">
              <w:rPr>
                <w:rFonts w:asciiTheme="minorBidi" w:hAnsiTheme="minorBidi" w:cstheme="minorBidi"/>
                <w:noProof/>
                <w:webHidden/>
                <w:sz w:val="24"/>
              </w:rPr>
              <w:fldChar w:fldCharType="end"/>
            </w:r>
          </w:hyperlink>
        </w:p>
        <w:p w14:paraId="6BDC7E9B" w14:textId="77777777" w:rsidR="006172CF" w:rsidRPr="00386576" w:rsidRDefault="006172CF" w:rsidP="006172CF">
          <w:pPr>
            <w:pStyle w:val="TOC2"/>
            <w:tabs>
              <w:tab w:val="right" w:leader="dot" w:pos="9350"/>
            </w:tabs>
            <w:spacing w:line="360" w:lineRule="auto"/>
            <w:rPr>
              <w:rFonts w:asciiTheme="minorBidi" w:hAnsiTheme="minorBidi" w:cstheme="minorBidi"/>
              <w:noProof/>
              <w:sz w:val="24"/>
            </w:rPr>
          </w:pPr>
          <w:hyperlink w:anchor="_Toc232730113" w:history="1">
            <w:r w:rsidRPr="00386576">
              <w:rPr>
                <w:rStyle w:val="Hyperlink"/>
                <w:rFonts w:asciiTheme="minorBidi" w:hAnsiTheme="minorBidi" w:cstheme="minorBidi"/>
                <w:noProof/>
                <w:sz w:val="24"/>
              </w:rPr>
              <w:t>PESTLE Focus: Natural Environment Actor</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_Toc232730113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3</w:t>
            </w:r>
            <w:r w:rsidRPr="00386576">
              <w:rPr>
                <w:rFonts w:asciiTheme="minorBidi" w:hAnsiTheme="minorBidi" w:cstheme="minorBidi"/>
                <w:noProof/>
                <w:webHidden/>
                <w:sz w:val="24"/>
              </w:rPr>
              <w:fldChar w:fldCharType="end"/>
            </w:r>
          </w:hyperlink>
        </w:p>
        <w:p w14:paraId="04F1FE1E" w14:textId="77777777" w:rsidR="006172CF" w:rsidRPr="00386576" w:rsidRDefault="006172CF" w:rsidP="006172CF">
          <w:pPr>
            <w:pStyle w:val="TOC2"/>
            <w:tabs>
              <w:tab w:val="right" w:leader="dot" w:pos="9350"/>
            </w:tabs>
            <w:spacing w:line="360" w:lineRule="auto"/>
            <w:rPr>
              <w:rFonts w:asciiTheme="minorBidi" w:hAnsiTheme="minorBidi" w:cstheme="minorBidi"/>
              <w:noProof/>
              <w:sz w:val="24"/>
            </w:rPr>
          </w:pPr>
          <w:hyperlink w:anchor="_Toc232730114" w:history="1">
            <w:r w:rsidRPr="00386576">
              <w:rPr>
                <w:rStyle w:val="Hyperlink"/>
                <w:rFonts w:asciiTheme="minorBidi" w:hAnsiTheme="minorBidi" w:cstheme="minorBidi"/>
                <w:noProof/>
                <w:sz w:val="24"/>
              </w:rPr>
              <w:t>Political and Legal Actor</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_Toc232730114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7</w:t>
            </w:r>
            <w:r w:rsidRPr="00386576">
              <w:rPr>
                <w:rFonts w:asciiTheme="minorBidi" w:hAnsiTheme="minorBidi" w:cstheme="minorBidi"/>
                <w:noProof/>
                <w:webHidden/>
                <w:sz w:val="24"/>
              </w:rPr>
              <w:fldChar w:fldCharType="end"/>
            </w:r>
          </w:hyperlink>
        </w:p>
        <w:p w14:paraId="52AE7779" w14:textId="77777777" w:rsidR="006172CF" w:rsidRPr="00386576" w:rsidRDefault="006172CF" w:rsidP="006172CF">
          <w:pPr>
            <w:pStyle w:val="TOC2"/>
            <w:tabs>
              <w:tab w:val="right" w:leader="dot" w:pos="9350"/>
            </w:tabs>
            <w:spacing w:line="360" w:lineRule="auto"/>
            <w:rPr>
              <w:rFonts w:asciiTheme="minorBidi" w:hAnsiTheme="minorBidi" w:cstheme="minorBidi"/>
              <w:noProof/>
              <w:sz w:val="24"/>
            </w:rPr>
          </w:pPr>
          <w:hyperlink w:anchor="_Toc232730115" w:history="1">
            <w:r w:rsidRPr="00386576">
              <w:rPr>
                <w:rStyle w:val="Hyperlink"/>
                <w:rFonts w:asciiTheme="minorBidi" w:hAnsiTheme="minorBidi" w:cstheme="minorBidi"/>
                <w:noProof/>
                <w:sz w:val="24"/>
              </w:rPr>
              <w:t>Critical Evaluation</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_Toc232730115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8</w:t>
            </w:r>
            <w:r w:rsidRPr="00386576">
              <w:rPr>
                <w:rFonts w:asciiTheme="minorBidi" w:hAnsiTheme="minorBidi" w:cstheme="minorBidi"/>
                <w:noProof/>
                <w:webHidden/>
                <w:sz w:val="24"/>
              </w:rPr>
              <w:fldChar w:fldCharType="end"/>
            </w:r>
          </w:hyperlink>
        </w:p>
        <w:p w14:paraId="0A2A4E1A" w14:textId="77777777" w:rsidR="006172CF" w:rsidRPr="00386576" w:rsidRDefault="006172CF" w:rsidP="006172CF">
          <w:pPr>
            <w:pStyle w:val="TOC1"/>
            <w:tabs>
              <w:tab w:val="right" w:leader="dot" w:pos="9350"/>
            </w:tabs>
            <w:spacing w:line="360" w:lineRule="auto"/>
            <w:rPr>
              <w:rFonts w:asciiTheme="minorBidi" w:hAnsiTheme="minorBidi" w:cstheme="minorBidi"/>
              <w:noProof/>
              <w:sz w:val="24"/>
            </w:rPr>
          </w:pPr>
          <w:hyperlink w:anchor="_Toc232730116" w:history="1">
            <w:r w:rsidRPr="00386576">
              <w:rPr>
                <w:rStyle w:val="Hyperlink"/>
                <w:rFonts w:asciiTheme="minorBidi" w:hAnsiTheme="minorBidi" w:cstheme="minorBidi"/>
                <w:noProof/>
                <w:sz w:val="24"/>
              </w:rPr>
              <w:t>Task 2: Strategic Growth and Competitive Positioning</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_Toc232730116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10</w:t>
            </w:r>
            <w:r w:rsidRPr="00386576">
              <w:rPr>
                <w:rFonts w:asciiTheme="minorBidi" w:hAnsiTheme="minorBidi" w:cstheme="minorBidi"/>
                <w:noProof/>
                <w:webHidden/>
                <w:sz w:val="24"/>
              </w:rPr>
              <w:fldChar w:fldCharType="end"/>
            </w:r>
          </w:hyperlink>
        </w:p>
        <w:p w14:paraId="1402F990" w14:textId="77777777" w:rsidR="006172CF" w:rsidRPr="00386576" w:rsidRDefault="006172CF" w:rsidP="006172CF">
          <w:pPr>
            <w:pStyle w:val="TOC2"/>
            <w:tabs>
              <w:tab w:val="right" w:leader="dot" w:pos="9350"/>
            </w:tabs>
            <w:spacing w:line="360" w:lineRule="auto"/>
            <w:rPr>
              <w:rFonts w:asciiTheme="minorBidi" w:hAnsiTheme="minorBidi" w:cstheme="minorBidi"/>
              <w:noProof/>
              <w:sz w:val="24"/>
            </w:rPr>
          </w:pPr>
          <w:hyperlink w:anchor="_Toc232730117" w:history="1">
            <w:r w:rsidRPr="00386576">
              <w:rPr>
                <w:rStyle w:val="Hyperlink"/>
                <w:rFonts w:asciiTheme="minorBidi" w:hAnsiTheme="minorBidi" w:cstheme="minorBidi"/>
                <w:noProof/>
                <w:sz w:val="24"/>
              </w:rPr>
              <w:t>Strategic Growth Choice: Ansoff Product Development</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_Toc232730117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10</w:t>
            </w:r>
            <w:r w:rsidRPr="00386576">
              <w:rPr>
                <w:rFonts w:asciiTheme="minorBidi" w:hAnsiTheme="minorBidi" w:cstheme="minorBidi"/>
                <w:noProof/>
                <w:webHidden/>
                <w:sz w:val="24"/>
              </w:rPr>
              <w:fldChar w:fldCharType="end"/>
            </w:r>
          </w:hyperlink>
        </w:p>
        <w:p w14:paraId="512CD30B" w14:textId="77777777" w:rsidR="006172CF" w:rsidRPr="00386576" w:rsidRDefault="006172CF" w:rsidP="006172CF">
          <w:pPr>
            <w:pStyle w:val="TOC2"/>
            <w:tabs>
              <w:tab w:val="right" w:leader="dot" w:pos="9350"/>
            </w:tabs>
            <w:spacing w:line="360" w:lineRule="auto"/>
            <w:rPr>
              <w:rFonts w:asciiTheme="minorBidi" w:hAnsiTheme="minorBidi" w:cstheme="minorBidi"/>
              <w:noProof/>
              <w:sz w:val="24"/>
            </w:rPr>
          </w:pPr>
          <w:hyperlink w:anchor="_Toc232730118" w:history="1">
            <w:r w:rsidRPr="00386576">
              <w:rPr>
                <w:rStyle w:val="Hyperlink"/>
                <w:rFonts w:asciiTheme="minorBidi" w:hAnsiTheme="minorBidi" w:cstheme="minorBidi"/>
                <w:noProof/>
                <w:sz w:val="24"/>
              </w:rPr>
              <w:t>Low-Carbon Product Platform and Market Targeting</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_Toc232730118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11</w:t>
            </w:r>
            <w:r w:rsidRPr="00386576">
              <w:rPr>
                <w:rFonts w:asciiTheme="minorBidi" w:hAnsiTheme="minorBidi" w:cstheme="minorBidi"/>
                <w:noProof/>
                <w:webHidden/>
                <w:sz w:val="24"/>
              </w:rPr>
              <w:fldChar w:fldCharType="end"/>
            </w:r>
          </w:hyperlink>
        </w:p>
        <w:p w14:paraId="3FA91CA5" w14:textId="77777777" w:rsidR="006172CF" w:rsidRPr="00386576" w:rsidRDefault="006172CF" w:rsidP="006172CF">
          <w:pPr>
            <w:pStyle w:val="TOC2"/>
            <w:tabs>
              <w:tab w:val="right" w:leader="dot" w:pos="9350"/>
            </w:tabs>
            <w:spacing w:line="360" w:lineRule="auto"/>
            <w:rPr>
              <w:rFonts w:asciiTheme="minorBidi" w:hAnsiTheme="minorBidi" w:cstheme="minorBidi"/>
              <w:noProof/>
              <w:sz w:val="24"/>
            </w:rPr>
          </w:pPr>
          <w:hyperlink w:anchor="_Toc232730119" w:history="1">
            <w:r w:rsidRPr="00386576">
              <w:rPr>
                <w:rStyle w:val="Hyperlink"/>
                <w:rFonts w:asciiTheme="minorBidi" w:hAnsiTheme="minorBidi" w:cstheme="minorBidi"/>
                <w:noProof/>
                <w:sz w:val="24"/>
              </w:rPr>
              <w:t>Competitive Positioning Through Buyer Segmentation</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_Toc232730119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13</w:t>
            </w:r>
            <w:r w:rsidRPr="00386576">
              <w:rPr>
                <w:rFonts w:asciiTheme="minorBidi" w:hAnsiTheme="minorBidi" w:cstheme="minorBidi"/>
                <w:noProof/>
                <w:webHidden/>
                <w:sz w:val="24"/>
              </w:rPr>
              <w:fldChar w:fldCharType="end"/>
            </w:r>
          </w:hyperlink>
        </w:p>
        <w:p w14:paraId="55BCC300" w14:textId="77777777" w:rsidR="006172CF" w:rsidRPr="00386576" w:rsidRDefault="006172CF" w:rsidP="006172CF">
          <w:pPr>
            <w:pStyle w:val="TOC2"/>
            <w:tabs>
              <w:tab w:val="right" w:leader="dot" w:pos="9350"/>
            </w:tabs>
            <w:spacing w:line="360" w:lineRule="auto"/>
            <w:rPr>
              <w:rFonts w:asciiTheme="minorBidi" w:hAnsiTheme="minorBidi" w:cstheme="minorBidi"/>
              <w:noProof/>
              <w:sz w:val="24"/>
            </w:rPr>
          </w:pPr>
          <w:hyperlink w:anchor="_Toc232730120" w:history="1">
            <w:r w:rsidRPr="00386576">
              <w:rPr>
                <w:rStyle w:val="Hyperlink"/>
                <w:rFonts w:asciiTheme="minorBidi" w:hAnsiTheme="minorBidi" w:cstheme="minorBidi"/>
                <w:noProof/>
                <w:sz w:val="24"/>
              </w:rPr>
              <w:t>Protecting Advantage Against Cost and Supply Risks</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_Toc232730120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15</w:t>
            </w:r>
            <w:r w:rsidRPr="00386576">
              <w:rPr>
                <w:rFonts w:asciiTheme="minorBidi" w:hAnsiTheme="minorBidi" w:cstheme="minorBidi"/>
                <w:noProof/>
                <w:webHidden/>
                <w:sz w:val="24"/>
              </w:rPr>
              <w:fldChar w:fldCharType="end"/>
            </w:r>
          </w:hyperlink>
        </w:p>
        <w:p w14:paraId="4591C7C4" w14:textId="77777777" w:rsidR="006172CF" w:rsidRPr="00386576" w:rsidRDefault="006172CF" w:rsidP="006172CF">
          <w:pPr>
            <w:pStyle w:val="TOC2"/>
            <w:tabs>
              <w:tab w:val="right" w:leader="dot" w:pos="9350"/>
            </w:tabs>
            <w:spacing w:line="360" w:lineRule="auto"/>
            <w:rPr>
              <w:rFonts w:asciiTheme="minorBidi" w:hAnsiTheme="minorBidi" w:cstheme="minorBidi"/>
              <w:noProof/>
              <w:sz w:val="24"/>
            </w:rPr>
          </w:pPr>
          <w:hyperlink w:anchor="_Toc232730121" w:history="1">
            <w:r w:rsidRPr="00386576">
              <w:rPr>
                <w:rStyle w:val="Hyperlink"/>
                <w:rFonts w:asciiTheme="minorBidi" w:hAnsiTheme="minorBidi" w:cstheme="minorBidi"/>
                <w:noProof/>
                <w:sz w:val="24"/>
              </w:rPr>
              <w:t>Implementation Priorities and Advantage Logic</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_Toc232730121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16</w:t>
            </w:r>
            <w:r w:rsidRPr="00386576">
              <w:rPr>
                <w:rFonts w:asciiTheme="minorBidi" w:hAnsiTheme="minorBidi" w:cstheme="minorBidi"/>
                <w:noProof/>
                <w:webHidden/>
                <w:sz w:val="24"/>
              </w:rPr>
              <w:fldChar w:fldCharType="end"/>
            </w:r>
          </w:hyperlink>
        </w:p>
        <w:p w14:paraId="04A99235" w14:textId="77777777" w:rsidR="006172CF" w:rsidRPr="00386576" w:rsidRDefault="006172CF" w:rsidP="006172CF">
          <w:pPr>
            <w:pStyle w:val="TOC1"/>
            <w:tabs>
              <w:tab w:val="right" w:leader="dot" w:pos="9350"/>
            </w:tabs>
            <w:spacing w:line="360" w:lineRule="auto"/>
            <w:rPr>
              <w:rFonts w:asciiTheme="minorBidi" w:hAnsiTheme="minorBidi" w:cstheme="minorBidi"/>
              <w:noProof/>
              <w:sz w:val="24"/>
            </w:rPr>
          </w:pPr>
          <w:hyperlink w:anchor="_Toc232730122" w:history="1">
            <w:r w:rsidRPr="00386576">
              <w:rPr>
                <w:rStyle w:val="Hyperlink"/>
                <w:rFonts w:asciiTheme="minorBidi" w:hAnsiTheme="minorBidi" w:cstheme="minorBidi"/>
                <w:noProof/>
                <w:sz w:val="24"/>
              </w:rPr>
              <w:t>Task 3: Critical Reflection on AI Usage</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_Toc232730122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17</w:t>
            </w:r>
            <w:r w:rsidRPr="00386576">
              <w:rPr>
                <w:rFonts w:asciiTheme="minorBidi" w:hAnsiTheme="minorBidi" w:cstheme="minorBidi"/>
                <w:noProof/>
                <w:webHidden/>
                <w:sz w:val="24"/>
              </w:rPr>
              <w:fldChar w:fldCharType="end"/>
            </w:r>
          </w:hyperlink>
        </w:p>
        <w:p w14:paraId="785AB339" w14:textId="77777777" w:rsidR="006172CF" w:rsidRPr="00386576" w:rsidRDefault="006172CF" w:rsidP="006172CF">
          <w:pPr>
            <w:pStyle w:val="TOC1"/>
            <w:tabs>
              <w:tab w:val="right" w:leader="dot" w:pos="9350"/>
            </w:tabs>
            <w:spacing w:line="360" w:lineRule="auto"/>
            <w:rPr>
              <w:rFonts w:asciiTheme="minorBidi" w:hAnsiTheme="minorBidi" w:cstheme="minorBidi"/>
              <w:noProof/>
              <w:sz w:val="24"/>
            </w:rPr>
          </w:pPr>
          <w:hyperlink w:anchor="_Toc232730123" w:history="1">
            <w:r w:rsidRPr="00386576">
              <w:rPr>
                <w:rStyle w:val="Hyperlink"/>
                <w:rFonts w:asciiTheme="minorBidi" w:hAnsiTheme="minorBidi" w:cstheme="minorBidi"/>
                <w:noProof/>
                <w:sz w:val="24"/>
              </w:rPr>
              <w:t>References</w:t>
            </w:r>
            <w:r w:rsidRPr="00386576">
              <w:rPr>
                <w:rFonts w:asciiTheme="minorBidi" w:hAnsiTheme="minorBidi" w:cstheme="minorBidi"/>
                <w:noProof/>
                <w:webHidden/>
                <w:sz w:val="24"/>
              </w:rPr>
              <w:tab/>
            </w:r>
            <w:r w:rsidRPr="00386576">
              <w:rPr>
                <w:rFonts w:asciiTheme="minorBidi" w:hAnsiTheme="minorBidi" w:cstheme="minorBidi"/>
                <w:noProof/>
                <w:webHidden/>
                <w:sz w:val="24"/>
              </w:rPr>
              <w:fldChar w:fldCharType="begin"/>
            </w:r>
            <w:r w:rsidRPr="00386576">
              <w:rPr>
                <w:rFonts w:asciiTheme="minorBidi" w:hAnsiTheme="minorBidi" w:cstheme="minorBidi"/>
                <w:noProof/>
                <w:webHidden/>
                <w:sz w:val="24"/>
              </w:rPr>
              <w:instrText xml:space="preserve"> PAGEREF _Toc232730123 \h </w:instrText>
            </w:r>
            <w:r w:rsidRPr="00386576">
              <w:rPr>
                <w:rFonts w:asciiTheme="minorBidi" w:hAnsiTheme="minorBidi" w:cstheme="minorBidi"/>
                <w:noProof/>
                <w:webHidden/>
                <w:sz w:val="24"/>
              </w:rPr>
            </w:r>
            <w:r w:rsidRPr="00386576">
              <w:rPr>
                <w:rFonts w:asciiTheme="minorBidi" w:hAnsiTheme="minorBidi" w:cstheme="minorBidi"/>
                <w:noProof/>
                <w:webHidden/>
                <w:sz w:val="24"/>
              </w:rPr>
              <w:fldChar w:fldCharType="separate"/>
            </w:r>
            <w:r>
              <w:rPr>
                <w:rFonts w:asciiTheme="minorBidi" w:hAnsiTheme="minorBidi" w:cstheme="minorBidi"/>
                <w:noProof/>
                <w:webHidden/>
                <w:sz w:val="24"/>
              </w:rPr>
              <w:t>19</w:t>
            </w:r>
            <w:r w:rsidRPr="00386576">
              <w:rPr>
                <w:rFonts w:asciiTheme="minorBidi" w:hAnsiTheme="minorBidi" w:cstheme="minorBidi"/>
                <w:noProof/>
                <w:webHidden/>
                <w:sz w:val="24"/>
              </w:rPr>
              <w:fldChar w:fldCharType="end"/>
            </w:r>
          </w:hyperlink>
        </w:p>
        <w:p w14:paraId="4A9A85D8" w14:textId="77777777" w:rsidR="006172CF" w:rsidRDefault="006172CF" w:rsidP="006172CF">
          <w:pPr>
            <w:spacing w:line="360" w:lineRule="auto"/>
          </w:pPr>
          <w:r w:rsidRPr="00386576">
            <w:rPr>
              <w:rFonts w:asciiTheme="minorBidi" w:hAnsiTheme="minorBidi" w:cstheme="minorBidi"/>
              <w:b/>
              <w:bCs/>
              <w:noProof/>
            </w:rPr>
            <w:fldChar w:fldCharType="end"/>
          </w:r>
        </w:p>
      </w:sdtContent>
    </w:sdt>
    <w:p w14:paraId="250D9E24" w14:textId="77777777" w:rsidR="006172CF" w:rsidRDefault="006172CF" w:rsidP="006172CF">
      <w:pPr>
        <w:rPr>
          <w:rFonts w:asciiTheme="minorBidi" w:eastAsiaTheme="majorEastAsia" w:hAnsiTheme="minorBidi" w:cstheme="minorBidi"/>
          <w:b/>
          <w:color w:val="000000" w:themeColor="text1"/>
        </w:rPr>
      </w:pPr>
      <w:bookmarkStart w:id="0" w:name="_Toc232730112"/>
      <w:r>
        <w:rPr>
          <w:rFonts w:asciiTheme="minorBidi" w:hAnsiTheme="minorBidi" w:cstheme="minorBidi"/>
        </w:rPr>
        <w:br w:type="page"/>
      </w:r>
    </w:p>
    <w:p w14:paraId="1678896C" w14:textId="77777777" w:rsidR="006172CF" w:rsidRPr="00A16144" w:rsidRDefault="006172CF" w:rsidP="006172CF">
      <w:pPr>
        <w:pStyle w:val="Heading1"/>
        <w:spacing w:line="360" w:lineRule="auto"/>
        <w:jc w:val="both"/>
        <w:rPr>
          <w:rFonts w:asciiTheme="minorBidi" w:hAnsiTheme="minorBidi" w:cstheme="minorBidi"/>
          <w:szCs w:val="24"/>
        </w:rPr>
      </w:pPr>
      <w:r w:rsidRPr="00A16144">
        <w:rPr>
          <w:rFonts w:asciiTheme="minorBidi" w:hAnsiTheme="minorBidi" w:cstheme="minorBidi"/>
          <w:szCs w:val="24"/>
        </w:rPr>
        <w:lastRenderedPageBreak/>
        <w:t>Task 1: Marketing Environment Analysis of Tata Steel</w:t>
      </w:r>
      <w:bookmarkEnd w:id="0"/>
    </w:p>
    <w:p w14:paraId="293CAC82" w14:textId="77777777" w:rsidR="006172CF" w:rsidRPr="00A16144" w:rsidRDefault="006172CF" w:rsidP="006172CF">
      <w:pPr>
        <w:pStyle w:val="Heading2"/>
        <w:spacing w:line="360" w:lineRule="auto"/>
        <w:jc w:val="both"/>
        <w:rPr>
          <w:rFonts w:asciiTheme="minorBidi" w:hAnsiTheme="minorBidi" w:cstheme="minorBidi"/>
          <w:szCs w:val="24"/>
        </w:rPr>
      </w:pPr>
      <w:bookmarkStart w:id="1" w:name="_Toc232730113"/>
      <w:r w:rsidRPr="00A16144">
        <w:rPr>
          <w:rFonts w:asciiTheme="minorBidi" w:hAnsiTheme="minorBidi" w:cstheme="minorBidi"/>
          <w:szCs w:val="24"/>
        </w:rPr>
        <w:t>PESTLE Focus: Natural Environment Actor</w:t>
      </w:r>
      <w:bookmarkEnd w:id="1"/>
    </w:p>
    <w:p w14:paraId="17B2BA84" w14:textId="77777777" w:rsidR="006172CF" w:rsidRDefault="006172CF" w:rsidP="006172CF">
      <w:pPr>
        <w:jc w:val="center"/>
      </w:pPr>
      <w:r>
        <w:rPr>
          <w:noProof/>
        </w:rPr>
        <w:drawing>
          <wp:inline distT="0" distB="0" distL="0" distR="0" wp14:anchorId="5F27AE15" wp14:editId="104E4F79">
            <wp:extent cx="5623560" cy="2996638"/>
            <wp:effectExtent l="12700" t="12700" r="15240" b="13335"/>
            <wp:docPr id="1" name="Picture 1" descr="Figure 1. PESTLE actors driving Tata Steel’s lower-carbon transition."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1_pestle_focus.png"/>
                    <pic:cNvPicPr/>
                  </pic:nvPicPr>
                  <pic:blipFill>
                    <a:blip r:embed="rId5"/>
                    <a:stretch>
                      <a:fillRect/>
                    </a:stretch>
                  </pic:blipFill>
                  <pic:spPr>
                    <a:xfrm>
                      <a:off x="0" y="0"/>
                      <a:ext cx="5623560" cy="2996638"/>
                    </a:xfrm>
                    <a:prstGeom prst="rect">
                      <a:avLst/>
                    </a:prstGeom>
                    <a:ln>
                      <a:solidFill>
                        <a:schemeClr val="tx1"/>
                      </a:solidFill>
                    </a:ln>
                  </pic:spPr>
                </pic:pic>
              </a:graphicData>
            </a:graphic>
          </wp:inline>
        </w:drawing>
      </w:r>
    </w:p>
    <w:p w14:paraId="3EAA11C6" w14:textId="77777777" w:rsidR="006172CF" w:rsidRPr="00844D48" w:rsidRDefault="006172CF" w:rsidP="006172CF">
      <w:pPr>
        <w:spacing w:after="160"/>
        <w:jc w:val="center"/>
        <w:rPr>
          <w:b/>
          <w:bCs/>
        </w:rPr>
      </w:pPr>
      <w:r w:rsidRPr="00844D48">
        <w:rPr>
          <w:rFonts w:ascii="Arial" w:hAnsi="Arial"/>
          <w:b/>
          <w:bCs/>
          <w:i/>
          <w:sz w:val="18"/>
        </w:rPr>
        <w:t>Figure 1. PESTLE actors driving Tata Steel’s lower-carbon transition.</w:t>
      </w:r>
    </w:p>
    <w:p w14:paraId="1D78BF22"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Using the PESTLE model, Tata Steel’s most material external marketing environment actor is the Natural Environment, supported by the Political and Legal actor. This supports Kotler et al.'s perspective that external parties influence firms' value creation and value communication in dynamic markets (Kotler et al., 2024). The natural environment is particularly compelling, as Tata Steel is selling into areas where customers are now considering embodied carbon alongside price and quality. The average production of steel in 2024 was 2.18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of CO2e per </w:t>
      </w:r>
      <w:proofErr w:type="spellStart"/>
      <w:r w:rsidRPr="00A16144">
        <w:rPr>
          <w:rFonts w:asciiTheme="minorBidi" w:hAnsiTheme="minorBidi" w:cstheme="minorBidi"/>
          <w:color w:val="000000"/>
          <w:kern w:val="0"/>
        </w:rPr>
        <w:t>tonne</w:t>
      </w:r>
      <w:proofErr w:type="spellEnd"/>
      <w:r w:rsidRPr="00A16144">
        <w:rPr>
          <w:rFonts w:asciiTheme="minorBidi" w:hAnsiTheme="minorBidi" w:cstheme="minorBidi"/>
          <w:color w:val="000000"/>
          <w:kern w:val="0"/>
        </w:rPr>
        <w:t xml:space="preserve"> of steel, and global steel production was 1,886 million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generating approximately 4.1 billion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of CO2e (World Steel Association, 2025a). The sector still attracts a high number of exposures as the iron and steel sector is estimated to generate about 7% of the global CO2 emissions (Rippy et al. 2024). The IEA also reports that the emissions intensity of steel production has been relatively unchanged and </w:t>
      </w:r>
      <w:proofErr w:type="gramStart"/>
      <w:r w:rsidRPr="00A16144">
        <w:rPr>
          <w:rFonts w:asciiTheme="minorBidi" w:hAnsiTheme="minorBidi" w:cstheme="minorBidi"/>
          <w:color w:val="000000"/>
          <w:kern w:val="0"/>
        </w:rPr>
        <w:t>has to</w:t>
      </w:r>
      <w:proofErr w:type="gramEnd"/>
      <w:r w:rsidRPr="00A16144">
        <w:rPr>
          <w:rFonts w:asciiTheme="minorBidi" w:hAnsiTheme="minorBidi" w:cstheme="minorBidi"/>
          <w:color w:val="000000"/>
          <w:kern w:val="0"/>
        </w:rPr>
        <w:t xml:space="preserve"> drop significantly to meet net-zero pathways (IEA, 2025a). In response to this pressure, Tata Steel's Port Talbot transition is a £1.25 billion investment in electric arc furnace technology, backed by UK Government funding of £500m per year, to reduce 5 million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of CO2 from 2027 (Tata Steel, 2025a).</w:t>
      </w:r>
    </w:p>
    <w:p w14:paraId="3C494BE6" w14:textId="77777777" w:rsidR="006172CF" w:rsidRDefault="006172CF" w:rsidP="006172CF">
      <w:pPr>
        <w:jc w:val="center"/>
      </w:pPr>
      <w:r>
        <w:rPr>
          <w:noProof/>
        </w:rPr>
        <w:lastRenderedPageBreak/>
        <w:drawing>
          <wp:inline distT="0" distB="0" distL="0" distR="0" wp14:anchorId="274B8164" wp14:editId="16AFA828">
            <wp:extent cx="5623560" cy="2996638"/>
            <wp:effectExtent l="12700" t="12700" r="15240" b="13335"/>
            <wp:docPr id="2" name="Picture 2" descr="Figure 2. Steel emissions intensity benchmark used in the natural environment analysis." title="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2_emissions_intensity.png"/>
                    <pic:cNvPicPr/>
                  </pic:nvPicPr>
                  <pic:blipFill>
                    <a:blip r:embed="rId6"/>
                    <a:stretch>
                      <a:fillRect/>
                    </a:stretch>
                  </pic:blipFill>
                  <pic:spPr>
                    <a:xfrm>
                      <a:off x="0" y="0"/>
                      <a:ext cx="5623560" cy="2996638"/>
                    </a:xfrm>
                    <a:prstGeom prst="rect">
                      <a:avLst/>
                    </a:prstGeom>
                    <a:ln>
                      <a:solidFill>
                        <a:schemeClr val="tx1"/>
                      </a:solidFill>
                    </a:ln>
                  </pic:spPr>
                </pic:pic>
              </a:graphicData>
            </a:graphic>
          </wp:inline>
        </w:drawing>
      </w:r>
    </w:p>
    <w:p w14:paraId="62F19A82" w14:textId="77777777" w:rsidR="006172CF" w:rsidRPr="00844D48" w:rsidRDefault="006172CF" w:rsidP="006172CF">
      <w:pPr>
        <w:spacing w:after="160"/>
        <w:jc w:val="center"/>
        <w:rPr>
          <w:b/>
          <w:bCs/>
        </w:rPr>
      </w:pPr>
      <w:r w:rsidRPr="00844D48">
        <w:rPr>
          <w:rFonts w:ascii="Arial" w:hAnsi="Arial"/>
          <w:b/>
          <w:bCs/>
          <w:i/>
          <w:sz w:val="18"/>
        </w:rPr>
        <w:t>Figure 2. Steel emissions intensity benchmark used in the natural environment analysis.</w:t>
      </w:r>
    </w:p>
    <w:p w14:paraId="69C152E7" w14:textId="77777777" w:rsidR="006172CF" w:rsidRDefault="006172CF" w:rsidP="006172CF">
      <w:pPr>
        <w:jc w:val="center"/>
      </w:pPr>
      <w:r>
        <w:rPr>
          <w:noProof/>
        </w:rPr>
        <w:drawing>
          <wp:inline distT="0" distB="0" distL="0" distR="0" wp14:anchorId="6BD2BD4D" wp14:editId="0EB52AB6">
            <wp:extent cx="5623560" cy="2996638"/>
            <wp:effectExtent l="12700" t="12700" r="15240" b="13335"/>
            <wp:docPr id="3" name="Picture 3" descr="Figure 3. Scale of global steel output and estimated steel emissions."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3_output_emissions.png"/>
                    <pic:cNvPicPr/>
                  </pic:nvPicPr>
                  <pic:blipFill>
                    <a:blip r:embed="rId7"/>
                    <a:stretch>
                      <a:fillRect/>
                    </a:stretch>
                  </pic:blipFill>
                  <pic:spPr>
                    <a:xfrm>
                      <a:off x="0" y="0"/>
                      <a:ext cx="5623560" cy="2996638"/>
                    </a:xfrm>
                    <a:prstGeom prst="rect">
                      <a:avLst/>
                    </a:prstGeom>
                    <a:ln>
                      <a:solidFill>
                        <a:schemeClr val="tx1"/>
                      </a:solidFill>
                    </a:ln>
                  </pic:spPr>
                </pic:pic>
              </a:graphicData>
            </a:graphic>
          </wp:inline>
        </w:drawing>
      </w:r>
    </w:p>
    <w:p w14:paraId="3896546A" w14:textId="77777777" w:rsidR="006172CF" w:rsidRPr="00844D48" w:rsidRDefault="006172CF" w:rsidP="006172CF">
      <w:pPr>
        <w:spacing w:after="160"/>
        <w:jc w:val="center"/>
        <w:rPr>
          <w:b/>
          <w:bCs/>
        </w:rPr>
      </w:pPr>
      <w:r w:rsidRPr="00844D48">
        <w:rPr>
          <w:rFonts w:ascii="Arial" w:hAnsi="Arial"/>
          <w:b/>
          <w:bCs/>
          <w:i/>
          <w:sz w:val="18"/>
        </w:rPr>
        <w:t>Figure 3. Scale of global steel output and estimated steel emissions.</w:t>
      </w:r>
    </w:p>
    <w:p w14:paraId="7A3140F1" w14:textId="77777777" w:rsidR="006172CF" w:rsidRDefault="006172CF" w:rsidP="006172CF">
      <w:pPr>
        <w:jc w:val="center"/>
      </w:pPr>
      <w:r>
        <w:rPr>
          <w:noProof/>
        </w:rPr>
        <w:lastRenderedPageBreak/>
        <w:drawing>
          <wp:inline distT="0" distB="0" distL="0" distR="0" wp14:anchorId="573445A2" wp14:editId="0B603691">
            <wp:extent cx="5623560" cy="2996638"/>
            <wp:effectExtent l="12700" t="12700" r="15240" b="13335"/>
            <wp:docPr id="4" name="Picture 4" descr="Figure 4. Port Talbot EAF investment and funding structure."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4_port_talbot_funding.png"/>
                    <pic:cNvPicPr/>
                  </pic:nvPicPr>
                  <pic:blipFill>
                    <a:blip r:embed="rId8"/>
                    <a:stretch>
                      <a:fillRect/>
                    </a:stretch>
                  </pic:blipFill>
                  <pic:spPr>
                    <a:xfrm>
                      <a:off x="0" y="0"/>
                      <a:ext cx="5623560" cy="2996638"/>
                    </a:xfrm>
                    <a:prstGeom prst="rect">
                      <a:avLst/>
                    </a:prstGeom>
                    <a:ln>
                      <a:solidFill>
                        <a:schemeClr val="tx1"/>
                      </a:solidFill>
                    </a:ln>
                  </pic:spPr>
                </pic:pic>
              </a:graphicData>
            </a:graphic>
          </wp:inline>
        </w:drawing>
      </w:r>
    </w:p>
    <w:p w14:paraId="4E9566F8" w14:textId="77777777" w:rsidR="006172CF" w:rsidRPr="00844D48" w:rsidRDefault="006172CF" w:rsidP="006172CF">
      <w:pPr>
        <w:spacing w:after="160"/>
        <w:jc w:val="center"/>
        <w:rPr>
          <w:b/>
          <w:bCs/>
        </w:rPr>
      </w:pPr>
      <w:r w:rsidRPr="00844D48">
        <w:rPr>
          <w:rFonts w:ascii="Arial" w:hAnsi="Arial"/>
          <w:b/>
          <w:bCs/>
          <w:i/>
          <w:sz w:val="18"/>
        </w:rPr>
        <w:t>Figure 4. Port Talbot EAF investment and funding structure.</w:t>
      </w:r>
    </w:p>
    <w:p w14:paraId="549C16E1" w14:textId="77777777" w:rsidR="006172CF" w:rsidRDefault="006172CF" w:rsidP="006172CF">
      <w:pPr>
        <w:jc w:val="center"/>
      </w:pPr>
      <w:r>
        <w:rPr>
          <w:noProof/>
        </w:rPr>
        <w:drawing>
          <wp:inline distT="0" distB="0" distL="0" distR="0" wp14:anchorId="0519FC92" wp14:editId="50FB20BD">
            <wp:extent cx="5623560" cy="2996638"/>
            <wp:effectExtent l="12700" t="12700" r="15240" b="13335"/>
            <wp:docPr id="5" name="Picture 5" descr="Figure 5. Expected annual CO2 reduction from the Port Talbot transition." title="Fig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5_port_talbot_reduction.png"/>
                    <pic:cNvPicPr/>
                  </pic:nvPicPr>
                  <pic:blipFill>
                    <a:blip r:embed="rId9"/>
                    <a:stretch>
                      <a:fillRect/>
                    </a:stretch>
                  </pic:blipFill>
                  <pic:spPr>
                    <a:xfrm>
                      <a:off x="0" y="0"/>
                      <a:ext cx="5623560" cy="2996638"/>
                    </a:xfrm>
                    <a:prstGeom prst="rect">
                      <a:avLst/>
                    </a:prstGeom>
                    <a:ln>
                      <a:solidFill>
                        <a:schemeClr val="tx1"/>
                      </a:solidFill>
                    </a:ln>
                  </pic:spPr>
                </pic:pic>
              </a:graphicData>
            </a:graphic>
          </wp:inline>
        </w:drawing>
      </w:r>
    </w:p>
    <w:p w14:paraId="032686F7" w14:textId="77777777" w:rsidR="006172CF" w:rsidRPr="00844D48" w:rsidRDefault="006172CF" w:rsidP="006172CF">
      <w:pPr>
        <w:spacing w:after="160"/>
        <w:jc w:val="center"/>
        <w:rPr>
          <w:b/>
          <w:bCs/>
        </w:rPr>
      </w:pPr>
      <w:r w:rsidRPr="00844D48">
        <w:rPr>
          <w:rFonts w:ascii="Arial" w:hAnsi="Arial"/>
          <w:b/>
          <w:bCs/>
          <w:i/>
          <w:sz w:val="18"/>
        </w:rPr>
        <w:t>Figure 5. Expected annual CO2 reduction from the Port Talbot transition.</w:t>
      </w:r>
    </w:p>
    <w:p w14:paraId="7814614F"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The natural environment also presents a product opportunity. Tata Steel can redefine steel from a commodity to a certified lower-carbon raw material for customers in automotive, construction and packaging. The core of scrap-based EAF production is that every </w:t>
      </w:r>
      <w:proofErr w:type="spellStart"/>
      <w:r w:rsidRPr="00A16144">
        <w:rPr>
          <w:rFonts w:asciiTheme="minorBidi" w:hAnsiTheme="minorBidi" w:cstheme="minorBidi"/>
          <w:color w:val="000000"/>
          <w:kern w:val="0"/>
        </w:rPr>
        <w:t>tonne</w:t>
      </w:r>
      <w:proofErr w:type="spellEnd"/>
      <w:r w:rsidRPr="00A16144">
        <w:rPr>
          <w:rFonts w:asciiTheme="minorBidi" w:hAnsiTheme="minorBidi" w:cstheme="minorBidi"/>
          <w:color w:val="000000"/>
          <w:kern w:val="0"/>
        </w:rPr>
        <w:t xml:space="preserve"> of scrap can avoid 1.5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of CO2, 1.4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of iron ore, 740 kg of coal, and 120 kg of limestone (World Steel Association, 2025b). This positions Tata Steel well in the UK, where government policy sets out its vision of a steel market with a strong supply of scrap and </w:t>
      </w:r>
      <w:proofErr w:type="spellStart"/>
      <w:r w:rsidRPr="00A16144">
        <w:rPr>
          <w:rFonts w:asciiTheme="minorBidi" w:hAnsiTheme="minorBidi" w:cstheme="minorBidi"/>
          <w:color w:val="000000"/>
          <w:kern w:val="0"/>
        </w:rPr>
        <w:t>decarbonisation</w:t>
      </w:r>
      <w:proofErr w:type="spellEnd"/>
      <w:r w:rsidRPr="00A16144">
        <w:rPr>
          <w:rFonts w:asciiTheme="minorBidi" w:hAnsiTheme="minorBidi" w:cstheme="minorBidi"/>
          <w:color w:val="000000"/>
          <w:kern w:val="0"/>
        </w:rPr>
        <w:t xml:space="preserve"> of the grid as a </w:t>
      </w:r>
      <w:r w:rsidRPr="00A16144">
        <w:rPr>
          <w:rFonts w:asciiTheme="minorBidi" w:hAnsiTheme="minorBidi" w:cstheme="minorBidi"/>
          <w:color w:val="000000"/>
          <w:kern w:val="0"/>
        </w:rPr>
        <w:lastRenderedPageBreak/>
        <w:t xml:space="preserve">national opportunity for green steel (Department for Business and Trade, 2026a). The opportunity, however, is not without risk. The availability and quality of scrap can limit the quality of grades suitable for the demanding applications, particularly automotive steel (Klimek et al., 2026). Tata Steel has tried to overcome this through certified product claims. </w:t>
      </w:r>
      <w:proofErr w:type="spellStart"/>
      <w:r w:rsidRPr="00A16144">
        <w:rPr>
          <w:rFonts w:asciiTheme="minorBidi" w:hAnsiTheme="minorBidi" w:cstheme="minorBidi"/>
          <w:color w:val="000000"/>
          <w:kern w:val="0"/>
        </w:rPr>
        <w:t>Optemis</w:t>
      </w:r>
      <w:proofErr w:type="spellEnd"/>
      <w:r w:rsidRPr="00A16144">
        <w:rPr>
          <w:rFonts w:asciiTheme="minorBidi" w:hAnsiTheme="minorBidi" w:cstheme="minorBidi"/>
          <w:color w:val="000000"/>
          <w:kern w:val="0"/>
        </w:rPr>
        <w:t xml:space="preserve"> Carbon Lite allows Scope 3 reductions for virtually all current products in the UK, and is certified by DNV (Tata Steel UK, 2026). </w:t>
      </w:r>
      <w:proofErr w:type="spellStart"/>
      <w:r w:rsidRPr="00A16144">
        <w:rPr>
          <w:rFonts w:asciiTheme="minorBidi" w:hAnsiTheme="minorBidi" w:cstheme="minorBidi"/>
          <w:color w:val="000000"/>
          <w:kern w:val="0"/>
        </w:rPr>
        <w:t>Zeremis</w:t>
      </w:r>
      <w:proofErr w:type="spellEnd"/>
      <w:r w:rsidRPr="00A16144">
        <w:rPr>
          <w:rFonts w:asciiTheme="minorBidi" w:hAnsiTheme="minorBidi" w:cstheme="minorBidi"/>
          <w:color w:val="000000"/>
          <w:kern w:val="0"/>
        </w:rPr>
        <w:t xml:space="preserve"> Carbon Lite Netherlands likewise has actual </w:t>
      </w:r>
      <w:proofErr w:type="spellStart"/>
      <w:r w:rsidRPr="00A16144">
        <w:rPr>
          <w:rFonts w:asciiTheme="minorBidi" w:hAnsiTheme="minorBidi" w:cstheme="minorBidi"/>
          <w:color w:val="000000"/>
          <w:kern w:val="0"/>
        </w:rPr>
        <w:t>decarbonisation</w:t>
      </w:r>
      <w:proofErr w:type="spellEnd"/>
      <w:r w:rsidRPr="00A16144">
        <w:rPr>
          <w:rFonts w:asciiTheme="minorBidi" w:hAnsiTheme="minorBidi" w:cstheme="minorBidi"/>
          <w:color w:val="000000"/>
          <w:kern w:val="0"/>
        </w:rPr>
        <w:t xml:space="preserve"> projects, with the operational </w:t>
      </w:r>
      <w:proofErr w:type="spellStart"/>
      <w:r w:rsidRPr="00A16144">
        <w:rPr>
          <w:rFonts w:asciiTheme="minorBidi" w:hAnsiTheme="minorBidi" w:cstheme="minorBidi"/>
          <w:color w:val="000000"/>
          <w:kern w:val="0"/>
        </w:rPr>
        <w:t>decarbonisation</w:t>
      </w:r>
      <w:proofErr w:type="spellEnd"/>
      <w:r w:rsidRPr="00A16144">
        <w:rPr>
          <w:rFonts w:asciiTheme="minorBidi" w:hAnsiTheme="minorBidi" w:cstheme="minorBidi"/>
          <w:color w:val="000000"/>
          <w:kern w:val="0"/>
        </w:rPr>
        <w:t xml:space="preserve"> project savings guaranteed by DNV (Tata Steel Nederland, 2026). As a result, the natural environment becomes a direct marketing actor in that it affects customer value and claims of Tata Steel.</w:t>
      </w:r>
    </w:p>
    <w:p w14:paraId="40E5FAA7" w14:textId="77777777" w:rsidR="006172CF" w:rsidRDefault="006172CF" w:rsidP="006172CF">
      <w:pPr>
        <w:jc w:val="center"/>
      </w:pPr>
      <w:r>
        <w:rPr>
          <w:noProof/>
        </w:rPr>
        <w:drawing>
          <wp:inline distT="0" distB="0" distL="0" distR="0" wp14:anchorId="4D23D93D" wp14:editId="7351C62F">
            <wp:extent cx="5009719" cy="2669540"/>
            <wp:effectExtent l="12700" t="12700" r="6985" b="10160"/>
            <wp:docPr id="6" name="Picture 6" descr="Figure 6. Resource savings linked to one tonne of steel scrap." title="Fig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6_scrap_savings.png"/>
                    <pic:cNvPicPr/>
                  </pic:nvPicPr>
                  <pic:blipFill>
                    <a:blip r:embed="rId10"/>
                    <a:stretch>
                      <a:fillRect/>
                    </a:stretch>
                  </pic:blipFill>
                  <pic:spPr>
                    <a:xfrm>
                      <a:off x="0" y="0"/>
                      <a:ext cx="5021802" cy="2675979"/>
                    </a:xfrm>
                    <a:prstGeom prst="rect">
                      <a:avLst/>
                    </a:prstGeom>
                    <a:ln>
                      <a:solidFill>
                        <a:schemeClr val="tx1"/>
                      </a:solidFill>
                    </a:ln>
                  </pic:spPr>
                </pic:pic>
              </a:graphicData>
            </a:graphic>
          </wp:inline>
        </w:drawing>
      </w:r>
    </w:p>
    <w:p w14:paraId="51CDB91A" w14:textId="77777777" w:rsidR="006172CF" w:rsidRPr="00844D48" w:rsidRDefault="006172CF" w:rsidP="006172CF">
      <w:pPr>
        <w:spacing w:after="160"/>
        <w:jc w:val="center"/>
        <w:rPr>
          <w:b/>
          <w:bCs/>
        </w:rPr>
      </w:pPr>
      <w:r w:rsidRPr="00844D48">
        <w:rPr>
          <w:rFonts w:ascii="Arial" w:hAnsi="Arial"/>
          <w:b/>
          <w:bCs/>
          <w:i/>
          <w:sz w:val="18"/>
        </w:rPr>
        <w:t xml:space="preserve">Figure 6. Resource savings linked to one </w:t>
      </w:r>
      <w:proofErr w:type="spellStart"/>
      <w:r w:rsidRPr="00844D48">
        <w:rPr>
          <w:rFonts w:ascii="Arial" w:hAnsi="Arial"/>
          <w:b/>
          <w:bCs/>
          <w:i/>
          <w:sz w:val="18"/>
        </w:rPr>
        <w:t>tonne</w:t>
      </w:r>
      <w:proofErr w:type="spellEnd"/>
      <w:r w:rsidRPr="00844D48">
        <w:rPr>
          <w:rFonts w:ascii="Arial" w:hAnsi="Arial"/>
          <w:b/>
          <w:bCs/>
          <w:i/>
          <w:sz w:val="18"/>
        </w:rPr>
        <w:t xml:space="preserve"> of steel scrap.</w:t>
      </w:r>
    </w:p>
    <w:p w14:paraId="5C42EB84" w14:textId="77777777" w:rsidR="006172CF" w:rsidRDefault="006172CF" w:rsidP="006172CF">
      <w:pPr>
        <w:jc w:val="center"/>
      </w:pPr>
      <w:r>
        <w:rPr>
          <w:noProof/>
        </w:rPr>
        <w:drawing>
          <wp:inline distT="0" distB="0" distL="0" distR="0" wp14:anchorId="232CEECA" wp14:editId="0DD17CA6">
            <wp:extent cx="5623423" cy="2328164"/>
            <wp:effectExtent l="12700" t="12700" r="15875" b="8890"/>
            <wp:docPr id="7" name="Picture 7" descr="Figure 7. Product-claim logic behind Optemis and Zeremis Carbon Lite." title="Fig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7_product_claims.png"/>
                    <pic:cNvPicPr/>
                  </pic:nvPicPr>
                  <pic:blipFill rotWithShape="1">
                    <a:blip r:embed="rId11"/>
                    <a:srcRect b="22306"/>
                    <a:stretch>
                      <a:fillRect/>
                    </a:stretch>
                  </pic:blipFill>
                  <pic:spPr bwMode="auto">
                    <a:xfrm>
                      <a:off x="0" y="0"/>
                      <a:ext cx="5623560" cy="2328221"/>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E521553" w14:textId="77777777" w:rsidR="006172CF" w:rsidRPr="00844D48" w:rsidRDefault="006172CF" w:rsidP="006172CF">
      <w:pPr>
        <w:spacing w:after="160"/>
        <w:jc w:val="center"/>
        <w:rPr>
          <w:b/>
          <w:bCs/>
        </w:rPr>
      </w:pPr>
      <w:r w:rsidRPr="00844D48">
        <w:rPr>
          <w:rFonts w:ascii="Arial" w:hAnsi="Arial"/>
          <w:b/>
          <w:bCs/>
          <w:i/>
          <w:sz w:val="18"/>
        </w:rPr>
        <w:t xml:space="preserve">Figure 7. Product-claim logic behind </w:t>
      </w:r>
      <w:proofErr w:type="spellStart"/>
      <w:r w:rsidRPr="00844D48">
        <w:rPr>
          <w:rFonts w:ascii="Arial" w:hAnsi="Arial"/>
          <w:b/>
          <w:bCs/>
          <w:i/>
          <w:sz w:val="18"/>
        </w:rPr>
        <w:t>Optemis</w:t>
      </w:r>
      <w:proofErr w:type="spellEnd"/>
      <w:r w:rsidRPr="00844D48">
        <w:rPr>
          <w:rFonts w:ascii="Arial" w:hAnsi="Arial"/>
          <w:b/>
          <w:bCs/>
          <w:i/>
          <w:sz w:val="18"/>
        </w:rPr>
        <w:t xml:space="preserve"> and </w:t>
      </w:r>
      <w:proofErr w:type="spellStart"/>
      <w:r w:rsidRPr="00844D48">
        <w:rPr>
          <w:rFonts w:ascii="Arial" w:hAnsi="Arial"/>
          <w:b/>
          <w:bCs/>
          <w:i/>
          <w:sz w:val="18"/>
        </w:rPr>
        <w:t>Zeremis</w:t>
      </w:r>
      <w:proofErr w:type="spellEnd"/>
      <w:r w:rsidRPr="00844D48">
        <w:rPr>
          <w:rFonts w:ascii="Arial" w:hAnsi="Arial"/>
          <w:b/>
          <w:bCs/>
          <w:i/>
          <w:sz w:val="18"/>
        </w:rPr>
        <w:t xml:space="preserve"> Carbon Lite.</w:t>
      </w:r>
    </w:p>
    <w:p w14:paraId="7E08D9FB" w14:textId="77777777" w:rsidR="006172CF" w:rsidRPr="00A16144" w:rsidRDefault="006172CF" w:rsidP="006172CF">
      <w:pPr>
        <w:pStyle w:val="Heading2"/>
        <w:spacing w:line="360" w:lineRule="auto"/>
        <w:jc w:val="both"/>
        <w:rPr>
          <w:rFonts w:asciiTheme="minorBidi" w:hAnsiTheme="minorBidi" w:cstheme="minorBidi"/>
          <w:szCs w:val="24"/>
        </w:rPr>
      </w:pPr>
      <w:bookmarkStart w:id="2" w:name="_Toc232730114"/>
      <w:r w:rsidRPr="00A16144">
        <w:rPr>
          <w:rFonts w:asciiTheme="minorBidi" w:hAnsiTheme="minorBidi" w:cstheme="minorBidi"/>
          <w:szCs w:val="24"/>
        </w:rPr>
        <w:lastRenderedPageBreak/>
        <w:t>Political and Legal Actor</w:t>
      </w:r>
      <w:bookmarkEnd w:id="2"/>
    </w:p>
    <w:p w14:paraId="349F614E"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The second external is the Political and Legal environment, particularly carbon regulation. The EU's Carbon Border Adjustment Mechanism (CBAM) started its definitive regime on 1 January 2026, and the first reporting period covered 1,655,613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of goods, of which 98% were represented by iron and steel (European Commission, 2026a). This is of commercial importance for Tata Steel, as EU importers will be required to report on embedded emissions and to buy certificates for covered goods from 2026 and to report annually from 2027 (Department for Business and Trade, 2026b). In this way, CBAM thus transforms emissions data into data on access to the market. It also increases the reputational risk associated with poor carbon reporting. The research on border carbon adjustments indicates carbon pricing can generate costs of EUR 18 to EUR 76 per </w:t>
      </w:r>
      <w:proofErr w:type="spellStart"/>
      <w:r w:rsidRPr="00A16144">
        <w:rPr>
          <w:rFonts w:asciiTheme="minorBidi" w:hAnsiTheme="minorBidi" w:cstheme="minorBidi"/>
          <w:color w:val="000000"/>
          <w:kern w:val="0"/>
        </w:rPr>
        <w:t>tonne</w:t>
      </w:r>
      <w:proofErr w:type="spellEnd"/>
      <w:r w:rsidRPr="00A16144">
        <w:rPr>
          <w:rFonts w:asciiTheme="minorBidi" w:hAnsiTheme="minorBidi" w:cstheme="minorBidi"/>
          <w:color w:val="000000"/>
          <w:kern w:val="0"/>
        </w:rPr>
        <w:t xml:space="preserve"> of CO2e </w:t>
      </w:r>
      <w:proofErr w:type="gramStart"/>
      <w:r w:rsidRPr="00A16144">
        <w:rPr>
          <w:rFonts w:asciiTheme="minorBidi" w:hAnsiTheme="minorBidi" w:cstheme="minorBidi"/>
          <w:color w:val="000000"/>
          <w:kern w:val="0"/>
        </w:rPr>
        <w:t>on the basis of</w:t>
      </w:r>
      <w:proofErr w:type="gramEnd"/>
      <w:r w:rsidRPr="00A16144">
        <w:rPr>
          <w:rFonts w:asciiTheme="minorBidi" w:hAnsiTheme="minorBidi" w:cstheme="minorBidi"/>
          <w:color w:val="000000"/>
          <w:kern w:val="0"/>
        </w:rPr>
        <w:t xml:space="preserve"> policy assumptions (Rossetto, 2024). Yet the political actor is also contested. While CBAM can benefit cleaner producers, it could result in equity and competitiveness implications for those companies in developing economies (Morone et al., 2025). It's an important point for Tata Steel, which is both European and Indian. Exposure to coal-based growth in India is not inevitable from a credible low-carbon strategy in the UK.</w:t>
      </w:r>
    </w:p>
    <w:p w14:paraId="6164AF32" w14:textId="77777777" w:rsidR="006172CF" w:rsidRDefault="006172CF" w:rsidP="006172CF">
      <w:pPr>
        <w:jc w:val="center"/>
      </w:pPr>
      <w:r>
        <w:rPr>
          <w:noProof/>
        </w:rPr>
        <w:drawing>
          <wp:inline distT="0" distB="0" distL="0" distR="0" wp14:anchorId="38A7A7CC" wp14:editId="12DD1F7E">
            <wp:extent cx="5623560" cy="2996638"/>
            <wp:effectExtent l="12700" t="12700" r="15240" b="13335"/>
            <wp:docPr id="8" name="Picture 8" descr="Figure 8. CBAM timeline showing the shift from reporting to market access obligations." title="Fig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8_cbam_timeline.png"/>
                    <pic:cNvPicPr/>
                  </pic:nvPicPr>
                  <pic:blipFill>
                    <a:blip r:embed="rId12"/>
                    <a:stretch>
                      <a:fillRect/>
                    </a:stretch>
                  </pic:blipFill>
                  <pic:spPr>
                    <a:xfrm>
                      <a:off x="0" y="0"/>
                      <a:ext cx="5623560" cy="2996638"/>
                    </a:xfrm>
                    <a:prstGeom prst="rect">
                      <a:avLst/>
                    </a:prstGeom>
                    <a:ln>
                      <a:solidFill>
                        <a:sysClr val="windowText" lastClr="000000"/>
                      </a:solidFill>
                    </a:ln>
                  </pic:spPr>
                </pic:pic>
              </a:graphicData>
            </a:graphic>
          </wp:inline>
        </w:drawing>
      </w:r>
    </w:p>
    <w:p w14:paraId="6EA20467" w14:textId="77777777" w:rsidR="006172CF" w:rsidRPr="00844D48" w:rsidRDefault="006172CF" w:rsidP="006172CF">
      <w:pPr>
        <w:spacing w:after="160"/>
        <w:jc w:val="center"/>
        <w:rPr>
          <w:b/>
          <w:bCs/>
        </w:rPr>
      </w:pPr>
      <w:r w:rsidRPr="00844D48">
        <w:rPr>
          <w:rFonts w:ascii="Arial" w:hAnsi="Arial"/>
          <w:b/>
          <w:bCs/>
          <w:i/>
          <w:sz w:val="18"/>
        </w:rPr>
        <w:t>Figure 8. CBAM timeline showing the shift from reporting to market access obligations.</w:t>
      </w:r>
    </w:p>
    <w:p w14:paraId="588FCB31" w14:textId="77777777" w:rsidR="006172CF" w:rsidRDefault="006172CF" w:rsidP="006172CF">
      <w:pPr>
        <w:jc w:val="center"/>
      </w:pPr>
      <w:r>
        <w:rPr>
          <w:noProof/>
        </w:rPr>
        <w:lastRenderedPageBreak/>
        <w:drawing>
          <wp:inline distT="0" distB="0" distL="0" distR="0" wp14:anchorId="480DEB35" wp14:editId="59052034">
            <wp:extent cx="5623560" cy="2996638"/>
            <wp:effectExtent l="12700" t="12700" r="15240" b="13335"/>
            <wp:docPr id="9" name="Picture 9" descr="Figure 9. Iron and steel dominance in CBAM-covered import volumes." title="Fig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09_cbam_imports.png"/>
                    <pic:cNvPicPr/>
                  </pic:nvPicPr>
                  <pic:blipFill>
                    <a:blip r:embed="rId13"/>
                    <a:stretch>
                      <a:fillRect/>
                    </a:stretch>
                  </pic:blipFill>
                  <pic:spPr>
                    <a:xfrm>
                      <a:off x="0" y="0"/>
                      <a:ext cx="5623560" cy="2996638"/>
                    </a:xfrm>
                    <a:prstGeom prst="rect">
                      <a:avLst/>
                    </a:prstGeom>
                    <a:ln>
                      <a:solidFill>
                        <a:sysClr val="windowText" lastClr="000000"/>
                      </a:solidFill>
                    </a:ln>
                  </pic:spPr>
                </pic:pic>
              </a:graphicData>
            </a:graphic>
          </wp:inline>
        </w:drawing>
      </w:r>
    </w:p>
    <w:p w14:paraId="1F7306AC" w14:textId="77777777" w:rsidR="006172CF" w:rsidRPr="00844D48" w:rsidRDefault="006172CF" w:rsidP="006172CF">
      <w:pPr>
        <w:spacing w:after="160"/>
        <w:jc w:val="center"/>
        <w:rPr>
          <w:b/>
          <w:bCs/>
        </w:rPr>
      </w:pPr>
      <w:r w:rsidRPr="00844D48">
        <w:rPr>
          <w:rFonts w:ascii="Arial" w:hAnsi="Arial"/>
          <w:b/>
          <w:bCs/>
          <w:i/>
          <w:sz w:val="18"/>
        </w:rPr>
        <w:t>Figure 9. Iron and steel dominance in CBAM-covered import volumes.</w:t>
      </w:r>
    </w:p>
    <w:p w14:paraId="1AD3AF3B" w14:textId="77777777" w:rsidR="006172CF" w:rsidRDefault="006172CF" w:rsidP="006172CF">
      <w:pPr>
        <w:jc w:val="center"/>
      </w:pPr>
      <w:r>
        <w:rPr>
          <w:noProof/>
        </w:rPr>
        <w:drawing>
          <wp:inline distT="0" distB="0" distL="0" distR="0" wp14:anchorId="34B13D76" wp14:editId="0E8FB827">
            <wp:extent cx="5623423" cy="1913636"/>
            <wp:effectExtent l="12700" t="12700" r="15875" b="17145"/>
            <wp:docPr id="10" name="Picture 10" descr="Figure 10. Carbon pricing exposure range relevant to steel trade." title="Fig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0_cbam_cost_range.png"/>
                    <pic:cNvPicPr/>
                  </pic:nvPicPr>
                  <pic:blipFill rotWithShape="1">
                    <a:blip r:embed="rId14"/>
                    <a:srcRect b="36139"/>
                    <a:stretch>
                      <a:fillRect/>
                    </a:stretch>
                  </pic:blipFill>
                  <pic:spPr bwMode="auto">
                    <a:xfrm>
                      <a:off x="0" y="0"/>
                      <a:ext cx="5623560" cy="1913683"/>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45F62D7F" w14:textId="77777777" w:rsidR="006172CF" w:rsidRPr="00844D48" w:rsidRDefault="006172CF" w:rsidP="006172CF">
      <w:pPr>
        <w:spacing w:after="160"/>
        <w:jc w:val="center"/>
        <w:rPr>
          <w:b/>
          <w:bCs/>
        </w:rPr>
      </w:pPr>
      <w:r w:rsidRPr="00844D48">
        <w:rPr>
          <w:rFonts w:ascii="Arial" w:hAnsi="Arial"/>
          <w:b/>
          <w:bCs/>
          <w:i/>
          <w:sz w:val="18"/>
        </w:rPr>
        <w:t>Figure 10. Carbon pricing exposure range relevant to steel trade.</w:t>
      </w:r>
    </w:p>
    <w:p w14:paraId="103C2A6B" w14:textId="77777777" w:rsidR="006172CF" w:rsidRPr="00A16144" w:rsidRDefault="006172CF" w:rsidP="006172CF">
      <w:pPr>
        <w:pStyle w:val="Heading2"/>
        <w:spacing w:line="360" w:lineRule="auto"/>
        <w:jc w:val="both"/>
        <w:rPr>
          <w:rFonts w:asciiTheme="minorBidi" w:hAnsiTheme="minorBidi" w:cstheme="minorBidi"/>
          <w:szCs w:val="24"/>
        </w:rPr>
      </w:pPr>
      <w:bookmarkStart w:id="3" w:name="_Toc232730115"/>
      <w:r w:rsidRPr="00A16144">
        <w:rPr>
          <w:rFonts w:asciiTheme="minorBidi" w:hAnsiTheme="minorBidi" w:cstheme="minorBidi"/>
          <w:szCs w:val="24"/>
        </w:rPr>
        <w:t>Critical Evaluation</w:t>
      </w:r>
      <w:bookmarkEnd w:id="3"/>
    </w:p>
    <w:p w14:paraId="6F341712"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A critical assessment reveals that Tata Steel's move is a sound and feasible strategy in Europe, but it is less clear at the group level. Carbon Tracker estimates that Tata Steel's total capacity could expand by 54% to 40-50 Mtpa in the Indian domestic market by the mid 2030s, most of which will remain based on the use of blast furnace technology that relies on coal (Carbon Tracker, 2025). This creates a significant gap between the marketing of low-carbon products and portfolio </w:t>
      </w:r>
      <w:proofErr w:type="spellStart"/>
      <w:r w:rsidRPr="00A16144">
        <w:rPr>
          <w:rFonts w:asciiTheme="minorBidi" w:hAnsiTheme="minorBidi" w:cstheme="minorBidi"/>
          <w:color w:val="000000"/>
          <w:kern w:val="0"/>
        </w:rPr>
        <w:t>decarbonisation</w:t>
      </w:r>
      <w:proofErr w:type="spellEnd"/>
      <w:r w:rsidRPr="00A16144">
        <w:rPr>
          <w:rFonts w:asciiTheme="minorBidi" w:hAnsiTheme="minorBidi" w:cstheme="minorBidi"/>
          <w:color w:val="000000"/>
          <w:kern w:val="0"/>
        </w:rPr>
        <w:t xml:space="preserve">. In 2026, projected greenhouse steel capacity by 2030 could be as low as 70.8 million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representing less than 4% of expected global steel output, and hydrogen-based routes could cost USD 500 to 850 per </w:t>
      </w:r>
      <w:proofErr w:type="spellStart"/>
      <w:r w:rsidRPr="00A16144">
        <w:rPr>
          <w:rFonts w:asciiTheme="minorBidi" w:hAnsiTheme="minorBidi" w:cstheme="minorBidi"/>
          <w:color w:val="000000"/>
          <w:kern w:val="0"/>
        </w:rPr>
        <w:t>tonne</w:t>
      </w:r>
      <w:proofErr w:type="spellEnd"/>
      <w:r w:rsidRPr="00A16144">
        <w:rPr>
          <w:rFonts w:asciiTheme="minorBidi" w:hAnsiTheme="minorBidi" w:cstheme="minorBidi"/>
          <w:color w:val="000000"/>
          <w:kern w:val="0"/>
        </w:rPr>
        <w:t xml:space="preserve">, versus about USD 400 for BF-BOF steel (Russell, 2026). Another limitation is demanding uncertainty, as demand for low-carbon heavy industrial </w:t>
      </w:r>
      <w:r w:rsidRPr="00A16144">
        <w:rPr>
          <w:rFonts w:asciiTheme="minorBidi" w:hAnsiTheme="minorBidi" w:cstheme="minorBidi"/>
          <w:color w:val="000000"/>
          <w:kern w:val="0"/>
        </w:rPr>
        <w:lastRenderedPageBreak/>
        <w:t xml:space="preserve">projects is estimated at USD 700 billion, which might be delayed due to the lack of buyer commitment (Onstad, 2024). Social risk is also a significant factor in the transition in Port Talbot, as loss of jobs renders </w:t>
      </w:r>
      <w:proofErr w:type="spellStart"/>
      <w:r w:rsidRPr="00A16144">
        <w:rPr>
          <w:rFonts w:asciiTheme="minorBidi" w:hAnsiTheme="minorBidi" w:cstheme="minorBidi"/>
          <w:color w:val="000000"/>
          <w:kern w:val="0"/>
        </w:rPr>
        <w:t>decarbonisation</w:t>
      </w:r>
      <w:proofErr w:type="spellEnd"/>
      <w:r w:rsidRPr="00A16144">
        <w:rPr>
          <w:rFonts w:asciiTheme="minorBidi" w:hAnsiTheme="minorBidi" w:cstheme="minorBidi"/>
          <w:color w:val="000000"/>
          <w:kern w:val="0"/>
        </w:rPr>
        <w:t xml:space="preserve"> a politically sensitive issue (Selvaraju et al., 2024). Hence, there is a dual test in Tata Steel's marketing environment. It needs to demonstrate the technical and commercial viability of low-carbon steel, without greenwashing, and without overlooking the company's broader emissions lock-in.</w:t>
      </w:r>
    </w:p>
    <w:p w14:paraId="3C660354" w14:textId="77777777" w:rsidR="006172CF" w:rsidRDefault="006172CF" w:rsidP="006172CF">
      <w:pPr>
        <w:jc w:val="center"/>
      </w:pPr>
      <w:r>
        <w:rPr>
          <w:noProof/>
        </w:rPr>
        <w:drawing>
          <wp:inline distT="0" distB="0" distL="0" distR="0" wp14:anchorId="3A98734E" wp14:editId="058C4797">
            <wp:extent cx="5156708" cy="2747866"/>
            <wp:effectExtent l="12700" t="12700" r="12700" b="8255"/>
            <wp:docPr id="11" name="Picture 11" descr="Figure 11. Strategic tension between European progress and group-level exposure." title="Fig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1_transition_tension.png"/>
                    <pic:cNvPicPr/>
                  </pic:nvPicPr>
                  <pic:blipFill>
                    <a:blip r:embed="rId15"/>
                    <a:stretch>
                      <a:fillRect/>
                    </a:stretch>
                  </pic:blipFill>
                  <pic:spPr>
                    <a:xfrm>
                      <a:off x="0" y="0"/>
                      <a:ext cx="5167601" cy="2753671"/>
                    </a:xfrm>
                    <a:prstGeom prst="rect">
                      <a:avLst/>
                    </a:prstGeom>
                    <a:ln>
                      <a:solidFill>
                        <a:sysClr val="windowText" lastClr="000000"/>
                      </a:solidFill>
                    </a:ln>
                  </pic:spPr>
                </pic:pic>
              </a:graphicData>
            </a:graphic>
          </wp:inline>
        </w:drawing>
      </w:r>
    </w:p>
    <w:p w14:paraId="309A75AC" w14:textId="77777777" w:rsidR="006172CF" w:rsidRPr="00844D48" w:rsidRDefault="006172CF" w:rsidP="006172CF">
      <w:pPr>
        <w:spacing w:after="160"/>
        <w:jc w:val="center"/>
        <w:rPr>
          <w:b/>
          <w:bCs/>
        </w:rPr>
      </w:pPr>
      <w:r w:rsidRPr="00844D48">
        <w:rPr>
          <w:rFonts w:ascii="Arial" w:hAnsi="Arial"/>
          <w:b/>
          <w:bCs/>
          <w:i/>
          <w:sz w:val="18"/>
        </w:rPr>
        <w:t>Figure 11. Strategic tension between European progress and group-level exposure.</w:t>
      </w:r>
    </w:p>
    <w:p w14:paraId="30A11E41" w14:textId="77777777" w:rsidR="006172CF" w:rsidRDefault="006172CF" w:rsidP="006172CF">
      <w:pPr>
        <w:jc w:val="center"/>
      </w:pPr>
      <w:r>
        <w:rPr>
          <w:noProof/>
        </w:rPr>
        <w:drawing>
          <wp:inline distT="0" distB="0" distL="0" distR="0" wp14:anchorId="71A30D92" wp14:editId="174C9034">
            <wp:extent cx="5242052" cy="2793343"/>
            <wp:effectExtent l="12700" t="12700" r="15875" b="13970"/>
            <wp:docPr id="12" name="Picture 12" descr="Figure 12. Projected green steel capacity share remains limited by 2030." title="Fig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2_green_capacity_share.png"/>
                    <pic:cNvPicPr/>
                  </pic:nvPicPr>
                  <pic:blipFill>
                    <a:blip r:embed="rId16"/>
                    <a:stretch>
                      <a:fillRect/>
                    </a:stretch>
                  </pic:blipFill>
                  <pic:spPr>
                    <a:xfrm>
                      <a:off x="0" y="0"/>
                      <a:ext cx="5254104" cy="2799765"/>
                    </a:xfrm>
                    <a:prstGeom prst="rect">
                      <a:avLst/>
                    </a:prstGeom>
                    <a:ln>
                      <a:solidFill>
                        <a:sysClr val="windowText" lastClr="000000"/>
                      </a:solidFill>
                    </a:ln>
                  </pic:spPr>
                </pic:pic>
              </a:graphicData>
            </a:graphic>
          </wp:inline>
        </w:drawing>
      </w:r>
    </w:p>
    <w:p w14:paraId="30126421" w14:textId="77777777" w:rsidR="006172CF" w:rsidRPr="00844D48" w:rsidRDefault="006172CF" w:rsidP="006172CF">
      <w:pPr>
        <w:spacing w:after="160"/>
        <w:jc w:val="center"/>
        <w:rPr>
          <w:b/>
          <w:bCs/>
        </w:rPr>
      </w:pPr>
      <w:r w:rsidRPr="00844D48">
        <w:rPr>
          <w:rFonts w:ascii="Arial" w:hAnsi="Arial"/>
          <w:b/>
          <w:bCs/>
          <w:i/>
          <w:sz w:val="18"/>
        </w:rPr>
        <w:t>Figure 12. Projected green steel capacity share remains limited by 2030.</w:t>
      </w:r>
    </w:p>
    <w:p w14:paraId="4C980886" w14:textId="77777777" w:rsidR="006172CF" w:rsidRPr="00A16144" w:rsidRDefault="006172CF" w:rsidP="006172CF">
      <w:pPr>
        <w:pStyle w:val="Heading1"/>
        <w:spacing w:line="360" w:lineRule="auto"/>
        <w:jc w:val="both"/>
        <w:rPr>
          <w:rFonts w:asciiTheme="minorBidi" w:hAnsiTheme="minorBidi" w:cstheme="minorBidi"/>
          <w:szCs w:val="24"/>
        </w:rPr>
      </w:pPr>
      <w:bookmarkStart w:id="4" w:name="_Toc232730116"/>
      <w:r w:rsidRPr="00A16144">
        <w:rPr>
          <w:rFonts w:asciiTheme="minorBidi" w:hAnsiTheme="minorBidi" w:cstheme="minorBidi"/>
          <w:szCs w:val="24"/>
        </w:rPr>
        <w:lastRenderedPageBreak/>
        <w:t>Task 2: Strategic Growth and Competitive Positioning</w:t>
      </w:r>
      <w:bookmarkEnd w:id="4"/>
    </w:p>
    <w:p w14:paraId="7F8BE1E7" w14:textId="77777777" w:rsidR="006172CF" w:rsidRPr="00A16144" w:rsidRDefault="006172CF" w:rsidP="006172CF">
      <w:pPr>
        <w:pStyle w:val="Heading2"/>
        <w:spacing w:line="360" w:lineRule="auto"/>
        <w:jc w:val="both"/>
        <w:rPr>
          <w:rFonts w:asciiTheme="minorBidi" w:hAnsiTheme="minorBidi" w:cstheme="minorBidi"/>
          <w:szCs w:val="24"/>
        </w:rPr>
      </w:pPr>
      <w:bookmarkStart w:id="5" w:name="_Toc232730117"/>
      <w:r w:rsidRPr="00A16144">
        <w:rPr>
          <w:rFonts w:asciiTheme="minorBidi" w:hAnsiTheme="minorBidi" w:cstheme="minorBidi"/>
          <w:szCs w:val="24"/>
        </w:rPr>
        <w:t>Strategic Growth Choice: Ansoff Product Development</w:t>
      </w:r>
      <w:bookmarkEnd w:id="5"/>
    </w:p>
    <w:p w14:paraId="34666A55" w14:textId="77777777" w:rsidR="006172CF" w:rsidRDefault="006172CF" w:rsidP="006172CF">
      <w:pPr>
        <w:jc w:val="center"/>
      </w:pPr>
      <w:r>
        <w:rPr>
          <w:noProof/>
        </w:rPr>
        <w:drawing>
          <wp:inline distT="0" distB="0" distL="0" distR="0" wp14:anchorId="6F44DF99" wp14:editId="4042E013">
            <wp:extent cx="5623560" cy="2996638"/>
            <wp:effectExtent l="12700" t="12700" r="15240" b="13335"/>
            <wp:docPr id="13" name="Picture 13" descr="Figure 13. Ansoff Matrix highlighting Product Development as the recommended strategy." title="Fig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3_ansoff_matrix.png"/>
                    <pic:cNvPicPr/>
                  </pic:nvPicPr>
                  <pic:blipFill>
                    <a:blip r:embed="rId17"/>
                    <a:stretch>
                      <a:fillRect/>
                    </a:stretch>
                  </pic:blipFill>
                  <pic:spPr>
                    <a:xfrm>
                      <a:off x="0" y="0"/>
                      <a:ext cx="5623560" cy="2996638"/>
                    </a:xfrm>
                    <a:prstGeom prst="rect">
                      <a:avLst/>
                    </a:prstGeom>
                    <a:ln>
                      <a:solidFill>
                        <a:sysClr val="windowText" lastClr="000000"/>
                      </a:solidFill>
                    </a:ln>
                  </pic:spPr>
                </pic:pic>
              </a:graphicData>
            </a:graphic>
          </wp:inline>
        </w:drawing>
      </w:r>
    </w:p>
    <w:p w14:paraId="580A0BAE" w14:textId="77777777" w:rsidR="006172CF" w:rsidRPr="00844D48" w:rsidRDefault="006172CF" w:rsidP="006172CF">
      <w:pPr>
        <w:spacing w:after="160"/>
        <w:jc w:val="center"/>
        <w:rPr>
          <w:b/>
          <w:bCs/>
        </w:rPr>
      </w:pPr>
      <w:r w:rsidRPr="00844D48">
        <w:rPr>
          <w:rFonts w:ascii="Arial" w:hAnsi="Arial"/>
          <w:b/>
          <w:bCs/>
          <w:i/>
          <w:sz w:val="18"/>
        </w:rPr>
        <w:t>Figure 13. Ansoff Matrix highlighting Product Development as the recommended strategy.</w:t>
      </w:r>
    </w:p>
    <w:p w14:paraId="146EF305"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Tata Steel should adopt Product Development as its main Ansoff Matrix strategy because the lower-carbon transition should be used to upgrade existing steel categories rather than enter unrelated markets. This approach is suitable for an enterprise with established links to automotive, construction, engineering and packaging buyers, who seek to redefine their value proposition around validated carbon performance (Ferreira, 2024). Strategic differentiation is also more appropriate than cost leadership, since low-carbon steel requires capital investment, measurement systems and customer education, while commodity steel is subject to price competition (Acar, 2024). It is capable of being operated on Tata Steel's scale. Tata Steel India's FY2026 crude steel production was 23.48 million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an 8% increase from the previous year, and deliveries in FY2026 were 22.53 million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(Tata Steel, 2026a). Consolidated EBITDA also rose to Rs 34,848 crore; profit after tax (PAT) was Rs 10,886 crore, enhancing its capacity to innovate products and certifications; Tata Steel (2026b). Product development is thus the most powerful strategic option as it links </w:t>
      </w:r>
      <w:proofErr w:type="spellStart"/>
      <w:r w:rsidRPr="00A16144">
        <w:rPr>
          <w:rFonts w:asciiTheme="minorBidi" w:hAnsiTheme="minorBidi" w:cstheme="minorBidi"/>
          <w:color w:val="000000"/>
          <w:kern w:val="0"/>
        </w:rPr>
        <w:t>decarbonisation</w:t>
      </w:r>
      <w:proofErr w:type="spellEnd"/>
      <w:r w:rsidRPr="00A16144">
        <w:rPr>
          <w:rFonts w:asciiTheme="minorBidi" w:hAnsiTheme="minorBidi" w:cstheme="minorBidi"/>
          <w:color w:val="000000"/>
          <w:kern w:val="0"/>
        </w:rPr>
        <w:t xml:space="preserve"> with marketable steel grades, and not just operational compliance. This also allows for measuring growth in terms of carbon intensity, premium capture and customer retention.</w:t>
      </w:r>
    </w:p>
    <w:p w14:paraId="7F6DD45D" w14:textId="77777777" w:rsidR="006172CF" w:rsidRDefault="006172CF" w:rsidP="006172CF">
      <w:pPr>
        <w:jc w:val="center"/>
      </w:pPr>
      <w:r>
        <w:rPr>
          <w:noProof/>
        </w:rPr>
        <w:lastRenderedPageBreak/>
        <w:drawing>
          <wp:inline distT="0" distB="0" distL="0" distR="0" wp14:anchorId="609B1D88" wp14:editId="39C8C213">
            <wp:extent cx="5623560" cy="2996638"/>
            <wp:effectExtent l="12700" t="12700" r="15240" b="13335"/>
            <wp:docPr id="14" name="Picture 14" descr="Figure 14. Tata Steel India production and delivery scale in FY2026." title="Fig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4_tata_scale.png"/>
                    <pic:cNvPicPr/>
                  </pic:nvPicPr>
                  <pic:blipFill>
                    <a:blip r:embed="rId18"/>
                    <a:stretch>
                      <a:fillRect/>
                    </a:stretch>
                  </pic:blipFill>
                  <pic:spPr>
                    <a:xfrm>
                      <a:off x="0" y="0"/>
                      <a:ext cx="5623560" cy="2996638"/>
                    </a:xfrm>
                    <a:prstGeom prst="rect">
                      <a:avLst/>
                    </a:prstGeom>
                    <a:ln>
                      <a:solidFill>
                        <a:sysClr val="windowText" lastClr="000000"/>
                      </a:solidFill>
                    </a:ln>
                  </pic:spPr>
                </pic:pic>
              </a:graphicData>
            </a:graphic>
          </wp:inline>
        </w:drawing>
      </w:r>
    </w:p>
    <w:p w14:paraId="3378F3EA" w14:textId="77777777" w:rsidR="006172CF" w:rsidRPr="00844D48" w:rsidRDefault="006172CF" w:rsidP="006172CF">
      <w:pPr>
        <w:spacing w:after="160"/>
        <w:jc w:val="center"/>
        <w:rPr>
          <w:b/>
          <w:bCs/>
        </w:rPr>
      </w:pPr>
      <w:r w:rsidRPr="00844D48">
        <w:rPr>
          <w:rFonts w:ascii="Arial" w:hAnsi="Arial"/>
          <w:b/>
          <w:bCs/>
          <w:i/>
          <w:sz w:val="18"/>
        </w:rPr>
        <w:t>Figure 14. Tata Steel India production and delivery scale in FY2026.</w:t>
      </w:r>
    </w:p>
    <w:p w14:paraId="423222B6" w14:textId="77777777" w:rsidR="006172CF" w:rsidRDefault="006172CF" w:rsidP="006172CF">
      <w:pPr>
        <w:jc w:val="center"/>
      </w:pPr>
      <w:r>
        <w:rPr>
          <w:noProof/>
        </w:rPr>
        <w:drawing>
          <wp:inline distT="0" distB="0" distL="0" distR="0" wp14:anchorId="65CA1A4F" wp14:editId="15602683">
            <wp:extent cx="5623560" cy="2996638"/>
            <wp:effectExtent l="12700" t="12700" r="15240" b="13335"/>
            <wp:docPr id="15" name="Picture 15" descr="Figure 15. FY2026 financial capacity supporting low-carbon product development." title="Fig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5_financial_capacity.png"/>
                    <pic:cNvPicPr/>
                  </pic:nvPicPr>
                  <pic:blipFill>
                    <a:blip r:embed="rId19"/>
                    <a:stretch>
                      <a:fillRect/>
                    </a:stretch>
                  </pic:blipFill>
                  <pic:spPr>
                    <a:xfrm>
                      <a:off x="0" y="0"/>
                      <a:ext cx="5623560" cy="2996638"/>
                    </a:xfrm>
                    <a:prstGeom prst="rect">
                      <a:avLst/>
                    </a:prstGeom>
                    <a:ln>
                      <a:solidFill>
                        <a:sysClr val="windowText" lastClr="000000"/>
                      </a:solidFill>
                    </a:ln>
                  </pic:spPr>
                </pic:pic>
              </a:graphicData>
            </a:graphic>
          </wp:inline>
        </w:drawing>
      </w:r>
    </w:p>
    <w:p w14:paraId="186A7DA1" w14:textId="77777777" w:rsidR="006172CF" w:rsidRPr="00844D48" w:rsidRDefault="006172CF" w:rsidP="006172CF">
      <w:pPr>
        <w:spacing w:after="160"/>
        <w:jc w:val="center"/>
        <w:rPr>
          <w:b/>
          <w:bCs/>
        </w:rPr>
      </w:pPr>
      <w:r w:rsidRPr="00844D48">
        <w:rPr>
          <w:rFonts w:ascii="Arial" w:hAnsi="Arial"/>
          <w:b/>
          <w:bCs/>
          <w:i/>
          <w:sz w:val="18"/>
        </w:rPr>
        <w:t>Figure 15. FY2026 financial capacity supporting low-carbon product development.</w:t>
      </w:r>
    </w:p>
    <w:p w14:paraId="48625757" w14:textId="77777777" w:rsidR="006172CF" w:rsidRPr="00A16144" w:rsidRDefault="006172CF" w:rsidP="006172CF">
      <w:pPr>
        <w:pStyle w:val="Heading2"/>
        <w:spacing w:line="360" w:lineRule="auto"/>
        <w:jc w:val="both"/>
        <w:rPr>
          <w:rFonts w:asciiTheme="minorBidi" w:hAnsiTheme="minorBidi" w:cstheme="minorBidi"/>
          <w:szCs w:val="24"/>
        </w:rPr>
      </w:pPr>
      <w:bookmarkStart w:id="6" w:name="_Toc232730118"/>
      <w:r w:rsidRPr="00A16144">
        <w:rPr>
          <w:rFonts w:asciiTheme="minorBidi" w:hAnsiTheme="minorBidi" w:cstheme="minorBidi"/>
          <w:szCs w:val="24"/>
        </w:rPr>
        <w:t>Low-Carbon Product Platform and Market Targeting</w:t>
      </w:r>
      <w:bookmarkEnd w:id="6"/>
    </w:p>
    <w:p w14:paraId="7FBD73E0"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The product platform is to be </w:t>
      </w:r>
      <w:proofErr w:type="spellStart"/>
      <w:r w:rsidRPr="00A16144">
        <w:rPr>
          <w:rFonts w:asciiTheme="minorBidi" w:hAnsiTheme="minorBidi" w:cstheme="minorBidi"/>
          <w:color w:val="000000"/>
          <w:kern w:val="0"/>
        </w:rPr>
        <w:t>customised</w:t>
      </w:r>
      <w:proofErr w:type="spellEnd"/>
      <w:r w:rsidRPr="00A16144">
        <w:rPr>
          <w:rFonts w:asciiTheme="minorBidi" w:hAnsiTheme="minorBidi" w:cstheme="minorBidi"/>
          <w:color w:val="000000"/>
          <w:kern w:val="0"/>
        </w:rPr>
        <w:t xml:space="preserve"> based on the steel family for flat products, coated steel, construction steel and high-strength industrial products according to the standards of low-carbon steel. Tata Steel's Ludhiana EAF is an Indian proof point as the plant is designed to emit less than 0.3 tCO2e per </w:t>
      </w:r>
      <w:proofErr w:type="spellStart"/>
      <w:r w:rsidRPr="00A16144">
        <w:rPr>
          <w:rFonts w:asciiTheme="minorBidi" w:hAnsiTheme="minorBidi" w:cstheme="minorBidi"/>
          <w:color w:val="000000"/>
          <w:kern w:val="0"/>
        </w:rPr>
        <w:t>tonne</w:t>
      </w:r>
      <w:proofErr w:type="spellEnd"/>
      <w:r w:rsidRPr="00A16144">
        <w:rPr>
          <w:rFonts w:asciiTheme="minorBidi" w:hAnsiTheme="minorBidi" w:cstheme="minorBidi"/>
          <w:color w:val="000000"/>
          <w:kern w:val="0"/>
        </w:rPr>
        <w:t xml:space="preserve"> of steel, was built at an investment of Rs 3,200 crore and has a capacity of 0.75 MTPA (Tata Steel, 2026c). It is 100% steel scrap-based, which helps to support a circular </w:t>
      </w:r>
      <w:r w:rsidRPr="00A16144">
        <w:rPr>
          <w:rFonts w:asciiTheme="minorBidi" w:hAnsiTheme="minorBidi" w:cstheme="minorBidi"/>
          <w:color w:val="000000"/>
          <w:kern w:val="0"/>
        </w:rPr>
        <w:lastRenderedPageBreak/>
        <w:t xml:space="preserve">economy claim to downstream buyers (Times of India, 2026). This strategy is more believable as India's green steel taxonomy considers steel with a </w:t>
      </w:r>
      <w:proofErr w:type="spellStart"/>
      <w:r w:rsidRPr="00A16144">
        <w:rPr>
          <w:rFonts w:asciiTheme="minorBidi" w:hAnsiTheme="minorBidi" w:cstheme="minorBidi"/>
          <w:color w:val="000000"/>
          <w:kern w:val="0"/>
        </w:rPr>
        <w:t>tonne</w:t>
      </w:r>
      <w:proofErr w:type="spellEnd"/>
      <w:r w:rsidRPr="00A16144">
        <w:rPr>
          <w:rFonts w:asciiTheme="minorBidi" w:hAnsiTheme="minorBidi" w:cstheme="minorBidi"/>
          <w:color w:val="000000"/>
          <w:kern w:val="0"/>
        </w:rPr>
        <w:t xml:space="preserve"> of finished steel rating below 2.2 tCO2e as green, and steel rating below 1.6 tCO2e as the highest five-star rating (NISST, 2025). Tata Steel should have a “layered” portfolio: transition-level green steel for infrastructure purposes, higher-level green steel for automotive and premium construction, and custom grades for customers who have Scope 3 targets. The Production Standard Version 2.1.1 furthers this stance by adding greenhouse gas requirements and responsible input sourcing (</w:t>
      </w:r>
      <w:proofErr w:type="spellStart"/>
      <w:r w:rsidRPr="00A16144">
        <w:rPr>
          <w:rFonts w:asciiTheme="minorBidi" w:hAnsiTheme="minorBidi" w:cstheme="minorBidi"/>
          <w:color w:val="000000"/>
          <w:kern w:val="0"/>
        </w:rPr>
        <w:t>ResponsibleSteel</w:t>
      </w:r>
      <w:proofErr w:type="spellEnd"/>
      <w:r w:rsidRPr="00A16144">
        <w:rPr>
          <w:rFonts w:asciiTheme="minorBidi" w:hAnsiTheme="minorBidi" w:cstheme="minorBidi"/>
          <w:color w:val="000000"/>
          <w:kern w:val="0"/>
        </w:rPr>
        <w:t xml:space="preserve">, 2024). SBTi (2023) steel guidance supports science-aligned corporate targets. Further independent assurance of credibility would be provided by DNV’s </w:t>
      </w:r>
      <w:proofErr w:type="spellStart"/>
      <w:r w:rsidRPr="00A16144">
        <w:rPr>
          <w:rFonts w:asciiTheme="minorBidi" w:hAnsiTheme="minorBidi" w:cstheme="minorBidi"/>
          <w:color w:val="000000"/>
          <w:kern w:val="0"/>
        </w:rPr>
        <w:t>ResponsibleSteel</w:t>
      </w:r>
      <w:proofErr w:type="spellEnd"/>
      <w:r w:rsidRPr="00A16144">
        <w:rPr>
          <w:rFonts w:asciiTheme="minorBidi" w:hAnsiTheme="minorBidi" w:cstheme="minorBidi"/>
          <w:color w:val="000000"/>
          <w:kern w:val="0"/>
        </w:rPr>
        <w:t xml:space="preserve"> assessment (DNV, 2026).</w:t>
      </w:r>
    </w:p>
    <w:p w14:paraId="22135F53" w14:textId="77777777" w:rsidR="006172CF" w:rsidRDefault="006172CF" w:rsidP="006172CF">
      <w:pPr>
        <w:jc w:val="center"/>
      </w:pPr>
      <w:r>
        <w:rPr>
          <w:noProof/>
        </w:rPr>
        <w:drawing>
          <wp:inline distT="0" distB="0" distL="0" distR="0" wp14:anchorId="24B232F4" wp14:editId="6359796E">
            <wp:extent cx="5623423" cy="2011680"/>
            <wp:effectExtent l="12700" t="12700" r="15875" b="7620"/>
            <wp:docPr id="16" name="Picture 16" descr="Figure 16. Ludhiana EAF as a strategic proof point for Indian low-carbon steel." title="Fig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6_ludhiana_eaf.png"/>
                    <pic:cNvPicPr/>
                  </pic:nvPicPr>
                  <pic:blipFill rotWithShape="1">
                    <a:blip r:embed="rId20"/>
                    <a:srcRect b="32867"/>
                    <a:stretch>
                      <a:fillRect/>
                    </a:stretch>
                  </pic:blipFill>
                  <pic:spPr bwMode="auto">
                    <a:xfrm>
                      <a:off x="0" y="0"/>
                      <a:ext cx="5623560" cy="2011729"/>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5C3CABDF" w14:textId="77777777" w:rsidR="006172CF" w:rsidRPr="00844D48" w:rsidRDefault="006172CF" w:rsidP="006172CF">
      <w:pPr>
        <w:spacing w:after="160"/>
        <w:jc w:val="center"/>
        <w:rPr>
          <w:b/>
          <w:bCs/>
        </w:rPr>
      </w:pPr>
      <w:r w:rsidRPr="00844D48">
        <w:rPr>
          <w:rFonts w:ascii="Arial" w:hAnsi="Arial"/>
          <w:b/>
          <w:bCs/>
          <w:i/>
          <w:sz w:val="18"/>
        </w:rPr>
        <w:t>Figure 16. Ludhiana EAF as a strategic proof point for Indian low-carbon steel.</w:t>
      </w:r>
    </w:p>
    <w:p w14:paraId="1E9A771C" w14:textId="77777777" w:rsidR="006172CF" w:rsidRDefault="006172CF" w:rsidP="006172CF">
      <w:pPr>
        <w:jc w:val="center"/>
      </w:pPr>
      <w:r>
        <w:rPr>
          <w:noProof/>
        </w:rPr>
        <w:drawing>
          <wp:inline distT="0" distB="0" distL="0" distR="0" wp14:anchorId="7A94530A" wp14:editId="27429DEC">
            <wp:extent cx="5623423" cy="2304288"/>
            <wp:effectExtent l="12700" t="12700" r="15875" b="7620"/>
            <wp:docPr id="17" name="Picture 17" descr="Figure 17. India’s green steel taxonomy thresholds for product positioning." title="Fig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7_green_taxonomy.png"/>
                    <pic:cNvPicPr/>
                  </pic:nvPicPr>
                  <pic:blipFill rotWithShape="1">
                    <a:blip r:embed="rId21"/>
                    <a:srcRect b="23102"/>
                    <a:stretch>
                      <a:fillRect/>
                    </a:stretch>
                  </pic:blipFill>
                  <pic:spPr bwMode="auto">
                    <a:xfrm>
                      <a:off x="0" y="0"/>
                      <a:ext cx="5623560" cy="2304344"/>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26D832A2" w14:textId="77777777" w:rsidR="006172CF" w:rsidRPr="00844D48" w:rsidRDefault="006172CF" w:rsidP="006172CF">
      <w:pPr>
        <w:spacing w:after="160"/>
        <w:jc w:val="center"/>
        <w:rPr>
          <w:b/>
          <w:bCs/>
        </w:rPr>
      </w:pPr>
      <w:r w:rsidRPr="00844D48">
        <w:rPr>
          <w:rFonts w:ascii="Arial" w:hAnsi="Arial"/>
          <w:b/>
          <w:bCs/>
          <w:i/>
          <w:sz w:val="18"/>
        </w:rPr>
        <w:t>Figure 17. India’s green steel taxonomy thresholds for product positioning.</w:t>
      </w:r>
    </w:p>
    <w:p w14:paraId="4F1B32F0" w14:textId="77777777" w:rsidR="006172CF" w:rsidRPr="00A16144" w:rsidRDefault="006172CF" w:rsidP="006172CF">
      <w:pPr>
        <w:pStyle w:val="Heading2"/>
        <w:spacing w:line="360" w:lineRule="auto"/>
        <w:jc w:val="both"/>
        <w:rPr>
          <w:rFonts w:asciiTheme="minorBidi" w:hAnsiTheme="minorBidi" w:cstheme="minorBidi"/>
          <w:szCs w:val="24"/>
        </w:rPr>
      </w:pPr>
      <w:bookmarkStart w:id="7" w:name="_Toc232730119"/>
      <w:r w:rsidRPr="00A16144">
        <w:rPr>
          <w:rFonts w:asciiTheme="minorBidi" w:hAnsiTheme="minorBidi" w:cstheme="minorBidi"/>
          <w:szCs w:val="24"/>
        </w:rPr>
        <w:t>Competitive Positioning Through Buyer Segmentation</w:t>
      </w:r>
      <w:bookmarkEnd w:id="7"/>
    </w:p>
    <w:p w14:paraId="617E02F8"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The automotive, construction and infrastructure segments in India and Europe are large, visible and increasingly carbon-conscious, and Tata Steel should focus on them. Indian steel demand is </w:t>
      </w:r>
      <w:r w:rsidRPr="00A16144">
        <w:rPr>
          <w:rFonts w:asciiTheme="minorBidi" w:hAnsiTheme="minorBidi" w:cstheme="minorBidi"/>
          <w:color w:val="000000"/>
          <w:kern w:val="0"/>
        </w:rPr>
        <w:lastRenderedPageBreak/>
        <w:t>expected to grow by 7.4% in 2026 and 9.2% in 2027, making it the fastest-growing major steel market (</w:t>
      </w:r>
      <w:proofErr w:type="spellStart"/>
      <w:r w:rsidRPr="00A16144">
        <w:rPr>
          <w:rFonts w:asciiTheme="minorBidi" w:hAnsiTheme="minorBidi" w:cstheme="minorBidi"/>
          <w:color w:val="000000"/>
          <w:kern w:val="0"/>
        </w:rPr>
        <w:t>Worldsteel</w:t>
      </w:r>
      <w:proofErr w:type="spellEnd"/>
      <w:r w:rsidRPr="00A16144">
        <w:rPr>
          <w:rFonts w:asciiTheme="minorBidi" w:hAnsiTheme="minorBidi" w:cstheme="minorBidi"/>
          <w:color w:val="000000"/>
          <w:kern w:val="0"/>
        </w:rPr>
        <w:t xml:space="preserve">, 2026). Moreover, the finished steel consumption in India also peaked at 163.7 MT during 2025-26 owing to infrastructure, </w:t>
      </w:r>
      <w:proofErr w:type="spellStart"/>
      <w:r w:rsidRPr="00A16144">
        <w:rPr>
          <w:rFonts w:asciiTheme="minorBidi" w:hAnsiTheme="minorBidi" w:cstheme="minorBidi"/>
          <w:color w:val="000000"/>
          <w:kern w:val="0"/>
        </w:rPr>
        <w:t>urbanisation</w:t>
      </w:r>
      <w:proofErr w:type="spellEnd"/>
      <w:r w:rsidRPr="00A16144">
        <w:rPr>
          <w:rFonts w:asciiTheme="minorBidi" w:hAnsiTheme="minorBidi" w:cstheme="minorBidi"/>
          <w:color w:val="000000"/>
          <w:kern w:val="0"/>
        </w:rPr>
        <w:t xml:space="preserve"> and manufacturing (PIB, 2026). A green premium is affordable for higher-value end products. Transition Asia estimates that the green steel can contribute at most, less than 1% to the car and building prices (Transition Asia, 2024). Automotive is important because it represents approximately 12% of global steel consumption, and vehicle companies may be able to easily pass on the green premium in comparison to many bulk infrastructure users (Urban et al., 2024). Tata Steel should sign offtake agreements for several years, as this will help </w:t>
      </w:r>
      <w:proofErr w:type="spellStart"/>
      <w:r w:rsidRPr="00A16144">
        <w:rPr>
          <w:rFonts w:asciiTheme="minorBidi" w:hAnsiTheme="minorBidi" w:cstheme="minorBidi"/>
          <w:color w:val="000000"/>
          <w:kern w:val="0"/>
        </w:rPr>
        <w:t>minimise</w:t>
      </w:r>
      <w:proofErr w:type="spellEnd"/>
      <w:r w:rsidRPr="00A16144">
        <w:rPr>
          <w:rFonts w:asciiTheme="minorBidi" w:hAnsiTheme="minorBidi" w:cstheme="minorBidi"/>
          <w:color w:val="000000"/>
          <w:kern w:val="0"/>
        </w:rPr>
        <w:t xml:space="preserve"> investment risk and facilitate project finance (</w:t>
      </w:r>
      <w:proofErr w:type="spellStart"/>
      <w:r w:rsidRPr="00A16144">
        <w:rPr>
          <w:rFonts w:asciiTheme="minorBidi" w:hAnsiTheme="minorBidi" w:cstheme="minorBidi"/>
          <w:color w:val="000000"/>
          <w:kern w:val="0"/>
        </w:rPr>
        <w:t>IDTechEx</w:t>
      </w:r>
      <w:proofErr w:type="spellEnd"/>
      <w:r w:rsidRPr="00A16144">
        <w:rPr>
          <w:rFonts w:asciiTheme="minorBidi" w:hAnsiTheme="minorBidi" w:cstheme="minorBidi"/>
          <w:color w:val="000000"/>
          <w:kern w:val="0"/>
        </w:rPr>
        <w:t>, 2025). Members of the First Movers Coalition also pledge to buy 10% or more of steel by 2030 that is nearly zero steel. (</w:t>
      </w:r>
      <w:proofErr w:type="spellStart"/>
      <w:r w:rsidRPr="00A16144">
        <w:rPr>
          <w:rFonts w:asciiTheme="minorBidi" w:hAnsiTheme="minorBidi" w:cstheme="minorBidi"/>
          <w:color w:val="000000"/>
          <w:kern w:val="0"/>
        </w:rPr>
        <w:t>ResponsibleSteel</w:t>
      </w:r>
      <w:proofErr w:type="spellEnd"/>
      <w:r w:rsidRPr="00A16144">
        <w:rPr>
          <w:rFonts w:asciiTheme="minorBidi" w:hAnsiTheme="minorBidi" w:cstheme="minorBidi"/>
          <w:color w:val="000000"/>
          <w:kern w:val="0"/>
        </w:rPr>
        <w:t>, 2023). Automotive, infrastructure and construction are identified as priority demand pools by EY, India assessment (EY, 2025). Transport and Environment also claims that green steel in cars can be absorbed with little effect on retail price (Transport and Environment, 2024).</w:t>
      </w:r>
    </w:p>
    <w:p w14:paraId="3A44BF82" w14:textId="77777777" w:rsidR="006172CF" w:rsidRDefault="006172CF" w:rsidP="006172CF">
      <w:pPr>
        <w:jc w:val="center"/>
      </w:pPr>
      <w:r>
        <w:rPr>
          <w:noProof/>
        </w:rPr>
        <w:drawing>
          <wp:inline distT="0" distB="0" distL="0" distR="0" wp14:anchorId="41B120CE" wp14:editId="43444FE9">
            <wp:extent cx="5623560" cy="2996638"/>
            <wp:effectExtent l="12700" t="12700" r="15240" b="13335"/>
            <wp:docPr id="18" name="Picture 18" descr="Figure 18. Priority buyer segments for Tata Steel’s lower-carbon products." title="Fig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8_buyer_segments.png"/>
                    <pic:cNvPicPr/>
                  </pic:nvPicPr>
                  <pic:blipFill>
                    <a:blip r:embed="rId22"/>
                    <a:stretch>
                      <a:fillRect/>
                    </a:stretch>
                  </pic:blipFill>
                  <pic:spPr>
                    <a:xfrm>
                      <a:off x="0" y="0"/>
                      <a:ext cx="5623560" cy="2996638"/>
                    </a:xfrm>
                    <a:prstGeom prst="rect">
                      <a:avLst/>
                    </a:prstGeom>
                    <a:ln>
                      <a:solidFill>
                        <a:sysClr val="windowText" lastClr="000000"/>
                      </a:solidFill>
                    </a:ln>
                  </pic:spPr>
                </pic:pic>
              </a:graphicData>
            </a:graphic>
          </wp:inline>
        </w:drawing>
      </w:r>
    </w:p>
    <w:p w14:paraId="7A73A8C7" w14:textId="77777777" w:rsidR="006172CF" w:rsidRPr="00844D48" w:rsidRDefault="006172CF" w:rsidP="006172CF">
      <w:pPr>
        <w:spacing w:after="160"/>
        <w:jc w:val="center"/>
        <w:rPr>
          <w:b/>
          <w:bCs/>
        </w:rPr>
      </w:pPr>
      <w:r w:rsidRPr="00844D48">
        <w:rPr>
          <w:rFonts w:ascii="Arial" w:hAnsi="Arial"/>
          <w:b/>
          <w:bCs/>
          <w:i/>
          <w:sz w:val="18"/>
        </w:rPr>
        <w:t>Figure 18. Priority buyer segments for Tata Steel’s lower-carbon products.</w:t>
      </w:r>
    </w:p>
    <w:p w14:paraId="421ED03B" w14:textId="77777777" w:rsidR="006172CF" w:rsidRDefault="006172CF" w:rsidP="006172CF">
      <w:pPr>
        <w:jc w:val="center"/>
      </w:pPr>
      <w:r>
        <w:rPr>
          <w:noProof/>
        </w:rPr>
        <w:lastRenderedPageBreak/>
        <w:drawing>
          <wp:inline distT="0" distB="0" distL="0" distR="0" wp14:anchorId="2EBA65A7" wp14:editId="3FDA8080">
            <wp:extent cx="5623423" cy="1486916"/>
            <wp:effectExtent l="12700" t="12700" r="15875" b="12065"/>
            <wp:docPr id="19" name="Picture 19" descr="Figure 19. India steel demand growth forecast for 2026 and 2027." title="Fig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9_india_demand_growth.png"/>
                    <pic:cNvPicPr/>
                  </pic:nvPicPr>
                  <pic:blipFill rotWithShape="1">
                    <a:blip r:embed="rId23"/>
                    <a:srcRect b="50379"/>
                    <a:stretch>
                      <a:fillRect/>
                    </a:stretch>
                  </pic:blipFill>
                  <pic:spPr bwMode="auto">
                    <a:xfrm>
                      <a:off x="0" y="0"/>
                      <a:ext cx="5623560" cy="1486952"/>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3273D87" w14:textId="77777777" w:rsidR="006172CF" w:rsidRPr="00844D48" w:rsidRDefault="006172CF" w:rsidP="006172CF">
      <w:pPr>
        <w:spacing w:after="160"/>
        <w:jc w:val="center"/>
        <w:rPr>
          <w:b/>
          <w:bCs/>
        </w:rPr>
      </w:pPr>
      <w:r w:rsidRPr="00844D48">
        <w:rPr>
          <w:rFonts w:ascii="Arial" w:hAnsi="Arial"/>
          <w:b/>
          <w:bCs/>
          <w:i/>
          <w:sz w:val="18"/>
        </w:rPr>
        <w:t>Figure 19. India steel demand growth forecast for 2026 and 2027.</w:t>
      </w:r>
    </w:p>
    <w:p w14:paraId="03703292" w14:textId="77777777" w:rsidR="006172CF" w:rsidRDefault="006172CF" w:rsidP="006172CF">
      <w:pPr>
        <w:jc w:val="center"/>
      </w:pPr>
      <w:r>
        <w:rPr>
          <w:noProof/>
        </w:rPr>
        <w:drawing>
          <wp:inline distT="0" distB="0" distL="0" distR="0" wp14:anchorId="3C807742" wp14:editId="276BE0C4">
            <wp:extent cx="5623423" cy="2779776"/>
            <wp:effectExtent l="12700" t="12700" r="15875" b="14605"/>
            <wp:docPr id="20" name="Picture 20" descr="Figure 20. India finished steel consumption supports domestic market scale." title="Fig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0_india_consumption.png"/>
                    <pic:cNvPicPr/>
                  </pic:nvPicPr>
                  <pic:blipFill rotWithShape="1">
                    <a:blip r:embed="rId24"/>
                    <a:srcRect b="7234"/>
                    <a:stretch>
                      <a:fillRect/>
                    </a:stretch>
                  </pic:blipFill>
                  <pic:spPr bwMode="auto">
                    <a:xfrm>
                      <a:off x="0" y="0"/>
                      <a:ext cx="5623560" cy="2779844"/>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0250CC4E" w14:textId="77777777" w:rsidR="006172CF" w:rsidRPr="00844D48" w:rsidRDefault="006172CF" w:rsidP="006172CF">
      <w:pPr>
        <w:spacing w:after="160"/>
        <w:jc w:val="center"/>
        <w:rPr>
          <w:b/>
          <w:bCs/>
        </w:rPr>
      </w:pPr>
      <w:r w:rsidRPr="00844D48">
        <w:rPr>
          <w:rFonts w:ascii="Arial" w:hAnsi="Arial"/>
          <w:b/>
          <w:bCs/>
          <w:i/>
          <w:sz w:val="18"/>
        </w:rPr>
        <w:t>Figure 20. India finished steel consumption supports domestic market scale.</w:t>
      </w:r>
    </w:p>
    <w:p w14:paraId="70BA87D4" w14:textId="77777777" w:rsidR="006172CF" w:rsidRDefault="006172CF" w:rsidP="006172CF">
      <w:pPr>
        <w:jc w:val="center"/>
      </w:pPr>
      <w:r>
        <w:rPr>
          <w:noProof/>
        </w:rPr>
        <w:drawing>
          <wp:inline distT="0" distB="0" distL="0" distR="0" wp14:anchorId="709A851C" wp14:editId="72F16F11">
            <wp:extent cx="5623560" cy="2996638"/>
            <wp:effectExtent l="12700" t="12700" r="15240" b="13335"/>
            <wp:docPr id="21" name="Picture 21" descr="Figure 21. Green steel premium is limited in cars and buildings." title="Fig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1_green_premium.png"/>
                    <pic:cNvPicPr/>
                  </pic:nvPicPr>
                  <pic:blipFill>
                    <a:blip r:embed="rId25"/>
                    <a:stretch>
                      <a:fillRect/>
                    </a:stretch>
                  </pic:blipFill>
                  <pic:spPr>
                    <a:xfrm>
                      <a:off x="0" y="0"/>
                      <a:ext cx="5623560" cy="2996638"/>
                    </a:xfrm>
                    <a:prstGeom prst="rect">
                      <a:avLst/>
                    </a:prstGeom>
                    <a:ln>
                      <a:solidFill>
                        <a:sysClr val="windowText" lastClr="000000"/>
                      </a:solidFill>
                    </a:ln>
                  </pic:spPr>
                </pic:pic>
              </a:graphicData>
            </a:graphic>
          </wp:inline>
        </w:drawing>
      </w:r>
    </w:p>
    <w:p w14:paraId="3EF9B266" w14:textId="77777777" w:rsidR="006172CF" w:rsidRPr="00844D48" w:rsidRDefault="006172CF" w:rsidP="006172CF">
      <w:pPr>
        <w:spacing w:after="160"/>
        <w:jc w:val="center"/>
        <w:rPr>
          <w:b/>
          <w:bCs/>
        </w:rPr>
      </w:pPr>
      <w:r w:rsidRPr="00844D48">
        <w:rPr>
          <w:rFonts w:ascii="Arial" w:hAnsi="Arial"/>
          <w:b/>
          <w:bCs/>
          <w:i/>
          <w:sz w:val="18"/>
        </w:rPr>
        <w:t>Figure 21. Green steel premium is limited in cars and buildings.</w:t>
      </w:r>
    </w:p>
    <w:p w14:paraId="0C3DD07E" w14:textId="77777777" w:rsidR="006172CF" w:rsidRPr="00A16144" w:rsidRDefault="006172CF" w:rsidP="006172CF">
      <w:pPr>
        <w:pStyle w:val="Heading2"/>
        <w:spacing w:line="360" w:lineRule="auto"/>
        <w:jc w:val="both"/>
        <w:rPr>
          <w:rFonts w:asciiTheme="minorBidi" w:hAnsiTheme="minorBidi" w:cstheme="minorBidi"/>
          <w:szCs w:val="24"/>
        </w:rPr>
      </w:pPr>
      <w:bookmarkStart w:id="8" w:name="_Toc232730120"/>
      <w:r w:rsidRPr="00A16144">
        <w:rPr>
          <w:rFonts w:asciiTheme="minorBidi" w:hAnsiTheme="minorBidi" w:cstheme="minorBidi"/>
          <w:szCs w:val="24"/>
        </w:rPr>
        <w:lastRenderedPageBreak/>
        <w:t>Protecting Advantage Against Cost and Supply Risks</w:t>
      </w:r>
      <w:bookmarkEnd w:id="8"/>
    </w:p>
    <w:p w14:paraId="3A7438A8" w14:textId="77777777" w:rsidR="006172CF"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This product-development approach needs to be defended by defensible differentiation and not by general sustainability branding. Conventional steel overcapacity will maintain the low price for conventional steel, consequently causing the degeneration of the premium for low-carbon steel. The OECD estimates that excess capacity in the steel sector will ultimately grow to 745 million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in 2028, and that demand will increase by around 0.9% annually, thereby creating a structurally dangerous commodity competition (OECD, 2026). The outlook for green steel by 2030 is also likely to be limited to 70.8 million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or less than 4% of total global steel demand, according to Reuters, whereas hydrogen-based green steel could cost USD 500 to 850 per </w:t>
      </w:r>
      <w:proofErr w:type="spellStart"/>
      <w:r w:rsidRPr="00A16144">
        <w:rPr>
          <w:rFonts w:asciiTheme="minorBidi" w:hAnsiTheme="minorBidi" w:cstheme="minorBidi"/>
          <w:color w:val="000000"/>
          <w:kern w:val="0"/>
        </w:rPr>
        <w:t>tonne</w:t>
      </w:r>
      <w:proofErr w:type="spellEnd"/>
      <w:r w:rsidRPr="00A16144">
        <w:rPr>
          <w:rFonts w:asciiTheme="minorBidi" w:hAnsiTheme="minorBidi" w:cstheme="minorBidi"/>
          <w:color w:val="000000"/>
          <w:kern w:val="0"/>
        </w:rPr>
        <w:t xml:space="preserve">, compared to about USD 400 for conventional BF-BOF steel (Russell, 2026). </w:t>
      </w:r>
    </w:p>
    <w:p w14:paraId="17AE586E" w14:textId="77777777" w:rsidR="006172CF" w:rsidRDefault="006172CF" w:rsidP="006172CF">
      <w:pPr>
        <w:jc w:val="center"/>
      </w:pPr>
      <w:r>
        <w:rPr>
          <w:noProof/>
        </w:rPr>
        <w:drawing>
          <wp:inline distT="0" distB="0" distL="0" distR="0" wp14:anchorId="333ECE98" wp14:editId="0B887AF5">
            <wp:extent cx="5623560" cy="2996638"/>
            <wp:effectExtent l="12700" t="12700" r="15240" b="13335"/>
            <wp:docPr id="22" name="Picture 22" descr="Figure 22. Global overcapacity risk strengthens the case for differentiation." title="Fig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2_overcapacity.png"/>
                    <pic:cNvPicPr/>
                  </pic:nvPicPr>
                  <pic:blipFill>
                    <a:blip r:embed="rId26"/>
                    <a:stretch>
                      <a:fillRect/>
                    </a:stretch>
                  </pic:blipFill>
                  <pic:spPr>
                    <a:xfrm>
                      <a:off x="0" y="0"/>
                      <a:ext cx="5623560" cy="2996638"/>
                    </a:xfrm>
                    <a:prstGeom prst="rect">
                      <a:avLst/>
                    </a:prstGeom>
                    <a:ln>
                      <a:solidFill>
                        <a:sysClr val="windowText" lastClr="000000"/>
                      </a:solidFill>
                    </a:ln>
                  </pic:spPr>
                </pic:pic>
              </a:graphicData>
            </a:graphic>
          </wp:inline>
        </w:drawing>
      </w:r>
    </w:p>
    <w:p w14:paraId="16832DCF" w14:textId="77777777" w:rsidR="006172CF" w:rsidRPr="00844D48" w:rsidRDefault="006172CF" w:rsidP="006172CF">
      <w:pPr>
        <w:spacing w:after="160"/>
        <w:jc w:val="center"/>
        <w:rPr>
          <w:b/>
          <w:bCs/>
        </w:rPr>
      </w:pPr>
      <w:r w:rsidRPr="00844D48">
        <w:rPr>
          <w:rFonts w:ascii="Arial" w:hAnsi="Arial"/>
          <w:b/>
          <w:bCs/>
          <w:i/>
          <w:sz w:val="18"/>
        </w:rPr>
        <w:t>Figure 22. Global overcapacity risk strengthens the case for differentiation.</w:t>
      </w:r>
    </w:p>
    <w:p w14:paraId="41811A5E"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Tata Steel must act by securing quality, certification and customer bookings in the absence of wide-scale availability of low-carbon capacity. It also needs to handle execution risk. The Port Talbot EAF experienced a delay of six to twelve months in electricity supply, demonstrating the fragility of strategic credibility through grid infrastructure (</w:t>
      </w:r>
      <w:proofErr w:type="spellStart"/>
      <w:r w:rsidRPr="00A16144">
        <w:rPr>
          <w:rFonts w:asciiTheme="minorBidi" w:hAnsiTheme="minorBidi" w:cstheme="minorBidi"/>
          <w:color w:val="000000"/>
          <w:kern w:val="0"/>
        </w:rPr>
        <w:t>Makortoff</w:t>
      </w:r>
      <w:proofErr w:type="spellEnd"/>
      <w:r w:rsidRPr="00A16144">
        <w:rPr>
          <w:rFonts w:asciiTheme="minorBidi" w:hAnsiTheme="minorBidi" w:cstheme="minorBidi"/>
          <w:color w:val="000000"/>
          <w:kern w:val="0"/>
        </w:rPr>
        <w:t xml:space="preserve">, 2026). This exposure can be mitigated with input partnerships. Hindustan Zinc's </w:t>
      </w:r>
      <w:proofErr w:type="spellStart"/>
      <w:r w:rsidRPr="00A16144">
        <w:rPr>
          <w:rFonts w:asciiTheme="minorBidi" w:hAnsiTheme="minorBidi" w:cstheme="minorBidi"/>
          <w:color w:val="000000"/>
          <w:kern w:val="0"/>
        </w:rPr>
        <w:t>EcoZen</w:t>
      </w:r>
      <w:proofErr w:type="spellEnd"/>
      <w:r w:rsidRPr="00A16144">
        <w:rPr>
          <w:rFonts w:asciiTheme="minorBidi" w:hAnsiTheme="minorBidi" w:cstheme="minorBidi"/>
          <w:color w:val="000000"/>
          <w:kern w:val="0"/>
        </w:rPr>
        <w:t xml:space="preserve"> low-carbon zinc is over 75% lower in carbon intensity, providing Tata Steel a path to lower-carbon coated products (Hindustan Zinc, 2026). Tata Steel's move into the advancement of SMS Group's </w:t>
      </w:r>
      <w:proofErr w:type="spellStart"/>
      <w:r w:rsidRPr="00A16144">
        <w:rPr>
          <w:rFonts w:asciiTheme="minorBidi" w:hAnsiTheme="minorBidi" w:cstheme="minorBidi"/>
          <w:color w:val="000000"/>
          <w:kern w:val="0"/>
        </w:rPr>
        <w:t>EASyMelt</w:t>
      </w:r>
      <w:proofErr w:type="spellEnd"/>
      <w:r w:rsidRPr="00A16144">
        <w:rPr>
          <w:rFonts w:asciiTheme="minorBidi" w:hAnsiTheme="minorBidi" w:cstheme="minorBidi"/>
          <w:color w:val="000000"/>
          <w:kern w:val="0"/>
        </w:rPr>
        <w:t xml:space="preserve"> technology also supports differentiated process innovation in ironmaking (Tata Steel, 2026d).</w:t>
      </w:r>
    </w:p>
    <w:p w14:paraId="10DD5C85" w14:textId="77777777" w:rsidR="006172CF" w:rsidRDefault="006172CF" w:rsidP="006172CF">
      <w:pPr>
        <w:jc w:val="center"/>
      </w:pPr>
      <w:r>
        <w:rPr>
          <w:noProof/>
        </w:rPr>
        <w:lastRenderedPageBreak/>
        <w:drawing>
          <wp:inline distT="0" distB="0" distL="0" distR="0" wp14:anchorId="0DE1C566" wp14:editId="295E9CF8">
            <wp:extent cx="5623560" cy="2996638"/>
            <wp:effectExtent l="12700" t="12700" r="15240" b="13335"/>
            <wp:docPr id="23" name="Picture 23" descr="Figure 23. Competitive advantage logic for Tata Steel’s lower-carbon business model." title="Fig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3_advantage_flywheel.png"/>
                    <pic:cNvPicPr/>
                  </pic:nvPicPr>
                  <pic:blipFill>
                    <a:blip r:embed="rId27"/>
                    <a:stretch>
                      <a:fillRect/>
                    </a:stretch>
                  </pic:blipFill>
                  <pic:spPr>
                    <a:xfrm>
                      <a:off x="0" y="0"/>
                      <a:ext cx="5623560" cy="2996638"/>
                    </a:xfrm>
                    <a:prstGeom prst="rect">
                      <a:avLst/>
                    </a:prstGeom>
                    <a:ln>
                      <a:solidFill>
                        <a:sysClr val="windowText" lastClr="000000"/>
                      </a:solidFill>
                    </a:ln>
                  </pic:spPr>
                </pic:pic>
              </a:graphicData>
            </a:graphic>
          </wp:inline>
        </w:drawing>
      </w:r>
    </w:p>
    <w:p w14:paraId="17332207" w14:textId="77777777" w:rsidR="006172CF" w:rsidRPr="00844D48" w:rsidRDefault="006172CF" w:rsidP="006172CF">
      <w:pPr>
        <w:spacing w:after="160"/>
        <w:jc w:val="center"/>
        <w:rPr>
          <w:b/>
          <w:bCs/>
        </w:rPr>
      </w:pPr>
      <w:r w:rsidRPr="00844D48">
        <w:rPr>
          <w:rFonts w:ascii="Arial" w:hAnsi="Arial"/>
          <w:b/>
          <w:bCs/>
          <w:i/>
          <w:sz w:val="18"/>
        </w:rPr>
        <w:t>Figure 23. Competitive advantage logic for Tata Steel’s lower-carbon business model.</w:t>
      </w:r>
    </w:p>
    <w:p w14:paraId="1FAD1381" w14:textId="77777777" w:rsidR="006172CF" w:rsidRPr="00A16144" w:rsidRDefault="006172CF" w:rsidP="006172CF">
      <w:pPr>
        <w:pStyle w:val="Heading2"/>
        <w:spacing w:line="360" w:lineRule="auto"/>
        <w:jc w:val="both"/>
        <w:rPr>
          <w:rFonts w:asciiTheme="minorBidi" w:hAnsiTheme="minorBidi" w:cstheme="minorBidi"/>
          <w:szCs w:val="24"/>
        </w:rPr>
      </w:pPr>
      <w:bookmarkStart w:id="9" w:name="_Toc232730121"/>
      <w:r w:rsidRPr="00A16144">
        <w:rPr>
          <w:rFonts w:asciiTheme="minorBidi" w:hAnsiTheme="minorBidi" w:cstheme="minorBidi"/>
          <w:szCs w:val="24"/>
        </w:rPr>
        <w:t>Implementation Priorities and Advantage Logic</w:t>
      </w:r>
      <w:bookmarkEnd w:id="9"/>
    </w:p>
    <w:p w14:paraId="4DD1EEBD"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There are four priorities for implementation. First, Tata Steel should release product-level carbon data for every low-carbon grade and </w:t>
      </w:r>
      <w:proofErr w:type="spellStart"/>
      <w:r w:rsidRPr="00A16144">
        <w:rPr>
          <w:rFonts w:asciiTheme="minorBidi" w:hAnsiTheme="minorBidi" w:cstheme="minorBidi"/>
          <w:color w:val="000000"/>
          <w:kern w:val="0"/>
        </w:rPr>
        <w:t>standardise</w:t>
      </w:r>
      <w:proofErr w:type="spellEnd"/>
      <w:r w:rsidRPr="00A16144">
        <w:rPr>
          <w:rFonts w:asciiTheme="minorBidi" w:hAnsiTheme="minorBidi" w:cstheme="minorBidi"/>
          <w:color w:val="000000"/>
          <w:kern w:val="0"/>
        </w:rPr>
        <w:t xml:space="preserve"> labels to conform to the national taxonomy, as Reuters reported that India's green steel classification will be reviewed every three years, making credible measurement a moving competitive requirement (2024). Second, it needs to establish anchor contracts with carmakers, as well as with contractors and public infrastructure providers, before it expands capacity. By 15 January 2026, there were 60 certified green-steel-producing units in India with 9.17 million </w:t>
      </w:r>
      <w:proofErr w:type="spellStart"/>
      <w:r w:rsidRPr="00A16144">
        <w:rPr>
          <w:rFonts w:asciiTheme="minorBidi" w:hAnsiTheme="minorBidi" w:cstheme="minorBidi"/>
          <w:color w:val="000000"/>
          <w:kern w:val="0"/>
        </w:rPr>
        <w:t>tonnes</w:t>
      </w:r>
      <w:proofErr w:type="spellEnd"/>
      <w:r w:rsidRPr="00A16144">
        <w:rPr>
          <w:rFonts w:asciiTheme="minorBidi" w:hAnsiTheme="minorBidi" w:cstheme="minorBidi"/>
          <w:color w:val="000000"/>
          <w:kern w:val="0"/>
        </w:rPr>
        <w:t xml:space="preserve"> of certified production, indicating that certification is increasingly emerging as a mechanism for market access instead of a voluntary badge (Climate Catalyst, 2026). Third, Tata Steel needs to restore customer confidence via the support of the UK supply chain, as per the UK Steel Strategy. 59 companies within Tata Steel's UK supply chain received grants, and 141 local businesses affected by transition were supported (Department for Business and Trade, 2026). Fourth, it should shed light on the need for policy-linked finance as India's steel ministry asked for Rs 150 billion (USD 1.74 billion) to support mills in reducing emissions (Reuters, 2025). This advantage leads to an established and verified low-carbon steel ecosystem. It introduces both scale and certification, locks in buyers and drives cleaner inputs and process innovation while taking Tata Steel out of commodity price competition.</w:t>
      </w:r>
    </w:p>
    <w:p w14:paraId="09C0AF51" w14:textId="77777777" w:rsidR="006172CF" w:rsidRPr="00A16144" w:rsidRDefault="006172CF" w:rsidP="006172CF">
      <w:pPr>
        <w:pStyle w:val="Heading1"/>
        <w:spacing w:line="360" w:lineRule="auto"/>
        <w:jc w:val="both"/>
        <w:rPr>
          <w:rFonts w:asciiTheme="minorBidi" w:hAnsiTheme="minorBidi" w:cstheme="minorBidi"/>
          <w:szCs w:val="24"/>
        </w:rPr>
      </w:pPr>
      <w:bookmarkStart w:id="10" w:name="_Toc232730122"/>
      <w:r w:rsidRPr="00A16144">
        <w:rPr>
          <w:rFonts w:asciiTheme="minorBidi" w:hAnsiTheme="minorBidi" w:cstheme="minorBidi"/>
          <w:szCs w:val="24"/>
        </w:rPr>
        <w:lastRenderedPageBreak/>
        <w:t>Task 3: Critical Reflection on AI Usage</w:t>
      </w:r>
      <w:bookmarkEnd w:id="10"/>
    </w:p>
    <w:p w14:paraId="4012640F"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Claude was only used for brainstorming in the initial planning phase of this report. It was tasked to identify potential angles for examining Tata Steel's transition to lower carbon products, such as pressure from nature, regulations, the demand for green steel, and strategic positioning. I did not use Claude to write the final report, select the evidence or make final academic judgements. As with the AI use acknowledgement, its output was treated as an initial idea generation tool, not to replace independent research, interpretation or academic responsibility. It is my own reading of the brief and selection and evaluation of relevant models and existing evidence that has led to the development of the final report.</w:t>
      </w:r>
    </w:p>
    <w:p w14:paraId="1C955EAE"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I critically </w:t>
      </w:r>
      <w:proofErr w:type="spellStart"/>
      <w:r w:rsidRPr="00A16144">
        <w:rPr>
          <w:rFonts w:asciiTheme="minorBidi" w:hAnsiTheme="minorBidi" w:cstheme="minorBidi"/>
          <w:color w:val="000000"/>
          <w:kern w:val="0"/>
        </w:rPr>
        <w:t>analysed</w:t>
      </w:r>
      <w:proofErr w:type="spellEnd"/>
      <w:r w:rsidRPr="00A16144">
        <w:rPr>
          <w:rFonts w:asciiTheme="minorBidi" w:hAnsiTheme="minorBidi" w:cstheme="minorBidi"/>
          <w:color w:val="000000"/>
          <w:kern w:val="0"/>
        </w:rPr>
        <w:t xml:space="preserve"> the AI's output by cross-checking each useful idea with credible sources before adding it to the report. I checked figures, investments, dates, emission figures and policy aspects in official company statements, government information, industry reports, and trusted media. When Claude made wide or unsupported statements, I deleted them or adjusted them to evidence-based arguments. I also identified further logical flaws, from the point of view that </w:t>
      </w:r>
      <w:proofErr w:type="spellStart"/>
      <w:r w:rsidRPr="00A16144">
        <w:rPr>
          <w:rFonts w:asciiTheme="minorBidi" w:hAnsiTheme="minorBidi" w:cstheme="minorBidi"/>
          <w:color w:val="000000"/>
          <w:kern w:val="0"/>
        </w:rPr>
        <w:t>decarbonisation</w:t>
      </w:r>
      <w:proofErr w:type="spellEnd"/>
      <w:r w:rsidRPr="00A16144">
        <w:rPr>
          <w:rFonts w:asciiTheme="minorBidi" w:hAnsiTheme="minorBidi" w:cstheme="minorBidi"/>
          <w:color w:val="000000"/>
          <w:kern w:val="0"/>
        </w:rPr>
        <w:t xml:space="preserve"> is automatically profitable, or that the credibility of all green steel claims is the same. This helped to mitigate the possibility of hallucinated evidence, flaky reasoning, and unsustainable evidence statements.</w:t>
      </w:r>
    </w:p>
    <w:p w14:paraId="295DFAC6"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The critical structure, argument and final judgement in the report were my own contribution. Claude assisted me in the identification of possible themes; I chose which themes were relevant to the assessment. The choice of Tata Steel was made as it gave enough proof of the external marketing environment analysis, and for strategic growth planning. For Task 1, I selected PESTLE and for Task 2, Product Development from the Ansoff Matrix. I was also able to articulate and develop the concept that Tata Steel should differentiate by offering verified low-carbon steel and not just simply by being the lowest priced. The interpretation, </w:t>
      </w:r>
      <w:proofErr w:type="spellStart"/>
      <w:r w:rsidRPr="00A16144">
        <w:rPr>
          <w:rFonts w:asciiTheme="minorBidi" w:hAnsiTheme="minorBidi" w:cstheme="minorBidi"/>
          <w:color w:val="000000"/>
          <w:kern w:val="0"/>
        </w:rPr>
        <w:t>prioritisation</w:t>
      </w:r>
      <w:proofErr w:type="spellEnd"/>
      <w:r w:rsidRPr="00A16144">
        <w:rPr>
          <w:rFonts w:asciiTheme="minorBidi" w:hAnsiTheme="minorBidi" w:cstheme="minorBidi"/>
          <w:color w:val="000000"/>
          <w:kern w:val="0"/>
        </w:rPr>
        <w:t xml:space="preserve"> and wording were therefore my responsibility.</w:t>
      </w:r>
    </w:p>
    <w:p w14:paraId="156A554D"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r w:rsidRPr="00A16144">
        <w:rPr>
          <w:rFonts w:asciiTheme="minorBidi" w:hAnsiTheme="minorBidi" w:cstheme="minorBidi"/>
          <w:color w:val="000000"/>
          <w:kern w:val="0"/>
        </w:rPr>
        <w:t xml:space="preserve">Ethically, using AI in marketing analysis requires transparency, verification and professional judgement. AI can assist students in learning by brainstorming and structuring their preliminary thinking, but it can also pose risks when misused. Examples of these risks are inaccurate citations, hidden bias, overconfident claims and greenwashing in the case of environmental claims, if they aren't properly checked. I incorporated the use of AI in this report as a limited brainstorming tool, </w:t>
      </w:r>
      <w:r w:rsidRPr="00A16144">
        <w:rPr>
          <w:rFonts w:asciiTheme="minorBidi" w:hAnsiTheme="minorBidi" w:cstheme="minorBidi"/>
          <w:color w:val="000000"/>
          <w:kern w:val="0"/>
        </w:rPr>
        <w:lastRenderedPageBreak/>
        <w:t xml:space="preserve">while maintaining control of the analysis. This was important as marketing decisions impact investors, customers, regulators and communities. Therefore, responsible use of AI implies </w:t>
      </w:r>
      <w:proofErr w:type="spellStart"/>
      <w:r w:rsidRPr="00A16144">
        <w:rPr>
          <w:rFonts w:asciiTheme="minorBidi" w:hAnsiTheme="minorBidi" w:cstheme="minorBidi"/>
          <w:color w:val="000000"/>
          <w:kern w:val="0"/>
        </w:rPr>
        <w:t>recognising</w:t>
      </w:r>
      <w:proofErr w:type="spellEnd"/>
      <w:r w:rsidRPr="00A16144">
        <w:rPr>
          <w:rFonts w:asciiTheme="minorBidi" w:hAnsiTheme="minorBidi" w:cstheme="minorBidi"/>
          <w:color w:val="000000"/>
          <w:kern w:val="0"/>
        </w:rPr>
        <w:t xml:space="preserve"> the assistance, thoroughly reviewing the evidence, and making sure that the provided work demonstrates overall academic judgment.</w:t>
      </w:r>
    </w:p>
    <w:p w14:paraId="2B571682"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p>
    <w:p w14:paraId="47074128"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p>
    <w:p w14:paraId="7C5B83C1" w14:textId="77777777" w:rsidR="006172CF" w:rsidRDefault="006172CF" w:rsidP="006172CF">
      <w:pPr>
        <w:rPr>
          <w:rFonts w:asciiTheme="minorBidi" w:eastAsiaTheme="majorEastAsia" w:hAnsiTheme="minorBidi" w:cstheme="minorBidi"/>
          <w:b/>
          <w:color w:val="000000" w:themeColor="text1"/>
        </w:rPr>
      </w:pPr>
      <w:bookmarkStart w:id="11" w:name="_Toc232730123"/>
      <w:r>
        <w:rPr>
          <w:rFonts w:asciiTheme="minorBidi" w:hAnsiTheme="minorBidi" w:cstheme="minorBidi"/>
        </w:rPr>
        <w:br w:type="page"/>
      </w:r>
    </w:p>
    <w:p w14:paraId="5DDA765A" w14:textId="77777777" w:rsidR="006172CF" w:rsidRPr="00386576" w:rsidRDefault="006172CF" w:rsidP="006172CF">
      <w:pPr>
        <w:pStyle w:val="Heading1"/>
        <w:spacing w:line="360" w:lineRule="auto"/>
        <w:jc w:val="both"/>
        <w:rPr>
          <w:rFonts w:asciiTheme="minorBidi" w:hAnsiTheme="minorBidi" w:cstheme="minorBidi"/>
          <w:szCs w:val="24"/>
        </w:rPr>
      </w:pPr>
      <w:r w:rsidRPr="00A16144">
        <w:rPr>
          <w:rFonts w:asciiTheme="minorBidi" w:hAnsiTheme="minorBidi" w:cstheme="minorBidi"/>
          <w:szCs w:val="24"/>
        </w:rPr>
        <w:lastRenderedPageBreak/>
        <w:t>References</w:t>
      </w:r>
      <w:bookmarkEnd w:id="11"/>
    </w:p>
    <w:p w14:paraId="20FB4279"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Acar, S. (2024). A review of Porter’s generic strategies: Strategy examples in international firms. </w:t>
      </w:r>
      <w:r w:rsidRPr="00A16144">
        <w:rPr>
          <w:rFonts w:asciiTheme="minorBidi" w:hAnsiTheme="minorBidi" w:cstheme="minorBidi"/>
          <w:i/>
          <w:iCs/>
          <w:color w:val="000000"/>
          <w:kern w:val="0"/>
        </w:rPr>
        <w:t>International Social Sciences Studies Journal</w:t>
      </w:r>
      <w:r w:rsidRPr="00A16144">
        <w:rPr>
          <w:rFonts w:asciiTheme="minorBidi" w:hAnsiTheme="minorBidi" w:cstheme="minorBidi"/>
          <w:color w:val="000000"/>
          <w:kern w:val="0"/>
        </w:rPr>
        <w:t>, </w:t>
      </w:r>
      <w:r w:rsidRPr="00A16144">
        <w:rPr>
          <w:rFonts w:asciiTheme="minorBidi" w:hAnsiTheme="minorBidi" w:cstheme="minorBidi"/>
          <w:i/>
          <w:iCs/>
          <w:color w:val="000000"/>
          <w:kern w:val="0"/>
        </w:rPr>
        <w:t>10</w:t>
      </w:r>
      <w:r w:rsidRPr="00A16144">
        <w:rPr>
          <w:rFonts w:asciiTheme="minorBidi" w:hAnsiTheme="minorBidi" w:cstheme="minorBidi"/>
          <w:color w:val="000000"/>
          <w:kern w:val="0"/>
        </w:rPr>
        <w:t>(11), 1902-1918.</w:t>
      </w:r>
    </w:p>
    <w:p w14:paraId="6231E563"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Carbon Tracker (2025) </w:t>
      </w:r>
      <w:r w:rsidRPr="00A16144">
        <w:rPr>
          <w:rFonts w:asciiTheme="minorBidi" w:hAnsiTheme="minorBidi" w:cstheme="minorBidi"/>
          <w:i/>
          <w:iCs/>
          <w:color w:val="000000"/>
          <w:kern w:val="0"/>
        </w:rPr>
        <w:t>Measuring transition: Tata Steel</w:t>
      </w:r>
      <w:r w:rsidRPr="00A16144">
        <w:rPr>
          <w:rFonts w:asciiTheme="minorBidi" w:hAnsiTheme="minorBidi" w:cstheme="minorBidi"/>
          <w:color w:val="000000"/>
          <w:kern w:val="0"/>
        </w:rPr>
        <w:t xml:space="preserve">. Available at: </w:t>
      </w:r>
      <w:hyperlink r:id="rId28" w:history="1">
        <w:r w:rsidRPr="00A16144">
          <w:rPr>
            <w:rFonts w:asciiTheme="minorBidi" w:hAnsiTheme="minorBidi" w:cstheme="minorBidi"/>
            <w:color w:val="000000"/>
            <w:kern w:val="0"/>
            <w:u w:val="single"/>
          </w:rPr>
          <w:t>https://carbontracker.org/reports/measuring-transition-tata-steel/</w:t>
        </w:r>
      </w:hyperlink>
      <w:r w:rsidRPr="00A16144">
        <w:rPr>
          <w:rFonts w:asciiTheme="minorBidi" w:hAnsiTheme="minorBidi" w:cstheme="minorBidi"/>
          <w:color w:val="000000"/>
          <w:kern w:val="0"/>
        </w:rPr>
        <w:t xml:space="preserve"> (Accessed: 19 June 2026).</w:t>
      </w:r>
    </w:p>
    <w:p w14:paraId="2F39E11B"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Climate Catalyst (2026) </w:t>
      </w:r>
      <w:proofErr w:type="spellStart"/>
      <w:r w:rsidRPr="00A16144">
        <w:rPr>
          <w:rFonts w:asciiTheme="minorBidi" w:hAnsiTheme="minorBidi" w:cstheme="minorBidi"/>
          <w:i/>
          <w:iCs/>
          <w:color w:val="000000"/>
          <w:kern w:val="0"/>
        </w:rPr>
        <w:t>Catalysing</w:t>
      </w:r>
      <w:proofErr w:type="spellEnd"/>
      <w:r w:rsidRPr="00A16144">
        <w:rPr>
          <w:rFonts w:asciiTheme="minorBidi" w:hAnsiTheme="minorBidi" w:cstheme="minorBidi"/>
          <w:i/>
          <w:iCs/>
          <w:color w:val="000000"/>
          <w:kern w:val="0"/>
        </w:rPr>
        <w:t xml:space="preserve"> demand for green steel through public procurement in India</w:t>
      </w:r>
      <w:r w:rsidRPr="00A16144">
        <w:rPr>
          <w:rFonts w:asciiTheme="minorBidi" w:hAnsiTheme="minorBidi" w:cstheme="minorBidi"/>
          <w:color w:val="000000"/>
          <w:kern w:val="0"/>
        </w:rPr>
        <w:t xml:space="preserve">. Available at: </w:t>
      </w:r>
      <w:hyperlink r:id="rId29" w:history="1">
        <w:r w:rsidRPr="00A16144">
          <w:rPr>
            <w:rFonts w:asciiTheme="minorBidi" w:hAnsiTheme="minorBidi" w:cstheme="minorBidi"/>
            <w:color w:val="000000"/>
            <w:kern w:val="0"/>
            <w:u w:val="single"/>
          </w:rPr>
          <w:t>https://climatecatalyst.org/wp-content/uploads/2026/02/Catalysing-Demand-for-Green-Steel-through-Public-Procurement-in-India-Executive-Summary.pdf</w:t>
        </w:r>
      </w:hyperlink>
      <w:r w:rsidRPr="00A16144">
        <w:rPr>
          <w:rFonts w:asciiTheme="minorBidi" w:hAnsiTheme="minorBidi" w:cstheme="minorBidi"/>
          <w:color w:val="000000"/>
          <w:kern w:val="0"/>
        </w:rPr>
        <w:t xml:space="preserve"> (Accessed: 19 June 2026).</w:t>
      </w:r>
    </w:p>
    <w:p w14:paraId="5A7D8FFD"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Department for Business and Trade (2026) </w:t>
      </w:r>
      <w:r w:rsidRPr="00A16144">
        <w:rPr>
          <w:rFonts w:asciiTheme="minorBidi" w:hAnsiTheme="minorBidi" w:cstheme="minorBidi"/>
          <w:i/>
          <w:iCs/>
          <w:color w:val="000000"/>
          <w:kern w:val="0"/>
        </w:rPr>
        <w:t>The UK steel strategy</w:t>
      </w:r>
      <w:r w:rsidRPr="00A16144">
        <w:rPr>
          <w:rFonts w:asciiTheme="minorBidi" w:hAnsiTheme="minorBidi" w:cstheme="minorBidi"/>
          <w:color w:val="000000"/>
          <w:kern w:val="0"/>
        </w:rPr>
        <w:t xml:space="preserve">. Available at: </w:t>
      </w:r>
      <w:hyperlink r:id="rId30" w:history="1">
        <w:r w:rsidRPr="00A16144">
          <w:rPr>
            <w:rFonts w:asciiTheme="minorBidi" w:hAnsiTheme="minorBidi" w:cstheme="minorBidi"/>
            <w:color w:val="000000"/>
            <w:kern w:val="0"/>
            <w:u w:val="single"/>
          </w:rPr>
          <w:t>https://www.gov.uk/government/publications/steel-strategy/the-uk-steel-strategy-web-version</w:t>
        </w:r>
      </w:hyperlink>
      <w:r w:rsidRPr="00A16144">
        <w:rPr>
          <w:rFonts w:asciiTheme="minorBidi" w:hAnsiTheme="minorBidi" w:cstheme="minorBidi"/>
          <w:color w:val="000000"/>
          <w:kern w:val="0"/>
        </w:rPr>
        <w:t xml:space="preserve"> (Accessed: 19 June 2026).</w:t>
      </w:r>
    </w:p>
    <w:p w14:paraId="1E09CC2E"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Department for Business and Trade (2026a) </w:t>
      </w:r>
      <w:r w:rsidRPr="00A16144">
        <w:rPr>
          <w:rFonts w:asciiTheme="minorBidi" w:hAnsiTheme="minorBidi" w:cstheme="minorBidi"/>
          <w:i/>
          <w:iCs/>
          <w:color w:val="000000"/>
          <w:kern w:val="0"/>
        </w:rPr>
        <w:t>The UK steel strategy</w:t>
      </w:r>
      <w:r w:rsidRPr="00A16144">
        <w:rPr>
          <w:rFonts w:asciiTheme="minorBidi" w:hAnsiTheme="minorBidi" w:cstheme="minorBidi"/>
          <w:color w:val="000000"/>
          <w:kern w:val="0"/>
        </w:rPr>
        <w:t xml:space="preserve">. Available at: </w:t>
      </w:r>
      <w:hyperlink r:id="rId31" w:history="1">
        <w:r w:rsidRPr="00A16144">
          <w:rPr>
            <w:rFonts w:asciiTheme="minorBidi" w:hAnsiTheme="minorBidi" w:cstheme="minorBidi"/>
            <w:color w:val="000000"/>
            <w:kern w:val="0"/>
            <w:u w:val="single"/>
          </w:rPr>
          <w:t>https://www.gov.uk/government/publications/steel-strategy/the-uk-steel-strategy-web-version</w:t>
        </w:r>
      </w:hyperlink>
      <w:r w:rsidRPr="00A16144">
        <w:rPr>
          <w:rFonts w:asciiTheme="minorBidi" w:hAnsiTheme="minorBidi" w:cstheme="minorBidi"/>
          <w:color w:val="000000"/>
          <w:kern w:val="0"/>
        </w:rPr>
        <w:t xml:space="preserve">  (Accessed: 19 June 2026).</w:t>
      </w:r>
    </w:p>
    <w:p w14:paraId="78EAD06E"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Department for Business and Trade (2026b) </w:t>
      </w:r>
      <w:r w:rsidRPr="00A16144">
        <w:rPr>
          <w:rFonts w:asciiTheme="minorBidi" w:hAnsiTheme="minorBidi" w:cstheme="minorBidi"/>
          <w:i/>
          <w:iCs/>
          <w:color w:val="000000"/>
          <w:kern w:val="0"/>
        </w:rPr>
        <w:t>EU Carbon Border Adjustment Mechanism</w:t>
      </w:r>
      <w:r w:rsidRPr="00A16144">
        <w:rPr>
          <w:rFonts w:asciiTheme="minorBidi" w:hAnsiTheme="minorBidi" w:cstheme="minorBidi"/>
          <w:color w:val="000000"/>
          <w:kern w:val="0"/>
        </w:rPr>
        <w:t xml:space="preserve">. Available at: </w:t>
      </w:r>
      <w:hyperlink r:id="rId32" w:history="1">
        <w:r w:rsidRPr="00A16144">
          <w:rPr>
            <w:rFonts w:asciiTheme="minorBidi" w:hAnsiTheme="minorBidi" w:cstheme="minorBidi"/>
            <w:color w:val="000000"/>
            <w:kern w:val="0"/>
            <w:u w:val="single"/>
          </w:rPr>
          <w:t>https://www.business.gov.uk/campaign/europe/european-union-eu-regulations/eu-carbon-border-adjustment-mechanism-eu-cbam/</w:t>
        </w:r>
      </w:hyperlink>
      <w:r w:rsidRPr="00A16144">
        <w:rPr>
          <w:rFonts w:asciiTheme="minorBidi" w:hAnsiTheme="minorBidi" w:cstheme="minorBidi"/>
          <w:color w:val="000000"/>
          <w:kern w:val="0"/>
        </w:rPr>
        <w:t xml:space="preserve">  (Accessed: 19 June 2026).</w:t>
      </w:r>
    </w:p>
    <w:p w14:paraId="634B165A"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DNV (2026) </w:t>
      </w:r>
      <w:proofErr w:type="spellStart"/>
      <w:r w:rsidRPr="00A16144">
        <w:rPr>
          <w:rFonts w:asciiTheme="minorBidi" w:hAnsiTheme="minorBidi" w:cstheme="minorBidi"/>
          <w:i/>
          <w:iCs/>
          <w:color w:val="000000"/>
          <w:kern w:val="0"/>
        </w:rPr>
        <w:t>ResponsibleSteel</w:t>
      </w:r>
      <w:proofErr w:type="spellEnd"/>
      <w:r w:rsidRPr="00A16144">
        <w:rPr>
          <w:rFonts w:asciiTheme="minorBidi" w:hAnsiTheme="minorBidi" w:cstheme="minorBidi"/>
          <w:i/>
          <w:iCs/>
          <w:color w:val="000000"/>
          <w:kern w:val="0"/>
        </w:rPr>
        <w:t xml:space="preserve"> certification services</w:t>
      </w:r>
      <w:r w:rsidRPr="00A16144">
        <w:rPr>
          <w:rFonts w:asciiTheme="minorBidi" w:hAnsiTheme="minorBidi" w:cstheme="minorBidi"/>
          <w:color w:val="000000"/>
          <w:kern w:val="0"/>
        </w:rPr>
        <w:t xml:space="preserve">. Available at: </w:t>
      </w:r>
      <w:hyperlink r:id="rId33" w:history="1">
        <w:r w:rsidRPr="00A16144">
          <w:rPr>
            <w:rFonts w:asciiTheme="minorBidi" w:hAnsiTheme="minorBidi" w:cstheme="minorBidi"/>
            <w:color w:val="000000"/>
            <w:kern w:val="0"/>
            <w:u w:val="single"/>
          </w:rPr>
          <w:t>https://www.dnv.com/services/supply-chain-assurance/responsible-sourcing-and-production/responsiblesteel-certification-services/</w:t>
        </w:r>
      </w:hyperlink>
      <w:r w:rsidRPr="00A16144">
        <w:rPr>
          <w:rFonts w:asciiTheme="minorBidi" w:hAnsiTheme="minorBidi" w:cstheme="minorBidi"/>
          <w:color w:val="000000"/>
          <w:kern w:val="0"/>
        </w:rPr>
        <w:t xml:space="preserve"> (Accessed: 19 June 2026).</w:t>
      </w:r>
    </w:p>
    <w:p w14:paraId="52A5676A"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European Commission (2026a) </w:t>
      </w:r>
      <w:r w:rsidRPr="00A16144">
        <w:rPr>
          <w:rFonts w:asciiTheme="minorBidi" w:hAnsiTheme="minorBidi" w:cstheme="minorBidi"/>
          <w:i/>
          <w:iCs/>
          <w:color w:val="000000"/>
          <w:kern w:val="0"/>
        </w:rPr>
        <w:t>CBAM successfully entered into force on 1 January 2026</w:t>
      </w:r>
      <w:r w:rsidRPr="00A16144">
        <w:rPr>
          <w:rFonts w:asciiTheme="minorBidi" w:hAnsiTheme="minorBidi" w:cstheme="minorBidi"/>
          <w:color w:val="000000"/>
          <w:kern w:val="0"/>
        </w:rPr>
        <w:t xml:space="preserve">. Available at: </w:t>
      </w:r>
      <w:hyperlink r:id="rId34" w:history="1">
        <w:r w:rsidRPr="00A16144">
          <w:rPr>
            <w:rFonts w:asciiTheme="minorBidi" w:hAnsiTheme="minorBidi" w:cstheme="minorBidi"/>
            <w:color w:val="000000"/>
            <w:kern w:val="0"/>
            <w:u w:val="single"/>
          </w:rPr>
          <w:t>https://taxation-customs.ec.europa.eu/news/cbam-successfully-entered-force-1-january-2026-2026-01-14_en</w:t>
        </w:r>
      </w:hyperlink>
      <w:r w:rsidRPr="00A16144">
        <w:rPr>
          <w:rFonts w:asciiTheme="minorBidi" w:hAnsiTheme="minorBidi" w:cstheme="minorBidi"/>
          <w:color w:val="000000"/>
          <w:kern w:val="0"/>
        </w:rPr>
        <w:t xml:space="preserve">  (Accessed: 19 June 2026).</w:t>
      </w:r>
    </w:p>
    <w:p w14:paraId="2E7D3CDA"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lastRenderedPageBreak/>
        <w:t xml:space="preserve">EY (2025) </w:t>
      </w:r>
      <w:r w:rsidRPr="00A16144">
        <w:rPr>
          <w:rFonts w:asciiTheme="minorBidi" w:hAnsiTheme="minorBidi" w:cstheme="minorBidi"/>
          <w:i/>
          <w:iCs/>
          <w:color w:val="000000"/>
          <w:kern w:val="0"/>
        </w:rPr>
        <w:t>Unlocking green steel demand: An assessment of India’s automotive, infrastructure and construction sectors</w:t>
      </w:r>
      <w:r w:rsidRPr="00A16144">
        <w:rPr>
          <w:rFonts w:asciiTheme="minorBidi" w:hAnsiTheme="minorBidi" w:cstheme="minorBidi"/>
          <w:color w:val="000000"/>
          <w:kern w:val="0"/>
        </w:rPr>
        <w:t xml:space="preserve">. Available at: </w:t>
      </w:r>
      <w:hyperlink r:id="rId35" w:history="1">
        <w:r w:rsidRPr="00A16144">
          <w:rPr>
            <w:rFonts w:asciiTheme="minorBidi" w:hAnsiTheme="minorBidi" w:cstheme="minorBidi"/>
            <w:color w:val="000000"/>
            <w:kern w:val="0"/>
            <w:u w:val="single"/>
          </w:rPr>
          <w:t>https://www.ey.com/content/dam/ey-unified-site/ey-com/en-in/insights/mining-metals/doucments/ey-unlocking-green-steel-demand-digital.pdf</w:t>
        </w:r>
      </w:hyperlink>
      <w:r w:rsidRPr="00A16144">
        <w:rPr>
          <w:rFonts w:asciiTheme="minorBidi" w:hAnsiTheme="minorBidi" w:cstheme="minorBidi"/>
          <w:color w:val="000000"/>
          <w:kern w:val="0"/>
        </w:rPr>
        <w:t xml:space="preserve"> (Accessed: 19 June 2026).</w:t>
      </w:r>
    </w:p>
    <w:p w14:paraId="15944DE4"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Ferreira, A. P. P. F. S., and de Sá, M. M. B. P. (2024). The importance of the Ansoff matrix for the study of the information services market. </w:t>
      </w:r>
      <w:r w:rsidRPr="00A16144">
        <w:rPr>
          <w:rFonts w:asciiTheme="minorBidi" w:hAnsiTheme="minorBidi" w:cstheme="minorBidi"/>
          <w:i/>
          <w:iCs/>
          <w:color w:val="000000"/>
          <w:kern w:val="0"/>
        </w:rPr>
        <w:t>The Canadian Journal of Information and Library Science</w:t>
      </w:r>
      <w:r w:rsidRPr="00A16144">
        <w:rPr>
          <w:rFonts w:asciiTheme="minorBidi" w:hAnsiTheme="minorBidi" w:cstheme="minorBidi"/>
          <w:color w:val="000000"/>
          <w:kern w:val="0"/>
        </w:rPr>
        <w:t>, </w:t>
      </w:r>
      <w:r w:rsidRPr="00A16144">
        <w:rPr>
          <w:rFonts w:asciiTheme="minorBidi" w:hAnsiTheme="minorBidi" w:cstheme="minorBidi"/>
          <w:i/>
          <w:iCs/>
          <w:color w:val="000000"/>
          <w:kern w:val="0"/>
        </w:rPr>
        <w:t>47</w:t>
      </w:r>
      <w:r w:rsidRPr="00A16144">
        <w:rPr>
          <w:rFonts w:asciiTheme="minorBidi" w:hAnsiTheme="minorBidi" w:cstheme="minorBidi"/>
          <w:color w:val="000000"/>
          <w:kern w:val="0"/>
        </w:rPr>
        <w:t>(2), 78-84.</w:t>
      </w:r>
    </w:p>
    <w:p w14:paraId="757CDD5F"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Hindustan Zinc (2026) </w:t>
      </w:r>
      <w:r w:rsidRPr="00A16144">
        <w:rPr>
          <w:rFonts w:asciiTheme="minorBidi" w:hAnsiTheme="minorBidi" w:cstheme="minorBidi"/>
          <w:i/>
          <w:iCs/>
          <w:color w:val="000000"/>
          <w:kern w:val="0"/>
        </w:rPr>
        <w:t xml:space="preserve">Hindustan Zinc and Tata Steel partner to scale low-carbon zinc solutions with </w:t>
      </w:r>
      <w:proofErr w:type="spellStart"/>
      <w:r w:rsidRPr="00A16144">
        <w:rPr>
          <w:rFonts w:asciiTheme="minorBidi" w:hAnsiTheme="minorBidi" w:cstheme="minorBidi"/>
          <w:i/>
          <w:iCs/>
          <w:color w:val="000000"/>
          <w:kern w:val="0"/>
        </w:rPr>
        <w:t>EcoZen</w:t>
      </w:r>
      <w:proofErr w:type="spellEnd"/>
      <w:r w:rsidRPr="00A16144">
        <w:rPr>
          <w:rFonts w:asciiTheme="minorBidi" w:hAnsiTheme="minorBidi" w:cstheme="minorBidi"/>
          <w:color w:val="000000"/>
          <w:kern w:val="0"/>
        </w:rPr>
        <w:t xml:space="preserve">. Available at: </w:t>
      </w:r>
      <w:hyperlink r:id="rId36" w:history="1">
        <w:r w:rsidRPr="00A16144">
          <w:rPr>
            <w:rFonts w:asciiTheme="minorBidi" w:hAnsiTheme="minorBidi" w:cstheme="minorBidi"/>
            <w:color w:val="000000"/>
            <w:kern w:val="0"/>
            <w:u w:val="single"/>
          </w:rPr>
          <w:t>https://www.hzlindia.com/news-and-media/press-release/hindustan-zinc-and-tata-steel-partner-to-scale-low-carbon-zinc-solutions-with-eco-zen</w:t>
        </w:r>
      </w:hyperlink>
      <w:r w:rsidRPr="00A16144">
        <w:rPr>
          <w:rFonts w:asciiTheme="minorBidi" w:hAnsiTheme="minorBidi" w:cstheme="minorBidi"/>
          <w:color w:val="000000"/>
          <w:kern w:val="0"/>
        </w:rPr>
        <w:t xml:space="preserve"> (Accessed: 19 June 2026).</w:t>
      </w:r>
    </w:p>
    <w:p w14:paraId="52457288"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proofErr w:type="spellStart"/>
      <w:r w:rsidRPr="00A16144">
        <w:rPr>
          <w:rFonts w:asciiTheme="minorBidi" w:hAnsiTheme="minorBidi" w:cstheme="minorBidi"/>
          <w:color w:val="000000"/>
          <w:kern w:val="0"/>
        </w:rPr>
        <w:t>IDTechEx</w:t>
      </w:r>
      <w:proofErr w:type="spellEnd"/>
      <w:r w:rsidRPr="00A16144">
        <w:rPr>
          <w:rFonts w:asciiTheme="minorBidi" w:hAnsiTheme="minorBidi" w:cstheme="minorBidi"/>
          <w:color w:val="000000"/>
          <w:kern w:val="0"/>
        </w:rPr>
        <w:t xml:space="preserve"> (2025) </w:t>
      </w:r>
      <w:r w:rsidRPr="00A16144">
        <w:rPr>
          <w:rFonts w:asciiTheme="minorBidi" w:hAnsiTheme="minorBidi" w:cstheme="minorBidi"/>
          <w:i/>
          <w:iCs/>
          <w:color w:val="000000"/>
          <w:kern w:val="0"/>
        </w:rPr>
        <w:t>How automotive and other sectors create green steel demand</w:t>
      </w:r>
      <w:r w:rsidRPr="00A16144">
        <w:rPr>
          <w:rFonts w:asciiTheme="minorBidi" w:hAnsiTheme="minorBidi" w:cstheme="minorBidi"/>
          <w:color w:val="000000"/>
          <w:kern w:val="0"/>
        </w:rPr>
        <w:t xml:space="preserve">. Available at: </w:t>
      </w:r>
      <w:hyperlink r:id="rId37" w:history="1">
        <w:r w:rsidRPr="00A16144">
          <w:rPr>
            <w:rFonts w:asciiTheme="minorBidi" w:hAnsiTheme="minorBidi" w:cstheme="minorBidi"/>
            <w:color w:val="000000"/>
            <w:kern w:val="0"/>
            <w:u w:val="single"/>
          </w:rPr>
          <w:t>https://www.idtechex.com/en/research-article/how-automotive-and-other-sectors-create-green-steel-demand/33586</w:t>
        </w:r>
      </w:hyperlink>
      <w:r w:rsidRPr="00A16144">
        <w:rPr>
          <w:rFonts w:asciiTheme="minorBidi" w:hAnsiTheme="minorBidi" w:cstheme="minorBidi"/>
          <w:color w:val="000000"/>
          <w:kern w:val="0"/>
        </w:rPr>
        <w:t xml:space="preserve"> (Accessed: 19 June 2026).</w:t>
      </w:r>
    </w:p>
    <w:p w14:paraId="4D47B056"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IEA (2025a) </w:t>
      </w:r>
      <w:r w:rsidRPr="00A16144">
        <w:rPr>
          <w:rFonts w:asciiTheme="minorBidi" w:hAnsiTheme="minorBidi" w:cstheme="minorBidi"/>
          <w:i/>
          <w:iCs/>
          <w:color w:val="000000"/>
          <w:kern w:val="0"/>
        </w:rPr>
        <w:t>Iron and steel</w:t>
      </w:r>
      <w:r w:rsidRPr="00A16144">
        <w:rPr>
          <w:rFonts w:asciiTheme="minorBidi" w:hAnsiTheme="minorBidi" w:cstheme="minorBidi"/>
          <w:color w:val="000000"/>
          <w:kern w:val="0"/>
        </w:rPr>
        <w:t xml:space="preserve">. Available at: </w:t>
      </w:r>
      <w:hyperlink r:id="rId38" w:history="1">
        <w:r w:rsidRPr="00A16144">
          <w:rPr>
            <w:rFonts w:asciiTheme="minorBidi" w:hAnsiTheme="minorBidi" w:cstheme="minorBidi"/>
            <w:color w:val="000000"/>
            <w:kern w:val="0"/>
            <w:u w:val="single"/>
          </w:rPr>
          <w:t>https://www.iea.org/energy-system/industry/steel</w:t>
        </w:r>
      </w:hyperlink>
      <w:r w:rsidRPr="00A16144">
        <w:rPr>
          <w:rFonts w:asciiTheme="minorBidi" w:hAnsiTheme="minorBidi" w:cstheme="minorBidi"/>
          <w:color w:val="000000"/>
          <w:kern w:val="0"/>
        </w:rPr>
        <w:t xml:space="preserve">  (Accessed: 19 June 2026).</w:t>
      </w:r>
    </w:p>
    <w:p w14:paraId="5244A06B"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Klimek, P., and </w:t>
      </w:r>
      <w:proofErr w:type="spellStart"/>
      <w:r w:rsidRPr="00A16144">
        <w:rPr>
          <w:rFonts w:asciiTheme="minorBidi" w:hAnsiTheme="minorBidi" w:cstheme="minorBidi"/>
          <w:color w:val="000000"/>
          <w:kern w:val="0"/>
        </w:rPr>
        <w:t>Fooladi</w:t>
      </w:r>
      <w:proofErr w:type="spellEnd"/>
      <w:r w:rsidRPr="00A16144">
        <w:rPr>
          <w:rFonts w:asciiTheme="minorBidi" w:hAnsiTheme="minorBidi" w:cstheme="minorBidi"/>
          <w:color w:val="000000"/>
          <w:kern w:val="0"/>
        </w:rPr>
        <w:t>, J. (2026). The Steel Scrap Age: Bridging the Quality Gap through Structural Supply Chain Reorganization. </w:t>
      </w:r>
      <w:proofErr w:type="spellStart"/>
      <w:r w:rsidRPr="00A16144">
        <w:rPr>
          <w:rFonts w:asciiTheme="minorBidi" w:hAnsiTheme="minorBidi" w:cstheme="minorBidi"/>
          <w:i/>
          <w:iCs/>
          <w:color w:val="000000"/>
          <w:kern w:val="0"/>
        </w:rPr>
        <w:t>arXiv</w:t>
      </w:r>
      <w:proofErr w:type="spellEnd"/>
      <w:r w:rsidRPr="00A16144">
        <w:rPr>
          <w:rFonts w:asciiTheme="minorBidi" w:hAnsiTheme="minorBidi" w:cstheme="minorBidi"/>
          <w:i/>
          <w:iCs/>
          <w:color w:val="000000"/>
          <w:kern w:val="0"/>
        </w:rPr>
        <w:t xml:space="preserve"> preprint arXiv:2605.28178</w:t>
      </w:r>
      <w:r w:rsidRPr="00A16144">
        <w:rPr>
          <w:rFonts w:asciiTheme="minorBidi" w:hAnsiTheme="minorBidi" w:cstheme="minorBidi"/>
          <w:color w:val="000000"/>
          <w:kern w:val="0"/>
        </w:rPr>
        <w:t>.</w:t>
      </w:r>
    </w:p>
    <w:p w14:paraId="2DCB0629"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Kotler, P. et al. (2024) </w:t>
      </w:r>
      <w:r w:rsidRPr="00A16144">
        <w:rPr>
          <w:rFonts w:asciiTheme="minorBidi" w:hAnsiTheme="minorBidi" w:cstheme="minorBidi"/>
          <w:i/>
          <w:iCs/>
          <w:color w:val="000000"/>
          <w:kern w:val="0"/>
        </w:rPr>
        <w:t>Principles of marketing</w:t>
      </w:r>
      <w:r w:rsidRPr="00A16144">
        <w:rPr>
          <w:rFonts w:asciiTheme="minorBidi" w:hAnsiTheme="minorBidi" w:cstheme="minorBidi"/>
          <w:color w:val="000000"/>
          <w:kern w:val="0"/>
        </w:rPr>
        <w:t xml:space="preserve">. 19th </w:t>
      </w:r>
      <w:proofErr w:type="spellStart"/>
      <w:r w:rsidRPr="00A16144">
        <w:rPr>
          <w:rFonts w:asciiTheme="minorBidi" w:hAnsiTheme="minorBidi" w:cstheme="minorBidi"/>
          <w:color w:val="000000"/>
          <w:kern w:val="0"/>
        </w:rPr>
        <w:t>edn</w:t>
      </w:r>
      <w:proofErr w:type="spellEnd"/>
      <w:r w:rsidRPr="00A16144">
        <w:rPr>
          <w:rFonts w:asciiTheme="minorBidi" w:hAnsiTheme="minorBidi" w:cstheme="minorBidi"/>
          <w:color w:val="000000"/>
          <w:kern w:val="0"/>
        </w:rPr>
        <w:t>. Harlow: Pearson.</w:t>
      </w:r>
    </w:p>
    <w:p w14:paraId="60B80BD7"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Makortoff, K. (2026) ‘Unions attack delay for Tata Steel furnace’s grid connection in south Wales’, </w:t>
      </w:r>
      <w:r w:rsidRPr="00A16144">
        <w:rPr>
          <w:rFonts w:asciiTheme="minorBidi" w:hAnsiTheme="minorBidi" w:cstheme="minorBidi"/>
          <w:i/>
          <w:iCs/>
          <w:color w:val="000000"/>
          <w:kern w:val="0"/>
        </w:rPr>
        <w:t>The Guardian</w:t>
      </w:r>
      <w:r w:rsidRPr="00A16144">
        <w:rPr>
          <w:rFonts w:asciiTheme="minorBidi" w:hAnsiTheme="minorBidi" w:cstheme="minorBidi"/>
          <w:color w:val="000000"/>
          <w:kern w:val="0"/>
        </w:rPr>
        <w:t xml:space="preserve">, 8 June. Available at: </w:t>
      </w:r>
      <w:hyperlink r:id="rId39" w:history="1">
        <w:r w:rsidRPr="00A16144">
          <w:rPr>
            <w:rFonts w:asciiTheme="minorBidi" w:hAnsiTheme="minorBidi" w:cstheme="minorBidi"/>
            <w:color w:val="000000"/>
            <w:kern w:val="0"/>
            <w:u w:val="single"/>
          </w:rPr>
          <w:t>https://www.theguardian.com/business/2026/jun/08/unions-attack-delay-tata-steel-furnaces-grid-connection-south-wales</w:t>
        </w:r>
      </w:hyperlink>
      <w:r w:rsidRPr="00A16144">
        <w:rPr>
          <w:rFonts w:asciiTheme="minorBidi" w:hAnsiTheme="minorBidi" w:cstheme="minorBidi"/>
          <w:color w:val="000000"/>
          <w:kern w:val="0"/>
        </w:rPr>
        <w:t xml:space="preserve"> (Accessed: 19 June 2026).</w:t>
      </w:r>
    </w:p>
    <w:p w14:paraId="0FAB12BF"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Morone, P., and Alfino, A. (2025). Impact of the EU carbon border adjustment mechanism on the global south. </w:t>
      </w:r>
      <w:r w:rsidRPr="00A16144">
        <w:rPr>
          <w:rFonts w:asciiTheme="minorBidi" w:hAnsiTheme="minorBidi" w:cstheme="minorBidi"/>
          <w:i/>
          <w:iCs/>
          <w:color w:val="000000"/>
          <w:kern w:val="0"/>
        </w:rPr>
        <w:t>Discover Sustainability</w:t>
      </w:r>
      <w:r w:rsidRPr="00A16144">
        <w:rPr>
          <w:rFonts w:asciiTheme="minorBidi" w:hAnsiTheme="minorBidi" w:cstheme="minorBidi"/>
          <w:color w:val="000000"/>
          <w:kern w:val="0"/>
        </w:rPr>
        <w:t>, </w:t>
      </w:r>
      <w:r w:rsidRPr="00A16144">
        <w:rPr>
          <w:rFonts w:asciiTheme="minorBidi" w:hAnsiTheme="minorBidi" w:cstheme="minorBidi"/>
          <w:i/>
          <w:iCs/>
          <w:color w:val="000000"/>
          <w:kern w:val="0"/>
        </w:rPr>
        <w:t>6</w:t>
      </w:r>
      <w:r w:rsidRPr="00A16144">
        <w:rPr>
          <w:rFonts w:asciiTheme="minorBidi" w:hAnsiTheme="minorBidi" w:cstheme="minorBidi"/>
          <w:color w:val="000000"/>
          <w:kern w:val="0"/>
        </w:rPr>
        <w:t>(1), 315.</w:t>
      </w:r>
    </w:p>
    <w:p w14:paraId="30FAE27C"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lastRenderedPageBreak/>
        <w:t xml:space="preserve">NISST (2025) </w:t>
      </w:r>
      <w:r w:rsidRPr="00A16144">
        <w:rPr>
          <w:rFonts w:asciiTheme="minorBidi" w:hAnsiTheme="minorBidi" w:cstheme="minorBidi"/>
          <w:i/>
          <w:iCs/>
          <w:color w:val="000000"/>
          <w:kern w:val="0"/>
        </w:rPr>
        <w:t>Guideline for Green Steel Certification</w:t>
      </w:r>
      <w:r w:rsidRPr="00A16144">
        <w:rPr>
          <w:rFonts w:asciiTheme="minorBidi" w:hAnsiTheme="minorBidi" w:cstheme="minorBidi"/>
          <w:color w:val="000000"/>
          <w:kern w:val="0"/>
        </w:rPr>
        <w:t xml:space="preserve">. Available at: </w:t>
      </w:r>
      <w:hyperlink r:id="rId40" w:history="1">
        <w:r w:rsidRPr="00A16144">
          <w:rPr>
            <w:rFonts w:asciiTheme="minorBidi" w:hAnsiTheme="minorBidi" w:cstheme="minorBidi"/>
            <w:color w:val="000000"/>
            <w:kern w:val="0"/>
            <w:u w:val="single"/>
          </w:rPr>
          <w:t>https://nisst.org/wp-content/uploads/2025/12/Guideline-for-Green-Steel-Certification_30.12.2025-compressed.pdf</w:t>
        </w:r>
      </w:hyperlink>
      <w:r w:rsidRPr="00A16144">
        <w:rPr>
          <w:rFonts w:asciiTheme="minorBidi" w:hAnsiTheme="minorBidi" w:cstheme="minorBidi"/>
          <w:color w:val="000000"/>
          <w:kern w:val="0"/>
        </w:rPr>
        <w:t xml:space="preserve"> (Accessed: 19 June 2026).</w:t>
      </w:r>
    </w:p>
    <w:p w14:paraId="23CF7242"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OECD (2026) </w:t>
      </w:r>
      <w:r w:rsidRPr="00A16144">
        <w:rPr>
          <w:rFonts w:asciiTheme="minorBidi" w:hAnsiTheme="minorBidi" w:cstheme="minorBidi"/>
          <w:i/>
          <w:iCs/>
          <w:color w:val="000000"/>
          <w:kern w:val="0"/>
        </w:rPr>
        <w:t>Steel excess capacity continues to weigh on global markets</w:t>
      </w:r>
      <w:r w:rsidRPr="00A16144">
        <w:rPr>
          <w:rFonts w:asciiTheme="minorBidi" w:hAnsiTheme="minorBidi" w:cstheme="minorBidi"/>
          <w:color w:val="000000"/>
          <w:kern w:val="0"/>
        </w:rPr>
        <w:t xml:space="preserve">. Available at: </w:t>
      </w:r>
      <w:hyperlink r:id="rId41" w:history="1">
        <w:r w:rsidRPr="00A16144">
          <w:rPr>
            <w:rFonts w:asciiTheme="minorBidi" w:hAnsiTheme="minorBidi" w:cstheme="minorBidi"/>
            <w:color w:val="000000"/>
            <w:kern w:val="0"/>
            <w:u w:val="single"/>
          </w:rPr>
          <w:t>https://www.oecd.org/en/about/news/press-releases/2026/06/steel-excess-capacity-continues-to-weigh-on-global-markets-with-subsidies-increasingly-undermining-fair-competition.html</w:t>
        </w:r>
      </w:hyperlink>
      <w:r w:rsidRPr="00A16144">
        <w:rPr>
          <w:rFonts w:asciiTheme="minorBidi" w:hAnsiTheme="minorBidi" w:cstheme="minorBidi"/>
          <w:color w:val="000000"/>
          <w:kern w:val="0"/>
        </w:rPr>
        <w:t xml:space="preserve"> (Accessed: 19 June 2026).</w:t>
      </w:r>
    </w:p>
    <w:p w14:paraId="685F2531"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Onstad, E. (2024) ‘Weak demand for low-carbon products hampers green investment, COP28 initiative says’, </w:t>
      </w:r>
      <w:r w:rsidRPr="00A16144">
        <w:rPr>
          <w:rFonts w:asciiTheme="minorBidi" w:hAnsiTheme="minorBidi" w:cstheme="minorBidi"/>
          <w:i/>
          <w:iCs/>
          <w:color w:val="000000"/>
          <w:kern w:val="0"/>
        </w:rPr>
        <w:t>Reuters</w:t>
      </w:r>
      <w:r w:rsidRPr="00A16144">
        <w:rPr>
          <w:rFonts w:asciiTheme="minorBidi" w:hAnsiTheme="minorBidi" w:cstheme="minorBidi"/>
          <w:color w:val="000000"/>
          <w:kern w:val="0"/>
        </w:rPr>
        <w:t xml:space="preserve">, 19 September. Available at: </w:t>
      </w:r>
      <w:hyperlink r:id="rId42" w:history="1">
        <w:r w:rsidRPr="00A16144">
          <w:rPr>
            <w:rFonts w:asciiTheme="minorBidi" w:hAnsiTheme="minorBidi" w:cstheme="minorBidi"/>
            <w:color w:val="000000"/>
            <w:kern w:val="0"/>
            <w:u w:val="single"/>
          </w:rPr>
          <w:t>https://www.reuters.com/sustainability/weak-demand-low-carbon-products-hampers-green-investment-cop28-initiative-says-2024-09-19/</w:t>
        </w:r>
      </w:hyperlink>
      <w:r w:rsidRPr="00A16144">
        <w:rPr>
          <w:rFonts w:asciiTheme="minorBidi" w:hAnsiTheme="minorBidi" w:cstheme="minorBidi"/>
          <w:color w:val="000000"/>
          <w:kern w:val="0"/>
        </w:rPr>
        <w:t xml:space="preserve"> (Accessed: 19 June 2026).</w:t>
      </w:r>
    </w:p>
    <w:p w14:paraId="2522B320"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PIB (2026) </w:t>
      </w:r>
      <w:r w:rsidRPr="00A16144">
        <w:rPr>
          <w:rFonts w:asciiTheme="minorBidi" w:hAnsiTheme="minorBidi" w:cstheme="minorBidi"/>
          <w:i/>
          <w:iCs/>
          <w:color w:val="000000"/>
          <w:kern w:val="0"/>
        </w:rPr>
        <w:t>India’s steel sector advances towards self-reliance</w:t>
      </w:r>
      <w:r w:rsidRPr="00A16144">
        <w:rPr>
          <w:rFonts w:asciiTheme="minorBidi" w:hAnsiTheme="minorBidi" w:cstheme="minorBidi"/>
          <w:color w:val="000000"/>
          <w:kern w:val="0"/>
        </w:rPr>
        <w:t xml:space="preserve">. Available at: </w:t>
      </w:r>
      <w:hyperlink r:id="rId43" w:history="1">
        <w:r w:rsidRPr="00A16144">
          <w:rPr>
            <w:rFonts w:asciiTheme="minorBidi" w:hAnsiTheme="minorBidi" w:cstheme="minorBidi"/>
            <w:color w:val="000000"/>
            <w:kern w:val="0"/>
            <w:u w:val="single"/>
          </w:rPr>
          <w:t>https://www.pib.gov.in/PressReleasePage.aspx?PRID=2258028andlang=2andreg=48</w:t>
        </w:r>
      </w:hyperlink>
      <w:r w:rsidRPr="00A16144">
        <w:rPr>
          <w:rFonts w:asciiTheme="minorBidi" w:hAnsiTheme="minorBidi" w:cstheme="minorBidi"/>
          <w:color w:val="000000"/>
          <w:kern w:val="0"/>
        </w:rPr>
        <w:t xml:space="preserve"> (Accessed: 19 June 2026).</w:t>
      </w:r>
    </w:p>
    <w:p w14:paraId="3F3EA2CC"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proofErr w:type="spellStart"/>
      <w:r w:rsidRPr="00A16144">
        <w:rPr>
          <w:rFonts w:asciiTheme="minorBidi" w:hAnsiTheme="minorBidi" w:cstheme="minorBidi"/>
          <w:color w:val="000000"/>
          <w:kern w:val="0"/>
        </w:rPr>
        <w:t>ResponsibleSteel</w:t>
      </w:r>
      <w:proofErr w:type="spellEnd"/>
      <w:r w:rsidRPr="00A16144">
        <w:rPr>
          <w:rFonts w:asciiTheme="minorBidi" w:hAnsiTheme="minorBidi" w:cstheme="minorBidi"/>
          <w:color w:val="000000"/>
          <w:kern w:val="0"/>
        </w:rPr>
        <w:t xml:space="preserve"> (2023) </w:t>
      </w:r>
      <w:r w:rsidRPr="00A16144">
        <w:rPr>
          <w:rFonts w:asciiTheme="minorBidi" w:hAnsiTheme="minorBidi" w:cstheme="minorBidi"/>
          <w:i/>
          <w:iCs/>
          <w:color w:val="000000"/>
          <w:kern w:val="0"/>
        </w:rPr>
        <w:t>The Near-Zero Steel 2030 Challenge launches at New York Climate Week</w:t>
      </w:r>
      <w:r w:rsidRPr="00A16144">
        <w:rPr>
          <w:rFonts w:asciiTheme="minorBidi" w:hAnsiTheme="minorBidi" w:cstheme="minorBidi"/>
          <w:color w:val="000000"/>
          <w:kern w:val="0"/>
        </w:rPr>
        <w:t xml:space="preserve">. Available at: </w:t>
      </w:r>
      <w:hyperlink r:id="rId44" w:history="1">
        <w:r w:rsidRPr="00A16144">
          <w:rPr>
            <w:rFonts w:asciiTheme="minorBidi" w:hAnsiTheme="minorBidi" w:cstheme="minorBidi"/>
            <w:color w:val="000000"/>
            <w:kern w:val="0"/>
            <w:u w:val="single"/>
          </w:rPr>
          <w:t>https://www.responsiblesteel.org/news/the-near-zero-steel-2030-challenge-launches-at-new-york-climate-week</w:t>
        </w:r>
      </w:hyperlink>
      <w:r w:rsidRPr="00A16144">
        <w:rPr>
          <w:rFonts w:asciiTheme="minorBidi" w:hAnsiTheme="minorBidi" w:cstheme="minorBidi"/>
          <w:color w:val="000000"/>
          <w:kern w:val="0"/>
        </w:rPr>
        <w:t xml:space="preserve"> (Accessed: 19 June 2026).</w:t>
      </w:r>
    </w:p>
    <w:p w14:paraId="60F85395"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i/>
          <w:iCs/>
          <w:color w:val="000000"/>
          <w:kern w:val="0"/>
        </w:rPr>
      </w:pPr>
      <w:proofErr w:type="spellStart"/>
      <w:r w:rsidRPr="00A16144">
        <w:rPr>
          <w:rFonts w:asciiTheme="minorBidi" w:hAnsiTheme="minorBidi" w:cstheme="minorBidi"/>
          <w:color w:val="000000"/>
          <w:kern w:val="0"/>
        </w:rPr>
        <w:t>ResponsibleSteel</w:t>
      </w:r>
      <w:proofErr w:type="spellEnd"/>
      <w:r w:rsidRPr="00A16144">
        <w:rPr>
          <w:rFonts w:asciiTheme="minorBidi" w:hAnsiTheme="minorBidi" w:cstheme="minorBidi"/>
          <w:color w:val="000000"/>
          <w:kern w:val="0"/>
        </w:rPr>
        <w:t xml:space="preserve"> (2024) </w:t>
      </w:r>
      <w:r w:rsidRPr="00A16144">
        <w:rPr>
          <w:rFonts w:asciiTheme="minorBidi" w:hAnsiTheme="minorBidi" w:cstheme="minorBidi"/>
          <w:i/>
          <w:iCs/>
          <w:color w:val="000000"/>
          <w:kern w:val="0"/>
        </w:rPr>
        <w:t xml:space="preserve">The </w:t>
      </w:r>
      <w:proofErr w:type="spellStart"/>
      <w:r w:rsidRPr="00A16144">
        <w:rPr>
          <w:rFonts w:asciiTheme="minorBidi" w:hAnsiTheme="minorBidi" w:cstheme="minorBidi"/>
          <w:i/>
          <w:iCs/>
          <w:color w:val="000000"/>
          <w:kern w:val="0"/>
        </w:rPr>
        <w:t>ResponsibleSteel</w:t>
      </w:r>
      <w:proofErr w:type="spellEnd"/>
      <w:r w:rsidRPr="00A16144">
        <w:rPr>
          <w:rFonts w:asciiTheme="minorBidi" w:hAnsiTheme="minorBidi" w:cstheme="minorBidi"/>
          <w:i/>
          <w:iCs/>
          <w:color w:val="000000"/>
          <w:kern w:val="0"/>
        </w:rPr>
        <w:t xml:space="preserve"> International Production Standard V2.1.1</w:t>
      </w:r>
      <w:r w:rsidRPr="00A16144">
        <w:rPr>
          <w:rFonts w:asciiTheme="minorBidi" w:hAnsiTheme="minorBidi" w:cstheme="minorBidi"/>
          <w:color w:val="000000"/>
          <w:kern w:val="0"/>
        </w:rPr>
        <w:t xml:space="preserve">. Available at: </w:t>
      </w:r>
      <w:hyperlink r:id="rId45" w:history="1">
        <w:r w:rsidRPr="00A16144">
          <w:rPr>
            <w:rFonts w:asciiTheme="minorBidi" w:hAnsiTheme="minorBidi" w:cstheme="minorBidi"/>
            <w:i/>
            <w:iCs/>
            <w:color w:val="000000"/>
            <w:kern w:val="0"/>
            <w:u w:val="single"/>
          </w:rPr>
          <w:t>https://www.responsiblesteel.org/standards</w:t>
        </w:r>
      </w:hyperlink>
      <w:r w:rsidRPr="00A16144">
        <w:rPr>
          <w:rFonts w:asciiTheme="minorBidi" w:hAnsiTheme="minorBidi" w:cstheme="minorBidi"/>
          <w:color w:val="000000"/>
          <w:kern w:val="0"/>
        </w:rPr>
        <w:t xml:space="preserve"> (Accessed: 19 June 2026).</w:t>
      </w:r>
    </w:p>
    <w:p w14:paraId="31AB756A"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Reuters (2024) ‘India announces formula for classifying green steel’. Available at: </w:t>
      </w:r>
      <w:hyperlink r:id="rId46" w:history="1">
        <w:r w:rsidRPr="00A16144">
          <w:rPr>
            <w:rFonts w:asciiTheme="minorBidi" w:hAnsiTheme="minorBidi" w:cstheme="minorBidi"/>
            <w:color w:val="000000"/>
            <w:kern w:val="0"/>
            <w:u w:val="single"/>
          </w:rPr>
          <w:t>https://www.reuters.com/world/india/india-announces-formula-classifying-green-steel-2024-12-12/</w:t>
        </w:r>
      </w:hyperlink>
      <w:r w:rsidRPr="00A16144">
        <w:rPr>
          <w:rFonts w:asciiTheme="minorBidi" w:hAnsiTheme="minorBidi" w:cstheme="minorBidi"/>
          <w:color w:val="000000"/>
          <w:kern w:val="0"/>
        </w:rPr>
        <w:t xml:space="preserve"> (Accessed: 19 June 2026).</w:t>
      </w:r>
    </w:p>
    <w:p w14:paraId="19C427C5"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Reuters (2025) ‘India’s steel ministry seeks $1.7 billion from budget to help mills cut </w:t>
      </w:r>
      <w:proofErr w:type="gramStart"/>
      <w:r w:rsidRPr="00A16144">
        <w:rPr>
          <w:rFonts w:asciiTheme="minorBidi" w:hAnsiTheme="minorBidi" w:cstheme="minorBidi"/>
          <w:color w:val="000000"/>
          <w:kern w:val="0"/>
        </w:rPr>
        <w:t>emissions’</w:t>
      </w:r>
      <w:proofErr w:type="gramEnd"/>
      <w:r w:rsidRPr="00A16144">
        <w:rPr>
          <w:rFonts w:asciiTheme="minorBidi" w:hAnsiTheme="minorBidi" w:cstheme="minorBidi"/>
          <w:color w:val="000000"/>
          <w:kern w:val="0"/>
        </w:rPr>
        <w:t xml:space="preserve">. Available at: </w:t>
      </w:r>
      <w:hyperlink r:id="rId47" w:history="1">
        <w:r w:rsidRPr="00A16144">
          <w:rPr>
            <w:rFonts w:asciiTheme="minorBidi" w:hAnsiTheme="minorBidi" w:cstheme="minorBidi"/>
            <w:color w:val="000000"/>
            <w:kern w:val="0"/>
            <w:u w:val="single"/>
          </w:rPr>
          <w:t>https://www.reuters.com/world/india/indias-steel-ministry-seeks-17-bln-budget-help-mills-cut-emissions-sources-say-2025-01-16/</w:t>
        </w:r>
      </w:hyperlink>
      <w:r w:rsidRPr="00A16144">
        <w:rPr>
          <w:rFonts w:asciiTheme="minorBidi" w:hAnsiTheme="minorBidi" w:cstheme="minorBidi"/>
          <w:color w:val="000000"/>
          <w:kern w:val="0"/>
        </w:rPr>
        <w:t xml:space="preserve"> (Accessed: 19 June 2026).</w:t>
      </w:r>
    </w:p>
    <w:p w14:paraId="15367641"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Rippy, K., Bell, R. T., and Leick, N. (2024). Chemical and electrochemical pathways to low-carbon iron and steel. </w:t>
      </w:r>
      <w:proofErr w:type="spellStart"/>
      <w:r w:rsidRPr="00A16144">
        <w:rPr>
          <w:rFonts w:asciiTheme="minorBidi" w:hAnsiTheme="minorBidi" w:cstheme="minorBidi"/>
          <w:i/>
          <w:iCs/>
          <w:color w:val="000000"/>
          <w:kern w:val="0"/>
        </w:rPr>
        <w:t>npj</w:t>
      </w:r>
      <w:proofErr w:type="spellEnd"/>
      <w:r w:rsidRPr="00A16144">
        <w:rPr>
          <w:rFonts w:asciiTheme="minorBidi" w:hAnsiTheme="minorBidi" w:cstheme="minorBidi"/>
          <w:i/>
          <w:iCs/>
          <w:color w:val="000000"/>
          <w:kern w:val="0"/>
        </w:rPr>
        <w:t xml:space="preserve"> Materials Sustainability</w:t>
      </w:r>
      <w:r w:rsidRPr="00A16144">
        <w:rPr>
          <w:rFonts w:asciiTheme="minorBidi" w:hAnsiTheme="minorBidi" w:cstheme="minorBidi"/>
          <w:color w:val="000000"/>
          <w:kern w:val="0"/>
        </w:rPr>
        <w:t>, </w:t>
      </w:r>
      <w:r w:rsidRPr="00A16144">
        <w:rPr>
          <w:rFonts w:asciiTheme="minorBidi" w:hAnsiTheme="minorBidi" w:cstheme="minorBidi"/>
          <w:i/>
          <w:iCs/>
          <w:color w:val="000000"/>
          <w:kern w:val="0"/>
        </w:rPr>
        <w:t>2</w:t>
      </w:r>
      <w:r w:rsidRPr="00A16144">
        <w:rPr>
          <w:rFonts w:asciiTheme="minorBidi" w:hAnsiTheme="minorBidi" w:cstheme="minorBidi"/>
          <w:color w:val="000000"/>
          <w:kern w:val="0"/>
        </w:rPr>
        <w:t>(1), 33.</w:t>
      </w:r>
    </w:p>
    <w:p w14:paraId="65634C3D"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lastRenderedPageBreak/>
        <w:t xml:space="preserve">Rossetto, D. (2024). The role of border carbon adjustments and subsidies in </w:t>
      </w:r>
      <w:proofErr w:type="spellStart"/>
      <w:r w:rsidRPr="00A16144">
        <w:rPr>
          <w:rFonts w:asciiTheme="minorBidi" w:hAnsiTheme="minorBidi" w:cstheme="minorBidi"/>
          <w:color w:val="000000"/>
          <w:kern w:val="0"/>
        </w:rPr>
        <w:t>incentivising</w:t>
      </w:r>
      <w:proofErr w:type="spellEnd"/>
      <w:r w:rsidRPr="00A16144">
        <w:rPr>
          <w:rFonts w:asciiTheme="minorBidi" w:hAnsiTheme="minorBidi" w:cstheme="minorBidi"/>
          <w:color w:val="000000"/>
          <w:kern w:val="0"/>
        </w:rPr>
        <w:t xml:space="preserve"> investment: Comparing equivalence in the context of steel recycling and </w:t>
      </w:r>
      <w:proofErr w:type="spellStart"/>
      <w:r w:rsidRPr="00A16144">
        <w:rPr>
          <w:rFonts w:asciiTheme="minorBidi" w:hAnsiTheme="minorBidi" w:cstheme="minorBidi"/>
          <w:color w:val="000000"/>
          <w:kern w:val="0"/>
        </w:rPr>
        <w:t>decarbonisation</w:t>
      </w:r>
      <w:proofErr w:type="spellEnd"/>
      <w:r w:rsidRPr="00A16144">
        <w:rPr>
          <w:rFonts w:asciiTheme="minorBidi" w:hAnsiTheme="minorBidi" w:cstheme="minorBidi"/>
          <w:color w:val="000000"/>
          <w:kern w:val="0"/>
        </w:rPr>
        <w:t>. </w:t>
      </w:r>
      <w:r w:rsidRPr="00A16144">
        <w:rPr>
          <w:rFonts w:asciiTheme="minorBidi" w:hAnsiTheme="minorBidi" w:cstheme="minorBidi"/>
          <w:i/>
          <w:iCs/>
          <w:color w:val="000000"/>
          <w:kern w:val="0"/>
        </w:rPr>
        <w:t>Discover Sustainability</w:t>
      </w:r>
      <w:r w:rsidRPr="00A16144">
        <w:rPr>
          <w:rFonts w:asciiTheme="minorBidi" w:hAnsiTheme="minorBidi" w:cstheme="minorBidi"/>
          <w:color w:val="000000"/>
          <w:kern w:val="0"/>
        </w:rPr>
        <w:t>, </w:t>
      </w:r>
      <w:r w:rsidRPr="00A16144">
        <w:rPr>
          <w:rFonts w:asciiTheme="minorBidi" w:hAnsiTheme="minorBidi" w:cstheme="minorBidi"/>
          <w:i/>
          <w:iCs/>
          <w:color w:val="000000"/>
          <w:kern w:val="0"/>
        </w:rPr>
        <w:t>5</w:t>
      </w:r>
      <w:r w:rsidRPr="00A16144">
        <w:rPr>
          <w:rFonts w:asciiTheme="minorBidi" w:hAnsiTheme="minorBidi" w:cstheme="minorBidi"/>
          <w:color w:val="000000"/>
          <w:kern w:val="0"/>
        </w:rPr>
        <w:t>(1), 132.</w:t>
      </w:r>
    </w:p>
    <w:p w14:paraId="2D70BBF1"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Russell, C. (2026) ‘Iron ore industry sees a bright future, but green steel fades’, </w:t>
      </w:r>
      <w:r w:rsidRPr="00A16144">
        <w:rPr>
          <w:rFonts w:asciiTheme="minorBidi" w:hAnsiTheme="minorBidi" w:cstheme="minorBidi"/>
          <w:i/>
          <w:iCs/>
          <w:color w:val="000000"/>
          <w:kern w:val="0"/>
        </w:rPr>
        <w:t>Reuters</w:t>
      </w:r>
      <w:r w:rsidRPr="00A16144">
        <w:rPr>
          <w:rFonts w:asciiTheme="minorBidi" w:hAnsiTheme="minorBidi" w:cstheme="minorBidi"/>
          <w:color w:val="000000"/>
          <w:kern w:val="0"/>
        </w:rPr>
        <w:t xml:space="preserve">, 18 June. Available at: </w:t>
      </w:r>
      <w:hyperlink r:id="rId48" w:history="1">
        <w:r w:rsidRPr="00A16144">
          <w:rPr>
            <w:rFonts w:asciiTheme="minorBidi" w:hAnsiTheme="minorBidi" w:cstheme="minorBidi"/>
            <w:color w:val="000000"/>
            <w:kern w:val="0"/>
            <w:u w:val="single"/>
          </w:rPr>
          <w:t>https://www.reuters.com/commentary/reuters-open-interest/iron-ore-industry-sees-bright-future-green-steel-fades-2026-06-18/</w:t>
        </w:r>
      </w:hyperlink>
      <w:r w:rsidRPr="00A16144">
        <w:rPr>
          <w:rFonts w:asciiTheme="minorBidi" w:hAnsiTheme="minorBidi" w:cstheme="minorBidi"/>
          <w:color w:val="000000"/>
          <w:kern w:val="0"/>
        </w:rPr>
        <w:t xml:space="preserve"> (Accessed: 19 June 2026).</w:t>
      </w:r>
    </w:p>
    <w:p w14:paraId="58E6E916"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SBTi (2023) </w:t>
      </w:r>
      <w:r w:rsidRPr="00A16144">
        <w:rPr>
          <w:rFonts w:asciiTheme="minorBidi" w:hAnsiTheme="minorBidi" w:cstheme="minorBidi"/>
          <w:i/>
          <w:iCs/>
          <w:color w:val="000000"/>
          <w:kern w:val="0"/>
        </w:rPr>
        <w:t>Steel science-based target-setting guidance</w:t>
      </w:r>
      <w:r w:rsidRPr="00A16144">
        <w:rPr>
          <w:rFonts w:asciiTheme="minorBidi" w:hAnsiTheme="minorBidi" w:cstheme="minorBidi"/>
          <w:color w:val="000000"/>
          <w:kern w:val="0"/>
        </w:rPr>
        <w:t xml:space="preserve">. Available at: </w:t>
      </w:r>
      <w:hyperlink r:id="rId49" w:history="1">
        <w:r w:rsidRPr="00A16144">
          <w:rPr>
            <w:rFonts w:asciiTheme="minorBidi" w:hAnsiTheme="minorBidi" w:cstheme="minorBidi"/>
            <w:color w:val="000000"/>
            <w:kern w:val="0"/>
            <w:u w:val="single"/>
          </w:rPr>
          <w:t>https://files.sciencebasedtargets.org/production/files/SBTi-Steel-Guidance.pdf</w:t>
        </w:r>
      </w:hyperlink>
      <w:r w:rsidRPr="00A16144">
        <w:rPr>
          <w:rFonts w:asciiTheme="minorBidi" w:hAnsiTheme="minorBidi" w:cstheme="minorBidi"/>
          <w:color w:val="000000"/>
          <w:kern w:val="0"/>
        </w:rPr>
        <w:t xml:space="preserve"> (Accessed: 19 June 2026).</w:t>
      </w:r>
    </w:p>
    <w:p w14:paraId="2D88D758"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Selvaraju, S., and Robins, N. (2024). Negotiating the social contract for net zero: Port Talbot, steel and the just transition.</w:t>
      </w:r>
    </w:p>
    <w:p w14:paraId="75BA2973"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Tata Steel (2025a) </w:t>
      </w:r>
      <w:r w:rsidRPr="00A16144">
        <w:rPr>
          <w:rFonts w:asciiTheme="minorBidi" w:hAnsiTheme="minorBidi" w:cstheme="minorBidi"/>
          <w:i/>
          <w:iCs/>
          <w:color w:val="000000"/>
          <w:kern w:val="0"/>
        </w:rPr>
        <w:t>Groundbreaking of new electric arc furnace at Port Talbot</w:t>
      </w:r>
      <w:r w:rsidRPr="00A16144">
        <w:rPr>
          <w:rFonts w:asciiTheme="minorBidi" w:hAnsiTheme="minorBidi" w:cstheme="minorBidi"/>
          <w:color w:val="000000"/>
          <w:kern w:val="0"/>
        </w:rPr>
        <w:t xml:space="preserve">. Available at: </w:t>
      </w:r>
      <w:hyperlink r:id="rId50" w:history="1">
        <w:r w:rsidRPr="00A16144">
          <w:rPr>
            <w:rFonts w:asciiTheme="minorBidi" w:hAnsiTheme="minorBidi" w:cstheme="minorBidi"/>
            <w:color w:val="000000"/>
            <w:kern w:val="0"/>
            <w:u w:val="single"/>
          </w:rPr>
          <w:t>https://www.tatasteel.com/newsroom/press-releases/india/2025/tata-group-chairman-n-chandrasekaran-marks-groundbreaking-of-new-electric-arc-furnace-at-port-talbot/</w:t>
        </w:r>
      </w:hyperlink>
      <w:r w:rsidRPr="00A16144">
        <w:rPr>
          <w:rFonts w:asciiTheme="minorBidi" w:hAnsiTheme="minorBidi" w:cstheme="minorBidi"/>
          <w:color w:val="000000"/>
          <w:kern w:val="0"/>
        </w:rPr>
        <w:t xml:space="preserve"> (Accessed: 19 June 2026).</w:t>
      </w:r>
    </w:p>
    <w:p w14:paraId="01D522DB"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Tata Steel (2026a) </w:t>
      </w:r>
      <w:r w:rsidRPr="00A16144">
        <w:rPr>
          <w:rFonts w:asciiTheme="minorBidi" w:hAnsiTheme="minorBidi" w:cstheme="minorBidi"/>
          <w:i/>
          <w:iCs/>
          <w:color w:val="000000"/>
          <w:kern w:val="0"/>
        </w:rPr>
        <w:t>4QFY2026 and FY2026 production and delivery volumes</w:t>
      </w:r>
      <w:r w:rsidRPr="00A16144">
        <w:rPr>
          <w:rFonts w:asciiTheme="minorBidi" w:hAnsiTheme="minorBidi" w:cstheme="minorBidi"/>
          <w:color w:val="000000"/>
          <w:kern w:val="0"/>
        </w:rPr>
        <w:t xml:space="preserve">. Available at: </w:t>
      </w:r>
      <w:hyperlink r:id="rId51" w:history="1">
        <w:r w:rsidRPr="00A16144">
          <w:rPr>
            <w:rFonts w:asciiTheme="minorBidi" w:hAnsiTheme="minorBidi" w:cstheme="minorBidi"/>
            <w:color w:val="000000"/>
            <w:kern w:val="0"/>
            <w:u w:val="single"/>
          </w:rPr>
          <w:t>https://www.tatasteel.com/newsroom/press-releases/india/2026/tata-steel-4qfy2026-and-fy2026-production-and-delivery-volumes-provisional/</w:t>
        </w:r>
      </w:hyperlink>
      <w:r w:rsidRPr="00A16144">
        <w:rPr>
          <w:rFonts w:asciiTheme="minorBidi" w:hAnsiTheme="minorBidi" w:cstheme="minorBidi"/>
          <w:color w:val="000000"/>
          <w:kern w:val="0"/>
        </w:rPr>
        <w:t xml:space="preserve"> (Accessed: 19 June 2026).</w:t>
      </w:r>
    </w:p>
    <w:p w14:paraId="68A6EB9F"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Tata Steel (2026b) </w:t>
      </w:r>
      <w:r w:rsidRPr="00A16144">
        <w:rPr>
          <w:rFonts w:asciiTheme="minorBidi" w:hAnsiTheme="minorBidi" w:cstheme="minorBidi"/>
          <w:i/>
          <w:iCs/>
          <w:color w:val="000000"/>
          <w:kern w:val="0"/>
        </w:rPr>
        <w:t>Tata Steel reports consolidated EBITDA of Rs 34,848 crore</w:t>
      </w:r>
      <w:r w:rsidRPr="00A16144">
        <w:rPr>
          <w:rFonts w:asciiTheme="minorBidi" w:hAnsiTheme="minorBidi" w:cstheme="minorBidi"/>
          <w:color w:val="000000"/>
          <w:kern w:val="0"/>
        </w:rPr>
        <w:t xml:space="preserve">. Available at: </w:t>
      </w:r>
      <w:hyperlink r:id="rId52" w:history="1">
        <w:r w:rsidRPr="00A16144">
          <w:rPr>
            <w:rFonts w:asciiTheme="minorBidi" w:hAnsiTheme="minorBidi" w:cstheme="minorBidi"/>
            <w:color w:val="000000"/>
            <w:kern w:val="0"/>
            <w:u w:val="single"/>
          </w:rPr>
          <w:t>https://www.tatasteel.com/newsroom/press-releases/india/2026/tata-steel-reports-consolidated-ebitda-of-rs-34-848-crores-and-profit-after-tax-of-rs-10-886-crores-for-the-twelve-months-ended-march-31-2026/</w:t>
        </w:r>
      </w:hyperlink>
      <w:r w:rsidRPr="00A16144">
        <w:rPr>
          <w:rFonts w:asciiTheme="minorBidi" w:hAnsiTheme="minorBidi" w:cstheme="minorBidi"/>
          <w:color w:val="000000"/>
          <w:kern w:val="0"/>
        </w:rPr>
        <w:t xml:space="preserve"> (Accessed: 19 June 2026).</w:t>
      </w:r>
    </w:p>
    <w:p w14:paraId="66AA1837"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Tata Steel (2026c) </w:t>
      </w:r>
      <w:r w:rsidRPr="00A16144">
        <w:rPr>
          <w:rFonts w:asciiTheme="minorBidi" w:hAnsiTheme="minorBidi" w:cstheme="minorBidi"/>
          <w:i/>
          <w:iCs/>
          <w:color w:val="000000"/>
          <w:kern w:val="0"/>
        </w:rPr>
        <w:t>Tata Steel inaugurates its first scrap-based Electric Arc Furnace in India</w:t>
      </w:r>
      <w:r w:rsidRPr="00A16144">
        <w:rPr>
          <w:rFonts w:asciiTheme="minorBidi" w:hAnsiTheme="minorBidi" w:cstheme="minorBidi"/>
          <w:color w:val="000000"/>
          <w:kern w:val="0"/>
        </w:rPr>
        <w:t xml:space="preserve">. Available at: </w:t>
      </w:r>
      <w:hyperlink r:id="rId53" w:history="1">
        <w:r w:rsidRPr="00A16144">
          <w:rPr>
            <w:rFonts w:asciiTheme="minorBidi" w:hAnsiTheme="minorBidi" w:cstheme="minorBidi"/>
            <w:color w:val="000000"/>
            <w:kern w:val="0"/>
            <w:u w:val="single"/>
          </w:rPr>
          <w:t>https://www.tatasteel.com/newsroom/press-releases/india/2026/tata-steel-inaugurates-its-first-scrap-based-electric-arc-furnace-in-india/</w:t>
        </w:r>
      </w:hyperlink>
      <w:r w:rsidRPr="00A16144">
        <w:rPr>
          <w:rFonts w:asciiTheme="minorBidi" w:hAnsiTheme="minorBidi" w:cstheme="minorBidi"/>
          <w:color w:val="000000"/>
          <w:kern w:val="0"/>
        </w:rPr>
        <w:t xml:space="preserve"> (Accessed: 19 June 2026).</w:t>
      </w:r>
    </w:p>
    <w:p w14:paraId="266FE494"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Tata Steel (2026d) </w:t>
      </w:r>
      <w:r w:rsidRPr="00A16144">
        <w:rPr>
          <w:rFonts w:asciiTheme="minorBidi" w:hAnsiTheme="minorBidi" w:cstheme="minorBidi"/>
          <w:i/>
          <w:iCs/>
          <w:color w:val="000000"/>
          <w:kern w:val="0"/>
        </w:rPr>
        <w:t xml:space="preserve">Tata Steel partners SMS Group to deploy world-first </w:t>
      </w:r>
      <w:proofErr w:type="spellStart"/>
      <w:r w:rsidRPr="00A16144">
        <w:rPr>
          <w:rFonts w:asciiTheme="minorBidi" w:hAnsiTheme="minorBidi" w:cstheme="minorBidi"/>
          <w:i/>
          <w:iCs/>
          <w:color w:val="000000"/>
          <w:kern w:val="0"/>
        </w:rPr>
        <w:t>EASyMelt</w:t>
      </w:r>
      <w:proofErr w:type="spellEnd"/>
      <w:r w:rsidRPr="00A16144">
        <w:rPr>
          <w:rFonts w:asciiTheme="minorBidi" w:hAnsiTheme="minorBidi" w:cstheme="minorBidi"/>
          <w:i/>
          <w:iCs/>
          <w:color w:val="000000"/>
          <w:kern w:val="0"/>
        </w:rPr>
        <w:t xml:space="preserve"> </w:t>
      </w:r>
      <w:proofErr w:type="spellStart"/>
      <w:r w:rsidRPr="00A16144">
        <w:rPr>
          <w:rFonts w:asciiTheme="minorBidi" w:hAnsiTheme="minorBidi" w:cstheme="minorBidi"/>
          <w:i/>
          <w:iCs/>
          <w:color w:val="000000"/>
          <w:kern w:val="0"/>
        </w:rPr>
        <w:t>decarbonisation</w:t>
      </w:r>
      <w:proofErr w:type="spellEnd"/>
      <w:r w:rsidRPr="00A16144">
        <w:rPr>
          <w:rFonts w:asciiTheme="minorBidi" w:hAnsiTheme="minorBidi" w:cstheme="minorBidi"/>
          <w:i/>
          <w:iCs/>
          <w:color w:val="000000"/>
          <w:kern w:val="0"/>
        </w:rPr>
        <w:t xml:space="preserve"> technology</w:t>
      </w:r>
      <w:r w:rsidRPr="00A16144">
        <w:rPr>
          <w:rFonts w:asciiTheme="minorBidi" w:hAnsiTheme="minorBidi" w:cstheme="minorBidi"/>
          <w:color w:val="000000"/>
          <w:kern w:val="0"/>
        </w:rPr>
        <w:t xml:space="preserve">. Available at: </w:t>
      </w:r>
      <w:hyperlink r:id="rId54" w:history="1">
        <w:r w:rsidRPr="00A16144">
          <w:rPr>
            <w:rFonts w:asciiTheme="minorBidi" w:hAnsiTheme="minorBidi" w:cstheme="minorBidi"/>
            <w:color w:val="000000"/>
            <w:kern w:val="0"/>
            <w:u w:val="single"/>
          </w:rPr>
          <w:t>https://www.tatasteel.com/newsroom/press-</w:t>
        </w:r>
        <w:r w:rsidRPr="00A16144">
          <w:rPr>
            <w:rFonts w:asciiTheme="minorBidi" w:hAnsiTheme="minorBidi" w:cstheme="minorBidi"/>
            <w:color w:val="000000"/>
            <w:kern w:val="0"/>
            <w:u w:val="single"/>
          </w:rPr>
          <w:lastRenderedPageBreak/>
          <w:t>releases/india/2026/tata-steel-partners-sms-group-to-deploy-world-first-easymelt-decarbonisation-technology/</w:t>
        </w:r>
      </w:hyperlink>
      <w:r w:rsidRPr="00A16144">
        <w:rPr>
          <w:rFonts w:asciiTheme="minorBidi" w:hAnsiTheme="minorBidi" w:cstheme="minorBidi"/>
          <w:color w:val="000000"/>
          <w:kern w:val="0"/>
        </w:rPr>
        <w:t xml:space="preserve"> (Accessed: 19 June 2026).</w:t>
      </w:r>
    </w:p>
    <w:p w14:paraId="2DA0B924"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Tata Steel Nederland (2026) </w:t>
      </w:r>
      <w:proofErr w:type="spellStart"/>
      <w:r w:rsidRPr="00A16144">
        <w:rPr>
          <w:rFonts w:asciiTheme="minorBidi" w:hAnsiTheme="minorBidi" w:cstheme="minorBidi"/>
          <w:i/>
          <w:iCs/>
          <w:color w:val="000000"/>
          <w:kern w:val="0"/>
        </w:rPr>
        <w:t>Zeremis</w:t>
      </w:r>
      <w:proofErr w:type="spellEnd"/>
      <w:r w:rsidRPr="00A16144">
        <w:rPr>
          <w:rFonts w:asciiTheme="minorBidi" w:hAnsiTheme="minorBidi" w:cstheme="minorBidi"/>
          <w:i/>
          <w:iCs/>
          <w:color w:val="000000"/>
          <w:kern w:val="0"/>
        </w:rPr>
        <w:t xml:space="preserve"> Carbon Lite</w:t>
      </w:r>
      <w:r w:rsidRPr="00A16144">
        <w:rPr>
          <w:rFonts w:asciiTheme="minorBidi" w:hAnsiTheme="minorBidi" w:cstheme="minorBidi"/>
          <w:color w:val="000000"/>
          <w:kern w:val="0"/>
        </w:rPr>
        <w:t xml:space="preserve">. Available at: </w:t>
      </w:r>
      <w:hyperlink r:id="rId55" w:history="1">
        <w:r w:rsidRPr="00A16144">
          <w:rPr>
            <w:rFonts w:asciiTheme="minorBidi" w:hAnsiTheme="minorBidi" w:cstheme="minorBidi"/>
            <w:color w:val="000000"/>
            <w:kern w:val="0"/>
            <w:u w:val="single"/>
          </w:rPr>
          <w:t>https://www.tatasteelnederland.com/en/sustainability/zeremis/zeremis-carbon-lite</w:t>
        </w:r>
      </w:hyperlink>
      <w:r w:rsidRPr="00A16144">
        <w:rPr>
          <w:rFonts w:asciiTheme="minorBidi" w:hAnsiTheme="minorBidi" w:cstheme="minorBidi"/>
          <w:color w:val="000000"/>
          <w:kern w:val="0"/>
        </w:rPr>
        <w:t xml:space="preserve"> (Accessed: 19 June 2026).</w:t>
      </w:r>
    </w:p>
    <w:p w14:paraId="09EB5679"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Tata Steel UK (2026) </w:t>
      </w:r>
      <w:proofErr w:type="spellStart"/>
      <w:r w:rsidRPr="00A16144">
        <w:rPr>
          <w:rFonts w:asciiTheme="minorBidi" w:hAnsiTheme="minorBidi" w:cstheme="minorBidi"/>
          <w:i/>
          <w:iCs/>
          <w:color w:val="000000"/>
          <w:kern w:val="0"/>
        </w:rPr>
        <w:t>Optemis</w:t>
      </w:r>
      <w:proofErr w:type="spellEnd"/>
      <w:r w:rsidRPr="00A16144">
        <w:rPr>
          <w:rFonts w:asciiTheme="minorBidi" w:hAnsiTheme="minorBidi" w:cstheme="minorBidi"/>
          <w:i/>
          <w:iCs/>
          <w:color w:val="000000"/>
          <w:kern w:val="0"/>
        </w:rPr>
        <w:t xml:space="preserve"> Carbon Lite</w:t>
      </w:r>
      <w:r w:rsidRPr="00A16144">
        <w:rPr>
          <w:rFonts w:asciiTheme="minorBidi" w:hAnsiTheme="minorBidi" w:cstheme="minorBidi"/>
          <w:color w:val="000000"/>
          <w:kern w:val="0"/>
        </w:rPr>
        <w:t xml:space="preserve">. Available at: </w:t>
      </w:r>
      <w:hyperlink r:id="rId56" w:history="1">
        <w:r w:rsidRPr="00A16144">
          <w:rPr>
            <w:rFonts w:asciiTheme="minorBidi" w:hAnsiTheme="minorBidi" w:cstheme="minorBidi"/>
            <w:color w:val="000000"/>
            <w:kern w:val="0"/>
            <w:u w:val="single"/>
          </w:rPr>
          <w:t>https://www.tatasteeluk.com/sustainability/green-steel-solutions/optemis/optemis-carbon-lite</w:t>
        </w:r>
      </w:hyperlink>
      <w:r w:rsidRPr="00A16144">
        <w:rPr>
          <w:rFonts w:asciiTheme="minorBidi" w:hAnsiTheme="minorBidi" w:cstheme="minorBidi"/>
          <w:color w:val="000000"/>
          <w:kern w:val="0"/>
        </w:rPr>
        <w:t xml:space="preserve"> (Accessed: 19 June 2026).</w:t>
      </w:r>
    </w:p>
    <w:p w14:paraId="246122DF"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Times of India (2026) ‘India’s second-largest Tata Steel plant starts ops in Ludhiana’. Available at: </w:t>
      </w:r>
      <w:hyperlink r:id="rId57" w:history="1">
        <w:r w:rsidRPr="00A16144">
          <w:rPr>
            <w:rFonts w:asciiTheme="minorBidi" w:hAnsiTheme="minorBidi" w:cstheme="minorBidi"/>
            <w:color w:val="000000"/>
            <w:kern w:val="0"/>
            <w:u w:val="single"/>
          </w:rPr>
          <w:t>https://timesofindia.indiatimes.com/city/chandigarh/indias-second-largest-tata-steel-plant-starts-ops-in-ludhiana/articleshow/129706823.cms</w:t>
        </w:r>
      </w:hyperlink>
      <w:r w:rsidRPr="00A16144">
        <w:rPr>
          <w:rFonts w:asciiTheme="minorBidi" w:hAnsiTheme="minorBidi" w:cstheme="minorBidi"/>
          <w:color w:val="000000"/>
          <w:kern w:val="0"/>
        </w:rPr>
        <w:t xml:space="preserve"> (Accessed: 19 June 2026).</w:t>
      </w:r>
    </w:p>
    <w:p w14:paraId="3D83805B"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Transition Asia (2024) </w:t>
      </w:r>
      <w:r w:rsidRPr="00A16144">
        <w:rPr>
          <w:rFonts w:asciiTheme="minorBidi" w:hAnsiTheme="minorBidi" w:cstheme="minorBidi"/>
          <w:i/>
          <w:iCs/>
          <w:color w:val="000000"/>
          <w:kern w:val="0"/>
        </w:rPr>
        <w:t>The green steel premium for cars and buildings is negligible</w:t>
      </w:r>
      <w:r w:rsidRPr="00A16144">
        <w:rPr>
          <w:rFonts w:asciiTheme="minorBidi" w:hAnsiTheme="minorBidi" w:cstheme="minorBidi"/>
          <w:color w:val="000000"/>
          <w:kern w:val="0"/>
        </w:rPr>
        <w:t xml:space="preserve">. Available at: </w:t>
      </w:r>
      <w:hyperlink r:id="rId58" w:history="1">
        <w:r w:rsidRPr="00A16144">
          <w:rPr>
            <w:rFonts w:asciiTheme="minorBidi" w:hAnsiTheme="minorBidi" w:cstheme="minorBidi"/>
            <w:color w:val="000000"/>
            <w:kern w:val="0"/>
            <w:u w:val="single"/>
          </w:rPr>
          <w:t>https://transitionasia.org/press-release-the-green-steel-premium-for-cars-and-buildings-is-negligible/</w:t>
        </w:r>
      </w:hyperlink>
      <w:r w:rsidRPr="00A16144">
        <w:rPr>
          <w:rFonts w:asciiTheme="minorBidi" w:hAnsiTheme="minorBidi" w:cstheme="minorBidi"/>
          <w:color w:val="000000"/>
          <w:kern w:val="0"/>
        </w:rPr>
        <w:t xml:space="preserve"> (Accessed: 19 June 2026).</w:t>
      </w:r>
    </w:p>
    <w:p w14:paraId="78DFF780"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Transport and Environment (2024) </w:t>
      </w:r>
      <w:r w:rsidRPr="00A16144">
        <w:rPr>
          <w:rFonts w:asciiTheme="minorBidi" w:hAnsiTheme="minorBidi" w:cstheme="minorBidi"/>
          <w:i/>
          <w:iCs/>
          <w:color w:val="000000"/>
          <w:kern w:val="0"/>
        </w:rPr>
        <w:t>Green steel in cars briefing</w:t>
      </w:r>
      <w:r w:rsidRPr="00A16144">
        <w:rPr>
          <w:rFonts w:asciiTheme="minorBidi" w:hAnsiTheme="minorBidi" w:cstheme="minorBidi"/>
          <w:color w:val="000000"/>
          <w:kern w:val="0"/>
        </w:rPr>
        <w:t xml:space="preserve">. Available at: </w:t>
      </w:r>
      <w:hyperlink r:id="rId59" w:history="1">
        <w:r w:rsidRPr="00A16144">
          <w:rPr>
            <w:rFonts w:asciiTheme="minorBidi" w:hAnsiTheme="minorBidi" w:cstheme="minorBidi"/>
            <w:color w:val="000000"/>
            <w:kern w:val="0"/>
            <w:u w:val="single"/>
          </w:rPr>
          <w:t>https://uploads.transportenvironment.org/production/files/Green-steel-in-cars-briefing_July-2024.docx.pdf</w:t>
        </w:r>
      </w:hyperlink>
      <w:r w:rsidRPr="00A16144">
        <w:rPr>
          <w:rFonts w:asciiTheme="minorBidi" w:hAnsiTheme="minorBidi" w:cstheme="minorBidi"/>
          <w:color w:val="000000"/>
          <w:kern w:val="0"/>
        </w:rPr>
        <w:t xml:space="preserve"> (Accessed: 19 June 2026).</w:t>
      </w:r>
    </w:p>
    <w:p w14:paraId="4326DE8A"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Urban, P., Nipius, L., and </w:t>
      </w:r>
      <w:proofErr w:type="spellStart"/>
      <w:r w:rsidRPr="00A16144">
        <w:rPr>
          <w:rFonts w:asciiTheme="minorBidi" w:hAnsiTheme="minorBidi" w:cstheme="minorBidi"/>
          <w:color w:val="000000"/>
          <w:kern w:val="0"/>
        </w:rPr>
        <w:t>Egenhofer</w:t>
      </w:r>
      <w:proofErr w:type="spellEnd"/>
      <w:r w:rsidRPr="00A16144">
        <w:rPr>
          <w:rFonts w:asciiTheme="minorBidi" w:hAnsiTheme="minorBidi" w:cstheme="minorBidi"/>
          <w:color w:val="000000"/>
          <w:kern w:val="0"/>
        </w:rPr>
        <w:t>, C. (2024). A policy framework for boosting the demand for green steel in the automotive industry. CEPS.</w:t>
      </w:r>
    </w:p>
    <w:p w14:paraId="45342355"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World Steel Association (2025a) </w:t>
      </w:r>
      <w:r w:rsidRPr="00A16144">
        <w:rPr>
          <w:rFonts w:asciiTheme="minorBidi" w:hAnsiTheme="minorBidi" w:cstheme="minorBidi"/>
          <w:i/>
          <w:iCs/>
          <w:color w:val="000000"/>
          <w:kern w:val="0"/>
        </w:rPr>
        <w:t>Climate change and the production of iron and steel</w:t>
      </w:r>
      <w:r w:rsidRPr="00A16144">
        <w:rPr>
          <w:rFonts w:asciiTheme="minorBidi" w:hAnsiTheme="minorBidi" w:cstheme="minorBidi"/>
          <w:color w:val="000000"/>
          <w:kern w:val="0"/>
        </w:rPr>
        <w:t xml:space="preserve">. Available at: </w:t>
      </w:r>
      <w:hyperlink r:id="rId60" w:history="1">
        <w:r w:rsidRPr="00A16144">
          <w:rPr>
            <w:rFonts w:asciiTheme="minorBidi" w:hAnsiTheme="minorBidi" w:cstheme="minorBidi"/>
            <w:color w:val="000000"/>
            <w:kern w:val="0"/>
            <w:u w:val="single"/>
          </w:rPr>
          <w:t>https://worldsteel.org/climate-action/climate-change-and-the-production-of-iron-and-steel/</w:t>
        </w:r>
      </w:hyperlink>
      <w:r w:rsidRPr="00A16144">
        <w:rPr>
          <w:rFonts w:asciiTheme="minorBidi" w:hAnsiTheme="minorBidi" w:cstheme="minorBidi"/>
          <w:color w:val="000000"/>
          <w:kern w:val="0"/>
        </w:rPr>
        <w:t xml:space="preserve"> (Accessed: 19 June 2026).</w:t>
      </w:r>
    </w:p>
    <w:p w14:paraId="7C3C4D7D"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r w:rsidRPr="00A16144">
        <w:rPr>
          <w:rFonts w:asciiTheme="minorBidi" w:hAnsiTheme="minorBidi" w:cstheme="minorBidi"/>
          <w:color w:val="000000"/>
          <w:kern w:val="0"/>
        </w:rPr>
        <w:t xml:space="preserve">World Steel Association (2025b) </w:t>
      </w:r>
      <w:r w:rsidRPr="00A16144">
        <w:rPr>
          <w:rFonts w:asciiTheme="minorBidi" w:hAnsiTheme="minorBidi" w:cstheme="minorBidi"/>
          <w:i/>
          <w:iCs/>
          <w:color w:val="000000"/>
          <w:kern w:val="0"/>
        </w:rPr>
        <w:t>Sustainability indicators report 2025</w:t>
      </w:r>
      <w:r w:rsidRPr="00A16144">
        <w:rPr>
          <w:rFonts w:asciiTheme="minorBidi" w:hAnsiTheme="minorBidi" w:cstheme="minorBidi"/>
          <w:color w:val="000000"/>
          <w:kern w:val="0"/>
        </w:rPr>
        <w:t xml:space="preserve">. Available at: </w:t>
      </w:r>
      <w:hyperlink r:id="rId61" w:history="1">
        <w:r w:rsidRPr="00A16144">
          <w:rPr>
            <w:rFonts w:asciiTheme="minorBidi" w:hAnsiTheme="minorBidi" w:cstheme="minorBidi"/>
            <w:color w:val="000000"/>
            <w:kern w:val="0"/>
            <w:u w:val="single"/>
          </w:rPr>
          <w:t>https://worldsteel.org/wider-sustainability/sustainability-indicators/</w:t>
        </w:r>
      </w:hyperlink>
      <w:r w:rsidRPr="00A16144">
        <w:rPr>
          <w:rFonts w:asciiTheme="minorBidi" w:hAnsiTheme="minorBidi" w:cstheme="minorBidi"/>
          <w:color w:val="000000"/>
          <w:kern w:val="0"/>
        </w:rPr>
        <w:t xml:space="preserve"> (Accessed: 19 June 2026).</w:t>
      </w:r>
    </w:p>
    <w:p w14:paraId="3075BDE8" w14:textId="77777777" w:rsidR="006172CF" w:rsidRPr="00A16144" w:rsidRDefault="006172CF" w:rsidP="006172CF">
      <w:pPr>
        <w:autoSpaceDE w:val="0"/>
        <w:autoSpaceDN w:val="0"/>
        <w:adjustRightInd w:val="0"/>
        <w:spacing w:after="240" w:line="360" w:lineRule="auto"/>
        <w:ind w:left="720" w:hanging="720"/>
        <w:jc w:val="both"/>
        <w:rPr>
          <w:rFonts w:asciiTheme="minorBidi" w:hAnsiTheme="minorBidi" w:cstheme="minorBidi"/>
          <w:color w:val="000000"/>
          <w:kern w:val="0"/>
        </w:rPr>
      </w:pPr>
      <w:proofErr w:type="spellStart"/>
      <w:r w:rsidRPr="00A16144">
        <w:rPr>
          <w:rFonts w:asciiTheme="minorBidi" w:hAnsiTheme="minorBidi" w:cstheme="minorBidi"/>
          <w:color w:val="000000"/>
          <w:kern w:val="0"/>
        </w:rPr>
        <w:lastRenderedPageBreak/>
        <w:t>Worldsteel</w:t>
      </w:r>
      <w:proofErr w:type="spellEnd"/>
      <w:r w:rsidRPr="00A16144">
        <w:rPr>
          <w:rFonts w:asciiTheme="minorBidi" w:hAnsiTheme="minorBidi" w:cstheme="minorBidi"/>
          <w:color w:val="000000"/>
          <w:kern w:val="0"/>
        </w:rPr>
        <w:t xml:space="preserve"> (2026) </w:t>
      </w:r>
      <w:proofErr w:type="spellStart"/>
      <w:r w:rsidRPr="00A16144">
        <w:rPr>
          <w:rFonts w:asciiTheme="minorBidi" w:hAnsiTheme="minorBidi" w:cstheme="minorBidi"/>
          <w:i/>
          <w:iCs/>
          <w:color w:val="000000"/>
          <w:kern w:val="0"/>
        </w:rPr>
        <w:t>worldsteel</w:t>
      </w:r>
      <w:proofErr w:type="spellEnd"/>
      <w:r w:rsidRPr="00A16144">
        <w:rPr>
          <w:rFonts w:asciiTheme="minorBidi" w:hAnsiTheme="minorBidi" w:cstheme="minorBidi"/>
          <w:i/>
          <w:iCs/>
          <w:color w:val="000000"/>
          <w:kern w:val="0"/>
        </w:rPr>
        <w:t xml:space="preserve"> Short Range Outlook April 2026</w:t>
      </w:r>
      <w:r w:rsidRPr="00A16144">
        <w:rPr>
          <w:rFonts w:asciiTheme="minorBidi" w:hAnsiTheme="minorBidi" w:cstheme="minorBidi"/>
          <w:color w:val="000000"/>
          <w:kern w:val="0"/>
        </w:rPr>
        <w:t xml:space="preserve">. Available at: </w:t>
      </w:r>
      <w:hyperlink r:id="rId62" w:history="1">
        <w:r w:rsidRPr="00A16144">
          <w:rPr>
            <w:rFonts w:asciiTheme="minorBidi" w:hAnsiTheme="minorBidi" w:cstheme="minorBidi"/>
            <w:color w:val="000000"/>
            <w:kern w:val="0"/>
            <w:u w:val="single"/>
          </w:rPr>
          <w:t>https://worldsteel.org/media/press-releases/2026/worldsteel-short-range-outlook-april-2026/</w:t>
        </w:r>
      </w:hyperlink>
      <w:r w:rsidRPr="00A16144">
        <w:rPr>
          <w:rFonts w:asciiTheme="minorBidi" w:hAnsiTheme="minorBidi" w:cstheme="minorBidi"/>
          <w:color w:val="000000"/>
          <w:kern w:val="0"/>
        </w:rPr>
        <w:t xml:space="preserve"> (Accessed: 19 June 2026).</w:t>
      </w:r>
    </w:p>
    <w:p w14:paraId="30032CBF"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p>
    <w:p w14:paraId="04D86F76"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p>
    <w:p w14:paraId="7E38ADB2"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p>
    <w:p w14:paraId="5F6C8FD5"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p>
    <w:p w14:paraId="62D6B61E" w14:textId="77777777" w:rsidR="006172CF" w:rsidRPr="00A16144" w:rsidRDefault="006172CF" w:rsidP="006172CF">
      <w:pPr>
        <w:autoSpaceDE w:val="0"/>
        <w:autoSpaceDN w:val="0"/>
        <w:adjustRightInd w:val="0"/>
        <w:spacing w:line="360" w:lineRule="auto"/>
        <w:jc w:val="both"/>
        <w:rPr>
          <w:rFonts w:asciiTheme="minorBidi" w:hAnsiTheme="minorBidi" w:cstheme="minorBidi"/>
          <w:color w:val="000000"/>
          <w:kern w:val="0"/>
        </w:rPr>
      </w:pPr>
    </w:p>
    <w:p w14:paraId="621591A3" w14:textId="77777777" w:rsidR="006172CF" w:rsidRPr="00A16144" w:rsidRDefault="006172CF" w:rsidP="006172CF">
      <w:pPr>
        <w:spacing w:line="360" w:lineRule="auto"/>
        <w:jc w:val="both"/>
        <w:rPr>
          <w:rFonts w:asciiTheme="minorBidi" w:hAnsiTheme="minorBidi" w:cstheme="minorBidi"/>
        </w:rPr>
      </w:pPr>
    </w:p>
    <w:p w14:paraId="2A7F475D" w14:textId="77777777" w:rsidR="006172CF" w:rsidRDefault="006172CF"/>
    <w:sectPr w:rsidR="006172CF" w:rsidSect="006172CF">
      <w:footerReference w:type="even" r:id="rId63"/>
      <w:footerReference w:type="default" r:id="rId6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84011444"/>
      <w:docPartObj>
        <w:docPartGallery w:val="Page Numbers (Bottom of Page)"/>
        <w:docPartUnique/>
      </w:docPartObj>
    </w:sdtPr>
    <w:sdtContent>
      <w:p w14:paraId="2DB89170" w14:textId="77777777" w:rsidR="006172CF" w:rsidRDefault="006172CF" w:rsidP="000D1C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B04A22" w14:textId="77777777" w:rsidR="006172CF" w:rsidRDefault="006172CF" w:rsidP="00A1614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94930899"/>
      <w:docPartObj>
        <w:docPartGallery w:val="Page Numbers (Bottom of Page)"/>
        <w:docPartUnique/>
      </w:docPartObj>
    </w:sdtPr>
    <w:sdtContent>
      <w:p w14:paraId="7BE4E0BD" w14:textId="77777777" w:rsidR="006172CF" w:rsidRDefault="006172CF" w:rsidP="000D1C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8EB2A4" w14:textId="77777777" w:rsidR="006172CF" w:rsidRDefault="006172CF" w:rsidP="00A16144">
    <w:pPr>
      <w:pStyle w:val="Footer"/>
      <w:ind w:right="360"/>
    </w:pPr>
  </w:p>
</w:ft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2CF"/>
    <w:rsid w:val="006172CF"/>
    <w:rsid w:val="00A06579"/>
    <w:rsid w:val="00B35E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70B614A"/>
  <w15:chartTrackingRefBased/>
  <w15:docId w15:val="{1D15E22A-082F-B346-8019-23536CBA9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72CF"/>
    <w:pPr>
      <w:spacing w:after="0" w:line="240" w:lineRule="auto"/>
    </w:pPr>
    <w:rPr>
      <w:rFonts w:ascii="Times New Roman" w:hAnsi="Times New Roman" w:cs="Times New Roman"/>
      <w:lang w:val="en-US"/>
    </w:rPr>
  </w:style>
  <w:style w:type="paragraph" w:styleId="Heading1">
    <w:name w:val="heading 1"/>
    <w:basedOn w:val="Normal"/>
    <w:next w:val="Normal"/>
    <w:link w:val="Heading1Char"/>
    <w:uiPriority w:val="9"/>
    <w:qFormat/>
    <w:rsid w:val="006172CF"/>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lang w:val="en-IN"/>
    </w:rPr>
  </w:style>
  <w:style w:type="paragraph" w:styleId="Heading2">
    <w:name w:val="heading 2"/>
    <w:basedOn w:val="Normal"/>
    <w:next w:val="Normal"/>
    <w:link w:val="Heading2Char"/>
    <w:uiPriority w:val="9"/>
    <w:unhideWhenUsed/>
    <w:qFormat/>
    <w:rsid w:val="006172CF"/>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lang w:val="en-IN"/>
    </w:rPr>
  </w:style>
  <w:style w:type="paragraph" w:styleId="Heading3">
    <w:name w:val="heading 3"/>
    <w:basedOn w:val="Normal"/>
    <w:next w:val="Normal"/>
    <w:link w:val="Heading3Char"/>
    <w:uiPriority w:val="9"/>
    <w:semiHidden/>
    <w:unhideWhenUsed/>
    <w:qFormat/>
    <w:rsid w:val="006172CF"/>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lang w:val="en-IN"/>
    </w:rPr>
  </w:style>
  <w:style w:type="paragraph" w:styleId="Heading4">
    <w:name w:val="heading 4"/>
    <w:basedOn w:val="Normal"/>
    <w:next w:val="Normal"/>
    <w:link w:val="Heading4Char"/>
    <w:uiPriority w:val="9"/>
    <w:semiHidden/>
    <w:unhideWhenUsed/>
    <w:qFormat/>
    <w:rsid w:val="006172CF"/>
    <w:pPr>
      <w:keepNext/>
      <w:keepLines/>
      <w:spacing w:before="80" w:after="40" w:line="278" w:lineRule="auto"/>
      <w:outlineLvl w:val="3"/>
    </w:pPr>
    <w:rPr>
      <w:rFonts w:asciiTheme="minorHAnsi" w:eastAsiaTheme="majorEastAsia" w:hAnsiTheme="minorHAnsi" w:cstheme="majorBidi"/>
      <w:i/>
      <w:iCs/>
      <w:color w:val="0F4761" w:themeColor="accent1" w:themeShade="BF"/>
      <w:lang w:val="en-IN"/>
    </w:rPr>
  </w:style>
  <w:style w:type="paragraph" w:styleId="Heading5">
    <w:name w:val="heading 5"/>
    <w:basedOn w:val="Normal"/>
    <w:next w:val="Normal"/>
    <w:link w:val="Heading5Char"/>
    <w:uiPriority w:val="9"/>
    <w:semiHidden/>
    <w:unhideWhenUsed/>
    <w:qFormat/>
    <w:rsid w:val="006172CF"/>
    <w:pPr>
      <w:keepNext/>
      <w:keepLines/>
      <w:spacing w:before="80" w:after="40" w:line="278" w:lineRule="auto"/>
      <w:outlineLvl w:val="4"/>
    </w:pPr>
    <w:rPr>
      <w:rFonts w:asciiTheme="minorHAnsi" w:eastAsiaTheme="majorEastAsia" w:hAnsiTheme="minorHAnsi" w:cstheme="majorBidi"/>
      <w:color w:val="0F4761" w:themeColor="accent1" w:themeShade="BF"/>
      <w:lang w:val="en-IN"/>
    </w:rPr>
  </w:style>
  <w:style w:type="paragraph" w:styleId="Heading6">
    <w:name w:val="heading 6"/>
    <w:basedOn w:val="Normal"/>
    <w:next w:val="Normal"/>
    <w:link w:val="Heading6Char"/>
    <w:uiPriority w:val="9"/>
    <w:semiHidden/>
    <w:unhideWhenUsed/>
    <w:qFormat/>
    <w:rsid w:val="006172CF"/>
    <w:pPr>
      <w:keepNext/>
      <w:keepLines/>
      <w:spacing w:before="40" w:line="278" w:lineRule="auto"/>
      <w:outlineLvl w:val="5"/>
    </w:pPr>
    <w:rPr>
      <w:rFonts w:asciiTheme="minorHAnsi" w:eastAsiaTheme="majorEastAsia" w:hAnsiTheme="minorHAnsi" w:cstheme="majorBidi"/>
      <w:i/>
      <w:iCs/>
      <w:color w:val="595959" w:themeColor="text1" w:themeTint="A6"/>
      <w:lang w:val="en-IN"/>
    </w:rPr>
  </w:style>
  <w:style w:type="paragraph" w:styleId="Heading7">
    <w:name w:val="heading 7"/>
    <w:basedOn w:val="Normal"/>
    <w:next w:val="Normal"/>
    <w:link w:val="Heading7Char"/>
    <w:uiPriority w:val="9"/>
    <w:semiHidden/>
    <w:unhideWhenUsed/>
    <w:qFormat/>
    <w:rsid w:val="006172CF"/>
    <w:pPr>
      <w:keepNext/>
      <w:keepLines/>
      <w:spacing w:before="40" w:line="278" w:lineRule="auto"/>
      <w:outlineLvl w:val="6"/>
    </w:pPr>
    <w:rPr>
      <w:rFonts w:asciiTheme="minorHAnsi" w:eastAsiaTheme="majorEastAsia" w:hAnsiTheme="minorHAnsi" w:cstheme="majorBidi"/>
      <w:color w:val="595959" w:themeColor="text1" w:themeTint="A6"/>
      <w:lang w:val="en-IN"/>
    </w:rPr>
  </w:style>
  <w:style w:type="paragraph" w:styleId="Heading8">
    <w:name w:val="heading 8"/>
    <w:basedOn w:val="Normal"/>
    <w:next w:val="Normal"/>
    <w:link w:val="Heading8Char"/>
    <w:uiPriority w:val="9"/>
    <w:semiHidden/>
    <w:unhideWhenUsed/>
    <w:qFormat/>
    <w:rsid w:val="006172CF"/>
    <w:pPr>
      <w:keepNext/>
      <w:keepLines/>
      <w:spacing w:line="278" w:lineRule="auto"/>
      <w:outlineLvl w:val="7"/>
    </w:pPr>
    <w:rPr>
      <w:rFonts w:asciiTheme="minorHAnsi" w:eastAsiaTheme="majorEastAsia" w:hAnsiTheme="minorHAnsi" w:cstheme="majorBidi"/>
      <w:i/>
      <w:iCs/>
      <w:color w:val="272727" w:themeColor="text1" w:themeTint="D8"/>
      <w:lang w:val="en-IN"/>
    </w:rPr>
  </w:style>
  <w:style w:type="paragraph" w:styleId="Heading9">
    <w:name w:val="heading 9"/>
    <w:basedOn w:val="Normal"/>
    <w:next w:val="Normal"/>
    <w:link w:val="Heading9Char"/>
    <w:uiPriority w:val="9"/>
    <w:semiHidden/>
    <w:unhideWhenUsed/>
    <w:qFormat/>
    <w:rsid w:val="006172CF"/>
    <w:pPr>
      <w:keepNext/>
      <w:keepLines/>
      <w:spacing w:line="278" w:lineRule="auto"/>
      <w:outlineLvl w:val="8"/>
    </w:pPr>
    <w:rPr>
      <w:rFonts w:asciiTheme="minorHAnsi" w:eastAsiaTheme="majorEastAsia" w:hAnsiTheme="minorHAnsi" w:cstheme="majorBidi"/>
      <w:color w:val="272727" w:themeColor="text1" w:themeTint="D8"/>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2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72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72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72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72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72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72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72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72CF"/>
    <w:rPr>
      <w:rFonts w:eastAsiaTheme="majorEastAsia" w:cstheme="majorBidi"/>
      <w:color w:val="272727" w:themeColor="text1" w:themeTint="D8"/>
    </w:rPr>
  </w:style>
  <w:style w:type="paragraph" w:styleId="Title">
    <w:name w:val="Title"/>
    <w:basedOn w:val="Normal"/>
    <w:next w:val="Normal"/>
    <w:link w:val="TitleChar"/>
    <w:uiPriority w:val="10"/>
    <w:qFormat/>
    <w:rsid w:val="006172CF"/>
    <w:pPr>
      <w:spacing w:after="80"/>
      <w:contextualSpacing/>
    </w:pPr>
    <w:rPr>
      <w:rFonts w:asciiTheme="majorHAnsi" w:eastAsiaTheme="majorEastAsia" w:hAnsiTheme="majorHAnsi" w:cstheme="majorBidi"/>
      <w:spacing w:val="-10"/>
      <w:kern w:val="28"/>
      <w:sz w:val="56"/>
      <w:szCs w:val="56"/>
      <w:lang w:val="en-IN"/>
    </w:rPr>
  </w:style>
  <w:style w:type="character" w:customStyle="1" w:styleId="TitleChar">
    <w:name w:val="Title Char"/>
    <w:basedOn w:val="DefaultParagraphFont"/>
    <w:link w:val="Title"/>
    <w:uiPriority w:val="10"/>
    <w:rsid w:val="006172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72CF"/>
    <w:pPr>
      <w:numPr>
        <w:ilvl w:val="1"/>
      </w:numPr>
      <w:spacing w:after="160" w:line="278" w:lineRule="auto"/>
    </w:pPr>
    <w:rPr>
      <w:rFonts w:asciiTheme="minorHAnsi" w:eastAsiaTheme="majorEastAsia" w:hAnsiTheme="minorHAnsi" w:cstheme="majorBidi"/>
      <w:color w:val="595959" w:themeColor="text1" w:themeTint="A6"/>
      <w:spacing w:val="15"/>
      <w:sz w:val="28"/>
      <w:szCs w:val="28"/>
      <w:lang w:val="en-IN"/>
    </w:rPr>
  </w:style>
  <w:style w:type="character" w:customStyle="1" w:styleId="SubtitleChar">
    <w:name w:val="Subtitle Char"/>
    <w:basedOn w:val="DefaultParagraphFont"/>
    <w:link w:val="Subtitle"/>
    <w:uiPriority w:val="11"/>
    <w:rsid w:val="006172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72CF"/>
    <w:pPr>
      <w:spacing w:before="160" w:after="160" w:line="278" w:lineRule="auto"/>
      <w:jc w:val="center"/>
    </w:pPr>
    <w:rPr>
      <w:rFonts w:asciiTheme="minorHAnsi" w:hAnsiTheme="minorHAnsi" w:cstheme="minorBidi"/>
      <w:i/>
      <w:iCs/>
      <w:color w:val="404040" w:themeColor="text1" w:themeTint="BF"/>
      <w:lang w:val="en-IN"/>
    </w:rPr>
  </w:style>
  <w:style w:type="character" w:customStyle="1" w:styleId="QuoteChar">
    <w:name w:val="Quote Char"/>
    <w:basedOn w:val="DefaultParagraphFont"/>
    <w:link w:val="Quote"/>
    <w:uiPriority w:val="29"/>
    <w:rsid w:val="006172CF"/>
    <w:rPr>
      <w:i/>
      <w:iCs/>
      <w:color w:val="404040" w:themeColor="text1" w:themeTint="BF"/>
    </w:rPr>
  </w:style>
  <w:style w:type="paragraph" w:styleId="ListParagraph">
    <w:name w:val="List Paragraph"/>
    <w:basedOn w:val="Normal"/>
    <w:uiPriority w:val="34"/>
    <w:qFormat/>
    <w:rsid w:val="006172CF"/>
    <w:pPr>
      <w:spacing w:after="160" w:line="278" w:lineRule="auto"/>
      <w:ind w:left="720"/>
      <w:contextualSpacing/>
    </w:pPr>
    <w:rPr>
      <w:rFonts w:asciiTheme="minorHAnsi" w:hAnsiTheme="minorHAnsi" w:cstheme="minorBidi"/>
      <w:lang w:val="en-IN"/>
    </w:rPr>
  </w:style>
  <w:style w:type="character" w:styleId="IntenseEmphasis">
    <w:name w:val="Intense Emphasis"/>
    <w:basedOn w:val="DefaultParagraphFont"/>
    <w:uiPriority w:val="21"/>
    <w:qFormat/>
    <w:rsid w:val="006172CF"/>
    <w:rPr>
      <w:i/>
      <w:iCs/>
      <w:color w:val="0F4761" w:themeColor="accent1" w:themeShade="BF"/>
    </w:rPr>
  </w:style>
  <w:style w:type="paragraph" w:styleId="IntenseQuote">
    <w:name w:val="Intense Quote"/>
    <w:basedOn w:val="Normal"/>
    <w:next w:val="Normal"/>
    <w:link w:val="IntenseQuoteChar"/>
    <w:uiPriority w:val="30"/>
    <w:qFormat/>
    <w:rsid w:val="006172C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lang w:val="en-IN"/>
    </w:rPr>
  </w:style>
  <w:style w:type="character" w:customStyle="1" w:styleId="IntenseQuoteChar">
    <w:name w:val="Intense Quote Char"/>
    <w:basedOn w:val="DefaultParagraphFont"/>
    <w:link w:val="IntenseQuote"/>
    <w:uiPriority w:val="30"/>
    <w:rsid w:val="006172CF"/>
    <w:rPr>
      <w:i/>
      <w:iCs/>
      <w:color w:val="0F4761" w:themeColor="accent1" w:themeShade="BF"/>
    </w:rPr>
  </w:style>
  <w:style w:type="character" w:styleId="IntenseReference">
    <w:name w:val="Intense Reference"/>
    <w:basedOn w:val="DefaultParagraphFont"/>
    <w:uiPriority w:val="32"/>
    <w:qFormat/>
    <w:rsid w:val="006172CF"/>
    <w:rPr>
      <w:b/>
      <w:bCs/>
      <w:smallCaps/>
      <w:color w:val="0F4761" w:themeColor="accent1" w:themeShade="BF"/>
      <w:spacing w:val="5"/>
    </w:rPr>
  </w:style>
  <w:style w:type="paragraph" w:styleId="Footer">
    <w:name w:val="footer"/>
    <w:basedOn w:val="Normal"/>
    <w:link w:val="FooterChar"/>
    <w:uiPriority w:val="99"/>
    <w:unhideWhenUsed/>
    <w:rsid w:val="006172CF"/>
    <w:pPr>
      <w:tabs>
        <w:tab w:val="center" w:pos="4680"/>
        <w:tab w:val="right" w:pos="9360"/>
      </w:tabs>
    </w:pPr>
  </w:style>
  <w:style w:type="character" w:customStyle="1" w:styleId="FooterChar">
    <w:name w:val="Footer Char"/>
    <w:basedOn w:val="DefaultParagraphFont"/>
    <w:link w:val="Footer"/>
    <w:uiPriority w:val="99"/>
    <w:rsid w:val="006172CF"/>
    <w:rPr>
      <w:rFonts w:ascii="Times New Roman" w:hAnsi="Times New Roman" w:cs="Times New Roman"/>
      <w:lang w:val="en-US"/>
    </w:rPr>
  </w:style>
  <w:style w:type="character" w:styleId="PageNumber">
    <w:name w:val="page number"/>
    <w:basedOn w:val="DefaultParagraphFont"/>
    <w:uiPriority w:val="99"/>
    <w:semiHidden/>
    <w:unhideWhenUsed/>
    <w:rsid w:val="006172CF"/>
  </w:style>
  <w:style w:type="paragraph" w:styleId="TOC1">
    <w:name w:val="toc 1"/>
    <w:basedOn w:val="Normal"/>
    <w:next w:val="Normal"/>
    <w:autoRedefine/>
    <w:uiPriority w:val="39"/>
    <w:unhideWhenUsed/>
    <w:rsid w:val="006172CF"/>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6172CF"/>
    <w:pPr>
      <w:spacing w:before="120"/>
      <w:ind w:left="240"/>
    </w:pPr>
    <w:rPr>
      <w:rFonts w:asciiTheme="minorHAnsi" w:hAnsiTheme="minorHAnsi" w:cstheme="minorHAnsi"/>
      <w:i/>
      <w:iCs/>
      <w:sz w:val="20"/>
    </w:rPr>
  </w:style>
  <w:style w:type="character" w:styleId="Hyperlink">
    <w:name w:val="Hyperlink"/>
    <w:basedOn w:val="DefaultParagraphFont"/>
    <w:uiPriority w:val="99"/>
    <w:unhideWhenUsed/>
    <w:rsid w:val="006172C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3.png"/><Relationship Id="rId21" Type="http://schemas.openxmlformats.org/officeDocument/2006/relationships/image" Target="media/image18.png"/><Relationship Id="rId34" Type="http://schemas.openxmlformats.org/officeDocument/2006/relationships/hyperlink" Target="https://taxation-customs.ec.europa.eu/news/cbam-successfully-entered-force-1-january-2026-2026-01-14_en" TargetMode="External"/><Relationship Id="rId42" Type="http://schemas.openxmlformats.org/officeDocument/2006/relationships/hyperlink" Target="https://www.reuters.com/sustainability/weak-demand-low-carbon-products-hampers-green-investment-cop28-initiative-says-2024-09-19/" TargetMode="External"/><Relationship Id="rId47" Type="http://schemas.openxmlformats.org/officeDocument/2006/relationships/hyperlink" Target="https://www.reuters.com/world/india/indias-steel-ministry-seeks-17-bln-budget-help-mills-cut-emissions-sources-say-2025-01-16/" TargetMode="External"/><Relationship Id="rId50" Type="http://schemas.openxmlformats.org/officeDocument/2006/relationships/hyperlink" Target="https://www.tatasteel.com/newsroom/press-releases/india/2025/tata-group-chairman-n-chandrasekaran-marks-groundbreaking-of-new-electric-arc-furnace-at-port-talbot/" TargetMode="External"/><Relationship Id="rId55" Type="http://schemas.openxmlformats.org/officeDocument/2006/relationships/hyperlink" Target="https://www.tatasteelnederland.com/en/sustainability/zeremis/zeremis-carbon-lite" TargetMode="External"/><Relationship Id="rId63" Type="http://schemas.openxmlformats.org/officeDocument/2006/relationships/footer" Target="footer1.xm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hyperlink" Target="https://climatecatalyst.org/wp-content/uploads/2026/02/Catalysing-Demand-for-Green-Steel-through-Public-Procurement-in-India-Executive-Summary.pdf" TargetMode="External"/><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hyperlink" Target="https://www.business.gov.uk/campaign/europe/european-union-eu-regulations/eu-carbon-border-adjustment-mechanism-eu-cbam/" TargetMode="External"/><Relationship Id="rId37" Type="http://schemas.openxmlformats.org/officeDocument/2006/relationships/hyperlink" Target="https://www.idtechex.com/en/research-article/how-automotive-and-other-sectors-create-green-steel-demand/33586" TargetMode="External"/><Relationship Id="rId40" Type="http://schemas.openxmlformats.org/officeDocument/2006/relationships/hyperlink" Target="https://nisst.org/wp-content/uploads/2025/12/Guideline-for-Green-Steel-Certification_30.12.2025-compressed.pdf" TargetMode="External"/><Relationship Id="rId45" Type="http://schemas.openxmlformats.org/officeDocument/2006/relationships/hyperlink" Target="https://www.responsiblesteel.org/standards" TargetMode="External"/><Relationship Id="rId53" Type="http://schemas.openxmlformats.org/officeDocument/2006/relationships/hyperlink" Target="https://www.tatasteel.com/newsroom/press-releases/india/2026/tata-steel-inaugurates-its-first-scrap-based-electric-arc-furnace-in-india/" TargetMode="External"/><Relationship Id="rId58" Type="http://schemas.openxmlformats.org/officeDocument/2006/relationships/hyperlink" Target="https://transitionasia.org/press-release-the-green-steel-premium-for-cars-and-buildings-is-negligible/" TargetMode="External"/><Relationship Id="rId66" Type="http://schemas.openxmlformats.org/officeDocument/2006/relationships/theme" Target="theme/theme1.xml"/><Relationship Id="rId5" Type="http://schemas.openxmlformats.org/officeDocument/2006/relationships/image" Target="media/image2.png"/><Relationship Id="rId61" Type="http://schemas.openxmlformats.org/officeDocument/2006/relationships/hyperlink" Target="https://worldsteel.org/wider-sustainability/sustainability-indicators/" TargetMode="External"/><Relationship Id="rId19" Type="http://schemas.openxmlformats.org/officeDocument/2006/relationships/image" Target="media/image1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hyperlink" Target="https://www.gov.uk/government/publications/steel-strategy/the-uk-steel-strategy-web-version" TargetMode="External"/><Relationship Id="rId35" Type="http://schemas.openxmlformats.org/officeDocument/2006/relationships/hyperlink" Target="https://www.ey.com/content/dam/ey-unified-site/ey-com/en-in/insights/mining-metals/doucments/ey-unlocking-green-steel-demand-digital.pdf" TargetMode="External"/><Relationship Id="rId43" Type="http://schemas.openxmlformats.org/officeDocument/2006/relationships/hyperlink" Target="https://www.pib.gov.in/PressReleasePage.aspx?PRID=2258028&amp;lang=2&amp;reg=48" TargetMode="External"/><Relationship Id="rId48" Type="http://schemas.openxmlformats.org/officeDocument/2006/relationships/hyperlink" Target="https://www.reuters.com/commentary/reuters-open-interest/iron-ore-industry-sees-bright-future-green-steel-fades-2026-06-18/" TargetMode="External"/><Relationship Id="rId56" Type="http://schemas.openxmlformats.org/officeDocument/2006/relationships/hyperlink" Target="https://www.tatasteeluk.com/sustainability/green-steel-solutions/optemis/optemis-carbon-lite" TargetMode="External"/><Relationship Id="rId64" Type="http://schemas.openxmlformats.org/officeDocument/2006/relationships/footer" Target="footer2.xml"/><Relationship Id="rId8" Type="http://schemas.openxmlformats.org/officeDocument/2006/relationships/image" Target="media/image5.png"/><Relationship Id="rId51" Type="http://schemas.openxmlformats.org/officeDocument/2006/relationships/hyperlink" Target="https://www.tatasteel.com/newsroom/press-releases/india/2026/tata-steel-4qfy2026-and-fy2026-production-and-delivery-volumes-provisional/" TargetMode="External"/><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hyperlink" Target="https://www.dnv.com/services/supply-chain-assurance/responsible-sourcing-and-production/responsiblesteel-certification-services/" TargetMode="External"/><Relationship Id="rId38" Type="http://schemas.openxmlformats.org/officeDocument/2006/relationships/hyperlink" Target="https://www.iea.org/energy-system/industry/steel" TargetMode="External"/><Relationship Id="rId46" Type="http://schemas.openxmlformats.org/officeDocument/2006/relationships/hyperlink" Target="https://www.reuters.com/world/india/india-announces-formula-classifying-green-steel-2024-12-12/" TargetMode="External"/><Relationship Id="rId59" Type="http://schemas.openxmlformats.org/officeDocument/2006/relationships/hyperlink" Target="https://uploads.transportenvironment.org/production/files/Green-steel-in-cars-briefing_July-2024.docx.pdf" TargetMode="External"/><Relationship Id="rId20" Type="http://schemas.openxmlformats.org/officeDocument/2006/relationships/image" Target="media/image17.png"/><Relationship Id="rId41" Type="http://schemas.openxmlformats.org/officeDocument/2006/relationships/hyperlink" Target="https://www.oecd.org/en/about/news/press-releases/2026/06/steel-excess-capacity-continues-to-weigh-on-global-markets-with-subsidies-increasingly-undermining-fair-competition.html" TargetMode="External"/><Relationship Id="rId54" Type="http://schemas.openxmlformats.org/officeDocument/2006/relationships/hyperlink" Target="https://www.tatasteel.com/newsroom/press-releases/india/2026/tata-steel-partners-sms-group-to-deploy-world-first-easymelt-decarbonisation-technology/" TargetMode="External"/><Relationship Id="rId62" Type="http://schemas.openxmlformats.org/officeDocument/2006/relationships/hyperlink" Target="https://worldsteel.org/media/press-releases/2026/worldsteel-short-range-outlook-april-2026/" TargetMode="External"/><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hyperlink" Target="https://carbontracker.org/reports/measuring-transition-tata-steel/" TargetMode="External"/><Relationship Id="rId36" Type="http://schemas.openxmlformats.org/officeDocument/2006/relationships/hyperlink" Target="https://www.hzlindia.com/news-and-media/press-release/hindustan-zinc-and-tata-steel-partner-to-scale-low-carbon-zinc-solutions-with-eco-zen" TargetMode="External"/><Relationship Id="rId49" Type="http://schemas.openxmlformats.org/officeDocument/2006/relationships/hyperlink" Target="https://files.sciencebasedtargets.org/production/files/SBTi-Steel-Guidance.pdf" TargetMode="External"/><Relationship Id="rId57" Type="http://schemas.openxmlformats.org/officeDocument/2006/relationships/hyperlink" Target="https://timesofindia.indiatimes.com/city/chandigarh/indias-second-largest-tata-steel-plant-starts-ops-in-ludhiana/articleshow/129706823.cms" TargetMode="External"/><Relationship Id="rId10" Type="http://schemas.openxmlformats.org/officeDocument/2006/relationships/image" Target="media/image7.png"/><Relationship Id="rId31" Type="http://schemas.openxmlformats.org/officeDocument/2006/relationships/hyperlink" Target="https://www.gov.uk/government/publications/steel-strategy/the-uk-steel-strategy-web-version" TargetMode="External"/><Relationship Id="rId44" Type="http://schemas.openxmlformats.org/officeDocument/2006/relationships/hyperlink" Target="https://www.responsiblesteel.org/news/the-near-zero-steel-2030-challenge-launches-at-new-york-climate-week" TargetMode="External"/><Relationship Id="rId52" Type="http://schemas.openxmlformats.org/officeDocument/2006/relationships/hyperlink" Target="https://www.tatasteel.com/newsroom/press-releases/india/2026/tata-steel-reports-consolidated-ebitda-of-rs-34-848-crores-and-profit-after-tax-of-rs-10-886-crores-for-the-twelve-months-ended-march-31-2026/" TargetMode="External"/><Relationship Id="rId60" Type="http://schemas.openxmlformats.org/officeDocument/2006/relationships/hyperlink" Target="https://worldsteel.org/climate-action/climate-change-and-the-production-of-iron-and-steel/" TargetMode="External"/><Relationship Id="rId65"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3" Type="http://schemas.openxmlformats.org/officeDocument/2006/relationships/image" Target="media/image10.png"/><Relationship Id="rId18" Type="http://schemas.openxmlformats.org/officeDocument/2006/relationships/image" Target="media/image15.png"/><Relationship Id="rId39" Type="http://schemas.openxmlformats.org/officeDocument/2006/relationships/hyperlink" Target="https://www.theguardian.com/business/2026/jun/08/unions-attack-delay-tata-steel-furnaces-grid-connection-south-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24</Pages>
  <Words>4978</Words>
  <Characters>28378</Characters>
  <Application>Microsoft Office Word</Application>
  <DocSecurity>0</DocSecurity>
  <Lines>236</Lines>
  <Paragraphs>66</Paragraphs>
  <ScaleCrop>false</ScaleCrop>
  <Company/>
  <LinksUpToDate>false</LinksUpToDate>
  <CharactersWithSpaces>33290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Ishan kevadiya</dc:creator>
  <cp:keywords/>
  <dc:description/>
  <cp:lastModifiedBy>Ishan kevadiya</cp:lastModifiedBy>
  <cp:revision>2</cp:revision>
  <dcterms:created xsi:type="dcterms:W3CDTF">2026-06-24T15:11:00Z</dcterms:created>
  <dcterms:modified xsi:type="dcterms:W3CDTF">2026-06-24T15:16:00Z</dcterms:modified>
</cp:coreProperties>
</file>