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41C6E1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DF7258">
              <w:rPr>
                <w:b/>
                <w:color w:val="auto"/>
                <w:sz w:val="32"/>
              </w:rPr>
              <w:t>: Luke Daniel Rimes</w:t>
            </w:r>
            <w:r>
              <w:rPr>
                <w:b/>
                <w:color w:val="auto"/>
                <w:sz w:val="32"/>
              </w:rPr>
              <w:t>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8C9E22C" w:rsidR="00575A8F" w:rsidRDefault="00575A8F" w:rsidP="00E6298B">
            <w:pPr>
              <w:overflowPunct/>
              <w:autoSpaceDE/>
              <w:autoSpaceDN/>
              <w:adjustRightInd/>
              <w:ind w:right="107"/>
              <w:textAlignment w:val="auto"/>
              <w:rPr>
                <w:b/>
                <w:color w:val="auto"/>
                <w:sz w:val="32"/>
              </w:rPr>
            </w:pPr>
            <w:r>
              <w:rPr>
                <w:b/>
                <w:color w:val="auto"/>
                <w:sz w:val="32"/>
              </w:rPr>
              <w:t>_</w:t>
            </w:r>
            <w:r w:rsidR="00DF7258">
              <w:rPr>
                <w:b/>
                <w:color w:val="auto"/>
                <w:sz w:val="32"/>
              </w:rPr>
              <w:t>2117609</w:t>
            </w:r>
            <w:r>
              <w:rPr>
                <w:b/>
                <w:color w:val="auto"/>
                <w:sz w:val="32"/>
              </w:rPr>
              <w:t>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C7293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C7293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C7293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C7293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C7293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C7293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C7293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C7293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C7293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C7293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C7293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C7293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CD777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00661758">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6B6A971D" w14:textId="54282A00" w:rsidR="00245723" w:rsidRDefault="00245723" w:rsidP="00245723">
      <w:pPr>
        <w:spacing w:line="276" w:lineRule="auto"/>
        <w:jc w:val="both"/>
        <w:rPr>
          <w:rFonts w:cstheme="minorHAnsi"/>
        </w:rPr>
      </w:pPr>
      <w:r w:rsidRPr="00BB444E">
        <w:rPr>
          <w:rFonts w:cstheme="minorHAnsi"/>
        </w:rPr>
        <w:t xml:space="preserve">In this essay </w:t>
      </w:r>
      <w:r>
        <w:rPr>
          <w:rFonts w:cstheme="minorHAnsi"/>
        </w:rPr>
        <w:t>I will</w:t>
      </w:r>
      <w:r w:rsidRPr="00BB444E">
        <w:rPr>
          <w:rFonts w:cstheme="minorHAnsi"/>
        </w:rPr>
        <w:t xml:space="preserve"> out</w:t>
      </w:r>
      <w:r>
        <w:rPr>
          <w:rFonts w:cstheme="minorHAnsi"/>
        </w:rPr>
        <w:t>line and evaluate the tools I have used to</w:t>
      </w:r>
      <w:r w:rsidRPr="00BB444E">
        <w:rPr>
          <w:rFonts w:cstheme="minorHAnsi"/>
        </w:rPr>
        <w:t xml:space="preserve"> reduce stress and maximise my resilience during my initial </w:t>
      </w:r>
      <w:proofErr w:type="gramStart"/>
      <w:r w:rsidRPr="00BB444E">
        <w:rPr>
          <w:rFonts w:cstheme="minorHAnsi"/>
        </w:rPr>
        <w:t>six month</w:t>
      </w:r>
      <w:proofErr w:type="gramEnd"/>
      <w:r w:rsidRPr="00BB444E">
        <w:rPr>
          <w:rFonts w:cstheme="minorHAnsi"/>
        </w:rPr>
        <w:t xml:space="preserve"> training period. The coping mechanisms I </w:t>
      </w:r>
      <w:r>
        <w:rPr>
          <w:rFonts w:cstheme="minorHAnsi"/>
        </w:rPr>
        <w:t>employed</w:t>
      </w:r>
      <w:r w:rsidRPr="00BB444E">
        <w:rPr>
          <w:rFonts w:cstheme="minorHAnsi"/>
        </w:rPr>
        <w:t xml:space="preserve"> </w:t>
      </w:r>
      <w:proofErr w:type="gramStart"/>
      <w:r w:rsidRPr="00BB444E">
        <w:rPr>
          <w:rFonts w:cstheme="minorHAnsi"/>
        </w:rPr>
        <w:t>were:</w:t>
      </w:r>
      <w:proofErr w:type="gramEnd"/>
      <w:r w:rsidRPr="00BB444E">
        <w:rPr>
          <w:rFonts w:cstheme="minorHAnsi"/>
        </w:rPr>
        <w:t xml:space="preserve"> cognitive reappraisal/reframing</w:t>
      </w:r>
      <w:r>
        <w:rPr>
          <w:rFonts w:cstheme="minorHAnsi"/>
        </w:rPr>
        <w:t xml:space="preserve"> (CR)</w:t>
      </w:r>
      <w:r w:rsidRPr="00BB444E">
        <w:rPr>
          <w:rFonts w:cstheme="minorHAnsi"/>
        </w:rPr>
        <w:t>, social sharing</w:t>
      </w:r>
      <w:r>
        <w:rPr>
          <w:rFonts w:cstheme="minorHAnsi"/>
        </w:rPr>
        <w:t xml:space="preserve"> (SS), and distractive expression (DE) through music and cooking</w:t>
      </w:r>
      <w:r w:rsidRPr="00BB444E">
        <w:rPr>
          <w:rFonts w:cstheme="minorHAnsi"/>
        </w:rPr>
        <w:t>. Alongside achievement and performance stressors that came through training, I also experienced tw</w:t>
      </w:r>
      <w:r>
        <w:rPr>
          <w:rFonts w:cstheme="minorHAnsi"/>
        </w:rPr>
        <w:t xml:space="preserve">o periods of bereavement: one </w:t>
      </w:r>
      <w:r w:rsidRPr="00BB444E">
        <w:rPr>
          <w:rFonts w:cstheme="minorHAnsi"/>
        </w:rPr>
        <w:t xml:space="preserve">at the beginning of training, which lead up to the first exam; and secondly, the end of training, </w:t>
      </w:r>
      <w:r>
        <w:rPr>
          <w:rFonts w:cstheme="minorHAnsi"/>
        </w:rPr>
        <w:t>culminating with th</w:t>
      </w:r>
      <w:r w:rsidRPr="00BB444E">
        <w:rPr>
          <w:rFonts w:cstheme="minorHAnsi"/>
        </w:rPr>
        <w:t xml:space="preserve">e final exam. </w:t>
      </w:r>
      <w:r>
        <w:rPr>
          <w:rFonts w:cstheme="minorHAnsi"/>
        </w:rPr>
        <w:t xml:space="preserve">Subsequently, I will </w:t>
      </w:r>
      <w:r w:rsidRPr="00BB444E">
        <w:rPr>
          <w:rFonts w:cstheme="minorHAnsi"/>
        </w:rPr>
        <w:t xml:space="preserve">further compare my resilience </w:t>
      </w:r>
      <w:r>
        <w:rPr>
          <w:rFonts w:cstheme="minorHAnsi"/>
        </w:rPr>
        <w:t xml:space="preserve">and use of coping techniques </w:t>
      </w:r>
      <w:r w:rsidRPr="00BB444E">
        <w:rPr>
          <w:rFonts w:cstheme="minorHAnsi"/>
        </w:rPr>
        <w:t xml:space="preserve">to </w:t>
      </w:r>
      <w:r>
        <w:rPr>
          <w:rFonts w:cstheme="minorHAnsi"/>
        </w:rPr>
        <w:t xml:space="preserve">multiple </w:t>
      </w:r>
      <w:r w:rsidRPr="00BB444E">
        <w:rPr>
          <w:rFonts w:cstheme="minorHAnsi"/>
        </w:rPr>
        <w:t>stress</w:t>
      </w:r>
      <w:r>
        <w:rPr>
          <w:rFonts w:cstheme="minorHAnsi"/>
        </w:rPr>
        <w:t xml:space="preserve">ors that directly and indirectly impacted </w:t>
      </w:r>
      <w:proofErr w:type="gramStart"/>
      <w:r>
        <w:rPr>
          <w:rFonts w:cstheme="minorHAnsi"/>
        </w:rPr>
        <w:t>training as a whole</w:t>
      </w:r>
      <w:proofErr w:type="gramEnd"/>
      <w:r w:rsidRPr="00BB444E">
        <w:rPr>
          <w:rFonts w:cstheme="minorHAnsi"/>
        </w:rPr>
        <w:t>. This essay will follow the Gibbs Reflective Model to consolidate my reflections</w:t>
      </w:r>
      <w:r>
        <w:rPr>
          <w:rFonts w:cstheme="minorHAnsi"/>
        </w:rPr>
        <w:t xml:space="preserve"> </w:t>
      </w:r>
      <w:r>
        <w:t>(MindTools, 2019)</w:t>
      </w:r>
      <w:r w:rsidRPr="00BB444E">
        <w:rPr>
          <w:rFonts w:cstheme="minorHAnsi"/>
        </w:rPr>
        <w:t xml:space="preserve">. </w:t>
      </w:r>
      <w:r w:rsidR="002825CD">
        <w:rPr>
          <w:rFonts w:cstheme="minorHAnsi"/>
        </w:rPr>
        <w:br/>
      </w:r>
    </w:p>
    <w:p w14:paraId="73341876" w14:textId="286CC044" w:rsidR="00245723" w:rsidRDefault="00245723" w:rsidP="00245723">
      <w:pPr>
        <w:spacing w:line="276" w:lineRule="auto"/>
        <w:ind w:firstLine="720"/>
        <w:jc w:val="both"/>
        <w:rPr>
          <w:rFonts w:cstheme="minorHAnsi"/>
        </w:rPr>
      </w:pPr>
      <w:r>
        <w:rPr>
          <w:rFonts w:cstheme="minorHAnsi"/>
        </w:rPr>
        <w:t>R</w:t>
      </w:r>
      <w:r w:rsidRPr="009323A9">
        <w:rPr>
          <w:rFonts w:cstheme="minorHAnsi"/>
        </w:rPr>
        <w:t>esilience is the ability to b</w:t>
      </w:r>
      <w:r>
        <w:rPr>
          <w:rFonts w:cstheme="minorHAnsi"/>
        </w:rPr>
        <w:t xml:space="preserve">ounce back, time and time again; its </w:t>
      </w:r>
      <w:r w:rsidRPr="0016470B">
        <w:rPr>
          <w:rFonts w:cstheme="minorHAnsi"/>
        </w:rPr>
        <w:t xml:space="preserve">relationship between </w:t>
      </w:r>
      <w:r>
        <w:rPr>
          <w:rFonts w:cstheme="minorHAnsi"/>
        </w:rPr>
        <w:t>with</w:t>
      </w:r>
      <w:r w:rsidRPr="0016470B">
        <w:rPr>
          <w:rFonts w:cstheme="minorHAnsi"/>
        </w:rPr>
        <w:t xml:space="preserve"> effective stress management is vital for effective performance. This is especially true of police officers, whose role is to “blend” empathy, emotional intelligence, trauma</w:t>
      </w:r>
      <w:r>
        <w:rPr>
          <w:rFonts w:cstheme="minorHAnsi"/>
        </w:rPr>
        <w:t xml:space="preserve"> (V. </w:t>
      </w:r>
      <w:proofErr w:type="spellStart"/>
      <w:r>
        <w:rPr>
          <w:rFonts w:cstheme="minorHAnsi"/>
        </w:rPr>
        <w:t>Romosiou</w:t>
      </w:r>
      <w:proofErr w:type="spellEnd"/>
      <w:r>
        <w:rPr>
          <w:rFonts w:cstheme="minorHAnsi"/>
        </w:rPr>
        <w:t xml:space="preserve"> et al 2018)</w:t>
      </w:r>
      <w:r w:rsidRPr="0016470B">
        <w:rPr>
          <w:rFonts w:cstheme="minorHAnsi"/>
        </w:rPr>
        <w:t>, and heavy workloads in challenging environments</w:t>
      </w:r>
      <w:r>
        <w:rPr>
          <w:rFonts w:cstheme="minorHAnsi"/>
        </w:rPr>
        <w:t xml:space="preserve"> while adhering to the Code of Ethics (College of Policing, 2014)</w:t>
      </w:r>
      <w:r w:rsidRPr="0016470B">
        <w:rPr>
          <w:rFonts w:cstheme="minorHAnsi"/>
        </w:rPr>
        <w:t xml:space="preserve"> Therefore, it is paramount that stress regulation and resilience must be monitored by police officers and their wider organisation or force (</w:t>
      </w:r>
      <w:proofErr w:type="spellStart"/>
      <w:r w:rsidRPr="0016470B">
        <w:rPr>
          <w:rFonts w:cstheme="minorHAnsi"/>
        </w:rPr>
        <w:t>Hesketh</w:t>
      </w:r>
      <w:proofErr w:type="spellEnd"/>
      <w:r w:rsidRPr="0016470B">
        <w:rPr>
          <w:rFonts w:cstheme="minorHAnsi"/>
        </w:rPr>
        <w:t xml:space="preserve"> et al 2018). </w:t>
      </w:r>
    </w:p>
    <w:p w14:paraId="6F18AFCA" w14:textId="211CD657" w:rsidR="00EA62DE" w:rsidRDefault="00EA62DE" w:rsidP="00245723">
      <w:pPr>
        <w:spacing w:line="276" w:lineRule="auto"/>
        <w:ind w:firstLine="720"/>
        <w:jc w:val="both"/>
        <w:rPr>
          <w:rFonts w:cstheme="minorHAnsi"/>
        </w:rPr>
      </w:pPr>
    </w:p>
    <w:p w14:paraId="309B5A7C" w14:textId="5FB83932" w:rsidR="00245723" w:rsidRDefault="00EA62DE" w:rsidP="00245723">
      <w:pPr>
        <w:spacing w:line="276" w:lineRule="auto"/>
        <w:ind w:firstLine="720"/>
        <w:jc w:val="both"/>
        <w:rPr>
          <w:rFonts w:cstheme="minorHAnsi"/>
        </w:rPr>
      </w:pPr>
      <w:r>
        <w:rPr>
          <w:rFonts w:cstheme="minorHAnsi"/>
        </w:rPr>
        <w:t xml:space="preserve">Under </w:t>
      </w:r>
      <w:r w:rsidR="0001103F">
        <w:rPr>
          <w:rFonts w:cstheme="minorHAnsi"/>
        </w:rPr>
        <w:t>stressful</w:t>
      </w:r>
      <w:r>
        <w:rPr>
          <w:rFonts w:cstheme="minorHAnsi"/>
        </w:rPr>
        <w:t xml:space="preserve"> conditions situations, our resilience is aptly tested.</w:t>
      </w:r>
      <w:r w:rsidR="0001103F">
        <w:rPr>
          <w:rFonts w:cstheme="minorHAnsi"/>
        </w:rPr>
        <w:t xml:space="preserve"> </w:t>
      </w:r>
      <w:r w:rsidR="00245723">
        <w:rPr>
          <w:rFonts w:cstheme="minorHAnsi"/>
        </w:rPr>
        <w:t>The National Health Service</w:t>
      </w:r>
      <w:r w:rsidR="00245723" w:rsidRPr="009323A9">
        <w:rPr>
          <w:rFonts w:cstheme="minorHAnsi"/>
        </w:rPr>
        <w:t xml:space="preserve"> outline that people</w:t>
      </w:r>
      <w:r w:rsidR="0001103F">
        <w:rPr>
          <w:rFonts w:cstheme="minorHAnsi"/>
        </w:rPr>
        <w:t xml:space="preserve"> experiencing stress</w:t>
      </w:r>
      <w:r w:rsidR="00245723" w:rsidRPr="009323A9">
        <w:rPr>
          <w:rFonts w:cstheme="minorHAnsi"/>
        </w:rPr>
        <w:t xml:space="preserve"> can feel “overwhelmed”, in constant “worry” or “anxiousness”</w:t>
      </w:r>
      <w:r w:rsidR="00245723" w:rsidRPr="0031222A">
        <w:rPr>
          <w:rFonts w:cstheme="minorHAnsi"/>
        </w:rPr>
        <w:t xml:space="preserve"> </w:t>
      </w:r>
      <w:r w:rsidR="00245723">
        <w:rPr>
          <w:rFonts w:cstheme="minorHAnsi"/>
        </w:rPr>
        <w:t>(NHS, 2021).</w:t>
      </w:r>
      <w:r w:rsidR="00245723" w:rsidRPr="009323A9">
        <w:rPr>
          <w:rFonts w:cstheme="minorHAnsi"/>
        </w:rPr>
        <w:t xml:space="preserve"> If left untreated </w:t>
      </w:r>
      <w:r w:rsidR="00245723">
        <w:rPr>
          <w:rFonts w:cstheme="minorHAnsi"/>
        </w:rPr>
        <w:t>people</w:t>
      </w:r>
      <w:r w:rsidR="00245723" w:rsidRPr="009323A9">
        <w:rPr>
          <w:rFonts w:cstheme="minorHAnsi"/>
        </w:rPr>
        <w:t xml:space="preserve"> can become irritable, struggle with sleep, or develop more serious issues such </w:t>
      </w:r>
      <w:r w:rsidR="00245723">
        <w:rPr>
          <w:rFonts w:cstheme="minorHAnsi"/>
        </w:rPr>
        <w:t>higher</w:t>
      </w:r>
      <w:r w:rsidR="00245723" w:rsidRPr="009323A9">
        <w:rPr>
          <w:rFonts w:cstheme="minorHAnsi"/>
        </w:rPr>
        <w:t xml:space="preserve"> chance</w:t>
      </w:r>
      <w:r w:rsidR="00245723">
        <w:rPr>
          <w:rFonts w:cstheme="minorHAnsi"/>
        </w:rPr>
        <w:t>s of cardiovascular diseases, and</w:t>
      </w:r>
      <w:r w:rsidR="00245723" w:rsidRPr="009323A9">
        <w:rPr>
          <w:rFonts w:cstheme="minorHAnsi"/>
        </w:rPr>
        <w:t xml:space="preserve"> increa</w:t>
      </w:r>
      <w:r w:rsidR="00245723">
        <w:rPr>
          <w:rFonts w:cstheme="minorHAnsi"/>
        </w:rPr>
        <w:t xml:space="preserve">sed unhealthy diet, </w:t>
      </w:r>
      <w:proofErr w:type="gramStart"/>
      <w:r w:rsidR="00245723">
        <w:rPr>
          <w:rFonts w:cstheme="minorHAnsi"/>
        </w:rPr>
        <w:t>alcohol</w:t>
      </w:r>
      <w:proofErr w:type="gramEnd"/>
      <w:r w:rsidR="00245723">
        <w:rPr>
          <w:rFonts w:cstheme="minorHAnsi"/>
        </w:rPr>
        <w:t xml:space="preserve"> and smoking intake. </w:t>
      </w:r>
      <w:r w:rsidR="00245723" w:rsidRPr="009323A9">
        <w:rPr>
          <w:rFonts w:cstheme="minorHAnsi"/>
        </w:rPr>
        <w:t xml:space="preserve"> </w:t>
      </w:r>
      <w:r w:rsidR="002825CD">
        <w:rPr>
          <w:rFonts w:cstheme="minorHAnsi"/>
        </w:rPr>
        <w:br/>
      </w:r>
    </w:p>
    <w:p w14:paraId="52EB0503" w14:textId="015794AD" w:rsidR="00245723" w:rsidRDefault="00245723" w:rsidP="00245723">
      <w:pPr>
        <w:spacing w:line="276" w:lineRule="auto"/>
        <w:ind w:firstLine="720"/>
        <w:jc w:val="both"/>
        <w:rPr>
          <w:rFonts w:cstheme="minorHAnsi"/>
        </w:rPr>
      </w:pPr>
      <w:r>
        <w:rPr>
          <w:rFonts w:cstheme="minorHAnsi"/>
        </w:rPr>
        <w:t xml:space="preserve">To better understand my psyche and prepare for training, I spoke to friends and family. I found that while I felt positive in displaying resilience during training, we identified that my perception of failure, poor performance, and my response to failure were key stressors that tested my resilience. </w:t>
      </w:r>
      <w:r w:rsidR="002825CD">
        <w:rPr>
          <w:rFonts w:cstheme="minorHAnsi"/>
        </w:rPr>
        <w:br/>
      </w:r>
    </w:p>
    <w:p w14:paraId="1D2C2640" w14:textId="77777777" w:rsidR="00245723" w:rsidRDefault="00245723" w:rsidP="00245723">
      <w:pPr>
        <w:spacing w:line="276" w:lineRule="auto"/>
        <w:ind w:firstLine="720"/>
        <w:jc w:val="both"/>
      </w:pPr>
      <w:r>
        <w:rPr>
          <w:rFonts w:cstheme="minorHAnsi"/>
        </w:rPr>
        <w:t xml:space="preserve">Through self-reflection I researched about fear and achievement I </w:t>
      </w:r>
      <w:r w:rsidRPr="00854226">
        <w:rPr>
          <w:rFonts w:cstheme="minorHAnsi"/>
        </w:rPr>
        <w:t xml:space="preserve">learned </w:t>
      </w:r>
      <w:r>
        <w:rPr>
          <w:rFonts w:cstheme="minorHAnsi"/>
        </w:rPr>
        <w:t>about cognitive r</w:t>
      </w:r>
      <w:r w:rsidRPr="00854226">
        <w:rPr>
          <w:rFonts w:cstheme="minorHAnsi"/>
        </w:rPr>
        <w:t>eappraisal</w:t>
      </w:r>
      <w:r>
        <w:rPr>
          <w:rFonts w:cstheme="minorHAnsi"/>
        </w:rPr>
        <w:t xml:space="preserve"> (CR). CR</w:t>
      </w:r>
      <w:r w:rsidRPr="00854226">
        <w:rPr>
          <w:rFonts w:cstheme="minorHAnsi"/>
        </w:rPr>
        <w:t xml:space="preserve"> </w:t>
      </w:r>
      <w:r>
        <w:rPr>
          <w:rFonts w:cstheme="minorHAnsi"/>
        </w:rPr>
        <w:t>is the act of reframing</w:t>
      </w:r>
      <w:r w:rsidRPr="00854226">
        <w:rPr>
          <w:rFonts w:cstheme="minorHAnsi"/>
        </w:rPr>
        <w:t xml:space="preserve"> how we </w:t>
      </w:r>
      <w:r>
        <w:rPr>
          <w:rFonts w:cstheme="minorHAnsi"/>
        </w:rPr>
        <w:t>respond to</w:t>
      </w:r>
      <w:r w:rsidRPr="00854226">
        <w:rPr>
          <w:rFonts w:cstheme="minorHAnsi"/>
        </w:rPr>
        <w:t xml:space="preserve"> a particular stress</w:t>
      </w:r>
      <w:r>
        <w:rPr>
          <w:rFonts w:cstheme="minorHAnsi"/>
        </w:rPr>
        <w:t>or,</w:t>
      </w:r>
      <w:r w:rsidRPr="00854226">
        <w:rPr>
          <w:rFonts w:cstheme="minorHAnsi"/>
        </w:rPr>
        <w:t xml:space="preserve"> or negative feeling and transposes it into a positive explanation</w:t>
      </w:r>
      <w:r>
        <w:rPr>
          <w:rFonts w:cstheme="minorHAnsi"/>
        </w:rPr>
        <w:t xml:space="preserve"> too regulate our emotions (Outsmarting Human Minds, 2020). I</w:t>
      </w:r>
      <w:r w:rsidRPr="00854226">
        <w:rPr>
          <w:rFonts w:cstheme="minorHAnsi"/>
        </w:rPr>
        <w:t xml:space="preserve">nitially, I would reappraise stressors that came from performing in </w:t>
      </w:r>
      <w:proofErr w:type="gramStart"/>
      <w:r w:rsidRPr="00854226">
        <w:rPr>
          <w:rFonts w:cstheme="minorHAnsi"/>
        </w:rPr>
        <w:t>practical’s</w:t>
      </w:r>
      <w:proofErr w:type="gramEnd"/>
      <w:r w:rsidRPr="00854226">
        <w:rPr>
          <w:rFonts w:cstheme="minorHAnsi"/>
        </w:rPr>
        <w:t xml:space="preserve"> and exam revision into positives: e.g. I’m feeling anxious, nervous, stressed, </w:t>
      </w:r>
      <w:r>
        <w:rPr>
          <w:rFonts w:cstheme="minorHAnsi"/>
          <w:i/>
        </w:rPr>
        <w:t>because</w:t>
      </w:r>
      <w:r>
        <w:rPr>
          <w:rFonts w:cstheme="minorHAnsi"/>
        </w:rPr>
        <w:t xml:space="preserve"> I’m excited.</w:t>
      </w:r>
      <w:r w:rsidRPr="00854226">
        <w:rPr>
          <w:rFonts w:cstheme="minorHAnsi"/>
        </w:rPr>
        <w:t xml:space="preserve"> </w:t>
      </w:r>
      <w:r>
        <w:t xml:space="preserve">The strength of CR was three-fold: (1) I could confront the situation positively in the moment; (2) it shaped how I evaluated my performance afterwards; </w:t>
      </w:r>
      <w:proofErr w:type="gramStart"/>
      <w:r>
        <w:t>and,</w:t>
      </w:r>
      <w:proofErr w:type="gramEnd"/>
      <w:r>
        <w:t xml:space="preserve"> (3) set a positive springboard towards preparation for upcoming scenarios. This was useful in my approach to future planning, ensuring that it positively re-framed my understanding for how to improve </w:t>
      </w:r>
      <w:r w:rsidRPr="00854226">
        <w:rPr>
          <w:rFonts w:cstheme="minorHAnsi"/>
        </w:rPr>
        <w:t>(De Castella</w:t>
      </w:r>
      <w:r>
        <w:rPr>
          <w:rFonts w:cstheme="minorHAnsi"/>
        </w:rPr>
        <w:t xml:space="preserve">, 2013). In response to poor performance, my optimistic outlook </w:t>
      </w:r>
      <w:r w:rsidRPr="00854226">
        <w:rPr>
          <w:rFonts w:cstheme="minorHAnsi"/>
        </w:rPr>
        <w:t xml:space="preserve">convinced </w:t>
      </w:r>
      <w:r>
        <w:rPr>
          <w:rFonts w:cstheme="minorHAnsi"/>
        </w:rPr>
        <w:t>me</w:t>
      </w:r>
      <w:r w:rsidRPr="00854226">
        <w:rPr>
          <w:rFonts w:cstheme="minorHAnsi"/>
        </w:rPr>
        <w:t xml:space="preserve"> to believe that whatever </w:t>
      </w:r>
      <w:r>
        <w:rPr>
          <w:rFonts w:cstheme="minorHAnsi"/>
        </w:rPr>
        <w:t xml:space="preserve">happens will be </w:t>
      </w:r>
      <w:r w:rsidRPr="00854226">
        <w:rPr>
          <w:rFonts w:cstheme="minorHAnsi"/>
        </w:rPr>
        <w:t>a learning process, another test to learn from</w:t>
      </w:r>
      <w:r>
        <w:rPr>
          <w:rFonts w:cstheme="minorHAnsi"/>
        </w:rPr>
        <w:t xml:space="preserve"> (</w:t>
      </w:r>
      <w:r w:rsidRPr="0009105E">
        <w:rPr>
          <w:rFonts w:cstheme="minorHAnsi"/>
        </w:rPr>
        <w:t>E. M. K</w:t>
      </w:r>
      <w:r>
        <w:rPr>
          <w:rFonts w:cstheme="minorHAnsi"/>
        </w:rPr>
        <w:t>leiman et al</w:t>
      </w:r>
      <w:r w:rsidRPr="0009105E">
        <w:rPr>
          <w:rFonts w:cstheme="minorHAnsi"/>
        </w:rPr>
        <w:t>.</w:t>
      </w:r>
      <w:r>
        <w:rPr>
          <w:rFonts w:cstheme="minorHAnsi"/>
        </w:rPr>
        <w:t>, 2015)</w:t>
      </w:r>
      <w:r w:rsidRPr="00854226">
        <w:rPr>
          <w:rFonts w:cstheme="minorHAnsi"/>
        </w:rPr>
        <w:t xml:space="preserve">. </w:t>
      </w:r>
      <w:r>
        <w:rPr>
          <w:rFonts w:cstheme="minorHAnsi"/>
        </w:rPr>
        <w:t>Thus, because</w:t>
      </w:r>
      <w:r>
        <w:t xml:space="preserve"> my perception towards </w:t>
      </w:r>
      <w:r>
        <w:lastRenderedPageBreak/>
        <w:t>achievement stressors was reframed, I successfully “mediate[d]” my feelings of anxiety into positive ones (</w:t>
      </w:r>
      <w:r w:rsidRPr="00854226">
        <w:rPr>
          <w:rFonts w:cstheme="minorHAnsi"/>
        </w:rPr>
        <w:t xml:space="preserve">T </w:t>
      </w:r>
      <w:proofErr w:type="spellStart"/>
      <w:r w:rsidRPr="00854226">
        <w:rPr>
          <w:rFonts w:cstheme="minorHAnsi"/>
        </w:rPr>
        <w:t>Gutentag</w:t>
      </w:r>
      <w:proofErr w:type="spellEnd"/>
      <w:r w:rsidRPr="00854226">
        <w:rPr>
          <w:rFonts w:cstheme="minorHAnsi"/>
        </w:rPr>
        <w:t xml:space="preserve"> et al</w:t>
      </w:r>
      <w:r>
        <w:rPr>
          <w:rFonts w:cstheme="minorHAnsi"/>
        </w:rPr>
        <w:t>., 2016</w:t>
      </w:r>
      <w:r>
        <w:t xml:space="preserve">). </w:t>
      </w:r>
    </w:p>
    <w:p w14:paraId="41C416C7" w14:textId="385072F9" w:rsidR="00245723" w:rsidRDefault="00245723" w:rsidP="00245723">
      <w:pPr>
        <w:spacing w:line="276" w:lineRule="auto"/>
        <w:ind w:firstLine="720"/>
        <w:jc w:val="both"/>
      </w:pPr>
      <w:r>
        <w:t>Although CR was beneficial day-to-day, it often required high levels of mental endurance (Gross, 1998). Periods of vulnerability such as tiredness, interpersonal stressors such as grief and bereavement, or experiencing multiple stressors at once, significantly impacted my efficacy of CR. Cognitive reappraisal took a lot of practice first and was extremely hard to do while juggling the stress of my first exam and the death of a close friend, as it required me to believe that my emotions could change (</w:t>
      </w:r>
      <w:r w:rsidRPr="00854226">
        <w:rPr>
          <w:rFonts w:cstheme="minorHAnsi"/>
        </w:rPr>
        <w:t xml:space="preserve">T </w:t>
      </w:r>
      <w:proofErr w:type="spellStart"/>
      <w:r w:rsidRPr="00854226">
        <w:rPr>
          <w:rFonts w:cstheme="minorHAnsi"/>
        </w:rPr>
        <w:t>Gutentag</w:t>
      </w:r>
      <w:proofErr w:type="spellEnd"/>
      <w:r w:rsidRPr="00854226">
        <w:rPr>
          <w:rFonts w:cstheme="minorHAnsi"/>
        </w:rPr>
        <w:t xml:space="preserve"> et al</w:t>
      </w:r>
      <w:r>
        <w:rPr>
          <w:rFonts w:cstheme="minorHAnsi"/>
        </w:rPr>
        <w:t>., 2016</w:t>
      </w:r>
      <w:r>
        <w:t xml:space="preserve">). Nevertheless, once I leant into that belief and continued to practice CR </w:t>
      </w:r>
      <w:proofErr w:type="gramStart"/>
      <w:r>
        <w:t>on a daily basis</w:t>
      </w:r>
      <w:proofErr w:type="gramEnd"/>
      <w:r>
        <w:t>, it became “habitual”</w:t>
      </w:r>
      <w:r w:rsidRPr="00A3541F">
        <w:t xml:space="preserve"> </w:t>
      </w:r>
      <w:r>
        <w:t>(De Castella, 2017), a muscle or switch that could turned on and off.</w:t>
      </w:r>
      <w:r w:rsidR="002825CD">
        <w:br/>
      </w:r>
    </w:p>
    <w:p w14:paraId="1AAAAC9B" w14:textId="227331F6" w:rsidR="00245723" w:rsidRDefault="00245723" w:rsidP="00245723">
      <w:pPr>
        <w:spacing w:line="276" w:lineRule="auto"/>
        <w:ind w:firstLine="720"/>
        <w:jc w:val="both"/>
        <w:rPr>
          <w:rFonts w:cstheme="minorHAnsi"/>
        </w:rPr>
      </w:pPr>
      <w:r>
        <w:t xml:space="preserve">To supplement shortfalls in CR and maximise my resilience, I combined it with Social Sharing (SS). </w:t>
      </w:r>
      <w:r>
        <w:rPr>
          <w:rFonts w:cstheme="minorHAnsi"/>
        </w:rPr>
        <w:t>SS further aided stress management, as it built up a resilience support network (</w:t>
      </w:r>
      <w:proofErr w:type="spellStart"/>
      <w:r>
        <w:rPr>
          <w:rFonts w:cstheme="minorHAnsi"/>
        </w:rPr>
        <w:t>Luminet</w:t>
      </w:r>
      <w:proofErr w:type="spellEnd"/>
      <w:r>
        <w:rPr>
          <w:rFonts w:cstheme="minorHAnsi"/>
        </w:rPr>
        <w:t xml:space="preserve"> et al. 2000). This network comprised of </w:t>
      </w:r>
      <w:r w:rsidRPr="00854226">
        <w:rPr>
          <w:rFonts w:cstheme="minorHAnsi"/>
        </w:rPr>
        <w:t>people</w:t>
      </w:r>
      <w:r>
        <w:rPr>
          <w:rFonts w:cstheme="minorHAnsi"/>
        </w:rPr>
        <w:t>,</w:t>
      </w:r>
      <w:r w:rsidRPr="00854226">
        <w:rPr>
          <w:rFonts w:cstheme="minorHAnsi"/>
        </w:rPr>
        <w:t xml:space="preserve"> or ‘pillars’ </w:t>
      </w:r>
      <w:r>
        <w:rPr>
          <w:rFonts w:cstheme="minorHAnsi"/>
        </w:rPr>
        <w:t>(</w:t>
      </w:r>
      <w:r w:rsidRPr="00854226">
        <w:rPr>
          <w:rFonts w:cstheme="minorHAnsi"/>
        </w:rPr>
        <w:t>as I prefer to call them</w:t>
      </w:r>
      <w:r>
        <w:rPr>
          <w:rFonts w:cstheme="minorHAnsi"/>
        </w:rPr>
        <w:t>)</w:t>
      </w:r>
      <w:r w:rsidRPr="00854226">
        <w:rPr>
          <w:rFonts w:cstheme="minorHAnsi"/>
        </w:rPr>
        <w:t xml:space="preserve">. Each pillar has a role in my life, a standout skill, characteristic, or ability that </w:t>
      </w:r>
      <w:r>
        <w:rPr>
          <w:rFonts w:cstheme="minorHAnsi"/>
        </w:rPr>
        <w:t>I could utilise. SS was a process of emotional regulation</w:t>
      </w:r>
      <w:r w:rsidRPr="00854226">
        <w:rPr>
          <w:rFonts w:cstheme="minorHAnsi"/>
        </w:rPr>
        <w:t xml:space="preserve"> </w:t>
      </w:r>
      <w:r>
        <w:rPr>
          <w:rFonts w:cstheme="minorHAnsi"/>
        </w:rPr>
        <w:t xml:space="preserve">that offered me an outlet to </w:t>
      </w:r>
      <w:r>
        <w:t xml:space="preserve">vent and have my feelings validated and rationalised; my actions or performance criticised and challenged; </w:t>
      </w:r>
      <w:proofErr w:type="gramStart"/>
      <w:r>
        <w:t>and,</w:t>
      </w:r>
      <w:proofErr w:type="gramEnd"/>
      <w:r>
        <w:t xml:space="preserve"> engage in encouragement or humour through different topics. Subsequently, I could work towards an objective view of the situation</w:t>
      </w:r>
      <w:r w:rsidRPr="00854226">
        <w:rPr>
          <w:rFonts w:cstheme="minorHAnsi"/>
        </w:rPr>
        <w:t xml:space="preserve"> </w:t>
      </w:r>
      <w:r>
        <w:rPr>
          <w:rFonts w:cstheme="minorHAnsi"/>
        </w:rPr>
        <w:t xml:space="preserve">and through the advice from these pillars, I could make informed choices that resulted in increased </w:t>
      </w:r>
      <w:proofErr w:type="gramStart"/>
      <w:r>
        <w:rPr>
          <w:rFonts w:cstheme="minorHAnsi"/>
        </w:rPr>
        <w:t>decision making</w:t>
      </w:r>
      <w:proofErr w:type="gramEnd"/>
      <w:r>
        <w:rPr>
          <w:rFonts w:cstheme="minorHAnsi"/>
        </w:rPr>
        <w:t xml:space="preserve"> efficacy when responding to stress (Baker and </w:t>
      </w:r>
      <w:proofErr w:type="spellStart"/>
      <w:r>
        <w:rPr>
          <w:rFonts w:cstheme="minorHAnsi"/>
        </w:rPr>
        <w:t>Berenbaum</w:t>
      </w:r>
      <w:proofErr w:type="spellEnd"/>
      <w:r>
        <w:rPr>
          <w:rFonts w:cstheme="minorHAnsi"/>
        </w:rPr>
        <w:t xml:space="preserve">, 2007). </w:t>
      </w:r>
      <w:r w:rsidR="002825CD">
        <w:rPr>
          <w:rFonts w:cstheme="minorHAnsi"/>
        </w:rPr>
        <w:br/>
      </w:r>
    </w:p>
    <w:p w14:paraId="20AC87C2" w14:textId="74FB4A72" w:rsidR="00245723" w:rsidRPr="00207120" w:rsidRDefault="00245723" w:rsidP="00245723">
      <w:pPr>
        <w:spacing w:line="276" w:lineRule="auto"/>
        <w:ind w:firstLine="720"/>
        <w:jc w:val="both"/>
      </w:pPr>
      <w:proofErr w:type="gramStart"/>
      <w:r>
        <w:t>Similarly</w:t>
      </w:r>
      <w:proofErr w:type="gramEnd"/>
      <w:r>
        <w:t xml:space="preserve"> to CR, the effectiveness of SS relied on the attentiveness and engagement of the pillars in cognitive reappraisal. By using attentive pillars that actively engaged in reappraising my feelings or perceptions, it resulted in a collaborative approach towards problem solving. The drawbacks of SS often arose when pillars were unavailable, or had already been spoken to about the problem, as it required more energy </w:t>
      </w:r>
      <w:r w:rsidRPr="00766E32">
        <w:t>from them to re-approach the subject once more. Moreover</w:t>
      </w:r>
      <w:r>
        <w:t xml:space="preserve">, with regards to my own emotional release towards emotionally intelligent pillars, their effectiveness rested in my ability to </w:t>
      </w:r>
      <w:r>
        <w:rPr>
          <w:i/>
        </w:rPr>
        <w:t>feel</w:t>
      </w:r>
      <w:r>
        <w:t xml:space="preserve"> relief or reassurance for effective emotional regulation to happen. Fundamental to SS’s effectiveness was my ability to not become over reliant on each pillar.  Fortunately, throughout training I was able to use CR to confront most individual stressors, which proved an expedient coping mechanism. It was only during times of grief, especially the first instance, whereby I struggled to control my emotions and I relied heavily on certain emotionally attentive pillars and loved ones.</w:t>
      </w:r>
      <w:r w:rsidR="002825CD">
        <w:br/>
      </w:r>
    </w:p>
    <w:p w14:paraId="15E0E1F7" w14:textId="53B57FF9" w:rsidR="00245723" w:rsidRDefault="00245723" w:rsidP="00245723">
      <w:pPr>
        <w:spacing w:line="276" w:lineRule="auto"/>
        <w:ind w:firstLine="720"/>
        <w:jc w:val="both"/>
      </w:pPr>
      <w:r>
        <w:t>My final method of stress management was using mindfulness through distractive expression (DE) (Wenzel, et al. 2020). Through</w:t>
      </w:r>
      <w:r>
        <w:rPr>
          <w:rFonts w:cstheme="minorHAnsi"/>
        </w:rPr>
        <w:t xml:space="preserve"> cooking and music, I applied mindfulness techniques to engage in</w:t>
      </w:r>
      <w:r w:rsidRPr="00854226">
        <w:rPr>
          <w:rFonts w:cstheme="minorHAnsi"/>
        </w:rPr>
        <w:t xml:space="preserve"> more distractive and softer, less </w:t>
      </w:r>
      <w:proofErr w:type="gramStart"/>
      <w:r w:rsidRPr="00854226">
        <w:rPr>
          <w:rFonts w:cstheme="minorHAnsi"/>
        </w:rPr>
        <w:t>projective</w:t>
      </w:r>
      <w:proofErr w:type="gramEnd"/>
      <w:r w:rsidRPr="00854226">
        <w:rPr>
          <w:rFonts w:cstheme="minorHAnsi"/>
        </w:rPr>
        <w:t xml:space="preserve"> </w:t>
      </w:r>
      <w:r>
        <w:rPr>
          <w:rFonts w:cstheme="minorHAnsi"/>
        </w:rPr>
        <w:t>or intrusive approaches to stress. DE</w:t>
      </w:r>
      <w:r w:rsidRPr="00854226">
        <w:rPr>
          <w:rFonts w:cstheme="minorHAnsi"/>
        </w:rPr>
        <w:t xml:space="preserve"> allowed me to</w:t>
      </w:r>
      <w:r>
        <w:rPr>
          <w:rFonts w:cstheme="minorHAnsi"/>
        </w:rPr>
        <w:t xml:space="preserve"> express</w:t>
      </w:r>
      <w:r w:rsidRPr="00854226">
        <w:rPr>
          <w:rFonts w:cstheme="minorHAnsi"/>
        </w:rPr>
        <w:t xml:space="preserve"> myself</w:t>
      </w:r>
      <w:r>
        <w:rPr>
          <w:rFonts w:cstheme="minorHAnsi"/>
        </w:rPr>
        <w:t xml:space="preserve"> in safe environments – usually at home – in a non-judgemental way (M. Wenzel et al, 2020). This benefitted CR, as mindfulness allowed me to emotionally regulate through accepting my feelings. </w:t>
      </w:r>
      <w:r>
        <w:t xml:space="preserve">However, while DE aided emotional regulation, these leisure activities only worked in short bursts and could prove to be expensive or extremely unhealthy depending on the extent and occurrence of my culinary/musical indulgence (Lupton, 1996; Hollows, 2003). </w:t>
      </w:r>
      <w:r w:rsidR="002825CD">
        <w:br/>
      </w:r>
    </w:p>
    <w:p w14:paraId="6F4974F4" w14:textId="1B562AD2" w:rsidR="00245723" w:rsidRDefault="00245723" w:rsidP="00245723">
      <w:pPr>
        <w:spacing w:line="276" w:lineRule="auto"/>
        <w:ind w:firstLine="720"/>
        <w:jc w:val="both"/>
        <w:rPr>
          <w:rFonts w:cstheme="minorHAnsi"/>
        </w:rPr>
      </w:pPr>
      <w:r>
        <w:t>Yet, the role of DE was purely distractive by nature and could not be relied upon to directly solve training related problems. Instead, DE</w:t>
      </w:r>
      <w:r>
        <w:rPr>
          <w:rFonts w:cstheme="minorHAnsi"/>
        </w:rPr>
        <w:t xml:space="preserve"> allowed me to recharge my mental energy levels so that I could be resilient during training.</w:t>
      </w:r>
      <w:r w:rsidRPr="00816514">
        <w:rPr>
          <w:rFonts w:cstheme="minorHAnsi"/>
        </w:rPr>
        <w:t xml:space="preserve"> </w:t>
      </w:r>
      <w:r>
        <w:rPr>
          <w:rFonts w:cstheme="minorHAnsi"/>
        </w:rPr>
        <w:t xml:space="preserve">Subsequently, this reduced my stress levels and allowed me to confront the situation through SS or CR, as the enjoyment and act of </w:t>
      </w:r>
      <w:r w:rsidRPr="007C22DE">
        <w:rPr>
          <w:rFonts w:cstheme="minorHAnsi"/>
        </w:rPr>
        <w:t>cooking (</w:t>
      </w:r>
      <w:r>
        <w:rPr>
          <w:rFonts w:cstheme="minorHAnsi"/>
        </w:rPr>
        <w:t xml:space="preserve">Szabo, 2012; </w:t>
      </w:r>
      <w:proofErr w:type="spellStart"/>
      <w:r>
        <w:rPr>
          <w:rFonts w:cstheme="minorHAnsi"/>
        </w:rPr>
        <w:t>Riedy</w:t>
      </w:r>
      <w:proofErr w:type="spellEnd"/>
      <w:r>
        <w:rPr>
          <w:rFonts w:cstheme="minorHAnsi"/>
        </w:rPr>
        <w:t xml:space="preserve"> et al., 2021</w:t>
      </w:r>
      <w:r w:rsidRPr="007C22DE">
        <w:rPr>
          <w:rFonts w:cstheme="minorHAnsi"/>
        </w:rPr>
        <w:t>)</w:t>
      </w:r>
      <w:r>
        <w:rPr>
          <w:rFonts w:cstheme="minorHAnsi"/>
        </w:rPr>
        <w:t xml:space="preserve">, </w:t>
      </w:r>
      <w:r w:rsidRPr="007C22DE">
        <w:rPr>
          <w:rFonts w:cstheme="minorHAnsi"/>
        </w:rPr>
        <w:t>or</w:t>
      </w:r>
      <w:r>
        <w:rPr>
          <w:rFonts w:cstheme="minorHAnsi"/>
        </w:rPr>
        <w:t xml:space="preserve"> playing instruments is a highly effective grounding strategy which contributed to my overall stress relief (M. De Witte et al., 2022).</w:t>
      </w:r>
      <w:r w:rsidR="002825CD">
        <w:rPr>
          <w:rFonts w:cstheme="minorHAnsi"/>
        </w:rPr>
        <w:br/>
      </w:r>
    </w:p>
    <w:p w14:paraId="7018A5A1" w14:textId="247799DB" w:rsidR="00245723" w:rsidRDefault="00245723" w:rsidP="00245723">
      <w:pPr>
        <w:spacing w:line="276" w:lineRule="auto"/>
        <w:ind w:firstLine="720"/>
        <w:jc w:val="both"/>
      </w:pPr>
      <w:r>
        <w:t xml:space="preserve">DE activities were easily accessible and were low energy. Though, if leaned on too heavily for too long, this form of short-term gratification or escapism could lead to poor and ineffective performance due to a lack of confrontation of the problem. </w:t>
      </w:r>
      <w:r w:rsidR="002825CD">
        <w:br/>
      </w:r>
    </w:p>
    <w:p w14:paraId="7C970E64" w14:textId="241DC0BB" w:rsidR="00245723" w:rsidRDefault="00245723" w:rsidP="00245723">
      <w:pPr>
        <w:spacing w:line="276" w:lineRule="auto"/>
        <w:ind w:firstLine="720"/>
        <w:jc w:val="both"/>
      </w:pPr>
      <w:r>
        <w:t xml:space="preserve">Contrarily, during the period of my final exam and a family death, DE was fundamental in providing a necessary escape. Cooking and music, over SS or CR, gave me a sense of control over my life and suppressed any negative feelings until I was ready to feel them.  Consequently, it allowed me to focus wholly on exam </w:t>
      </w:r>
      <w:r>
        <w:lastRenderedPageBreak/>
        <w:t>revision and pass.</w:t>
      </w:r>
      <w:r w:rsidR="002825CD">
        <w:br/>
      </w:r>
    </w:p>
    <w:p w14:paraId="4A100ABD" w14:textId="3DCE0835" w:rsidR="00245723" w:rsidRDefault="00245723" w:rsidP="00245723">
      <w:pPr>
        <w:spacing w:line="276" w:lineRule="auto"/>
        <w:ind w:firstLine="720"/>
        <w:jc w:val="both"/>
      </w:pPr>
      <w:r>
        <w:t>Although DE had was a long-term mechanism, its ability to problem solving was low. Nevertheless, DE was an alternative, softer means of emotional regulation and recuperation outside of training that benefited other mechanisms. And, in times of suffering, acted as a comfort and escape to recharge and direct my energy towards training assessments.</w:t>
      </w:r>
      <w:r w:rsidR="002825CD">
        <w:br/>
      </w:r>
    </w:p>
    <w:p w14:paraId="6478CA9A" w14:textId="3B33659D" w:rsidR="00245723" w:rsidRDefault="00245723" w:rsidP="00245723">
      <w:pPr>
        <w:spacing w:line="276" w:lineRule="auto"/>
        <w:ind w:firstLine="720"/>
        <w:jc w:val="both"/>
      </w:pPr>
      <w:r>
        <w:t xml:space="preserve">I conclude that from my coping mechanisms, the combination of cognitive reappraisal and social sharing were extremely fruitful for building resilience to stress. The two mechanisms worked symbiotically to confront both achievement and interpersonal stressors. Working in tandem, I felt self-reliant to confront problems or stressors with positive solutions and only when I felt overwhelmed or in need of reassurance and emotional support, I could rely on that trusted network to aid my situation. </w:t>
      </w:r>
      <w:r w:rsidR="002825CD">
        <w:br/>
      </w:r>
    </w:p>
    <w:p w14:paraId="09015CE7" w14:textId="574CDFD2" w:rsidR="00245723" w:rsidRDefault="00245723" w:rsidP="00245723">
      <w:pPr>
        <w:spacing w:line="276" w:lineRule="auto"/>
        <w:ind w:firstLine="720"/>
        <w:jc w:val="both"/>
      </w:pPr>
      <w:r>
        <w:t>As a result, I felt confident and closely allied to exceed training assessments (</w:t>
      </w:r>
      <w:r>
        <w:rPr>
          <w:rFonts w:cstheme="minorHAnsi"/>
        </w:rPr>
        <w:t>M. Wenzel et al, 2020</w:t>
      </w:r>
      <w:r>
        <w:t>).</w:t>
      </w:r>
      <w:r>
        <w:rPr>
          <w:rFonts w:cstheme="minorHAnsi"/>
        </w:rPr>
        <w:t xml:space="preserve"> The crux of their success was that </w:t>
      </w:r>
      <w:r>
        <w:t>I could confront my fears of failure and underachievement. I learned that my stressors were “not something to be feared”, instead my resilience could grow as I found “positive meaning[s] in the ongoing stressful event”</w:t>
      </w:r>
      <w:r>
        <w:rPr>
          <w:rFonts w:cstheme="minorHAnsi"/>
        </w:rPr>
        <w:t xml:space="preserve"> (Baker and </w:t>
      </w:r>
      <w:proofErr w:type="spellStart"/>
      <w:r>
        <w:rPr>
          <w:rFonts w:cstheme="minorHAnsi"/>
        </w:rPr>
        <w:t>Berenbaum</w:t>
      </w:r>
      <w:proofErr w:type="spellEnd"/>
      <w:r>
        <w:rPr>
          <w:rFonts w:cstheme="minorHAnsi"/>
        </w:rPr>
        <w:t xml:space="preserve">, 2007). </w:t>
      </w:r>
      <w:r>
        <w:t xml:space="preserve">CR x SS have significant adaptive and malleable qualities, which complimented each other to great effect, often working better together than in isolation. </w:t>
      </w:r>
      <w:r w:rsidR="002825CD">
        <w:br/>
      </w:r>
    </w:p>
    <w:p w14:paraId="1455AD10" w14:textId="33ABDE04" w:rsidR="00245723" w:rsidRDefault="00245723" w:rsidP="00245723">
      <w:pPr>
        <w:spacing w:line="276" w:lineRule="auto"/>
        <w:ind w:firstLine="720"/>
        <w:jc w:val="both"/>
      </w:pPr>
      <w:r>
        <w:t xml:space="preserve">That is notwithstanding, however, the instrumental role that distractive expression had in providing healthy, punctuated breaks away from training. DE contributed </w:t>
      </w:r>
      <w:proofErr w:type="gramStart"/>
      <w:r>
        <w:t>in</w:t>
      </w:r>
      <w:proofErr w:type="gramEnd"/>
      <w:r>
        <w:t xml:space="preserve"> lowering my stress levels through grounding and finding inner calm within myself that allowed other resilience processes to function. </w:t>
      </w:r>
      <w:r w:rsidR="008A5179">
        <w:br/>
      </w:r>
    </w:p>
    <w:p w14:paraId="35DCF98F" w14:textId="507137B6" w:rsidR="00245723" w:rsidRDefault="002825CD" w:rsidP="00245723">
      <w:pPr>
        <w:spacing w:line="276" w:lineRule="auto"/>
        <w:ind w:firstLine="720"/>
        <w:jc w:val="both"/>
      </w:pPr>
      <w:r>
        <w:t>Seen together</w:t>
      </w:r>
      <w:r w:rsidR="00245723">
        <w:t xml:space="preserve">, the coping mechanisms I employed allowed me to select and modify my situations, confront </w:t>
      </w:r>
      <w:proofErr w:type="gramStart"/>
      <w:r w:rsidR="00245723">
        <w:t>them</w:t>
      </w:r>
      <w:proofErr w:type="gramEnd"/>
      <w:r w:rsidR="00245723">
        <w:t xml:space="preserve"> and modulate my stressors with positive responses that were central to success throughout training (Gross, 1998). To advance their efficacy, I will consider journaling to give further direction and focus to my strategies. Moreover, this will allow me to record and recall feelings at given points and show growth over time. I have previous experience in journaling. Hopefully it will direct my emotional regulation practise and compound my successes elsewhere, as I will be able to view my feelings in a physical, tangible, and expressive way. </w:t>
      </w:r>
    </w:p>
    <w:p w14:paraId="795EA602" w14:textId="2E4B03CF" w:rsidR="00245723" w:rsidRDefault="00245723" w:rsidP="00245723">
      <w:pPr>
        <w:spacing w:line="276" w:lineRule="auto"/>
        <w:ind w:firstLine="720"/>
        <w:jc w:val="right"/>
      </w:pPr>
      <w:r>
        <w:t>Word Count: 15</w:t>
      </w:r>
      <w:r w:rsidR="0001103F">
        <w:t>84</w:t>
      </w:r>
    </w:p>
    <w:p w14:paraId="37E58286" w14:textId="77777777" w:rsidR="00CE595A" w:rsidRPr="00CE595A" w:rsidRDefault="00CE595A" w:rsidP="00CE595A">
      <w:pPr>
        <w:overflowPunct/>
        <w:autoSpaceDE/>
        <w:autoSpaceDN/>
        <w:adjustRightInd/>
        <w:spacing w:after="160" w:line="276" w:lineRule="auto"/>
        <w:ind w:firstLine="720"/>
        <w:jc w:val="both"/>
        <w:textAlignment w:val="auto"/>
        <w:rPr>
          <w:rFonts w:ascii="Calibri" w:eastAsia="Calibri" w:hAnsi="Calibri" w:cs="Times New Roman"/>
          <w:color w:val="auto"/>
          <w:sz w:val="22"/>
          <w:szCs w:val="22"/>
          <w:lang w:eastAsia="en-US"/>
        </w:rPr>
      </w:pPr>
    </w:p>
    <w:p w14:paraId="7ACD22AC" w14:textId="77777777" w:rsidR="00CE595A" w:rsidRPr="00CE595A" w:rsidRDefault="00CE595A" w:rsidP="00CE595A">
      <w:pPr>
        <w:overflowPunct/>
        <w:autoSpaceDE/>
        <w:autoSpaceDN/>
        <w:adjustRightInd/>
        <w:spacing w:after="160" w:line="276" w:lineRule="auto"/>
        <w:ind w:firstLine="720"/>
        <w:jc w:val="both"/>
        <w:textAlignment w:val="auto"/>
        <w:rPr>
          <w:rFonts w:ascii="Calibri" w:eastAsia="Calibri" w:hAnsi="Calibri" w:cs="Calibri"/>
          <w:color w:val="auto"/>
          <w:sz w:val="22"/>
          <w:szCs w:val="22"/>
          <w:lang w:eastAsia="en-US"/>
        </w:rPr>
      </w:pPr>
    </w:p>
    <w:p w14:paraId="6D8CBDF7" w14:textId="77777777" w:rsidR="00661758" w:rsidRPr="00270EEB" w:rsidRDefault="00661758"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8668CD">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3AE5C117" w14:textId="354503B4" w:rsidR="008A5179" w:rsidRDefault="008A5179" w:rsidP="002825CD">
      <w:pPr>
        <w:jc w:val="both"/>
      </w:pPr>
      <w:r>
        <w:t xml:space="preserve">This essay will examine my role during domestic related incident involving conflict and will </w:t>
      </w:r>
      <w:proofErr w:type="spellStart"/>
      <w:r>
        <w:t>illusitrate</w:t>
      </w:r>
      <w:proofErr w:type="spellEnd"/>
      <w:r>
        <w:t xml:space="preserve"> the rationale behind the techniques used to de-escalate the situation. To outline my actions, thoughts, and feelings, I will be following the Gibbs reflective structure (MindTools, 2019). </w:t>
      </w:r>
      <w:r>
        <w:br/>
      </w:r>
    </w:p>
    <w:p w14:paraId="1B2D5737" w14:textId="1B34658C" w:rsidR="008A5179" w:rsidRDefault="008A5179" w:rsidP="002825CD">
      <w:pPr>
        <w:ind w:firstLine="720"/>
        <w:jc w:val="both"/>
      </w:pPr>
      <w:r w:rsidRPr="002F1DD3">
        <w:rPr>
          <w:i/>
        </w:rPr>
        <w:t>Conflict</w:t>
      </w:r>
      <w:r>
        <w:t xml:space="preserve">, as Cooper posits, is a “dynamic concept involving the notions of energy and movement”, </w:t>
      </w:r>
      <w:proofErr w:type="gramStart"/>
      <w:r>
        <w:t>in order to</w:t>
      </w:r>
      <w:proofErr w:type="gramEnd"/>
      <w:r>
        <w:t xml:space="preserve"> avoid and reduce conflict we must consider “the interests of others” and respect “those interests tantamount to a recognition of their right to co-exist with others without let or interference” (Cooper, 2008). In essence, conflict management is the awareness of the views and actions of others,</w:t>
      </w:r>
      <w:r w:rsidR="00936EA2">
        <w:t xml:space="preserve"> </w:t>
      </w:r>
      <w:r w:rsidR="00716D49">
        <w:t>as well as</w:t>
      </w:r>
      <w:r>
        <w:t xml:space="preserve"> reducing the confrontation between diametric forces. </w:t>
      </w:r>
    </w:p>
    <w:p w14:paraId="2F538870" w14:textId="77777777" w:rsidR="00936EA2" w:rsidRDefault="00936EA2" w:rsidP="002825CD">
      <w:pPr>
        <w:ind w:firstLine="720"/>
        <w:jc w:val="both"/>
      </w:pPr>
    </w:p>
    <w:p w14:paraId="357793E0" w14:textId="77777777" w:rsidR="008A5179" w:rsidRDefault="008A5179" w:rsidP="002825CD">
      <w:pPr>
        <w:ind w:firstLine="720"/>
        <w:jc w:val="both"/>
      </w:pPr>
      <w:r>
        <w:t xml:space="preserve">For domestic related incidents (DRI), confrontation and conflict can take many forms whereby each party can be the aggressor and the victim concurrently. Every year, the Office of National Statistics for England and Wales examine the types of incidents that the police respond to. In 2018-2019, the total of DRIs was 746,219, but by 2021 this figure has almost doubled to 1,459,663 (Office for National Statistics, 2021). Domestic abuse and violence </w:t>
      </w:r>
      <w:proofErr w:type="gramStart"/>
      <w:r>
        <w:t>is</w:t>
      </w:r>
      <w:proofErr w:type="gramEnd"/>
      <w:r>
        <w:t xml:space="preserve"> a complex issue due to its emotional explosive potential, whereupon emotions are toyed with and family members used as stakes or ‘weapons’ during verbal altercations and confrontation. In more severe cases, alcohol and drugs increase the potential of violence occurring in the domestic setting. This can be as minor as common assaults, but also as serious as grievous bodily harm, manslaughter, or murder. Moreover, DRIs are often unseen due to existing largely within the home. While they may not go unheard by neighbours, there is a ‘taboo’ about reporting DRIs due to being largely as a ‘civil matter’. </w:t>
      </w:r>
    </w:p>
    <w:p w14:paraId="4770C95F" w14:textId="1B9BDD87" w:rsidR="008A5179" w:rsidRDefault="008A5179" w:rsidP="002825CD">
      <w:pPr>
        <w:ind w:firstLine="720"/>
        <w:jc w:val="both"/>
      </w:pPr>
      <w:r>
        <w:lastRenderedPageBreak/>
        <w:t>Research made by Women’s Aid have outlined the broad and destructive potential of DRIs. After examining over 30,000 DRI cases, they found that 94.3% perpetrators were male. 87.8% of Survivors received emotional abuse and 67.2% were said to have been in controlling and coercive relationships by jealous partners. Additionally, more than half of the DRI cases analysed lead to violence and assault (54%), with those in refuge services more likely to be in violent relationships – 67.2% (Women’s Aid). A key factor in my incident was the use presence of alcohol and drugs play, which had a significant role. This factor was left out of the research, but Galvani has argued that even if intoxicants were a factor during a DRI, female victims largely chose to look past them and instead choosing to hold their partner accountable for their actions regardless (Galvani, 2006).</w:t>
      </w:r>
    </w:p>
    <w:p w14:paraId="458E4B4D" w14:textId="77777777" w:rsidR="00936EA2" w:rsidRDefault="00936EA2" w:rsidP="002825CD">
      <w:pPr>
        <w:ind w:firstLine="720"/>
        <w:jc w:val="both"/>
      </w:pPr>
    </w:p>
    <w:p w14:paraId="4CEA28EA" w14:textId="4CD35FDF" w:rsidR="008A5179" w:rsidRDefault="008A5179" w:rsidP="002825CD">
      <w:pPr>
        <w:ind w:firstLine="720"/>
        <w:jc w:val="both"/>
      </w:pPr>
      <w:r>
        <w:t xml:space="preserve">During a night shift, the public service centre (PSC) alerted us that an anonymous caller was concerned for her female friend. The reporting person advised the PSC that she had received a coded messaged from her friend that meant she feared for her physical safety. Further information that the male was heavily intoxicated on alcohol and cocaine. The male in the incident had recently been released from prison; was a domestic violence aggressor to the female; and, had warning markers for police violence and drug consumption. </w:t>
      </w:r>
    </w:p>
    <w:p w14:paraId="6411C261" w14:textId="77777777" w:rsidR="00B760B0" w:rsidRDefault="00B760B0" w:rsidP="002825CD">
      <w:pPr>
        <w:ind w:firstLine="720"/>
        <w:jc w:val="both"/>
      </w:pPr>
    </w:p>
    <w:p w14:paraId="4E3065F5" w14:textId="7C942D76" w:rsidR="008A5179" w:rsidRDefault="008A5179" w:rsidP="002825CD">
      <w:pPr>
        <w:ind w:firstLine="720"/>
        <w:jc w:val="both"/>
      </w:pPr>
      <w:r>
        <w:t>On route to the address, we were assisted by officers from the area who were familiar with the male and had planned for arrest enquiries to be made due to an assault he was involved in earlier that day.</w:t>
      </w:r>
    </w:p>
    <w:p w14:paraId="5BA10F43" w14:textId="77777777" w:rsidR="00B760B0" w:rsidRDefault="00B760B0" w:rsidP="002825CD">
      <w:pPr>
        <w:ind w:firstLine="720"/>
        <w:jc w:val="both"/>
      </w:pPr>
    </w:p>
    <w:p w14:paraId="31C456C0" w14:textId="128FCE4D" w:rsidR="008A5179" w:rsidRDefault="008A5179" w:rsidP="002825CD">
      <w:pPr>
        <w:ind w:firstLine="720"/>
        <w:jc w:val="both"/>
      </w:pPr>
      <w:r>
        <w:t xml:space="preserve">We arrived at the address, a bottom floor flat, and found the male pinning a screaming female to the floor in the front room. I could see this from an open window which was just before the front door. The male saw us, stood up and made his way to the door. In a desperate attempt to flee, the female erratically made her way out of the window. After exiting the window and onto the path, she jumped over the path wall. She ran off while hyperventilating, causing an officer to chase after her. </w:t>
      </w:r>
    </w:p>
    <w:p w14:paraId="31EA177F" w14:textId="77777777" w:rsidR="00B760B0" w:rsidRDefault="00B760B0" w:rsidP="002825CD">
      <w:pPr>
        <w:ind w:firstLine="720"/>
        <w:jc w:val="both"/>
      </w:pPr>
    </w:p>
    <w:p w14:paraId="5440C90F" w14:textId="77777777" w:rsidR="008A5179" w:rsidRDefault="008A5179" w:rsidP="002825CD">
      <w:pPr>
        <w:ind w:firstLine="720"/>
        <w:jc w:val="both"/>
      </w:pPr>
      <w:r>
        <w:t>The male opened the door, he was clearly heavily intoxicated, had cuts on his legs and a severely swollen ankle. I assisted with detaining and handcuffing the male. Two officers and I then conveyed him across the communal courtyard, briefly stopping due to his physical resistance, before placing and locking him into the vehicle’s cage.</w:t>
      </w:r>
    </w:p>
    <w:p w14:paraId="546E1EF6" w14:textId="77777777" w:rsidR="008A5179" w:rsidRDefault="008A5179" w:rsidP="002825CD">
      <w:pPr>
        <w:ind w:firstLine="720"/>
        <w:jc w:val="both"/>
      </w:pPr>
    </w:p>
    <w:p w14:paraId="1FA6AD65" w14:textId="77777777" w:rsidR="008A5179" w:rsidRDefault="008A5179" w:rsidP="002825CD">
      <w:pPr>
        <w:ind w:firstLine="720"/>
        <w:jc w:val="both"/>
      </w:pPr>
    </w:p>
    <w:p w14:paraId="5856AFFD" w14:textId="77777777" w:rsidR="008A5179" w:rsidRDefault="008A5179" w:rsidP="002825CD">
      <w:pPr>
        <w:ind w:firstLine="720"/>
        <w:jc w:val="both"/>
        <w:rPr>
          <w:noProof/>
        </w:rPr>
      </w:pPr>
    </w:p>
    <w:p w14:paraId="10AA74E0" w14:textId="77777777" w:rsidR="008A5179" w:rsidRDefault="008A5179" w:rsidP="002825CD">
      <w:pPr>
        <w:ind w:firstLine="720"/>
        <w:jc w:val="both"/>
      </w:pPr>
      <w:r w:rsidRPr="00B951DE">
        <w:rPr>
          <w:noProof/>
        </w:rPr>
        <w:drawing>
          <wp:inline distT="0" distB="0" distL="0" distR="0" wp14:anchorId="63740B26" wp14:editId="75DCA0F8">
            <wp:extent cx="5731510" cy="338115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7941"/>
                    <a:stretch/>
                  </pic:blipFill>
                  <pic:spPr bwMode="auto">
                    <a:xfrm>
                      <a:off x="0" y="0"/>
                      <a:ext cx="5731510" cy="3381154"/>
                    </a:xfrm>
                    <a:prstGeom prst="rect">
                      <a:avLst/>
                    </a:prstGeom>
                    <a:noFill/>
                    <a:ln>
                      <a:noFill/>
                    </a:ln>
                    <a:extLst>
                      <a:ext uri="{53640926-AAD7-44D8-BBD7-CCE9431645EC}">
                        <a14:shadowObscured xmlns:a14="http://schemas.microsoft.com/office/drawing/2010/main"/>
                      </a:ext>
                    </a:extLst>
                  </pic:spPr>
                </pic:pic>
              </a:graphicData>
            </a:graphic>
          </wp:inline>
        </w:drawing>
      </w:r>
    </w:p>
    <w:p w14:paraId="7652616E" w14:textId="77777777" w:rsidR="008A5179" w:rsidRDefault="008A5179" w:rsidP="002825CD">
      <w:pPr>
        <w:ind w:firstLine="720"/>
        <w:jc w:val="both"/>
      </w:pPr>
    </w:p>
    <w:p w14:paraId="5170B1AB" w14:textId="570FF993" w:rsidR="008A5179" w:rsidRDefault="008A5179" w:rsidP="00B760B0">
      <w:pPr>
        <w:ind w:firstLine="720"/>
        <w:jc w:val="right"/>
      </w:pPr>
      <w:r>
        <w:t>Fig.1a: Birds eye view of the incident</w:t>
      </w:r>
    </w:p>
    <w:p w14:paraId="1AE65D23" w14:textId="77777777" w:rsidR="00B760B0" w:rsidRDefault="00B760B0" w:rsidP="002825CD">
      <w:pPr>
        <w:ind w:firstLine="720"/>
        <w:jc w:val="both"/>
      </w:pPr>
    </w:p>
    <w:p w14:paraId="6B5CDEEF" w14:textId="1486E1B0" w:rsidR="008A5179" w:rsidRDefault="008A5179" w:rsidP="00B760B0">
      <w:pPr>
        <w:jc w:val="both"/>
        <w:rPr>
          <w:color w:val="FF0000"/>
        </w:rPr>
      </w:pPr>
      <w:r>
        <w:t xml:space="preserve">There were two key areas of conflict: (1) the removal and handcuffing of the male; (2) the physical resistance on the way to the van. </w:t>
      </w:r>
      <w:r w:rsidRPr="00A548A0">
        <w:rPr>
          <w:color w:val="FF0000"/>
        </w:rPr>
        <w:t xml:space="preserve"> </w:t>
      </w:r>
    </w:p>
    <w:p w14:paraId="158CD68F" w14:textId="77777777" w:rsidR="00B760B0" w:rsidRDefault="00B760B0" w:rsidP="002825CD">
      <w:pPr>
        <w:ind w:firstLine="720"/>
        <w:jc w:val="both"/>
        <w:rPr>
          <w:color w:val="FF0000"/>
        </w:rPr>
      </w:pPr>
    </w:p>
    <w:p w14:paraId="64E173A7" w14:textId="77777777" w:rsidR="008A5179" w:rsidRDefault="008A5179" w:rsidP="002825CD">
      <w:pPr>
        <w:ind w:firstLine="720"/>
        <w:jc w:val="both"/>
      </w:pPr>
      <w:r>
        <w:t>During this incident I considered the following impact factors: the initial call outline of a threating male and unrelated violent incident earlier that day; the violent display on arrival and a desperate victim that was clearly distressed; the unpredictable behaviour that may occur from the male’s intoxicated state (</w:t>
      </w:r>
      <w:r w:rsidRPr="00345347">
        <w:t>Ma</w:t>
      </w:r>
      <w:r>
        <w:t xml:space="preserve">cy, Renz and </w:t>
      </w:r>
      <w:proofErr w:type="spellStart"/>
      <w:r>
        <w:t>Pelino</w:t>
      </w:r>
      <w:proofErr w:type="spellEnd"/>
      <w:r>
        <w:t>, 2013); the injuries to his legs and ankle; and, the confined space to work within when exiting the property.</w:t>
      </w:r>
    </w:p>
    <w:p w14:paraId="381EBF2F" w14:textId="0AB410E8" w:rsidR="008A5179" w:rsidRDefault="008A5179" w:rsidP="002825CD">
      <w:pPr>
        <w:ind w:firstLine="720"/>
        <w:jc w:val="both"/>
      </w:pPr>
      <w:r>
        <w:t xml:space="preserve">Central to the de-escalation was my tactical communication (TC). Through active listening and assessing the non-verbal communication of the male, I also employed </w:t>
      </w:r>
      <w:proofErr w:type="spellStart"/>
      <w:r>
        <w:t>Betari’s</w:t>
      </w:r>
      <w:proofErr w:type="spellEnd"/>
      <w:r>
        <w:t xml:space="preserve"> Box (BB) </w:t>
      </w:r>
      <w:r w:rsidR="00BA0A59">
        <w:t xml:space="preserve">(MindTools, 2019) </w:t>
      </w:r>
      <w:r>
        <w:t xml:space="preserve">and </w:t>
      </w:r>
      <w:proofErr w:type="spellStart"/>
      <w:r>
        <w:t>Karpman’s</w:t>
      </w:r>
      <w:proofErr w:type="spellEnd"/>
      <w:r>
        <w:t xml:space="preserve"> Drama Triangle (KDT)</w:t>
      </w:r>
      <w:r w:rsidR="00BA0A59">
        <w:t xml:space="preserve"> (</w:t>
      </w:r>
      <w:proofErr w:type="spellStart"/>
      <w:r w:rsidR="00BA0A59">
        <w:t>RedWebsiteDesign</w:t>
      </w:r>
      <w:proofErr w:type="spellEnd"/>
      <w:r w:rsidR="00BA0A59">
        <w:t xml:space="preserve">, </w:t>
      </w:r>
      <w:r w:rsidR="00BA0A59" w:rsidRPr="003641A3">
        <w:rPr>
          <w:rFonts w:asciiTheme="minorHAnsi" w:hAnsiTheme="minorHAnsi" w:cstheme="minorHAnsi"/>
          <w:sz w:val="24"/>
          <w:szCs w:val="24"/>
        </w:rPr>
        <w:t>2020</w:t>
      </w:r>
      <w:r w:rsidR="00BA0A59">
        <w:t>)</w:t>
      </w:r>
      <w:r>
        <w:t>. This improved my decision</w:t>
      </w:r>
      <w:r w:rsidR="00716D49">
        <w:t>-</w:t>
      </w:r>
      <w:r>
        <w:t xml:space="preserve">making processes and considerations within my on-going, dynamic risk assessment (DRA) during the incident. </w:t>
      </w:r>
    </w:p>
    <w:p w14:paraId="43B1BC05" w14:textId="77777777" w:rsidR="00B760B0" w:rsidRDefault="00B760B0" w:rsidP="002825CD">
      <w:pPr>
        <w:ind w:firstLine="720"/>
        <w:jc w:val="both"/>
      </w:pPr>
    </w:p>
    <w:p w14:paraId="0E994F09" w14:textId="1D2B1913" w:rsidR="008A5179" w:rsidRDefault="008A5179" w:rsidP="002825CD">
      <w:pPr>
        <w:ind w:firstLine="720"/>
        <w:jc w:val="both"/>
      </w:pPr>
      <w:r>
        <w:t xml:space="preserve">The </w:t>
      </w:r>
      <w:proofErr w:type="spellStart"/>
      <w:r>
        <w:t>Betari</w:t>
      </w:r>
      <w:proofErr w:type="spellEnd"/>
      <w:r>
        <w:t xml:space="preserve"> Box is a model that can be used to interpret and change a person’s behaviour and attitude by altering our own behaviour and attitude. In a policing context, officers must make quick and accurate assessments of a person’s behaviour </w:t>
      </w:r>
      <w:proofErr w:type="gramStart"/>
      <w:r>
        <w:t>in order to</w:t>
      </w:r>
      <w:proofErr w:type="gramEnd"/>
      <w:r>
        <w:t xml:space="preserve"> apply suitably measured responses. As a result, BB acts as an effective tool to negotiate with people and overcome obstacles in communication. BB is a transitional model and can be used to re-evaluate the situation at any moment, such as non-verbal behaviour changes, or assessing someone’s attitude by listening to their voice tone. BB is an effective model because it enables us to pick up on cues and react quickly to changes in body language; and secondly, it assists officers when solving problems because it reminds us of how our own behaviour and attitude can alter the outcome of a situation (Mind Tools, 2019). </w:t>
      </w:r>
    </w:p>
    <w:p w14:paraId="196DC19A" w14:textId="77777777" w:rsidR="00B760B0" w:rsidRDefault="00B760B0" w:rsidP="002825CD">
      <w:pPr>
        <w:ind w:firstLine="720"/>
        <w:jc w:val="both"/>
      </w:pPr>
    </w:p>
    <w:p w14:paraId="2A79C165" w14:textId="77777777" w:rsidR="008A5179" w:rsidRDefault="008A5179" w:rsidP="002825CD">
      <w:pPr>
        <w:ind w:firstLine="720"/>
        <w:jc w:val="both"/>
      </w:pPr>
      <w:r>
        <w:t xml:space="preserve">For instance, by delivering an instruction and communicating it clearly to the person before or while an action is happening – </w:t>
      </w:r>
      <w:proofErr w:type="gramStart"/>
      <w:r>
        <w:t>e.g.</w:t>
      </w:r>
      <w:proofErr w:type="gramEnd"/>
      <w:r>
        <w:t xml:space="preserve"> when detaining a person and explaining that the application of handcuffs is for their safety as well as ours –, the person may be more likely to comply because they have been made aware of the course of action. However, this may not always be appropriate in a policing situation and will greatly depend on the immediate TRH at the time.    </w:t>
      </w:r>
    </w:p>
    <w:p w14:paraId="1BFD1137" w14:textId="77777777" w:rsidR="008A5179" w:rsidRDefault="008A5179" w:rsidP="002825CD">
      <w:pPr>
        <w:ind w:firstLine="720"/>
        <w:jc w:val="both"/>
      </w:pPr>
      <w:r>
        <w:rPr>
          <w:noProof/>
        </w:rPr>
        <w:drawing>
          <wp:inline distT="0" distB="0" distL="0" distR="0" wp14:anchorId="2C184713" wp14:editId="3A6B7CD8">
            <wp:extent cx="5731510" cy="4413222"/>
            <wp:effectExtent l="0" t="0" r="0" b="0"/>
            <wp:docPr id="2" name="Picture 2" descr="Betari Bo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tari Box Diagra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413222"/>
                    </a:xfrm>
                    <a:prstGeom prst="rect">
                      <a:avLst/>
                    </a:prstGeom>
                    <a:noFill/>
                    <a:ln>
                      <a:noFill/>
                    </a:ln>
                  </pic:spPr>
                </pic:pic>
              </a:graphicData>
            </a:graphic>
          </wp:inline>
        </w:drawing>
      </w:r>
    </w:p>
    <w:p w14:paraId="568A366F" w14:textId="33318C9F" w:rsidR="008A5179" w:rsidRDefault="008A5179" w:rsidP="00E46FFE">
      <w:pPr>
        <w:ind w:firstLine="720"/>
        <w:jc w:val="right"/>
      </w:pPr>
      <w:r>
        <w:t xml:space="preserve">Fig. 2a: </w:t>
      </w:r>
      <w:proofErr w:type="spellStart"/>
      <w:r>
        <w:t>Betari’s</w:t>
      </w:r>
      <w:proofErr w:type="spellEnd"/>
      <w:r>
        <w:t xml:space="preserve"> Box Model, (MindTools, 2019).</w:t>
      </w:r>
    </w:p>
    <w:p w14:paraId="0EEC6CE8" w14:textId="77777777" w:rsidR="00E46FFE" w:rsidRDefault="00E46FFE" w:rsidP="002825CD">
      <w:pPr>
        <w:ind w:firstLine="720"/>
        <w:jc w:val="both"/>
      </w:pPr>
    </w:p>
    <w:p w14:paraId="0F5716CB" w14:textId="6F6BFE1B" w:rsidR="008A5179" w:rsidRDefault="008A5179" w:rsidP="002825CD">
      <w:pPr>
        <w:ind w:firstLine="720"/>
        <w:jc w:val="both"/>
      </w:pPr>
      <w:proofErr w:type="spellStart"/>
      <w:r>
        <w:lastRenderedPageBreak/>
        <w:t>Karpman’s</w:t>
      </w:r>
      <w:proofErr w:type="spellEnd"/>
      <w:r>
        <w:t xml:space="preserve"> Drama Triangle (KDT) is a model that illustrates how a person perceives themselves and others in a situation</w:t>
      </w:r>
      <w:r w:rsidR="00936EA2">
        <w:t xml:space="preserve"> (</w:t>
      </w:r>
      <w:proofErr w:type="spellStart"/>
      <w:r w:rsidR="00936EA2">
        <w:t>Kissell</w:t>
      </w:r>
      <w:proofErr w:type="spellEnd"/>
      <w:r w:rsidR="00936EA2">
        <w:t>, 2020)</w:t>
      </w:r>
      <w:r>
        <w:t xml:space="preserve">. The roles or positions of the drama triangle can be altered depending on the situation, but the traditional triangle situates people as rescuers, perpetrators, and victims. Since its inception, however, practitioners of KDT have adapted the model to increase its effectiveness. Practitioners found that the model could result in further conflict, as the positional interplay between </w:t>
      </w:r>
      <w:r w:rsidRPr="00A87600">
        <w:rPr>
          <w:i/>
        </w:rPr>
        <w:t>rescuer</w:t>
      </w:r>
      <w:r>
        <w:t xml:space="preserve"> and </w:t>
      </w:r>
      <w:r w:rsidRPr="00A87600">
        <w:rPr>
          <w:i/>
        </w:rPr>
        <w:t>victim</w:t>
      </w:r>
      <w:r>
        <w:t xml:space="preserve">, or </w:t>
      </w:r>
      <w:r w:rsidRPr="00A87600">
        <w:rPr>
          <w:i/>
        </w:rPr>
        <w:t>rescuer</w:t>
      </w:r>
      <w:r>
        <w:t xml:space="preserve"> and </w:t>
      </w:r>
      <w:r>
        <w:rPr>
          <w:i/>
        </w:rPr>
        <w:t>persecutor</w:t>
      </w:r>
      <w:r>
        <w:t xml:space="preserve"> had negative outcomes as they had negative relationships. For example, </w:t>
      </w:r>
      <w:r>
        <w:rPr>
          <w:i/>
        </w:rPr>
        <w:t xml:space="preserve">rescuers </w:t>
      </w:r>
      <w:r>
        <w:t xml:space="preserve">came across as over-helpful and often acted in such a way that benefitted themselves, as they enjoyed the sense of purpose in helping a victim. While on the surface this appears positive, the </w:t>
      </w:r>
      <w:r w:rsidRPr="00A87600">
        <w:rPr>
          <w:i/>
        </w:rPr>
        <w:t>rescuer</w:t>
      </w:r>
      <w:r>
        <w:t xml:space="preserve"> requires a victim to always be in need and dependent on them. This results in an unhealthy dyad between the two, because the victim remains helpless, while the rescuer feeds their own quasi-saviour complex. This is </w:t>
      </w:r>
      <w:proofErr w:type="gramStart"/>
      <w:r>
        <w:t>similar to</w:t>
      </w:r>
      <w:proofErr w:type="gramEnd"/>
      <w:r>
        <w:t xml:space="preserve"> </w:t>
      </w:r>
      <w:r>
        <w:rPr>
          <w:i/>
        </w:rPr>
        <w:t>persecutor</w:t>
      </w:r>
      <w:r>
        <w:t xml:space="preserve"> and </w:t>
      </w:r>
      <w:r w:rsidRPr="00A87600">
        <w:rPr>
          <w:i/>
        </w:rPr>
        <w:t>rescuer</w:t>
      </w:r>
      <w:r>
        <w:t xml:space="preserve"> relationships, as the disparity between the two roles as ‘good’ and ‘bad’, drive a wedge between both parties. Consequently, there is poor communication between the two positions which creates a situational impasse.</w:t>
      </w:r>
    </w:p>
    <w:p w14:paraId="2059E1A0" w14:textId="77777777" w:rsidR="00E46FFE" w:rsidRDefault="00E46FFE" w:rsidP="002825CD">
      <w:pPr>
        <w:ind w:firstLine="720"/>
        <w:jc w:val="both"/>
      </w:pPr>
    </w:p>
    <w:p w14:paraId="1B1234C0" w14:textId="77777777" w:rsidR="008A5179" w:rsidRDefault="008A5179" w:rsidP="002825CD">
      <w:pPr>
        <w:ind w:firstLine="720"/>
        <w:jc w:val="both"/>
      </w:pPr>
      <w:r>
        <w:t xml:space="preserve">Thus, as seen in Fig. 3a, adapting the positions – </w:t>
      </w:r>
      <w:r>
        <w:rPr>
          <w:i/>
        </w:rPr>
        <w:t xml:space="preserve">persecutor </w:t>
      </w:r>
      <w:r>
        <w:t xml:space="preserve">to ‘challenger’, </w:t>
      </w:r>
      <w:r>
        <w:rPr>
          <w:i/>
        </w:rPr>
        <w:t xml:space="preserve">rescuer </w:t>
      </w:r>
      <w:r>
        <w:t xml:space="preserve">to ‘coach’, and </w:t>
      </w:r>
      <w:r>
        <w:rPr>
          <w:i/>
        </w:rPr>
        <w:t>victim</w:t>
      </w:r>
      <w:r>
        <w:t xml:space="preserve"> to ‘survivor/thriver’ – allows people to be empowered and create their own solutions instead feeling helpless and being reliant on others. Moreover, they </w:t>
      </w:r>
      <w:proofErr w:type="gramStart"/>
      <w:r>
        <w:t>are able to</w:t>
      </w:r>
      <w:proofErr w:type="gramEnd"/>
      <w:r>
        <w:t xml:space="preserve"> be coached and supported by someone with honest intentions. Whereas </w:t>
      </w:r>
      <w:r>
        <w:rPr>
          <w:i/>
        </w:rPr>
        <w:t>challengers</w:t>
      </w:r>
      <w:r>
        <w:t xml:space="preserve"> receive boundaries and are made to take responsibility for their actions. Subsequently, these adaptations improve the relationship between each prong of the drama triangle because communication, attitudes, and behaviours are altered towards a positive route. As a result, this reduces confrontation and conflict between parties because each role has been established to benefit one another as a whole, rather than separate and highly emotional positions within a situation. Therefore, being aware of role perception and our own attitudes in a conflict incident can significantly help to reduce confrontation and bring the situation to a positive resolution. </w:t>
      </w:r>
    </w:p>
    <w:p w14:paraId="247E7CC6" w14:textId="77777777" w:rsidR="008A5179" w:rsidRDefault="008A5179" w:rsidP="002825CD">
      <w:pPr>
        <w:ind w:firstLine="720"/>
        <w:jc w:val="both"/>
      </w:pPr>
    </w:p>
    <w:p w14:paraId="2385754C" w14:textId="77777777" w:rsidR="008A5179" w:rsidRDefault="008A5179" w:rsidP="002825CD">
      <w:pPr>
        <w:ind w:firstLine="720"/>
        <w:jc w:val="both"/>
      </w:pPr>
    </w:p>
    <w:p w14:paraId="51F1B562" w14:textId="57503DC6" w:rsidR="008A5179" w:rsidRDefault="008A5179" w:rsidP="002825CD">
      <w:pPr>
        <w:ind w:firstLine="720"/>
        <w:jc w:val="both"/>
      </w:pPr>
      <w:r w:rsidRPr="00F3332C">
        <w:rPr>
          <w:noProof/>
        </w:rPr>
        <w:lastRenderedPageBreak/>
        <w:drawing>
          <wp:inline distT="0" distB="0" distL="0" distR="0" wp14:anchorId="48A1353F" wp14:editId="6B84965D">
            <wp:extent cx="5462078" cy="6631899"/>
            <wp:effectExtent l="0" t="0" r="5715" b="0"/>
            <wp:docPr id="4" name="Picture 4" descr="https://www.drkathrynkissell.com/wp-content/uploads/2020/04/Karpmans-Triang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drkathrynkissell.com/wp-content/uploads/2020/04/Karpmans-Triangle-.png"/>
                    <pic:cNvPicPr>
                      <a:picLocks noChangeAspect="1" noChangeArrowheads="1"/>
                    </pic:cNvPicPr>
                  </pic:nvPicPr>
                  <pic:blipFill rotWithShape="1">
                    <a:blip r:embed="rId22" cstate="print">
                      <a:extLst>
                        <a:ext uri="{BEBA8EAE-BF5A-486C-A8C5-ECC9F3942E4B}">
                          <a14:imgProps xmlns:a14="http://schemas.microsoft.com/office/drawing/2010/main">
                            <a14:imgLayer r:embed="rId23">
                              <a14:imgEffect>
                                <a14:sharpenSoften amount="50000"/>
                              </a14:imgEffect>
                            </a14:imgLayer>
                          </a14:imgProps>
                        </a:ext>
                        <a:ext uri="{28A0092B-C50C-407E-A947-70E740481C1C}">
                          <a14:useLocalDpi xmlns:a14="http://schemas.microsoft.com/office/drawing/2010/main" val="0"/>
                        </a:ext>
                      </a:extLst>
                    </a:blip>
                    <a:srcRect l="7102" t="13108" r="7226" b="13339"/>
                    <a:stretch/>
                  </pic:blipFill>
                  <pic:spPr bwMode="auto">
                    <a:xfrm>
                      <a:off x="0" y="0"/>
                      <a:ext cx="5469643" cy="6641084"/>
                    </a:xfrm>
                    <a:prstGeom prst="rect">
                      <a:avLst/>
                    </a:prstGeom>
                    <a:noFill/>
                    <a:ln>
                      <a:noFill/>
                    </a:ln>
                    <a:extLst>
                      <a:ext uri="{53640926-AAD7-44D8-BBD7-CCE9431645EC}">
                        <a14:shadowObscured xmlns:a14="http://schemas.microsoft.com/office/drawing/2010/main"/>
                      </a:ext>
                    </a:extLst>
                  </pic:spPr>
                </pic:pic>
              </a:graphicData>
            </a:graphic>
          </wp:inline>
        </w:drawing>
      </w:r>
    </w:p>
    <w:p w14:paraId="3C5EA88D" w14:textId="77777777" w:rsidR="00E46FFE" w:rsidRDefault="00E46FFE" w:rsidP="002825CD">
      <w:pPr>
        <w:ind w:firstLine="720"/>
        <w:jc w:val="both"/>
      </w:pPr>
    </w:p>
    <w:p w14:paraId="40C84319" w14:textId="57E66DF7" w:rsidR="008A5179" w:rsidRDefault="008A5179" w:rsidP="00E46FFE">
      <w:pPr>
        <w:ind w:firstLine="720"/>
        <w:jc w:val="right"/>
      </w:pPr>
      <w:r>
        <w:t xml:space="preserve">Fig.3a: </w:t>
      </w:r>
      <w:proofErr w:type="spellStart"/>
      <w:r>
        <w:t>Karpman’s</w:t>
      </w:r>
      <w:proofErr w:type="spellEnd"/>
      <w:r>
        <w:t xml:space="preserve"> Drama Triangle with Adaptations, (</w:t>
      </w:r>
      <w:proofErr w:type="spellStart"/>
      <w:r w:rsidRPr="004C691A">
        <w:rPr>
          <w:rFonts w:cstheme="minorHAnsi"/>
        </w:rPr>
        <w:t>Kissell</w:t>
      </w:r>
      <w:proofErr w:type="spellEnd"/>
      <w:r>
        <w:rPr>
          <w:rFonts w:cstheme="minorHAnsi"/>
        </w:rPr>
        <w:t>,</w:t>
      </w:r>
      <w:r>
        <w:t xml:space="preserve"> 2020).</w:t>
      </w:r>
    </w:p>
    <w:p w14:paraId="3E156F01" w14:textId="77777777" w:rsidR="00E46FFE" w:rsidRPr="00126048" w:rsidRDefault="00E46FFE" w:rsidP="002825CD">
      <w:pPr>
        <w:ind w:firstLine="720"/>
        <w:jc w:val="both"/>
      </w:pPr>
    </w:p>
    <w:p w14:paraId="5DC2EF65" w14:textId="0383EB83" w:rsidR="008A5179" w:rsidRDefault="008A5179" w:rsidP="002825CD">
      <w:pPr>
        <w:ind w:firstLine="720"/>
        <w:jc w:val="both"/>
      </w:pPr>
      <w:r>
        <w:t xml:space="preserve">Before arriving at the door, I was aware of the above impact factors and had already made </w:t>
      </w:r>
      <w:r w:rsidR="000F48E1">
        <w:t>several</w:t>
      </w:r>
      <w:r>
        <w:t xml:space="preserve"> considerations to my DRA. The two key elements were: the lack of space at the front door that could hinder manoeuvrability; and, witnessing the screaming female desperately make their way through the window and run away, indicating the extent of threat posed by the male. I applied BB model here and decided that regardless of how the male presented himself to us, the relationship he had with the female to cause her that level of distress, clearly shows that he is capable of overpowering others and posed a significant risk to ourselves. Consequently, when analysing the situation through KDT, I had assigned my colleagues and I the role of </w:t>
      </w:r>
      <w:r>
        <w:rPr>
          <w:i/>
        </w:rPr>
        <w:t xml:space="preserve">rescuers </w:t>
      </w:r>
      <w:r>
        <w:t xml:space="preserve">and the male as the </w:t>
      </w:r>
      <w:r>
        <w:rPr>
          <w:i/>
        </w:rPr>
        <w:t xml:space="preserve">perpetrator. </w:t>
      </w:r>
      <w:r>
        <w:t xml:space="preserve">At this stage, it was not safe enough to apply the adapted KDT model, because the TRH level was too high. We needed to diminish his threat level before effectively communicating with him and </w:t>
      </w:r>
      <w:r>
        <w:rPr>
          <w:i/>
        </w:rPr>
        <w:t>coach</w:t>
      </w:r>
      <w:r>
        <w:t xml:space="preserve"> him on our way to the police van.  </w:t>
      </w:r>
    </w:p>
    <w:p w14:paraId="3A89EA18" w14:textId="77777777" w:rsidR="00E46FFE" w:rsidRPr="00016DCE" w:rsidRDefault="00E46FFE" w:rsidP="002825CD">
      <w:pPr>
        <w:ind w:firstLine="720"/>
        <w:jc w:val="both"/>
      </w:pPr>
    </w:p>
    <w:p w14:paraId="1A66E350" w14:textId="1AD30B56" w:rsidR="008A5179" w:rsidRDefault="008A5179" w:rsidP="002825CD">
      <w:pPr>
        <w:ind w:firstLine="720"/>
        <w:jc w:val="both"/>
      </w:pPr>
      <w:r>
        <w:t>When the male opened the front door, he appeared calm and silent. However, his eyes were wandering, had slurred speech, and smelt heavily of alcohol, thus indicating his intoxication (Sharma et al., 2017). This, along with the unpredictable nature of cocaine and alcohol, as well as the unknown potential of any weapons within the flat itself, we decided to handcuff and detain the male (</w:t>
      </w:r>
      <w:r w:rsidRPr="00446EBF">
        <w:t>Mor</w:t>
      </w:r>
      <w:r>
        <w:t xml:space="preserve">gan, M. and Marshall, J. (2013). </w:t>
      </w:r>
    </w:p>
    <w:p w14:paraId="2D66B56A" w14:textId="77777777" w:rsidR="00E46FFE" w:rsidRDefault="00E46FFE" w:rsidP="002825CD">
      <w:pPr>
        <w:ind w:firstLine="720"/>
        <w:jc w:val="both"/>
      </w:pPr>
    </w:p>
    <w:p w14:paraId="782B43EF" w14:textId="6C70A751" w:rsidR="008A5179" w:rsidRDefault="008A5179" w:rsidP="002825CD">
      <w:pPr>
        <w:ind w:firstLine="720"/>
        <w:jc w:val="both"/>
      </w:pPr>
      <w:r>
        <w:t xml:space="preserve">The decision to make a UOF </w:t>
      </w:r>
      <w:r w:rsidR="006C53A8">
        <w:t>by</w:t>
      </w:r>
      <w:r>
        <w:t xml:space="preserve"> immediately detain</w:t>
      </w:r>
      <w:r w:rsidR="006C53A8">
        <w:t>ing the male</w:t>
      </w:r>
      <w:r>
        <w:t xml:space="preserve"> </w:t>
      </w:r>
      <w:r w:rsidR="006C53A8">
        <w:t>with</w:t>
      </w:r>
      <w:r>
        <w:t xml:space="preserve"> handcuff</w:t>
      </w:r>
      <w:r w:rsidR="006C53A8">
        <w:t>s</w:t>
      </w:r>
      <w:r>
        <w:t xml:space="preserve"> was justified because it significantly reduced the TRH level. </w:t>
      </w:r>
      <w:r w:rsidR="006C723A">
        <w:t>This put</w:t>
      </w:r>
      <w:r>
        <w:t xml:space="preserve"> him at a position of physical disadvantage</w:t>
      </w:r>
      <w:r w:rsidR="006C723A">
        <w:t xml:space="preserve"> and </w:t>
      </w:r>
      <w:r>
        <w:t xml:space="preserve">enabled us a safer exit from the flat door, down the thin pathway, and into the courtyard. I was satisfied that this action reduced the chances of increased physical conflict from the male and provided my colleagues and I the opportunity to effectively communicate with him. </w:t>
      </w:r>
    </w:p>
    <w:p w14:paraId="4A3CD563" w14:textId="77777777" w:rsidR="00E46FFE" w:rsidRDefault="00E46FFE" w:rsidP="002825CD">
      <w:pPr>
        <w:ind w:firstLine="720"/>
        <w:jc w:val="both"/>
      </w:pPr>
    </w:p>
    <w:p w14:paraId="2EDA19CB" w14:textId="3C3DCFA9" w:rsidR="008A5179" w:rsidRDefault="008A5179" w:rsidP="002825CD">
      <w:pPr>
        <w:ind w:firstLine="720"/>
        <w:jc w:val="both"/>
      </w:pPr>
      <w:r>
        <w:t xml:space="preserve">I was very relieved once we handcuffed the male and walked him into the courtyard. The initial scene of the desperate female made me quite fearful and alert to the male. I knew he was bigger than me in stature and capable of violence. I feared that a physical altercation between us would most likely result in myself receiving significant harm; and as a result, the tactical deployment of a substantial UOF would have to be made to nullify his capacity to resist. Neither option was appealing, so I was thankful that the male reacted in a compliant manner and allowed me to handcuff him without resisting. </w:t>
      </w:r>
    </w:p>
    <w:p w14:paraId="2A5459CB" w14:textId="77777777" w:rsidR="00E46FFE" w:rsidRDefault="00E46FFE" w:rsidP="002825CD">
      <w:pPr>
        <w:ind w:firstLine="720"/>
        <w:jc w:val="both"/>
      </w:pPr>
    </w:p>
    <w:p w14:paraId="001C3EDE" w14:textId="0B90FDE0" w:rsidR="008A5179" w:rsidRDefault="008A5179" w:rsidP="002825CD">
      <w:pPr>
        <w:ind w:firstLine="720"/>
        <w:jc w:val="both"/>
      </w:pPr>
      <w:r>
        <w:t xml:space="preserve">We walked the male into the courtyard, my colleague holding one arm, myself holding the other. Holding his arm allowed me to monitor his reactions and movements, which continued to update my DRA. He then became physically resistant and stopped walking; he was adamant to speak to us and confirm if his partner was safe. Here I reapplied BB and soon realised that our attempts to continue walking turned into a dragging match. This presented a further risk: our aim was to secure him into the back of the van </w:t>
      </w:r>
      <w:proofErr w:type="gramStart"/>
      <w:r>
        <w:t>in order to</w:t>
      </w:r>
      <w:proofErr w:type="gramEnd"/>
      <w:r>
        <w:t xml:space="preserve"> further mitigate TRH and turn our attention to the female as quickly as possible. However, by rushing and dragging the male it was likely to aggravate him to a full stop where he may become harder to manoeuvre into the van. While there would be an option to use limb restraints, it was unnecessary at this point. </w:t>
      </w:r>
    </w:p>
    <w:p w14:paraId="54683172" w14:textId="77777777" w:rsidR="00E46FFE" w:rsidRDefault="00E46FFE" w:rsidP="002825CD">
      <w:pPr>
        <w:ind w:firstLine="720"/>
        <w:jc w:val="both"/>
      </w:pPr>
    </w:p>
    <w:p w14:paraId="56A46E03" w14:textId="2813A949" w:rsidR="008A5179" w:rsidRDefault="008A5179" w:rsidP="002825CD">
      <w:pPr>
        <w:ind w:firstLine="720"/>
        <w:jc w:val="both"/>
      </w:pPr>
      <w:r>
        <w:t xml:space="preserve">Here I used my TC in order to calm and reassure the male that his partner was receiving help from our </w:t>
      </w:r>
      <w:proofErr w:type="gramStart"/>
      <w:r>
        <w:t>colleagues</w:t>
      </w:r>
      <w:proofErr w:type="gramEnd"/>
      <w:r>
        <w:t xml:space="preserve"> and I explained clearly that we were taking him into the van in order to separate the two parties. I also noticed his cuts and swollen ankle, so I asked him if he was okay and enquired about his injuries, to which he claimed were historic. However, given the extent of the swelling and his intoxication, I proceeded to act with caution. </w:t>
      </w:r>
      <w:proofErr w:type="gramStart"/>
      <w:r>
        <w:t>In the event that</w:t>
      </w:r>
      <w:proofErr w:type="gramEnd"/>
      <w:r>
        <w:t xml:space="preserve"> it was recent, the male showed no signs of pain and so I was immediately concerned of any ongoing Acute Behaviour Disturbance (ABD). ABD takes effect on individuals in circumstances where extensive quantities of stimulants like cocaine have been used. This effects an individual response to pain, making them unable to feel anything at all (Fraser, et al., 2021).</w:t>
      </w:r>
    </w:p>
    <w:p w14:paraId="15522638" w14:textId="77777777" w:rsidR="00E46FFE" w:rsidRDefault="00E46FFE" w:rsidP="002825CD">
      <w:pPr>
        <w:ind w:firstLine="720"/>
        <w:jc w:val="both"/>
      </w:pPr>
    </w:p>
    <w:p w14:paraId="7D1D5F1A" w14:textId="6A275082" w:rsidR="008A5179" w:rsidRDefault="008A5179" w:rsidP="002825CD">
      <w:pPr>
        <w:ind w:firstLine="720"/>
        <w:jc w:val="both"/>
      </w:pPr>
      <w:r>
        <w:t xml:space="preserve">This presented an additional impact factor and further encouraged me to continue the path of least resistance. I continued to use my TC with the male and advised him that the van light would enable us to examine him better. He was confused that we were concerned for </w:t>
      </w:r>
      <w:proofErr w:type="gramStart"/>
      <w:r>
        <w:t>him</w:t>
      </w:r>
      <w:proofErr w:type="gramEnd"/>
      <w:r>
        <w:t xml:space="preserve"> and it was clear he saw himself as the </w:t>
      </w:r>
      <w:r>
        <w:rPr>
          <w:i/>
        </w:rPr>
        <w:t>perpetrator</w:t>
      </w:r>
      <w:r>
        <w:t xml:space="preserve"> in KDT, and therefore, less worthy of medical attention compared to his partner, the </w:t>
      </w:r>
      <w:r>
        <w:rPr>
          <w:i/>
        </w:rPr>
        <w:t>victim.</w:t>
      </w:r>
      <w:r>
        <w:t xml:space="preserve"> I explained with increased empathy in my voice that it didn’t matter who he was, that my colleagues and I have a duty of care to everyone in our custody. His mannerisms changed and he began to smile. I believe that the male thought he was receiving victim-like treatment and so his position within KTD evolved into a </w:t>
      </w:r>
      <w:r w:rsidRPr="00AB5484">
        <w:rPr>
          <w:i/>
        </w:rPr>
        <w:t>perpetrator/victim</w:t>
      </w:r>
      <w:r>
        <w:t xml:space="preserve"> combination. While we did not intend for him to feel that way, it benefitted us nonetheless as he actively resumed walking in the direction of the van and became more willing to our arm guidance.</w:t>
      </w:r>
    </w:p>
    <w:p w14:paraId="01487781" w14:textId="77777777" w:rsidR="002825CD" w:rsidRDefault="002825CD" w:rsidP="002825CD">
      <w:pPr>
        <w:ind w:firstLine="720"/>
        <w:jc w:val="both"/>
      </w:pPr>
    </w:p>
    <w:p w14:paraId="6AD653E4" w14:textId="0D394C0D" w:rsidR="008A5179" w:rsidRDefault="008A5179" w:rsidP="002825CD">
      <w:pPr>
        <w:ind w:firstLine="720"/>
        <w:jc w:val="both"/>
      </w:pPr>
      <w:r>
        <w:t xml:space="preserve">Moreover, my TC ensured that I was working in line with his Human Rights. By using the van light as a negotiation endgame to assess the male’s physical condition, it allowed us </w:t>
      </w:r>
      <w:proofErr w:type="gramStart"/>
      <w:r>
        <w:t>provide</w:t>
      </w:r>
      <w:proofErr w:type="gramEnd"/>
      <w:r>
        <w:t xml:space="preserve"> our duty of care to him. This is important because now that the male was in our custody, despite his aggressive actions, I was duty bound to maintain his well-being. Furthermore, by separating both parties this enabled them to be treated equally and fairly with regards to medical attention and obtaining initial details from them about the incident. </w:t>
      </w:r>
      <w:r w:rsidR="002825CD">
        <w:br/>
      </w:r>
    </w:p>
    <w:p w14:paraId="3B5D3DF3" w14:textId="5A577AE8" w:rsidR="008A5179" w:rsidRPr="00876A00" w:rsidRDefault="008A5179" w:rsidP="002825CD">
      <w:pPr>
        <w:ind w:firstLine="720"/>
        <w:jc w:val="both"/>
        <w:rPr>
          <w:rFonts w:cs="Times New Roman"/>
        </w:rPr>
      </w:pPr>
      <w:r w:rsidRPr="00876A00">
        <w:rPr>
          <w:rFonts w:cs="Times New Roman"/>
        </w:rPr>
        <w:t xml:space="preserve">For me, the </w:t>
      </w:r>
      <w:r>
        <w:rPr>
          <w:rFonts w:cs="Times New Roman"/>
        </w:rPr>
        <w:t xml:space="preserve">most important aspect was my use of tactical communication to de-escalate the conflict in this incident. I learned that while further uses of force could have been applied, more important was officer safety and our duty of care to the male in our custody. By building a rapport with the male instead of forcing him to the van allowed me to further assess his attitude and level of compliance. This experience has significantly improved my </w:t>
      </w:r>
      <w:r w:rsidR="00F9024B">
        <w:rPr>
          <w:rFonts w:cs="Times New Roman"/>
        </w:rPr>
        <w:t>decision-making</w:t>
      </w:r>
      <w:r>
        <w:rPr>
          <w:rFonts w:cs="Times New Roman"/>
        </w:rPr>
        <w:t xml:space="preserve"> process when faced with medium to high levels of TRH. Furthermore, it has re-affirmed to me the importance of clear and concise verbal communication as a tool that can be applied to a </w:t>
      </w:r>
      <w:r>
        <w:rPr>
          <w:rFonts w:cs="Times New Roman"/>
        </w:rPr>
        <w:lastRenderedPageBreak/>
        <w:t>multitude of policing contexts. I now feel more confident going forwards when dealing with conflict and pressured situations because I have proved I can rely on my tactical communications to reduce TRH.</w:t>
      </w:r>
      <w:r w:rsidR="002825CD">
        <w:rPr>
          <w:rFonts w:cs="Times New Roman"/>
        </w:rPr>
        <w:br/>
      </w:r>
    </w:p>
    <w:p w14:paraId="031E7151" w14:textId="32C3EBBB" w:rsidR="008A5179" w:rsidRDefault="008A5179" w:rsidP="002825CD">
      <w:pPr>
        <w:ind w:firstLine="720"/>
        <w:jc w:val="both"/>
      </w:pPr>
      <w:r>
        <w:t xml:space="preserve">Moreover, I was able to be seen as reasonable, instead of </w:t>
      </w:r>
      <w:r>
        <w:rPr>
          <w:i/>
        </w:rPr>
        <w:t>bullies</w:t>
      </w:r>
      <w:r>
        <w:t xml:space="preserve"> or </w:t>
      </w:r>
      <w:r>
        <w:rPr>
          <w:i/>
        </w:rPr>
        <w:t xml:space="preserve">perpetrators </w:t>
      </w:r>
      <w:r>
        <w:t xml:space="preserve">with KTD. </w:t>
      </w:r>
      <w:r w:rsidR="00F9024B">
        <w:t>Subsequently,</w:t>
      </w:r>
      <w:r>
        <w:t xml:space="preserve"> this further reduced TRH because we were able to obtain a positive rapport with him. Consequently, I could successfully adapt KDT, turning </w:t>
      </w:r>
      <w:r>
        <w:rPr>
          <w:i/>
        </w:rPr>
        <w:t xml:space="preserve">rescuers </w:t>
      </w:r>
      <w:r>
        <w:t xml:space="preserve">to </w:t>
      </w:r>
      <w:r>
        <w:rPr>
          <w:i/>
        </w:rPr>
        <w:t>coaches.</w:t>
      </w:r>
      <w:r>
        <w:t xml:space="preserve"> Going forwards, I will continue to use my tactical communications for conflict management, as it is a tool that can be constantly applied throughout the course an incident. </w:t>
      </w:r>
      <w:r w:rsidR="002825CD">
        <w:br/>
      </w:r>
    </w:p>
    <w:p w14:paraId="41EDE254" w14:textId="77777777" w:rsidR="008A5179" w:rsidRDefault="008A5179" w:rsidP="002825CD">
      <w:pPr>
        <w:ind w:firstLine="720"/>
        <w:jc w:val="both"/>
      </w:pPr>
      <w:r>
        <w:t xml:space="preserve">In conclusion, I have found that conflict can be managed by effective tactical communication. For TC to be successful, however, it requires officers to consider the importance of listening and speaking clearly and carefully; as well assessing a subject’s attitude, behaviour, and their own role perception. Consequently, by employing </w:t>
      </w:r>
      <w:proofErr w:type="spellStart"/>
      <w:r>
        <w:t>Karpman’s</w:t>
      </w:r>
      <w:proofErr w:type="spellEnd"/>
      <w:r>
        <w:t xml:space="preserve"> Drama Triangle and </w:t>
      </w:r>
      <w:proofErr w:type="spellStart"/>
      <w:r>
        <w:t>Betari’s</w:t>
      </w:r>
      <w:proofErr w:type="spellEnd"/>
      <w:r>
        <w:t xml:space="preserve"> Box models as part of our thought process, potential TRH can be doused before they start because an officer is constantly observing the behaviour and attitude of an individual and making measured non-physical actions in response. </w:t>
      </w:r>
    </w:p>
    <w:p w14:paraId="6444795C" w14:textId="77777777" w:rsidR="0077099C" w:rsidRDefault="0077099C" w:rsidP="002825CD">
      <w:pPr>
        <w:ind w:firstLine="720"/>
        <w:jc w:val="both"/>
      </w:pPr>
    </w:p>
    <w:p w14:paraId="5E10894E" w14:textId="1113734A" w:rsidR="008A5179" w:rsidRDefault="008A5179" w:rsidP="0077099C">
      <w:pPr>
        <w:ind w:firstLine="720"/>
        <w:jc w:val="right"/>
      </w:pPr>
      <w:r>
        <w:t>Word count: 27</w:t>
      </w:r>
      <w:r w:rsidR="00716D49">
        <w:t>40</w:t>
      </w:r>
    </w:p>
    <w:p w14:paraId="3B706F8B" w14:textId="77777777" w:rsidR="008A5179" w:rsidRDefault="008A5179" w:rsidP="008A5179">
      <w:pPr>
        <w:ind w:firstLine="720"/>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2ECE21F" w14:textId="64F6F94B" w:rsidR="00883E41" w:rsidRDefault="00883E41" w:rsidP="00883E41">
      <w:pPr>
        <w:jc w:val="both"/>
      </w:pPr>
      <w:r>
        <w:t xml:space="preserve">This essay will illustrate how I have supported a victim through the criminal justice system. To outline my reflections, I will be using </w:t>
      </w:r>
      <w:proofErr w:type="spellStart"/>
      <w:r>
        <w:t>Borton’s</w:t>
      </w:r>
      <w:proofErr w:type="spellEnd"/>
      <w:r>
        <w:t xml:space="preserve"> reflective model: </w:t>
      </w:r>
      <w:proofErr w:type="gramStart"/>
      <w:r>
        <w:t>What?;</w:t>
      </w:r>
      <w:proofErr w:type="gramEnd"/>
      <w:r>
        <w:t xml:space="preserve"> So What?; Now What?</w:t>
      </w:r>
      <w:r w:rsidR="000F48E1">
        <w:t xml:space="preserve"> </w:t>
      </w:r>
      <w:r>
        <w:t>(</w:t>
      </w:r>
      <w:proofErr w:type="spellStart"/>
      <w:r>
        <w:t>Borton</w:t>
      </w:r>
      <w:proofErr w:type="spellEnd"/>
      <w:r>
        <w:t>, 1970)</w:t>
      </w:r>
      <w:r w:rsidR="000F48E1">
        <w:t>.</w:t>
      </w:r>
      <w:r>
        <w:t xml:space="preserve"> </w:t>
      </w:r>
    </w:p>
    <w:p w14:paraId="70FE4FB4" w14:textId="77777777" w:rsidR="00883E41" w:rsidRDefault="00883E41" w:rsidP="00883E41">
      <w:pPr>
        <w:jc w:val="both"/>
      </w:pPr>
    </w:p>
    <w:p w14:paraId="54AB664C" w14:textId="6744A5B3" w:rsidR="00883E41" w:rsidRDefault="00883E41" w:rsidP="00883E41">
      <w:pPr>
        <w:jc w:val="both"/>
        <w:rPr>
          <w:b/>
          <w:bCs/>
          <w:i/>
          <w:iCs/>
          <w:sz w:val="28"/>
          <w:szCs w:val="28"/>
          <w:u w:val="single"/>
        </w:rPr>
      </w:pPr>
      <w:r w:rsidRPr="000B2C05">
        <w:rPr>
          <w:b/>
          <w:bCs/>
          <w:i/>
          <w:iCs/>
          <w:sz w:val="28"/>
          <w:szCs w:val="28"/>
          <w:u w:val="single"/>
        </w:rPr>
        <w:t>What?</w:t>
      </w:r>
    </w:p>
    <w:p w14:paraId="4F95A0DD" w14:textId="77777777" w:rsidR="00883E41" w:rsidRPr="000B2C05" w:rsidRDefault="00883E41" w:rsidP="00883E41">
      <w:pPr>
        <w:jc w:val="both"/>
        <w:rPr>
          <w:b/>
          <w:bCs/>
          <w:i/>
          <w:iCs/>
          <w:sz w:val="28"/>
          <w:szCs w:val="28"/>
          <w:u w:val="single"/>
        </w:rPr>
      </w:pPr>
    </w:p>
    <w:p w14:paraId="4E8063CD" w14:textId="1B192888" w:rsidR="00883E41" w:rsidRDefault="00883E41" w:rsidP="00883E41">
      <w:pPr>
        <w:jc w:val="both"/>
      </w:pPr>
      <w:r>
        <w:t>We initially attend</w:t>
      </w:r>
      <w:r w:rsidR="00A01680">
        <w:t>ed</w:t>
      </w:r>
      <w:r>
        <w:t xml:space="preserve"> a man’s home regarding a complaint of harassment he made towards his ex-partner. He showed us screenshots of messages and social media posts made by his ex-partner that are </w:t>
      </w:r>
      <w:proofErr w:type="gramStart"/>
      <w:r w:rsidR="00A01680">
        <w:t>were</w:t>
      </w:r>
      <w:proofErr w:type="gramEnd"/>
      <w:r>
        <w:t xml:space="preserve"> a malicious and offensive nature</w:t>
      </w:r>
      <w:r w:rsidR="00A01680">
        <w:t>,</w:t>
      </w:r>
      <w:r>
        <w:t xml:space="preserve"> intended to attack his reputation. The male explained that the route of their conflict is the lack access he has to his daughter, who currently resides with the mother. He also advised his concerns over his ex-partner’s mental health, explaining that her depression and anxiety could make her take drastic and desperate decisions. </w:t>
      </w:r>
    </w:p>
    <w:p w14:paraId="65AC97C9" w14:textId="77777777" w:rsidR="00883E41" w:rsidRDefault="00883E41" w:rsidP="00883E41">
      <w:pPr>
        <w:jc w:val="both"/>
      </w:pPr>
    </w:p>
    <w:p w14:paraId="2E81996C" w14:textId="698C27D0" w:rsidR="00883E41" w:rsidRDefault="00883E41" w:rsidP="00883E41">
      <w:pPr>
        <w:ind w:firstLine="720"/>
        <w:jc w:val="both"/>
      </w:pPr>
      <w:r>
        <w:t>We then attended at the female’s home where she gave counter</w:t>
      </w:r>
      <w:r w:rsidR="00A01680">
        <w:t xml:space="preserve"> harassment</w:t>
      </w:r>
      <w:r>
        <w:t xml:space="preserve"> allegations. She also outlined that her ex-partner suffers from substance abuse and alcoholism, whereby in some cases he would arrive at her home unwanted, causing her significant alarm and distress. As this was largely a civil matter, we arrived at the female’s home and gave suitable words of advice regarding the use of social media and explained the legislative intricacies of harassment. </w:t>
      </w:r>
    </w:p>
    <w:p w14:paraId="4460A78A" w14:textId="77777777" w:rsidR="00883E41" w:rsidRDefault="00883E41" w:rsidP="00883E41">
      <w:pPr>
        <w:ind w:firstLine="720"/>
        <w:jc w:val="both"/>
      </w:pPr>
    </w:p>
    <w:p w14:paraId="3CE797EE" w14:textId="4B0844F4" w:rsidR="00883E41" w:rsidRDefault="00883E41" w:rsidP="00883E41">
      <w:pPr>
        <w:ind w:firstLine="720"/>
        <w:jc w:val="both"/>
      </w:pPr>
      <w:r>
        <w:t xml:space="preserve">On both initial visits, the male and female were informed that Public Protection Notification (PPN) report would be filled out whereby partner agencies such as Social Services, Women’s Aid (Women’s Aid, 2015), and MIND would be informed to assist with concerns raised </w:t>
      </w:r>
      <w:r w:rsidRPr="00BC3092">
        <w:t>(www.mind.org.uk, n.d.)</w:t>
      </w:r>
      <w:r>
        <w:t xml:space="preserve">. </w:t>
      </w:r>
    </w:p>
    <w:p w14:paraId="174A2D18" w14:textId="77777777" w:rsidR="00883E41" w:rsidRDefault="00883E41" w:rsidP="00883E41">
      <w:pPr>
        <w:ind w:firstLine="720"/>
        <w:jc w:val="both"/>
      </w:pPr>
    </w:p>
    <w:p w14:paraId="1BBC5B2E" w14:textId="13B0AD24" w:rsidR="00883E41" w:rsidRDefault="00883E41" w:rsidP="00883E41">
      <w:pPr>
        <w:ind w:firstLine="720"/>
        <w:jc w:val="both"/>
      </w:pPr>
      <w:r>
        <w:t xml:space="preserve">I also outlined that within the report was the opportunity to answer the Domestic Abuse Stalking and Harassment (DASH) questions within the report. Both parties refused to answer DASH and I respected their </w:t>
      </w:r>
      <w:r>
        <w:lastRenderedPageBreak/>
        <w:t>decision as they did not wish to take the matter any further than being given a verbal warning and suitable words of advice.</w:t>
      </w:r>
    </w:p>
    <w:p w14:paraId="7BEEF320" w14:textId="77777777" w:rsidR="00883E41" w:rsidRDefault="00883E41" w:rsidP="00883E41">
      <w:pPr>
        <w:ind w:firstLine="720"/>
        <w:jc w:val="both"/>
      </w:pPr>
    </w:p>
    <w:p w14:paraId="2402C5C2" w14:textId="18F2038B" w:rsidR="00883E41" w:rsidRDefault="00883E41" w:rsidP="00883E41">
      <w:pPr>
        <w:ind w:firstLine="720"/>
        <w:jc w:val="both"/>
      </w:pPr>
      <w:r>
        <w:t xml:space="preserve">Two weeks passed and the female called me whilst I was at work through my police mobile phone. She wished to make a complaint of an historic sexual assault by the same ex-partner. I was aware that the woman was upset due to sounding distressed and irritated when speaking. Furthermore, she outlined that the previous allegations of the harassment had impacted her mental health to the point where she had to stop working and pause her university studies. Moreover, her complaint also outlined that she had dates which confirmed that the messages which were sent, were also historic and been dealt with previously by police. </w:t>
      </w:r>
    </w:p>
    <w:p w14:paraId="177EBB26" w14:textId="77777777" w:rsidR="00883E41" w:rsidRDefault="00883E41" w:rsidP="00883E41">
      <w:pPr>
        <w:ind w:firstLine="720"/>
        <w:jc w:val="both"/>
      </w:pPr>
    </w:p>
    <w:p w14:paraId="19697959" w14:textId="05F491A4" w:rsidR="00883E41" w:rsidRDefault="00883E41" w:rsidP="00883E41">
      <w:pPr>
        <w:ind w:firstLine="720"/>
        <w:jc w:val="both"/>
      </w:pPr>
      <w:r>
        <w:t xml:space="preserve">Ultimately, our previous intervention caused unintentional distress to the female who was </w:t>
      </w:r>
      <w:r w:rsidR="00451AB3">
        <w:t>also</w:t>
      </w:r>
      <w:r>
        <w:t xml:space="preserve"> the victim of a separate incident. After realising this on top of the sexual assault allegations, I provided her </w:t>
      </w:r>
      <w:r w:rsidR="00C73C6E">
        <w:t xml:space="preserve">with </w:t>
      </w:r>
      <w:r>
        <w:t xml:space="preserve">an enhanced service and access to further specialist support. </w:t>
      </w:r>
    </w:p>
    <w:p w14:paraId="33CFBA45" w14:textId="77777777" w:rsidR="00883E41" w:rsidRDefault="00883E41" w:rsidP="00883E41">
      <w:pPr>
        <w:ind w:firstLine="720"/>
        <w:jc w:val="both"/>
      </w:pPr>
    </w:p>
    <w:p w14:paraId="7E6104F3" w14:textId="45C3B713" w:rsidR="00883E41" w:rsidRDefault="00883E41" w:rsidP="00883E41">
      <w:pPr>
        <w:jc w:val="both"/>
        <w:rPr>
          <w:b/>
          <w:bCs/>
          <w:i/>
          <w:iCs/>
          <w:sz w:val="28"/>
          <w:szCs w:val="28"/>
          <w:u w:val="single"/>
        </w:rPr>
      </w:pPr>
      <w:r w:rsidRPr="000B2C05">
        <w:rPr>
          <w:b/>
          <w:bCs/>
          <w:i/>
          <w:iCs/>
          <w:sz w:val="28"/>
          <w:szCs w:val="28"/>
          <w:u w:val="single"/>
        </w:rPr>
        <w:t>So What?</w:t>
      </w:r>
    </w:p>
    <w:p w14:paraId="00533996" w14:textId="77777777" w:rsidR="005C7829" w:rsidRPr="000B2C05" w:rsidRDefault="005C7829" w:rsidP="00883E41">
      <w:pPr>
        <w:jc w:val="both"/>
        <w:rPr>
          <w:b/>
          <w:bCs/>
          <w:i/>
          <w:iCs/>
          <w:sz w:val="28"/>
          <w:szCs w:val="28"/>
          <w:u w:val="single"/>
        </w:rPr>
      </w:pPr>
    </w:p>
    <w:p w14:paraId="6B07D244" w14:textId="3A275087" w:rsidR="00883E41" w:rsidRDefault="00883E41" w:rsidP="00883E41">
      <w:pPr>
        <w:jc w:val="both"/>
      </w:pPr>
      <w:r>
        <w:t>To further understand the incident and the complexities of domestic abuse I consulted the Office of National Statistics Crime Survey for England and Wales (CSEW). In a survey ending in 2020, it outlined the prevalence of domestic violence as a police issue whereby it took a proportion of 18.3% of all offences in that year. Within that proportion, the CSEW outlined that out of that initial number violence against the person (37.8%) and sexual offences (18.7%) took up nearly two-thirds of total offences reported. What is more, is that when these percentages are translated into the number of people it effects, the picture shows the true extent that domestic abuse in society – taking up 1,459,663 incidents March 2020-March 2021</w:t>
      </w:r>
      <w:r w:rsidRPr="00E456BE">
        <w:t xml:space="preserve"> </w:t>
      </w:r>
      <w:r>
        <w:t>(</w:t>
      </w:r>
      <w:r w:rsidRPr="00E456BE">
        <w:t>Office for National Statistics</w:t>
      </w:r>
      <w:r>
        <w:t xml:space="preserve">, </w:t>
      </w:r>
      <w:r w:rsidRPr="00E456BE">
        <w:t>2021)</w:t>
      </w:r>
      <w:r>
        <w:t xml:space="preserve">. Moreover, when we take into account the Dark Figure of crime – the percentage of crimes not recorded due to a victim’s fear from repercussion, embarrassment and fear of double victimisation, being a repeat victim within a coercive and controlling relationship, or lack of awareness that they are a victim of crime – then the number of domestic related incidents is likely to be higher than the numbers currently projected </w:t>
      </w:r>
      <w:r w:rsidRPr="002964B7">
        <w:t>(</w:t>
      </w:r>
      <w:proofErr w:type="spellStart"/>
      <w:r w:rsidRPr="002964B7">
        <w:t>Asiama</w:t>
      </w:r>
      <w:proofErr w:type="spellEnd"/>
      <w:r w:rsidRPr="002964B7">
        <w:t xml:space="preserve"> and Zhong, 2022</w:t>
      </w:r>
      <w:r>
        <w:t xml:space="preserve">; </w:t>
      </w:r>
      <w:r w:rsidRPr="00856571">
        <w:t xml:space="preserve">Millar, </w:t>
      </w:r>
      <w:proofErr w:type="spellStart"/>
      <w:r w:rsidRPr="00856571">
        <w:t>Stermac</w:t>
      </w:r>
      <w:proofErr w:type="spellEnd"/>
      <w:r w:rsidRPr="00856571">
        <w:t>. and Addison, 2002).</w:t>
      </w:r>
    </w:p>
    <w:p w14:paraId="30897999" w14:textId="77777777" w:rsidR="00883E41" w:rsidRDefault="00883E41" w:rsidP="00883E41">
      <w:pPr>
        <w:jc w:val="both"/>
      </w:pPr>
    </w:p>
    <w:p w14:paraId="261A5B70" w14:textId="11492C14" w:rsidR="00883E41" w:rsidRDefault="00883E41" w:rsidP="00883E41">
      <w:pPr>
        <w:ind w:firstLine="720"/>
        <w:jc w:val="both"/>
      </w:pPr>
      <w:r>
        <w:t>With regard</w:t>
      </w:r>
      <w:r w:rsidR="00C73C6E">
        <w:t>s</w:t>
      </w:r>
      <w:r>
        <w:t xml:space="preserve"> to the sexual assault element, it was important for me to understand how best to support the female who have been a victim to a violent sexual assault. She had explained to me over the phone that the male came to her home unannounced and intoxicated, and after having gained entry to the address he overpowered the victim by strangling her before using his fingers to penetrate her vagina. Due to the highly invasive and violent nature of the crime, sexual assault victims “experience and express very intense emotions” (</w:t>
      </w:r>
      <w:proofErr w:type="spellStart"/>
      <w:r>
        <w:t>Bosma</w:t>
      </w:r>
      <w:proofErr w:type="spellEnd"/>
      <w:r>
        <w:t xml:space="preserve"> et al., 2018). </w:t>
      </w:r>
    </w:p>
    <w:p w14:paraId="257E68D8" w14:textId="77777777" w:rsidR="00883E41" w:rsidRDefault="00883E41" w:rsidP="00883E41">
      <w:pPr>
        <w:ind w:firstLine="720"/>
        <w:jc w:val="both"/>
      </w:pPr>
    </w:p>
    <w:p w14:paraId="5C329E58" w14:textId="70AAAD65" w:rsidR="00883E41" w:rsidRDefault="00883E41" w:rsidP="00883E41">
      <w:pPr>
        <w:ind w:firstLine="720"/>
        <w:jc w:val="both"/>
      </w:pPr>
      <w:r>
        <w:t xml:space="preserve">Consequently, I was acutely aware that given the limited contact method of a phone call, my tone of voice and interpersonal/conversational skills for presenting an empathetic and professional response was vital. Before this I had very little experience in responding to serious sexual assaults, but my previous role as Youth Worker had prepared me for highly emotional disclosures. As a result, I </w:t>
      </w:r>
      <w:r w:rsidR="004F6472">
        <w:t xml:space="preserve">actively and </w:t>
      </w:r>
      <w:r>
        <w:t xml:space="preserve">calmly listened to the female and validated her feelings so that she felt I </w:t>
      </w:r>
      <w:r w:rsidR="004F6472">
        <w:t>was giving</w:t>
      </w:r>
      <w:r>
        <w:t xml:space="preserve"> my full attention. In an ideal world, this disclosure would have been in person and while my initial offer for her to come to the police station was refused, I chose not to ask again in fear of disrupting her flow or aggravating her towards withdrawing the disclosure. </w:t>
      </w:r>
    </w:p>
    <w:p w14:paraId="07379DEA" w14:textId="77777777" w:rsidR="00883E41" w:rsidRDefault="00883E41" w:rsidP="00883E41">
      <w:pPr>
        <w:ind w:firstLine="720"/>
        <w:jc w:val="both"/>
      </w:pPr>
    </w:p>
    <w:p w14:paraId="1CF17AD3" w14:textId="7BB1DF2A" w:rsidR="00883E41" w:rsidRDefault="00883E41" w:rsidP="00883E41">
      <w:pPr>
        <w:jc w:val="both"/>
        <w:rPr>
          <w:b/>
          <w:bCs/>
          <w:i/>
          <w:iCs/>
          <w:sz w:val="28"/>
          <w:szCs w:val="28"/>
          <w:u w:val="single"/>
        </w:rPr>
      </w:pPr>
      <w:r w:rsidRPr="000B2C05">
        <w:rPr>
          <w:b/>
          <w:bCs/>
          <w:i/>
          <w:iCs/>
          <w:sz w:val="28"/>
          <w:szCs w:val="28"/>
          <w:u w:val="single"/>
        </w:rPr>
        <w:t>Now What?</w:t>
      </w:r>
    </w:p>
    <w:p w14:paraId="71CB4132" w14:textId="77777777" w:rsidR="00883E41" w:rsidRDefault="00883E41" w:rsidP="00883E41">
      <w:pPr>
        <w:jc w:val="both"/>
      </w:pPr>
    </w:p>
    <w:p w14:paraId="7701B6DB" w14:textId="1D910D95" w:rsidR="00883E41" w:rsidRDefault="00883E41" w:rsidP="00883E41">
      <w:pPr>
        <w:jc w:val="both"/>
      </w:pPr>
      <w:r>
        <w:t xml:space="preserve">Prior to the sexual assault complaint, the female initially outlined the effects our previous visit had on her mental health that caused her to take time away from work and her university studies. I felt responsible and wanted to rectify any reputational damage from a personal and organisational standpoint. Subsequently, I apologised for any unintentional harm that was caused. </w:t>
      </w:r>
    </w:p>
    <w:p w14:paraId="60C2CEB1" w14:textId="77777777" w:rsidR="00883E41" w:rsidRDefault="00883E41" w:rsidP="00883E41">
      <w:pPr>
        <w:jc w:val="both"/>
      </w:pPr>
    </w:p>
    <w:p w14:paraId="17D0F755" w14:textId="77777777" w:rsidR="00883E41" w:rsidRDefault="00883E41" w:rsidP="00883E41">
      <w:pPr>
        <w:ind w:firstLine="720"/>
        <w:jc w:val="both"/>
      </w:pPr>
      <w:r>
        <w:t xml:space="preserve">During the disclosure of the sexual assault, I was caught by surprise but remained professional and clam. As soon as the female gave a brief outline of the incident, I immediately offered for her to make a formal complaint. It was clear however that she had no interest in taking the matter any further due its historic nature. She felt that it would re-open trauma that she dealt with and saw no benefit to it disrupting her life at this point </w:t>
      </w:r>
      <w:r w:rsidRPr="00185B33">
        <w:t>(Miller, Markman and Handley, 2007)</w:t>
      </w:r>
      <w:r>
        <w:t>.</w:t>
      </w:r>
    </w:p>
    <w:p w14:paraId="4D4AF904" w14:textId="77777777" w:rsidR="00883E41" w:rsidRDefault="00883E41" w:rsidP="00883E41">
      <w:pPr>
        <w:ind w:firstLine="720"/>
        <w:jc w:val="both"/>
      </w:pPr>
    </w:p>
    <w:p w14:paraId="46AD3073" w14:textId="2C8033AB" w:rsidR="00883E41" w:rsidRDefault="00883E41" w:rsidP="00883E41">
      <w:pPr>
        <w:ind w:firstLine="720"/>
        <w:jc w:val="both"/>
      </w:pPr>
      <w:r>
        <w:lastRenderedPageBreak/>
        <w:br/>
      </w:r>
    </w:p>
    <w:p w14:paraId="7D288AEF" w14:textId="4CF00806" w:rsidR="00883E41" w:rsidRDefault="00883E41" w:rsidP="00883E41">
      <w:pPr>
        <w:ind w:firstLine="720"/>
        <w:jc w:val="both"/>
      </w:pPr>
      <w:r>
        <w:t xml:space="preserve">To </w:t>
      </w:r>
      <w:r w:rsidR="00C50E8B">
        <w:t>ensure</w:t>
      </w:r>
      <w:r>
        <w:t xml:space="preserve"> that the victim was making an informed decision over her refusal to report the incident, I explained the support that she was entitled to. I </w:t>
      </w:r>
      <w:proofErr w:type="spellStart"/>
      <w:r w:rsidR="00C50E8B">
        <w:t>oultined</w:t>
      </w:r>
      <w:proofErr w:type="spellEnd"/>
      <w:r>
        <w:t xml:space="preserve"> the Victim’s Code to the female and read from the Victim’s Code Leaflet to ensure that I did not forget any part of her entitlements, thus giving her the best chance of making a balanced decision going forward (Ministry of Justice, </w:t>
      </w:r>
      <w:proofErr w:type="gramStart"/>
      <w:r>
        <w:t>2005;</w:t>
      </w:r>
      <w:proofErr w:type="gramEnd"/>
      <w:r>
        <w:t xml:space="preserve"> Understanding your rights, n.d.). Within the Victims Code I explained that the female would receive regular investigation updates; potential compensation from any loss or travel costs incurred as a result of a future trial; a range of assistance measures that can be provided for them to arrive at court – </w:t>
      </w:r>
      <w:proofErr w:type="gramStart"/>
      <w:r>
        <w:t>e.g.</w:t>
      </w:r>
      <w:proofErr w:type="gramEnd"/>
      <w:r>
        <w:t xml:space="preserve"> disability access and transport. It was evident that the female did not wish to attend court due to worries about revisiting previous trauma and fear of double victimisation during the court pross and cross-examination, I explained how we could make it easier for her. This can be achieved through the enhanced service, wherein the victim has access to special measures to aid her attendance and experience in court. Now that the victim had all the options in front of her, her toned of voice became more relaxed and contemplative. I continued to reassure her that if she changed her mind </w:t>
      </w:r>
      <w:proofErr w:type="gramStart"/>
      <w:r>
        <w:t>at a later date</w:t>
      </w:r>
      <w:proofErr w:type="gramEnd"/>
      <w:r>
        <w:t xml:space="preserve"> that she would be able to make a formal complaint. The female was grateful for the support, and I further felt to empower her by validating her choice </w:t>
      </w:r>
      <w:r>
        <w:rPr>
          <w:i/>
          <w:iCs/>
        </w:rPr>
        <w:t>not</w:t>
      </w:r>
      <w:r>
        <w:t xml:space="preserve"> to report. Our force is victim led, which puts the onus and ownership on the victim to choose their course of action. </w:t>
      </w:r>
      <w:proofErr w:type="gramStart"/>
      <w:r>
        <w:t>As a consequence</w:t>
      </w:r>
      <w:proofErr w:type="gramEnd"/>
      <w:r w:rsidR="00D56521">
        <w:t>, I</w:t>
      </w:r>
      <w:r>
        <w:t xml:space="preserve"> respected her wishes and </w:t>
      </w:r>
      <w:r w:rsidR="00D56521">
        <w:t>did not</w:t>
      </w:r>
      <w:r>
        <w:t xml:space="preserve"> pressu</w:t>
      </w:r>
      <w:r w:rsidR="00D56521">
        <w:t>re her</w:t>
      </w:r>
      <w:r>
        <w:t xml:space="preserve"> further, they remained calm on the phone and happy to keep talking. </w:t>
      </w:r>
    </w:p>
    <w:p w14:paraId="41D0139D" w14:textId="77777777" w:rsidR="00883E41" w:rsidRDefault="00883E41" w:rsidP="00883E41">
      <w:pPr>
        <w:ind w:firstLine="720"/>
        <w:jc w:val="both"/>
      </w:pPr>
    </w:p>
    <w:p w14:paraId="1766E6E4" w14:textId="668D3AE9" w:rsidR="00883E41" w:rsidRDefault="00883E41" w:rsidP="00883E41">
      <w:pPr>
        <w:ind w:firstLine="720"/>
        <w:jc w:val="both"/>
      </w:pPr>
      <w:r>
        <w:t>Following this, I re-explained that I would be doing a 2</w:t>
      </w:r>
      <w:r w:rsidRPr="00123C9F">
        <w:rPr>
          <w:vertAlign w:val="superscript"/>
        </w:rPr>
        <w:t>nd</w:t>
      </w:r>
      <w:r>
        <w:t xml:space="preserve"> PPN and offered her DASH again, I outlined that this would provide further professional support to aid her with her emotional and psychological recovery from the sexual assault. This time the victim positively engaged with the 28 DASH questions </w:t>
      </w:r>
      <w:proofErr w:type="gramStart"/>
      <w:r>
        <w:t>and also</w:t>
      </w:r>
      <w:proofErr w:type="gramEnd"/>
      <w:r>
        <w:t xml:space="preserve"> consented to being part of the Victim Focus Referral support network. Moreover, I explained that the police service would be able to assist with advising the installation of outdoor security lights and cameras. This is known as ‘target hardening’ and would assist with reducing future potential harassment matters from her ex-partner and provide peace of mind to the victim about her home security. By providing a multi partner agency solution to her situation, the victim was able to receive a prompt and professional service that aided her situation. It is well documented through theory and practice that the sharing of information and partnership working yield higher rates of success than when agencies work in isolation (Tein, 2016). Consequently, I felt that any previous bad feeling towards the police service by the victim had been remedied due to my concerted efforts to help them feel safer and work towards bettering her mental health.</w:t>
      </w:r>
    </w:p>
    <w:p w14:paraId="5319E46B" w14:textId="77777777" w:rsidR="00883E41" w:rsidRDefault="00883E41" w:rsidP="00883E41">
      <w:pPr>
        <w:ind w:firstLine="720"/>
        <w:jc w:val="both"/>
      </w:pPr>
    </w:p>
    <w:p w14:paraId="61B47A3D" w14:textId="6F4FC149" w:rsidR="00883E41" w:rsidRDefault="00883E41" w:rsidP="00883E41">
      <w:pPr>
        <w:ind w:firstLine="720"/>
        <w:jc w:val="both"/>
      </w:pPr>
      <w:r>
        <w:t>From here I checked asked about the victim’s support network and explained that a support network that positively reacts to her would be vital for her recovery (Littleton, 2010). The female assured me that they had a close relationship with their mother and cousin. She spoke at length about the instrumental role they have played in supporting her. Although I was confident that the victim had the appropriate and sufficient levels of familial and professional support in place, I offered to be a further point of contact on a regular basis. I explained that it could take the form of a brief wellbeing meeting, where we discussed how she is reacting to support from partner agencies – Women’s Aid</w:t>
      </w:r>
      <w:r w:rsidR="00FF4B9B">
        <w:t xml:space="preserve"> (2015)</w:t>
      </w:r>
      <w:r>
        <w:t>, MIND</w:t>
      </w:r>
      <w:r w:rsidR="00FF4B9B">
        <w:t xml:space="preserve"> (MIND)</w:t>
      </w:r>
      <w:r>
        <w:t>, and Social Services. She accepted and we spoke over the phone on a weekly basis at pre-arranged times until the victim felt comfortable to withdraw.</w:t>
      </w:r>
    </w:p>
    <w:p w14:paraId="3A246FE6" w14:textId="77777777" w:rsidR="00883E41" w:rsidRDefault="00883E41" w:rsidP="00883E41">
      <w:pPr>
        <w:ind w:firstLine="720"/>
        <w:jc w:val="both"/>
      </w:pPr>
    </w:p>
    <w:p w14:paraId="63C265F4" w14:textId="22E591BD" w:rsidR="00883E41" w:rsidRDefault="00883E41" w:rsidP="00883E41">
      <w:pPr>
        <w:ind w:firstLine="720"/>
        <w:jc w:val="both"/>
      </w:pPr>
      <w:r>
        <w:t>I feel that central to the overall success of this incident was my effective application of several policing values within the Code of Ethics. Notably, public service; ownership; honesty and integrity; respect; and, consistently adhering to professional standards throughout the phone call (College of Policing, 2020).</w:t>
      </w:r>
    </w:p>
    <w:p w14:paraId="5C14C890" w14:textId="77777777" w:rsidR="00883E41" w:rsidRDefault="00883E41" w:rsidP="00883E41">
      <w:pPr>
        <w:ind w:firstLine="720"/>
        <w:jc w:val="both"/>
      </w:pPr>
    </w:p>
    <w:p w14:paraId="33CE1BC8" w14:textId="77777777" w:rsidR="00883E41" w:rsidRDefault="00883E41" w:rsidP="00883E41">
      <w:pPr>
        <w:ind w:firstLine="720"/>
        <w:jc w:val="both"/>
      </w:pPr>
      <w:r>
        <w:t xml:space="preserve">My high levels of commitment to public service by making the victim aware of the full range of support available and asking what they think may be useful allowed for informed decisions to be made that were catered to their needs. Moreover, by exhausting all alleyways of support from partner agencies and offering my own services with an empathetic and considerate approach, it allowed me to take ownership over mistakes that were made with the previous harassment allegations and rectify the situation as best as possible. Furthermore, I feel that by immediately apologising and taking responsibility for policing actions which had disrupted her life for the last two weeks, the victim was able to positively engage with me going forwards. This was imperative for a positive incident outcome, as well as the rebuilding of bridges of her relationship with the police service. I further feel this was achieved by my high levels of respect towards the victim, which in tandem with performing in a professional manner, I was able to calmly listen to her traumatic sexual assault and complete the relevant PPN and DASH. By remaining respectful and empathetic throughout, I was able to maintain a positive rapport. This was further supplemented by taking time to talk about topics that were unrelated to the incidents, such as university and her role as a nurse. Changing conversation topic while I was imputing her answers to DASH helped to alleviate any tensions and take the pressure </w:t>
      </w:r>
      <w:proofErr w:type="gramStart"/>
      <w:r>
        <w:t>off of</w:t>
      </w:r>
      <w:proofErr w:type="gramEnd"/>
      <w:r>
        <w:t xml:space="preserve"> the heavily emotional incident at hand. This allowed </w:t>
      </w:r>
      <w:r>
        <w:lastRenderedPageBreak/>
        <w:t xml:space="preserve">the victim time to relax and return to questions at her own pace, which benefitted the quality and descriptions therein. </w:t>
      </w:r>
    </w:p>
    <w:p w14:paraId="050C8ED8" w14:textId="77777777" w:rsidR="00883E41" w:rsidRDefault="00883E41" w:rsidP="00883E41">
      <w:pPr>
        <w:ind w:firstLine="720"/>
        <w:jc w:val="both"/>
      </w:pPr>
    </w:p>
    <w:p w14:paraId="4DD09703" w14:textId="245F3267" w:rsidR="00883E41" w:rsidRDefault="00883E41" w:rsidP="00883E41">
      <w:pPr>
        <w:jc w:val="both"/>
        <w:rPr>
          <w:b/>
          <w:bCs/>
          <w:i/>
          <w:iCs/>
          <w:sz w:val="28"/>
          <w:szCs w:val="28"/>
          <w:u w:val="single"/>
        </w:rPr>
      </w:pPr>
      <w:r>
        <w:rPr>
          <w:b/>
          <w:bCs/>
          <w:i/>
          <w:iCs/>
          <w:sz w:val="28"/>
          <w:szCs w:val="28"/>
          <w:u w:val="single"/>
        </w:rPr>
        <w:t xml:space="preserve">Reflections </w:t>
      </w:r>
    </w:p>
    <w:p w14:paraId="731D5715" w14:textId="77777777" w:rsidR="00883E41" w:rsidRPr="00357F7D" w:rsidRDefault="00883E41" w:rsidP="00883E41">
      <w:pPr>
        <w:jc w:val="both"/>
        <w:rPr>
          <w:b/>
          <w:bCs/>
          <w:i/>
          <w:iCs/>
          <w:sz w:val="28"/>
          <w:szCs w:val="28"/>
          <w:u w:val="single"/>
        </w:rPr>
      </w:pPr>
    </w:p>
    <w:p w14:paraId="563E1DD0" w14:textId="339622BC" w:rsidR="00883E41" w:rsidRDefault="00883E41" w:rsidP="00883E41">
      <w:pPr>
        <w:jc w:val="both"/>
      </w:pPr>
      <w:r>
        <w:t>A key</w:t>
      </w:r>
      <w:r w:rsidRPr="00383B9A">
        <w:rPr>
          <w:rFonts w:cs="Times New Roman"/>
        </w:rPr>
        <w:t xml:space="preserve"> issue was the impact of her ex-partner and police involvement in disrupting her life. This incident taught me to remain open-minded, regardless of what I am faced with. I felt that the initial contact with the male ex-partner, who was initially portrayed as the victim, blindside my approach when speaking to the female. Before this incident, I was unaware that harassment could be made through contact through third parties. Subsequently, I have taken time to learn the full extent of how harassment can be achieved so that I am better equipped to approach similar incidents in the future. Having realised that domestic related incidents can take many forms and have long-lasting impacts on </w:t>
      </w:r>
      <w:r>
        <w:t>its</w:t>
      </w:r>
      <w:r w:rsidRPr="00383B9A">
        <w:rPr>
          <w:rFonts w:cs="Times New Roman"/>
        </w:rPr>
        <w:t xml:space="preserve"> victims/survivors, I will continue to remind myself of this before arriving at an incident. Moreover, I have learned the importance of taking time to research the history o</w:t>
      </w:r>
      <w:r>
        <w:t xml:space="preserve">f any domestic related incidents at the address involving the persons concerned. This will give me a better picture of </w:t>
      </w:r>
      <w:r w:rsidR="00485FFA">
        <w:t xml:space="preserve">the </w:t>
      </w:r>
      <w:r>
        <w:t>relationship(s) involved and highlight previous concerns or police service contact made.</w:t>
      </w:r>
    </w:p>
    <w:p w14:paraId="46DE3EF4" w14:textId="77777777" w:rsidR="00883E41" w:rsidRDefault="00883E41" w:rsidP="00883E41">
      <w:pPr>
        <w:jc w:val="both"/>
      </w:pPr>
    </w:p>
    <w:p w14:paraId="280A9898" w14:textId="44D25C28" w:rsidR="00883E41" w:rsidRDefault="00883E41" w:rsidP="00883E41">
      <w:pPr>
        <w:ind w:firstLine="720"/>
        <w:jc w:val="both"/>
      </w:pPr>
      <w:r>
        <w:t>However, the most important element of the incident was ensuring that the female received an informed, professional, and empathic victims service when reporting her sexual assault. There had been significant reputation</w:t>
      </w:r>
      <w:r w:rsidR="00485FFA">
        <w:t>al</w:t>
      </w:r>
      <w:r>
        <w:t xml:space="preserve"> damage personal and organisational damage caused due to our initial attendance with regards to the harassment allegations. Consequently, I felt charged to take ownership to rectify the situation and provide as much support as possible to help further the victim’s case. What surprised me most was the victim’s willingness to disclose her assault to me, despite being a male officer. I believe that my success was down to my ability to maintain an apologetic and compassionate rapport with her when discussing the issues. This has built confidence within my verbal communication and interpersonal skills. Moreover, I now feel slightly more comfortable with asking personal questions with regards to a person’s genital area and maintaining high levels of professionalism and showing dignity throughout. </w:t>
      </w:r>
    </w:p>
    <w:p w14:paraId="4E4F769E" w14:textId="77777777" w:rsidR="00883E41" w:rsidRDefault="00883E41" w:rsidP="00883E41">
      <w:pPr>
        <w:ind w:firstLine="720"/>
        <w:jc w:val="both"/>
      </w:pPr>
    </w:p>
    <w:p w14:paraId="398CC581" w14:textId="59867CB0" w:rsidR="00883E41" w:rsidRDefault="00883E41" w:rsidP="00883E41">
      <w:pPr>
        <w:ind w:firstLine="720"/>
        <w:jc w:val="both"/>
      </w:pPr>
      <w:r>
        <w:t xml:space="preserve">Going forwards, when faced with victims of crime where the police have had a negative impact in their situation, I will continue to ownership and take responsibility of mine or the organisation’s actions. In this incident it was important for the victim to know that I was honest and had the integrity to admit that mistakes were made. However, I am aware that this is not always possible where the victim feels ‘wronged’ by the police and there must be a judgement call made on managing a person’s expectations. Therefore, this incident has shown me that when I have time to dedicate myself wholly to a victim, that my efforts do not go unnoticed and that it is important to make them fully aware of their entitlements. </w:t>
      </w:r>
    </w:p>
    <w:p w14:paraId="176A5E5B" w14:textId="77777777" w:rsidR="00883E41" w:rsidRDefault="00883E41" w:rsidP="00883E41">
      <w:pPr>
        <w:ind w:firstLine="720"/>
        <w:jc w:val="both"/>
      </w:pPr>
    </w:p>
    <w:p w14:paraId="6881A7DF" w14:textId="787104F4" w:rsidR="00883E41" w:rsidRDefault="00883E41" w:rsidP="00883E41">
      <w:pPr>
        <w:ind w:firstLine="720"/>
        <w:jc w:val="both"/>
      </w:pPr>
      <w:r>
        <w:t>In conclusion this incident has shown the importance of a police officer’s resilience and commitment to victims. It has also illustrated the necessity of explaining the Victims Code in aiding a victim fully understand the options that can be made available to them should they require them. By taking the time outline the code and further provisions in its entirety, allowed my victim to feel looked after and supported throughout the process. This resulted in a newly formed engagement to answer a PPN and DASH questionnaire, which enab</w:t>
      </w:r>
      <w:r>
        <w:t>led</w:t>
      </w:r>
      <w:r>
        <w:t xml:space="preserve"> her to receive the best chance of receiving help as outside agencies would be able to assess her situation from a more detailed perspective. As a result of my actions, I was therefore able to facilitate the next step towards the victim’s recovery by notifying outside partner agencies. Creating these partnerships and understanding one another will go a long way into helping victims in the future; </w:t>
      </w:r>
      <w:proofErr w:type="gramStart"/>
      <w:r>
        <w:t>and,</w:t>
      </w:r>
      <w:proofErr w:type="gramEnd"/>
      <w:r>
        <w:t xml:space="preserve"> is also necessary given the complexity of incidents such as this where professionals from multiple backgrounds are required </w:t>
      </w:r>
      <w:r w:rsidR="005C7829">
        <w:t xml:space="preserve">to work collectively </w:t>
      </w:r>
      <w:r>
        <w:t xml:space="preserve">(Tien, 2016). </w:t>
      </w:r>
    </w:p>
    <w:p w14:paraId="51121730" w14:textId="77777777" w:rsidR="00883E41" w:rsidRDefault="00883E41" w:rsidP="00883E41">
      <w:pPr>
        <w:ind w:firstLine="720"/>
      </w:pPr>
    </w:p>
    <w:p w14:paraId="3E106BF9" w14:textId="2B3B6547" w:rsidR="00883E41" w:rsidRDefault="00883E41" w:rsidP="00883E41">
      <w:pPr>
        <w:ind w:firstLine="720"/>
        <w:jc w:val="right"/>
      </w:pPr>
      <w:r>
        <w:t>Word Count: 262</w:t>
      </w:r>
      <w:r w:rsidR="00F22491">
        <w:t>2</w:t>
      </w: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74FF835" w14:textId="77777777" w:rsidR="007E2CF0" w:rsidRDefault="007E2CF0" w:rsidP="007E2CF0">
      <w:pPr>
        <w:ind w:firstLine="720"/>
        <w:jc w:val="both"/>
      </w:pPr>
      <w:bookmarkStart w:id="6" w:name="_Hlk106784722"/>
    </w:p>
    <w:p w14:paraId="01F1FD19" w14:textId="77777777" w:rsidR="007E2CF0" w:rsidRDefault="007E2CF0" w:rsidP="007E2CF0">
      <w:pPr>
        <w:jc w:val="both"/>
      </w:pPr>
      <w:r>
        <w:t xml:space="preserve">This essay will illustrate my role in a policing incident and explain how I have utilised the National Decision Model (NDM) and how discretion made an impact in the decision-making process. Furthermore, I will also outline how I have conducted the investigation and my management of offenders in the incident. Finally, I will be explaining what relevant policing values were most prominent during the incident. To discuss my thoughts and feelings over the incident, I will be using the Gibbs Reflective model during my illustrations (MindTools, 2019). </w:t>
      </w:r>
    </w:p>
    <w:p w14:paraId="3B875484" w14:textId="77777777" w:rsidR="007E2CF0" w:rsidRDefault="007E2CF0" w:rsidP="007E2CF0">
      <w:pPr>
        <w:ind w:firstLine="720"/>
        <w:jc w:val="both"/>
      </w:pPr>
    </w:p>
    <w:p w14:paraId="51C21AC7" w14:textId="545B232C" w:rsidR="007E2CF0" w:rsidRDefault="007E2CF0" w:rsidP="007E2CF0">
      <w:pPr>
        <w:ind w:firstLine="720"/>
        <w:jc w:val="both"/>
      </w:pPr>
      <w:r>
        <w:t xml:space="preserve">The NDM is a fundamental tool in a police officer’s arsenal and is used within all policing decisions. The crux of the NDM is to ensure that officers arrive at the best possible decisions and are taken from the best possible </w:t>
      </w:r>
      <w:proofErr w:type="gramStart"/>
      <w:r>
        <w:t>data-set</w:t>
      </w:r>
      <w:proofErr w:type="gramEnd"/>
      <w:r>
        <w:t xml:space="preserve">. Central to the NDM is the Code of Ethics (College of Policing, 2016), which ensures that officers conduct their decisions in accordance with the policing principles and values (GOV.UK, 2016). In essence, the NDM rationalises both what officers do as well as how they do it. </w:t>
      </w:r>
    </w:p>
    <w:p w14:paraId="47613FD4" w14:textId="77777777" w:rsidR="007E2CF0" w:rsidRDefault="007E2CF0" w:rsidP="007E2CF0">
      <w:pPr>
        <w:ind w:firstLine="720"/>
        <w:jc w:val="both"/>
      </w:pPr>
    </w:p>
    <w:p w14:paraId="1E8A386F" w14:textId="7538836E" w:rsidR="007E2CF0" w:rsidRDefault="007E2CF0" w:rsidP="007E2CF0">
      <w:pPr>
        <w:ind w:firstLine="720"/>
        <w:jc w:val="both"/>
      </w:pPr>
      <w:r>
        <w:t xml:space="preserve">Discretion is fundamental within the NDM and is the mechanism which aids an officer makes the most appropriate and proportionate decision from </w:t>
      </w:r>
      <w:proofErr w:type="gramStart"/>
      <w:r>
        <w:t>a number of</w:t>
      </w:r>
      <w:proofErr w:type="gramEnd"/>
      <w:r>
        <w:t xml:space="preserve"> options. Discretion can be based on the offence type and level, but also on a person’s attitude, as well as the best interests of the victim or public (</w:t>
      </w:r>
      <w:proofErr w:type="spellStart"/>
      <w:r>
        <w:t>Poyser</w:t>
      </w:r>
      <w:proofErr w:type="spellEnd"/>
      <w:r>
        <w:t>, 2004). A further factor I considered was police resources. When policing resources in an officer’s area are low, this may encourage them to use their discretion more for lower-level offences, such as giving suitable words of advice (SWOA) for minor traffic offences. This allows for incidents to be resolved in less formal ways where fines or SWOA are more appropriate as a resolution. Moreover, they are ‘softer’ forms of policing, and it helps build relationships between the police and the public as the police can be seen as reasonable and make proportionate decisions. Consequently, this enhances the reputation between the police and the public and helps maintain police presence within their area.</w:t>
      </w:r>
    </w:p>
    <w:p w14:paraId="141713B1" w14:textId="77777777" w:rsidR="007E2CF0" w:rsidRDefault="007E2CF0" w:rsidP="007E2CF0">
      <w:pPr>
        <w:ind w:firstLine="720"/>
        <w:jc w:val="both"/>
      </w:pPr>
    </w:p>
    <w:p w14:paraId="42CAB2C2" w14:textId="77777777" w:rsidR="007E2CF0" w:rsidRDefault="007E2CF0" w:rsidP="007E2CF0">
      <w:pPr>
        <w:ind w:firstLine="720"/>
        <w:jc w:val="both"/>
      </w:pPr>
      <w:r>
        <w:lastRenderedPageBreak/>
        <w:t>I was initially tasked to investigate two separate shoplifting incidents that occurred within the same week by the same person. The shoplifter was well known and was easily identified in person by the two shops in question. Nonetheless, I required further information for an effective case of evidence. Subsequently, I visited both shops to obtain witness statements, print off trading receipts, and download CCTV of the incidents. This provided me with a richer picture of the offence because I was able to clearly identify the aggrieved and extent of the financial loss, as well as be able to view how the offence took place. Furthermore, the CCTV footage provided several photographic stills which could be digitally examined. Although the stills were blurry due to the poor quality of the footage, the analysis returned with a partial match to the suspect in our police systems.</w:t>
      </w:r>
      <w:r>
        <w:rPr>
          <w:u w:val="single"/>
        </w:rPr>
        <w:t xml:space="preserve"> </w:t>
      </w:r>
      <w:r>
        <w:t>As a result of my thorough investigative actions, I had a body of evidence that provided me grounds to effect the arrest of the suspect and complete a casefile for the incident.</w:t>
      </w:r>
    </w:p>
    <w:p w14:paraId="37A3C2A1" w14:textId="7CE6F179" w:rsidR="007E2CF0" w:rsidRPr="00841AAD" w:rsidRDefault="007E2CF0" w:rsidP="007E2CF0">
      <w:pPr>
        <w:ind w:firstLine="720"/>
        <w:jc w:val="both"/>
        <w:rPr>
          <w:u w:val="single"/>
        </w:rPr>
      </w:pPr>
      <w:r>
        <w:t xml:space="preserve"> </w:t>
      </w:r>
    </w:p>
    <w:p w14:paraId="206E7F32" w14:textId="75773326" w:rsidR="007E2CF0" w:rsidRDefault="007E2CF0" w:rsidP="007E2CF0">
      <w:pPr>
        <w:jc w:val="both"/>
        <w:rPr>
          <w:b/>
          <w:sz w:val="28"/>
          <w:u w:val="single"/>
        </w:rPr>
      </w:pPr>
      <w:r w:rsidRPr="00CD2390">
        <w:rPr>
          <w:b/>
          <w:sz w:val="28"/>
          <w:u w:val="single"/>
        </w:rPr>
        <w:t>Unrelated Incident:</w:t>
      </w:r>
    </w:p>
    <w:p w14:paraId="78F2279F" w14:textId="77777777" w:rsidR="007E2CF0" w:rsidRDefault="007E2CF0" w:rsidP="007E2CF0">
      <w:pPr>
        <w:jc w:val="both"/>
        <w:rPr>
          <w:b/>
          <w:sz w:val="28"/>
          <w:u w:val="single"/>
        </w:rPr>
      </w:pPr>
    </w:p>
    <w:p w14:paraId="4A12596F" w14:textId="0BBAA041" w:rsidR="007E2CF0" w:rsidRDefault="007E2CF0" w:rsidP="007E2CF0">
      <w:pPr>
        <w:jc w:val="both"/>
      </w:pPr>
      <w:r>
        <w:t xml:space="preserve">I arrived at a Public Order related incident were a young family alleged their neighbour in the floor below had been verbally aggressive and extremely offensive towards them. Subsequently, as the couple had to pass their neighbour’s floor, they felt threatened and were vulnerable with their young child. The couple were visibly distressed and were both crying on arrival. </w:t>
      </w:r>
    </w:p>
    <w:p w14:paraId="11A28900" w14:textId="77777777" w:rsidR="007E2CF0" w:rsidRDefault="007E2CF0" w:rsidP="007E2CF0">
      <w:pPr>
        <w:ind w:firstLine="720"/>
        <w:jc w:val="both"/>
      </w:pPr>
    </w:p>
    <w:p w14:paraId="3CFDE0F9" w14:textId="25A2A115" w:rsidR="007E2CF0" w:rsidRDefault="007E2CF0" w:rsidP="007E2CF0">
      <w:pPr>
        <w:ind w:firstLine="720"/>
        <w:jc w:val="both"/>
      </w:pPr>
      <w:r>
        <w:t>I firstly empathised with the couple, as instances of anti-social behaviour can have long term impacts and it was important for them to feel I was invested in their situation (</w:t>
      </w:r>
      <w:r w:rsidRPr="008566A3">
        <w:t>Hop</w:t>
      </w:r>
      <w:r>
        <w:t xml:space="preserve">kins-Burke and Hodgson </w:t>
      </w:r>
      <w:r w:rsidRPr="008566A3">
        <w:t xml:space="preserve">2015). </w:t>
      </w:r>
      <w:r>
        <w:t xml:space="preserve">I then explained two routes of resolution: (1), to arrest their neighbour under Section 5 of the Public Order Act (legislation.gov.uk, 2014); (2), to warn the neighbour by giving SWOA. I also outlined the impacts of each route. (1) Would give a temporary solution by removing them for a brief </w:t>
      </w:r>
      <w:proofErr w:type="gramStart"/>
      <w:r>
        <w:t>period of time</w:t>
      </w:r>
      <w:proofErr w:type="gramEnd"/>
      <w:r>
        <w:t xml:space="preserve">, but it may have a negative long-term impact on their relationship as a whole. Whereas (2) would be a more restorative and peaceful path. I explained I would mediate their feelings to the neighbour and conclude with a warning to enforce the impact of the neighbour’s actions. </w:t>
      </w:r>
    </w:p>
    <w:p w14:paraId="6B0A786B" w14:textId="77777777" w:rsidR="007E2CF0" w:rsidRDefault="007E2CF0" w:rsidP="007E2CF0">
      <w:pPr>
        <w:ind w:firstLine="720"/>
        <w:jc w:val="both"/>
      </w:pPr>
    </w:p>
    <w:p w14:paraId="72AC8EA4" w14:textId="12B138B3" w:rsidR="007E2CF0" w:rsidRDefault="007E2CF0" w:rsidP="007E2CF0">
      <w:pPr>
        <w:ind w:firstLine="720"/>
        <w:jc w:val="both"/>
      </w:pPr>
      <w:r>
        <w:t xml:space="preserve">The couple agreed that SWOA would be a more beneficial long-term solution. Nonetheless, they were still worried about confronting their neighbour on route to their flat. I used the NDM to firstly scout the flat block route to their door. I found that the stairs continued all the way </w:t>
      </w:r>
      <w:proofErr w:type="gramStart"/>
      <w:r>
        <w:t>up, and</w:t>
      </w:r>
      <w:proofErr w:type="gramEnd"/>
      <w:r>
        <w:t xml:space="preserve"> providing nobody was at the end of their neighbour’s floor, the route would be safe. This safety measure allowed me to assess the noise and condition of the neighbour’s flat and make further assessments on any threat, risk, or harm that may present (TRH). With this information I was able to develop a working strategy: entering the flat first ahead of the couple, while my colleague followed with them; the distanced would allow me to confront any neighbours and provide a safe path and alert my colleague below if it was not safe; once at their neighbour’s door, I would remain there to prevent anyone following them up. I executed the plan without issue.</w:t>
      </w:r>
    </w:p>
    <w:p w14:paraId="33D8F7AE" w14:textId="77777777" w:rsidR="007E2CF0" w:rsidRDefault="007E2CF0" w:rsidP="007E2CF0">
      <w:pPr>
        <w:ind w:firstLine="720"/>
        <w:jc w:val="both"/>
      </w:pPr>
    </w:p>
    <w:p w14:paraId="60E90FC7" w14:textId="585758ED" w:rsidR="007E2CF0" w:rsidRDefault="007E2CF0" w:rsidP="007E2CF0">
      <w:pPr>
        <w:ind w:firstLine="720"/>
        <w:jc w:val="both"/>
      </w:pPr>
      <w:r>
        <w:t xml:space="preserve">I then spoke to the alleged neighbour, outlining the impact and effect of her actions. She explained that her friends were over and that they were responsible for the insults and behaviour. Nonetheless she took responsibility and was apologetic from my warning. </w:t>
      </w:r>
    </w:p>
    <w:p w14:paraId="29FB5BA2" w14:textId="2AF72008" w:rsidR="007E2CF0" w:rsidRDefault="007E2CF0" w:rsidP="007E2CF0">
      <w:pPr>
        <w:ind w:firstLine="720"/>
        <w:jc w:val="both"/>
      </w:pPr>
    </w:p>
    <w:p w14:paraId="6594A600" w14:textId="77777777" w:rsidR="007E2CF0" w:rsidRDefault="007E2CF0" w:rsidP="007E2CF0">
      <w:pPr>
        <w:ind w:firstLine="720"/>
        <w:jc w:val="both"/>
      </w:pPr>
    </w:p>
    <w:p w14:paraId="680F3C34" w14:textId="694DF8E8" w:rsidR="007E2CF0" w:rsidRDefault="007E2CF0" w:rsidP="007E2CF0">
      <w:pPr>
        <w:ind w:firstLine="720"/>
        <w:jc w:val="both"/>
      </w:pPr>
      <w:r>
        <w:t xml:space="preserve">Through my transparent and honest approach by providing options, I felt he couple’s involvement in the policing decision empowered them. I was calm throughout and leaned into my experience as mediator during my time in Youth Work and Education. Due to their empowerment, I felt further justified and happy to give SWOA, because we arrived at a solution together. </w:t>
      </w:r>
    </w:p>
    <w:p w14:paraId="6F52D8E2" w14:textId="77777777" w:rsidR="007E2CF0" w:rsidRDefault="007E2CF0" w:rsidP="007E2CF0">
      <w:pPr>
        <w:ind w:firstLine="720"/>
        <w:jc w:val="both"/>
      </w:pPr>
    </w:p>
    <w:p w14:paraId="2B857AD9" w14:textId="351EEF36" w:rsidR="007E2CF0" w:rsidRDefault="007E2CF0" w:rsidP="007E2CF0">
      <w:pPr>
        <w:ind w:firstLine="720"/>
        <w:jc w:val="both"/>
      </w:pPr>
      <w:r>
        <w:t>My use of discretion at this point was key, as the option to talk to the neighbour provided me a chance to communicate effectively and build rapport. Consequently, the neighbour had her guard down and started to speak back into her flat to one of her friends, which resulted in my theft suspect arriving from the property.</w:t>
      </w:r>
    </w:p>
    <w:p w14:paraId="7ECBBE3C" w14:textId="77777777" w:rsidR="007E2CF0" w:rsidRDefault="007E2CF0" w:rsidP="007E2CF0">
      <w:pPr>
        <w:ind w:firstLine="720"/>
        <w:jc w:val="both"/>
      </w:pPr>
    </w:p>
    <w:p w14:paraId="3AC69626" w14:textId="4F8B8BE7" w:rsidR="007E2CF0" w:rsidRDefault="007E2CF0" w:rsidP="007E2CF0">
      <w:pPr>
        <w:ind w:firstLine="720"/>
        <w:jc w:val="both"/>
      </w:pPr>
      <w:r>
        <w:t xml:space="preserve">Here I applied the NDM again and reviewed the changing situation. I feigned to the neighbour that I needed to confer with my colleague about something unrelated. So, we stepped back out of ear shot and I told him that the friend in the flat was my suspect and that I planned to arrest her. I considered the present TRH level. I believed that due to environmental impact factors such as the tight stairway corridors and the stairs themselves along with any residents who we may meet, that the suspect required to be handcuffed on arrest. My colleague agreed and we returned to the neighbour, asking her friend to come to the hallway. The suspect </w:t>
      </w:r>
      <w:r>
        <w:lastRenderedPageBreak/>
        <w:t xml:space="preserve">came willingly, and we spoke to confirm who she was and if she could corroborate her friend’s account of the incident.  </w:t>
      </w:r>
    </w:p>
    <w:p w14:paraId="3782EF31" w14:textId="77777777" w:rsidR="007E2CF0" w:rsidRDefault="007E2CF0" w:rsidP="007E2CF0">
      <w:pPr>
        <w:ind w:firstLine="720"/>
        <w:jc w:val="both"/>
      </w:pPr>
    </w:p>
    <w:p w14:paraId="6F7AF5EF" w14:textId="374ED540" w:rsidR="007E2CF0" w:rsidRDefault="007E2CF0" w:rsidP="007E2CF0">
      <w:pPr>
        <w:ind w:firstLine="720"/>
        <w:jc w:val="both"/>
      </w:pPr>
      <w:r>
        <w:t xml:space="preserve">I then checked the suspect’s date of birth, full name, with my electronic pocket notebook to search the individual on our police database. This allowed me to recycle the NDM a following time because I was able to confirm the identity of the suspect. With the suspect now identified, I explained that she was under arrest. Although the suspect was calm and compliant, I still believed that the application of handcuffs was necessary given the potential risk factor of being pushed down the stairs. As such, full control and compliance of the suspect was required to mitigate any TRH posed to any members of the public, my colleague, myself, or herself. The suspect was then arrested, cautioned, and handcuffed in line with Code G of PACE. </w:t>
      </w:r>
    </w:p>
    <w:p w14:paraId="6657C0C7" w14:textId="77777777" w:rsidR="007E2CF0" w:rsidRDefault="007E2CF0" w:rsidP="007E2CF0">
      <w:pPr>
        <w:ind w:firstLine="720"/>
        <w:jc w:val="both"/>
      </w:pPr>
    </w:p>
    <w:p w14:paraId="5B39D2A0" w14:textId="77777777" w:rsidR="007E2CF0" w:rsidRDefault="007E2CF0" w:rsidP="007E2CF0">
      <w:pPr>
        <w:ind w:firstLine="720"/>
        <w:jc w:val="both"/>
      </w:pPr>
      <w:r>
        <w:t xml:space="preserve">On the way to our van, I reviewed my actions and thought holistically about the whole investigation. While I felt a great sense of achievement from arresting my suspect for my first policing investigation, I felt that going to custody and putting the suspect through a formal process was unnecessary. </w:t>
      </w:r>
    </w:p>
    <w:p w14:paraId="54522741" w14:textId="09B6B647" w:rsidR="007E2CF0" w:rsidRDefault="007E2CF0" w:rsidP="007E2CF0">
      <w:pPr>
        <w:ind w:firstLine="720"/>
        <w:jc w:val="both"/>
      </w:pPr>
      <w:r>
        <w:t>Here, I used my discretion a second time and chose to de-arrest the suspect and conduct a contemporaneous interview (CI) in the hope of giving the woman a postal charge requisition. CI’s can be taken and recorded anywhere and help resolve lower-level crimes in a way that is both time and cost effective</w:t>
      </w:r>
      <w:r w:rsidRPr="00B314A1">
        <w:t xml:space="preserve"> (Health and Safety Executive, 2013)</w:t>
      </w:r>
      <w:r>
        <w:t>. This is because it does not impact resources at custody or at court, as the suspect is given a fine and the matter is finalised there and then.</w:t>
      </w:r>
    </w:p>
    <w:p w14:paraId="417B6E9A" w14:textId="77777777" w:rsidR="007E2CF0" w:rsidRDefault="007E2CF0" w:rsidP="007E2CF0">
      <w:pPr>
        <w:ind w:firstLine="720"/>
        <w:jc w:val="both"/>
      </w:pPr>
    </w:p>
    <w:p w14:paraId="6EB8CE5D" w14:textId="77777777" w:rsidR="007E2CF0" w:rsidRDefault="007E2CF0" w:rsidP="007E2CF0">
      <w:pPr>
        <w:ind w:firstLine="720"/>
        <w:jc w:val="both"/>
      </w:pPr>
      <w:r>
        <w:t>I explained my thoughts and feelings to my colleague in the front of the van and they agreed that given the offence and loss of items, the investigation could be disposed of through my alternative disposal proposal. I was cautious that our van was outside the suspect’s friend’s busy flat block, so we drove to street around the corner to increase our chances of a more successful interview and to allow privacy and respect for the suspect.</w:t>
      </w:r>
    </w:p>
    <w:p w14:paraId="42D1B940" w14:textId="4C1611B1" w:rsidR="007E2CF0" w:rsidRDefault="007E2CF0" w:rsidP="007E2CF0">
      <w:pPr>
        <w:ind w:firstLine="720"/>
        <w:jc w:val="both"/>
      </w:pPr>
      <w:r>
        <w:t xml:space="preserve">We stopped the van on a quiet street, and I explained to the woman that we would be conducting a CI. In one part this was to be transparent, but also to take an attitude test and assess her behaviour. My final use of the NDM here was to ensure that the suspect was willing and able to take part. Furthermore, this allowed me to gauge TRH and assess her body language before deciding to begin the interview. The suspect positively engaged with the idea of a CI and accepted that they were happy to receive a fine. As I had never conducted a CI before, my colleague instructed me where to find the appropriate form on my mobile phone and assisted me with creating several questions. </w:t>
      </w:r>
    </w:p>
    <w:p w14:paraId="05B19BE8" w14:textId="77777777" w:rsidR="007E2CF0" w:rsidRDefault="007E2CF0" w:rsidP="007E2CF0">
      <w:pPr>
        <w:ind w:firstLine="720"/>
        <w:jc w:val="both"/>
      </w:pPr>
    </w:p>
    <w:p w14:paraId="02BCA2A5" w14:textId="77777777" w:rsidR="007E2CF0" w:rsidRDefault="007E2CF0" w:rsidP="007E2CF0">
      <w:pPr>
        <w:ind w:firstLine="720"/>
        <w:jc w:val="both"/>
      </w:pPr>
      <w:r>
        <w:t xml:space="preserve">I began the CI </w:t>
      </w:r>
      <w:proofErr w:type="spellStart"/>
      <w:r>
        <w:t>byvactivating</w:t>
      </w:r>
      <w:proofErr w:type="spellEnd"/>
      <w:r>
        <w:t xml:space="preserve"> by body warn video camera to ensure that I had a record of the interview. This was necessary to comply with Codes E and F of the Police and Criminal Evidence Act (PACE) 1984 (Great Britain, Home Office, 2018). The two Codes ensure that police interviews be conducted with the aid of sound (E) and video (F) recordable devices. As a result, it would allow me to add the interview to the file of evidence as an exhibit.</w:t>
      </w:r>
    </w:p>
    <w:p w14:paraId="19B857FB" w14:textId="5D842A31" w:rsidR="007E2CF0" w:rsidRDefault="007E2CF0" w:rsidP="007E2CF0">
      <w:pPr>
        <w:ind w:firstLine="720"/>
        <w:jc w:val="both"/>
      </w:pPr>
      <w:r>
        <w:t xml:space="preserve">In line with Code C of PACE, I then cautioned the suspect and commenced the CI (Home Office, 2018). The CI resulted in the suspect admitting to both accounts of theft and explained that her reason for doing so was to sell the items to fund her drug habit. I felt sorry for the suspect and could see that her behaviour was one of desperation and provided her with contact details for Women’s Aid to help with her situation (Women’s Aid, 2015). </w:t>
      </w:r>
    </w:p>
    <w:p w14:paraId="325380E7" w14:textId="4884F55C" w:rsidR="007E2CF0" w:rsidRDefault="007E2CF0" w:rsidP="007E2CF0">
      <w:pPr>
        <w:ind w:firstLine="720"/>
        <w:jc w:val="both"/>
      </w:pPr>
    </w:p>
    <w:p w14:paraId="2FC5A34A" w14:textId="77777777" w:rsidR="007E2CF0" w:rsidRDefault="007E2CF0" w:rsidP="007E2CF0">
      <w:pPr>
        <w:ind w:firstLine="720"/>
        <w:jc w:val="both"/>
      </w:pPr>
    </w:p>
    <w:p w14:paraId="5013E8F7" w14:textId="76338BB0" w:rsidR="007E2CF0" w:rsidRDefault="007E2CF0" w:rsidP="007E2CF0">
      <w:pPr>
        <w:ind w:firstLine="720"/>
        <w:jc w:val="both"/>
      </w:pPr>
      <w:r>
        <w:t xml:space="preserve">Overall, I believe that my actions in both incidents were successful and effective. Key to their success was my use of discretion. </w:t>
      </w:r>
      <w:proofErr w:type="gramStart"/>
      <w:r>
        <w:t>Evidently,  my</w:t>
      </w:r>
      <w:proofErr w:type="gramEnd"/>
      <w:r>
        <w:t xml:space="preserve"> choice to dispose of the unrelated public order incident through SWOA provided me a positive rapport which subsequently led to my suspect. Nonetheless, my discretion and decision making were only as good as their delivery. As a result, my open and honest approach to the neighbour in the unrelated incident to actively listen to her, was essential to gaining strong rapport. During this incident I have learned that the crux of successful policing is the ability to effectively communicate and make decisions. Consequently, as shown by this incident, policing is not just </w:t>
      </w:r>
      <w:r w:rsidRPr="006E7F2A">
        <w:rPr>
          <w:i/>
          <w:iCs/>
        </w:rPr>
        <w:t>what</w:t>
      </w:r>
      <w:r>
        <w:t xml:space="preserve"> I do, but also </w:t>
      </w:r>
      <w:r>
        <w:rPr>
          <w:i/>
          <w:iCs/>
        </w:rPr>
        <w:t>how</w:t>
      </w:r>
      <w:r>
        <w:t xml:space="preserve"> I do it (</w:t>
      </w:r>
      <w:proofErr w:type="spellStart"/>
      <w:r>
        <w:t>Slowther</w:t>
      </w:r>
      <w:proofErr w:type="spellEnd"/>
      <w:r>
        <w:t xml:space="preserve">, 2014). </w:t>
      </w:r>
    </w:p>
    <w:p w14:paraId="3282C31E" w14:textId="77777777" w:rsidR="007E2CF0" w:rsidRDefault="007E2CF0" w:rsidP="007E2CF0">
      <w:pPr>
        <w:ind w:firstLine="720"/>
        <w:jc w:val="both"/>
      </w:pPr>
    </w:p>
    <w:p w14:paraId="26DD1FBA" w14:textId="5ADF18A3" w:rsidR="007E2CF0" w:rsidRDefault="007E2CF0" w:rsidP="007E2CF0">
      <w:pPr>
        <w:ind w:firstLine="720"/>
        <w:jc w:val="both"/>
      </w:pPr>
      <w:r>
        <w:t>It is clear, therefore, why the Code of Ethics is central to the NDM (College of Policing, 2016). My application of Public Service and Transparency encouraged me to actively listen and understand the feelings of the aggrieved. As a result, I was able to involve them in the incident resolution process by explaining potential impacts. This meant they could make an informed decision that was catered to their best interests.</w:t>
      </w:r>
    </w:p>
    <w:p w14:paraId="3BC10041" w14:textId="77777777" w:rsidR="007E2CF0" w:rsidRDefault="007E2CF0" w:rsidP="007E2CF0">
      <w:pPr>
        <w:ind w:firstLine="720"/>
        <w:jc w:val="both"/>
      </w:pPr>
    </w:p>
    <w:p w14:paraId="0C16EDCD" w14:textId="2C215126" w:rsidR="007E2CF0" w:rsidRDefault="007E2CF0" w:rsidP="007E2CF0">
      <w:pPr>
        <w:ind w:firstLine="720"/>
        <w:jc w:val="both"/>
      </w:pPr>
      <w:r>
        <w:lastRenderedPageBreak/>
        <w:t xml:space="preserve"> I remained selfless for the couple’s safety by making the choice to scope out the path to their flat, as this enabled me to assess the THR posed. The NDM was paramount, therefore, as it focused my attention </w:t>
      </w:r>
      <w:proofErr w:type="gramStart"/>
      <w:r>
        <w:t>towards</w:t>
      </w:r>
      <w:proofErr w:type="gramEnd"/>
      <w:r>
        <w:t xml:space="preserve"> a safe entry strategy plan that was developed by further information gathering during the scope. </w:t>
      </w:r>
    </w:p>
    <w:p w14:paraId="1532D9ED" w14:textId="77777777" w:rsidR="007E2CF0" w:rsidRDefault="007E2CF0" w:rsidP="007E2CF0">
      <w:pPr>
        <w:ind w:firstLine="720"/>
        <w:jc w:val="both"/>
      </w:pPr>
    </w:p>
    <w:p w14:paraId="66AD9308" w14:textId="1D2B6450" w:rsidR="007E2CF0" w:rsidRDefault="007E2CF0" w:rsidP="007E2CF0">
      <w:pPr>
        <w:ind w:firstLine="720"/>
        <w:jc w:val="both"/>
      </w:pPr>
      <w:r>
        <w:t>The NDM enabled me to rationalise and justify my decisions when considering potential contingency issues. For instance, I felt justified to handcuff my suspect despite their initial compliant behaviour, because the impact factor of the stairs meant that any change in behaviour of the suspect would cause a rise in TRH. As such, I effectively removed the person’s ability to push my colleague or I down the stairs if their behaviour changed. Through the NDM and the application of handcuffs, it effectively mitigated TRH through rationalised option and contingency considerations.</w:t>
      </w:r>
    </w:p>
    <w:p w14:paraId="24B4189F" w14:textId="77777777" w:rsidR="007E2CF0" w:rsidRDefault="007E2CF0" w:rsidP="007E2CF0">
      <w:pPr>
        <w:ind w:firstLine="720"/>
        <w:jc w:val="both"/>
      </w:pPr>
    </w:p>
    <w:p w14:paraId="2BEE97A3" w14:textId="3D6AE5D5" w:rsidR="007E2CF0" w:rsidRDefault="007E2CF0" w:rsidP="007E2CF0">
      <w:pPr>
        <w:ind w:firstLine="720"/>
        <w:jc w:val="both"/>
      </w:pPr>
      <w:r>
        <w:t xml:space="preserve">Reviewing my decision making during an incident was equally as important. By stopping to think about the disposal of the theft incident and use my discretion for CI and forthcoming postal charge requisition, it provided an effective solution that benefitted all parties. Firstly, the disposal method was more suitable and aligned with the extent of the offence. Secondly, it helped to build a more positive relationship between the police and the suspect, as they were able to see that they were treated fairly in line with their offence. Thirdly, by finalising the incident in this manner it allowed us to remain as an active resource and maintain our policing presence in our area. </w:t>
      </w:r>
    </w:p>
    <w:p w14:paraId="48FFECC7" w14:textId="77777777" w:rsidR="007E2CF0" w:rsidRDefault="007E2CF0" w:rsidP="007E2CF0">
      <w:pPr>
        <w:ind w:firstLine="720"/>
        <w:jc w:val="both"/>
      </w:pPr>
    </w:p>
    <w:p w14:paraId="7B3C1A1C" w14:textId="47AFC158" w:rsidR="007E2CF0" w:rsidRDefault="007E2CF0" w:rsidP="007E2CF0">
      <w:pPr>
        <w:ind w:firstLine="720"/>
        <w:jc w:val="both"/>
      </w:pPr>
      <w:r>
        <w:t xml:space="preserve">Furthermore, my review process helped me consider any biases within my decision-making process. Nonetheless, my decision to dispose of the incident this way was proportionate to the offences committed. Throughout my choices to use discretion, I constantly assessed the behaviour and attitude of both the neighbour, and later, my suspect. Any changes in their demeanour may have resulted in taking more punitive action or a firmer approach (Martin, 2020). During our return to the police van with my suspect, I considered bias when deciding that a CI was the best course of disposal. This decision was based on the location bias, as we were outside the flat where the suspect’s friend lived. </w:t>
      </w:r>
      <w:proofErr w:type="gramStart"/>
      <w:r>
        <w:t>In order to</w:t>
      </w:r>
      <w:proofErr w:type="gramEnd"/>
      <w:r>
        <w:t xml:space="preserve"> remove that issue and obtain a more professional CI recording, we moved to a quieter street, which mitigated that bias entirely. The decision to have a CI was also based on my considerations of increased risk-taking activity that the female may undertake to fund her drug habit, such as prostitution or violence (Caputo and King, 2015;</w:t>
      </w:r>
      <w:r w:rsidRPr="00415412">
        <w:t xml:space="preserve"> </w:t>
      </w:r>
      <w:r>
        <w:t xml:space="preserve">James, </w:t>
      </w:r>
      <w:proofErr w:type="spellStart"/>
      <w:r>
        <w:t>Gosho</w:t>
      </w:r>
      <w:proofErr w:type="spellEnd"/>
      <w:r>
        <w:t xml:space="preserve">, and Wohl, </w:t>
      </w:r>
      <w:r w:rsidRPr="00415412">
        <w:t xml:space="preserve">1979). </w:t>
      </w:r>
      <w:r>
        <w:t xml:space="preserve"> With the experience of custody or firmer police action, this may encourage the female to take further risks in the future. My discretion was multi-pronged, therefore, and used to limit future and further risk to the female, as well as use our time effectively in consideration of policing resources. </w:t>
      </w:r>
    </w:p>
    <w:p w14:paraId="3C9937F8" w14:textId="77777777" w:rsidR="007E2CF0" w:rsidRDefault="007E2CF0" w:rsidP="007E2CF0">
      <w:pPr>
        <w:ind w:firstLine="720"/>
        <w:jc w:val="both"/>
      </w:pPr>
    </w:p>
    <w:p w14:paraId="4BC29277" w14:textId="7354AD23" w:rsidR="007E2CF0" w:rsidRDefault="007E2CF0" w:rsidP="007E2CF0">
      <w:pPr>
        <w:ind w:firstLine="720"/>
        <w:jc w:val="both"/>
      </w:pPr>
      <w:r w:rsidRPr="00871A78">
        <w:t>My ability to stop and review the incident and utilise the full extent of the NDM has significantly increased my decision</w:t>
      </w:r>
      <w:r>
        <w:t>-</w:t>
      </w:r>
      <w:r w:rsidRPr="00871A78">
        <w:t xml:space="preserve">making confidence. Choosing to give an alternative disposal has taught me the importance of holistic reflection and taking proportionate steps to resolving investigations. Before I had only noticed the negative response that arrested subjects had towards officers. However, </w:t>
      </w:r>
      <w:r>
        <w:t>by</w:t>
      </w:r>
      <w:r w:rsidRPr="00871A78">
        <w:t xml:space="preserve"> de-arres</w:t>
      </w:r>
      <w:r>
        <w:t>ting</w:t>
      </w:r>
      <w:r w:rsidRPr="00871A78">
        <w:t xml:space="preserve"> </w:t>
      </w:r>
      <w:r>
        <w:t>for the</w:t>
      </w:r>
      <w:r w:rsidRPr="00871A78">
        <w:t xml:space="preserve"> CI, I was reminded that we’re all human we can all make bad choices. I too had a choice to make and by thinking about the potential impact of a more punitive response such as custody, I felt my discretion to use a CI would hopefully reduce the risk</w:t>
      </w:r>
      <w:r>
        <w:t>-</w:t>
      </w:r>
      <w:r w:rsidRPr="00871A78">
        <w:t xml:space="preserve">taking potential of my subject in the future. This incident has slightly improved my decision making, but more importantly it has highlighted to me my lack of knowledge in the range of alternative disposals that an officer can use. Going forwards I will be speaking to colleagues for examples where they have used discretion and learn each’s </w:t>
      </w:r>
      <w:proofErr w:type="gramStart"/>
      <w:r w:rsidRPr="00871A78">
        <w:t>process</w:t>
      </w:r>
      <w:proofErr w:type="gramEnd"/>
      <w:r w:rsidRPr="00871A78">
        <w:t xml:space="preserve"> to familiarise myself for future application.</w:t>
      </w:r>
    </w:p>
    <w:p w14:paraId="128306FD" w14:textId="77777777" w:rsidR="007E2CF0" w:rsidRDefault="007E2CF0" w:rsidP="007E2CF0">
      <w:pPr>
        <w:ind w:firstLine="720"/>
        <w:jc w:val="both"/>
      </w:pPr>
    </w:p>
    <w:p w14:paraId="0279C776" w14:textId="77777777" w:rsidR="007E2CF0" w:rsidRDefault="007E2CF0" w:rsidP="007E2CF0">
      <w:pPr>
        <w:ind w:firstLine="720"/>
        <w:jc w:val="both"/>
      </w:pPr>
      <w:r>
        <w:t xml:space="preserve">In conclusion I have learned that discretion is a vital tool in the application of the NDM that benefits all service users and policing. Discretion is imperative in making proportionate choices and assessing TRH so that officers can maintain policing presence. Alternative disposal methods are fundamental for this reason, but they also enhance our relationship with the public by highlighting our ability to be fair and reasonable. </w:t>
      </w:r>
    </w:p>
    <w:p w14:paraId="14E5A062" w14:textId="77777777" w:rsidR="007E2CF0" w:rsidRDefault="007E2CF0" w:rsidP="007E2CF0">
      <w:pPr>
        <w:ind w:firstLine="720"/>
        <w:jc w:val="both"/>
      </w:pPr>
    </w:p>
    <w:p w14:paraId="48469104" w14:textId="77777777" w:rsidR="007E2CF0" w:rsidRPr="0099052E" w:rsidRDefault="007E2CF0" w:rsidP="007E2CF0">
      <w:pPr>
        <w:ind w:firstLine="720"/>
        <w:jc w:val="right"/>
      </w:pPr>
      <w:r>
        <w:t xml:space="preserve"> </w:t>
      </w:r>
      <w:bookmarkEnd w:id="6"/>
      <w:r>
        <w:t>Word Count: 2723</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8668CD">
          <w:headerReference w:type="even" r:id="rId24"/>
          <w:headerReference w:type="default" r:id="rId25"/>
          <w:footerReference w:type="even" r:id="rId26"/>
          <w:footerReference w:type="default" r:id="rId27"/>
          <w:headerReference w:type="first" r:id="rId28"/>
          <w:footerReference w:type="first" r:id="rId29"/>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32CBB0C5" w14:textId="56F50BDE" w:rsidR="00575A8F" w:rsidRDefault="00E607C3" w:rsidP="00E6298B">
            <w:pPr>
              <w:ind w:right="107"/>
              <w:jc w:val="both"/>
              <w:rPr>
                <w:sz w:val="24"/>
                <w:szCs w:val="24"/>
              </w:rPr>
            </w:pPr>
            <w:r>
              <w:rPr>
                <w:sz w:val="24"/>
                <w:szCs w:val="24"/>
              </w:rPr>
              <w:t xml:space="preserve">Threat, Risk, and Harm: </w:t>
            </w:r>
          </w:p>
          <w:p w14:paraId="11D51CD1" w14:textId="77777777" w:rsidR="00E607C3" w:rsidRPr="00270EEB" w:rsidRDefault="00E607C3" w:rsidP="00E6298B">
            <w:pPr>
              <w:ind w:right="107"/>
              <w:jc w:val="both"/>
              <w:rPr>
                <w:sz w:val="24"/>
                <w:szCs w:val="24"/>
              </w:rPr>
            </w:pPr>
          </w:p>
          <w:p w14:paraId="633F85A6" w14:textId="3AB8A538" w:rsidR="0089650E" w:rsidRPr="00710F47" w:rsidRDefault="0089650E" w:rsidP="0089650E"/>
          <w:p w14:paraId="16F7138A" w14:textId="563EC5A6" w:rsidR="0089650E" w:rsidRDefault="0089650E" w:rsidP="0089650E">
            <w:pPr>
              <w:rPr>
                <w:u w:val="single"/>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4A4D90B7" w14:textId="77777777" w:rsidR="00147473" w:rsidRDefault="00E607C3" w:rsidP="00E607C3">
            <w:r>
              <w:t>When and where practicable, research who and where we are going on police systems before arriving at an incident and/or check on arrival if incident arises from proactive policing.</w:t>
            </w:r>
          </w:p>
          <w:p w14:paraId="7DE732DD" w14:textId="77777777" w:rsidR="00147473" w:rsidRDefault="00147473" w:rsidP="00E607C3"/>
          <w:p w14:paraId="1900F102" w14:textId="1CB59A25" w:rsidR="00147473" w:rsidRDefault="00E607C3" w:rsidP="00E607C3">
            <w:r>
              <w:t xml:space="preserve"> This will provide me with a strong and effective start to the National Decision Model process, as I will have gained the best possible information to make a strategy for the incident. It will afford me the ability to consider several options or approaches to a person. </w:t>
            </w:r>
          </w:p>
          <w:p w14:paraId="024C34FA" w14:textId="77777777" w:rsidR="00147473" w:rsidRDefault="00147473" w:rsidP="00E607C3"/>
          <w:p w14:paraId="1DADB392" w14:textId="542AA015" w:rsidR="00E607C3" w:rsidRDefault="00E607C3" w:rsidP="00E607C3">
            <w:r>
              <w:t xml:space="preserve">Moreover, if the information returns with indications that a person has a warrant for their arrest, it allows me to further those processes and aid my colleagues who are in pursual of a subject’s arrest. </w:t>
            </w:r>
          </w:p>
          <w:p w14:paraId="44E9A693" w14:textId="77777777" w:rsidR="00147473" w:rsidRDefault="00147473" w:rsidP="00E607C3"/>
          <w:p w14:paraId="3659CBD5" w14:textId="77777777" w:rsidR="00147473" w:rsidRDefault="00E607C3" w:rsidP="00E607C3">
            <w:r>
              <w:t xml:space="preserve">This will provide an insight to antecedent risk factors and warning markers that can be taken into account when assessing the </w:t>
            </w:r>
            <w:proofErr w:type="gramStart"/>
            <w:r>
              <w:t>persons</w:t>
            </w:r>
            <w:proofErr w:type="gramEnd"/>
            <w:r>
              <w:t xml:space="preserve"> I am dealing with and the environments I am working in. </w:t>
            </w:r>
          </w:p>
          <w:p w14:paraId="0C498645" w14:textId="77777777" w:rsidR="00147473" w:rsidRDefault="00147473" w:rsidP="00E607C3"/>
          <w:p w14:paraId="2BCEB810" w14:textId="2DED8664" w:rsidR="00E607C3" w:rsidRDefault="00E607C3" w:rsidP="00E607C3">
            <w:r>
              <w:lastRenderedPageBreak/>
              <w:t>For instance, a subject may be a drug user and be known to carry hypodermic needles, this information would indicate potential threat risk and harm impact factors such as: needles too be used as a weapon; the potential for the use of controlled substances at the time; the subject may have a strand of hepatitis, which would remind officers to be cautious fluids such as spittle and blood; and, caution for searching an individual with extra care.</w:t>
            </w:r>
          </w:p>
          <w:p w14:paraId="2C5FB852" w14:textId="58A71A6D" w:rsidR="00FC5094" w:rsidRPr="00270EEB" w:rsidRDefault="00FC5094" w:rsidP="00E6298B">
            <w:pPr>
              <w:ind w:right="107"/>
              <w:jc w:val="both"/>
              <w:rPr>
                <w:sz w:val="24"/>
                <w:szCs w:val="24"/>
              </w:rPr>
            </w:pPr>
          </w:p>
        </w:tc>
        <w:tc>
          <w:tcPr>
            <w:tcW w:w="2426" w:type="dxa"/>
            <w:shd w:val="clear" w:color="auto" w:fill="auto"/>
          </w:tcPr>
          <w:p w14:paraId="04E9CE68" w14:textId="49F04994" w:rsidR="00E607C3" w:rsidRDefault="00E607C3" w:rsidP="00E607C3">
            <w:r>
              <w:lastRenderedPageBreak/>
              <w:t>Colleagues at the Public Service Centre.</w:t>
            </w:r>
          </w:p>
          <w:p w14:paraId="22439E24" w14:textId="77777777" w:rsidR="00E607C3" w:rsidRDefault="00E607C3" w:rsidP="00E607C3"/>
          <w:p w14:paraId="18A015BE" w14:textId="171689B9" w:rsidR="00E607C3" w:rsidRDefault="00E607C3" w:rsidP="00E607C3">
            <w:r>
              <w:t>Police systems such as Niche and the Police National Computer.</w:t>
            </w:r>
          </w:p>
          <w:p w14:paraId="56AE2BFD" w14:textId="77777777" w:rsidR="00E607C3" w:rsidRDefault="00E607C3" w:rsidP="00E607C3"/>
          <w:p w14:paraId="506EE912" w14:textId="77777777" w:rsidR="00E607C3" w:rsidRPr="00710F47" w:rsidRDefault="00E607C3" w:rsidP="00E607C3">
            <w:r>
              <w:t>Asking experienced colleagues who are familiar with the area and persons involved.</w:t>
            </w:r>
          </w:p>
          <w:p w14:paraId="19D783AE" w14:textId="77777777" w:rsidR="00FC5094" w:rsidRDefault="00FC5094" w:rsidP="00E6298B">
            <w:pPr>
              <w:ind w:right="107"/>
              <w:jc w:val="both"/>
              <w:rPr>
                <w:sz w:val="24"/>
                <w:szCs w:val="24"/>
              </w:rPr>
            </w:pPr>
          </w:p>
          <w:p w14:paraId="6F2EF39C" w14:textId="69B68349" w:rsidR="00FC5094" w:rsidRPr="00270EEB" w:rsidRDefault="00FC5094" w:rsidP="00E6298B">
            <w:pPr>
              <w:ind w:right="107"/>
              <w:jc w:val="both"/>
              <w:rPr>
                <w:sz w:val="24"/>
                <w:szCs w:val="24"/>
              </w:rPr>
            </w:pPr>
          </w:p>
        </w:tc>
        <w:tc>
          <w:tcPr>
            <w:tcW w:w="2426" w:type="dxa"/>
            <w:shd w:val="clear" w:color="auto" w:fill="auto"/>
          </w:tcPr>
          <w:p w14:paraId="793CED5B" w14:textId="77777777" w:rsidR="00E607C3" w:rsidRDefault="00E607C3" w:rsidP="00E607C3">
            <w:pPr>
              <w:rPr>
                <w:u w:val="single"/>
              </w:rPr>
            </w:pPr>
            <w:r w:rsidRPr="00710F47">
              <w:rPr>
                <w:u w:val="single"/>
              </w:rPr>
              <w:t xml:space="preserve">SMART target: </w:t>
            </w:r>
          </w:p>
          <w:p w14:paraId="316AC33B" w14:textId="77777777" w:rsidR="00E607C3" w:rsidRDefault="00E607C3" w:rsidP="00E607C3">
            <w:r>
              <w:t>Specific</w:t>
            </w:r>
          </w:p>
          <w:p w14:paraId="54744AC8" w14:textId="77777777" w:rsidR="00147473" w:rsidRDefault="00147473" w:rsidP="00147473">
            <w:pPr>
              <w:overflowPunct/>
              <w:autoSpaceDE/>
              <w:autoSpaceDN/>
              <w:adjustRightInd/>
              <w:spacing w:after="160" w:line="259" w:lineRule="auto"/>
              <w:textAlignment w:val="auto"/>
            </w:pPr>
          </w:p>
          <w:p w14:paraId="67D07BFB" w14:textId="663C46B1" w:rsidR="00E607C3" w:rsidRDefault="00E607C3" w:rsidP="00147473">
            <w:pPr>
              <w:overflowPunct/>
              <w:autoSpaceDE/>
              <w:autoSpaceDN/>
              <w:adjustRightInd/>
              <w:spacing w:after="160" w:line="259" w:lineRule="auto"/>
              <w:textAlignment w:val="auto"/>
            </w:pPr>
            <w:r>
              <w:t>Researching the persons and environment I am entering as soon as practicable, ideally prior to entry so I can develop a working strategy.</w:t>
            </w:r>
          </w:p>
          <w:p w14:paraId="3170E033" w14:textId="77777777" w:rsidR="00C95867" w:rsidRDefault="00C95867" w:rsidP="00147473">
            <w:pPr>
              <w:overflowPunct/>
              <w:autoSpaceDE/>
              <w:autoSpaceDN/>
              <w:adjustRightInd/>
              <w:spacing w:after="160" w:line="259" w:lineRule="auto"/>
              <w:textAlignment w:val="auto"/>
            </w:pPr>
          </w:p>
          <w:p w14:paraId="44314C50" w14:textId="77777777" w:rsidR="00E607C3" w:rsidRDefault="00E607C3" w:rsidP="00E607C3">
            <w:r>
              <w:t xml:space="preserve">Measurable </w:t>
            </w:r>
          </w:p>
          <w:p w14:paraId="72869166" w14:textId="77777777" w:rsidR="00147473" w:rsidRDefault="00147473" w:rsidP="00147473">
            <w:pPr>
              <w:overflowPunct/>
              <w:autoSpaceDE/>
              <w:autoSpaceDN/>
              <w:adjustRightInd/>
              <w:spacing w:after="160" w:line="259" w:lineRule="auto"/>
              <w:textAlignment w:val="auto"/>
            </w:pPr>
          </w:p>
          <w:p w14:paraId="324963C4" w14:textId="6F15B68A" w:rsidR="00E607C3" w:rsidRDefault="00E607C3" w:rsidP="00147473">
            <w:pPr>
              <w:overflowPunct/>
              <w:autoSpaceDE/>
              <w:autoSpaceDN/>
              <w:adjustRightInd/>
              <w:spacing w:after="160" w:line="259" w:lineRule="auto"/>
              <w:textAlignment w:val="auto"/>
            </w:pPr>
            <w:r>
              <w:t xml:space="preserve">Ensure that I research all incidents where there is time to do so. </w:t>
            </w:r>
          </w:p>
          <w:p w14:paraId="2F08CF69" w14:textId="77777777" w:rsidR="00C95867" w:rsidRDefault="00C95867" w:rsidP="00147473">
            <w:pPr>
              <w:overflowPunct/>
              <w:autoSpaceDE/>
              <w:autoSpaceDN/>
              <w:adjustRightInd/>
              <w:spacing w:after="160" w:line="259" w:lineRule="auto"/>
              <w:textAlignment w:val="auto"/>
            </w:pPr>
          </w:p>
          <w:p w14:paraId="145DC500" w14:textId="0E096FEB" w:rsidR="00147473" w:rsidRDefault="00E607C3" w:rsidP="00C95867">
            <w:r>
              <w:t xml:space="preserve">Attainable </w:t>
            </w:r>
          </w:p>
          <w:p w14:paraId="1B174199" w14:textId="77777777" w:rsidR="00C95867" w:rsidRDefault="00C95867" w:rsidP="00C95867"/>
          <w:p w14:paraId="451DC155" w14:textId="56CCA459" w:rsidR="00E607C3" w:rsidRDefault="00E607C3" w:rsidP="00147473">
            <w:pPr>
              <w:overflowPunct/>
              <w:autoSpaceDE/>
              <w:autoSpaceDN/>
              <w:adjustRightInd/>
              <w:spacing w:after="160" w:line="259" w:lineRule="auto"/>
              <w:textAlignment w:val="auto"/>
            </w:pPr>
            <w:r>
              <w:t xml:space="preserve">When and where practicable, as per incident. However, due to the flexibility of technology and radio equipment, these checks can be before I arrive as well as during. I </w:t>
            </w:r>
            <w:proofErr w:type="gramStart"/>
            <w:r>
              <w:t>am able to</w:t>
            </w:r>
            <w:proofErr w:type="gramEnd"/>
            <w:r>
              <w:t xml:space="preserve"> use my device and radio for this information.</w:t>
            </w:r>
          </w:p>
          <w:p w14:paraId="03C9C84C" w14:textId="77777777" w:rsidR="00C95867" w:rsidRDefault="00C95867" w:rsidP="00147473">
            <w:pPr>
              <w:overflowPunct/>
              <w:autoSpaceDE/>
              <w:autoSpaceDN/>
              <w:adjustRightInd/>
              <w:spacing w:after="160" w:line="259" w:lineRule="auto"/>
              <w:textAlignment w:val="auto"/>
            </w:pPr>
          </w:p>
          <w:p w14:paraId="218EA928" w14:textId="7AB0BE3F" w:rsidR="00E607C3" w:rsidRDefault="00E607C3" w:rsidP="00E607C3">
            <w:r>
              <w:t xml:space="preserve">Relevant </w:t>
            </w:r>
          </w:p>
          <w:p w14:paraId="697F6182" w14:textId="77777777" w:rsidR="00C95867" w:rsidRDefault="00C95867" w:rsidP="00E607C3"/>
          <w:p w14:paraId="7B777534" w14:textId="77777777" w:rsidR="00C95867" w:rsidRDefault="00E607C3" w:rsidP="00147473">
            <w:pPr>
              <w:overflowPunct/>
              <w:autoSpaceDE/>
              <w:autoSpaceDN/>
              <w:adjustRightInd/>
              <w:spacing w:after="160" w:line="259" w:lineRule="auto"/>
              <w:textAlignment w:val="auto"/>
            </w:pPr>
            <w:r>
              <w:lastRenderedPageBreak/>
              <w:t xml:space="preserve">Threat, Risk, and Harm are key components to the safety of the public and to officers. As a result, if an </w:t>
            </w:r>
            <w:proofErr w:type="gramStart"/>
            <w:r>
              <w:t>officers</w:t>
            </w:r>
            <w:proofErr w:type="gramEnd"/>
            <w:r>
              <w:t xml:space="preserve"> has all available information at their disposal, they are able to make informed decisions when safeguarding themselves and others.</w:t>
            </w:r>
          </w:p>
          <w:p w14:paraId="78FC1DBF" w14:textId="0766527F" w:rsidR="00E607C3" w:rsidRDefault="00E607C3" w:rsidP="00147473">
            <w:pPr>
              <w:overflowPunct/>
              <w:autoSpaceDE/>
              <w:autoSpaceDN/>
              <w:adjustRightInd/>
              <w:spacing w:after="160" w:line="259" w:lineRule="auto"/>
              <w:textAlignment w:val="auto"/>
            </w:pPr>
            <w:r>
              <w:t xml:space="preserve"> </w:t>
            </w:r>
          </w:p>
          <w:p w14:paraId="7B0E2DC1" w14:textId="30D83D06" w:rsidR="00E607C3" w:rsidRDefault="00E607C3" w:rsidP="00E607C3">
            <w:r>
              <w:t>Time-bound:</w:t>
            </w:r>
          </w:p>
          <w:p w14:paraId="72A9E485" w14:textId="77777777" w:rsidR="00C95867" w:rsidRDefault="00C95867" w:rsidP="00E607C3"/>
          <w:p w14:paraId="204BE92A" w14:textId="77777777" w:rsidR="00C95867" w:rsidRDefault="00E607C3" w:rsidP="00E607C3">
            <w:pPr>
              <w:overflowPunct/>
              <w:autoSpaceDE/>
              <w:autoSpaceDN/>
              <w:adjustRightInd/>
              <w:spacing w:after="160" w:line="259" w:lineRule="auto"/>
              <w:textAlignment w:val="auto"/>
            </w:pPr>
            <w:r>
              <w:t xml:space="preserve">Can be achieved immediately and has no stop time. I feel I do a good job of getting antecedent history </w:t>
            </w:r>
            <w:proofErr w:type="gramStart"/>
            <w:r>
              <w:t>at the moment</w:t>
            </w:r>
            <w:proofErr w:type="gramEnd"/>
            <w:r>
              <w:t xml:space="preserve">, however asking specific warning marker questions to the Public Service Centre will greatly benefit me for identifying certain types of risks that may be posed. </w:t>
            </w:r>
          </w:p>
          <w:p w14:paraId="69FE519A" w14:textId="1B3CB21F" w:rsidR="00E607C3" w:rsidRPr="00710F47" w:rsidRDefault="00E607C3" w:rsidP="00E607C3">
            <w:pPr>
              <w:overflowPunct/>
              <w:autoSpaceDE/>
              <w:autoSpaceDN/>
              <w:adjustRightInd/>
              <w:spacing w:after="160" w:line="259" w:lineRule="auto"/>
              <w:textAlignment w:val="auto"/>
            </w:pPr>
            <w:r>
              <w:t xml:space="preserve">This is also similar for environment as I am still learning areas on my policing patch that have </w:t>
            </w:r>
            <w:proofErr w:type="gramStart"/>
            <w:r>
              <w:t>particular warning</w:t>
            </w:r>
            <w:proofErr w:type="gramEnd"/>
            <w:r>
              <w:t xml:space="preserve"> markers for violence or drugs. This will come in time, howe er, I can make an immediate start by asking my Sergeant and experienced colleagues about niche areas for certain crime types and areas where a specific type of caution is necessary. </w:t>
            </w:r>
          </w:p>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06650560" w14:textId="77777777" w:rsidR="00147473" w:rsidRPr="00710F47" w:rsidRDefault="00147473" w:rsidP="00147473">
            <w:r>
              <w:lastRenderedPageBreak/>
              <w:t xml:space="preserve">Conflict management </w:t>
            </w:r>
          </w:p>
          <w:p w14:paraId="58216AFF" w14:textId="77777777" w:rsidR="00426F78" w:rsidRDefault="00426F78" w:rsidP="00147473">
            <w:pPr>
              <w:rPr>
                <w:u w:val="single"/>
              </w:rPr>
            </w:pPr>
          </w:p>
          <w:p w14:paraId="4EDA5709" w14:textId="77777777" w:rsidR="00147473" w:rsidRDefault="00147473" w:rsidP="00147473"/>
          <w:p w14:paraId="2949D228" w14:textId="77777777" w:rsidR="00147473" w:rsidRDefault="00147473" w:rsidP="00147473"/>
          <w:p w14:paraId="63E7E828" w14:textId="27F7A9BC" w:rsidR="00575A8F" w:rsidRPr="00147473" w:rsidRDefault="00575A8F" w:rsidP="00147473">
            <w:pPr>
              <w:rPr>
                <w:u w:val="single"/>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0A0C1FAC" w14:textId="77777777" w:rsidR="00426F78" w:rsidRDefault="00426F78" w:rsidP="00426F78">
            <w:r>
              <w:lastRenderedPageBreak/>
              <w:t xml:space="preserve">By </w:t>
            </w:r>
            <w:proofErr w:type="gramStart"/>
            <w:r>
              <w:t>taking into account</w:t>
            </w:r>
            <w:proofErr w:type="gramEnd"/>
            <w:r>
              <w:t xml:space="preserve"> all impact factors and making proactive steps to mitigate the potential for increased threat, risk, and harm.</w:t>
            </w:r>
          </w:p>
          <w:p w14:paraId="3908B6E6" w14:textId="77777777" w:rsidR="00426F78" w:rsidRDefault="00426F78" w:rsidP="00426F78">
            <w:pPr>
              <w:overflowPunct/>
              <w:autoSpaceDE/>
              <w:autoSpaceDN/>
              <w:adjustRightInd/>
              <w:spacing w:after="160" w:line="259" w:lineRule="auto"/>
              <w:textAlignment w:val="auto"/>
            </w:pPr>
          </w:p>
          <w:p w14:paraId="0E27C102" w14:textId="7F1A8FB9" w:rsidR="00426F78" w:rsidRDefault="00426F78" w:rsidP="00426F78">
            <w:pPr>
              <w:overflowPunct/>
              <w:autoSpaceDE/>
              <w:autoSpaceDN/>
              <w:adjustRightInd/>
              <w:spacing w:after="160" w:line="259" w:lineRule="auto"/>
              <w:textAlignment w:val="auto"/>
            </w:pPr>
            <w:r>
              <w:lastRenderedPageBreak/>
              <w:t>Researching the people and environment and developing a strategy prior to police arrival.</w:t>
            </w:r>
          </w:p>
          <w:p w14:paraId="67F3C668" w14:textId="77777777" w:rsidR="00426F78" w:rsidRDefault="00426F78" w:rsidP="00426F78">
            <w:pPr>
              <w:overflowPunct/>
              <w:autoSpaceDE/>
              <w:autoSpaceDN/>
              <w:adjustRightInd/>
              <w:spacing w:after="160" w:line="259" w:lineRule="auto"/>
              <w:textAlignment w:val="auto"/>
            </w:pPr>
          </w:p>
          <w:p w14:paraId="2624340F" w14:textId="77B7F9B7" w:rsidR="00426F78" w:rsidRDefault="00426F78" w:rsidP="00426F78">
            <w:pPr>
              <w:overflowPunct/>
              <w:autoSpaceDE/>
              <w:autoSpaceDN/>
              <w:adjustRightInd/>
              <w:spacing w:after="160" w:line="259" w:lineRule="auto"/>
              <w:textAlignment w:val="auto"/>
            </w:pPr>
            <w:r>
              <w:t xml:space="preserve">Taking an attitude test on how a person is with me and my colleagues, continually making risk assessments based on any changes of their attitude and environments. </w:t>
            </w:r>
          </w:p>
          <w:p w14:paraId="22254C83" w14:textId="77777777" w:rsidR="00426F78" w:rsidRDefault="00426F78" w:rsidP="00426F78">
            <w:pPr>
              <w:overflowPunct/>
              <w:autoSpaceDE/>
              <w:autoSpaceDN/>
              <w:adjustRightInd/>
              <w:spacing w:after="160" w:line="259" w:lineRule="auto"/>
              <w:textAlignment w:val="auto"/>
            </w:pPr>
          </w:p>
          <w:p w14:paraId="55EDDE1E" w14:textId="53A5FE9A" w:rsidR="00426F78" w:rsidRDefault="00426F78" w:rsidP="00426F78">
            <w:pPr>
              <w:overflowPunct/>
              <w:autoSpaceDE/>
              <w:autoSpaceDN/>
              <w:adjustRightInd/>
              <w:spacing w:after="160" w:line="259" w:lineRule="auto"/>
              <w:textAlignment w:val="auto"/>
            </w:pPr>
            <w:r>
              <w:t>Making an acute awareness to exits and refraining from putting myself at a physical disadvantage and risk-taking measures.</w:t>
            </w:r>
          </w:p>
          <w:p w14:paraId="4021EAE3" w14:textId="77777777" w:rsidR="00426F78" w:rsidRDefault="00426F78" w:rsidP="00426F78">
            <w:pPr>
              <w:overflowPunct/>
              <w:autoSpaceDE/>
              <w:autoSpaceDN/>
              <w:adjustRightInd/>
              <w:spacing w:after="160" w:line="259" w:lineRule="auto"/>
              <w:textAlignment w:val="auto"/>
            </w:pPr>
          </w:p>
          <w:p w14:paraId="216F075B" w14:textId="41F070BD" w:rsidR="00426F78" w:rsidRDefault="00426F78" w:rsidP="00426F78">
            <w:pPr>
              <w:overflowPunct/>
              <w:autoSpaceDE/>
              <w:autoSpaceDN/>
              <w:adjustRightInd/>
              <w:spacing w:after="160" w:line="259" w:lineRule="auto"/>
              <w:textAlignment w:val="auto"/>
            </w:pPr>
            <w:r>
              <w:t xml:space="preserve">Continual use of tactical communication throughout an incident to learn more about the situation or problem at hand, but also to obtain rapport in the hope that threat, risk, and harm are mitigated without the need of force. </w:t>
            </w:r>
          </w:p>
          <w:p w14:paraId="07EF3CB8" w14:textId="77777777" w:rsidR="00426F78" w:rsidRDefault="00426F78" w:rsidP="00426F78">
            <w:pPr>
              <w:overflowPunct/>
              <w:autoSpaceDE/>
              <w:autoSpaceDN/>
              <w:adjustRightInd/>
              <w:spacing w:after="160" w:line="259" w:lineRule="auto"/>
              <w:textAlignment w:val="auto"/>
            </w:pPr>
          </w:p>
          <w:p w14:paraId="3B79FB76" w14:textId="4E254C5C" w:rsidR="00426F78" w:rsidRDefault="00426F78" w:rsidP="00426F78">
            <w:pPr>
              <w:overflowPunct/>
              <w:autoSpaceDE/>
              <w:autoSpaceDN/>
              <w:adjustRightInd/>
              <w:spacing w:after="160" w:line="259" w:lineRule="auto"/>
              <w:textAlignment w:val="auto"/>
            </w:pPr>
            <w:r>
              <w:t>Area and person searches for weapons or relevant items at the scene.</w:t>
            </w:r>
          </w:p>
          <w:p w14:paraId="47EBABFF" w14:textId="77777777" w:rsidR="00426F78" w:rsidRDefault="00426F78" w:rsidP="00426F78">
            <w:pPr>
              <w:overflowPunct/>
              <w:autoSpaceDE/>
              <w:autoSpaceDN/>
              <w:adjustRightInd/>
              <w:spacing w:after="160" w:line="259" w:lineRule="auto"/>
              <w:ind w:left="360"/>
              <w:textAlignment w:val="auto"/>
            </w:pPr>
          </w:p>
          <w:p w14:paraId="51B0A9B2" w14:textId="78329784" w:rsidR="00426F78" w:rsidRDefault="00426F78" w:rsidP="00426F78">
            <w:pPr>
              <w:overflowPunct/>
              <w:autoSpaceDE/>
              <w:autoSpaceDN/>
              <w:adjustRightInd/>
              <w:spacing w:after="160" w:line="259" w:lineRule="auto"/>
              <w:textAlignment w:val="auto"/>
            </w:pPr>
            <w:r>
              <w:t xml:space="preserve">Detaining persons in handcuffs or other appropriate restraints/spit guard depending on level of resistance. </w:t>
            </w:r>
          </w:p>
          <w:p w14:paraId="2CF6D7F3" w14:textId="77777777" w:rsidR="00426F78" w:rsidRDefault="00426F78" w:rsidP="00426F78">
            <w:pPr>
              <w:overflowPunct/>
              <w:autoSpaceDE/>
              <w:autoSpaceDN/>
              <w:adjustRightInd/>
              <w:spacing w:after="160" w:line="259" w:lineRule="auto"/>
              <w:textAlignment w:val="auto"/>
            </w:pPr>
          </w:p>
          <w:p w14:paraId="016AE49D" w14:textId="0A384D36" w:rsidR="00426F78" w:rsidRDefault="00426F78" w:rsidP="00426F78">
            <w:pPr>
              <w:overflowPunct/>
              <w:autoSpaceDE/>
              <w:autoSpaceDN/>
              <w:adjustRightInd/>
              <w:spacing w:after="160" w:line="259" w:lineRule="auto"/>
              <w:textAlignment w:val="auto"/>
            </w:pPr>
            <w:r>
              <w:t xml:space="preserve">Using the cage in the police van to remove a person from a situation </w:t>
            </w:r>
            <w:proofErr w:type="gramStart"/>
            <w:r>
              <w:t>in order to</w:t>
            </w:r>
            <w:proofErr w:type="gramEnd"/>
            <w:r>
              <w:t xml:space="preserve"> assess an </w:t>
            </w:r>
            <w:r>
              <w:lastRenderedPageBreak/>
              <w:t>area or talk to a person to find out more information.</w:t>
            </w:r>
          </w:p>
          <w:p w14:paraId="46B26E7E" w14:textId="77777777" w:rsidR="00426F78" w:rsidRDefault="00426F78" w:rsidP="00426F78">
            <w:pPr>
              <w:overflowPunct/>
              <w:autoSpaceDE/>
              <w:autoSpaceDN/>
              <w:adjustRightInd/>
              <w:spacing w:after="160" w:line="259" w:lineRule="auto"/>
              <w:textAlignment w:val="auto"/>
            </w:pPr>
          </w:p>
          <w:p w14:paraId="7CD1116E" w14:textId="1601309B" w:rsidR="00426F78" w:rsidRPr="00147473" w:rsidRDefault="00426F78" w:rsidP="00426F78">
            <w:pPr>
              <w:overflowPunct/>
              <w:autoSpaceDE/>
              <w:autoSpaceDN/>
              <w:adjustRightInd/>
              <w:spacing w:after="160" w:line="259" w:lineRule="auto"/>
              <w:textAlignment w:val="auto"/>
            </w:pPr>
            <w:r>
              <w:t xml:space="preserve">Uses of force with my body (strikes, punches, kicks, holds), or other appointments such as my ASP and </w:t>
            </w:r>
            <w:proofErr w:type="spellStart"/>
            <w:r>
              <w:t>pava</w:t>
            </w:r>
            <w:proofErr w:type="spellEnd"/>
            <w:r>
              <w:t xml:space="preserve"> spray. </w:t>
            </w:r>
          </w:p>
          <w:p w14:paraId="4C469DE7" w14:textId="77777777" w:rsidR="00575A8F" w:rsidRDefault="00575A8F" w:rsidP="00E6298B">
            <w:pPr>
              <w:ind w:right="107"/>
              <w:jc w:val="both"/>
              <w:rPr>
                <w:sz w:val="24"/>
                <w:szCs w:val="24"/>
              </w:rPr>
            </w:pPr>
          </w:p>
          <w:p w14:paraId="3BD876A6" w14:textId="189E400E" w:rsidR="0075693D" w:rsidRPr="00270EEB" w:rsidRDefault="0075693D" w:rsidP="00E6298B">
            <w:pPr>
              <w:ind w:right="107"/>
              <w:jc w:val="both"/>
              <w:rPr>
                <w:sz w:val="24"/>
                <w:szCs w:val="24"/>
              </w:rPr>
            </w:pPr>
          </w:p>
        </w:tc>
        <w:tc>
          <w:tcPr>
            <w:tcW w:w="2426" w:type="dxa"/>
            <w:shd w:val="clear" w:color="auto" w:fill="auto"/>
          </w:tcPr>
          <w:p w14:paraId="48CCB8E3" w14:textId="77777777" w:rsidR="00575A8F" w:rsidRDefault="00575A8F" w:rsidP="00E6298B">
            <w:pPr>
              <w:ind w:right="107"/>
              <w:jc w:val="both"/>
              <w:rPr>
                <w:sz w:val="24"/>
                <w:szCs w:val="24"/>
              </w:rPr>
            </w:pPr>
          </w:p>
          <w:p w14:paraId="30EC0AA8" w14:textId="64173C56" w:rsidR="00147473" w:rsidRDefault="00147473" w:rsidP="00147473">
            <w:r>
              <w:t xml:space="preserve">Colleagues: </w:t>
            </w:r>
          </w:p>
          <w:p w14:paraId="6A72AADF" w14:textId="77777777" w:rsidR="00147473" w:rsidRDefault="00147473" w:rsidP="00147473"/>
          <w:p w14:paraId="6A6198AF" w14:textId="7EEA94A8" w:rsidR="00147473" w:rsidRDefault="00147473" w:rsidP="00147473">
            <w:r>
              <w:t xml:space="preserve">Talking to colleagues and making an agreed plan will benefit the safety of all officers involved as each will </w:t>
            </w:r>
            <w:r>
              <w:lastRenderedPageBreak/>
              <w:t xml:space="preserve">provide a particular </w:t>
            </w:r>
            <w:proofErr w:type="gramStart"/>
            <w:r>
              <w:t>role, or</w:t>
            </w:r>
            <w:proofErr w:type="gramEnd"/>
            <w:r>
              <w:t xml:space="preserve"> be in control of a certain element within the call.</w:t>
            </w:r>
          </w:p>
          <w:p w14:paraId="0855F150" w14:textId="77777777" w:rsidR="00147473" w:rsidRDefault="00147473" w:rsidP="00147473"/>
          <w:p w14:paraId="116D1429" w14:textId="77777777" w:rsidR="00147473" w:rsidRDefault="00147473" w:rsidP="00147473">
            <w:r>
              <w:t xml:space="preserve">By reviewing the incident after a call with colleagues can also be beneficial as they may have a different perception of how it went and how your performance could have been better. </w:t>
            </w:r>
          </w:p>
          <w:p w14:paraId="62129BA9" w14:textId="77777777" w:rsidR="00147473" w:rsidRDefault="00147473" w:rsidP="00147473"/>
          <w:p w14:paraId="3D2B609E" w14:textId="20AB2E0E" w:rsidR="00147473" w:rsidRDefault="00147473" w:rsidP="00147473">
            <w:r>
              <w:t xml:space="preserve">This provides the opportunity to take on constructive criticism make plans for similar situations in the future. </w:t>
            </w:r>
          </w:p>
          <w:p w14:paraId="7A4C9A77" w14:textId="13E77123" w:rsidR="004A421E" w:rsidRPr="00270EEB" w:rsidRDefault="004A421E" w:rsidP="00E6298B">
            <w:pPr>
              <w:ind w:right="107"/>
              <w:jc w:val="both"/>
              <w:rPr>
                <w:sz w:val="24"/>
                <w:szCs w:val="24"/>
              </w:rPr>
            </w:pPr>
            <w:r>
              <w:rPr>
                <w:sz w:val="24"/>
                <w:szCs w:val="24"/>
              </w:rPr>
              <w:t xml:space="preserve"> </w:t>
            </w:r>
          </w:p>
        </w:tc>
        <w:tc>
          <w:tcPr>
            <w:tcW w:w="2426" w:type="dxa"/>
            <w:shd w:val="clear" w:color="auto" w:fill="auto"/>
          </w:tcPr>
          <w:p w14:paraId="3616D57E" w14:textId="77777777" w:rsidR="00147473" w:rsidRDefault="00147473" w:rsidP="00147473">
            <w:r>
              <w:lastRenderedPageBreak/>
              <w:t>Specific</w:t>
            </w:r>
          </w:p>
          <w:p w14:paraId="25090E14" w14:textId="7FEC338F" w:rsidR="00147473" w:rsidRDefault="00147473" w:rsidP="00147473">
            <w:r>
              <w:t xml:space="preserve">Reducing threat, risk, and harm by using conflict management models such as </w:t>
            </w:r>
            <w:proofErr w:type="spellStart"/>
            <w:r>
              <w:t>Betari’s</w:t>
            </w:r>
            <w:proofErr w:type="spellEnd"/>
            <w:r>
              <w:t xml:space="preserve"> Box and </w:t>
            </w:r>
            <w:proofErr w:type="spellStart"/>
            <w:r>
              <w:t>Karpman</w:t>
            </w:r>
            <w:proofErr w:type="spellEnd"/>
            <w:r>
              <w:t xml:space="preserve"> Drama Triangle. </w:t>
            </w:r>
          </w:p>
          <w:p w14:paraId="2382DF33" w14:textId="77777777" w:rsidR="00966AA8" w:rsidRDefault="00966AA8" w:rsidP="00147473"/>
          <w:p w14:paraId="676DDDCB" w14:textId="6EB970E1" w:rsidR="00147473" w:rsidRDefault="00147473" w:rsidP="00147473">
            <w:r>
              <w:lastRenderedPageBreak/>
              <w:t xml:space="preserve">Measurable </w:t>
            </w:r>
          </w:p>
          <w:p w14:paraId="5B2C6145" w14:textId="77777777" w:rsidR="00966AA8" w:rsidRDefault="00966AA8" w:rsidP="00147473"/>
          <w:p w14:paraId="1FC90592" w14:textId="77DE7553" w:rsidR="00966AA8" w:rsidRDefault="00147473" w:rsidP="00147473">
            <w:r>
              <w:t xml:space="preserve">Through self-reflection and asking colleagues to review my performance </w:t>
            </w:r>
            <w:proofErr w:type="gramStart"/>
            <w:r>
              <w:t>on a daily basis</w:t>
            </w:r>
            <w:proofErr w:type="gramEnd"/>
            <w:r w:rsidR="00966AA8">
              <w:t xml:space="preserve">. </w:t>
            </w:r>
          </w:p>
          <w:p w14:paraId="2C47F0E8" w14:textId="77777777" w:rsidR="00966AA8" w:rsidRDefault="00966AA8" w:rsidP="00147473"/>
          <w:p w14:paraId="1F47AB55" w14:textId="5EF1C294" w:rsidR="00147473" w:rsidRDefault="00147473" w:rsidP="00147473">
            <w:r>
              <w:t>Taking time to review my confidence levels when dealing with certain types of incidents.</w:t>
            </w:r>
          </w:p>
          <w:p w14:paraId="7BC2A0D9" w14:textId="77777777" w:rsidR="00966AA8" w:rsidRDefault="00966AA8" w:rsidP="00147473"/>
          <w:p w14:paraId="1B84A071" w14:textId="74A1930C" w:rsidR="00147473" w:rsidRDefault="00147473" w:rsidP="00147473">
            <w:r>
              <w:t xml:space="preserve">Attainable </w:t>
            </w:r>
          </w:p>
          <w:p w14:paraId="75933B0D" w14:textId="77777777" w:rsidR="00966AA8" w:rsidRDefault="00966AA8" w:rsidP="00147473"/>
          <w:p w14:paraId="4A0BCA3E" w14:textId="77777777" w:rsidR="00147473" w:rsidRDefault="00147473" w:rsidP="00147473">
            <w:r>
              <w:t>Can be achieved by taking an active leadership role in incidents from choosing to talk to people at calls, making plans with colleagues for an incident, doing research on the way to an incident to familiarise myself with any risk impact factors.</w:t>
            </w:r>
          </w:p>
          <w:p w14:paraId="415A9965" w14:textId="2C4D6021" w:rsidR="00147473" w:rsidRDefault="00147473" w:rsidP="00147473">
            <w:r>
              <w:t xml:space="preserve">These are all things that I have access to. </w:t>
            </w:r>
          </w:p>
          <w:p w14:paraId="2F6D95F3" w14:textId="77777777" w:rsidR="00966AA8" w:rsidRDefault="00966AA8" w:rsidP="00147473"/>
          <w:p w14:paraId="4BBB8E9C" w14:textId="1A1E5B74" w:rsidR="00147473" w:rsidRDefault="00147473" w:rsidP="00147473">
            <w:r>
              <w:t xml:space="preserve">Relevant </w:t>
            </w:r>
          </w:p>
          <w:p w14:paraId="19A73242" w14:textId="77777777" w:rsidR="00966AA8" w:rsidRDefault="00966AA8" w:rsidP="00147473"/>
          <w:p w14:paraId="755AC51E" w14:textId="3E3FBB89" w:rsidR="00147473" w:rsidRDefault="00147473" w:rsidP="00147473">
            <w:r>
              <w:t>Conflict management is a dynamic which requires the keen attention from officers and can be the difference between having to use force and a situation escalating. Consequently, an officer’s ability to use tactical communication and talk a person’s anger or anxiety down, will reduce the potential threat, risk, and harm. It is therefore incredibly relevant for an officer to be aware of their role in managing conflict.</w:t>
            </w:r>
          </w:p>
          <w:p w14:paraId="2E0A3B08" w14:textId="77777777" w:rsidR="00966AA8" w:rsidRDefault="00966AA8" w:rsidP="00147473"/>
          <w:p w14:paraId="364916EC" w14:textId="59876797" w:rsidR="00147473" w:rsidRDefault="00147473" w:rsidP="00147473">
            <w:r>
              <w:t>Time-bound</w:t>
            </w:r>
          </w:p>
          <w:p w14:paraId="3A9DE2D9" w14:textId="77777777" w:rsidR="00966AA8" w:rsidRDefault="00966AA8" w:rsidP="00147473"/>
          <w:p w14:paraId="2D011B80" w14:textId="77777777" w:rsidR="00147473" w:rsidRPr="00710F47" w:rsidRDefault="00147473" w:rsidP="00147473">
            <w:r>
              <w:t xml:space="preserve">This can be started straight </w:t>
            </w:r>
            <w:proofErr w:type="gramStart"/>
            <w:r>
              <w:t>away</w:t>
            </w:r>
            <w:proofErr w:type="gramEnd"/>
            <w:r>
              <w:t xml:space="preserve"> and my periods of review can be every 3 months when analysing my confidence levels or techniques </w:t>
            </w:r>
            <w:r>
              <w:lastRenderedPageBreak/>
              <w:t>applied when managing conflict.</w:t>
            </w:r>
          </w:p>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1940D56C" w14:textId="77777777" w:rsidR="00966AA8" w:rsidRPr="00710F47" w:rsidRDefault="00966AA8" w:rsidP="00966AA8">
            <w:r>
              <w:lastRenderedPageBreak/>
              <w:t>Using alternative disposal methods</w:t>
            </w:r>
          </w:p>
          <w:p w14:paraId="1948B27B" w14:textId="0D115868" w:rsidR="00575A8F" w:rsidRPr="00966AA8" w:rsidRDefault="00575A8F" w:rsidP="00966AA8">
            <w:pPr>
              <w:rPr>
                <w:u w:val="single"/>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3AE5551A" w14:textId="77777777" w:rsidR="00966AA8" w:rsidRDefault="00966AA8" w:rsidP="00966AA8">
            <w:r>
              <w:t>By actively pursuing the use of alternative disposal methods when and where appropriate and using my discretion to cycle my options at an incident</w:t>
            </w:r>
          </w:p>
          <w:p w14:paraId="0AFE9965" w14:textId="77777777" w:rsidR="00966AA8" w:rsidRPr="00710F47" w:rsidRDefault="00966AA8" w:rsidP="00966AA8"/>
          <w:p w14:paraId="022C407D" w14:textId="77777777" w:rsidR="00575A8F" w:rsidRPr="00270EEB" w:rsidRDefault="00575A8F" w:rsidP="00E6298B">
            <w:pPr>
              <w:ind w:right="107"/>
              <w:jc w:val="both"/>
              <w:rPr>
                <w:sz w:val="24"/>
                <w:szCs w:val="24"/>
              </w:rPr>
            </w:pPr>
          </w:p>
        </w:tc>
        <w:tc>
          <w:tcPr>
            <w:tcW w:w="2426" w:type="dxa"/>
            <w:shd w:val="clear" w:color="auto" w:fill="auto"/>
          </w:tcPr>
          <w:p w14:paraId="6D79332B" w14:textId="77777777" w:rsidR="00966AA8" w:rsidRDefault="00966AA8" w:rsidP="00966AA8">
            <w:r>
              <w:t xml:space="preserve">Colleagues who have experience in giving alternative disposals: taking time to understand the process. </w:t>
            </w:r>
          </w:p>
          <w:p w14:paraId="5DACEAF6" w14:textId="77777777" w:rsidR="00966AA8" w:rsidRDefault="00966AA8" w:rsidP="00966AA8"/>
          <w:p w14:paraId="4DBEC066" w14:textId="77777777" w:rsidR="00966AA8" w:rsidRPr="00966AA8" w:rsidRDefault="00966AA8" w:rsidP="00966AA8">
            <w:r>
              <w:t xml:space="preserve">College of policing and </w:t>
            </w:r>
            <w:proofErr w:type="spellStart"/>
            <w:r>
              <w:t>Blackstones</w:t>
            </w:r>
            <w:proofErr w:type="spellEnd"/>
            <w:r>
              <w:t>.</w:t>
            </w:r>
          </w:p>
          <w:p w14:paraId="76B2A824" w14:textId="77777777" w:rsidR="00575A8F" w:rsidRPr="00270EEB" w:rsidRDefault="00575A8F" w:rsidP="00E6298B">
            <w:pPr>
              <w:ind w:right="107"/>
              <w:jc w:val="both"/>
              <w:rPr>
                <w:sz w:val="24"/>
                <w:szCs w:val="24"/>
              </w:rPr>
            </w:pPr>
          </w:p>
        </w:tc>
        <w:tc>
          <w:tcPr>
            <w:tcW w:w="2426" w:type="dxa"/>
            <w:shd w:val="clear" w:color="auto" w:fill="auto"/>
          </w:tcPr>
          <w:p w14:paraId="6EE6919C" w14:textId="644F6E16" w:rsidR="00966AA8" w:rsidRDefault="00966AA8" w:rsidP="00966AA8">
            <w:r>
              <w:t>Specific</w:t>
            </w:r>
          </w:p>
          <w:p w14:paraId="563F3D40" w14:textId="77777777" w:rsidR="00966AA8" w:rsidRDefault="00966AA8" w:rsidP="00966AA8"/>
          <w:p w14:paraId="1E6CF227" w14:textId="019DF7A2" w:rsidR="00966AA8" w:rsidRDefault="00966AA8" w:rsidP="00966AA8">
            <w:r>
              <w:t>Delivering alternative disposals to incidents</w:t>
            </w:r>
          </w:p>
          <w:p w14:paraId="2431BF25" w14:textId="77777777" w:rsidR="00C95867" w:rsidRDefault="00C95867" w:rsidP="00966AA8"/>
          <w:p w14:paraId="6F8AA1BC" w14:textId="77777777" w:rsidR="00C95867" w:rsidRDefault="00C95867" w:rsidP="00966AA8"/>
          <w:p w14:paraId="54928BF9" w14:textId="346B93FF" w:rsidR="00966AA8" w:rsidRDefault="00966AA8" w:rsidP="00966AA8">
            <w:r>
              <w:t xml:space="preserve">Measurable </w:t>
            </w:r>
          </w:p>
          <w:p w14:paraId="1E196A4A" w14:textId="77777777" w:rsidR="00C95867" w:rsidRDefault="00C95867" w:rsidP="00966AA8"/>
          <w:p w14:paraId="1510A614" w14:textId="7E6F6B4F" w:rsidR="00966AA8" w:rsidRDefault="00966AA8" w:rsidP="00966AA8">
            <w:r>
              <w:t>Made by giving alternative disposals where and when appropriate.</w:t>
            </w:r>
          </w:p>
          <w:p w14:paraId="1374C45E" w14:textId="77777777" w:rsidR="00C95867" w:rsidRDefault="00C95867" w:rsidP="00966AA8"/>
          <w:p w14:paraId="30852359" w14:textId="77777777" w:rsidR="00966AA8" w:rsidRDefault="00966AA8" w:rsidP="00966AA8"/>
          <w:p w14:paraId="3ABFFFD8" w14:textId="7EA9E931" w:rsidR="00966AA8" w:rsidRDefault="00966AA8" w:rsidP="00966AA8">
            <w:r>
              <w:t xml:space="preserve">Attainable </w:t>
            </w:r>
          </w:p>
          <w:p w14:paraId="5763F12A" w14:textId="77777777" w:rsidR="00966AA8" w:rsidRDefault="00966AA8" w:rsidP="00966AA8"/>
          <w:p w14:paraId="72C6CC3F" w14:textId="500F6BC1" w:rsidR="00966AA8" w:rsidRDefault="00966AA8" w:rsidP="00966AA8">
            <w:r>
              <w:t xml:space="preserve">Once I have learned policy procedure and best practice for giving out alternative disposals, I will be able to deliver them. These resources are available to me, as are my colleagues who can guide me through the processes. </w:t>
            </w:r>
          </w:p>
          <w:p w14:paraId="7AA5A0E7" w14:textId="3F1ABD4C" w:rsidR="00C95867" w:rsidRDefault="00C95867" w:rsidP="00966AA8"/>
          <w:p w14:paraId="7FDCDE5A" w14:textId="77777777" w:rsidR="00C95867" w:rsidRDefault="00C95867" w:rsidP="00966AA8"/>
          <w:p w14:paraId="4F96715D" w14:textId="44F6AFAA" w:rsidR="00966AA8" w:rsidRDefault="00966AA8" w:rsidP="00966AA8">
            <w:r>
              <w:t xml:space="preserve">Relevant </w:t>
            </w:r>
          </w:p>
          <w:p w14:paraId="46BDE7B8" w14:textId="77777777" w:rsidR="00C95867" w:rsidRDefault="00C95867" w:rsidP="00966AA8"/>
          <w:p w14:paraId="5987ECF4" w14:textId="5A247DB0" w:rsidR="00966AA8" w:rsidRDefault="00966AA8" w:rsidP="00966AA8">
            <w:r>
              <w:t xml:space="preserve">Alternative disposals are an important element within policing as they provide officers with different ways and options to resolve an incident. </w:t>
            </w:r>
          </w:p>
          <w:p w14:paraId="4E9A2342" w14:textId="77777777" w:rsidR="00966AA8" w:rsidRDefault="00966AA8" w:rsidP="00966AA8">
            <w:r>
              <w:t xml:space="preserve">Taking softer and perhaps more proportionate decisions when disposing of incidents, the public’s perception of the police can be seen to be fairer. </w:t>
            </w:r>
            <w:r>
              <w:lastRenderedPageBreak/>
              <w:t xml:space="preserve">Moreover, when officers are able to take time to have teachable moment or conversation with a member of the public, these warnings can go a long way in changing a person’s habits, </w:t>
            </w:r>
            <w:proofErr w:type="gramStart"/>
            <w:r>
              <w:t>e.g.</w:t>
            </w:r>
            <w:proofErr w:type="gramEnd"/>
            <w:r>
              <w:t xml:space="preserve"> speeding or minor traffic offences.</w:t>
            </w:r>
          </w:p>
          <w:p w14:paraId="0A4773EC" w14:textId="237EB840" w:rsidR="00966AA8" w:rsidRDefault="00966AA8" w:rsidP="00966AA8">
            <w:r>
              <w:t xml:space="preserve">Furthermore, given the lack of resources that currently plague policing numbers and harm a force’s effectiveness to respond to emergency, or more pressing calls, the use of discretion through alternative disposals provide an apt way to resolve incidents and be an available resource more of the time whilst on active duty. </w:t>
            </w:r>
          </w:p>
          <w:p w14:paraId="4F6F2B01" w14:textId="76D1ACF3" w:rsidR="00C95867" w:rsidRDefault="00C95867" w:rsidP="00966AA8"/>
          <w:p w14:paraId="64E4D7DE" w14:textId="77777777" w:rsidR="00C95867" w:rsidRDefault="00C95867" w:rsidP="00966AA8"/>
          <w:p w14:paraId="7236C926" w14:textId="3A3A4793" w:rsidR="00966AA8" w:rsidRDefault="00966AA8" w:rsidP="00966AA8">
            <w:r>
              <w:t>Time-bound</w:t>
            </w:r>
          </w:p>
          <w:p w14:paraId="68D8A9C4" w14:textId="77777777" w:rsidR="00C95867" w:rsidRDefault="00C95867" w:rsidP="00966AA8"/>
          <w:p w14:paraId="3ACF9B49" w14:textId="77777777" w:rsidR="00966AA8" w:rsidRPr="00710F47" w:rsidRDefault="00966AA8" w:rsidP="00966AA8">
            <w:r>
              <w:t xml:space="preserve">Incident dependant, but I can aim towards giving one once a set and build up from there. I can record these disposals on my laptop and count them month to month to display how I have considered multiple options before coming to a decision. </w:t>
            </w:r>
          </w:p>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1107B00"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bookmarkStart w:id="13" w:name="_Hlk108081443"/>
      <w:proofErr w:type="spellStart"/>
      <w:r w:rsidRPr="00A73721">
        <w:rPr>
          <w:rFonts w:ascii="Calibri" w:eastAsia="Calibri" w:hAnsi="Calibri" w:cs="Calibri"/>
          <w:color w:val="auto"/>
          <w:sz w:val="24"/>
          <w:szCs w:val="24"/>
          <w:lang w:eastAsia="en-US"/>
        </w:rPr>
        <w:t>Alvidrez</w:t>
      </w:r>
      <w:bookmarkEnd w:id="13"/>
      <w:proofErr w:type="spellEnd"/>
      <w:r w:rsidRPr="00A73721">
        <w:rPr>
          <w:rFonts w:ascii="Calibri" w:eastAsia="Calibri" w:hAnsi="Calibri" w:cs="Calibri"/>
          <w:color w:val="auto"/>
          <w:sz w:val="24"/>
          <w:szCs w:val="24"/>
          <w:lang w:eastAsia="en-US"/>
        </w:rPr>
        <w:t xml:space="preserve">, J., Shumway, M., </w:t>
      </w:r>
      <w:proofErr w:type="spellStart"/>
      <w:r w:rsidRPr="00A73721">
        <w:rPr>
          <w:rFonts w:ascii="Calibri" w:eastAsia="Calibri" w:hAnsi="Calibri" w:cs="Calibri"/>
          <w:color w:val="auto"/>
          <w:sz w:val="24"/>
          <w:szCs w:val="24"/>
          <w:lang w:eastAsia="en-US"/>
        </w:rPr>
        <w:t>Morazes</w:t>
      </w:r>
      <w:proofErr w:type="spellEnd"/>
      <w:r w:rsidRPr="00A73721">
        <w:rPr>
          <w:rFonts w:ascii="Calibri" w:eastAsia="Calibri" w:hAnsi="Calibri" w:cs="Calibri"/>
          <w:color w:val="auto"/>
          <w:sz w:val="24"/>
          <w:szCs w:val="24"/>
          <w:lang w:eastAsia="en-US"/>
        </w:rPr>
        <w:t xml:space="preserve">, J. and </w:t>
      </w:r>
      <w:proofErr w:type="spellStart"/>
      <w:r w:rsidRPr="00A73721">
        <w:rPr>
          <w:rFonts w:ascii="Calibri" w:eastAsia="Calibri" w:hAnsi="Calibri" w:cs="Calibri"/>
          <w:color w:val="auto"/>
          <w:sz w:val="24"/>
          <w:szCs w:val="24"/>
          <w:lang w:eastAsia="en-US"/>
        </w:rPr>
        <w:t>Boccellari</w:t>
      </w:r>
      <w:proofErr w:type="spellEnd"/>
      <w:r w:rsidRPr="00A73721">
        <w:rPr>
          <w:rFonts w:ascii="Calibri" w:eastAsia="Calibri" w:hAnsi="Calibri" w:cs="Calibri"/>
          <w:color w:val="auto"/>
          <w:sz w:val="24"/>
          <w:szCs w:val="24"/>
          <w:lang w:eastAsia="en-US"/>
        </w:rPr>
        <w:t>, A. (2011).</w:t>
      </w:r>
      <w:r w:rsidRPr="00A73721">
        <w:rPr>
          <w:rFonts w:ascii="Calibri" w:eastAsia="Calibri" w:hAnsi="Calibri" w:cs="Calibri"/>
          <w:i/>
          <w:iCs/>
          <w:color w:val="auto"/>
          <w:sz w:val="24"/>
          <w:szCs w:val="24"/>
          <w:lang w:eastAsia="en-US"/>
        </w:rPr>
        <w:t xml:space="preserve"> Ethnic Disparities in Mental Health Treatment Engagement among Female Sexual Assault Victims. Journal of Aggression, Maltreatment &amp; Trauma,</w:t>
      </w:r>
      <w:r w:rsidRPr="00A73721">
        <w:rPr>
          <w:rFonts w:ascii="Calibri" w:eastAsia="Calibri" w:hAnsi="Calibri" w:cs="Calibri"/>
          <w:color w:val="auto"/>
          <w:sz w:val="24"/>
          <w:szCs w:val="24"/>
          <w:lang w:eastAsia="en-US"/>
        </w:rPr>
        <w:t xml:space="preserve"> </w:t>
      </w:r>
      <w:r w:rsidRPr="00A73721">
        <w:rPr>
          <w:rFonts w:ascii="Calibri" w:eastAsia="Calibri" w:hAnsi="Calibri" w:cs="Calibri"/>
          <w:sz w:val="24"/>
          <w:szCs w:val="24"/>
          <w:lang w:eastAsia="en-US"/>
        </w:rPr>
        <w:t xml:space="preserve">[online], </w:t>
      </w:r>
      <w:r w:rsidRPr="00A73721">
        <w:rPr>
          <w:rFonts w:ascii="Calibri" w:eastAsia="Calibri" w:hAnsi="Calibri" w:cs="Calibri"/>
          <w:color w:val="auto"/>
          <w:sz w:val="24"/>
          <w:szCs w:val="24"/>
          <w:lang w:eastAsia="en-US"/>
        </w:rPr>
        <w:t xml:space="preserve">20(4), pp.415–425. </w:t>
      </w:r>
      <w:r w:rsidRPr="00A73721">
        <w:rPr>
          <w:rFonts w:ascii="Calibri" w:eastAsia="Calibri" w:hAnsi="Calibri" w:cs="Calibri"/>
          <w:sz w:val="24"/>
          <w:szCs w:val="24"/>
          <w:lang w:eastAsia="en-US"/>
        </w:rPr>
        <w:t>Available from:</w:t>
      </w:r>
      <w:hyperlink r:id="rId30" w:history="1">
        <w:r w:rsidRPr="00A73721">
          <w:rPr>
            <w:rFonts w:ascii="Calibri" w:eastAsia="Calibri" w:hAnsi="Calibri" w:cs="Calibri"/>
            <w:color w:val="0563C1"/>
            <w:sz w:val="24"/>
            <w:szCs w:val="24"/>
            <w:u w:val="single"/>
            <w:lang w:eastAsia="en-US"/>
          </w:rPr>
          <w:t>https://www.tandfonline.com/doi/abs/10.1080/10926771.2011.568997?journalCode=wamt20</w:t>
        </w:r>
      </w:hyperlink>
      <w:r w:rsidRPr="00A73721">
        <w:rPr>
          <w:rFonts w:ascii="Calibri" w:eastAsia="Calibri" w:hAnsi="Calibri" w:cs="Calibri"/>
          <w:color w:val="auto"/>
          <w:sz w:val="24"/>
          <w:szCs w:val="24"/>
          <w:lang w:eastAsia="en-US"/>
        </w:rPr>
        <w:t xml:space="preserve"> Accessed on 08/07/22</w:t>
      </w:r>
    </w:p>
    <w:p w14:paraId="104B7416"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sz w:val="24"/>
          <w:szCs w:val="24"/>
          <w:lang w:eastAsia="en-US"/>
        </w:rPr>
      </w:pPr>
      <w:proofErr w:type="spellStart"/>
      <w:r w:rsidRPr="00A73721">
        <w:rPr>
          <w:rFonts w:ascii="Calibri" w:eastAsia="Calibri" w:hAnsi="Calibri" w:cs="Calibri"/>
          <w:sz w:val="24"/>
          <w:szCs w:val="24"/>
          <w:lang w:eastAsia="en-US"/>
        </w:rPr>
        <w:t>Asiama</w:t>
      </w:r>
      <w:proofErr w:type="spellEnd"/>
      <w:r w:rsidRPr="00A73721">
        <w:rPr>
          <w:rFonts w:ascii="Calibri" w:eastAsia="Calibri" w:hAnsi="Calibri" w:cs="Calibri"/>
          <w:sz w:val="24"/>
          <w:szCs w:val="24"/>
          <w:lang w:eastAsia="en-US"/>
        </w:rPr>
        <w:t xml:space="preserve">, A.A. and Zhong, H. (2022). </w:t>
      </w:r>
      <w:proofErr w:type="gramStart"/>
      <w:r w:rsidRPr="00A73721">
        <w:rPr>
          <w:rFonts w:ascii="Calibri" w:eastAsia="Calibri" w:hAnsi="Calibri" w:cs="Calibri"/>
          <w:i/>
          <w:iCs/>
          <w:sz w:val="24"/>
          <w:szCs w:val="24"/>
          <w:lang w:eastAsia="en-US"/>
        </w:rPr>
        <w:t>Victims</w:t>
      </w:r>
      <w:proofErr w:type="gramEnd"/>
      <w:r w:rsidRPr="00A73721">
        <w:rPr>
          <w:rFonts w:ascii="Calibri" w:eastAsia="Calibri" w:hAnsi="Calibri" w:cs="Calibri"/>
          <w:i/>
          <w:iCs/>
          <w:sz w:val="24"/>
          <w:szCs w:val="24"/>
          <w:lang w:eastAsia="en-US"/>
        </w:rPr>
        <w:t xml:space="preserve"> rational decision: A theoretical and empirical explanation of dark figures in crime statistics. Cogent Social Sciences</w:t>
      </w:r>
      <w:r w:rsidRPr="00A73721">
        <w:rPr>
          <w:rFonts w:ascii="Calibri" w:eastAsia="Calibri" w:hAnsi="Calibri" w:cs="Calibri"/>
          <w:sz w:val="24"/>
          <w:szCs w:val="24"/>
          <w:lang w:eastAsia="en-US"/>
        </w:rPr>
        <w:t xml:space="preserve">, [online], 8(1). Available from: </w:t>
      </w:r>
      <w:hyperlink r:id="rId31" w:history="1">
        <w:r w:rsidRPr="00A73721">
          <w:rPr>
            <w:rFonts w:ascii="Calibri" w:eastAsia="Calibri" w:hAnsi="Calibri" w:cs="Calibri"/>
            <w:color w:val="0563C1"/>
            <w:sz w:val="24"/>
            <w:szCs w:val="24"/>
            <w:u w:val="single"/>
            <w:lang w:eastAsia="en-US"/>
          </w:rPr>
          <w:t>https://cogentoa.tandfonline.com/doi/full/10.1080/23311886.2022.2029249</w:t>
        </w:r>
      </w:hyperlink>
      <w:r w:rsidRPr="00A73721">
        <w:rPr>
          <w:rFonts w:ascii="Calibri" w:eastAsia="Calibri" w:hAnsi="Calibri" w:cs="Calibri"/>
          <w:sz w:val="24"/>
          <w:szCs w:val="24"/>
          <w:lang w:eastAsia="en-US"/>
        </w:rPr>
        <w:t xml:space="preserve"> </w:t>
      </w:r>
      <w:r w:rsidRPr="00A73721">
        <w:rPr>
          <w:rFonts w:ascii="Calibri" w:eastAsia="Calibri" w:hAnsi="Calibri" w:cs="Calibri"/>
          <w:color w:val="auto"/>
          <w:sz w:val="24"/>
          <w:szCs w:val="24"/>
          <w:lang w:eastAsia="en-US"/>
        </w:rPr>
        <w:t>Accessed on 08/07/22</w:t>
      </w:r>
    </w:p>
    <w:p w14:paraId="39B1359A"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sz w:val="24"/>
          <w:szCs w:val="24"/>
          <w:lang w:eastAsia="en-US"/>
        </w:rPr>
      </w:pPr>
    </w:p>
    <w:p w14:paraId="5E6224F8"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763117A1"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 xml:space="preserve">Barbara, A.M. (1979). </w:t>
      </w:r>
      <w:r w:rsidRPr="00A73721">
        <w:rPr>
          <w:rFonts w:ascii="Calibri" w:eastAsia="Calibri" w:hAnsi="Calibri" w:cs="Calibri"/>
          <w:i/>
          <w:iCs/>
          <w:color w:val="auto"/>
          <w:sz w:val="24"/>
          <w:szCs w:val="24"/>
          <w:lang w:eastAsia="en-US"/>
        </w:rPr>
        <w:t xml:space="preserve">Sexual assault victims. Issues in Mental Health Nursing, </w:t>
      </w:r>
      <w:r w:rsidRPr="00A73721">
        <w:rPr>
          <w:rFonts w:ascii="Calibri" w:eastAsia="Calibri" w:hAnsi="Calibri" w:cs="Calibri"/>
          <w:sz w:val="24"/>
          <w:szCs w:val="24"/>
          <w:lang w:eastAsia="en-US"/>
        </w:rPr>
        <w:t xml:space="preserve">[online], </w:t>
      </w:r>
      <w:r w:rsidRPr="00A73721">
        <w:rPr>
          <w:rFonts w:ascii="Calibri" w:eastAsia="Calibri" w:hAnsi="Calibri" w:cs="Calibri"/>
          <w:color w:val="auto"/>
          <w:sz w:val="24"/>
          <w:szCs w:val="24"/>
          <w:lang w:eastAsia="en-US"/>
        </w:rPr>
        <w:t xml:space="preserve">2(1), pp.87–101. </w:t>
      </w:r>
      <w:r w:rsidRPr="00A73721">
        <w:rPr>
          <w:rFonts w:ascii="Calibri" w:eastAsia="Calibri" w:hAnsi="Calibri" w:cs="Calibri"/>
          <w:sz w:val="24"/>
          <w:szCs w:val="24"/>
          <w:lang w:eastAsia="en-US"/>
        </w:rPr>
        <w:t xml:space="preserve">Available from: </w:t>
      </w:r>
      <w:hyperlink r:id="rId32" w:history="1">
        <w:r w:rsidRPr="00A73721">
          <w:rPr>
            <w:rFonts w:ascii="Calibri" w:eastAsia="Calibri" w:hAnsi="Calibri" w:cs="Calibri"/>
            <w:color w:val="0563C1"/>
            <w:sz w:val="24"/>
            <w:szCs w:val="24"/>
            <w:u w:val="single"/>
            <w:lang w:eastAsia="en-US"/>
          </w:rPr>
          <w:t>https://www.tandfonline.com/doi/abs/10.3109/0</w:t>
        </w:r>
        <w:r w:rsidRPr="00A73721">
          <w:rPr>
            <w:rFonts w:ascii="Calibri" w:eastAsia="Calibri" w:hAnsi="Calibri" w:cs="Calibri"/>
            <w:color w:val="0563C1"/>
            <w:sz w:val="24"/>
            <w:szCs w:val="24"/>
            <w:u w:val="single"/>
            <w:lang w:eastAsia="en-US"/>
          </w:rPr>
          <w:t>1</w:t>
        </w:r>
        <w:r w:rsidRPr="00A73721">
          <w:rPr>
            <w:rFonts w:ascii="Calibri" w:eastAsia="Calibri" w:hAnsi="Calibri" w:cs="Calibri"/>
            <w:color w:val="0563C1"/>
            <w:sz w:val="24"/>
            <w:szCs w:val="24"/>
            <w:u w:val="single"/>
            <w:lang w:eastAsia="en-US"/>
          </w:rPr>
          <w:t>612847909058201</w:t>
        </w:r>
      </w:hyperlink>
      <w:r w:rsidRPr="00A73721">
        <w:rPr>
          <w:rFonts w:ascii="Calibri" w:eastAsia="Calibri" w:hAnsi="Calibri" w:cs="Calibri"/>
          <w:color w:val="auto"/>
          <w:sz w:val="24"/>
          <w:szCs w:val="24"/>
          <w:lang w:eastAsia="en-US"/>
        </w:rPr>
        <w:t xml:space="preserve"> Accessed on 08/07/22</w:t>
      </w:r>
    </w:p>
    <w:p w14:paraId="54647E03"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2E43231D"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 xml:space="preserve">Baker, J.P. and </w:t>
      </w:r>
      <w:proofErr w:type="spellStart"/>
      <w:r w:rsidRPr="00A73721">
        <w:rPr>
          <w:rFonts w:ascii="Calibri" w:eastAsia="Calibri" w:hAnsi="Calibri" w:cs="Calibri"/>
          <w:color w:val="auto"/>
          <w:sz w:val="24"/>
          <w:szCs w:val="24"/>
          <w:lang w:eastAsia="en-US"/>
        </w:rPr>
        <w:t>Berenbaum</w:t>
      </w:r>
      <w:proofErr w:type="spellEnd"/>
      <w:r w:rsidRPr="00A73721">
        <w:rPr>
          <w:rFonts w:ascii="Calibri" w:eastAsia="Calibri" w:hAnsi="Calibri" w:cs="Calibri"/>
          <w:color w:val="auto"/>
          <w:sz w:val="24"/>
          <w:szCs w:val="24"/>
          <w:lang w:eastAsia="en-US"/>
        </w:rPr>
        <w:t xml:space="preserve">, H. (2007). </w:t>
      </w:r>
      <w:r w:rsidRPr="00A73721">
        <w:rPr>
          <w:rFonts w:ascii="Calibri" w:eastAsia="Calibri" w:hAnsi="Calibri" w:cs="Calibri"/>
          <w:i/>
          <w:iCs/>
          <w:color w:val="auto"/>
          <w:sz w:val="24"/>
          <w:szCs w:val="24"/>
          <w:lang w:eastAsia="en-US"/>
        </w:rPr>
        <w:t>Emotional approach and problem-focused coping: A comparison of potentially adaptive strategies. Cognition &amp; Emotion</w:t>
      </w:r>
      <w:r w:rsidRPr="00A73721">
        <w:rPr>
          <w:rFonts w:ascii="Calibri" w:eastAsia="Calibri" w:hAnsi="Calibri" w:cs="Calibri"/>
          <w:color w:val="auto"/>
          <w:sz w:val="24"/>
          <w:szCs w:val="24"/>
          <w:lang w:eastAsia="en-US"/>
        </w:rPr>
        <w:t xml:space="preserve">, </w:t>
      </w:r>
      <w:r w:rsidRPr="00A73721">
        <w:rPr>
          <w:rFonts w:ascii="Calibri" w:eastAsia="Calibri" w:hAnsi="Calibri" w:cs="Calibri"/>
          <w:sz w:val="24"/>
          <w:szCs w:val="24"/>
          <w:lang w:eastAsia="en-US"/>
        </w:rPr>
        <w:t xml:space="preserve">[online], </w:t>
      </w:r>
      <w:r w:rsidRPr="00A73721">
        <w:rPr>
          <w:rFonts w:ascii="Calibri" w:eastAsia="Calibri" w:hAnsi="Calibri" w:cs="Calibri"/>
          <w:color w:val="auto"/>
          <w:sz w:val="24"/>
          <w:szCs w:val="24"/>
          <w:lang w:eastAsia="en-US"/>
        </w:rPr>
        <w:t xml:space="preserve">21(1), pp.95–118. </w:t>
      </w:r>
      <w:r w:rsidRPr="00A73721">
        <w:rPr>
          <w:rFonts w:ascii="Calibri" w:eastAsia="Calibri" w:hAnsi="Calibri" w:cs="Calibri"/>
          <w:sz w:val="24"/>
          <w:szCs w:val="24"/>
          <w:lang w:eastAsia="en-US"/>
        </w:rPr>
        <w:t xml:space="preserve">Available from: </w:t>
      </w:r>
      <w:hyperlink r:id="rId33" w:history="1">
        <w:r w:rsidRPr="00A73721">
          <w:rPr>
            <w:rFonts w:ascii="Calibri" w:eastAsia="Calibri" w:hAnsi="Calibri" w:cs="Calibri"/>
            <w:color w:val="0563C1"/>
            <w:sz w:val="24"/>
            <w:szCs w:val="24"/>
            <w:u w:val="single"/>
            <w:lang w:eastAsia="en-US"/>
          </w:rPr>
          <w:t>https://www.tandfonline.com/doi/abs/10.1080/02699930600562276?journalCode=pcem20</w:t>
        </w:r>
      </w:hyperlink>
      <w:r w:rsidRPr="00A73721">
        <w:rPr>
          <w:rFonts w:ascii="Calibri" w:eastAsia="Calibri" w:hAnsi="Calibri" w:cs="Calibri"/>
          <w:color w:val="auto"/>
          <w:sz w:val="24"/>
          <w:szCs w:val="24"/>
          <w:lang w:eastAsia="en-US"/>
        </w:rPr>
        <w:t xml:space="preserve"> Accessed on 08/07/22</w:t>
      </w:r>
    </w:p>
    <w:p w14:paraId="60A6EA32"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roofErr w:type="spellStart"/>
      <w:r w:rsidRPr="00A73721">
        <w:rPr>
          <w:rFonts w:ascii="Calibri" w:eastAsia="Calibri" w:hAnsi="Calibri" w:cs="Calibri"/>
          <w:color w:val="auto"/>
          <w:sz w:val="24"/>
          <w:szCs w:val="24"/>
          <w:lang w:eastAsia="en-US"/>
        </w:rPr>
        <w:t>Borton</w:t>
      </w:r>
      <w:proofErr w:type="spellEnd"/>
      <w:r w:rsidRPr="00A73721">
        <w:rPr>
          <w:rFonts w:ascii="Calibri" w:eastAsia="Calibri" w:hAnsi="Calibri" w:cs="Calibri"/>
          <w:color w:val="auto"/>
          <w:sz w:val="24"/>
          <w:szCs w:val="24"/>
          <w:lang w:eastAsia="en-US"/>
        </w:rPr>
        <w:t xml:space="preserve">, T. (1970). Read, touch, and </w:t>
      </w:r>
      <w:proofErr w:type="gramStart"/>
      <w:r w:rsidRPr="00A73721">
        <w:rPr>
          <w:rFonts w:ascii="Calibri" w:eastAsia="Calibri" w:hAnsi="Calibri" w:cs="Calibri"/>
          <w:color w:val="auto"/>
          <w:sz w:val="24"/>
          <w:szCs w:val="24"/>
          <w:lang w:eastAsia="en-US"/>
        </w:rPr>
        <w:t>teach:</w:t>
      </w:r>
      <w:proofErr w:type="gramEnd"/>
      <w:r w:rsidRPr="00A73721">
        <w:rPr>
          <w:rFonts w:ascii="Calibri" w:eastAsia="Calibri" w:hAnsi="Calibri" w:cs="Calibri"/>
          <w:color w:val="auto"/>
          <w:sz w:val="24"/>
          <w:szCs w:val="24"/>
          <w:lang w:eastAsia="en-US"/>
        </w:rPr>
        <w:t xml:space="preserve"> student concerns and process education. </w:t>
      </w:r>
      <w:proofErr w:type="spellStart"/>
      <w:r w:rsidRPr="00A73721">
        <w:rPr>
          <w:rFonts w:ascii="Calibri" w:eastAsia="Calibri" w:hAnsi="Calibri" w:cs="Calibri"/>
          <w:color w:val="auto"/>
          <w:sz w:val="24"/>
          <w:szCs w:val="24"/>
          <w:lang w:eastAsia="en-US"/>
        </w:rPr>
        <w:t>Mcgraw-Hill</w:t>
      </w:r>
      <w:proofErr w:type="spellEnd"/>
      <w:r w:rsidRPr="00A73721">
        <w:rPr>
          <w:rFonts w:ascii="Calibri" w:eastAsia="Calibri" w:hAnsi="Calibri" w:cs="Calibri"/>
          <w:color w:val="auto"/>
          <w:sz w:val="24"/>
          <w:szCs w:val="24"/>
          <w:lang w:eastAsia="en-US"/>
        </w:rPr>
        <w:t>.</w:t>
      </w:r>
    </w:p>
    <w:p w14:paraId="7E73781F"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2ED4360C"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roofErr w:type="spellStart"/>
      <w:r w:rsidRPr="00A73721">
        <w:rPr>
          <w:rFonts w:ascii="Calibri" w:eastAsia="Calibri" w:hAnsi="Calibri" w:cs="Calibri"/>
          <w:color w:val="auto"/>
          <w:sz w:val="24"/>
          <w:szCs w:val="24"/>
          <w:lang w:eastAsia="en-US"/>
        </w:rPr>
        <w:t>Bosma</w:t>
      </w:r>
      <w:proofErr w:type="spellEnd"/>
      <w:r w:rsidRPr="00A73721">
        <w:rPr>
          <w:rFonts w:ascii="Calibri" w:eastAsia="Calibri" w:hAnsi="Calibri" w:cs="Calibri"/>
          <w:color w:val="auto"/>
          <w:sz w:val="24"/>
          <w:szCs w:val="24"/>
          <w:lang w:eastAsia="en-US"/>
        </w:rPr>
        <w:t xml:space="preserve">, A.K., Mulder, E., Pemberton, A. and </w:t>
      </w:r>
      <w:proofErr w:type="spellStart"/>
      <w:r w:rsidRPr="00A73721">
        <w:rPr>
          <w:rFonts w:ascii="Calibri" w:eastAsia="Calibri" w:hAnsi="Calibri" w:cs="Calibri"/>
          <w:color w:val="auto"/>
          <w:sz w:val="24"/>
          <w:szCs w:val="24"/>
          <w:lang w:eastAsia="en-US"/>
        </w:rPr>
        <w:t>Vingerhoets</w:t>
      </w:r>
      <w:proofErr w:type="spellEnd"/>
      <w:r w:rsidRPr="00A73721">
        <w:rPr>
          <w:rFonts w:ascii="Calibri" w:eastAsia="Calibri" w:hAnsi="Calibri" w:cs="Calibri"/>
          <w:color w:val="auto"/>
          <w:sz w:val="24"/>
          <w:szCs w:val="24"/>
          <w:lang w:eastAsia="en-US"/>
        </w:rPr>
        <w:t xml:space="preserve">, A.J.J.M. (2018). </w:t>
      </w:r>
      <w:r w:rsidRPr="00A73721">
        <w:rPr>
          <w:rFonts w:ascii="Calibri" w:eastAsia="Calibri" w:hAnsi="Calibri" w:cs="Calibri"/>
          <w:i/>
          <w:iCs/>
          <w:color w:val="auto"/>
          <w:sz w:val="24"/>
          <w:szCs w:val="24"/>
          <w:lang w:eastAsia="en-US"/>
        </w:rPr>
        <w:t>Observer reactions to emotional victims of serious crimes: stereotypes and expectancy violations. Psychology, Crime &amp; Law,</w:t>
      </w:r>
      <w:r w:rsidRPr="00A73721">
        <w:rPr>
          <w:rFonts w:ascii="Calibri" w:eastAsia="Calibri" w:hAnsi="Calibri" w:cs="Calibri"/>
          <w:sz w:val="24"/>
          <w:szCs w:val="24"/>
          <w:lang w:eastAsia="en-US"/>
        </w:rPr>
        <w:t xml:space="preserve"> [online</w:t>
      </w:r>
      <w:proofErr w:type="gramStart"/>
      <w:r w:rsidRPr="00A73721">
        <w:rPr>
          <w:rFonts w:ascii="Calibri" w:eastAsia="Calibri" w:hAnsi="Calibri" w:cs="Calibri"/>
          <w:sz w:val="24"/>
          <w:szCs w:val="24"/>
          <w:lang w:eastAsia="en-US"/>
        </w:rPr>
        <w:t xml:space="preserve">], </w:t>
      </w:r>
      <w:r w:rsidRPr="00A73721">
        <w:rPr>
          <w:rFonts w:ascii="Calibri" w:eastAsia="Calibri" w:hAnsi="Calibri" w:cs="Calibri"/>
          <w:color w:val="auto"/>
          <w:sz w:val="24"/>
          <w:szCs w:val="24"/>
          <w:lang w:eastAsia="en-US"/>
        </w:rPr>
        <w:t xml:space="preserve"> 24</w:t>
      </w:r>
      <w:proofErr w:type="gramEnd"/>
      <w:r w:rsidRPr="00A73721">
        <w:rPr>
          <w:rFonts w:ascii="Calibri" w:eastAsia="Calibri" w:hAnsi="Calibri" w:cs="Calibri"/>
          <w:color w:val="auto"/>
          <w:sz w:val="24"/>
          <w:szCs w:val="24"/>
          <w:lang w:eastAsia="en-US"/>
        </w:rPr>
        <w:t xml:space="preserve">(9), pp.957–977. </w:t>
      </w:r>
      <w:r w:rsidRPr="00A73721">
        <w:rPr>
          <w:rFonts w:ascii="Calibri" w:eastAsia="Calibri" w:hAnsi="Calibri" w:cs="Calibri"/>
          <w:sz w:val="24"/>
          <w:szCs w:val="24"/>
          <w:lang w:eastAsia="en-US"/>
        </w:rPr>
        <w:t xml:space="preserve">Available from: </w:t>
      </w:r>
      <w:hyperlink r:id="rId34" w:history="1">
        <w:r w:rsidRPr="00A73721">
          <w:rPr>
            <w:rFonts w:ascii="Calibri" w:eastAsia="Calibri" w:hAnsi="Calibri" w:cs="Calibri"/>
            <w:color w:val="0563C1"/>
            <w:sz w:val="24"/>
            <w:szCs w:val="24"/>
            <w:u w:val="single"/>
            <w:lang w:eastAsia="en-US"/>
          </w:rPr>
          <w:t>https://www.tandfonline.com/doi/full/10.1080/1068316X.2018.1467910</w:t>
        </w:r>
      </w:hyperlink>
    </w:p>
    <w:p w14:paraId="1E2A3CB5"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5567B721"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 xml:space="preserve">Caputo, G.A. and King, A. (2015). </w:t>
      </w:r>
      <w:r w:rsidRPr="00A73721">
        <w:rPr>
          <w:rFonts w:ascii="Calibri" w:eastAsia="Calibri" w:hAnsi="Calibri" w:cs="Calibri"/>
          <w:i/>
          <w:iCs/>
          <w:color w:val="auto"/>
          <w:sz w:val="24"/>
          <w:szCs w:val="24"/>
          <w:lang w:eastAsia="en-US"/>
        </w:rPr>
        <w:t xml:space="preserve">Shoplifting by Male and Female Drug Users. Criminal Justice Review, </w:t>
      </w:r>
      <w:r w:rsidRPr="00A73721">
        <w:rPr>
          <w:rFonts w:ascii="Calibri" w:eastAsia="Calibri" w:hAnsi="Calibri" w:cs="Calibri"/>
          <w:sz w:val="24"/>
          <w:szCs w:val="24"/>
          <w:lang w:eastAsia="en-US"/>
        </w:rPr>
        <w:t>[online</w:t>
      </w:r>
      <w:proofErr w:type="gramStart"/>
      <w:r w:rsidRPr="00A73721">
        <w:rPr>
          <w:rFonts w:ascii="Calibri" w:eastAsia="Calibri" w:hAnsi="Calibri" w:cs="Calibri"/>
          <w:sz w:val="24"/>
          <w:szCs w:val="24"/>
          <w:lang w:eastAsia="en-US"/>
        </w:rPr>
        <w:t xml:space="preserve">], </w:t>
      </w:r>
      <w:r w:rsidRPr="00A73721">
        <w:rPr>
          <w:rFonts w:ascii="Calibri" w:eastAsia="Calibri" w:hAnsi="Calibri" w:cs="Calibri"/>
          <w:i/>
          <w:iCs/>
          <w:color w:val="auto"/>
          <w:sz w:val="24"/>
          <w:szCs w:val="24"/>
          <w:lang w:eastAsia="en-US"/>
        </w:rPr>
        <w:t xml:space="preserve"> </w:t>
      </w:r>
      <w:r w:rsidRPr="00A73721">
        <w:rPr>
          <w:rFonts w:ascii="Calibri" w:eastAsia="Calibri" w:hAnsi="Calibri" w:cs="Calibri"/>
          <w:color w:val="auto"/>
          <w:sz w:val="24"/>
          <w:szCs w:val="24"/>
          <w:lang w:eastAsia="en-US"/>
        </w:rPr>
        <w:t>40</w:t>
      </w:r>
      <w:proofErr w:type="gramEnd"/>
      <w:r w:rsidRPr="00A73721">
        <w:rPr>
          <w:rFonts w:ascii="Calibri" w:eastAsia="Calibri" w:hAnsi="Calibri" w:cs="Calibri"/>
          <w:color w:val="auto"/>
          <w:sz w:val="24"/>
          <w:szCs w:val="24"/>
          <w:lang w:eastAsia="en-US"/>
        </w:rPr>
        <w:t xml:space="preserve">(1), pp.47–66. </w:t>
      </w:r>
      <w:r w:rsidRPr="00A73721">
        <w:rPr>
          <w:rFonts w:ascii="Calibri" w:eastAsia="Calibri" w:hAnsi="Calibri" w:cs="Calibri"/>
          <w:sz w:val="24"/>
          <w:szCs w:val="24"/>
          <w:lang w:eastAsia="en-US"/>
        </w:rPr>
        <w:t xml:space="preserve">Available from: </w:t>
      </w:r>
      <w:hyperlink r:id="rId35" w:history="1">
        <w:r w:rsidRPr="00A73721">
          <w:rPr>
            <w:rFonts w:ascii="Calibri" w:eastAsia="Calibri" w:hAnsi="Calibri" w:cs="Calibri"/>
            <w:color w:val="0563C1"/>
            <w:sz w:val="24"/>
            <w:szCs w:val="24"/>
            <w:u w:val="single"/>
            <w:lang w:eastAsia="en-US"/>
          </w:rPr>
          <w:t>https://journals.sagepub.com/doi/10.1177/0734016814568012</w:t>
        </w:r>
      </w:hyperlink>
      <w:r w:rsidRPr="00A73721">
        <w:rPr>
          <w:rFonts w:ascii="Calibri" w:eastAsia="Calibri" w:hAnsi="Calibri" w:cs="Calibri"/>
          <w:color w:val="auto"/>
          <w:sz w:val="24"/>
          <w:szCs w:val="24"/>
          <w:lang w:eastAsia="en-US"/>
        </w:rPr>
        <w:t xml:space="preserve"> Accessed on 08/07/22</w:t>
      </w:r>
    </w:p>
    <w:p w14:paraId="06E962DB"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lastRenderedPageBreak/>
        <w:t xml:space="preserve">College of Policing (2014). Code of Ethics. [online] College of Policing. </w:t>
      </w:r>
      <w:r w:rsidRPr="00A73721">
        <w:rPr>
          <w:rFonts w:ascii="Calibri" w:eastAsia="Calibri" w:hAnsi="Calibri" w:cs="Calibri"/>
          <w:sz w:val="24"/>
          <w:szCs w:val="24"/>
          <w:lang w:eastAsia="en-US"/>
        </w:rPr>
        <w:t xml:space="preserve">Available from: </w:t>
      </w:r>
      <w:hyperlink r:id="rId36" w:history="1">
        <w:r w:rsidRPr="00A73721">
          <w:rPr>
            <w:rFonts w:ascii="Calibri" w:eastAsia="Calibri" w:hAnsi="Calibri" w:cs="Calibri"/>
            <w:color w:val="0563C1"/>
            <w:sz w:val="24"/>
            <w:szCs w:val="24"/>
            <w:u w:val="single"/>
            <w:lang w:eastAsia="en-US"/>
          </w:rPr>
          <w:t>https://www.college.police.uk/ethics/code-of-ethics</w:t>
        </w:r>
      </w:hyperlink>
      <w:r w:rsidRPr="00A73721">
        <w:rPr>
          <w:rFonts w:ascii="Calibri" w:eastAsia="Calibri" w:hAnsi="Calibri" w:cs="Calibri"/>
          <w:color w:val="auto"/>
          <w:sz w:val="24"/>
          <w:szCs w:val="24"/>
          <w:lang w:eastAsia="en-US"/>
        </w:rPr>
        <w:t>. Accessed on 08/07/22</w:t>
      </w:r>
    </w:p>
    <w:p w14:paraId="42821452" w14:textId="77777777" w:rsidR="00A73721" w:rsidRPr="00A73721" w:rsidRDefault="00A73721" w:rsidP="00A73721">
      <w:pPr>
        <w:overflowPunct/>
        <w:autoSpaceDE/>
        <w:autoSpaceDN/>
        <w:adjustRightInd/>
        <w:spacing w:before="100" w:beforeAutospacing="1" w:after="100" w:afterAutospacing="1"/>
        <w:textAlignment w:val="auto"/>
        <w:rPr>
          <w:rFonts w:ascii="Calibri" w:hAnsi="Calibri" w:cs="Calibri"/>
          <w:sz w:val="24"/>
          <w:szCs w:val="24"/>
        </w:rPr>
      </w:pPr>
      <w:r w:rsidRPr="00A73721">
        <w:rPr>
          <w:rFonts w:ascii="Calibri" w:eastAsia="Calibri" w:hAnsi="Calibri" w:cs="Calibri"/>
          <w:color w:val="auto"/>
          <w:sz w:val="24"/>
          <w:szCs w:val="24"/>
          <w:lang w:eastAsia="en-US"/>
        </w:rPr>
        <w:t xml:space="preserve">College of Policing (2020). Conflict management skills. [online] College of Policing. </w:t>
      </w:r>
      <w:r w:rsidRPr="00A73721">
        <w:rPr>
          <w:rFonts w:ascii="Calibri" w:eastAsia="Calibri" w:hAnsi="Calibri" w:cs="Calibri"/>
          <w:sz w:val="24"/>
          <w:szCs w:val="24"/>
          <w:lang w:eastAsia="en-US"/>
        </w:rPr>
        <w:t xml:space="preserve">Available from: </w:t>
      </w:r>
      <w:hyperlink r:id="rId37" w:history="1">
        <w:r w:rsidRPr="00A73721">
          <w:rPr>
            <w:rFonts w:ascii="Calibri" w:eastAsia="Calibri" w:hAnsi="Calibri" w:cs="Calibri"/>
            <w:color w:val="0563C1"/>
            <w:sz w:val="24"/>
            <w:szCs w:val="24"/>
            <w:u w:val="single"/>
            <w:lang w:eastAsia="en-US"/>
          </w:rPr>
          <w:t>https://www.college.police.uk/guidance/conflict-management/conflict-management-skills</w:t>
        </w:r>
      </w:hyperlink>
      <w:r w:rsidRPr="00A73721">
        <w:rPr>
          <w:rFonts w:ascii="Calibri" w:eastAsia="Calibri" w:hAnsi="Calibri" w:cs="Calibri"/>
          <w:color w:val="auto"/>
          <w:sz w:val="24"/>
          <w:szCs w:val="24"/>
          <w:lang w:eastAsia="en-US"/>
        </w:rPr>
        <w:t>. Accessed on 08/07/22</w:t>
      </w:r>
    </w:p>
    <w:p w14:paraId="13526070"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5A4A6993"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73C111C7"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 xml:space="preserve">‌De Castella, K., Goldin, P., </w:t>
      </w:r>
      <w:proofErr w:type="spellStart"/>
      <w:r w:rsidRPr="00A73721">
        <w:rPr>
          <w:rFonts w:ascii="Calibri" w:eastAsia="Calibri" w:hAnsi="Calibri" w:cs="Calibri"/>
          <w:color w:val="auto"/>
          <w:sz w:val="24"/>
          <w:szCs w:val="24"/>
          <w:lang w:eastAsia="en-US"/>
        </w:rPr>
        <w:t>Jazaieri</w:t>
      </w:r>
      <w:proofErr w:type="spellEnd"/>
      <w:r w:rsidRPr="00A73721">
        <w:rPr>
          <w:rFonts w:ascii="Calibri" w:eastAsia="Calibri" w:hAnsi="Calibri" w:cs="Calibri"/>
          <w:color w:val="auto"/>
          <w:sz w:val="24"/>
          <w:szCs w:val="24"/>
          <w:lang w:eastAsia="en-US"/>
        </w:rPr>
        <w:t xml:space="preserve">, H., Ziv, M., Dweck, C.S. and Gross, J.J. (2013). </w:t>
      </w:r>
      <w:r w:rsidRPr="00A73721">
        <w:rPr>
          <w:rFonts w:ascii="Calibri" w:eastAsia="Calibri" w:hAnsi="Calibri" w:cs="Calibri"/>
          <w:i/>
          <w:iCs/>
          <w:color w:val="auto"/>
          <w:sz w:val="24"/>
          <w:szCs w:val="24"/>
          <w:lang w:eastAsia="en-US"/>
        </w:rPr>
        <w:t>Beliefs About Emotion: Links to Emotion Regulation, Well-Being, and Psychological Distress. Basic and Applied Social Psychology</w:t>
      </w:r>
      <w:r w:rsidRPr="00A73721">
        <w:rPr>
          <w:rFonts w:ascii="Calibri" w:eastAsia="Calibri" w:hAnsi="Calibri" w:cs="Calibri"/>
          <w:color w:val="auto"/>
          <w:sz w:val="24"/>
          <w:szCs w:val="24"/>
          <w:lang w:eastAsia="en-US"/>
        </w:rPr>
        <w:t>,</w:t>
      </w:r>
      <w:r w:rsidRPr="00A73721">
        <w:rPr>
          <w:rFonts w:ascii="Calibri" w:eastAsia="Calibri" w:hAnsi="Calibri" w:cs="Calibri"/>
          <w:sz w:val="24"/>
          <w:szCs w:val="24"/>
          <w:lang w:eastAsia="en-US"/>
        </w:rPr>
        <w:t xml:space="preserve"> [online</w:t>
      </w:r>
      <w:proofErr w:type="gramStart"/>
      <w:r w:rsidRPr="00A73721">
        <w:rPr>
          <w:rFonts w:ascii="Calibri" w:eastAsia="Calibri" w:hAnsi="Calibri" w:cs="Calibri"/>
          <w:sz w:val="24"/>
          <w:szCs w:val="24"/>
          <w:lang w:eastAsia="en-US"/>
        </w:rPr>
        <w:t xml:space="preserve">], </w:t>
      </w:r>
      <w:r w:rsidRPr="00A73721">
        <w:rPr>
          <w:rFonts w:ascii="Calibri" w:eastAsia="Calibri" w:hAnsi="Calibri" w:cs="Calibri"/>
          <w:color w:val="auto"/>
          <w:sz w:val="24"/>
          <w:szCs w:val="24"/>
          <w:lang w:eastAsia="en-US"/>
        </w:rPr>
        <w:t xml:space="preserve"> 35</w:t>
      </w:r>
      <w:proofErr w:type="gramEnd"/>
      <w:r w:rsidRPr="00A73721">
        <w:rPr>
          <w:rFonts w:ascii="Calibri" w:eastAsia="Calibri" w:hAnsi="Calibri" w:cs="Calibri"/>
          <w:color w:val="auto"/>
          <w:sz w:val="24"/>
          <w:szCs w:val="24"/>
          <w:lang w:eastAsia="en-US"/>
        </w:rPr>
        <w:t xml:space="preserve">(6), pp.497–505. </w:t>
      </w:r>
      <w:r w:rsidRPr="00A73721">
        <w:rPr>
          <w:rFonts w:ascii="Calibri" w:eastAsia="Calibri" w:hAnsi="Calibri" w:cs="Calibri"/>
          <w:sz w:val="24"/>
          <w:szCs w:val="24"/>
          <w:lang w:eastAsia="en-US"/>
        </w:rPr>
        <w:t xml:space="preserve">Available from: </w:t>
      </w:r>
      <w:hyperlink r:id="rId38" w:history="1">
        <w:r w:rsidRPr="00A73721">
          <w:rPr>
            <w:rFonts w:ascii="Calibri" w:eastAsia="Calibri" w:hAnsi="Calibri" w:cs="Calibri"/>
            <w:color w:val="0563C1"/>
            <w:sz w:val="24"/>
            <w:szCs w:val="24"/>
            <w:u w:val="single"/>
            <w:lang w:eastAsia="en-US"/>
          </w:rPr>
          <w:t>https://www.tandfonline.com/doi/abs/10.1080/01973533.2013.840632?journalCode=hbas20</w:t>
        </w:r>
      </w:hyperlink>
      <w:r w:rsidRPr="00A73721">
        <w:rPr>
          <w:rFonts w:ascii="Calibri" w:eastAsia="Calibri" w:hAnsi="Calibri" w:cs="Calibri"/>
          <w:color w:val="auto"/>
          <w:sz w:val="24"/>
          <w:szCs w:val="24"/>
          <w:lang w:eastAsia="en-US"/>
        </w:rPr>
        <w:t xml:space="preserve"> Accessed on 08/07/22</w:t>
      </w:r>
    </w:p>
    <w:p w14:paraId="50D3F647"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6E9BECB7"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 xml:space="preserve">De Castella, K., </w:t>
      </w:r>
      <w:proofErr w:type="spellStart"/>
      <w:r w:rsidRPr="00A73721">
        <w:rPr>
          <w:rFonts w:ascii="Calibri" w:eastAsia="Calibri" w:hAnsi="Calibri" w:cs="Calibri"/>
          <w:color w:val="auto"/>
          <w:sz w:val="24"/>
          <w:szCs w:val="24"/>
          <w:lang w:eastAsia="en-US"/>
        </w:rPr>
        <w:t>Platow</w:t>
      </w:r>
      <w:proofErr w:type="spellEnd"/>
      <w:r w:rsidRPr="00A73721">
        <w:rPr>
          <w:rFonts w:ascii="Calibri" w:eastAsia="Calibri" w:hAnsi="Calibri" w:cs="Calibri"/>
          <w:color w:val="auto"/>
          <w:sz w:val="24"/>
          <w:szCs w:val="24"/>
          <w:lang w:eastAsia="en-US"/>
        </w:rPr>
        <w:t xml:space="preserve">, M.J., Tamir, M. and Gross, J.J. (2017). </w:t>
      </w:r>
      <w:r w:rsidRPr="00A73721">
        <w:rPr>
          <w:rFonts w:ascii="Calibri" w:eastAsia="Calibri" w:hAnsi="Calibri" w:cs="Calibri"/>
          <w:i/>
          <w:iCs/>
          <w:color w:val="auto"/>
          <w:sz w:val="24"/>
          <w:szCs w:val="24"/>
          <w:lang w:eastAsia="en-US"/>
        </w:rPr>
        <w:t>Beliefs about emotion: implications for avoidance-based emotion regulation and psychological health. Cognition and Emotion</w:t>
      </w:r>
      <w:r w:rsidRPr="00A73721">
        <w:rPr>
          <w:rFonts w:ascii="Calibri" w:eastAsia="Calibri" w:hAnsi="Calibri" w:cs="Calibri"/>
          <w:color w:val="auto"/>
          <w:sz w:val="24"/>
          <w:szCs w:val="24"/>
          <w:lang w:eastAsia="en-US"/>
        </w:rPr>
        <w:t xml:space="preserve">, </w:t>
      </w:r>
      <w:r w:rsidRPr="00A73721">
        <w:rPr>
          <w:rFonts w:ascii="Calibri" w:eastAsia="Calibri" w:hAnsi="Calibri" w:cs="Calibri"/>
          <w:sz w:val="24"/>
          <w:szCs w:val="24"/>
          <w:lang w:eastAsia="en-US"/>
        </w:rPr>
        <w:t xml:space="preserve">[online], </w:t>
      </w:r>
      <w:r w:rsidRPr="00A73721">
        <w:rPr>
          <w:rFonts w:ascii="Calibri" w:eastAsia="Calibri" w:hAnsi="Calibri" w:cs="Calibri"/>
          <w:color w:val="auto"/>
          <w:sz w:val="24"/>
          <w:szCs w:val="24"/>
          <w:lang w:eastAsia="en-US"/>
        </w:rPr>
        <w:t xml:space="preserve">32(4), pp.773–795. </w:t>
      </w:r>
      <w:r w:rsidRPr="00A73721">
        <w:rPr>
          <w:rFonts w:ascii="Calibri" w:eastAsia="Calibri" w:hAnsi="Calibri" w:cs="Calibri"/>
          <w:sz w:val="24"/>
          <w:szCs w:val="24"/>
          <w:lang w:eastAsia="en-US"/>
        </w:rPr>
        <w:t xml:space="preserve">Available from: </w:t>
      </w:r>
      <w:hyperlink r:id="rId39" w:history="1">
        <w:r w:rsidRPr="00A73721">
          <w:rPr>
            <w:rFonts w:ascii="Calibri" w:eastAsia="Calibri" w:hAnsi="Calibri" w:cs="Calibri"/>
            <w:color w:val="0563C1"/>
            <w:sz w:val="24"/>
            <w:szCs w:val="24"/>
            <w:u w:val="single"/>
            <w:lang w:eastAsia="en-US"/>
          </w:rPr>
          <w:t>https://www.tandfonline.com/doi/abs/10.1080/02699931.2017.1353485?journalCode=pcem20</w:t>
        </w:r>
      </w:hyperlink>
      <w:r w:rsidRPr="00A73721">
        <w:rPr>
          <w:rFonts w:ascii="Calibri" w:eastAsia="Calibri" w:hAnsi="Calibri" w:cs="Calibri"/>
          <w:color w:val="auto"/>
          <w:sz w:val="24"/>
          <w:szCs w:val="24"/>
          <w:lang w:eastAsia="en-US"/>
        </w:rPr>
        <w:t xml:space="preserve"> Accessed on 08/07/22</w:t>
      </w:r>
    </w:p>
    <w:p w14:paraId="6ED50A09"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r w:rsidRPr="00A73721">
        <w:rPr>
          <w:rFonts w:ascii="Calibri" w:hAnsi="Calibri" w:cs="Calibri"/>
          <w:sz w:val="24"/>
          <w:szCs w:val="24"/>
        </w:rPr>
        <w:t xml:space="preserve">Galvani, S. (2006). </w:t>
      </w:r>
      <w:r w:rsidRPr="00A73721">
        <w:rPr>
          <w:rFonts w:ascii="Calibri" w:hAnsi="Calibri" w:cs="Calibri"/>
          <w:i/>
          <w:iCs/>
          <w:sz w:val="24"/>
          <w:szCs w:val="24"/>
        </w:rPr>
        <w:t>Alcohol and Domestic Violence. Violence Against Women</w:t>
      </w:r>
      <w:r w:rsidRPr="00A73721">
        <w:rPr>
          <w:rFonts w:ascii="Calibri" w:hAnsi="Calibri" w:cs="Calibri"/>
          <w:sz w:val="24"/>
          <w:szCs w:val="24"/>
        </w:rPr>
        <w:t xml:space="preserve">, [online], 12(7), pp.641–662. Available from: </w:t>
      </w:r>
      <w:hyperlink r:id="rId40" w:history="1">
        <w:r w:rsidRPr="00A73721">
          <w:rPr>
            <w:rFonts w:ascii="Calibri" w:hAnsi="Calibri" w:cs="Calibri"/>
            <w:color w:val="0563C1"/>
            <w:sz w:val="24"/>
            <w:szCs w:val="24"/>
            <w:u w:val="single"/>
          </w:rPr>
          <w:t>https://journals.sagepub.com/doi/10.1177/1077801206290238</w:t>
        </w:r>
      </w:hyperlink>
      <w:r w:rsidRPr="00A73721">
        <w:rPr>
          <w:rFonts w:ascii="Calibri" w:hAnsi="Calibri" w:cs="Calibri"/>
          <w:sz w:val="24"/>
          <w:szCs w:val="24"/>
        </w:rPr>
        <w:t xml:space="preserve"> </w:t>
      </w:r>
      <w:r w:rsidRPr="00A73721">
        <w:rPr>
          <w:rFonts w:ascii="Calibri" w:eastAsia="Calibri" w:hAnsi="Calibri" w:cs="Calibri"/>
          <w:color w:val="auto"/>
          <w:sz w:val="24"/>
          <w:szCs w:val="24"/>
        </w:rPr>
        <w:t>Accessed on 08/07/22</w:t>
      </w:r>
    </w:p>
    <w:p w14:paraId="7DEEE849"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515243CF"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roofErr w:type="spellStart"/>
      <w:r w:rsidRPr="00A73721">
        <w:rPr>
          <w:rFonts w:ascii="Calibri" w:eastAsia="Calibri" w:hAnsi="Calibri" w:cs="Calibri"/>
          <w:color w:val="auto"/>
          <w:sz w:val="24"/>
          <w:szCs w:val="24"/>
          <w:lang w:eastAsia="en-US"/>
        </w:rPr>
        <w:t>Gutentag</w:t>
      </w:r>
      <w:proofErr w:type="spellEnd"/>
      <w:r w:rsidRPr="00A73721">
        <w:rPr>
          <w:rFonts w:ascii="Calibri" w:eastAsia="Calibri" w:hAnsi="Calibri" w:cs="Calibri"/>
          <w:color w:val="auto"/>
          <w:sz w:val="24"/>
          <w:szCs w:val="24"/>
          <w:lang w:eastAsia="en-US"/>
        </w:rPr>
        <w:t xml:space="preserve">, T., Halperin, E., </w:t>
      </w:r>
      <w:proofErr w:type="spellStart"/>
      <w:r w:rsidRPr="00A73721">
        <w:rPr>
          <w:rFonts w:ascii="Calibri" w:eastAsia="Calibri" w:hAnsi="Calibri" w:cs="Calibri"/>
          <w:color w:val="auto"/>
          <w:sz w:val="24"/>
          <w:szCs w:val="24"/>
          <w:lang w:eastAsia="en-US"/>
        </w:rPr>
        <w:t>Porat</w:t>
      </w:r>
      <w:proofErr w:type="spellEnd"/>
      <w:r w:rsidRPr="00A73721">
        <w:rPr>
          <w:rFonts w:ascii="Calibri" w:eastAsia="Calibri" w:hAnsi="Calibri" w:cs="Calibri"/>
          <w:color w:val="auto"/>
          <w:sz w:val="24"/>
          <w:szCs w:val="24"/>
          <w:lang w:eastAsia="en-US"/>
        </w:rPr>
        <w:t xml:space="preserve">, R., </w:t>
      </w:r>
      <w:proofErr w:type="spellStart"/>
      <w:r w:rsidRPr="00A73721">
        <w:rPr>
          <w:rFonts w:ascii="Calibri" w:eastAsia="Calibri" w:hAnsi="Calibri" w:cs="Calibri"/>
          <w:color w:val="auto"/>
          <w:sz w:val="24"/>
          <w:szCs w:val="24"/>
          <w:lang w:eastAsia="en-US"/>
        </w:rPr>
        <w:t>Bigman</w:t>
      </w:r>
      <w:proofErr w:type="spellEnd"/>
      <w:r w:rsidRPr="00A73721">
        <w:rPr>
          <w:rFonts w:ascii="Calibri" w:eastAsia="Calibri" w:hAnsi="Calibri" w:cs="Calibri"/>
          <w:color w:val="auto"/>
          <w:sz w:val="24"/>
          <w:szCs w:val="24"/>
          <w:lang w:eastAsia="en-US"/>
        </w:rPr>
        <w:t>, Y.E. and Tamir, M. (2016). S</w:t>
      </w:r>
      <w:r w:rsidRPr="00A73721">
        <w:rPr>
          <w:rFonts w:ascii="Calibri" w:eastAsia="Calibri" w:hAnsi="Calibri" w:cs="Calibri"/>
          <w:i/>
          <w:iCs/>
          <w:color w:val="auto"/>
          <w:sz w:val="24"/>
          <w:szCs w:val="24"/>
          <w:lang w:eastAsia="en-US"/>
        </w:rPr>
        <w:t>uccessful emotion regulation requires both conviction and skill: beliefs about the controllability of emotions, reappraisal, and regulation success. Cognition and Emotion,</w:t>
      </w:r>
      <w:r w:rsidRPr="00A73721">
        <w:rPr>
          <w:rFonts w:ascii="Calibri" w:eastAsia="Calibri" w:hAnsi="Calibri" w:cs="Calibri"/>
          <w:sz w:val="24"/>
          <w:szCs w:val="24"/>
          <w:lang w:eastAsia="en-US"/>
        </w:rPr>
        <w:t xml:space="preserve"> [online</w:t>
      </w:r>
      <w:proofErr w:type="gramStart"/>
      <w:r w:rsidRPr="00A73721">
        <w:rPr>
          <w:rFonts w:ascii="Calibri" w:eastAsia="Calibri" w:hAnsi="Calibri" w:cs="Calibri"/>
          <w:sz w:val="24"/>
          <w:szCs w:val="24"/>
          <w:lang w:eastAsia="en-US"/>
        </w:rPr>
        <w:t xml:space="preserve">], </w:t>
      </w:r>
      <w:r w:rsidRPr="00A73721">
        <w:rPr>
          <w:rFonts w:ascii="Calibri" w:eastAsia="Calibri" w:hAnsi="Calibri" w:cs="Calibri"/>
          <w:i/>
          <w:iCs/>
          <w:color w:val="auto"/>
          <w:sz w:val="24"/>
          <w:szCs w:val="24"/>
          <w:lang w:eastAsia="en-US"/>
        </w:rPr>
        <w:t xml:space="preserve"> </w:t>
      </w:r>
      <w:r w:rsidRPr="00A73721">
        <w:rPr>
          <w:rFonts w:ascii="Calibri" w:eastAsia="Calibri" w:hAnsi="Calibri" w:cs="Calibri"/>
          <w:color w:val="auto"/>
          <w:sz w:val="24"/>
          <w:szCs w:val="24"/>
          <w:lang w:eastAsia="en-US"/>
        </w:rPr>
        <w:t>31</w:t>
      </w:r>
      <w:proofErr w:type="gramEnd"/>
      <w:r w:rsidRPr="00A73721">
        <w:rPr>
          <w:rFonts w:ascii="Calibri" w:eastAsia="Calibri" w:hAnsi="Calibri" w:cs="Calibri"/>
          <w:color w:val="auto"/>
          <w:sz w:val="24"/>
          <w:szCs w:val="24"/>
          <w:lang w:eastAsia="en-US"/>
        </w:rPr>
        <w:t xml:space="preserve">(6), pp.1225–1233. </w:t>
      </w:r>
      <w:r w:rsidRPr="00A73721">
        <w:rPr>
          <w:rFonts w:ascii="Calibri" w:eastAsia="Calibri" w:hAnsi="Calibri" w:cs="Calibri"/>
          <w:sz w:val="24"/>
          <w:szCs w:val="24"/>
          <w:lang w:eastAsia="en-US"/>
        </w:rPr>
        <w:t xml:space="preserve">Available from: </w:t>
      </w:r>
      <w:hyperlink r:id="rId41" w:history="1">
        <w:r w:rsidRPr="00A73721">
          <w:rPr>
            <w:rFonts w:ascii="Calibri" w:eastAsia="Calibri" w:hAnsi="Calibri" w:cs="Calibri"/>
            <w:color w:val="0563C1"/>
            <w:sz w:val="24"/>
            <w:szCs w:val="24"/>
            <w:u w:val="single"/>
            <w:lang w:eastAsia="en-US"/>
          </w:rPr>
          <w:t>https://www.tandfonline.com/doi/abs/10.1080/02699931.2016.1213704?journalCode=pcem20</w:t>
        </w:r>
      </w:hyperlink>
      <w:r w:rsidRPr="00A73721">
        <w:rPr>
          <w:rFonts w:ascii="Calibri" w:eastAsia="Calibri" w:hAnsi="Calibri" w:cs="Calibri"/>
          <w:color w:val="auto"/>
          <w:sz w:val="24"/>
          <w:szCs w:val="24"/>
          <w:lang w:eastAsia="en-US"/>
        </w:rPr>
        <w:t xml:space="preserve"> Accessed on 08/07/22</w:t>
      </w:r>
    </w:p>
    <w:p w14:paraId="5C004FD0"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r w:rsidRPr="00A73721">
        <w:rPr>
          <w:rFonts w:ascii="Calibri" w:hAnsi="Calibri" w:cs="Calibri"/>
          <w:sz w:val="24"/>
          <w:szCs w:val="24"/>
        </w:rPr>
        <w:t>Great Britain. Home Office (1995). </w:t>
      </w:r>
      <w:r w:rsidRPr="00A73721">
        <w:rPr>
          <w:rFonts w:ascii="Calibri" w:hAnsi="Calibri" w:cs="Calibri"/>
          <w:i/>
          <w:iCs/>
          <w:sz w:val="24"/>
          <w:szCs w:val="24"/>
        </w:rPr>
        <w:t xml:space="preserve">Police and Criminal Evidence Act </w:t>
      </w:r>
      <w:proofErr w:type="gramStart"/>
      <w:r w:rsidRPr="00A73721">
        <w:rPr>
          <w:rFonts w:ascii="Calibri" w:hAnsi="Calibri" w:cs="Calibri"/>
          <w:i/>
          <w:iCs/>
          <w:sz w:val="24"/>
          <w:szCs w:val="24"/>
        </w:rPr>
        <w:t>1984 :</w:t>
      </w:r>
      <w:proofErr w:type="gramEnd"/>
      <w:r w:rsidRPr="00A73721">
        <w:rPr>
          <w:rFonts w:ascii="Calibri" w:hAnsi="Calibri" w:cs="Calibri"/>
          <w:i/>
          <w:iCs/>
          <w:sz w:val="24"/>
          <w:szCs w:val="24"/>
        </w:rPr>
        <w:t xml:space="preserve"> codes of practice.</w:t>
      </w:r>
      <w:r w:rsidRPr="00A73721">
        <w:rPr>
          <w:rFonts w:ascii="Calibri" w:hAnsi="Calibri" w:cs="Calibri"/>
          <w:sz w:val="24"/>
          <w:szCs w:val="24"/>
        </w:rPr>
        <w:t xml:space="preserve"> London: H.M.S.O. [online], Available from: </w:t>
      </w:r>
      <w:hyperlink r:id="rId42" w:history="1">
        <w:r w:rsidRPr="00A73721">
          <w:rPr>
            <w:rFonts w:ascii="Calibri" w:hAnsi="Calibri" w:cs="Calibri"/>
            <w:color w:val="0563C1"/>
            <w:sz w:val="24"/>
            <w:szCs w:val="24"/>
            <w:u w:val="single"/>
          </w:rPr>
          <w:t>https://www.gov.uk/guidance/police-and-criminal-evidence-act-1984-pace-codes-of-practice</w:t>
        </w:r>
      </w:hyperlink>
      <w:r w:rsidRPr="00A73721">
        <w:rPr>
          <w:rFonts w:ascii="Calibri" w:hAnsi="Calibri" w:cs="Calibri"/>
          <w:sz w:val="24"/>
          <w:szCs w:val="24"/>
        </w:rPr>
        <w:t>. Accessed on 08/07/22</w:t>
      </w:r>
    </w:p>
    <w:p w14:paraId="1302C2D2"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p>
    <w:p w14:paraId="6BF8A71C"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r w:rsidRPr="00A73721">
        <w:rPr>
          <w:rFonts w:ascii="Calibri" w:hAnsi="Calibri" w:cs="Calibri"/>
          <w:sz w:val="24"/>
          <w:szCs w:val="24"/>
        </w:rPr>
        <w:t>Great Britain. Home Office (2012). </w:t>
      </w:r>
      <w:r w:rsidRPr="00A73721">
        <w:rPr>
          <w:rFonts w:ascii="Calibri" w:hAnsi="Calibri" w:cs="Calibri"/>
          <w:i/>
          <w:iCs/>
          <w:sz w:val="24"/>
          <w:szCs w:val="24"/>
        </w:rPr>
        <w:t xml:space="preserve">Code </w:t>
      </w:r>
      <w:proofErr w:type="gramStart"/>
      <w:r w:rsidRPr="00A73721">
        <w:rPr>
          <w:rFonts w:ascii="Calibri" w:hAnsi="Calibri" w:cs="Calibri"/>
          <w:i/>
          <w:iCs/>
          <w:sz w:val="24"/>
          <w:szCs w:val="24"/>
        </w:rPr>
        <w:t>G :</w:t>
      </w:r>
      <w:proofErr w:type="gramEnd"/>
      <w:r w:rsidRPr="00A73721">
        <w:rPr>
          <w:rFonts w:ascii="Calibri" w:hAnsi="Calibri" w:cs="Calibri"/>
          <w:i/>
          <w:iCs/>
          <w:sz w:val="24"/>
          <w:szCs w:val="24"/>
        </w:rPr>
        <w:t xml:space="preserve"> revised code of practice for the statutory power of arrest by police officers.</w:t>
      </w:r>
      <w:r w:rsidRPr="00A73721">
        <w:rPr>
          <w:rFonts w:ascii="Calibri" w:hAnsi="Calibri" w:cs="Calibri"/>
          <w:sz w:val="24"/>
          <w:szCs w:val="24"/>
        </w:rPr>
        <w:t xml:space="preserve"> London: Tso. [online], Available from: </w:t>
      </w:r>
    </w:p>
    <w:p w14:paraId="3D2FDF8C"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hyperlink r:id="rId43" w:history="1">
        <w:r w:rsidRPr="00A73721">
          <w:rPr>
            <w:rFonts w:ascii="Calibri" w:hAnsi="Calibri" w:cs="Calibri"/>
            <w:color w:val="0563C1"/>
            <w:sz w:val="24"/>
            <w:szCs w:val="24"/>
            <w:u w:val="single"/>
          </w:rPr>
          <w:t>https://assets.publishing.service.gov.uk/government/uploads/system/uploads/attachment_data/file/903814/pace-code-g-2012.pdf Accessed on 08/07/22</w:t>
        </w:r>
      </w:hyperlink>
    </w:p>
    <w:p w14:paraId="709FD9CB"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p>
    <w:p w14:paraId="3F733C14"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r w:rsidRPr="00A73721">
        <w:rPr>
          <w:rFonts w:ascii="Calibri" w:hAnsi="Calibri" w:cs="Calibri"/>
          <w:sz w:val="24"/>
          <w:szCs w:val="24"/>
        </w:rPr>
        <w:lastRenderedPageBreak/>
        <w:t>Great Britain. Home Office (2013). </w:t>
      </w:r>
      <w:r w:rsidRPr="00A73721">
        <w:rPr>
          <w:rFonts w:ascii="Calibri" w:hAnsi="Calibri" w:cs="Calibri"/>
          <w:i/>
          <w:iCs/>
          <w:sz w:val="24"/>
          <w:szCs w:val="24"/>
        </w:rPr>
        <w:t>Police and Criminal Evidence Act 1984 (PACE) 67(7B</w:t>
      </w:r>
      <w:proofErr w:type="gramStart"/>
      <w:r w:rsidRPr="00A73721">
        <w:rPr>
          <w:rFonts w:ascii="Calibri" w:hAnsi="Calibri" w:cs="Calibri"/>
          <w:i/>
          <w:iCs/>
          <w:sz w:val="24"/>
          <w:szCs w:val="24"/>
        </w:rPr>
        <w:t>) :</w:t>
      </w:r>
      <w:proofErr w:type="gramEnd"/>
      <w:r w:rsidRPr="00A73721">
        <w:rPr>
          <w:rFonts w:ascii="Calibri" w:hAnsi="Calibri" w:cs="Calibri"/>
          <w:i/>
          <w:iCs/>
          <w:sz w:val="24"/>
          <w:szCs w:val="24"/>
        </w:rPr>
        <w:t xml:space="preserve"> code B : revised code of practice for searches of premises by police officers and the seizure of property found by police officers on persons or premises</w:t>
      </w:r>
      <w:r w:rsidRPr="00A73721">
        <w:rPr>
          <w:rFonts w:ascii="Calibri" w:hAnsi="Calibri" w:cs="Calibri"/>
          <w:sz w:val="24"/>
          <w:szCs w:val="24"/>
        </w:rPr>
        <w:t xml:space="preserve">. London: The Stationery Office. [online] Available from: </w:t>
      </w:r>
      <w:hyperlink r:id="rId44" w:history="1">
        <w:r w:rsidRPr="00A73721">
          <w:rPr>
            <w:rFonts w:ascii="Calibri" w:hAnsi="Calibri" w:cs="Calibri"/>
            <w:color w:val="0563C1"/>
            <w:sz w:val="24"/>
            <w:szCs w:val="24"/>
            <w:u w:val="single"/>
          </w:rPr>
          <w:t>https://www.gov.uk/government/publications/pace-code-b-2013</w:t>
        </w:r>
      </w:hyperlink>
      <w:r w:rsidRPr="00A73721">
        <w:rPr>
          <w:rFonts w:ascii="Calibri" w:hAnsi="Calibri" w:cs="Calibri"/>
          <w:sz w:val="24"/>
          <w:szCs w:val="24"/>
        </w:rPr>
        <w:t xml:space="preserve"> Accessed on 08/07/22</w:t>
      </w:r>
    </w:p>
    <w:p w14:paraId="42D4A481"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p>
    <w:p w14:paraId="72B7CF83"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r w:rsidRPr="00A73721">
        <w:rPr>
          <w:rFonts w:ascii="Calibri" w:hAnsi="Calibri" w:cs="Calibri"/>
          <w:sz w:val="24"/>
          <w:szCs w:val="24"/>
        </w:rPr>
        <w:t>‌ Great Britain. Home Office (2017). </w:t>
      </w:r>
      <w:r w:rsidRPr="00A73721">
        <w:rPr>
          <w:rFonts w:ascii="Calibri" w:hAnsi="Calibri" w:cs="Calibri"/>
          <w:i/>
          <w:iCs/>
          <w:sz w:val="24"/>
          <w:szCs w:val="24"/>
        </w:rPr>
        <w:t xml:space="preserve">Police and Criminal Evidence Act 1984 (PACE) - Code </w:t>
      </w:r>
      <w:proofErr w:type="gramStart"/>
      <w:r w:rsidRPr="00A73721">
        <w:rPr>
          <w:rFonts w:ascii="Calibri" w:hAnsi="Calibri" w:cs="Calibri"/>
          <w:i/>
          <w:iCs/>
          <w:sz w:val="24"/>
          <w:szCs w:val="24"/>
        </w:rPr>
        <w:t>D :</w:t>
      </w:r>
      <w:proofErr w:type="gramEnd"/>
      <w:r w:rsidRPr="00A73721">
        <w:rPr>
          <w:rFonts w:ascii="Calibri" w:hAnsi="Calibri" w:cs="Calibri"/>
          <w:i/>
          <w:iCs/>
          <w:sz w:val="24"/>
          <w:szCs w:val="24"/>
        </w:rPr>
        <w:t xml:space="preserve"> revised code of practice for the identification of persons by police officers</w:t>
      </w:r>
      <w:r w:rsidRPr="00A73721">
        <w:rPr>
          <w:rFonts w:ascii="Calibri" w:hAnsi="Calibri" w:cs="Calibri"/>
          <w:sz w:val="24"/>
          <w:szCs w:val="24"/>
        </w:rPr>
        <w:t xml:space="preserve">. London: The Stationery Office. [online] Available from: </w:t>
      </w:r>
    </w:p>
    <w:p w14:paraId="10A0CEF3"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hyperlink r:id="rId45" w:history="1">
        <w:r w:rsidRPr="00A73721">
          <w:rPr>
            <w:rFonts w:ascii="Calibri" w:eastAsia="Calibri" w:hAnsi="Calibri" w:cs="Calibri"/>
            <w:color w:val="0563C1"/>
            <w:sz w:val="24"/>
            <w:szCs w:val="24"/>
            <w:u w:val="single"/>
            <w:lang w:eastAsia="en-US"/>
          </w:rPr>
          <w:t>https://www.gov.uk/government/publications/pace-code-d-2017</w:t>
        </w:r>
      </w:hyperlink>
      <w:r w:rsidRPr="00A73721">
        <w:rPr>
          <w:rFonts w:ascii="Calibri" w:eastAsia="Calibri" w:hAnsi="Calibri" w:cs="Calibri"/>
          <w:color w:val="auto"/>
          <w:sz w:val="24"/>
          <w:szCs w:val="24"/>
          <w:lang w:eastAsia="en-US"/>
        </w:rPr>
        <w:t xml:space="preserve"> Accessed on 08/07/22</w:t>
      </w:r>
    </w:p>
    <w:p w14:paraId="04300B96"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 xml:space="preserve">Gross, J.J. (1998). </w:t>
      </w:r>
      <w:r w:rsidRPr="00A73721">
        <w:rPr>
          <w:rFonts w:ascii="Calibri" w:eastAsia="Calibri" w:hAnsi="Calibri" w:cs="Calibri"/>
          <w:i/>
          <w:iCs/>
          <w:color w:val="auto"/>
          <w:sz w:val="24"/>
          <w:szCs w:val="24"/>
          <w:lang w:eastAsia="en-US"/>
        </w:rPr>
        <w:t>The emerging field of emotion regulation: An integrative review. Review of General Psychology</w:t>
      </w:r>
      <w:r w:rsidRPr="00A73721">
        <w:rPr>
          <w:rFonts w:ascii="Calibri" w:eastAsia="Calibri" w:hAnsi="Calibri" w:cs="Calibri"/>
          <w:color w:val="auto"/>
          <w:sz w:val="24"/>
          <w:szCs w:val="24"/>
          <w:lang w:eastAsia="en-US"/>
        </w:rPr>
        <w:t xml:space="preserve">, </w:t>
      </w:r>
      <w:r w:rsidRPr="00A73721">
        <w:rPr>
          <w:rFonts w:ascii="Calibri" w:eastAsia="Calibri" w:hAnsi="Calibri" w:cs="Calibri"/>
          <w:sz w:val="24"/>
          <w:szCs w:val="24"/>
          <w:lang w:eastAsia="en-US"/>
        </w:rPr>
        <w:t xml:space="preserve">[online], </w:t>
      </w:r>
      <w:r w:rsidRPr="00A73721">
        <w:rPr>
          <w:rFonts w:ascii="Calibri" w:eastAsia="Calibri" w:hAnsi="Calibri" w:cs="Calibri"/>
          <w:color w:val="auto"/>
          <w:sz w:val="24"/>
          <w:szCs w:val="24"/>
          <w:lang w:eastAsia="en-US"/>
        </w:rPr>
        <w:t xml:space="preserve">2(3), pp.271–299. </w:t>
      </w:r>
      <w:r w:rsidRPr="00A73721">
        <w:rPr>
          <w:rFonts w:ascii="Calibri" w:eastAsia="Calibri" w:hAnsi="Calibri" w:cs="Calibri"/>
          <w:sz w:val="24"/>
          <w:szCs w:val="24"/>
          <w:lang w:eastAsia="en-US"/>
        </w:rPr>
        <w:t xml:space="preserve">Available from: </w:t>
      </w:r>
      <w:hyperlink r:id="rId46" w:history="1">
        <w:r w:rsidRPr="00A73721">
          <w:rPr>
            <w:rFonts w:ascii="Calibri" w:eastAsia="Calibri" w:hAnsi="Calibri" w:cs="Calibri"/>
            <w:color w:val="0563C1"/>
            <w:sz w:val="24"/>
            <w:szCs w:val="24"/>
            <w:u w:val="single"/>
            <w:lang w:eastAsia="en-US"/>
          </w:rPr>
          <w:t>https://journals.sagepub.com/doi/10.1037/1089-2680.2.3.271</w:t>
        </w:r>
      </w:hyperlink>
      <w:r w:rsidRPr="00A73721">
        <w:rPr>
          <w:rFonts w:ascii="Calibri" w:eastAsia="Calibri" w:hAnsi="Calibri" w:cs="Calibri"/>
          <w:color w:val="auto"/>
          <w:sz w:val="24"/>
          <w:szCs w:val="24"/>
          <w:lang w:eastAsia="en-US"/>
        </w:rPr>
        <w:t xml:space="preserve"> Accessed on 08/07/22</w:t>
      </w:r>
    </w:p>
    <w:p w14:paraId="42391BA9"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Health and Safety Executive (2013). Questioning of suspects - Investigation - Enforcement Guide (England &amp; Wales). [online] Hse.gov.uk.</w:t>
      </w:r>
      <w:r w:rsidRPr="00A73721">
        <w:rPr>
          <w:rFonts w:ascii="Calibri" w:eastAsia="Calibri" w:hAnsi="Calibri" w:cs="Calibri"/>
          <w:sz w:val="24"/>
          <w:szCs w:val="24"/>
          <w:lang w:eastAsia="en-US"/>
        </w:rPr>
        <w:t xml:space="preserve"> Available from: </w:t>
      </w:r>
      <w:hyperlink r:id="rId47" w:history="1">
        <w:r w:rsidRPr="00A73721">
          <w:rPr>
            <w:rFonts w:ascii="Calibri" w:eastAsia="Calibri" w:hAnsi="Calibri" w:cs="Calibri"/>
            <w:color w:val="0563C1"/>
            <w:sz w:val="24"/>
            <w:szCs w:val="24"/>
            <w:u w:val="single"/>
            <w:lang w:eastAsia="en-US"/>
          </w:rPr>
          <w:t>https://www.hse.gov.uk/enforce/enforcementguide/investigation/witness-questioning.htm</w:t>
        </w:r>
      </w:hyperlink>
      <w:r w:rsidRPr="00A73721">
        <w:rPr>
          <w:rFonts w:ascii="Calibri" w:eastAsia="Calibri" w:hAnsi="Calibri" w:cs="Calibri"/>
          <w:color w:val="auto"/>
          <w:sz w:val="24"/>
          <w:szCs w:val="24"/>
          <w:lang w:eastAsia="en-US"/>
        </w:rPr>
        <w:t>. Accessed on 08/07/22</w:t>
      </w:r>
    </w:p>
    <w:p w14:paraId="23E6F5A4"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6E6A66D9"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roofErr w:type="spellStart"/>
      <w:r w:rsidRPr="00A73721">
        <w:rPr>
          <w:rFonts w:ascii="Calibri" w:eastAsia="Calibri" w:hAnsi="Calibri" w:cs="Calibri"/>
          <w:color w:val="auto"/>
          <w:sz w:val="24"/>
          <w:szCs w:val="24"/>
          <w:lang w:eastAsia="en-US"/>
        </w:rPr>
        <w:t>Hesketh</w:t>
      </w:r>
      <w:proofErr w:type="spellEnd"/>
      <w:r w:rsidRPr="00A73721">
        <w:rPr>
          <w:rFonts w:ascii="Calibri" w:eastAsia="Calibri" w:hAnsi="Calibri" w:cs="Calibri"/>
          <w:color w:val="auto"/>
          <w:sz w:val="24"/>
          <w:szCs w:val="24"/>
          <w:lang w:eastAsia="en-US"/>
        </w:rPr>
        <w:t xml:space="preserve">, I., Cooper, C. and Ivy, J. (2018). </w:t>
      </w:r>
      <w:r w:rsidRPr="00A73721">
        <w:rPr>
          <w:rFonts w:ascii="Calibri" w:eastAsia="Calibri" w:hAnsi="Calibri" w:cs="Calibri"/>
          <w:i/>
          <w:iCs/>
          <w:color w:val="auto"/>
          <w:sz w:val="24"/>
          <w:szCs w:val="24"/>
          <w:lang w:eastAsia="en-US"/>
        </w:rPr>
        <w:t xml:space="preserve">Leading the asset: Resilience training efficacy in UK policing. The Police Journal: Theory, Practice and Principles, </w:t>
      </w:r>
      <w:r w:rsidRPr="00A73721">
        <w:rPr>
          <w:rFonts w:ascii="Calibri" w:eastAsia="Calibri" w:hAnsi="Calibri" w:cs="Calibri"/>
          <w:sz w:val="24"/>
          <w:szCs w:val="24"/>
          <w:lang w:eastAsia="en-US"/>
        </w:rPr>
        <w:t xml:space="preserve">[online], </w:t>
      </w:r>
      <w:r w:rsidRPr="00A73721">
        <w:rPr>
          <w:rFonts w:ascii="Calibri" w:eastAsia="Calibri" w:hAnsi="Calibri" w:cs="Calibri"/>
          <w:i/>
          <w:iCs/>
          <w:color w:val="auto"/>
          <w:sz w:val="24"/>
          <w:szCs w:val="24"/>
          <w:lang w:eastAsia="en-US"/>
        </w:rPr>
        <w:t>92(1),</w:t>
      </w:r>
      <w:r w:rsidRPr="00A73721">
        <w:rPr>
          <w:rFonts w:ascii="Calibri" w:eastAsia="Calibri" w:hAnsi="Calibri" w:cs="Calibri"/>
          <w:color w:val="auto"/>
          <w:sz w:val="24"/>
          <w:szCs w:val="24"/>
          <w:lang w:eastAsia="en-US"/>
        </w:rPr>
        <w:t xml:space="preserve"> pp.56–71. </w:t>
      </w:r>
      <w:r w:rsidRPr="00A73721">
        <w:rPr>
          <w:rFonts w:ascii="Calibri" w:eastAsia="Calibri" w:hAnsi="Calibri" w:cs="Calibri"/>
          <w:sz w:val="24"/>
          <w:szCs w:val="24"/>
          <w:lang w:eastAsia="en-US"/>
        </w:rPr>
        <w:t xml:space="preserve">Available from: </w:t>
      </w:r>
      <w:hyperlink r:id="rId48" w:history="1">
        <w:r w:rsidRPr="00A73721">
          <w:rPr>
            <w:rFonts w:ascii="Calibri" w:eastAsia="Calibri" w:hAnsi="Calibri" w:cs="Calibri"/>
            <w:color w:val="0563C1"/>
            <w:sz w:val="24"/>
            <w:szCs w:val="24"/>
            <w:u w:val="single"/>
            <w:lang w:eastAsia="en-US"/>
          </w:rPr>
          <w:t>https://journals.sagepub.com/doi/10.1177/0032258X18763101</w:t>
        </w:r>
      </w:hyperlink>
      <w:r w:rsidRPr="00A73721">
        <w:rPr>
          <w:rFonts w:ascii="Calibri" w:eastAsia="Calibri" w:hAnsi="Calibri" w:cs="Calibri"/>
          <w:color w:val="auto"/>
          <w:sz w:val="24"/>
          <w:szCs w:val="24"/>
          <w:lang w:eastAsia="en-US"/>
        </w:rPr>
        <w:t xml:space="preserve"> Accessed on 08/07/22</w:t>
      </w:r>
    </w:p>
    <w:p w14:paraId="02F87D9C"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 xml:space="preserve">Hopkins-Burke, R. and Hodgson, P. (2015). </w:t>
      </w:r>
      <w:r w:rsidRPr="00A73721">
        <w:rPr>
          <w:rFonts w:ascii="Calibri" w:eastAsia="Calibri" w:hAnsi="Calibri" w:cs="Calibri"/>
          <w:i/>
          <w:iCs/>
          <w:color w:val="auto"/>
          <w:sz w:val="24"/>
          <w:szCs w:val="24"/>
          <w:lang w:eastAsia="en-US"/>
        </w:rPr>
        <w:t xml:space="preserve">Anti-social behaviour, </w:t>
      </w:r>
      <w:proofErr w:type="gramStart"/>
      <w:r w:rsidRPr="00A73721">
        <w:rPr>
          <w:rFonts w:ascii="Calibri" w:eastAsia="Calibri" w:hAnsi="Calibri" w:cs="Calibri"/>
          <w:i/>
          <w:iCs/>
          <w:color w:val="auto"/>
          <w:sz w:val="24"/>
          <w:szCs w:val="24"/>
          <w:lang w:eastAsia="en-US"/>
        </w:rPr>
        <w:t>community</w:t>
      </w:r>
      <w:proofErr w:type="gramEnd"/>
      <w:r w:rsidRPr="00A73721">
        <w:rPr>
          <w:rFonts w:ascii="Calibri" w:eastAsia="Calibri" w:hAnsi="Calibri" w:cs="Calibri"/>
          <w:i/>
          <w:iCs/>
          <w:color w:val="auto"/>
          <w:sz w:val="24"/>
          <w:szCs w:val="24"/>
          <w:lang w:eastAsia="en-US"/>
        </w:rPr>
        <w:t xml:space="preserve"> and radical moral communitarianism. Cogent Social Sciences</w:t>
      </w:r>
      <w:r w:rsidRPr="00A73721">
        <w:rPr>
          <w:rFonts w:ascii="Calibri" w:eastAsia="Calibri" w:hAnsi="Calibri" w:cs="Calibri"/>
          <w:color w:val="auto"/>
          <w:sz w:val="24"/>
          <w:szCs w:val="24"/>
          <w:lang w:eastAsia="en-US"/>
        </w:rPr>
        <w:t xml:space="preserve">, </w:t>
      </w:r>
      <w:r w:rsidRPr="00A73721">
        <w:rPr>
          <w:rFonts w:ascii="Calibri" w:eastAsia="Calibri" w:hAnsi="Calibri" w:cs="Calibri"/>
          <w:sz w:val="24"/>
          <w:szCs w:val="24"/>
          <w:lang w:eastAsia="en-US"/>
        </w:rPr>
        <w:t xml:space="preserve">[online], </w:t>
      </w:r>
      <w:r w:rsidRPr="00A73721">
        <w:rPr>
          <w:rFonts w:ascii="Calibri" w:eastAsia="Calibri" w:hAnsi="Calibri" w:cs="Calibri"/>
          <w:color w:val="auto"/>
          <w:sz w:val="24"/>
          <w:szCs w:val="24"/>
          <w:lang w:eastAsia="en-US"/>
        </w:rPr>
        <w:t xml:space="preserve">1(1). </w:t>
      </w:r>
      <w:r w:rsidRPr="00A73721">
        <w:rPr>
          <w:rFonts w:ascii="Calibri" w:eastAsia="Calibri" w:hAnsi="Calibri" w:cs="Calibri"/>
          <w:sz w:val="24"/>
          <w:szCs w:val="24"/>
          <w:lang w:eastAsia="en-US"/>
        </w:rPr>
        <w:t xml:space="preserve">Available from: </w:t>
      </w:r>
      <w:hyperlink r:id="rId49" w:history="1">
        <w:r w:rsidRPr="00A73721">
          <w:rPr>
            <w:rFonts w:ascii="Calibri" w:eastAsia="Calibri" w:hAnsi="Calibri" w:cs="Calibri"/>
            <w:color w:val="0563C1"/>
            <w:sz w:val="24"/>
            <w:szCs w:val="24"/>
            <w:u w:val="single"/>
            <w:lang w:eastAsia="en-US"/>
          </w:rPr>
          <w:t>https://www.tandfonline.com/doi/full/10.1080/23311886.2015.1033369</w:t>
        </w:r>
      </w:hyperlink>
      <w:r w:rsidRPr="00A73721">
        <w:rPr>
          <w:rFonts w:ascii="Calibri" w:eastAsia="Calibri" w:hAnsi="Calibri" w:cs="Calibri"/>
          <w:color w:val="auto"/>
          <w:sz w:val="24"/>
          <w:szCs w:val="24"/>
          <w:lang w:eastAsia="en-US"/>
        </w:rPr>
        <w:t xml:space="preserve"> Accessed on 08/07/22</w:t>
      </w:r>
    </w:p>
    <w:p w14:paraId="11F77702"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5D9D3715"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 xml:space="preserve">Hollows, J. (2003). </w:t>
      </w:r>
      <w:r w:rsidRPr="00A73721">
        <w:rPr>
          <w:rFonts w:ascii="Calibri" w:eastAsia="Calibri" w:hAnsi="Calibri" w:cs="Calibri"/>
          <w:i/>
          <w:iCs/>
          <w:color w:val="auto"/>
          <w:sz w:val="24"/>
          <w:szCs w:val="24"/>
          <w:lang w:eastAsia="en-US"/>
        </w:rPr>
        <w:t>Oliver’s Twist. International Journal of Cultural Studies</w:t>
      </w:r>
      <w:r w:rsidRPr="00A73721">
        <w:rPr>
          <w:rFonts w:ascii="Calibri" w:eastAsia="Calibri" w:hAnsi="Calibri" w:cs="Calibri"/>
          <w:color w:val="auto"/>
          <w:sz w:val="24"/>
          <w:szCs w:val="24"/>
          <w:lang w:eastAsia="en-US"/>
        </w:rPr>
        <w:t xml:space="preserve">, 6(2), pp.229–248. </w:t>
      </w:r>
      <w:r w:rsidRPr="00A73721">
        <w:rPr>
          <w:rFonts w:ascii="Calibri" w:eastAsia="Calibri" w:hAnsi="Calibri" w:cs="Calibri"/>
          <w:sz w:val="24"/>
          <w:szCs w:val="24"/>
          <w:lang w:eastAsia="en-US"/>
        </w:rPr>
        <w:t xml:space="preserve">Available from: </w:t>
      </w:r>
      <w:hyperlink r:id="rId50" w:history="1">
        <w:r w:rsidRPr="00A73721">
          <w:rPr>
            <w:rFonts w:ascii="Calibri" w:eastAsia="Calibri" w:hAnsi="Calibri" w:cs="Calibri"/>
            <w:color w:val="0563C1"/>
            <w:sz w:val="24"/>
            <w:szCs w:val="24"/>
            <w:u w:val="single"/>
            <w:lang w:eastAsia="en-US"/>
          </w:rPr>
          <w:t>https://journals.sagepub.com/doi/10.1177/13678779030062005</w:t>
        </w:r>
      </w:hyperlink>
      <w:r w:rsidRPr="00A73721">
        <w:rPr>
          <w:rFonts w:ascii="Calibri" w:eastAsia="Calibri" w:hAnsi="Calibri" w:cs="Calibri"/>
          <w:color w:val="auto"/>
          <w:sz w:val="24"/>
          <w:szCs w:val="24"/>
          <w:lang w:eastAsia="en-US"/>
        </w:rPr>
        <w:t xml:space="preserve"> Accessed on 08/07/22</w:t>
      </w:r>
    </w:p>
    <w:p w14:paraId="735709AD" w14:textId="77777777" w:rsidR="00A73721" w:rsidRPr="00A73721" w:rsidRDefault="00A73721" w:rsidP="00A73721">
      <w:pPr>
        <w:overflowPunct/>
        <w:autoSpaceDE/>
        <w:autoSpaceDN/>
        <w:adjustRightInd/>
        <w:spacing w:before="100" w:beforeAutospacing="1" w:after="100" w:afterAutospacing="1"/>
        <w:textAlignment w:val="auto"/>
        <w:rPr>
          <w:rFonts w:ascii="Calibri" w:hAnsi="Calibri" w:cs="Calibri"/>
          <w:sz w:val="24"/>
          <w:szCs w:val="24"/>
        </w:rPr>
      </w:pPr>
      <w:r w:rsidRPr="00A73721">
        <w:rPr>
          <w:rFonts w:ascii="Calibri" w:hAnsi="Calibri" w:cs="Calibri"/>
          <w:color w:val="auto"/>
          <w:sz w:val="24"/>
          <w:szCs w:val="24"/>
        </w:rPr>
        <w:t>Home Office (2018). CODE C Revised Code of Practice for the detention, treatment and questioning of persons by Police Officers. [online]</w:t>
      </w:r>
      <w:r w:rsidRPr="00A73721">
        <w:rPr>
          <w:rFonts w:ascii="Calibri" w:hAnsi="Calibri" w:cs="Calibri"/>
          <w:sz w:val="24"/>
          <w:szCs w:val="24"/>
        </w:rPr>
        <w:t xml:space="preserve"> Available from: </w:t>
      </w:r>
      <w:hyperlink r:id="rId51" w:history="1">
        <w:r w:rsidRPr="00A73721">
          <w:rPr>
            <w:rFonts w:ascii="Calibri" w:hAnsi="Calibri" w:cs="Calibri"/>
            <w:color w:val="0563C1"/>
            <w:sz w:val="24"/>
            <w:szCs w:val="24"/>
            <w:u w:val="single"/>
          </w:rPr>
          <w:t>https://assets.publishing.service.gov.uk/government/uploads/system/uploads/attachment_data/file/729842/pace-code-c-2018.pdf</w:t>
        </w:r>
      </w:hyperlink>
      <w:r w:rsidRPr="00A73721">
        <w:rPr>
          <w:rFonts w:ascii="Calibri" w:hAnsi="Calibri" w:cs="Calibri"/>
          <w:color w:val="auto"/>
          <w:sz w:val="24"/>
          <w:szCs w:val="24"/>
        </w:rPr>
        <w:t>.[Accessed 8 Jul. 2022].</w:t>
      </w:r>
    </w:p>
    <w:p w14:paraId="6D1B2503" w14:textId="77777777" w:rsidR="00A73721" w:rsidRPr="00A73721" w:rsidRDefault="00A73721" w:rsidP="00A73721">
      <w:pPr>
        <w:overflowPunct/>
        <w:autoSpaceDE/>
        <w:autoSpaceDN/>
        <w:adjustRightInd/>
        <w:spacing w:before="100" w:beforeAutospacing="1" w:after="100" w:afterAutospacing="1"/>
        <w:textAlignment w:val="auto"/>
        <w:rPr>
          <w:rFonts w:ascii="Calibri" w:eastAsia="Calibri" w:hAnsi="Calibri" w:cs="Calibri"/>
          <w:color w:val="auto"/>
          <w:sz w:val="24"/>
          <w:szCs w:val="24"/>
        </w:rPr>
      </w:pPr>
      <w:r w:rsidRPr="00A73721">
        <w:rPr>
          <w:rFonts w:ascii="Calibri" w:hAnsi="Calibri" w:cs="Calibri"/>
          <w:sz w:val="24"/>
          <w:szCs w:val="24"/>
        </w:rPr>
        <w:t>Home Office (2013). </w:t>
      </w:r>
      <w:r w:rsidRPr="00A73721">
        <w:rPr>
          <w:rFonts w:ascii="Calibri" w:hAnsi="Calibri" w:cs="Calibri"/>
          <w:i/>
          <w:iCs/>
          <w:sz w:val="24"/>
          <w:szCs w:val="24"/>
        </w:rPr>
        <w:t>Police and Criminal Evidence Act 1984 (PACE) codes of practice</w:t>
      </w:r>
      <w:r w:rsidRPr="00A73721">
        <w:rPr>
          <w:rFonts w:ascii="Calibri" w:hAnsi="Calibri" w:cs="Calibri"/>
          <w:sz w:val="24"/>
          <w:szCs w:val="24"/>
        </w:rPr>
        <w:t xml:space="preserve">. [online] GOV.UK. Available from: </w:t>
      </w:r>
      <w:hyperlink r:id="rId52" w:history="1">
        <w:r w:rsidRPr="00A73721">
          <w:rPr>
            <w:rFonts w:ascii="Calibri" w:hAnsi="Calibri" w:cs="Calibri"/>
            <w:color w:val="0563C1"/>
            <w:sz w:val="24"/>
            <w:szCs w:val="24"/>
            <w:u w:val="single"/>
          </w:rPr>
          <w:t xml:space="preserve">https://www.gov.uk/guidance/police-and-criminal-evidence-act-1984-pace-codes-of-practice. </w:t>
        </w:r>
        <w:r w:rsidRPr="00A73721">
          <w:rPr>
            <w:rFonts w:ascii="Calibri" w:eastAsia="Calibri" w:hAnsi="Calibri" w:cs="Calibri"/>
            <w:color w:val="0563C1"/>
            <w:sz w:val="24"/>
            <w:szCs w:val="24"/>
            <w:u w:val="single"/>
          </w:rPr>
          <w:t>Accessed on 08/07/22</w:t>
        </w:r>
      </w:hyperlink>
    </w:p>
    <w:p w14:paraId="4567C4F9"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38FC590D"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proofErr w:type="spellStart"/>
      <w:r w:rsidRPr="00A73721">
        <w:rPr>
          <w:rFonts w:ascii="Calibri" w:hAnsi="Calibri" w:cs="Calibri"/>
          <w:sz w:val="24"/>
          <w:szCs w:val="24"/>
        </w:rPr>
        <w:lastRenderedPageBreak/>
        <w:t>Iratzoqui</w:t>
      </w:r>
      <w:proofErr w:type="spellEnd"/>
      <w:r w:rsidRPr="00A73721">
        <w:rPr>
          <w:rFonts w:ascii="Calibri" w:hAnsi="Calibri" w:cs="Calibri"/>
          <w:sz w:val="24"/>
          <w:szCs w:val="24"/>
        </w:rPr>
        <w:t xml:space="preserve">, A. and Watts, S.J. (2016). </w:t>
      </w:r>
      <w:r w:rsidRPr="00A73721">
        <w:rPr>
          <w:rFonts w:ascii="Calibri" w:hAnsi="Calibri" w:cs="Calibri"/>
          <w:i/>
          <w:iCs/>
          <w:sz w:val="24"/>
          <w:szCs w:val="24"/>
        </w:rPr>
        <w:t>Longitudinal Risks for Domestic Violence. Journal of Interpersonal Violence</w:t>
      </w:r>
      <w:r w:rsidRPr="00A73721">
        <w:rPr>
          <w:rFonts w:ascii="Calibri" w:hAnsi="Calibri" w:cs="Calibri"/>
          <w:sz w:val="24"/>
          <w:szCs w:val="24"/>
        </w:rPr>
        <w:t xml:space="preserve">, [online], 34(14), pp.2839–2862. Available from: </w:t>
      </w:r>
      <w:hyperlink r:id="rId53" w:history="1">
        <w:r w:rsidRPr="00A73721">
          <w:rPr>
            <w:rFonts w:ascii="Calibri" w:hAnsi="Calibri" w:cs="Calibri"/>
            <w:color w:val="0563C1"/>
            <w:sz w:val="24"/>
            <w:szCs w:val="24"/>
            <w:u w:val="single"/>
          </w:rPr>
          <w:t>https://journals.sagepub.com/doi/10.1177/0886260516663897</w:t>
        </w:r>
      </w:hyperlink>
      <w:r w:rsidRPr="00A73721">
        <w:rPr>
          <w:rFonts w:ascii="Calibri" w:hAnsi="Calibri" w:cs="Calibri"/>
          <w:sz w:val="24"/>
          <w:szCs w:val="24"/>
        </w:rPr>
        <w:t xml:space="preserve"> </w:t>
      </w:r>
    </w:p>
    <w:p w14:paraId="43F12456" w14:textId="77777777" w:rsidR="00A73721" w:rsidRPr="00A73721" w:rsidRDefault="00A73721" w:rsidP="00A73721">
      <w:pPr>
        <w:overflowPunct/>
        <w:autoSpaceDE/>
        <w:autoSpaceDN/>
        <w:adjustRightInd/>
        <w:spacing w:line="360" w:lineRule="atLeast"/>
        <w:textAlignment w:val="auto"/>
        <w:rPr>
          <w:rFonts w:ascii="Calibri" w:eastAsia="Calibri" w:hAnsi="Calibri" w:cs="Calibri"/>
          <w:color w:val="auto"/>
          <w:sz w:val="24"/>
          <w:szCs w:val="24"/>
        </w:rPr>
      </w:pPr>
      <w:r w:rsidRPr="00A73721">
        <w:rPr>
          <w:rFonts w:ascii="Calibri" w:eastAsia="Calibri" w:hAnsi="Calibri" w:cs="Calibri"/>
          <w:color w:val="auto"/>
          <w:sz w:val="24"/>
          <w:szCs w:val="24"/>
        </w:rPr>
        <w:t>Accessed on 08/07/22</w:t>
      </w:r>
    </w:p>
    <w:p w14:paraId="150BBE34"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7E8C84E3"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r w:rsidRPr="00A73721">
        <w:rPr>
          <w:rFonts w:ascii="Calibri" w:hAnsi="Calibri" w:cs="Calibri"/>
          <w:sz w:val="24"/>
          <w:szCs w:val="24"/>
        </w:rPr>
        <w:t xml:space="preserve">James, J., </w:t>
      </w:r>
      <w:proofErr w:type="spellStart"/>
      <w:r w:rsidRPr="00A73721">
        <w:rPr>
          <w:rFonts w:ascii="Calibri" w:hAnsi="Calibri" w:cs="Calibri"/>
          <w:sz w:val="24"/>
          <w:szCs w:val="24"/>
        </w:rPr>
        <w:t>Gosho</w:t>
      </w:r>
      <w:proofErr w:type="spellEnd"/>
      <w:r w:rsidRPr="00A73721">
        <w:rPr>
          <w:rFonts w:ascii="Calibri" w:hAnsi="Calibri" w:cs="Calibri"/>
          <w:sz w:val="24"/>
          <w:szCs w:val="24"/>
        </w:rPr>
        <w:t>, C. and Wohl, R.W. (1979). The Relationship between Female Criminality and Drug Use. </w:t>
      </w:r>
      <w:r w:rsidRPr="00A73721">
        <w:rPr>
          <w:rFonts w:ascii="Calibri" w:hAnsi="Calibri" w:cs="Calibri"/>
          <w:i/>
          <w:iCs/>
          <w:sz w:val="24"/>
          <w:szCs w:val="24"/>
        </w:rPr>
        <w:t>International Journal of the Addictions</w:t>
      </w:r>
      <w:r w:rsidRPr="00A73721">
        <w:rPr>
          <w:rFonts w:ascii="Calibri" w:hAnsi="Calibri" w:cs="Calibri"/>
          <w:sz w:val="24"/>
          <w:szCs w:val="24"/>
        </w:rPr>
        <w:t xml:space="preserve">, [online], 14(2), pp.215–229. Available from: </w:t>
      </w:r>
      <w:hyperlink r:id="rId54" w:history="1">
        <w:r w:rsidRPr="00A73721">
          <w:rPr>
            <w:rFonts w:ascii="Calibri" w:hAnsi="Calibri" w:cs="Calibri"/>
            <w:color w:val="0563C1"/>
            <w:sz w:val="24"/>
            <w:szCs w:val="24"/>
            <w:u w:val="single"/>
          </w:rPr>
          <w:t>https://www.tandfonline.com/doi/abs/10.3109/10826087909060367</w:t>
        </w:r>
      </w:hyperlink>
      <w:r w:rsidRPr="00A73721">
        <w:rPr>
          <w:rFonts w:ascii="Calibri" w:hAnsi="Calibri" w:cs="Calibri"/>
          <w:sz w:val="24"/>
          <w:szCs w:val="24"/>
        </w:rPr>
        <w:t xml:space="preserve"> </w:t>
      </w:r>
      <w:r w:rsidRPr="00A73721">
        <w:rPr>
          <w:rFonts w:ascii="Calibri" w:eastAsia="Calibri" w:hAnsi="Calibri" w:cs="Calibri"/>
          <w:color w:val="auto"/>
          <w:sz w:val="24"/>
          <w:szCs w:val="24"/>
        </w:rPr>
        <w:t>Accessed on 08/07/22</w:t>
      </w:r>
    </w:p>
    <w:p w14:paraId="6FD2FAEA"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0BF0C5FE"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 xml:space="preserve">Lupton, D. (1996). Food, the </w:t>
      </w:r>
      <w:proofErr w:type="gramStart"/>
      <w:r w:rsidRPr="00A73721">
        <w:rPr>
          <w:rFonts w:ascii="Calibri" w:eastAsia="Calibri" w:hAnsi="Calibri" w:cs="Calibri"/>
          <w:color w:val="auto"/>
          <w:sz w:val="24"/>
          <w:szCs w:val="24"/>
          <w:lang w:eastAsia="en-US"/>
        </w:rPr>
        <w:t>body</w:t>
      </w:r>
      <w:proofErr w:type="gramEnd"/>
      <w:r w:rsidRPr="00A73721">
        <w:rPr>
          <w:rFonts w:ascii="Calibri" w:eastAsia="Calibri" w:hAnsi="Calibri" w:cs="Calibri"/>
          <w:color w:val="auto"/>
          <w:sz w:val="24"/>
          <w:szCs w:val="24"/>
          <w:lang w:eastAsia="en-US"/>
        </w:rPr>
        <w:t xml:space="preserve"> and the self. London: Sage.</w:t>
      </w:r>
    </w:p>
    <w:p w14:paraId="2EE852CD" w14:textId="77777777" w:rsidR="00A73721" w:rsidRPr="00A73721" w:rsidRDefault="00A73721" w:rsidP="00A73721">
      <w:pPr>
        <w:overflowPunct/>
        <w:autoSpaceDE/>
        <w:autoSpaceDN/>
        <w:adjustRightInd/>
        <w:spacing w:before="100" w:beforeAutospacing="1" w:after="100" w:afterAutospacing="1"/>
        <w:textAlignment w:val="auto"/>
        <w:rPr>
          <w:rFonts w:ascii="Calibri" w:hAnsi="Calibri" w:cs="Calibri"/>
          <w:sz w:val="24"/>
          <w:szCs w:val="24"/>
        </w:rPr>
      </w:pPr>
      <w:r w:rsidRPr="00A73721">
        <w:rPr>
          <w:rFonts w:ascii="Calibri" w:hAnsi="Calibri" w:cs="Calibri"/>
          <w:sz w:val="24"/>
          <w:szCs w:val="24"/>
        </w:rPr>
        <w:t xml:space="preserve">Lauren Katherine Fraser, Alun Marc Henry, Nicola </w:t>
      </w:r>
      <w:proofErr w:type="spellStart"/>
      <w:r w:rsidRPr="00A73721">
        <w:rPr>
          <w:rFonts w:ascii="Calibri" w:hAnsi="Calibri" w:cs="Calibri"/>
          <w:sz w:val="24"/>
          <w:szCs w:val="24"/>
        </w:rPr>
        <w:t>Moultri</w:t>
      </w:r>
      <w:proofErr w:type="spellEnd"/>
      <w:r w:rsidRPr="00A73721">
        <w:rPr>
          <w:rFonts w:ascii="Calibri" w:hAnsi="Calibri" w:cs="Calibri"/>
          <w:sz w:val="24"/>
          <w:szCs w:val="24"/>
        </w:rPr>
        <w:t xml:space="preserve"> (2021), </w:t>
      </w:r>
      <w:r w:rsidRPr="00A73721">
        <w:rPr>
          <w:rFonts w:ascii="Calibri" w:hAnsi="Calibri" w:cs="Calibri"/>
          <w:i/>
          <w:sz w:val="24"/>
          <w:szCs w:val="24"/>
        </w:rPr>
        <w:t>Acute Behavioural Disturbance</w:t>
      </w:r>
      <w:r w:rsidRPr="00A73721">
        <w:rPr>
          <w:rFonts w:ascii="Calibri" w:hAnsi="Calibri" w:cs="Calibri"/>
          <w:sz w:val="24"/>
          <w:szCs w:val="24"/>
        </w:rPr>
        <w:t xml:space="preserve">. [online] Available from: </w:t>
      </w:r>
      <w:hyperlink r:id="rId55" w:history="1">
        <w:r w:rsidRPr="00A73721">
          <w:rPr>
            <w:rFonts w:ascii="Calibri" w:hAnsi="Calibri" w:cs="Calibri"/>
            <w:color w:val="0563C1"/>
            <w:sz w:val="24"/>
            <w:szCs w:val="24"/>
            <w:u w:val="single"/>
          </w:rPr>
          <w:t>https://www.rcemlearning.co.uk/reference/acute-behavioural-disturbance/</w:t>
        </w:r>
      </w:hyperlink>
      <w:r w:rsidRPr="00A73721">
        <w:rPr>
          <w:rFonts w:ascii="Calibri" w:hAnsi="Calibri" w:cs="Calibri"/>
          <w:sz w:val="24"/>
          <w:szCs w:val="24"/>
        </w:rPr>
        <w:t xml:space="preserve">  [Accessed 28 Jun. 2022].</w:t>
      </w:r>
    </w:p>
    <w:p w14:paraId="21BD5EC9"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r w:rsidRPr="00A73721">
        <w:rPr>
          <w:rFonts w:ascii="Calibri" w:hAnsi="Calibri" w:cs="Calibri"/>
          <w:sz w:val="24"/>
          <w:szCs w:val="24"/>
        </w:rPr>
        <w:t>Leach, I. (2021). ‘It’s on my head’: Risk and accountability in public order policing. </w:t>
      </w:r>
      <w:r w:rsidRPr="00A73721">
        <w:rPr>
          <w:rFonts w:ascii="Calibri" w:hAnsi="Calibri" w:cs="Calibri"/>
          <w:i/>
          <w:iCs/>
          <w:sz w:val="24"/>
          <w:szCs w:val="24"/>
        </w:rPr>
        <w:t>The Police Journal: Theory, Practice and Principles</w:t>
      </w:r>
      <w:r w:rsidRPr="00A73721">
        <w:rPr>
          <w:rFonts w:ascii="Calibri" w:hAnsi="Calibri" w:cs="Calibri"/>
          <w:sz w:val="24"/>
          <w:szCs w:val="24"/>
        </w:rPr>
        <w:t>, [online], p.1-22.  Available from:</w:t>
      </w:r>
    </w:p>
    <w:p w14:paraId="78EA1677" w14:textId="77777777" w:rsidR="00A73721" w:rsidRPr="00A73721" w:rsidRDefault="00A73721" w:rsidP="00A73721">
      <w:pPr>
        <w:overflowPunct/>
        <w:autoSpaceDE/>
        <w:autoSpaceDN/>
        <w:adjustRightInd/>
        <w:spacing w:line="360" w:lineRule="atLeast"/>
        <w:textAlignment w:val="auto"/>
        <w:rPr>
          <w:rFonts w:ascii="Calibri" w:eastAsia="Calibri" w:hAnsi="Calibri" w:cs="Calibri"/>
          <w:color w:val="auto"/>
          <w:sz w:val="24"/>
          <w:szCs w:val="24"/>
        </w:rPr>
      </w:pPr>
      <w:hyperlink r:id="rId56" w:history="1">
        <w:r w:rsidRPr="00A73721">
          <w:rPr>
            <w:rFonts w:ascii="Calibri" w:hAnsi="Calibri" w:cs="Calibri"/>
            <w:color w:val="0563C1"/>
            <w:sz w:val="24"/>
            <w:szCs w:val="24"/>
            <w:u w:val="single"/>
          </w:rPr>
          <w:t>https://journals.sagepub.com/doi/10.1177/0032258X211</w:t>
        </w:r>
        <w:r w:rsidRPr="00A73721">
          <w:rPr>
            <w:rFonts w:ascii="Calibri" w:hAnsi="Calibri" w:cs="Calibri"/>
            <w:color w:val="0563C1"/>
            <w:sz w:val="24"/>
            <w:szCs w:val="24"/>
            <w:u w:val="single"/>
          </w:rPr>
          <w:t>0</w:t>
        </w:r>
        <w:r w:rsidRPr="00A73721">
          <w:rPr>
            <w:rFonts w:ascii="Calibri" w:hAnsi="Calibri" w:cs="Calibri"/>
            <w:color w:val="0563C1"/>
            <w:sz w:val="24"/>
            <w:szCs w:val="24"/>
            <w:u w:val="single"/>
          </w:rPr>
          <w:t>41021</w:t>
        </w:r>
      </w:hyperlink>
      <w:r w:rsidRPr="00A73721">
        <w:rPr>
          <w:rFonts w:ascii="Calibri" w:hAnsi="Calibri" w:cs="Calibri"/>
          <w:sz w:val="24"/>
          <w:szCs w:val="24"/>
        </w:rPr>
        <w:t xml:space="preserve"> </w:t>
      </w:r>
      <w:r w:rsidRPr="00A73721">
        <w:rPr>
          <w:rFonts w:ascii="Calibri" w:eastAsia="Calibri" w:hAnsi="Calibri" w:cs="Calibri"/>
          <w:color w:val="auto"/>
          <w:sz w:val="24"/>
          <w:szCs w:val="24"/>
        </w:rPr>
        <w:t>Accessed on 08/07/22</w:t>
      </w:r>
    </w:p>
    <w:p w14:paraId="476CBE14" w14:textId="77777777" w:rsidR="00A73721" w:rsidRPr="00A73721" w:rsidRDefault="00A73721" w:rsidP="00A73721">
      <w:pPr>
        <w:overflowPunct/>
        <w:autoSpaceDE/>
        <w:autoSpaceDN/>
        <w:adjustRightInd/>
        <w:spacing w:line="360" w:lineRule="atLeast"/>
        <w:textAlignment w:val="auto"/>
        <w:rPr>
          <w:rFonts w:ascii="Calibri" w:eastAsia="Calibri" w:hAnsi="Calibri" w:cs="Calibri"/>
          <w:color w:val="auto"/>
          <w:sz w:val="24"/>
          <w:szCs w:val="24"/>
        </w:rPr>
      </w:pPr>
    </w:p>
    <w:p w14:paraId="31C4E001"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 xml:space="preserve">legislation.gov.uk (2014). Public Order Act 1986. [online] Legislation.gov.uk. </w:t>
      </w:r>
      <w:r w:rsidRPr="00A73721">
        <w:rPr>
          <w:rFonts w:ascii="Calibri" w:eastAsia="Calibri" w:hAnsi="Calibri" w:cs="Calibri"/>
          <w:sz w:val="24"/>
          <w:szCs w:val="24"/>
          <w:lang w:eastAsia="en-US"/>
        </w:rPr>
        <w:t xml:space="preserve">Available from: </w:t>
      </w:r>
      <w:hyperlink r:id="rId57" w:history="1">
        <w:r w:rsidRPr="00A73721">
          <w:rPr>
            <w:rFonts w:ascii="Calibri" w:eastAsia="Calibri" w:hAnsi="Calibri" w:cs="Calibri"/>
            <w:color w:val="0563C1"/>
            <w:sz w:val="24"/>
            <w:szCs w:val="24"/>
            <w:u w:val="single"/>
            <w:lang w:eastAsia="en-US"/>
          </w:rPr>
          <w:t>https://www.legislation.gov.uk/ukpga/1986/64/section/5</w:t>
        </w:r>
      </w:hyperlink>
      <w:r w:rsidRPr="00A73721">
        <w:rPr>
          <w:rFonts w:ascii="Calibri" w:eastAsia="Calibri" w:hAnsi="Calibri" w:cs="Calibri"/>
          <w:color w:val="auto"/>
          <w:sz w:val="24"/>
          <w:szCs w:val="24"/>
          <w:lang w:eastAsia="en-US"/>
        </w:rPr>
        <w:t>.[Accessed 8 Jul. 2022].‌</w:t>
      </w:r>
    </w:p>
    <w:p w14:paraId="68D25EED"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p>
    <w:p w14:paraId="69909EC2"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6C27718F"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roofErr w:type="spellStart"/>
      <w:r w:rsidRPr="00A73721">
        <w:rPr>
          <w:rFonts w:ascii="Calibri" w:eastAsia="Calibri" w:hAnsi="Calibri" w:cs="Calibri"/>
          <w:color w:val="auto"/>
          <w:sz w:val="24"/>
          <w:szCs w:val="24"/>
          <w:lang w:eastAsia="en-US"/>
        </w:rPr>
        <w:t>Luminet</w:t>
      </w:r>
      <w:proofErr w:type="spellEnd"/>
      <w:r w:rsidRPr="00A73721">
        <w:rPr>
          <w:rFonts w:ascii="Calibri" w:eastAsia="Calibri" w:hAnsi="Calibri" w:cs="Calibri"/>
          <w:color w:val="auto"/>
          <w:sz w:val="24"/>
          <w:szCs w:val="24"/>
          <w:lang w:eastAsia="en-US"/>
        </w:rPr>
        <w:t xml:space="preserve">, O., Bouts, P., </w:t>
      </w:r>
      <w:proofErr w:type="spellStart"/>
      <w:r w:rsidRPr="00A73721">
        <w:rPr>
          <w:rFonts w:ascii="Calibri" w:eastAsia="Calibri" w:hAnsi="Calibri" w:cs="Calibri"/>
          <w:color w:val="auto"/>
          <w:sz w:val="24"/>
          <w:szCs w:val="24"/>
          <w:lang w:eastAsia="en-US"/>
        </w:rPr>
        <w:t>Delie</w:t>
      </w:r>
      <w:proofErr w:type="spellEnd"/>
      <w:r w:rsidRPr="00A73721">
        <w:rPr>
          <w:rFonts w:ascii="Calibri" w:eastAsia="Calibri" w:hAnsi="Calibri" w:cs="Calibri"/>
          <w:color w:val="auto"/>
          <w:sz w:val="24"/>
          <w:szCs w:val="24"/>
          <w:lang w:eastAsia="en-US"/>
        </w:rPr>
        <w:t xml:space="preserve">, F., </w:t>
      </w:r>
      <w:proofErr w:type="spellStart"/>
      <w:r w:rsidRPr="00A73721">
        <w:rPr>
          <w:rFonts w:ascii="Calibri" w:eastAsia="Calibri" w:hAnsi="Calibri" w:cs="Calibri"/>
          <w:color w:val="auto"/>
          <w:sz w:val="24"/>
          <w:szCs w:val="24"/>
          <w:lang w:eastAsia="en-US"/>
        </w:rPr>
        <w:t>Manstead</w:t>
      </w:r>
      <w:proofErr w:type="spellEnd"/>
      <w:r w:rsidRPr="00A73721">
        <w:rPr>
          <w:rFonts w:ascii="Calibri" w:eastAsia="Calibri" w:hAnsi="Calibri" w:cs="Calibri"/>
          <w:color w:val="auto"/>
          <w:sz w:val="24"/>
          <w:szCs w:val="24"/>
          <w:lang w:eastAsia="en-US"/>
        </w:rPr>
        <w:t xml:space="preserve">, A.S.R. and </w:t>
      </w:r>
      <w:proofErr w:type="spellStart"/>
      <w:r w:rsidRPr="00A73721">
        <w:rPr>
          <w:rFonts w:ascii="Calibri" w:eastAsia="Calibri" w:hAnsi="Calibri" w:cs="Calibri"/>
          <w:color w:val="auto"/>
          <w:sz w:val="24"/>
          <w:szCs w:val="24"/>
          <w:lang w:eastAsia="en-US"/>
        </w:rPr>
        <w:t>Rimé</w:t>
      </w:r>
      <w:proofErr w:type="spellEnd"/>
      <w:r w:rsidRPr="00A73721">
        <w:rPr>
          <w:rFonts w:ascii="Calibri" w:eastAsia="Calibri" w:hAnsi="Calibri" w:cs="Calibri"/>
          <w:color w:val="auto"/>
          <w:sz w:val="24"/>
          <w:szCs w:val="24"/>
          <w:lang w:eastAsia="en-US"/>
        </w:rPr>
        <w:t xml:space="preserve">, B. (2000). </w:t>
      </w:r>
      <w:r w:rsidRPr="00A73721">
        <w:rPr>
          <w:rFonts w:ascii="Calibri" w:eastAsia="Calibri" w:hAnsi="Calibri" w:cs="Calibri"/>
          <w:i/>
          <w:iCs/>
          <w:color w:val="auto"/>
          <w:sz w:val="24"/>
          <w:szCs w:val="24"/>
          <w:lang w:eastAsia="en-US"/>
        </w:rPr>
        <w:t xml:space="preserve">Social sharing of emotion following exposure to a negatively </w:t>
      </w:r>
      <w:proofErr w:type="spellStart"/>
      <w:r w:rsidRPr="00A73721">
        <w:rPr>
          <w:rFonts w:ascii="Calibri" w:eastAsia="Calibri" w:hAnsi="Calibri" w:cs="Calibri"/>
          <w:i/>
          <w:iCs/>
          <w:color w:val="auto"/>
          <w:sz w:val="24"/>
          <w:szCs w:val="24"/>
          <w:lang w:eastAsia="en-US"/>
        </w:rPr>
        <w:t>valenced</w:t>
      </w:r>
      <w:proofErr w:type="spellEnd"/>
      <w:r w:rsidRPr="00A73721">
        <w:rPr>
          <w:rFonts w:ascii="Calibri" w:eastAsia="Calibri" w:hAnsi="Calibri" w:cs="Calibri"/>
          <w:i/>
          <w:iCs/>
          <w:color w:val="auto"/>
          <w:sz w:val="24"/>
          <w:szCs w:val="24"/>
          <w:lang w:eastAsia="en-US"/>
        </w:rPr>
        <w:t xml:space="preserve"> situation. Cognition &amp; Emotion, </w:t>
      </w:r>
      <w:r w:rsidRPr="00A73721">
        <w:rPr>
          <w:rFonts w:ascii="Calibri" w:eastAsia="Calibri" w:hAnsi="Calibri" w:cs="Calibri"/>
          <w:sz w:val="24"/>
          <w:szCs w:val="24"/>
          <w:lang w:eastAsia="en-US"/>
        </w:rPr>
        <w:t>[online],</w:t>
      </w:r>
      <w:r w:rsidRPr="00A73721">
        <w:rPr>
          <w:rFonts w:ascii="Calibri" w:eastAsia="Calibri" w:hAnsi="Calibri" w:cs="Calibri"/>
          <w:i/>
          <w:iCs/>
          <w:color w:val="auto"/>
          <w:sz w:val="24"/>
          <w:szCs w:val="24"/>
          <w:lang w:eastAsia="en-US"/>
        </w:rPr>
        <w:t xml:space="preserve"> </w:t>
      </w:r>
      <w:r w:rsidRPr="00A73721">
        <w:rPr>
          <w:rFonts w:ascii="Calibri" w:eastAsia="Calibri" w:hAnsi="Calibri" w:cs="Calibri"/>
          <w:color w:val="auto"/>
          <w:sz w:val="24"/>
          <w:szCs w:val="24"/>
          <w:lang w:eastAsia="en-US"/>
        </w:rPr>
        <w:t xml:space="preserve">14(5), pp.661–688. Accessed online: </w:t>
      </w:r>
      <w:hyperlink r:id="rId58" w:history="1">
        <w:r w:rsidRPr="00A73721">
          <w:rPr>
            <w:rFonts w:ascii="Calibri" w:eastAsia="Calibri" w:hAnsi="Calibri" w:cs="Calibri"/>
            <w:color w:val="0563C1"/>
            <w:sz w:val="24"/>
            <w:szCs w:val="24"/>
            <w:u w:val="single"/>
            <w:lang w:eastAsia="en-US"/>
          </w:rPr>
          <w:t>https://www.tandfonline.com/doi/abs/10.1080/02699930050117666</w:t>
        </w:r>
      </w:hyperlink>
      <w:r w:rsidRPr="00A73721">
        <w:rPr>
          <w:rFonts w:ascii="Calibri" w:eastAsia="Calibri" w:hAnsi="Calibri" w:cs="Calibri"/>
          <w:color w:val="auto"/>
          <w:sz w:val="24"/>
          <w:szCs w:val="24"/>
          <w:lang w:eastAsia="en-US"/>
        </w:rPr>
        <w:t xml:space="preserve"> Accessed on 08/07/22</w:t>
      </w:r>
    </w:p>
    <w:p w14:paraId="403C692B" w14:textId="77777777" w:rsidR="00A73721" w:rsidRPr="00A73721" w:rsidRDefault="00A73721" w:rsidP="00A73721">
      <w:pPr>
        <w:overflowPunct/>
        <w:autoSpaceDE/>
        <w:autoSpaceDN/>
        <w:adjustRightInd/>
        <w:spacing w:line="360" w:lineRule="atLeast"/>
        <w:textAlignment w:val="auto"/>
        <w:rPr>
          <w:rFonts w:ascii="Calibri" w:eastAsia="Calibri" w:hAnsi="Calibri" w:cs="Calibri"/>
          <w:color w:val="auto"/>
          <w:sz w:val="24"/>
          <w:szCs w:val="24"/>
        </w:rPr>
      </w:pPr>
      <w:r w:rsidRPr="00A73721">
        <w:rPr>
          <w:rFonts w:ascii="Calibri" w:hAnsi="Calibri" w:cs="Calibri"/>
          <w:sz w:val="24"/>
          <w:szCs w:val="24"/>
        </w:rPr>
        <w:t xml:space="preserve">Macy, R.J., Renz, C. and </w:t>
      </w:r>
      <w:proofErr w:type="spellStart"/>
      <w:r w:rsidRPr="00A73721">
        <w:rPr>
          <w:rFonts w:ascii="Calibri" w:hAnsi="Calibri" w:cs="Calibri"/>
          <w:sz w:val="24"/>
          <w:szCs w:val="24"/>
        </w:rPr>
        <w:t>Pelino</w:t>
      </w:r>
      <w:proofErr w:type="spellEnd"/>
      <w:r w:rsidRPr="00A73721">
        <w:rPr>
          <w:rFonts w:ascii="Calibri" w:hAnsi="Calibri" w:cs="Calibri"/>
          <w:sz w:val="24"/>
          <w:szCs w:val="24"/>
        </w:rPr>
        <w:t xml:space="preserve">, E. (2013). </w:t>
      </w:r>
      <w:r w:rsidRPr="00A73721">
        <w:rPr>
          <w:rFonts w:ascii="Calibri" w:hAnsi="Calibri" w:cs="Calibri"/>
          <w:i/>
          <w:iCs/>
          <w:sz w:val="24"/>
          <w:szCs w:val="24"/>
        </w:rPr>
        <w:t xml:space="preserve">Partner Violence and Substance Abuse Are Intertwined. Violence Against Women, </w:t>
      </w:r>
      <w:r w:rsidRPr="00A73721">
        <w:rPr>
          <w:rFonts w:ascii="Calibri" w:hAnsi="Calibri" w:cs="Calibri"/>
          <w:sz w:val="24"/>
          <w:szCs w:val="24"/>
        </w:rPr>
        <w:t>[online</w:t>
      </w:r>
      <w:proofErr w:type="gramStart"/>
      <w:r w:rsidRPr="00A73721">
        <w:rPr>
          <w:rFonts w:ascii="Calibri" w:hAnsi="Calibri" w:cs="Calibri"/>
          <w:sz w:val="24"/>
          <w:szCs w:val="24"/>
        </w:rPr>
        <w:t xml:space="preserve">], </w:t>
      </w:r>
      <w:r w:rsidRPr="00A73721">
        <w:rPr>
          <w:rFonts w:ascii="Calibri" w:hAnsi="Calibri" w:cs="Calibri"/>
          <w:i/>
          <w:iCs/>
          <w:sz w:val="24"/>
          <w:szCs w:val="24"/>
        </w:rPr>
        <w:t xml:space="preserve"> </w:t>
      </w:r>
      <w:r w:rsidRPr="00A73721">
        <w:rPr>
          <w:rFonts w:ascii="Calibri" w:hAnsi="Calibri" w:cs="Calibri"/>
          <w:sz w:val="24"/>
          <w:szCs w:val="24"/>
        </w:rPr>
        <w:t>19</w:t>
      </w:r>
      <w:proofErr w:type="gramEnd"/>
      <w:r w:rsidRPr="00A73721">
        <w:rPr>
          <w:rFonts w:ascii="Calibri" w:hAnsi="Calibri" w:cs="Calibri"/>
          <w:sz w:val="24"/>
          <w:szCs w:val="24"/>
        </w:rPr>
        <w:t xml:space="preserve">(7), pp.881–902. Available from: </w:t>
      </w:r>
      <w:hyperlink r:id="rId59" w:history="1">
        <w:r w:rsidRPr="00A73721">
          <w:rPr>
            <w:rFonts w:ascii="Calibri" w:hAnsi="Calibri" w:cs="Calibri"/>
            <w:color w:val="0563C1"/>
            <w:sz w:val="24"/>
            <w:szCs w:val="24"/>
            <w:u w:val="single"/>
          </w:rPr>
          <w:t>https://journals.sagepub.com/doi/10.1177/1077801213498208</w:t>
        </w:r>
      </w:hyperlink>
      <w:r w:rsidRPr="00A73721">
        <w:rPr>
          <w:rFonts w:ascii="Calibri" w:hAnsi="Calibri" w:cs="Calibri"/>
          <w:sz w:val="24"/>
          <w:szCs w:val="24"/>
        </w:rPr>
        <w:t xml:space="preserve">  </w:t>
      </w:r>
      <w:r w:rsidRPr="00A73721">
        <w:rPr>
          <w:rFonts w:ascii="Calibri" w:eastAsia="Calibri" w:hAnsi="Calibri" w:cs="Calibri"/>
          <w:color w:val="auto"/>
          <w:sz w:val="24"/>
          <w:szCs w:val="24"/>
        </w:rPr>
        <w:t>Accessed on 08/07/22</w:t>
      </w:r>
    </w:p>
    <w:p w14:paraId="689B77F3" w14:textId="77777777" w:rsidR="00A73721" w:rsidRPr="00A73721" w:rsidRDefault="00A73721" w:rsidP="00A73721">
      <w:pPr>
        <w:overflowPunct/>
        <w:autoSpaceDE/>
        <w:autoSpaceDN/>
        <w:adjustRightInd/>
        <w:spacing w:line="360" w:lineRule="atLeast"/>
        <w:textAlignment w:val="auto"/>
        <w:rPr>
          <w:rFonts w:ascii="Calibri" w:eastAsia="Calibri" w:hAnsi="Calibri" w:cs="Calibri"/>
          <w:color w:val="auto"/>
          <w:sz w:val="24"/>
          <w:szCs w:val="24"/>
        </w:rPr>
      </w:pPr>
    </w:p>
    <w:p w14:paraId="2F55A39C"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03725498"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 xml:space="preserve">Martin, JT 2020, </w:t>
      </w:r>
      <w:r w:rsidRPr="00A73721">
        <w:rPr>
          <w:rFonts w:ascii="Calibri" w:eastAsia="Calibri" w:hAnsi="Calibri" w:cs="Calibri"/>
          <w:i/>
          <w:iCs/>
          <w:color w:val="auto"/>
          <w:sz w:val="24"/>
          <w:szCs w:val="24"/>
          <w:lang w:eastAsia="en-US"/>
        </w:rPr>
        <w:t xml:space="preserve">'Police Work versus Police Action: Justice, Discretion, and Arendt’s Theory of Politics', Society for the Anthropology of Work. </w:t>
      </w:r>
      <w:r w:rsidRPr="00A73721">
        <w:rPr>
          <w:rFonts w:ascii="Calibri" w:eastAsia="Calibri" w:hAnsi="Calibri" w:cs="Calibri"/>
          <w:sz w:val="24"/>
          <w:szCs w:val="24"/>
          <w:lang w:eastAsia="en-US"/>
        </w:rPr>
        <w:t xml:space="preserve">[online]. Available from: </w:t>
      </w:r>
      <w:r w:rsidRPr="00A73721">
        <w:rPr>
          <w:rFonts w:ascii="Calibri" w:eastAsia="Calibri" w:hAnsi="Calibri" w:cs="Calibri"/>
          <w:i/>
          <w:iCs/>
          <w:color w:val="auto"/>
          <w:sz w:val="24"/>
          <w:szCs w:val="24"/>
          <w:lang w:eastAsia="en-US"/>
        </w:rPr>
        <w:t xml:space="preserve"> </w:t>
      </w:r>
      <w:hyperlink r:id="rId60" w:history="1">
        <w:r w:rsidRPr="00A73721">
          <w:rPr>
            <w:rFonts w:ascii="Calibri" w:eastAsia="Calibri" w:hAnsi="Calibri" w:cs="Calibri"/>
            <w:color w:val="0563C1"/>
            <w:sz w:val="24"/>
            <w:szCs w:val="24"/>
            <w:u w:val="single"/>
            <w:lang w:eastAsia="en-US"/>
          </w:rPr>
          <w:t>https://saw.americananthro.org/pub/police-work-versus-police-action-justice-discretion/release/1</w:t>
        </w:r>
      </w:hyperlink>
      <w:r w:rsidRPr="00A73721">
        <w:rPr>
          <w:rFonts w:ascii="Calibri" w:eastAsia="Calibri" w:hAnsi="Calibri" w:cs="Calibri"/>
          <w:color w:val="auto"/>
          <w:sz w:val="24"/>
          <w:szCs w:val="24"/>
          <w:lang w:eastAsia="en-US"/>
        </w:rPr>
        <w:t xml:space="preserve"> Accessed on 08/07/22</w:t>
      </w:r>
    </w:p>
    <w:p w14:paraId="5423F22E"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p>
    <w:p w14:paraId="020EB9F0"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 xml:space="preserve">MIND, [online] </w:t>
      </w:r>
      <w:r w:rsidRPr="00A73721">
        <w:rPr>
          <w:rFonts w:ascii="Calibri" w:eastAsia="Calibri" w:hAnsi="Calibri" w:cs="Calibri"/>
          <w:sz w:val="24"/>
          <w:szCs w:val="24"/>
          <w:lang w:eastAsia="en-US"/>
        </w:rPr>
        <w:t xml:space="preserve">Available from: </w:t>
      </w:r>
      <w:hyperlink r:id="rId61" w:history="1">
        <w:r w:rsidRPr="00A73721">
          <w:rPr>
            <w:rFonts w:ascii="Calibri" w:eastAsia="Calibri" w:hAnsi="Calibri" w:cs="Calibri"/>
            <w:color w:val="0563C1"/>
            <w:sz w:val="24"/>
            <w:szCs w:val="24"/>
            <w:u w:val="single"/>
            <w:lang w:eastAsia="en-US"/>
          </w:rPr>
          <w:t>https://www.mind.org.uk/donate/?msclkid=d3f46a885af61d605b89084046179a59&amp;utm_source=b</w:t>
        </w:r>
        <w:r w:rsidRPr="00A73721">
          <w:rPr>
            <w:rFonts w:ascii="Calibri" w:eastAsia="Calibri" w:hAnsi="Calibri" w:cs="Calibri"/>
            <w:color w:val="0563C1"/>
            <w:sz w:val="24"/>
            <w:szCs w:val="24"/>
            <w:u w:val="single"/>
            <w:lang w:eastAsia="en-US"/>
          </w:rPr>
          <w:lastRenderedPageBreak/>
          <w:t>ing&amp;utm_medium=cpc&amp;utm_campaign=Donation%20Appeal%20-%20Branded%20-%20Bing%20-%20Paid&amp;utm_term=mind&amp;utm_content=Branded%20(Phase%205)</w:t>
        </w:r>
      </w:hyperlink>
      <w:r w:rsidRPr="00A73721">
        <w:rPr>
          <w:rFonts w:ascii="Calibri" w:eastAsia="Calibri" w:hAnsi="Calibri" w:cs="Calibri"/>
          <w:color w:val="auto"/>
          <w:sz w:val="24"/>
          <w:szCs w:val="24"/>
          <w:lang w:eastAsia="en-US"/>
        </w:rPr>
        <w:t xml:space="preserve"> </w:t>
      </w:r>
    </w:p>
    <w:p w14:paraId="09FFDCE5"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[Accessed 8 Jul. 2022].‌</w:t>
      </w:r>
    </w:p>
    <w:p w14:paraId="37C9F338"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59847463"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sz w:val="24"/>
          <w:szCs w:val="24"/>
          <w:lang w:eastAsia="en-US"/>
        </w:rPr>
        <w:t xml:space="preserve">MindTools (2019). Gibbs’ Reflective Cycle Helping People Learn </w:t>
      </w:r>
      <w:proofErr w:type="gramStart"/>
      <w:r w:rsidRPr="00A73721">
        <w:rPr>
          <w:rFonts w:ascii="Calibri" w:eastAsia="Calibri" w:hAnsi="Calibri" w:cs="Calibri"/>
          <w:sz w:val="24"/>
          <w:szCs w:val="24"/>
          <w:lang w:eastAsia="en-US"/>
        </w:rPr>
        <w:t>From</w:t>
      </w:r>
      <w:proofErr w:type="gramEnd"/>
      <w:r w:rsidRPr="00A73721">
        <w:rPr>
          <w:rFonts w:ascii="Calibri" w:eastAsia="Calibri" w:hAnsi="Calibri" w:cs="Calibri"/>
          <w:sz w:val="24"/>
          <w:szCs w:val="24"/>
          <w:lang w:eastAsia="en-US"/>
        </w:rPr>
        <w:t xml:space="preserve"> Experience. [online] Mindtools. Available from: </w:t>
      </w:r>
      <w:hyperlink r:id="rId62" w:history="1">
        <w:r w:rsidRPr="00A73721">
          <w:rPr>
            <w:rFonts w:ascii="Calibri" w:eastAsia="Calibri" w:hAnsi="Calibri" w:cs="Calibri"/>
            <w:color w:val="0563C1"/>
            <w:sz w:val="24"/>
            <w:szCs w:val="24"/>
            <w:u w:val="single"/>
            <w:lang w:eastAsia="en-US"/>
          </w:rPr>
          <w:t>https://www.mindtools.com/pages/article/reflective-cycle.htm</w:t>
        </w:r>
      </w:hyperlink>
      <w:r w:rsidRPr="00A73721">
        <w:rPr>
          <w:rFonts w:ascii="Calibri" w:eastAsia="Calibri" w:hAnsi="Calibri" w:cs="Calibri"/>
          <w:sz w:val="24"/>
          <w:szCs w:val="24"/>
          <w:lang w:eastAsia="en-US"/>
        </w:rPr>
        <w:t xml:space="preserve">. </w:t>
      </w:r>
      <w:r w:rsidRPr="00A73721">
        <w:rPr>
          <w:rFonts w:ascii="Calibri" w:eastAsia="Calibri" w:hAnsi="Calibri" w:cs="Calibri"/>
          <w:color w:val="auto"/>
          <w:sz w:val="24"/>
          <w:szCs w:val="24"/>
          <w:lang w:eastAsia="en-US"/>
        </w:rPr>
        <w:t>[Accessed 8 Jul. 2022].‌</w:t>
      </w:r>
    </w:p>
    <w:p w14:paraId="4971EEB4" w14:textId="77777777" w:rsidR="00A73721" w:rsidRPr="00A73721" w:rsidRDefault="00A73721" w:rsidP="00A73721">
      <w:pPr>
        <w:overflowPunct/>
        <w:autoSpaceDE/>
        <w:autoSpaceDN/>
        <w:adjustRightInd/>
        <w:spacing w:before="100" w:beforeAutospacing="1" w:after="100" w:afterAutospacing="1"/>
        <w:textAlignment w:val="auto"/>
        <w:rPr>
          <w:rFonts w:ascii="Calibri" w:hAnsi="Calibri" w:cs="Calibri"/>
          <w:color w:val="auto"/>
          <w:sz w:val="24"/>
          <w:szCs w:val="24"/>
        </w:rPr>
      </w:pPr>
      <w:r w:rsidRPr="00A73721">
        <w:rPr>
          <w:rFonts w:ascii="Calibri" w:hAnsi="Calibri" w:cs="Calibri"/>
          <w:sz w:val="24"/>
          <w:szCs w:val="24"/>
        </w:rPr>
        <w:t xml:space="preserve">MindTools (2019). The </w:t>
      </w:r>
      <w:proofErr w:type="spellStart"/>
      <w:r w:rsidRPr="00A73721">
        <w:rPr>
          <w:rFonts w:ascii="Calibri" w:hAnsi="Calibri" w:cs="Calibri"/>
          <w:sz w:val="24"/>
          <w:szCs w:val="24"/>
        </w:rPr>
        <w:t>Betari</w:t>
      </w:r>
      <w:proofErr w:type="spellEnd"/>
      <w:r w:rsidRPr="00A73721">
        <w:rPr>
          <w:rFonts w:ascii="Calibri" w:hAnsi="Calibri" w:cs="Calibri"/>
          <w:sz w:val="24"/>
          <w:szCs w:val="24"/>
        </w:rPr>
        <w:t xml:space="preserve"> Box: Linking Attitude and </w:t>
      </w:r>
      <w:proofErr w:type="spellStart"/>
      <w:r w:rsidRPr="00A73721">
        <w:rPr>
          <w:rFonts w:ascii="Calibri" w:hAnsi="Calibri" w:cs="Calibri"/>
          <w:sz w:val="24"/>
          <w:szCs w:val="24"/>
        </w:rPr>
        <w:t>Behavior</w:t>
      </w:r>
      <w:proofErr w:type="spellEnd"/>
      <w:r w:rsidRPr="00A73721">
        <w:rPr>
          <w:rFonts w:ascii="Calibri" w:hAnsi="Calibri" w:cs="Calibri"/>
          <w:sz w:val="24"/>
          <w:szCs w:val="24"/>
        </w:rPr>
        <w:t xml:space="preserve">. [online] Mindtools.com. Available from: </w:t>
      </w:r>
      <w:hyperlink r:id="rId63" w:history="1">
        <w:r w:rsidRPr="00A73721">
          <w:rPr>
            <w:rFonts w:ascii="Calibri" w:hAnsi="Calibri" w:cs="Calibri"/>
            <w:color w:val="0563C1"/>
            <w:sz w:val="24"/>
            <w:szCs w:val="24"/>
            <w:u w:val="single"/>
          </w:rPr>
          <w:t>https://www.mindtools.com/pages/article/newCS_82.htm</w:t>
        </w:r>
      </w:hyperlink>
      <w:r w:rsidRPr="00A73721">
        <w:rPr>
          <w:rFonts w:ascii="Calibri" w:hAnsi="Calibri" w:cs="Calibri"/>
          <w:sz w:val="24"/>
          <w:szCs w:val="24"/>
        </w:rPr>
        <w:t>. [</w:t>
      </w:r>
      <w:r w:rsidRPr="00A73721">
        <w:rPr>
          <w:rFonts w:ascii="Calibri" w:hAnsi="Calibri" w:cs="Calibri"/>
          <w:color w:val="auto"/>
          <w:sz w:val="24"/>
          <w:szCs w:val="24"/>
        </w:rPr>
        <w:t>Accessed 8 Jul. 2022].‌</w:t>
      </w:r>
    </w:p>
    <w:p w14:paraId="32DF4915"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bookmarkStart w:id="14" w:name="_Hlk108082540"/>
      <w:r w:rsidRPr="00A73721">
        <w:rPr>
          <w:rFonts w:ascii="Calibri" w:eastAsia="Calibri" w:hAnsi="Calibri" w:cs="Calibri"/>
          <w:color w:val="auto"/>
          <w:sz w:val="24"/>
          <w:szCs w:val="24"/>
          <w:lang w:eastAsia="en-US"/>
        </w:rPr>
        <w:t xml:space="preserve">Millar, G., </w:t>
      </w:r>
      <w:proofErr w:type="spellStart"/>
      <w:r w:rsidRPr="00A73721">
        <w:rPr>
          <w:rFonts w:ascii="Calibri" w:eastAsia="Calibri" w:hAnsi="Calibri" w:cs="Calibri"/>
          <w:color w:val="auto"/>
          <w:sz w:val="24"/>
          <w:szCs w:val="24"/>
          <w:lang w:eastAsia="en-US"/>
        </w:rPr>
        <w:t>Stermac</w:t>
      </w:r>
      <w:proofErr w:type="spellEnd"/>
      <w:r w:rsidRPr="00A73721">
        <w:rPr>
          <w:rFonts w:ascii="Calibri" w:eastAsia="Calibri" w:hAnsi="Calibri" w:cs="Calibri"/>
          <w:color w:val="auto"/>
          <w:sz w:val="24"/>
          <w:szCs w:val="24"/>
          <w:lang w:eastAsia="en-US"/>
        </w:rPr>
        <w:t xml:space="preserve">, L. and Addison, M. (2002). </w:t>
      </w:r>
      <w:bookmarkEnd w:id="14"/>
      <w:r w:rsidRPr="00A73721">
        <w:rPr>
          <w:rFonts w:ascii="Calibri" w:eastAsia="Calibri" w:hAnsi="Calibri" w:cs="Calibri"/>
          <w:i/>
          <w:iCs/>
          <w:color w:val="auto"/>
          <w:sz w:val="24"/>
          <w:szCs w:val="24"/>
          <w:lang w:eastAsia="en-US"/>
        </w:rPr>
        <w:t>Immediate and Delayed Treatment Seeking Among Adult Sexual Assault Victims. Women &amp; Health</w:t>
      </w:r>
      <w:r w:rsidRPr="00A73721">
        <w:rPr>
          <w:rFonts w:ascii="Calibri" w:eastAsia="Calibri" w:hAnsi="Calibri" w:cs="Calibri"/>
          <w:color w:val="auto"/>
          <w:sz w:val="24"/>
          <w:szCs w:val="24"/>
          <w:lang w:eastAsia="en-US"/>
        </w:rPr>
        <w:t xml:space="preserve">, </w:t>
      </w:r>
      <w:r w:rsidRPr="00A73721">
        <w:rPr>
          <w:rFonts w:ascii="Calibri" w:eastAsia="Calibri" w:hAnsi="Calibri" w:cs="Calibri"/>
          <w:sz w:val="24"/>
          <w:szCs w:val="24"/>
          <w:lang w:eastAsia="en-US"/>
        </w:rPr>
        <w:t xml:space="preserve">[online], </w:t>
      </w:r>
      <w:r w:rsidRPr="00A73721">
        <w:rPr>
          <w:rFonts w:ascii="Calibri" w:eastAsia="Calibri" w:hAnsi="Calibri" w:cs="Calibri"/>
          <w:color w:val="auto"/>
          <w:sz w:val="24"/>
          <w:szCs w:val="24"/>
          <w:lang w:eastAsia="en-US"/>
        </w:rPr>
        <w:t xml:space="preserve">35(1), pp.53–64. </w:t>
      </w:r>
      <w:r w:rsidRPr="00A73721">
        <w:rPr>
          <w:rFonts w:ascii="Calibri" w:eastAsia="Calibri" w:hAnsi="Calibri" w:cs="Calibri"/>
          <w:sz w:val="24"/>
          <w:szCs w:val="24"/>
          <w:lang w:eastAsia="en-US"/>
        </w:rPr>
        <w:t xml:space="preserve">Available from: </w:t>
      </w:r>
      <w:hyperlink r:id="rId64" w:history="1">
        <w:r w:rsidRPr="00A73721">
          <w:rPr>
            <w:rFonts w:ascii="Calibri" w:eastAsia="Calibri" w:hAnsi="Calibri" w:cs="Calibri"/>
            <w:color w:val="0563C1"/>
            <w:sz w:val="24"/>
            <w:szCs w:val="24"/>
            <w:u w:val="single"/>
            <w:lang w:eastAsia="en-US"/>
          </w:rPr>
          <w:t>https://www.tandfonline.com/doi/abs/10.1300/J013v35n01_04</w:t>
        </w:r>
      </w:hyperlink>
      <w:r w:rsidRPr="00A73721">
        <w:rPr>
          <w:rFonts w:ascii="Calibri" w:eastAsia="Calibri" w:hAnsi="Calibri" w:cs="Calibri"/>
          <w:color w:val="auto"/>
          <w:sz w:val="24"/>
          <w:szCs w:val="24"/>
          <w:lang w:eastAsia="en-US"/>
        </w:rPr>
        <w:t xml:space="preserve">  Accessed on 08/07/22</w:t>
      </w:r>
    </w:p>
    <w:p w14:paraId="3B036E5D"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0DADC76C"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 xml:space="preserve">Miller, A.K., Markman, K.D. and Handley, I.M. (2007). </w:t>
      </w:r>
      <w:r w:rsidRPr="00A73721">
        <w:rPr>
          <w:rFonts w:ascii="Calibri" w:eastAsia="Calibri" w:hAnsi="Calibri" w:cs="Calibri"/>
          <w:i/>
          <w:iCs/>
          <w:color w:val="auto"/>
          <w:sz w:val="24"/>
          <w:szCs w:val="24"/>
          <w:lang w:eastAsia="en-US"/>
        </w:rPr>
        <w:t>Self-Blame Among Sexual Assault Victims Prospectively Predicts Revictimization: A Perceived Sociolegal Context Model of Risk. Basic and Applied Social Psychology</w:t>
      </w:r>
      <w:r w:rsidRPr="00A73721">
        <w:rPr>
          <w:rFonts w:ascii="Calibri" w:eastAsia="Calibri" w:hAnsi="Calibri" w:cs="Calibri"/>
          <w:color w:val="auto"/>
          <w:sz w:val="24"/>
          <w:szCs w:val="24"/>
          <w:lang w:eastAsia="en-US"/>
        </w:rPr>
        <w:t xml:space="preserve">, </w:t>
      </w:r>
      <w:r w:rsidRPr="00A73721">
        <w:rPr>
          <w:rFonts w:ascii="Calibri" w:eastAsia="Calibri" w:hAnsi="Calibri" w:cs="Calibri"/>
          <w:sz w:val="24"/>
          <w:szCs w:val="24"/>
          <w:lang w:eastAsia="en-US"/>
        </w:rPr>
        <w:t xml:space="preserve">[online], </w:t>
      </w:r>
      <w:r w:rsidRPr="00A73721">
        <w:rPr>
          <w:rFonts w:ascii="Calibri" w:eastAsia="Calibri" w:hAnsi="Calibri" w:cs="Calibri"/>
          <w:color w:val="auto"/>
          <w:sz w:val="24"/>
          <w:szCs w:val="24"/>
          <w:lang w:eastAsia="en-US"/>
        </w:rPr>
        <w:t xml:space="preserve">29(2), pp.129–136. </w:t>
      </w:r>
      <w:r w:rsidRPr="00A73721">
        <w:rPr>
          <w:rFonts w:ascii="Calibri" w:eastAsia="Calibri" w:hAnsi="Calibri" w:cs="Calibri"/>
          <w:sz w:val="24"/>
          <w:szCs w:val="24"/>
          <w:lang w:eastAsia="en-US"/>
        </w:rPr>
        <w:t xml:space="preserve">Available from: </w:t>
      </w:r>
      <w:hyperlink r:id="rId65" w:history="1">
        <w:r w:rsidRPr="00A73721">
          <w:rPr>
            <w:rFonts w:ascii="Calibri" w:eastAsia="Calibri" w:hAnsi="Calibri" w:cs="Calibri"/>
            <w:color w:val="0563C1"/>
            <w:sz w:val="24"/>
            <w:szCs w:val="24"/>
            <w:u w:val="single"/>
            <w:lang w:eastAsia="en-US"/>
          </w:rPr>
          <w:t>https://www.tandfonline.com/doi/abs/10.1080/01973530701331585?journalCode=hbas20</w:t>
        </w:r>
      </w:hyperlink>
      <w:r w:rsidRPr="00A73721">
        <w:rPr>
          <w:rFonts w:ascii="Calibri" w:eastAsia="Calibri" w:hAnsi="Calibri" w:cs="Calibri"/>
          <w:color w:val="auto"/>
          <w:sz w:val="24"/>
          <w:szCs w:val="24"/>
          <w:lang w:eastAsia="en-US"/>
        </w:rPr>
        <w:t xml:space="preserve"> Accessed on 08/07/22</w:t>
      </w:r>
    </w:p>
    <w:p w14:paraId="5EC82158" w14:textId="77777777" w:rsidR="00A73721" w:rsidRPr="00A73721" w:rsidRDefault="00A73721" w:rsidP="00A73721">
      <w:pPr>
        <w:overflowPunct/>
        <w:autoSpaceDE/>
        <w:autoSpaceDN/>
        <w:adjustRightInd/>
        <w:spacing w:before="100" w:beforeAutospacing="1" w:after="100" w:afterAutospacing="1"/>
        <w:textAlignment w:val="auto"/>
        <w:rPr>
          <w:rFonts w:ascii="Calibri" w:hAnsi="Calibri" w:cs="Calibri"/>
          <w:sz w:val="24"/>
          <w:szCs w:val="24"/>
        </w:rPr>
      </w:pPr>
    </w:p>
    <w:p w14:paraId="3EB42621"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hAnsi="Calibri" w:cs="Calibri"/>
          <w:sz w:val="24"/>
          <w:szCs w:val="24"/>
        </w:rPr>
        <w:t>Ministry of Justice (2021). </w:t>
      </w:r>
      <w:r w:rsidRPr="00A73721">
        <w:rPr>
          <w:rFonts w:ascii="Calibri" w:hAnsi="Calibri" w:cs="Calibri"/>
          <w:i/>
          <w:iCs/>
          <w:sz w:val="24"/>
          <w:szCs w:val="24"/>
        </w:rPr>
        <w:t>Code of Practice for Victims of Crime in England and Wales (Victim’s Code)</w:t>
      </w:r>
      <w:r w:rsidRPr="00A73721">
        <w:rPr>
          <w:rFonts w:ascii="Calibri" w:hAnsi="Calibri" w:cs="Calibri"/>
          <w:sz w:val="24"/>
          <w:szCs w:val="24"/>
        </w:rPr>
        <w:t xml:space="preserve">. [online] GOV.UK. </w:t>
      </w:r>
      <w:r w:rsidRPr="00A73721">
        <w:rPr>
          <w:rFonts w:ascii="Calibri" w:eastAsia="Calibri" w:hAnsi="Calibri" w:cs="Calibri"/>
          <w:sz w:val="24"/>
          <w:szCs w:val="24"/>
          <w:lang w:eastAsia="en-US"/>
        </w:rPr>
        <w:t xml:space="preserve">Available from: </w:t>
      </w:r>
      <w:hyperlink r:id="rId66" w:history="1">
        <w:r w:rsidRPr="00A73721">
          <w:rPr>
            <w:rFonts w:ascii="Calibri" w:hAnsi="Calibri" w:cs="Calibri"/>
            <w:color w:val="0563C1"/>
            <w:sz w:val="24"/>
            <w:szCs w:val="24"/>
            <w:u w:val="single"/>
          </w:rPr>
          <w:t>https://www.gov.uk/government/publications/the-code-of-practice-for-victims-of-crime/code-of-practice-for-victims-of-crime-in-england-and-wales-victims-code</w:t>
        </w:r>
      </w:hyperlink>
      <w:r w:rsidRPr="00A73721">
        <w:rPr>
          <w:rFonts w:ascii="Calibri" w:hAnsi="Calibri" w:cs="Calibri"/>
          <w:sz w:val="24"/>
          <w:szCs w:val="24"/>
        </w:rPr>
        <w:t xml:space="preserve">. </w:t>
      </w:r>
      <w:r w:rsidRPr="00A73721">
        <w:rPr>
          <w:rFonts w:ascii="Calibri" w:eastAsia="Calibri" w:hAnsi="Calibri" w:cs="Calibri"/>
          <w:color w:val="auto"/>
          <w:sz w:val="24"/>
          <w:szCs w:val="24"/>
          <w:lang w:eastAsia="en-US"/>
        </w:rPr>
        <w:t>[Accessed 8 Jul. 2022].‌</w:t>
      </w:r>
    </w:p>
    <w:p w14:paraId="20278ED1"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289E9EB3" w14:textId="77777777" w:rsidR="00A73721" w:rsidRPr="00A73721" w:rsidRDefault="00A73721" w:rsidP="00A73721">
      <w:pPr>
        <w:overflowPunct/>
        <w:autoSpaceDE/>
        <w:autoSpaceDN/>
        <w:adjustRightInd/>
        <w:spacing w:line="360" w:lineRule="atLeast"/>
        <w:textAlignment w:val="auto"/>
        <w:rPr>
          <w:rFonts w:ascii="Calibri" w:eastAsia="Calibri" w:hAnsi="Calibri" w:cs="Calibri"/>
          <w:sz w:val="24"/>
          <w:szCs w:val="24"/>
          <w:lang w:eastAsia="en-US"/>
        </w:rPr>
      </w:pPr>
      <w:r w:rsidRPr="00A73721">
        <w:rPr>
          <w:rFonts w:ascii="Calibri" w:hAnsi="Calibri" w:cs="Calibri"/>
          <w:sz w:val="24"/>
          <w:szCs w:val="24"/>
        </w:rPr>
        <w:t>Ministry of Justice (2005). </w:t>
      </w:r>
      <w:r w:rsidRPr="00A73721">
        <w:rPr>
          <w:rFonts w:ascii="Calibri" w:hAnsi="Calibri" w:cs="Calibri"/>
          <w:i/>
          <w:iCs/>
          <w:sz w:val="24"/>
          <w:szCs w:val="24"/>
        </w:rPr>
        <w:t>The code of practice for victims of crime and supporting public information materials</w:t>
      </w:r>
      <w:r w:rsidRPr="00A73721">
        <w:rPr>
          <w:rFonts w:ascii="Calibri" w:hAnsi="Calibri" w:cs="Calibri"/>
          <w:sz w:val="24"/>
          <w:szCs w:val="24"/>
        </w:rPr>
        <w:t xml:space="preserve">. [online] GOV.UK. </w:t>
      </w:r>
      <w:r w:rsidRPr="00A73721">
        <w:rPr>
          <w:rFonts w:ascii="Calibri" w:eastAsia="Calibri" w:hAnsi="Calibri" w:cs="Calibri"/>
          <w:sz w:val="24"/>
          <w:szCs w:val="24"/>
          <w:lang w:eastAsia="en-US"/>
        </w:rPr>
        <w:t xml:space="preserve">Available from: </w:t>
      </w:r>
      <w:hyperlink r:id="rId67" w:history="1">
        <w:r w:rsidRPr="00A73721">
          <w:rPr>
            <w:rFonts w:ascii="Calibri" w:hAnsi="Calibri" w:cs="Calibri"/>
            <w:color w:val="0563C1"/>
            <w:sz w:val="24"/>
            <w:szCs w:val="24"/>
            <w:u w:val="single"/>
          </w:rPr>
          <w:t>https://www.gov.uk/government/publications/the-code-of-practice-for-victims-of-crime</w:t>
        </w:r>
      </w:hyperlink>
      <w:r w:rsidRPr="00A73721">
        <w:rPr>
          <w:rFonts w:ascii="Calibri" w:hAnsi="Calibri" w:cs="Calibri"/>
          <w:sz w:val="24"/>
          <w:szCs w:val="24"/>
        </w:rPr>
        <w:t>.</w:t>
      </w:r>
      <w:r w:rsidRPr="00A73721">
        <w:rPr>
          <w:rFonts w:ascii="Calibri" w:eastAsia="Calibri" w:hAnsi="Calibri" w:cs="Calibri"/>
          <w:color w:val="auto"/>
          <w:sz w:val="24"/>
          <w:szCs w:val="24"/>
          <w:lang w:eastAsia="en-US"/>
        </w:rPr>
        <w:t xml:space="preserve"> Accessed on 08/07/22</w:t>
      </w:r>
    </w:p>
    <w:p w14:paraId="683B0A66"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3C0ACEEF"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05B1858A"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r w:rsidRPr="00A73721">
        <w:rPr>
          <w:rFonts w:ascii="Calibri" w:hAnsi="Calibri" w:cs="Calibri"/>
          <w:sz w:val="24"/>
          <w:szCs w:val="24"/>
        </w:rPr>
        <w:t xml:space="preserve">Morgan, M. and Marshall, J. (2013). </w:t>
      </w:r>
      <w:r w:rsidRPr="00A73721">
        <w:rPr>
          <w:rFonts w:ascii="Calibri" w:hAnsi="Calibri" w:cs="Calibri"/>
          <w:i/>
          <w:iCs/>
          <w:sz w:val="24"/>
          <w:szCs w:val="24"/>
        </w:rPr>
        <w:t xml:space="preserve">Deficient fear recognition in regular cocaine users is not attributable to elevated impulsivity or conduct disorder prior to cocaine use. Journal of Psychopharmacology, </w:t>
      </w:r>
      <w:r w:rsidRPr="00A73721">
        <w:rPr>
          <w:rFonts w:ascii="Calibri" w:hAnsi="Calibri" w:cs="Calibri"/>
          <w:sz w:val="24"/>
          <w:szCs w:val="24"/>
        </w:rPr>
        <w:t xml:space="preserve">27(6), [online], pp.526–532. Available from: </w:t>
      </w:r>
      <w:hyperlink r:id="rId68" w:history="1">
        <w:r w:rsidRPr="00A73721">
          <w:rPr>
            <w:rFonts w:ascii="Calibri" w:hAnsi="Calibri" w:cs="Calibri"/>
            <w:color w:val="0563C1"/>
            <w:sz w:val="24"/>
            <w:szCs w:val="24"/>
            <w:u w:val="single"/>
          </w:rPr>
          <w:t>https://journals.sagepub.com/doi/full/10.1177/0269881113477708</w:t>
        </w:r>
      </w:hyperlink>
      <w:r w:rsidRPr="00A73721">
        <w:rPr>
          <w:rFonts w:ascii="Calibri" w:hAnsi="Calibri" w:cs="Calibri"/>
          <w:sz w:val="24"/>
          <w:szCs w:val="24"/>
        </w:rPr>
        <w:t xml:space="preserve"> </w:t>
      </w:r>
      <w:r w:rsidRPr="00A73721">
        <w:rPr>
          <w:rFonts w:ascii="Calibri" w:eastAsia="Calibri" w:hAnsi="Calibri" w:cs="Calibri"/>
          <w:color w:val="auto"/>
          <w:sz w:val="24"/>
          <w:szCs w:val="24"/>
        </w:rPr>
        <w:t>Accessed on 08/07/22</w:t>
      </w:r>
    </w:p>
    <w:p w14:paraId="065CA307" w14:textId="77777777" w:rsidR="00A73721" w:rsidRPr="00A73721" w:rsidRDefault="00A73721" w:rsidP="00A73721">
      <w:pPr>
        <w:overflowPunct/>
        <w:autoSpaceDE/>
        <w:autoSpaceDN/>
        <w:adjustRightInd/>
        <w:spacing w:line="360" w:lineRule="atLeast"/>
        <w:ind w:left="720"/>
        <w:textAlignment w:val="auto"/>
        <w:rPr>
          <w:rFonts w:ascii="Calibri" w:hAnsi="Calibri" w:cs="Calibri"/>
          <w:sz w:val="24"/>
          <w:szCs w:val="24"/>
        </w:rPr>
      </w:pPr>
    </w:p>
    <w:p w14:paraId="2AE6F73F"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r w:rsidRPr="00A73721">
        <w:rPr>
          <w:rFonts w:ascii="Calibri" w:hAnsi="Calibri" w:cs="Calibri"/>
          <w:sz w:val="24"/>
          <w:szCs w:val="24"/>
        </w:rPr>
        <w:lastRenderedPageBreak/>
        <w:t xml:space="preserve">NHS England (2019). NHS England» Children and Adolescent Mental Health Service (CAMHs) Inpatient Services. [online] England.nhs.uk. Available from: </w:t>
      </w:r>
      <w:hyperlink r:id="rId69" w:history="1">
        <w:r w:rsidRPr="00A73721">
          <w:rPr>
            <w:rFonts w:ascii="Calibri" w:hAnsi="Calibri" w:cs="Calibri"/>
            <w:color w:val="0563C1"/>
            <w:sz w:val="24"/>
            <w:szCs w:val="24"/>
            <w:u w:val="single"/>
          </w:rPr>
          <w:t>https://www.england.nhs.uk/mental-health/cyp/children-and-adolescent-mental-health-service-inpatient-services/</w:t>
        </w:r>
      </w:hyperlink>
      <w:r w:rsidRPr="00A73721">
        <w:rPr>
          <w:rFonts w:ascii="Calibri" w:hAnsi="Calibri" w:cs="Calibri"/>
          <w:sz w:val="24"/>
          <w:szCs w:val="24"/>
        </w:rPr>
        <w:t xml:space="preserve"> . Accessed on 08/07/22</w:t>
      </w:r>
    </w:p>
    <w:p w14:paraId="79A7EC19"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p>
    <w:p w14:paraId="3A196E79"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r w:rsidRPr="00A73721">
        <w:rPr>
          <w:rFonts w:ascii="Calibri" w:hAnsi="Calibri" w:cs="Calibri"/>
          <w:sz w:val="24"/>
          <w:szCs w:val="24"/>
        </w:rPr>
        <w:t xml:space="preserve">Office for National Statistics (2021). Domestic abuse prevalence and trends, </w:t>
      </w:r>
      <w:proofErr w:type="gramStart"/>
      <w:r w:rsidRPr="00A73721">
        <w:rPr>
          <w:rFonts w:ascii="Calibri" w:hAnsi="Calibri" w:cs="Calibri"/>
          <w:sz w:val="24"/>
          <w:szCs w:val="24"/>
        </w:rPr>
        <w:t>England</w:t>
      </w:r>
      <w:proofErr w:type="gramEnd"/>
      <w:r w:rsidRPr="00A73721">
        <w:rPr>
          <w:rFonts w:ascii="Calibri" w:hAnsi="Calibri" w:cs="Calibri"/>
          <w:sz w:val="24"/>
          <w:szCs w:val="24"/>
        </w:rPr>
        <w:t xml:space="preserve"> and Wales - Office for National Statistics. [online] www.ons.gov.uk. Available from: </w:t>
      </w:r>
      <w:hyperlink r:id="rId70" w:history="1">
        <w:r w:rsidRPr="00A73721">
          <w:rPr>
            <w:rFonts w:ascii="Calibri" w:hAnsi="Calibri" w:cs="Calibri"/>
            <w:color w:val="0563C1"/>
            <w:sz w:val="24"/>
            <w:szCs w:val="24"/>
            <w:u w:val="single"/>
          </w:rPr>
          <w:t>https://www.ons.gov.uk/peoplepopulationandcommunity/crimeandjustice/articles/domesticabuseprevalenceandtrendsenglandandwales/yearendingmarch2021</w:t>
        </w:r>
      </w:hyperlink>
      <w:r w:rsidRPr="00A73721">
        <w:rPr>
          <w:rFonts w:ascii="Calibri" w:hAnsi="Calibri" w:cs="Calibri"/>
          <w:sz w:val="24"/>
          <w:szCs w:val="24"/>
        </w:rPr>
        <w:t xml:space="preserve"> . Accessed on 08/07/22</w:t>
      </w:r>
    </w:p>
    <w:p w14:paraId="7CAFE74D" w14:textId="77777777" w:rsidR="00A73721" w:rsidRPr="00A73721" w:rsidRDefault="00A73721" w:rsidP="00A73721">
      <w:pPr>
        <w:overflowPunct/>
        <w:autoSpaceDE/>
        <w:autoSpaceDN/>
        <w:adjustRightInd/>
        <w:spacing w:line="360" w:lineRule="atLeast"/>
        <w:textAlignment w:val="auto"/>
        <w:rPr>
          <w:rFonts w:ascii="Calibri" w:hAnsi="Calibri" w:cs="Calibri"/>
          <w:sz w:val="24"/>
          <w:szCs w:val="24"/>
        </w:rPr>
      </w:pPr>
    </w:p>
    <w:p w14:paraId="034982E4"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roofErr w:type="spellStart"/>
      <w:r w:rsidRPr="00A73721">
        <w:rPr>
          <w:rFonts w:ascii="Calibri" w:eastAsia="Calibri" w:hAnsi="Calibri" w:cs="Calibri"/>
          <w:color w:val="auto"/>
          <w:sz w:val="24"/>
          <w:szCs w:val="24"/>
          <w:lang w:eastAsia="en-US"/>
        </w:rPr>
        <w:t>Poyser</w:t>
      </w:r>
      <w:proofErr w:type="spellEnd"/>
      <w:r w:rsidRPr="00A73721">
        <w:rPr>
          <w:rFonts w:ascii="Calibri" w:eastAsia="Calibri" w:hAnsi="Calibri" w:cs="Calibri"/>
          <w:color w:val="auto"/>
          <w:sz w:val="24"/>
          <w:szCs w:val="24"/>
          <w:lang w:eastAsia="en-US"/>
        </w:rPr>
        <w:t xml:space="preserve">, S. (2004). </w:t>
      </w:r>
      <w:r w:rsidRPr="00A73721">
        <w:rPr>
          <w:rFonts w:ascii="Calibri" w:eastAsia="Calibri" w:hAnsi="Calibri" w:cs="Calibri"/>
          <w:i/>
          <w:iCs/>
          <w:color w:val="auto"/>
          <w:sz w:val="24"/>
          <w:szCs w:val="24"/>
          <w:lang w:eastAsia="en-US"/>
        </w:rPr>
        <w:t>The Role of Police ‘Discretion’ in Britain and An Analysis of Proposals for Reform. The Police Journal: Theory, Practice and Principles,</w:t>
      </w:r>
      <w:r w:rsidRPr="00A73721">
        <w:rPr>
          <w:rFonts w:ascii="Calibri" w:eastAsia="Calibri" w:hAnsi="Calibri" w:cs="Calibri"/>
          <w:color w:val="auto"/>
          <w:sz w:val="24"/>
          <w:szCs w:val="24"/>
          <w:lang w:eastAsia="en-US"/>
        </w:rPr>
        <w:t xml:space="preserve"> </w:t>
      </w:r>
      <w:r w:rsidRPr="00A73721">
        <w:rPr>
          <w:rFonts w:ascii="Calibri" w:eastAsia="Calibri" w:hAnsi="Calibri" w:cs="Calibri"/>
          <w:sz w:val="24"/>
          <w:szCs w:val="24"/>
          <w:lang w:eastAsia="en-US"/>
        </w:rPr>
        <w:t xml:space="preserve">[online], </w:t>
      </w:r>
      <w:r w:rsidRPr="00A73721">
        <w:rPr>
          <w:rFonts w:ascii="Calibri" w:eastAsia="Calibri" w:hAnsi="Calibri" w:cs="Calibri"/>
          <w:color w:val="auto"/>
          <w:sz w:val="24"/>
          <w:szCs w:val="24"/>
          <w:lang w:eastAsia="en-US"/>
        </w:rPr>
        <w:t xml:space="preserve">77(1), pp.5–17. </w:t>
      </w:r>
      <w:r w:rsidRPr="00A73721">
        <w:rPr>
          <w:rFonts w:ascii="Calibri" w:eastAsia="Calibri" w:hAnsi="Calibri" w:cs="Calibri"/>
          <w:sz w:val="24"/>
          <w:szCs w:val="24"/>
          <w:lang w:eastAsia="en-US"/>
        </w:rPr>
        <w:t xml:space="preserve">Available from: </w:t>
      </w:r>
      <w:hyperlink r:id="rId71" w:history="1">
        <w:r w:rsidRPr="00A73721">
          <w:rPr>
            <w:rFonts w:ascii="Calibri" w:eastAsia="Calibri" w:hAnsi="Calibri" w:cs="Calibri"/>
            <w:color w:val="0563C1"/>
            <w:sz w:val="24"/>
            <w:szCs w:val="24"/>
            <w:u w:val="single"/>
            <w:lang w:eastAsia="en-US"/>
          </w:rPr>
          <w:t>https://journals.sagepub.com/doi/10.1350/pojo.77.1.5.31512</w:t>
        </w:r>
      </w:hyperlink>
      <w:r w:rsidRPr="00A73721">
        <w:rPr>
          <w:rFonts w:ascii="Calibri" w:eastAsia="Calibri" w:hAnsi="Calibri" w:cs="Calibri"/>
          <w:color w:val="auto"/>
          <w:sz w:val="24"/>
          <w:szCs w:val="24"/>
          <w:lang w:eastAsia="en-US"/>
        </w:rPr>
        <w:t xml:space="preserve"> Accessed on 08/07/22</w:t>
      </w:r>
    </w:p>
    <w:p w14:paraId="362F1981"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47F237F1"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roofErr w:type="spellStart"/>
      <w:r w:rsidRPr="00A73721">
        <w:rPr>
          <w:rFonts w:ascii="Calibri" w:eastAsia="Calibri" w:hAnsi="Calibri" w:cs="Calibri"/>
          <w:sz w:val="24"/>
          <w:szCs w:val="24"/>
          <w:lang w:eastAsia="en-US"/>
        </w:rPr>
        <w:t>RedWebsiteDesign</w:t>
      </w:r>
      <w:proofErr w:type="spellEnd"/>
      <w:r w:rsidRPr="00A73721">
        <w:rPr>
          <w:rFonts w:ascii="Calibri" w:eastAsia="Calibri" w:hAnsi="Calibri" w:cs="Calibri"/>
          <w:sz w:val="24"/>
          <w:szCs w:val="24"/>
          <w:lang w:eastAsia="en-US"/>
        </w:rPr>
        <w:t xml:space="preserve"> (2020). </w:t>
      </w:r>
      <w:proofErr w:type="spellStart"/>
      <w:r w:rsidRPr="00A73721">
        <w:rPr>
          <w:rFonts w:ascii="Calibri" w:eastAsia="Calibri" w:hAnsi="Calibri" w:cs="Calibri"/>
          <w:sz w:val="24"/>
          <w:szCs w:val="24"/>
          <w:lang w:eastAsia="en-US"/>
        </w:rPr>
        <w:t>Karpman’s</w:t>
      </w:r>
      <w:proofErr w:type="spellEnd"/>
      <w:r w:rsidRPr="00A73721">
        <w:rPr>
          <w:rFonts w:ascii="Calibri" w:eastAsia="Calibri" w:hAnsi="Calibri" w:cs="Calibri"/>
          <w:sz w:val="24"/>
          <w:szCs w:val="24"/>
          <w:lang w:eastAsia="en-US"/>
        </w:rPr>
        <w:t xml:space="preserve"> Drama Triangle. [online] Kathryn </w:t>
      </w:r>
      <w:proofErr w:type="spellStart"/>
      <w:r w:rsidRPr="00A73721">
        <w:rPr>
          <w:rFonts w:ascii="Calibri" w:eastAsia="Calibri" w:hAnsi="Calibri" w:cs="Calibri"/>
          <w:sz w:val="24"/>
          <w:szCs w:val="24"/>
          <w:lang w:eastAsia="en-US"/>
        </w:rPr>
        <w:t>Kissell</w:t>
      </w:r>
      <w:proofErr w:type="spellEnd"/>
      <w:r w:rsidRPr="00A73721">
        <w:rPr>
          <w:rFonts w:ascii="Calibri" w:eastAsia="Calibri" w:hAnsi="Calibri" w:cs="Calibri"/>
          <w:sz w:val="24"/>
          <w:szCs w:val="24"/>
          <w:lang w:eastAsia="en-US"/>
        </w:rPr>
        <w:t xml:space="preserve">. Available from: </w:t>
      </w:r>
      <w:hyperlink r:id="rId72" w:history="1">
        <w:r w:rsidRPr="00A73721">
          <w:rPr>
            <w:rFonts w:ascii="Calibri" w:eastAsia="Calibri" w:hAnsi="Calibri" w:cs="Calibri"/>
            <w:color w:val="0563C1"/>
            <w:sz w:val="24"/>
            <w:szCs w:val="24"/>
            <w:u w:val="single"/>
            <w:lang w:eastAsia="en-US"/>
          </w:rPr>
          <w:t>https://www.drkathrynkissell.com/resources/karpmans-drama-triangle/</w:t>
        </w:r>
      </w:hyperlink>
      <w:r w:rsidRPr="00A73721">
        <w:rPr>
          <w:rFonts w:ascii="Calibri" w:eastAsia="Calibri" w:hAnsi="Calibri" w:cs="Calibri"/>
          <w:sz w:val="24"/>
          <w:szCs w:val="24"/>
          <w:lang w:eastAsia="en-US"/>
        </w:rPr>
        <w:t xml:space="preserve">. </w:t>
      </w:r>
      <w:r w:rsidRPr="00A73721">
        <w:rPr>
          <w:rFonts w:ascii="Calibri" w:eastAsia="Calibri" w:hAnsi="Calibri" w:cs="Calibri"/>
          <w:color w:val="auto"/>
          <w:sz w:val="24"/>
          <w:szCs w:val="24"/>
          <w:lang w:eastAsia="en-US"/>
        </w:rPr>
        <w:t>[Accessed 8 Jul. 2022].‌</w:t>
      </w:r>
    </w:p>
    <w:p w14:paraId="3258ED5F"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189720AB"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roofErr w:type="spellStart"/>
      <w:r w:rsidRPr="00A73721">
        <w:rPr>
          <w:rFonts w:ascii="Calibri" w:eastAsia="Calibri" w:hAnsi="Calibri" w:cs="Calibri"/>
          <w:color w:val="auto"/>
          <w:sz w:val="24"/>
          <w:szCs w:val="24"/>
          <w:lang w:eastAsia="en-US"/>
        </w:rPr>
        <w:t>Riedy</w:t>
      </w:r>
      <w:proofErr w:type="spellEnd"/>
      <w:r w:rsidRPr="00A73721">
        <w:rPr>
          <w:rFonts w:ascii="Calibri" w:eastAsia="Calibri" w:hAnsi="Calibri" w:cs="Calibri"/>
          <w:color w:val="auto"/>
          <w:sz w:val="24"/>
          <w:szCs w:val="24"/>
          <w:lang w:eastAsia="en-US"/>
        </w:rPr>
        <w:t xml:space="preserve">, D.R., MacPherson, A. and </w:t>
      </w:r>
      <w:proofErr w:type="spellStart"/>
      <w:r w:rsidRPr="00A73721">
        <w:rPr>
          <w:rFonts w:ascii="Calibri" w:eastAsia="Calibri" w:hAnsi="Calibri" w:cs="Calibri"/>
          <w:color w:val="auto"/>
          <w:sz w:val="24"/>
          <w:szCs w:val="24"/>
          <w:lang w:eastAsia="en-US"/>
        </w:rPr>
        <w:t>Dautovich</w:t>
      </w:r>
      <w:proofErr w:type="spellEnd"/>
      <w:r w:rsidRPr="00A73721">
        <w:rPr>
          <w:rFonts w:ascii="Calibri" w:eastAsia="Calibri" w:hAnsi="Calibri" w:cs="Calibri"/>
          <w:color w:val="auto"/>
          <w:sz w:val="24"/>
          <w:szCs w:val="24"/>
          <w:lang w:eastAsia="en-US"/>
        </w:rPr>
        <w:t xml:space="preserve">, N.D. (2021). </w:t>
      </w:r>
      <w:r w:rsidRPr="00A73721">
        <w:rPr>
          <w:rFonts w:ascii="Calibri" w:eastAsia="Calibri" w:hAnsi="Calibri" w:cs="Calibri"/>
          <w:i/>
          <w:iCs/>
          <w:color w:val="auto"/>
          <w:sz w:val="24"/>
          <w:szCs w:val="24"/>
          <w:lang w:eastAsia="en-US"/>
        </w:rPr>
        <w:t xml:space="preserve">Role Stress and Sense of Control Predict Using Food to Cope </w:t>
      </w:r>
      <w:proofErr w:type="gramStart"/>
      <w:r w:rsidRPr="00A73721">
        <w:rPr>
          <w:rFonts w:ascii="Calibri" w:eastAsia="Calibri" w:hAnsi="Calibri" w:cs="Calibri"/>
          <w:i/>
          <w:iCs/>
          <w:color w:val="auto"/>
          <w:sz w:val="24"/>
          <w:szCs w:val="24"/>
          <w:lang w:eastAsia="en-US"/>
        </w:rPr>
        <w:t>With</w:t>
      </w:r>
      <w:proofErr w:type="gramEnd"/>
      <w:r w:rsidRPr="00A73721">
        <w:rPr>
          <w:rFonts w:ascii="Calibri" w:eastAsia="Calibri" w:hAnsi="Calibri" w:cs="Calibri"/>
          <w:i/>
          <w:iCs/>
          <w:color w:val="auto"/>
          <w:sz w:val="24"/>
          <w:szCs w:val="24"/>
          <w:lang w:eastAsia="en-US"/>
        </w:rPr>
        <w:t xml:space="preserve"> Stress in Midlife Women</w:t>
      </w:r>
      <w:r w:rsidRPr="00A73721">
        <w:rPr>
          <w:rFonts w:ascii="Calibri" w:eastAsia="Calibri" w:hAnsi="Calibri" w:cs="Calibri"/>
          <w:color w:val="auto"/>
          <w:sz w:val="24"/>
          <w:szCs w:val="24"/>
          <w:lang w:eastAsia="en-US"/>
        </w:rPr>
        <w:t xml:space="preserve">. </w:t>
      </w:r>
      <w:r w:rsidRPr="00A73721">
        <w:rPr>
          <w:rFonts w:ascii="Calibri" w:eastAsia="Calibri" w:hAnsi="Calibri" w:cs="Calibri"/>
          <w:i/>
          <w:iCs/>
          <w:color w:val="auto"/>
          <w:sz w:val="24"/>
          <w:szCs w:val="24"/>
          <w:lang w:eastAsia="en-US"/>
        </w:rPr>
        <w:t>Journal of Aging and Health</w:t>
      </w:r>
      <w:r w:rsidRPr="00A73721">
        <w:rPr>
          <w:rFonts w:ascii="Calibri" w:eastAsia="Calibri" w:hAnsi="Calibri" w:cs="Calibri"/>
          <w:color w:val="auto"/>
          <w:sz w:val="24"/>
          <w:szCs w:val="24"/>
          <w:lang w:eastAsia="en-US"/>
        </w:rPr>
        <w:t xml:space="preserve">, </w:t>
      </w:r>
      <w:r w:rsidRPr="00A73721">
        <w:rPr>
          <w:rFonts w:ascii="Calibri" w:eastAsia="Calibri" w:hAnsi="Calibri" w:cs="Calibri"/>
          <w:sz w:val="24"/>
          <w:szCs w:val="24"/>
          <w:lang w:eastAsia="en-US"/>
        </w:rPr>
        <w:t xml:space="preserve">[online], </w:t>
      </w:r>
      <w:r w:rsidRPr="00A73721">
        <w:rPr>
          <w:rFonts w:ascii="Calibri" w:eastAsia="Calibri" w:hAnsi="Calibri" w:cs="Calibri"/>
          <w:color w:val="auto"/>
          <w:sz w:val="24"/>
          <w:szCs w:val="24"/>
          <w:lang w:eastAsia="en-US"/>
        </w:rPr>
        <w:t xml:space="preserve">33(9), p.732-740 </w:t>
      </w:r>
      <w:r w:rsidRPr="00A73721">
        <w:rPr>
          <w:rFonts w:ascii="Calibri" w:eastAsia="Calibri" w:hAnsi="Calibri" w:cs="Calibri"/>
          <w:sz w:val="24"/>
          <w:szCs w:val="24"/>
          <w:lang w:eastAsia="en-US"/>
        </w:rPr>
        <w:t xml:space="preserve">Available from: </w:t>
      </w:r>
      <w:hyperlink r:id="rId73" w:history="1">
        <w:r w:rsidRPr="00A73721">
          <w:rPr>
            <w:rFonts w:ascii="Calibri" w:eastAsia="Calibri" w:hAnsi="Calibri" w:cs="Calibri"/>
            <w:color w:val="0563C1"/>
            <w:sz w:val="24"/>
            <w:szCs w:val="24"/>
            <w:u w:val="single"/>
            <w:lang w:eastAsia="en-US"/>
          </w:rPr>
          <w:t>https://journals.sagepub.com/doi/10.1177/08982643211011020</w:t>
        </w:r>
      </w:hyperlink>
      <w:r w:rsidRPr="00A73721">
        <w:rPr>
          <w:rFonts w:ascii="Calibri" w:eastAsia="Calibri" w:hAnsi="Calibri" w:cs="Calibri"/>
          <w:color w:val="auto"/>
          <w:sz w:val="24"/>
          <w:szCs w:val="24"/>
          <w:lang w:eastAsia="en-US"/>
        </w:rPr>
        <w:t xml:space="preserve"> Accessed on 08/07/22</w:t>
      </w:r>
    </w:p>
    <w:p w14:paraId="78CCFAB6"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6ABB19F7"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roofErr w:type="spellStart"/>
      <w:r w:rsidRPr="00A73721">
        <w:rPr>
          <w:rFonts w:ascii="Calibri" w:eastAsia="Calibri" w:hAnsi="Calibri" w:cs="Calibri"/>
          <w:color w:val="auto"/>
          <w:sz w:val="24"/>
          <w:szCs w:val="24"/>
          <w:lang w:eastAsia="en-US"/>
        </w:rPr>
        <w:t>Romosiou</w:t>
      </w:r>
      <w:proofErr w:type="spellEnd"/>
      <w:r w:rsidRPr="00A73721">
        <w:rPr>
          <w:rFonts w:ascii="Calibri" w:eastAsia="Calibri" w:hAnsi="Calibri" w:cs="Calibri"/>
          <w:color w:val="auto"/>
          <w:sz w:val="24"/>
          <w:szCs w:val="24"/>
          <w:lang w:eastAsia="en-US"/>
        </w:rPr>
        <w:t xml:space="preserve">, V., </w:t>
      </w:r>
      <w:proofErr w:type="spellStart"/>
      <w:r w:rsidRPr="00A73721">
        <w:rPr>
          <w:rFonts w:ascii="Calibri" w:eastAsia="Calibri" w:hAnsi="Calibri" w:cs="Calibri"/>
          <w:color w:val="auto"/>
          <w:sz w:val="24"/>
          <w:szCs w:val="24"/>
          <w:lang w:eastAsia="en-US"/>
        </w:rPr>
        <w:t>Brouzos</w:t>
      </w:r>
      <w:proofErr w:type="spellEnd"/>
      <w:r w:rsidRPr="00A73721">
        <w:rPr>
          <w:rFonts w:ascii="Calibri" w:eastAsia="Calibri" w:hAnsi="Calibri" w:cs="Calibri"/>
          <w:color w:val="auto"/>
          <w:sz w:val="24"/>
          <w:szCs w:val="24"/>
          <w:lang w:eastAsia="en-US"/>
        </w:rPr>
        <w:t xml:space="preserve">, A. and Vassilopoulos, S.P. (2018). </w:t>
      </w:r>
      <w:r w:rsidRPr="00A73721">
        <w:rPr>
          <w:rFonts w:ascii="Calibri" w:eastAsia="Calibri" w:hAnsi="Calibri" w:cs="Calibri"/>
          <w:i/>
          <w:iCs/>
          <w:color w:val="auto"/>
          <w:sz w:val="24"/>
          <w:szCs w:val="24"/>
          <w:lang w:eastAsia="en-US"/>
        </w:rPr>
        <w:t xml:space="preserve">An integrative group intervention for the enhancement of emotional intelligence, empathy, </w:t>
      </w:r>
      <w:proofErr w:type="gramStart"/>
      <w:r w:rsidRPr="00A73721">
        <w:rPr>
          <w:rFonts w:ascii="Calibri" w:eastAsia="Calibri" w:hAnsi="Calibri" w:cs="Calibri"/>
          <w:i/>
          <w:iCs/>
          <w:color w:val="auto"/>
          <w:sz w:val="24"/>
          <w:szCs w:val="24"/>
          <w:lang w:eastAsia="en-US"/>
        </w:rPr>
        <w:t>resilience</w:t>
      </w:r>
      <w:proofErr w:type="gramEnd"/>
      <w:r w:rsidRPr="00A73721">
        <w:rPr>
          <w:rFonts w:ascii="Calibri" w:eastAsia="Calibri" w:hAnsi="Calibri" w:cs="Calibri"/>
          <w:i/>
          <w:iCs/>
          <w:color w:val="auto"/>
          <w:sz w:val="24"/>
          <w:szCs w:val="24"/>
          <w:lang w:eastAsia="en-US"/>
        </w:rPr>
        <w:t xml:space="preserve"> and stress management among police officers. Police Practice and </w:t>
      </w:r>
      <w:proofErr w:type="gramStart"/>
      <w:r w:rsidRPr="00A73721">
        <w:rPr>
          <w:rFonts w:ascii="Calibri" w:eastAsia="Calibri" w:hAnsi="Calibri" w:cs="Calibri"/>
          <w:i/>
          <w:iCs/>
          <w:color w:val="auto"/>
          <w:sz w:val="24"/>
          <w:szCs w:val="24"/>
          <w:lang w:eastAsia="en-US"/>
        </w:rPr>
        <w:t>Research,</w:t>
      </w:r>
      <w:r w:rsidRPr="00A73721">
        <w:rPr>
          <w:rFonts w:ascii="Calibri" w:eastAsia="Calibri" w:hAnsi="Calibri" w:cs="Calibri"/>
          <w:color w:val="auto"/>
          <w:sz w:val="24"/>
          <w:szCs w:val="24"/>
          <w:lang w:eastAsia="en-US"/>
        </w:rPr>
        <w:t xml:space="preserve">  </w:t>
      </w:r>
      <w:r w:rsidRPr="00A73721">
        <w:rPr>
          <w:rFonts w:ascii="Calibri" w:eastAsia="Calibri" w:hAnsi="Calibri" w:cs="Calibri"/>
          <w:sz w:val="24"/>
          <w:szCs w:val="24"/>
          <w:lang w:eastAsia="en-US"/>
        </w:rPr>
        <w:t>[</w:t>
      </w:r>
      <w:proofErr w:type="gramEnd"/>
      <w:r w:rsidRPr="00A73721">
        <w:rPr>
          <w:rFonts w:ascii="Calibri" w:eastAsia="Calibri" w:hAnsi="Calibri" w:cs="Calibri"/>
          <w:sz w:val="24"/>
          <w:szCs w:val="24"/>
          <w:lang w:eastAsia="en-US"/>
        </w:rPr>
        <w:t xml:space="preserve">online], </w:t>
      </w:r>
      <w:r w:rsidRPr="00A73721">
        <w:rPr>
          <w:rFonts w:ascii="Calibri" w:eastAsia="Calibri" w:hAnsi="Calibri" w:cs="Calibri"/>
          <w:color w:val="auto"/>
          <w:sz w:val="24"/>
          <w:szCs w:val="24"/>
          <w:lang w:eastAsia="en-US"/>
        </w:rPr>
        <w:t xml:space="preserve">20(5), pp.460–478. </w:t>
      </w:r>
      <w:r w:rsidRPr="00A73721">
        <w:rPr>
          <w:rFonts w:ascii="Calibri" w:eastAsia="Calibri" w:hAnsi="Calibri" w:cs="Calibri"/>
          <w:sz w:val="24"/>
          <w:szCs w:val="24"/>
          <w:lang w:eastAsia="en-US"/>
        </w:rPr>
        <w:t xml:space="preserve">Available from: </w:t>
      </w:r>
      <w:hyperlink r:id="rId74" w:history="1">
        <w:r w:rsidRPr="00A73721">
          <w:rPr>
            <w:rFonts w:ascii="Calibri" w:eastAsia="Calibri" w:hAnsi="Calibri" w:cs="Calibri"/>
            <w:color w:val="0563C1"/>
            <w:sz w:val="24"/>
            <w:szCs w:val="24"/>
            <w:u w:val="single"/>
            <w:lang w:eastAsia="en-US"/>
          </w:rPr>
          <w:t>https://www.tandfonline.com/doi/abs/10.1080/15614263.2018.1537847?journalCode=gppr20</w:t>
        </w:r>
      </w:hyperlink>
      <w:r w:rsidRPr="00A73721">
        <w:rPr>
          <w:rFonts w:ascii="Calibri" w:eastAsia="Calibri" w:hAnsi="Calibri" w:cs="Calibri"/>
          <w:color w:val="auto"/>
          <w:sz w:val="24"/>
          <w:szCs w:val="24"/>
          <w:lang w:eastAsia="en-US"/>
        </w:rPr>
        <w:t xml:space="preserve"> Accessed on 08/07/22</w:t>
      </w:r>
    </w:p>
    <w:p w14:paraId="26E010B1"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7CED28B8"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sz w:val="24"/>
          <w:szCs w:val="24"/>
          <w:lang w:eastAsia="en-US"/>
        </w:rPr>
        <w:t xml:space="preserve">Sharma, M.K., Suman, L.N., Murthy, P. and </w:t>
      </w:r>
      <w:proofErr w:type="spellStart"/>
      <w:r w:rsidRPr="00A73721">
        <w:rPr>
          <w:rFonts w:ascii="Calibri" w:eastAsia="Calibri" w:hAnsi="Calibri" w:cs="Calibri"/>
          <w:sz w:val="24"/>
          <w:szCs w:val="24"/>
          <w:lang w:eastAsia="en-US"/>
        </w:rPr>
        <w:t>Marimuthu</w:t>
      </w:r>
      <w:proofErr w:type="spellEnd"/>
      <w:r w:rsidRPr="00A73721">
        <w:rPr>
          <w:rFonts w:ascii="Calibri" w:eastAsia="Calibri" w:hAnsi="Calibri" w:cs="Calibri"/>
          <w:sz w:val="24"/>
          <w:szCs w:val="24"/>
          <w:lang w:eastAsia="en-US"/>
        </w:rPr>
        <w:t>, P. (2017</w:t>
      </w:r>
      <w:r w:rsidRPr="00A73721">
        <w:rPr>
          <w:rFonts w:ascii="Calibri" w:eastAsia="Calibri" w:hAnsi="Calibri" w:cs="Calibri"/>
          <w:i/>
          <w:iCs/>
          <w:sz w:val="24"/>
          <w:szCs w:val="24"/>
          <w:lang w:eastAsia="en-US"/>
        </w:rPr>
        <w:t>). Relationship of Anger with Alcohol use Treatment Outcome: Follow-up Study. Indian Journal of Psychological Medicine</w:t>
      </w:r>
      <w:r w:rsidRPr="00A73721">
        <w:rPr>
          <w:rFonts w:ascii="Calibri" w:eastAsia="Calibri" w:hAnsi="Calibri" w:cs="Calibri"/>
          <w:sz w:val="24"/>
          <w:szCs w:val="24"/>
          <w:lang w:eastAsia="en-US"/>
        </w:rPr>
        <w:t xml:space="preserve">, [online] 39(4), pp.426–429. Available from: </w:t>
      </w:r>
      <w:hyperlink r:id="rId75" w:history="1">
        <w:r w:rsidRPr="00A73721">
          <w:rPr>
            <w:rFonts w:ascii="Calibri" w:eastAsia="Calibri" w:hAnsi="Calibri" w:cs="Calibri"/>
            <w:color w:val="0563C1"/>
            <w:sz w:val="24"/>
            <w:szCs w:val="24"/>
            <w:u w:val="single"/>
            <w:lang w:eastAsia="en-US"/>
          </w:rPr>
          <w:t>https://journals.sagepub.com/doi/10.4103/0253-7176.211757</w:t>
        </w:r>
      </w:hyperlink>
      <w:r w:rsidRPr="00A73721">
        <w:rPr>
          <w:rFonts w:ascii="Calibri" w:eastAsia="Calibri" w:hAnsi="Calibri" w:cs="Calibri"/>
          <w:sz w:val="24"/>
          <w:szCs w:val="24"/>
          <w:lang w:eastAsia="en-US"/>
        </w:rPr>
        <w:t xml:space="preserve"> </w:t>
      </w:r>
      <w:r w:rsidRPr="00A73721">
        <w:rPr>
          <w:rFonts w:ascii="Calibri" w:eastAsia="Calibri" w:hAnsi="Calibri" w:cs="Calibri"/>
          <w:color w:val="auto"/>
          <w:sz w:val="24"/>
          <w:szCs w:val="24"/>
          <w:lang w:eastAsia="en-US"/>
        </w:rPr>
        <w:t>Accessed on 08/07/22</w:t>
      </w:r>
    </w:p>
    <w:p w14:paraId="3140138E"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023AFA0B"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2B97281A"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roofErr w:type="spellStart"/>
      <w:r w:rsidRPr="00A73721">
        <w:rPr>
          <w:rFonts w:ascii="Calibri" w:eastAsia="Calibri" w:hAnsi="Calibri" w:cs="Calibri"/>
          <w:color w:val="auto"/>
          <w:sz w:val="24"/>
          <w:szCs w:val="24"/>
          <w:lang w:eastAsia="en-US"/>
        </w:rPr>
        <w:t>Slothower</w:t>
      </w:r>
      <w:proofErr w:type="spellEnd"/>
      <w:r w:rsidRPr="00A73721">
        <w:rPr>
          <w:rFonts w:ascii="Calibri" w:eastAsia="Calibri" w:hAnsi="Calibri" w:cs="Calibri"/>
          <w:color w:val="auto"/>
          <w:sz w:val="24"/>
          <w:szCs w:val="24"/>
          <w:lang w:eastAsia="en-US"/>
        </w:rPr>
        <w:t xml:space="preserve">, M. (2014). </w:t>
      </w:r>
      <w:r w:rsidRPr="00A73721">
        <w:rPr>
          <w:rFonts w:ascii="Calibri" w:eastAsia="Calibri" w:hAnsi="Calibri" w:cs="Calibri"/>
          <w:i/>
          <w:iCs/>
          <w:color w:val="auto"/>
          <w:sz w:val="24"/>
          <w:szCs w:val="24"/>
          <w:lang w:eastAsia="en-US"/>
        </w:rPr>
        <w:t>Strengthening Police Professionalism with Decision Support: Bounded Discretion in Out-of-Court Disposals, Policing: A Journal of Policy and Practice</w:t>
      </w:r>
      <w:r w:rsidRPr="00A73721">
        <w:rPr>
          <w:rFonts w:ascii="Calibri" w:eastAsia="Calibri" w:hAnsi="Calibri" w:cs="Calibri"/>
          <w:color w:val="auto"/>
          <w:sz w:val="24"/>
          <w:szCs w:val="24"/>
          <w:lang w:eastAsia="en-US"/>
        </w:rPr>
        <w:t xml:space="preserve">, </w:t>
      </w:r>
      <w:r w:rsidRPr="00A73721">
        <w:rPr>
          <w:rFonts w:ascii="Calibri" w:eastAsia="Calibri" w:hAnsi="Calibri" w:cs="Calibri"/>
          <w:sz w:val="24"/>
          <w:szCs w:val="24"/>
          <w:lang w:eastAsia="en-US"/>
        </w:rPr>
        <w:t xml:space="preserve">[online], </w:t>
      </w:r>
      <w:r w:rsidRPr="00A73721">
        <w:rPr>
          <w:rFonts w:ascii="Calibri" w:eastAsia="Calibri" w:hAnsi="Calibri" w:cs="Calibri"/>
          <w:color w:val="auto"/>
          <w:sz w:val="24"/>
          <w:szCs w:val="24"/>
          <w:lang w:eastAsia="en-US"/>
        </w:rPr>
        <w:t xml:space="preserve">8(4), </w:t>
      </w:r>
      <w:r w:rsidRPr="00A73721">
        <w:rPr>
          <w:rFonts w:ascii="Calibri" w:eastAsia="Calibri" w:hAnsi="Calibri" w:cs="Calibri"/>
          <w:color w:val="auto"/>
          <w:sz w:val="24"/>
          <w:szCs w:val="24"/>
          <w:lang w:eastAsia="en-US"/>
        </w:rPr>
        <w:lastRenderedPageBreak/>
        <w:t xml:space="preserve">pp.353–367. </w:t>
      </w:r>
      <w:r w:rsidRPr="00A73721">
        <w:rPr>
          <w:rFonts w:ascii="Calibri" w:eastAsia="Calibri" w:hAnsi="Calibri" w:cs="Calibri"/>
          <w:sz w:val="24"/>
          <w:szCs w:val="24"/>
          <w:lang w:eastAsia="en-US"/>
        </w:rPr>
        <w:t xml:space="preserve">Available from: </w:t>
      </w:r>
      <w:hyperlink r:id="rId76" w:history="1">
        <w:r w:rsidRPr="00A73721">
          <w:rPr>
            <w:rFonts w:ascii="Calibri" w:eastAsia="Calibri" w:hAnsi="Calibri" w:cs="Calibri"/>
            <w:color w:val="0563C1"/>
            <w:sz w:val="24"/>
            <w:szCs w:val="24"/>
            <w:u w:val="single"/>
            <w:lang w:eastAsia="en-US"/>
          </w:rPr>
          <w:t>https://academic.oup.com/policing/article-abstract/8/4/353/1563780</w:t>
        </w:r>
      </w:hyperlink>
      <w:r w:rsidRPr="00A73721">
        <w:rPr>
          <w:rFonts w:ascii="Calibri" w:eastAsia="Calibri" w:hAnsi="Calibri" w:cs="Calibri"/>
          <w:color w:val="auto"/>
          <w:sz w:val="24"/>
          <w:szCs w:val="24"/>
          <w:lang w:eastAsia="en-US"/>
        </w:rPr>
        <w:t xml:space="preserve"> Accessed on 08/07/22</w:t>
      </w:r>
    </w:p>
    <w:p w14:paraId="60EA3873" w14:textId="77777777" w:rsidR="00A73721" w:rsidRPr="00A73721" w:rsidRDefault="00A73721" w:rsidP="00A73721">
      <w:pPr>
        <w:overflowPunct/>
        <w:autoSpaceDE/>
        <w:autoSpaceDN/>
        <w:adjustRightInd/>
        <w:spacing w:before="100" w:beforeAutospacing="1" w:after="100" w:afterAutospacing="1"/>
        <w:textAlignment w:val="auto"/>
        <w:rPr>
          <w:rFonts w:ascii="Calibri" w:hAnsi="Calibri" w:cs="Calibri"/>
          <w:sz w:val="24"/>
          <w:szCs w:val="24"/>
        </w:rPr>
      </w:pPr>
      <w:r w:rsidRPr="00A73721">
        <w:rPr>
          <w:rFonts w:ascii="Calibri" w:hAnsi="Calibri" w:cs="Calibri"/>
          <w:sz w:val="24"/>
          <w:szCs w:val="24"/>
        </w:rPr>
        <w:t xml:space="preserve">‌Storey, J.E., </w:t>
      </w:r>
      <w:proofErr w:type="spellStart"/>
      <w:r w:rsidRPr="00A73721">
        <w:rPr>
          <w:rFonts w:ascii="Calibri" w:hAnsi="Calibri" w:cs="Calibri"/>
          <w:sz w:val="24"/>
          <w:szCs w:val="24"/>
        </w:rPr>
        <w:t>Gibas</w:t>
      </w:r>
      <w:proofErr w:type="spellEnd"/>
      <w:r w:rsidRPr="00A73721">
        <w:rPr>
          <w:rFonts w:ascii="Calibri" w:hAnsi="Calibri" w:cs="Calibri"/>
          <w:sz w:val="24"/>
          <w:szCs w:val="24"/>
        </w:rPr>
        <w:t>, A.L., Reeves, K.A. and Hart, S.D. (2011</w:t>
      </w:r>
      <w:r w:rsidRPr="00A73721">
        <w:rPr>
          <w:rFonts w:ascii="Calibri" w:hAnsi="Calibri" w:cs="Calibri"/>
          <w:i/>
          <w:iCs/>
          <w:sz w:val="24"/>
          <w:szCs w:val="24"/>
        </w:rPr>
        <w:t xml:space="preserve">). Evaluation of a Violence Risk (Threat) Assessment Training Program for Police and Other Criminal Justice Professionals. Criminal Justice and </w:t>
      </w:r>
      <w:proofErr w:type="spellStart"/>
      <w:r w:rsidRPr="00A73721">
        <w:rPr>
          <w:rFonts w:ascii="Calibri" w:hAnsi="Calibri" w:cs="Calibri"/>
          <w:i/>
          <w:iCs/>
          <w:sz w:val="24"/>
          <w:szCs w:val="24"/>
        </w:rPr>
        <w:t>Behavior</w:t>
      </w:r>
      <w:proofErr w:type="spellEnd"/>
      <w:r w:rsidRPr="00A73721">
        <w:rPr>
          <w:rFonts w:ascii="Calibri" w:hAnsi="Calibri" w:cs="Calibri"/>
          <w:sz w:val="24"/>
          <w:szCs w:val="24"/>
        </w:rPr>
        <w:t>, [online</w:t>
      </w:r>
      <w:proofErr w:type="gramStart"/>
      <w:r w:rsidRPr="00A73721">
        <w:rPr>
          <w:rFonts w:ascii="Calibri" w:hAnsi="Calibri" w:cs="Calibri"/>
          <w:sz w:val="24"/>
          <w:szCs w:val="24"/>
        </w:rPr>
        <w:t>],  38</w:t>
      </w:r>
      <w:proofErr w:type="gramEnd"/>
      <w:r w:rsidRPr="00A73721">
        <w:rPr>
          <w:rFonts w:ascii="Calibri" w:hAnsi="Calibri" w:cs="Calibri"/>
          <w:sz w:val="24"/>
          <w:szCs w:val="24"/>
        </w:rPr>
        <w:t xml:space="preserve">(6), pp.554–564. Available from: </w:t>
      </w:r>
      <w:hyperlink r:id="rId77" w:history="1">
        <w:r w:rsidRPr="00A73721">
          <w:rPr>
            <w:rFonts w:ascii="Calibri" w:hAnsi="Calibri" w:cs="Calibri"/>
            <w:color w:val="0563C1"/>
            <w:sz w:val="24"/>
            <w:szCs w:val="24"/>
            <w:u w:val="single"/>
          </w:rPr>
          <w:t>https://journals.sagepub.com/doi/10.1177/0093854811403123</w:t>
        </w:r>
      </w:hyperlink>
      <w:r w:rsidRPr="00A73721">
        <w:rPr>
          <w:rFonts w:ascii="Calibri" w:hAnsi="Calibri" w:cs="Calibri"/>
          <w:sz w:val="24"/>
          <w:szCs w:val="24"/>
        </w:rPr>
        <w:t xml:space="preserve"> </w:t>
      </w:r>
      <w:r w:rsidRPr="00A73721">
        <w:rPr>
          <w:rFonts w:ascii="Calibri" w:eastAsia="Calibri" w:hAnsi="Calibri" w:cs="Calibri"/>
          <w:color w:val="auto"/>
          <w:sz w:val="24"/>
          <w:szCs w:val="24"/>
        </w:rPr>
        <w:t>Accessed on 08/07/22</w:t>
      </w:r>
    </w:p>
    <w:p w14:paraId="14847DCE"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Szabo, M. (2012</w:t>
      </w:r>
      <w:r w:rsidRPr="00A73721">
        <w:rPr>
          <w:rFonts w:ascii="Calibri" w:eastAsia="Calibri" w:hAnsi="Calibri" w:cs="Calibri"/>
          <w:i/>
          <w:iCs/>
          <w:color w:val="auto"/>
          <w:sz w:val="24"/>
          <w:szCs w:val="24"/>
          <w:lang w:eastAsia="en-US"/>
        </w:rPr>
        <w:t xml:space="preserve">). </w:t>
      </w:r>
      <w:proofErr w:type="spellStart"/>
      <w:r w:rsidRPr="00A73721">
        <w:rPr>
          <w:rFonts w:ascii="Calibri" w:eastAsia="Calibri" w:hAnsi="Calibri" w:cs="Calibri"/>
          <w:i/>
          <w:iCs/>
          <w:color w:val="auto"/>
          <w:sz w:val="24"/>
          <w:szCs w:val="24"/>
          <w:lang w:eastAsia="en-US"/>
        </w:rPr>
        <w:t>Foodwork</w:t>
      </w:r>
      <w:proofErr w:type="spellEnd"/>
      <w:r w:rsidRPr="00A73721">
        <w:rPr>
          <w:rFonts w:ascii="Calibri" w:eastAsia="Calibri" w:hAnsi="Calibri" w:cs="Calibri"/>
          <w:i/>
          <w:iCs/>
          <w:color w:val="auto"/>
          <w:sz w:val="24"/>
          <w:szCs w:val="24"/>
          <w:lang w:eastAsia="en-US"/>
        </w:rPr>
        <w:t xml:space="preserve"> or </w:t>
      </w:r>
      <w:proofErr w:type="spellStart"/>
      <w:r w:rsidRPr="00A73721">
        <w:rPr>
          <w:rFonts w:ascii="Calibri" w:eastAsia="Calibri" w:hAnsi="Calibri" w:cs="Calibri"/>
          <w:i/>
          <w:iCs/>
          <w:color w:val="auto"/>
          <w:sz w:val="24"/>
          <w:szCs w:val="24"/>
          <w:lang w:eastAsia="en-US"/>
        </w:rPr>
        <w:t>Foodplay</w:t>
      </w:r>
      <w:proofErr w:type="spellEnd"/>
      <w:r w:rsidRPr="00A73721">
        <w:rPr>
          <w:rFonts w:ascii="Calibri" w:eastAsia="Calibri" w:hAnsi="Calibri" w:cs="Calibri"/>
          <w:i/>
          <w:iCs/>
          <w:color w:val="auto"/>
          <w:sz w:val="24"/>
          <w:szCs w:val="24"/>
          <w:lang w:eastAsia="en-US"/>
        </w:rPr>
        <w:t>? Men’s Domestic Cooking, Privilege and Leisure. Sociology</w:t>
      </w:r>
      <w:r w:rsidRPr="00A73721">
        <w:rPr>
          <w:rFonts w:ascii="Calibri" w:eastAsia="Calibri" w:hAnsi="Calibri" w:cs="Calibri"/>
          <w:color w:val="auto"/>
          <w:sz w:val="24"/>
          <w:szCs w:val="24"/>
          <w:lang w:eastAsia="en-US"/>
        </w:rPr>
        <w:t xml:space="preserve">, </w:t>
      </w:r>
      <w:r w:rsidRPr="00A73721">
        <w:rPr>
          <w:rFonts w:ascii="Calibri" w:eastAsia="Calibri" w:hAnsi="Calibri" w:cs="Calibri"/>
          <w:sz w:val="24"/>
          <w:szCs w:val="24"/>
          <w:lang w:eastAsia="en-US"/>
        </w:rPr>
        <w:t xml:space="preserve">[online], </w:t>
      </w:r>
      <w:r w:rsidRPr="00A73721">
        <w:rPr>
          <w:rFonts w:ascii="Calibri" w:eastAsia="Calibri" w:hAnsi="Calibri" w:cs="Calibri"/>
          <w:color w:val="auto"/>
          <w:sz w:val="24"/>
          <w:szCs w:val="24"/>
          <w:lang w:eastAsia="en-US"/>
        </w:rPr>
        <w:t xml:space="preserve">47(4), pp.623–638. </w:t>
      </w:r>
      <w:r w:rsidRPr="00A73721">
        <w:rPr>
          <w:rFonts w:ascii="Calibri" w:eastAsia="Calibri" w:hAnsi="Calibri" w:cs="Calibri"/>
          <w:sz w:val="24"/>
          <w:szCs w:val="24"/>
          <w:lang w:eastAsia="en-US"/>
        </w:rPr>
        <w:t xml:space="preserve">Available from: </w:t>
      </w:r>
      <w:hyperlink r:id="rId78" w:history="1">
        <w:r w:rsidRPr="00A73721">
          <w:rPr>
            <w:rFonts w:ascii="Calibri" w:eastAsia="Calibri" w:hAnsi="Calibri" w:cs="Calibri"/>
            <w:color w:val="0563C1"/>
            <w:sz w:val="24"/>
            <w:szCs w:val="24"/>
            <w:u w:val="single"/>
            <w:lang w:eastAsia="en-US"/>
          </w:rPr>
          <w:t>https://journals.sagepub.com/doi/abs/10.1177/0038038512448562</w:t>
        </w:r>
      </w:hyperlink>
      <w:r w:rsidRPr="00A73721">
        <w:rPr>
          <w:rFonts w:ascii="Calibri" w:eastAsia="Calibri" w:hAnsi="Calibri" w:cs="Calibri"/>
          <w:color w:val="auto"/>
          <w:sz w:val="24"/>
          <w:szCs w:val="24"/>
          <w:lang w:eastAsia="en-US"/>
        </w:rPr>
        <w:t xml:space="preserve"> Accessed on 08/07/22</w:t>
      </w:r>
    </w:p>
    <w:p w14:paraId="39DAFC23"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21079C50"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 xml:space="preserve">Tien, L.-C., Wu, Y.-L., Lin, T.-W. and Wang, S.S.-C. (2016). </w:t>
      </w:r>
      <w:r w:rsidRPr="00A73721">
        <w:rPr>
          <w:rFonts w:ascii="Calibri" w:eastAsia="Calibri" w:hAnsi="Calibri" w:cs="Calibri"/>
          <w:i/>
          <w:iCs/>
          <w:color w:val="auto"/>
          <w:sz w:val="24"/>
          <w:szCs w:val="24"/>
          <w:lang w:eastAsia="en-US"/>
        </w:rPr>
        <w:t>Different perceptions of interprofessional collaboration and factors influencing the one-stop service for sexual assault victims in Taiwan. Journal of Interprofessional Care,</w:t>
      </w:r>
      <w:r w:rsidRPr="00A73721">
        <w:rPr>
          <w:rFonts w:ascii="Calibri" w:eastAsia="Calibri" w:hAnsi="Calibri" w:cs="Calibri"/>
          <w:color w:val="auto"/>
          <w:sz w:val="24"/>
          <w:szCs w:val="24"/>
          <w:lang w:eastAsia="en-US"/>
        </w:rPr>
        <w:t xml:space="preserve"> </w:t>
      </w:r>
      <w:r w:rsidRPr="00A73721">
        <w:rPr>
          <w:rFonts w:ascii="Calibri" w:eastAsia="Calibri" w:hAnsi="Calibri" w:cs="Calibri"/>
          <w:sz w:val="24"/>
          <w:szCs w:val="24"/>
          <w:lang w:eastAsia="en-US"/>
        </w:rPr>
        <w:t xml:space="preserve">[online], </w:t>
      </w:r>
      <w:r w:rsidRPr="00A73721">
        <w:rPr>
          <w:rFonts w:ascii="Calibri" w:eastAsia="Calibri" w:hAnsi="Calibri" w:cs="Calibri"/>
          <w:color w:val="auto"/>
          <w:sz w:val="24"/>
          <w:szCs w:val="24"/>
          <w:lang w:eastAsia="en-US"/>
        </w:rPr>
        <w:t xml:space="preserve">31(1), pp.98–104. </w:t>
      </w:r>
      <w:r w:rsidRPr="00A73721">
        <w:rPr>
          <w:rFonts w:ascii="Calibri" w:eastAsia="Calibri" w:hAnsi="Calibri" w:cs="Calibri"/>
          <w:sz w:val="24"/>
          <w:szCs w:val="24"/>
          <w:lang w:eastAsia="en-US"/>
        </w:rPr>
        <w:t xml:space="preserve">Available from: </w:t>
      </w:r>
      <w:hyperlink r:id="rId79" w:history="1">
        <w:r w:rsidRPr="00A73721">
          <w:rPr>
            <w:rFonts w:ascii="Calibri" w:eastAsia="Calibri" w:hAnsi="Calibri" w:cs="Calibri"/>
            <w:color w:val="0563C1"/>
            <w:sz w:val="24"/>
            <w:szCs w:val="24"/>
            <w:u w:val="single"/>
            <w:lang w:eastAsia="en-US"/>
          </w:rPr>
          <w:t>https://www.tandfonline.com/doi/abs/10.1080/13561820.2016.1248816</w:t>
        </w:r>
      </w:hyperlink>
      <w:r w:rsidRPr="00A73721">
        <w:rPr>
          <w:rFonts w:ascii="Calibri" w:eastAsia="Calibri" w:hAnsi="Calibri" w:cs="Calibri"/>
          <w:color w:val="auto"/>
          <w:sz w:val="24"/>
          <w:szCs w:val="24"/>
          <w:lang w:eastAsia="en-US"/>
        </w:rPr>
        <w:t xml:space="preserve"> Accessed on 08/07/22</w:t>
      </w:r>
    </w:p>
    <w:p w14:paraId="3C047B7C" w14:textId="77777777" w:rsidR="00A73721" w:rsidRPr="00A73721" w:rsidRDefault="00A73721" w:rsidP="00A73721">
      <w:pPr>
        <w:overflowPunct/>
        <w:autoSpaceDE/>
        <w:autoSpaceDN/>
        <w:adjustRightInd/>
        <w:spacing w:before="100" w:beforeAutospacing="1" w:afterAutospacing="1" w:line="360" w:lineRule="atLeast"/>
        <w:textAlignment w:val="auto"/>
        <w:rPr>
          <w:rFonts w:ascii="Calibri" w:hAnsi="Calibri" w:cs="Calibri"/>
          <w:sz w:val="24"/>
          <w:szCs w:val="24"/>
        </w:rPr>
      </w:pPr>
      <w:r w:rsidRPr="00A73721">
        <w:rPr>
          <w:rFonts w:ascii="Calibri" w:hAnsi="Calibri" w:cs="Calibri"/>
          <w:sz w:val="24"/>
          <w:szCs w:val="24"/>
        </w:rPr>
        <w:t xml:space="preserve">Understanding your rights. (n.d.). [online] Available from: </w:t>
      </w:r>
      <w:hyperlink r:id="rId80" w:history="1">
        <w:r w:rsidRPr="00A73721">
          <w:rPr>
            <w:rFonts w:ascii="Calibri" w:hAnsi="Calibri" w:cs="Calibri"/>
            <w:color w:val="0563C1"/>
            <w:sz w:val="24"/>
            <w:szCs w:val="24"/>
            <w:u w:val="single"/>
          </w:rPr>
          <w:t>https://assets.publishing.service.gov.uk/government/uploads/system/uploads/attachment_data/file/979234/victims-code-crime-leaflet-web.pdf</w:t>
        </w:r>
      </w:hyperlink>
      <w:r w:rsidRPr="00A73721">
        <w:rPr>
          <w:rFonts w:ascii="Calibri" w:hAnsi="Calibri" w:cs="Calibri"/>
          <w:sz w:val="24"/>
          <w:szCs w:val="24"/>
        </w:rPr>
        <w:t xml:space="preserve">. </w:t>
      </w:r>
      <w:r w:rsidRPr="00A73721">
        <w:rPr>
          <w:rFonts w:ascii="Calibri" w:eastAsia="Calibri" w:hAnsi="Calibri" w:cs="Calibri"/>
          <w:color w:val="auto"/>
          <w:sz w:val="24"/>
          <w:szCs w:val="24"/>
        </w:rPr>
        <w:t>Accessed on 08/07/22</w:t>
      </w:r>
    </w:p>
    <w:p w14:paraId="13021665" w14:textId="7BE35D7B" w:rsidR="00A73721" w:rsidRDefault="00A73721" w:rsidP="00A73721">
      <w:pPr>
        <w:overflowPunct/>
        <w:autoSpaceDE/>
        <w:autoSpaceDN/>
        <w:adjustRightInd/>
        <w:spacing w:before="100" w:beforeAutospacing="1" w:afterAutospacing="1" w:line="360" w:lineRule="atLeast"/>
        <w:textAlignment w:val="auto"/>
        <w:rPr>
          <w:rFonts w:ascii="Calibri" w:eastAsia="Calibri" w:hAnsi="Calibri" w:cs="Calibri"/>
          <w:color w:val="auto"/>
          <w:sz w:val="24"/>
          <w:szCs w:val="24"/>
        </w:rPr>
      </w:pPr>
      <w:r w:rsidRPr="00A73721">
        <w:rPr>
          <w:rFonts w:ascii="Calibri" w:hAnsi="Calibri" w:cs="Calibri"/>
          <w:sz w:val="24"/>
          <w:szCs w:val="24"/>
        </w:rPr>
        <w:t>‌Victims Code maintenance (n.d.). </w:t>
      </w:r>
      <w:r w:rsidRPr="00A73721">
        <w:rPr>
          <w:rFonts w:ascii="Calibri" w:hAnsi="Calibri" w:cs="Calibri"/>
          <w:i/>
          <w:iCs/>
          <w:sz w:val="24"/>
          <w:szCs w:val="24"/>
        </w:rPr>
        <w:t>Victims’ Code</w:t>
      </w:r>
      <w:r w:rsidRPr="00A73721">
        <w:rPr>
          <w:rFonts w:ascii="Calibri" w:hAnsi="Calibri" w:cs="Calibri"/>
          <w:sz w:val="24"/>
          <w:szCs w:val="24"/>
        </w:rPr>
        <w:t xml:space="preserve">. [online] Victim Support. Available from: </w:t>
      </w:r>
      <w:hyperlink r:id="rId81" w:anchor=":~:text=Victims%E2%80%99%20Code%20The%20Code%20of%20Practice%20for%20Victims" w:history="1">
        <w:r w:rsidRPr="00A73721">
          <w:rPr>
            <w:rFonts w:ascii="Calibri" w:hAnsi="Calibri" w:cs="Calibri"/>
            <w:color w:val="0563C1"/>
            <w:sz w:val="24"/>
            <w:szCs w:val="24"/>
            <w:u w:val="single"/>
          </w:rPr>
          <w:t>https://www.victimsupport.org.uk/help-and-support/your-rights/victims-code/#:~:text=Victims%E2%80%99%20Code%20The%20Code%20of%20Practice%20for%20Victims</w:t>
        </w:r>
      </w:hyperlink>
      <w:r w:rsidRPr="00A73721">
        <w:rPr>
          <w:rFonts w:ascii="Calibri" w:hAnsi="Calibri" w:cs="Calibri"/>
          <w:sz w:val="24"/>
          <w:szCs w:val="24"/>
        </w:rPr>
        <w:t xml:space="preserve">. </w:t>
      </w:r>
      <w:r w:rsidRPr="00A73721">
        <w:rPr>
          <w:rFonts w:ascii="Calibri" w:eastAsia="Calibri" w:hAnsi="Calibri" w:cs="Calibri"/>
          <w:color w:val="auto"/>
          <w:sz w:val="24"/>
          <w:szCs w:val="24"/>
        </w:rPr>
        <w:t>Accessed on 08/07/22</w:t>
      </w:r>
    </w:p>
    <w:p w14:paraId="5C8633FD" w14:textId="77777777" w:rsidR="0035644C" w:rsidRPr="00A73721" w:rsidRDefault="0035644C" w:rsidP="00A73721">
      <w:pPr>
        <w:overflowPunct/>
        <w:autoSpaceDE/>
        <w:autoSpaceDN/>
        <w:adjustRightInd/>
        <w:spacing w:before="100" w:beforeAutospacing="1" w:afterAutospacing="1" w:line="360" w:lineRule="atLeast"/>
        <w:textAlignment w:val="auto"/>
        <w:rPr>
          <w:rFonts w:ascii="Calibri" w:hAnsi="Calibri" w:cs="Calibri"/>
          <w:sz w:val="24"/>
          <w:szCs w:val="24"/>
        </w:rPr>
      </w:pPr>
    </w:p>
    <w:p w14:paraId="5221EC12" w14:textId="77777777" w:rsidR="00A73721" w:rsidRPr="00A73721" w:rsidRDefault="00A73721" w:rsidP="00A73721">
      <w:pPr>
        <w:overflowPunct/>
        <w:autoSpaceDE/>
        <w:autoSpaceDN/>
        <w:adjustRightInd/>
        <w:spacing w:after="160" w:line="259" w:lineRule="auto"/>
        <w:textAlignment w:val="auto"/>
        <w:rPr>
          <w:rFonts w:ascii="Calibri" w:hAnsi="Calibri" w:cs="Calibri"/>
          <w:sz w:val="24"/>
          <w:szCs w:val="24"/>
        </w:rPr>
      </w:pPr>
      <w:r w:rsidRPr="00A73721">
        <w:rPr>
          <w:rFonts w:ascii="Calibri" w:eastAsia="Calibri" w:hAnsi="Calibri" w:cs="Calibri"/>
          <w:color w:val="auto"/>
          <w:sz w:val="24"/>
          <w:szCs w:val="24"/>
          <w:lang w:eastAsia="en-US"/>
        </w:rPr>
        <w:t xml:space="preserve">Women's Aid (2015). </w:t>
      </w:r>
      <w:proofErr w:type="spellStart"/>
      <w:r w:rsidRPr="00A73721">
        <w:rPr>
          <w:rFonts w:ascii="Calibri" w:eastAsia="Calibri" w:hAnsi="Calibri" w:cs="Calibri"/>
          <w:color w:val="auto"/>
          <w:sz w:val="24"/>
          <w:szCs w:val="24"/>
          <w:lang w:eastAsia="en-US"/>
        </w:rPr>
        <w:t>Womens</w:t>
      </w:r>
      <w:proofErr w:type="spellEnd"/>
      <w:r w:rsidRPr="00A73721">
        <w:rPr>
          <w:rFonts w:ascii="Calibri" w:eastAsia="Calibri" w:hAnsi="Calibri" w:cs="Calibri"/>
          <w:color w:val="auto"/>
          <w:sz w:val="24"/>
          <w:szCs w:val="24"/>
          <w:lang w:eastAsia="en-US"/>
        </w:rPr>
        <w:t xml:space="preserve"> Aid. [online] </w:t>
      </w:r>
      <w:proofErr w:type="spellStart"/>
      <w:r w:rsidRPr="00A73721">
        <w:rPr>
          <w:rFonts w:ascii="Calibri" w:eastAsia="Calibri" w:hAnsi="Calibri" w:cs="Calibri"/>
          <w:color w:val="auto"/>
          <w:sz w:val="24"/>
          <w:szCs w:val="24"/>
          <w:lang w:eastAsia="en-US"/>
        </w:rPr>
        <w:t>Womens</w:t>
      </w:r>
      <w:proofErr w:type="spellEnd"/>
      <w:r w:rsidRPr="00A73721">
        <w:rPr>
          <w:rFonts w:ascii="Calibri" w:eastAsia="Calibri" w:hAnsi="Calibri" w:cs="Calibri"/>
          <w:color w:val="auto"/>
          <w:sz w:val="24"/>
          <w:szCs w:val="24"/>
          <w:lang w:eastAsia="en-US"/>
        </w:rPr>
        <w:t xml:space="preserve"> Aid. </w:t>
      </w:r>
      <w:r w:rsidRPr="00A73721">
        <w:rPr>
          <w:rFonts w:ascii="Calibri" w:eastAsia="Calibri" w:hAnsi="Calibri" w:cs="Calibri"/>
          <w:sz w:val="24"/>
          <w:szCs w:val="24"/>
          <w:lang w:eastAsia="en-US"/>
        </w:rPr>
        <w:t xml:space="preserve">Available from: </w:t>
      </w:r>
      <w:hyperlink r:id="rId82" w:history="1">
        <w:r w:rsidRPr="00A73721">
          <w:rPr>
            <w:rFonts w:ascii="Calibri" w:eastAsia="Calibri" w:hAnsi="Calibri" w:cs="Calibri"/>
            <w:color w:val="0563C1"/>
            <w:sz w:val="24"/>
            <w:szCs w:val="24"/>
            <w:u w:val="single"/>
            <w:lang w:eastAsia="en-US"/>
          </w:rPr>
          <w:t>https://www.womensaid.org.uk/</w:t>
        </w:r>
      </w:hyperlink>
      <w:r w:rsidRPr="00A73721">
        <w:rPr>
          <w:rFonts w:ascii="Calibri" w:eastAsia="Calibri" w:hAnsi="Calibri" w:cs="Calibri"/>
          <w:color w:val="0563C1"/>
          <w:sz w:val="24"/>
          <w:szCs w:val="24"/>
          <w:u w:val="single"/>
          <w:lang w:eastAsia="en-US"/>
        </w:rPr>
        <w:t xml:space="preserve"> </w:t>
      </w:r>
      <w:r w:rsidRPr="00A73721">
        <w:rPr>
          <w:rFonts w:ascii="Calibri" w:eastAsia="Calibri" w:hAnsi="Calibri" w:cs="Calibri"/>
          <w:color w:val="auto"/>
          <w:sz w:val="24"/>
          <w:szCs w:val="24"/>
          <w:lang w:eastAsia="en-US"/>
        </w:rPr>
        <w:t>Accessed on 08/07/22</w:t>
      </w:r>
    </w:p>
    <w:p w14:paraId="7A6A3E09" w14:textId="77777777" w:rsidR="00A73721" w:rsidRPr="00A73721" w:rsidRDefault="00A73721" w:rsidP="00A73721">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A73721">
        <w:rPr>
          <w:rFonts w:ascii="Calibri" w:eastAsia="Calibri" w:hAnsi="Calibri" w:cs="Calibri"/>
          <w:color w:val="auto"/>
          <w:sz w:val="24"/>
          <w:szCs w:val="24"/>
          <w:lang w:eastAsia="en-US"/>
        </w:rPr>
        <w:t xml:space="preserve">Wenzel, M., Rowland, Z. and Kubiak, T. (2020). </w:t>
      </w:r>
      <w:r w:rsidRPr="00A73721">
        <w:rPr>
          <w:rFonts w:ascii="Calibri" w:eastAsia="Calibri" w:hAnsi="Calibri" w:cs="Calibri"/>
          <w:i/>
          <w:iCs/>
          <w:color w:val="auto"/>
          <w:sz w:val="24"/>
          <w:szCs w:val="24"/>
          <w:lang w:eastAsia="en-US"/>
        </w:rPr>
        <w:t>How mindfulness shapes the situational use of emotion regulation strategies in daily life. Cognition and Emotion</w:t>
      </w:r>
      <w:r w:rsidRPr="00A73721">
        <w:rPr>
          <w:rFonts w:ascii="Calibri" w:eastAsia="Calibri" w:hAnsi="Calibri" w:cs="Calibri"/>
          <w:color w:val="auto"/>
          <w:sz w:val="24"/>
          <w:szCs w:val="24"/>
          <w:lang w:eastAsia="en-US"/>
        </w:rPr>
        <w:t xml:space="preserve">, </w:t>
      </w:r>
      <w:r w:rsidRPr="00A73721">
        <w:rPr>
          <w:rFonts w:ascii="Calibri" w:eastAsia="Calibri" w:hAnsi="Calibri" w:cs="Calibri"/>
          <w:sz w:val="24"/>
          <w:szCs w:val="24"/>
          <w:lang w:eastAsia="en-US"/>
        </w:rPr>
        <w:t xml:space="preserve">[online], </w:t>
      </w:r>
      <w:r w:rsidRPr="00A73721">
        <w:rPr>
          <w:rFonts w:ascii="Calibri" w:eastAsia="Calibri" w:hAnsi="Calibri" w:cs="Calibri"/>
          <w:color w:val="auto"/>
          <w:sz w:val="24"/>
          <w:szCs w:val="24"/>
          <w:lang w:eastAsia="en-US"/>
        </w:rPr>
        <w:t>34 (</w:t>
      </w:r>
      <w:proofErr w:type="gramStart"/>
      <w:r w:rsidRPr="00A73721">
        <w:rPr>
          <w:rFonts w:ascii="Calibri" w:eastAsia="Calibri" w:hAnsi="Calibri" w:cs="Calibri"/>
          <w:color w:val="auto"/>
          <w:sz w:val="24"/>
          <w:szCs w:val="24"/>
          <w:lang w:eastAsia="en-US"/>
        </w:rPr>
        <w:t>7)pp.</w:t>
      </w:r>
      <w:proofErr w:type="gramEnd"/>
      <w:r w:rsidRPr="00A73721">
        <w:rPr>
          <w:rFonts w:ascii="Calibri" w:eastAsia="Calibri" w:hAnsi="Calibri" w:cs="Calibri"/>
          <w:color w:val="auto"/>
          <w:sz w:val="24"/>
          <w:szCs w:val="24"/>
          <w:lang w:eastAsia="en-US"/>
        </w:rPr>
        <w:t xml:space="preserve">1–15. </w:t>
      </w:r>
      <w:r w:rsidRPr="00A73721">
        <w:rPr>
          <w:rFonts w:ascii="Calibri" w:eastAsia="Calibri" w:hAnsi="Calibri" w:cs="Calibri"/>
          <w:sz w:val="24"/>
          <w:szCs w:val="24"/>
          <w:lang w:eastAsia="en-US"/>
        </w:rPr>
        <w:t xml:space="preserve">Available from: </w:t>
      </w:r>
      <w:hyperlink r:id="rId83" w:history="1">
        <w:r w:rsidRPr="00A73721">
          <w:rPr>
            <w:rFonts w:ascii="Calibri" w:eastAsia="Calibri" w:hAnsi="Calibri" w:cs="Calibri"/>
            <w:color w:val="0563C1"/>
            <w:sz w:val="24"/>
            <w:szCs w:val="24"/>
            <w:u w:val="single"/>
            <w:lang w:eastAsia="en-US"/>
          </w:rPr>
          <w:t>https://www.tandfonline.com/doi/abs/10.1080/02699931.2020.1758632?journalCode=pcem20#:~:text=However%2C%20mindfulness%20was%20not%20significantly%20associated%20with%20more,and%20awareness%20did%20not%20significantly%20influence%20emotion%20regulation</w:t>
        </w:r>
      </w:hyperlink>
      <w:r w:rsidRPr="00A73721">
        <w:rPr>
          <w:rFonts w:ascii="Calibri" w:eastAsia="Calibri" w:hAnsi="Calibri" w:cs="Calibri"/>
          <w:color w:val="auto"/>
          <w:sz w:val="24"/>
          <w:szCs w:val="24"/>
          <w:lang w:eastAsia="en-US"/>
        </w:rPr>
        <w:t>.  Accessed on 08/07/22</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8668CD">
          <w:headerReference w:type="even" r:id="rId84"/>
          <w:headerReference w:type="default" r:id="rId85"/>
          <w:footerReference w:type="even" r:id="rId86"/>
          <w:footerReference w:type="default" r:id="rId87"/>
          <w:headerReference w:type="first" r:id="rId88"/>
          <w:footerReference w:type="first" r:id="rId89"/>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723A6E6B" w:rsidR="28A9B94D" w:rsidRDefault="008668CD">
      <w:pPr>
        <w:rPr>
          <w:rFonts w:eastAsia="Arial"/>
          <w:b/>
          <w:bCs/>
          <w:sz w:val="24"/>
          <w:szCs w:val="24"/>
        </w:rPr>
      </w:pPr>
      <w:r>
        <w:rPr>
          <w:rFonts w:eastAsia="Arial"/>
          <w:b/>
          <w:bCs/>
          <w:noProof/>
          <w:sz w:val="24"/>
          <w:szCs w:val="24"/>
        </w:rPr>
        <mc:AlternateContent>
          <mc:Choice Requires="wps">
            <w:drawing>
              <wp:anchor distT="0" distB="0" distL="114300" distR="114300" simplePos="0" relativeHeight="251659264" behindDoc="0" locked="0" layoutInCell="1" allowOverlap="1" wp14:anchorId="46AAE419" wp14:editId="29D4BD14">
                <wp:simplePos x="0" y="0"/>
                <wp:positionH relativeFrom="column">
                  <wp:posOffset>659674</wp:posOffset>
                </wp:positionH>
                <wp:positionV relativeFrom="paragraph">
                  <wp:posOffset>156858</wp:posOffset>
                </wp:positionV>
                <wp:extent cx="1058906" cy="369703"/>
                <wp:effectExtent l="19050" t="0" r="27305" b="11430"/>
                <wp:wrapNone/>
                <wp:docPr id="1" name="Freeform 1"/>
                <wp:cNvGraphicFramePr/>
                <a:graphic xmlns:a="http://schemas.openxmlformats.org/drawingml/2006/main">
                  <a:graphicData uri="http://schemas.microsoft.com/office/word/2010/wordprocessingShape">
                    <wps:wsp>
                      <wps:cNvSpPr/>
                      <wps:spPr>
                        <a:xfrm>
                          <a:off x="0" y="0"/>
                          <a:ext cx="1058906" cy="369703"/>
                        </a:xfrm>
                        <a:custGeom>
                          <a:avLst/>
                          <a:gdLst>
                            <a:gd name="connsiteX0" fmla="*/ 143692 w 1058906"/>
                            <a:gd name="connsiteY0" fmla="*/ 202643 h 369703"/>
                            <a:gd name="connsiteX1" fmla="*/ 202475 w 1058906"/>
                            <a:gd name="connsiteY1" fmla="*/ 143860 h 369703"/>
                            <a:gd name="connsiteX2" fmla="*/ 222069 w 1058906"/>
                            <a:gd name="connsiteY2" fmla="*/ 117734 h 369703"/>
                            <a:gd name="connsiteX3" fmla="*/ 254726 w 1058906"/>
                            <a:gd name="connsiteY3" fmla="*/ 91608 h 369703"/>
                            <a:gd name="connsiteX4" fmla="*/ 280852 w 1058906"/>
                            <a:gd name="connsiteY4" fmla="*/ 65483 h 369703"/>
                            <a:gd name="connsiteX5" fmla="*/ 293915 w 1058906"/>
                            <a:gd name="connsiteY5" fmla="*/ 39357 h 369703"/>
                            <a:gd name="connsiteX6" fmla="*/ 287383 w 1058906"/>
                            <a:gd name="connsiteY6" fmla="*/ 6700 h 369703"/>
                            <a:gd name="connsiteX7" fmla="*/ 254726 w 1058906"/>
                            <a:gd name="connsiteY7" fmla="*/ 45888 h 369703"/>
                            <a:gd name="connsiteX8" fmla="*/ 228600 w 1058906"/>
                            <a:gd name="connsiteY8" fmla="*/ 72014 h 369703"/>
                            <a:gd name="connsiteX9" fmla="*/ 202475 w 1058906"/>
                            <a:gd name="connsiteY9" fmla="*/ 111203 h 369703"/>
                            <a:gd name="connsiteX10" fmla="*/ 97972 w 1058906"/>
                            <a:gd name="connsiteY10" fmla="*/ 228768 h 369703"/>
                            <a:gd name="connsiteX11" fmla="*/ 65315 w 1058906"/>
                            <a:gd name="connsiteY11" fmla="*/ 261426 h 369703"/>
                            <a:gd name="connsiteX12" fmla="*/ 45720 w 1058906"/>
                            <a:gd name="connsiteY12" fmla="*/ 294083 h 369703"/>
                            <a:gd name="connsiteX13" fmla="*/ 0 w 1058906"/>
                            <a:gd name="connsiteY13" fmla="*/ 320208 h 369703"/>
                            <a:gd name="connsiteX14" fmla="*/ 39189 w 1058906"/>
                            <a:gd name="connsiteY14" fmla="*/ 313677 h 369703"/>
                            <a:gd name="connsiteX15" fmla="*/ 235132 w 1058906"/>
                            <a:gd name="connsiteY15" fmla="*/ 320208 h 369703"/>
                            <a:gd name="connsiteX16" fmla="*/ 339635 w 1058906"/>
                            <a:gd name="connsiteY16" fmla="*/ 320208 h 369703"/>
                            <a:gd name="connsiteX17" fmla="*/ 352697 w 1058906"/>
                            <a:gd name="connsiteY17" fmla="*/ 294083 h 369703"/>
                            <a:gd name="connsiteX18" fmla="*/ 346166 w 1058906"/>
                            <a:gd name="connsiteY18" fmla="*/ 267957 h 369703"/>
                            <a:gd name="connsiteX19" fmla="*/ 346166 w 1058906"/>
                            <a:gd name="connsiteY19" fmla="*/ 248363 h 369703"/>
                            <a:gd name="connsiteX20" fmla="*/ 359229 w 1058906"/>
                            <a:gd name="connsiteY20" fmla="*/ 176517 h 369703"/>
                            <a:gd name="connsiteX21" fmla="*/ 365760 w 1058906"/>
                            <a:gd name="connsiteY21" fmla="*/ 150391 h 369703"/>
                            <a:gd name="connsiteX22" fmla="*/ 372292 w 1058906"/>
                            <a:gd name="connsiteY22" fmla="*/ 111203 h 369703"/>
                            <a:gd name="connsiteX23" fmla="*/ 326572 w 1058906"/>
                            <a:gd name="connsiteY23" fmla="*/ 169986 h 369703"/>
                            <a:gd name="connsiteX24" fmla="*/ 300446 w 1058906"/>
                            <a:gd name="connsiteY24" fmla="*/ 209174 h 369703"/>
                            <a:gd name="connsiteX25" fmla="*/ 274320 w 1058906"/>
                            <a:gd name="connsiteY25" fmla="*/ 241831 h 369703"/>
                            <a:gd name="connsiteX26" fmla="*/ 254726 w 1058906"/>
                            <a:gd name="connsiteY26" fmla="*/ 300614 h 369703"/>
                            <a:gd name="connsiteX27" fmla="*/ 241663 w 1058906"/>
                            <a:gd name="connsiteY27" fmla="*/ 326740 h 369703"/>
                            <a:gd name="connsiteX28" fmla="*/ 228600 w 1058906"/>
                            <a:gd name="connsiteY28" fmla="*/ 365928 h 369703"/>
                            <a:gd name="connsiteX29" fmla="*/ 241663 w 1058906"/>
                            <a:gd name="connsiteY29" fmla="*/ 339803 h 369703"/>
                            <a:gd name="connsiteX30" fmla="*/ 261257 w 1058906"/>
                            <a:gd name="connsiteY30" fmla="*/ 320208 h 369703"/>
                            <a:gd name="connsiteX31" fmla="*/ 287383 w 1058906"/>
                            <a:gd name="connsiteY31" fmla="*/ 287551 h 369703"/>
                            <a:gd name="connsiteX32" fmla="*/ 300446 w 1058906"/>
                            <a:gd name="connsiteY32" fmla="*/ 267957 h 369703"/>
                            <a:gd name="connsiteX33" fmla="*/ 320040 w 1058906"/>
                            <a:gd name="connsiteY33" fmla="*/ 235300 h 369703"/>
                            <a:gd name="connsiteX34" fmla="*/ 346166 w 1058906"/>
                            <a:gd name="connsiteY34" fmla="*/ 215706 h 369703"/>
                            <a:gd name="connsiteX35" fmla="*/ 352697 w 1058906"/>
                            <a:gd name="connsiteY35" fmla="*/ 183048 h 369703"/>
                            <a:gd name="connsiteX36" fmla="*/ 378823 w 1058906"/>
                            <a:gd name="connsiteY36" fmla="*/ 156923 h 369703"/>
                            <a:gd name="connsiteX37" fmla="*/ 385355 w 1058906"/>
                            <a:gd name="connsiteY37" fmla="*/ 137328 h 369703"/>
                            <a:gd name="connsiteX38" fmla="*/ 404949 w 1058906"/>
                            <a:gd name="connsiteY38" fmla="*/ 117734 h 369703"/>
                            <a:gd name="connsiteX39" fmla="*/ 418012 w 1058906"/>
                            <a:gd name="connsiteY39" fmla="*/ 91608 h 369703"/>
                            <a:gd name="connsiteX40" fmla="*/ 483326 w 1058906"/>
                            <a:gd name="connsiteY40" fmla="*/ 52420 h 369703"/>
                            <a:gd name="connsiteX41" fmla="*/ 502920 w 1058906"/>
                            <a:gd name="connsiteY41" fmla="*/ 32826 h 369703"/>
                            <a:gd name="connsiteX42" fmla="*/ 574766 w 1058906"/>
                            <a:gd name="connsiteY42" fmla="*/ 45888 h 369703"/>
                            <a:gd name="connsiteX43" fmla="*/ 581297 w 1058906"/>
                            <a:gd name="connsiteY43" fmla="*/ 72014 h 369703"/>
                            <a:gd name="connsiteX44" fmla="*/ 548640 w 1058906"/>
                            <a:gd name="connsiteY44" fmla="*/ 169986 h 369703"/>
                            <a:gd name="connsiteX45" fmla="*/ 509452 w 1058906"/>
                            <a:gd name="connsiteY45" fmla="*/ 183048 h 369703"/>
                            <a:gd name="connsiteX46" fmla="*/ 483326 w 1058906"/>
                            <a:gd name="connsiteY46" fmla="*/ 196111 h 369703"/>
                            <a:gd name="connsiteX47" fmla="*/ 404949 w 1058906"/>
                            <a:gd name="connsiteY47" fmla="*/ 209174 h 369703"/>
                            <a:gd name="connsiteX48" fmla="*/ 267789 w 1058906"/>
                            <a:gd name="connsiteY48" fmla="*/ 222237 h 369703"/>
                            <a:gd name="connsiteX49" fmla="*/ 333103 w 1058906"/>
                            <a:gd name="connsiteY49" fmla="*/ 235300 h 369703"/>
                            <a:gd name="connsiteX50" fmla="*/ 385355 w 1058906"/>
                            <a:gd name="connsiteY50" fmla="*/ 241831 h 369703"/>
                            <a:gd name="connsiteX51" fmla="*/ 418012 w 1058906"/>
                            <a:gd name="connsiteY51" fmla="*/ 313677 h 369703"/>
                            <a:gd name="connsiteX52" fmla="*/ 444137 w 1058906"/>
                            <a:gd name="connsiteY52" fmla="*/ 326740 h 369703"/>
                            <a:gd name="connsiteX53" fmla="*/ 489857 w 1058906"/>
                            <a:gd name="connsiteY53" fmla="*/ 320208 h 369703"/>
                            <a:gd name="connsiteX54" fmla="*/ 509452 w 1058906"/>
                            <a:gd name="connsiteY54" fmla="*/ 307146 h 369703"/>
                            <a:gd name="connsiteX55" fmla="*/ 535577 w 1058906"/>
                            <a:gd name="connsiteY55" fmla="*/ 261426 h 369703"/>
                            <a:gd name="connsiteX56" fmla="*/ 555172 w 1058906"/>
                            <a:gd name="connsiteY56" fmla="*/ 254894 h 369703"/>
                            <a:gd name="connsiteX57" fmla="*/ 627017 w 1058906"/>
                            <a:gd name="connsiteY57" fmla="*/ 241831 h 369703"/>
                            <a:gd name="connsiteX58" fmla="*/ 640080 w 1058906"/>
                            <a:gd name="connsiteY58" fmla="*/ 261426 h 369703"/>
                            <a:gd name="connsiteX59" fmla="*/ 646612 w 1058906"/>
                            <a:gd name="connsiteY59" fmla="*/ 320208 h 369703"/>
                            <a:gd name="connsiteX60" fmla="*/ 685800 w 1058906"/>
                            <a:gd name="connsiteY60" fmla="*/ 313677 h 369703"/>
                            <a:gd name="connsiteX61" fmla="*/ 724989 w 1058906"/>
                            <a:gd name="connsiteY61" fmla="*/ 274488 h 369703"/>
                            <a:gd name="connsiteX62" fmla="*/ 738052 w 1058906"/>
                            <a:gd name="connsiteY62" fmla="*/ 294083 h 369703"/>
                            <a:gd name="connsiteX63" fmla="*/ 790303 w 1058906"/>
                            <a:gd name="connsiteY63" fmla="*/ 281020 h 369703"/>
                            <a:gd name="connsiteX64" fmla="*/ 816429 w 1058906"/>
                            <a:gd name="connsiteY64" fmla="*/ 267957 h 369703"/>
                            <a:gd name="connsiteX65" fmla="*/ 842555 w 1058906"/>
                            <a:gd name="connsiteY65" fmla="*/ 281020 h 369703"/>
                            <a:gd name="connsiteX66" fmla="*/ 927463 w 1058906"/>
                            <a:gd name="connsiteY66" fmla="*/ 261426 h 369703"/>
                            <a:gd name="connsiteX67" fmla="*/ 940526 w 1058906"/>
                            <a:gd name="connsiteY67" fmla="*/ 241831 h 369703"/>
                            <a:gd name="connsiteX68" fmla="*/ 966652 w 1058906"/>
                            <a:gd name="connsiteY68" fmla="*/ 228768 h 369703"/>
                            <a:gd name="connsiteX69" fmla="*/ 979715 w 1058906"/>
                            <a:gd name="connsiteY69" fmla="*/ 189580 h 369703"/>
                            <a:gd name="connsiteX70" fmla="*/ 986246 w 1058906"/>
                            <a:gd name="connsiteY70" fmla="*/ 169986 h 369703"/>
                            <a:gd name="connsiteX71" fmla="*/ 940526 w 1058906"/>
                            <a:gd name="connsiteY71" fmla="*/ 156923 h 369703"/>
                            <a:gd name="connsiteX72" fmla="*/ 914400 w 1058906"/>
                            <a:gd name="connsiteY72" fmla="*/ 163454 h 369703"/>
                            <a:gd name="connsiteX73" fmla="*/ 953589 w 1058906"/>
                            <a:gd name="connsiteY73" fmla="*/ 176517 h 369703"/>
                            <a:gd name="connsiteX74" fmla="*/ 973183 w 1058906"/>
                            <a:gd name="connsiteY74" fmla="*/ 183048 h 369703"/>
                            <a:gd name="connsiteX75" fmla="*/ 999309 w 1058906"/>
                            <a:gd name="connsiteY75" fmla="*/ 189580 h 369703"/>
                            <a:gd name="connsiteX76" fmla="*/ 1038497 w 1058906"/>
                            <a:gd name="connsiteY76" fmla="*/ 215706 h 369703"/>
                            <a:gd name="connsiteX77" fmla="*/ 1058092 w 1058906"/>
                            <a:gd name="connsiteY77" fmla="*/ 228768 h 369703"/>
                            <a:gd name="connsiteX78" fmla="*/ 1051560 w 1058906"/>
                            <a:gd name="connsiteY78" fmla="*/ 346334 h 369703"/>
                            <a:gd name="connsiteX79" fmla="*/ 986246 w 1058906"/>
                            <a:gd name="connsiteY79" fmla="*/ 365928 h 369703"/>
                            <a:gd name="connsiteX80" fmla="*/ 829492 w 1058906"/>
                            <a:gd name="connsiteY80" fmla="*/ 346334 h 369703"/>
                            <a:gd name="connsiteX81" fmla="*/ 816429 w 1058906"/>
                            <a:gd name="connsiteY81" fmla="*/ 326740 h 369703"/>
                            <a:gd name="connsiteX82" fmla="*/ 790303 w 1058906"/>
                            <a:gd name="connsiteY82" fmla="*/ 307146 h 36970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Lst>
                          <a:rect l="l" t="t" r="r" b="b"/>
                          <a:pathLst>
                            <a:path w="1058906" h="369703">
                              <a:moveTo>
                                <a:pt x="143692" y="202643"/>
                              </a:moveTo>
                              <a:cubicBezTo>
                                <a:pt x="163286" y="183049"/>
                                <a:pt x="185849" y="166029"/>
                                <a:pt x="202475" y="143860"/>
                              </a:cubicBezTo>
                              <a:cubicBezTo>
                                <a:pt x="209006" y="135151"/>
                                <a:pt x="214372" y="125431"/>
                                <a:pt x="222069" y="117734"/>
                              </a:cubicBezTo>
                              <a:cubicBezTo>
                                <a:pt x="231926" y="107876"/>
                                <a:pt x="244307" y="100870"/>
                                <a:pt x="254726" y="91608"/>
                              </a:cubicBezTo>
                              <a:cubicBezTo>
                                <a:pt x="263931" y="83426"/>
                                <a:pt x="272143" y="74191"/>
                                <a:pt x="280852" y="65483"/>
                              </a:cubicBezTo>
                              <a:cubicBezTo>
                                <a:pt x="285206" y="56774"/>
                                <a:pt x="288906" y="47706"/>
                                <a:pt x="293915" y="39357"/>
                              </a:cubicBezTo>
                              <a:cubicBezTo>
                                <a:pt x="322530" y="-8335"/>
                                <a:pt x="338028" y="-3430"/>
                                <a:pt x="287383" y="6700"/>
                              </a:cubicBezTo>
                              <a:cubicBezTo>
                                <a:pt x="246326" y="34072"/>
                                <a:pt x="287873" y="1693"/>
                                <a:pt x="254726" y="45888"/>
                              </a:cubicBezTo>
                              <a:cubicBezTo>
                                <a:pt x="247336" y="55741"/>
                                <a:pt x="236294" y="62397"/>
                                <a:pt x="228600" y="72014"/>
                              </a:cubicBezTo>
                              <a:cubicBezTo>
                                <a:pt x="218793" y="84273"/>
                                <a:pt x="211411" y="98295"/>
                                <a:pt x="202475" y="111203"/>
                              </a:cubicBezTo>
                              <a:cubicBezTo>
                                <a:pt x="155369" y="179245"/>
                                <a:pt x="173588" y="153152"/>
                                <a:pt x="97972" y="228768"/>
                              </a:cubicBezTo>
                              <a:cubicBezTo>
                                <a:pt x="87086" y="239654"/>
                                <a:pt x="73236" y="248225"/>
                                <a:pt x="65315" y="261426"/>
                              </a:cubicBezTo>
                              <a:cubicBezTo>
                                <a:pt x="58783" y="272312"/>
                                <a:pt x="53982" y="284444"/>
                                <a:pt x="45720" y="294083"/>
                              </a:cubicBezTo>
                              <a:cubicBezTo>
                                <a:pt x="38794" y="302163"/>
                                <a:pt x="7386" y="316515"/>
                                <a:pt x="0" y="320208"/>
                              </a:cubicBezTo>
                              <a:cubicBezTo>
                                <a:pt x="65909" y="342179"/>
                                <a:pt x="-30447" y="315787"/>
                                <a:pt x="39189" y="313677"/>
                              </a:cubicBezTo>
                              <a:lnTo>
                                <a:pt x="235132" y="320208"/>
                              </a:lnTo>
                              <a:cubicBezTo>
                                <a:pt x="273095" y="332864"/>
                                <a:pt x="283156" y="339034"/>
                                <a:pt x="339635" y="320208"/>
                              </a:cubicBezTo>
                              <a:cubicBezTo>
                                <a:pt x="348872" y="317129"/>
                                <a:pt x="348343" y="302791"/>
                                <a:pt x="352697" y="294083"/>
                              </a:cubicBezTo>
                              <a:cubicBezTo>
                                <a:pt x="350520" y="285374"/>
                                <a:pt x="351774" y="274967"/>
                                <a:pt x="346166" y="267957"/>
                              </a:cubicBezTo>
                              <a:cubicBezTo>
                                <a:pt x="332058" y="250322"/>
                                <a:pt x="306098" y="275076"/>
                                <a:pt x="346166" y="248363"/>
                              </a:cubicBezTo>
                              <a:cubicBezTo>
                                <a:pt x="360178" y="206322"/>
                                <a:pt x="346920" y="250370"/>
                                <a:pt x="359229" y="176517"/>
                              </a:cubicBezTo>
                              <a:cubicBezTo>
                                <a:pt x="360705" y="167662"/>
                                <a:pt x="364000" y="159193"/>
                                <a:pt x="365760" y="150391"/>
                              </a:cubicBezTo>
                              <a:cubicBezTo>
                                <a:pt x="368357" y="137405"/>
                                <a:pt x="378862" y="99705"/>
                                <a:pt x="372292" y="111203"/>
                              </a:cubicBezTo>
                              <a:cubicBezTo>
                                <a:pt x="342271" y="163738"/>
                                <a:pt x="360771" y="147186"/>
                                <a:pt x="326572" y="169986"/>
                              </a:cubicBezTo>
                              <a:cubicBezTo>
                                <a:pt x="317863" y="183049"/>
                                <a:pt x="309680" y="196477"/>
                                <a:pt x="300446" y="209174"/>
                              </a:cubicBezTo>
                              <a:cubicBezTo>
                                <a:pt x="292246" y="220448"/>
                                <a:pt x="280995" y="229593"/>
                                <a:pt x="274320" y="241831"/>
                              </a:cubicBezTo>
                              <a:cubicBezTo>
                                <a:pt x="235118" y="313701"/>
                                <a:pt x="277592" y="254883"/>
                                <a:pt x="254726" y="300614"/>
                              </a:cubicBezTo>
                              <a:cubicBezTo>
                                <a:pt x="250372" y="309323"/>
                                <a:pt x="245279" y="317700"/>
                                <a:pt x="241663" y="326740"/>
                              </a:cubicBezTo>
                              <a:cubicBezTo>
                                <a:pt x="236549" y="339524"/>
                                <a:pt x="222442" y="378244"/>
                                <a:pt x="228600" y="365928"/>
                              </a:cubicBezTo>
                              <a:cubicBezTo>
                                <a:pt x="232954" y="357220"/>
                                <a:pt x="236004" y="347726"/>
                                <a:pt x="241663" y="339803"/>
                              </a:cubicBezTo>
                              <a:cubicBezTo>
                                <a:pt x="247032" y="332287"/>
                                <a:pt x="255174" y="327160"/>
                                <a:pt x="261257" y="320208"/>
                              </a:cubicBezTo>
                              <a:cubicBezTo>
                                <a:pt x="270437" y="309717"/>
                                <a:pt x="279019" y="298703"/>
                                <a:pt x="287383" y="287551"/>
                              </a:cubicBezTo>
                              <a:cubicBezTo>
                                <a:pt x="292093" y="281271"/>
                                <a:pt x="296286" y="274614"/>
                                <a:pt x="300446" y="267957"/>
                              </a:cubicBezTo>
                              <a:cubicBezTo>
                                <a:pt x="307174" y="257192"/>
                                <a:pt x="311680" y="244854"/>
                                <a:pt x="320040" y="235300"/>
                              </a:cubicBezTo>
                              <a:cubicBezTo>
                                <a:pt x="327208" y="227108"/>
                                <a:pt x="337457" y="222237"/>
                                <a:pt x="346166" y="215706"/>
                              </a:cubicBezTo>
                              <a:cubicBezTo>
                                <a:pt x="348343" y="204820"/>
                                <a:pt x="347306" y="192753"/>
                                <a:pt x="352697" y="183048"/>
                              </a:cubicBezTo>
                              <a:cubicBezTo>
                                <a:pt x="358678" y="172282"/>
                                <a:pt x="371665" y="166945"/>
                                <a:pt x="378823" y="156923"/>
                              </a:cubicBezTo>
                              <a:cubicBezTo>
                                <a:pt x="382825" y="151320"/>
                                <a:pt x="381536" y="143057"/>
                                <a:pt x="385355" y="137328"/>
                              </a:cubicBezTo>
                              <a:cubicBezTo>
                                <a:pt x="390479" y="129643"/>
                                <a:pt x="399580" y="125250"/>
                                <a:pt x="404949" y="117734"/>
                              </a:cubicBezTo>
                              <a:cubicBezTo>
                                <a:pt x="410608" y="109811"/>
                                <a:pt x="411127" y="98493"/>
                                <a:pt x="418012" y="91608"/>
                              </a:cubicBezTo>
                              <a:cubicBezTo>
                                <a:pt x="458704" y="50916"/>
                                <a:pt x="447250" y="78188"/>
                                <a:pt x="483326" y="52420"/>
                              </a:cubicBezTo>
                              <a:cubicBezTo>
                                <a:pt x="490842" y="47051"/>
                                <a:pt x="496389" y="39357"/>
                                <a:pt x="502920" y="32826"/>
                              </a:cubicBezTo>
                              <a:cubicBezTo>
                                <a:pt x="526869" y="37180"/>
                                <a:pt x="552994" y="35002"/>
                                <a:pt x="574766" y="45888"/>
                              </a:cubicBezTo>
                              <a:cubicBezTo>
                                <a:pt x="582795" y="49902"/>
                                <a:pt x="581857" y="63055"/>
                                <a:pt x="581297" y="72014"/>
                              </a:cubicBezTo>
                              <a:cubicBezTo>
                                <a:pt x="579319" y="103663"/>
                                <a:pt x="582568" y="151137"/>
                                <a:pt x="548640" y="169986"/>
                              </a:cubicBezTo>
                              <a:cubicBezTo>
                                <a:pt x="536604" y="176673"/>
                                <a:pt x="522236" y="177934"/>
                                <a:pt x="509452" y="183048"/>
                              </a:cubicBezTo>
                              <a:cubicBezTo>
                                <a:pt x="500412" y="186664"/>
                                <a:pt x="492563" y="193032"/>
                                <a:pt x="483326" y="196111"/>
                              </a:cubicBezTo>
                              <a:cubicBezTo>
                                <a:pt x="467927" y="201244"/>
                                <a:pt x="416792" y="207200"/>
                                <a:pt x="404949" y="209174"/>
                              </a:cubicBezTo>
                              <a:cubicBezTo>
                                <a:pt x="316656" y="223890"/>
                                <a:pt x="450688" y="210807"/>
                                <a:pt x="267789" y="222237"/>
                              </a:cubicBezTo>
                              <a:cubicBezTo>
                                <a:pt x="180380" y="234723"/>
                                <a:pt x="218710" y="226148"/>
                                <a:pt x="333103" y="235300"/>
                              </a:cubicBezTo>
                              <a:cubicBezTo>
                                <a:pt x="350600" y="236700"/>
                                <a:pt x="367938" y="239654"/>
                                <a:pt x="385355" y="241831"/>
                              </a:cubicBezTo>
                              <a:cubicBezTo>
                                <a:pt x="443474" y="256362"/>
                                <a:pt x="384342" y="232869"/>
                                <a:pt x="418012" y="313677"/>
                              </a:cubicBezTo>
                              <a:cubicBezTo>
                                <a:pt x="421757" y="322664"/>
                                <a:pt x="435429" y="322386"/>
                                <a:pt x="444137" y="326740"/>
                              </a:cubicBezTo>
                              <a:cubicBezTo>
                                <a:pt x="459377" y="324563"/>
                                <a:pt x="475111" y="324632"/>
                                <a:pt x="489857" y="320208"/>
                              </a:cubicBezTo>
                              <a:cubicBezTo>
                                <a:pt x="497376" y="317952"/>
                                <a:pt x="504427" y="313176"/>
                                <a:pt x="509452" y="307146"/>
                              </a:cubicBezTo>
                              <a:cubicBezTo>
                                <a:pt x="519093" y="295578"/>
                                <a:pt x="522703" y="271725"/>
                                <a:pt x="535577" y="261426"/>
                              </a:cubicBezTo>
                              <a:cubicBezTo>
                                <a:pt x="540953" y="257125"/>
                                <a:pt x="548421" y="256244"/>
                                <a:pt x="555172" y="254894"/>
                              </a:cubicBezTo>
                              <a:cubicBezTo>
                                <a:pt x="672160" y="231496"/>
                                <a:pt x="549583" y="261192"/>
                                <a:pt x="627017" y="241831"/>
                              </a:cubicBezTo>
                              <a:cubicBezTo>
                                <a:pt x="631371" y="248363"/>
                                <a:pt x="638176" y="253810"/>
                                <a:pt x="640080" y="261426"/>
                              </a:cubicBezTo>
                              <a:cubicBezTo>
                                <a:pt x="644862" y="280552"/>
                                <a:pt x="633630" y="305371"/>
                                <a:pt x="646612" y="320208"/>
                              </a:cubicBezTo>
                              <a:cubicBezTo>
                                <a:pt x="655333" y="330174"/>
                                <a:pt x="672737" y="315854"/>
                                <a:pt x="685800" y="313677"/>
                              </a:cubicBezTo>
                              <a:cubicBezTo>
                                <a:pt x="687646" y="311216"/>
                                <a:pt x="712533" y="271996"/>
                                <a:pt x="724989" y="274488"/>
                              </a:cubicBezTo>
                              <a:cubicBezTo>
                                <a:pt x="732687" y="276028"/>
                                <a:pt x="733698" y="287551"/>
                                <a:pt x="738052" y="294083"/>
                              </a:cubicBezTo>
                              <a:cubicBezTo>
                                <a:pt x="757215" y="290250"/>
                                <a:pt x="772732" y="288550"/>
                                <a:pt x="790303" y="281020"/>
                              </a:cubicBezTo>
                              <a:cubicBezTo>
                                <a:pt x="799252" y="277185"/>
                                <a:pt x="807720" y="272311"/>
                                <a:pt x="816429" y="267957"/>
                              </a:cubicBezTo>
                              <a:cubicBezTo>
                                <a:pt x="825138" y="272311"/>
                                <a:pt x="832818" y="281020"/>
                                <a:pt x="842555" y="281020"/>
                              </a:cubicBezTo>
                              <a:cubicBezTo>
                                <a:pt x="871378" y="281020"/>
                                <a:pt x="900214" y="270508"/>
                                <a:pt x="927463" y="261426"/>
                              </a:cubicBezTo>
                              <a:cubicBezTo>
                                <a:pt x="931817" y="254894"/>
                                <a:pt x="934495" y="246857"/>
                                <a:pt x="940526" y="241831"/>
                              </a:cubicBezTo>
                              <a:cubicBezTo>
                                <a:pt x="948006" y="235598"/>
                                <a:pt x="960810" y="236557"/>
                                <a:pt x="966652" y="228768"/>
                              </a:cubicBezTo>
                              <a:cubicBezTo>
                                <a:pt x="974914" y="217753"/>
                                <a:pt x="975361" y="202643"/>
                                <a:pt x="979715" y="189580"/>
                              </a:cubicBezTo>
                              <a:lnTo>
                                <a:pt x="986246" y="169986"/>
                              </a:lnTo>
                              <a:cubicBezTo>
                                <a:pt x="977003" y="166905"/>
                                <a:pt x="948732" y="156923"/>
                                <a:pt x="940526" y="156923"/>
                              </a:cubicBezTo>
                              <a:cubicBezTo>
                                <a:pt x="931549" y="156923"/>
                                <a:pt x="923109" y="161277"/>
                                <a:pt x="914400" y="163454"/>
                              </a:cubicBezTo>
                              <a:lnTo>
                                <a:pt x="953589" y="176517"/>
                              </a:lnTo>
                              <a:cubicBezTo>
                                <a:pt x="960120" y="178694"/>
                                <a:pt x="966504" y="181378"/>
                                <a:pt x="973183" y="183048"/>
                              </a:cubicBezTo>
                              <a:lnTo>
                                <a:pt x="999309" y="189580"/>
                              </a:lnTo>
                              <a:lnTo>
                                <a:pt x="1038497" y="215706"/>
                              </a:lnTo>
                              <a:lnTo>
                                <a:pt x="1058092" y="228768"/>
                              </a:lnTo>
                              <a:cubicBezTo>
                                <a:pt x="1055915" y="267957"/>
                                <a:pt x="1064526" y="309288"/>
                                <a:pt x="1051560" y="346334"/>
                              </a:cubicBezTo>
                              <a:cubicBezTo>
                                <a:pt x="1050035" y="350692"/>
                                <a:pt x="995625" y="363583"/>
                                <a:pt x="986246" y="365928"/>
                              </a:cubicBezTo>
                              <a:cubicBezTo>
                                <a:pt x="958951" y="364628"/>
                                <a:pt x="866984" y="383826"/>
                                <a:pt x="829492" y="346334"/>
                              </a:cubicBezTo>
                              <a:cubicBezTo>
                                <a:pt x="823941" y="340783"/>
                                <a:pt x="822559" y="331644"/>
                                <a:pt x="816429" y="326740"/>
                              </a:cubicBezTo>
                              <a:cubicBezTo>
                                <a:pt x="782799" y="299835"/>
                                <a:pt x="806574" y="339682"/>
                                <a:pt x="790303" y="307146"/>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D1EEC3" id="Freeform 1" o:spid="_x0000_s1026" style="position:absolute;margin-left:51.95pt;margin-top:12.35pt;width:83.4pt;height:29.1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1058906,3697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" path="m143692,202643v19594,-19594,42157,-36614,58783,-58783c209006,135151,214372,125431,222069,117734v9857,-9858,22238,-16864,32657,-26126c263931,83426,272143,74191,280852,65483v4354,-8709,8054,-17777,13063,-26126c322530,-8335,338028,-3430,287383,6700v-41057,27372,490,-5007,-32657,39188c247336,55741,236294,62397,228600,72014v-9807,12259,-17189,26281,-26125,39189c155369,179245,173588,153152,97972,228768,87086,239654,73236,248225,65315,261426v-6532,10886,-11333,23018,-19595,32657c38794,302163,7386,316515,,320208v65909,21971,-30447,-4421,39189,-6531l235132,320208v37963,12656,48024,18826,104503,c348872,317129,348343,302791,352697,294083v-2177,-8709,-923,-19116,-6531,-26126c332058,250322,306098,275076,346166,248363v14012,-42041,754,2007,13063,-71846c360705,167662,364000,159193,365760,150391v2597,-12986,13102,-50686,6532,-39188c342271,163738,360771,147186,326572,169986v-8709,13063,-16892,26491,-26126,39188c292246,220448,280995,229593,274320,241831v-39202,71870,3272,13052,-19594,58783c250372,309323,245279,317700,241663,326740v-5114,12784,-19221,51504,-13063,39188c232954,357220,236004,347726,241663,339803v5369,-7516,13511,-12643,19594,-19595c270437,309717,279019,298703,287383,287551v4710,-6280,8903,-12937,13063,-19594c307174,257192,311680,244854,320040,235300v7168,-8192,17417,-13063,26126,-19594c348343,204820,347306,192753,352697,183048v5981,-10766,18968,-16103,26126,-26125c382825,151320,381536,143057,385355,137328v5124,-7685,14225,-12078,19594,-19594c410608,109811,411127,98493,418012,91608,458704,50916,447250,78188,483326,52420v7516,-5369,13063,-13063,19594,-19594c526869,37180,552994,35002,574766,45888v8029,4014,7091,17167,6531,26126c579319,103663,582568,151137,548640,169986v-12036,6687,-26404,7948,-39188,13062c500412,186664,492563,193032,483326,196111v-15399,5133,-66534,11089,-78377,13063c316656,223890,450688,210807,267789,222237v-87409,12486,-49079,3911,65314,13063c350600,236700,367938,239654,385355,241831v58119,14531,-1013,-8962,32657,71846c421757,322664,435429,322386,444137,326740v15240,-2177,30974,-2108,45720,-6532c497376,317952,504427,313176,509452,307146v9641,-11568,13251,-35421,26125,-45720c540953,257125,548421,256244,555172,254894v116988,-23398,-5589,6298,71845,-13063c631371,248363,638176,253810,640080,261426v4782,19126,-6450,43945,6532,58782c655333,330174,672737,315854,685800,313677v1846,-2461,26733,-41681,39189,-39189c732687,276028,733698,287551,738052,294083v19163,-3833,34680,-5533,52251,-13063c799252,277185,807720,272311,816429,267957v8709,4354,16389,13063,26126,13063c871378,281020,900214,270508,927463,261426v4354,-6532,7032,-14569,13063,-19595c948006,235598,960810,236557,966652,228768v8262,-11015,8709,-26125,13063,-39188l986246,169986v-9243,-3081,-37514,-13063,-45720,-13063c931549,156923,923109,161277,914400,163454r39189,13063c960120,178694,966504,181378,973183,183048r26126,6532l1038497,215706r19595,13062c1055915,267957,1064526,309288,1051560,346334v-1525,4358,-55935,17249,-65314,19594c958951,364628,866984,383826,829492,346334v-5551,-5551,-6933,-14690,-13063,-19594c782799,299835,806574,339682,790303,307146e" filled="f" strokecolor="#1f3763 [1604]" strokeweight="1pt">
                <v:stroke joinstyle="miter"/>
                <v:path arrowok="t" o:connecttype="custom" o:connectlocs="143692,202643;202475,143860;222069,117734;254726,91608;280852,65483;293915,39357;287383,6700;254726,45888;228600,72014;202475,111203;97972,228768;65315,261426;45720,294083;0,320208;39189,313677;235132,320208;339635,320208;352697,294083;346166,267957;346166,248363;359229,176517;365760,150391;372292,111203;326572,169986;300446,209174;274320,241831;254726,300614;241663,326740;228600,365928;241663,339803;261257,320208;287383,287551;300446,267957;320040,235300;346166,215706;352697,183048;378823,156923;385355,137328;404949,117734;418012,91608;483326,52420;502920,32826;574766,45888;581297,72014;548640,169986;509452,183048;483326,196111;404949,209174;267789,222237;333103,235300;385355,241831;418012,313677;444137,326740;489857,320208;509452,307146;535577,261426;555172,254894;627017,241831;640080,261426;646612,320208;685800,313677;724989,274488;738052,294083;790303,281020;816429,267957;842555,281020;927463,261426;940526,241831;966652,228768;979715,189580;986246,169986;940526,156923;914400,163454;953589,176517;973183,183048;999309,189580;1038497,215706;1058092,228768;1051560,346334;986246,365928;829492,346334;816429,326740;790303,307146" o:connectangles="0,0,0,0,0,0,0,0,0,0,0,0,0,0,0,0,0,0,0,0,0,0,0,0,0,0,0,0,0,0,0,0,0,0,0,0,0,0,0,0,0,0,0,0,0,0,0,0,0,0,0,0,0,0,0,0,0,0,0,0,0,0,0,0,0,0,0,0,0,0,0,0,0,0,0,0,0,0,0,0,0,0,0"/>
              </v:shape>
            </w:pict>
          </mc:Fallback>
        </mc:AlternateContent>
      </w:r>
      <w:r w:rsidR="28A9B94D" w:rsidRPr="28A9B94D">
        <w:rPr>
          <w:rFonts w:eastAsia="Arial"/>
          <w:b/>
          <w:bCs/>
          <w:sz w:val="24"/>
          <w:szCs w:val="24"/>
        </w:rPr>
        <w:t xml:space="preserve"> </w:t>
      </w:r>
    </w:p>
    <w:p w14:paraId="347C96DE" w14:textId="77777777" w:rsidR="008668CD" w:rsidRDefault="008668CD"/>
    <w:p w14:paraId="01A8D117" w14:textId="486F8A7D" w:rsidR="28A9B94D" w:rsidRDefault="28A9B94D" w:rsidP="28A9B94D">
      <w:pPr>
        <w:jc w:val="both"/>
      </w:pPr>
      <w:r w:rsidRPr="2E5ED9CE">
        <w:rPr>
          <w:rFonts w:eastAsia="Arial"/>
          <w:sz w:val="24"/>
          <w:szCs w:val="24"/>
        </w:rPr>
        <w:t>Signed:  _ _ 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1D2B38C6" w:rsidR="28A9B94D" w:rsidRDefault="28A9B94D" w:rsidP="28A9B94D">
      <w:pPr>
        <w:jc w:val="both"/>
      </w:pPr>
      <w:r w:rsidRPr="28A9B94D">
        <w:rPr>
          <w:rFonts w:eastAsia="Arial"/>
          <w:sz w:val="24"/>
          <w:szCs w:val="24"/>
        </w:rPr>
        <w:t>Date: _</w:t>
      </w:r>
      <w:r w:rsidR="00EA65D6">
        <w:rPr>
          <w:rFonts w:eastAsia="Arial"/>
          <w:sz w:val="24"/>
          <w:szCs w:val="24"/>
        </w:rPr>
        <w:t>11/07/2022</w:t>
      </w:r>
      <w:r w:rsidRPr="28A9B94D">
        <w:rPr>
          <w:rFonts w:eastAsia="Arial"/>
          <w:sz w:val="24"/>
          <w:szCs w:val="24"/>
        </w:rPr>
        <w:t xml:space="preserve">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8668CD">
      <w:headerReference w:type="even" r:id="rId90"/>
      <w:headerReference w:type="default" r:id="rId91"/>
      <w:footerReference w:type="even" r:id="rId92"/>
      <w:footerReference w:type="default" r:id="rId93"/>
      <w:headerReference w:type="first" r:id="rId94"/>
      <w:footerReference w:type="first" r:id="rId95"/>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B4254E" w:rsidRDefault="00B4254E">
      <w:r>
        <w:separator/>
      </w:r>
    </w:p>
  </w:endnote>
  <w:endnote w:type="continuationSeparator" w:id="0">
    <w:p w14:paraId="1B867723" w14:textId="77777777" w:rsidR="00B4254E" w:rsidRDefault="00B425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FA183" w14:textId="13B9E7EE" w:rsidR="00B4254E" w:rsidRDefault="00B4254E" w:rsidP="00616425">
    <w:pPr>
      <w:pStyle w:val="Footer"/>
      <w:rPr>
        <w:sz w:val="17"/>
      </w:rPr>
    </w:pPr>
    <w:bookmarkStart w:id="2" w:name="TITUS1FooterEvenPages"/>
    <w:r>
      <w:rPr>
        <w:sz w:val="17"/>
      </w:rPr>
      <w:t> </w:t>
    </w:r>
  </w:p>
  <w:bookmarkEnd w:id="2"/>
  <w:p w14:paraId="3EA470C2" w14:textId="6827AEA4" w:rsidR="00B4254E" w:rsidRDefault="00B4254E" w:rsidP="008668CD">
    <w:pPr>
      <w:pStyle w:val="Footer"/>
      <w:jc w:val="right"/>
    </w:pPr>
    <w:r>
      <w:fldChar w:fldCharType="begin"/>
    </w:r>
    <w:r>
      <w:instrText xml:space="preserve"> PAGE   \* MERGEFORMAT </w:instrText>
    </w:r>
    <w:r>
      <w:fldChar w:fldCharType="separate"/>
    </w:r>
    <w:r>
      <w:rPr>
        <w:noProof/>
      </w:rPr>
      <w:t>6</w:t>
    </w:r>
    <w:r>
      <w:rPr>
        <w:noProof/>
      </w:rPr>
      <w:fldChar w:fldCharType="end"/>
    </w:r>
  </w:p>
  <w:p w14:paraId="4586A9F4" w14:textId="77777777" w:rsidR="00B4254E" w:rsidRPr="00BB5EAA" w:rsidRDefault="00B4254E" w:rsidP="008668CD">
    <w:pPr>
      <w:pStyle w:val="Footer"/>
      <w:ind w:right="360"/>
      <w:jc w:val="center"/>
    </w:pPr>
  </w:p>
  <w:p w14:paraId="7F598F90" w14:textId="77777777" w:rsidR="00B4254E" w:rsidRDefault="00B425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05071" w14:textId="6039D497" w:rsidR="00B4254E" w:rsidRDefault="00B4254E" w:rsidP="00616425">
    <w:pPr>
      <w:pStyle w:val="Footer"/>
      <w:rPr>
        <w:sz w:val="17"/>
      </w:rPr>
    </w:pPr>
    <w:bookmarkStart w:id="3" w:name="TITUS1FooterPrimary"/>
    <w:r>
      <w:rPr>
        <w:sz w:val="17"/>
      </w:rPr>
      <w:t> </w:t>
    </w:r>
  </w:p>
  <w:bookmarkEnd w:id="3"/>
  <w:p w14:paraId="50521BFA" w14:textId="71977E8D" w:rsidR="00B4254E" w:rsidRDefault="00B4254E">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B4254E" w:rsidRPr="00BB5EAA" w:rsidRDefault="00B4254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6C117" w14:textId="5D89588F" w:rsidR="00B4254E" w:rsidRDefault="00B4254E" w:rsidP="00616425">
    <w:pPr>
      <w:pStyle w:val="Footer"/>
      <w:rPr>
        <w:sz w:val="17"/>
      </w:rPr>
    </w:pPr>
    <w:bookmarkStart w:id="5" w:name="TITUS1FooterFirstPage"/>
    <w:r>
      <w:rPr>
        <w:sz w:val="17"/>
      </w:rPr>
      <w:t> </w:t>
    </w:r>
  </w:p>
  <w:bookmarkEnd w:id="5"/>
  <w:p w14:paraId="3B2F88A5" w14:textId="401E0133" w:rsidR="00B4254E" w:rsidRDefault="00B4254E" w:rsidP="008668CD">
    <w:pPr>
      <w:pStyle w:val="Footer"/>
      <w:jc w:val="right"/>
    </w:pPr>
    <w:r>
      <w:fldChar w:fldCharType="begin"/>
    </w:r>
    <w:r>
      <w:instrText xml:space="preserve"> PAGE   \* MERGEFORMAT </w:instrText>
    </w:r>
    <w:r>
      <w:fldChar w:fldCharType="separate"/>
    </w:r>
    <w:r>
      <w:rPr>
        <w:noProof/>
      </w:rPr>
      <w:t>1</w:t>
    </w:r>
    <w:r>
      <w:rPr>
        <w:noProof/>
      </w:rPr>
      <w:fldChar w:fldCharType="end"/>
    </w:r>
  </w:p>
  <w:p w14:paraId="299A0034" w14:textId="77777777" w:rsidR="00B4254E" w:rsidRPr="00BB5EAA" w:rsidRDefault="00B4254E" w:rsidP="008668CD">
    <w:pPr>
      <w:pStyle w:val="Footer"/>
      <w:ind w:right="360"/>
      <w:jc w:val="center"/>
    </w:pPr>
  </w:p>
  <w:p w14:paraId="0663B734" w14:textId="77777777" w:rsidR="00B4254E" w:rsidRDefault="00B4254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B65A0" w14:textId="01C724D2" w:rsidR="00B4254E" w:rsidRDefault="00B4254E" w:rsidP="00616425">
    <w:pPr>
      <w:pStyle w:val="Footer"/>
      <w:rPr>
        <w:sz w:val="17"/>
      </w:rPr>
    </w:pPr>
    <w:bookmarkStart w:id="9" w:name="TITUS2FooterEvenPages"/>
    <w:r>
      <w:rPr>
        <w:sz w:val="17"/>
      </w:rPr>
      <w:t> </w:t>
    </w:r>
  </w:p>
  <w:bookmarkEnd w:id="9"/>
  <w:p w14:paraId="05B2B401" w14:textId="77777777" w:rsidR="00B4254E" w:rsidRDefault="00B4254E" w:rsidP="008668CD">
    <w:pPr>
      <w:pStyle w:val="Footer"/>
      <w:jc w:val="right"/>
    </w:pPr>
  </w:p>
  <w:p w14:paraId="7BF68FE6" w14:textId="07B68CE0" w:rsidR="00B4254E" w:rsidRDefault="00B4254E" w:rsidP="008668CD">
    <w:pPr>
      <w:pStyle w:val="Footer"/>
      <w:jc w:val="right"/>
    </w:pPr>
    <w:r>
      <w:fldChar w:fldCharType="begin"/>
    </w:r>
    <w:r>
      <w:instrText xml:space="preserve"> PAGE   \* MERGEFORMAT </w:instrText>
    </w:r>
    <w:r>
      <w:fldChar w:fldCharType="separate"/>
    </w:r>
    <w:r>
      <w:rPr>
        <w:noProof/>
      </w:rPr>
      <w:t>10</w:t>
    </w:r>
    <w:r>
      <w:rPr>
        <w:noProof/>
      </w:rPr>
      <w:fldChar w:fldCharType="end"/>
    </w:r>
  </w:p>
  <w:p w14:paraId="3CFB7685" w14:textId="77777777" w:rsidR="00B4254E" w:rsidRPr="00BB5EAA" w:rsidRDefault="00B4254E" w:rsidP="008668CD">
    <w:pPr>
      <w:pStyle w:val="Footer"/>
      <w:ind w:right="360"/>
      <w:jc w:val="center"/>
    </w:pPr>
  </w:p>
  <w:p w14:paraId="15FEB1D9" w14:textId="77777777" w:rsidR="00B4254E" w:rsidRDefault="00B4254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7FCE6" w14:textId="5BFC85F5" w:rsidR="00B4254E" w:rsidRDefault="00B4254E" w:rsidP="00616425">
    <w:pPr>
      <w:pStyle w:val="Footer"/>
      <w:rPr>
        <w:sz w:val="17"/>
      </w:rPr>
    </w:pPr>
    <w:bookmarkStart w:id="10" w:name="TITUS2FooterPrimary"/>
    <w:r>
      <w:rPr>
        <w:sz w:val="17"/>
      </w:rPr>
      <w:t> </w:t>
    </w:r>
  </w:p>
  <w:bookmarkEnd w:id="10"/>
  <w:p w14:paraId="3401AA6E" w14:textId="77777777" w:rsidR="00B4254E" w:rsidRDefault="00B4254E">
    <w:pPr>
      <w:pStyle w:val="Footer"/>
      <w:jc w:val="right"/>
    </w:pPr>
  </w:p>
  <w:p w14:paraId="223DE171" w14:textId="2084E834" w:rsidR="00B4254E" w:rsidRDefault="00B4254E">
    <w:pPr>
      <w:pStyle w:val="Footer"/>
      <w:jc w:val="right"/>
    </w:pPr>
    <w:r>
      <w:fldChar w:fldCharType="begin"/>
    </w:r>
    <w:r>
      <w:instrText xml:space="preserve"> PAGE   \* MERGEFORMAT </w:instrText>
    </w:r>
    <w:r>
      <w:fldChar w:fldCharType="separate"/>
    </w:r>
    <w:r>
      <w:rPr>
        <w:noProof/>
      </w:rPr>
      <w:t>11</w:t>
    </w:r>
    <w:r>
      <w:rPr>
        <w:noProof/>
      </w:rPr>
      <w:fldChar w:fldCharType="end"/>
    </w:r>
  </w:p>
  <w:p w14:paraId="3AFE7661" w14:textId="77777777" w:rsidR="00B4254E" w:rsidRPr="00BB5EAA" w:rsidRDefault="00B4254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97E0B" w14:textId="6415C638" w:rsidR="00B4254E" w:rsidRDefault="00B4254E" w:rsidP="00616425">
    <w:pPr>
      <w:pStyle w:val="Footer"/>
      <w:rPr>
        <w:sz w:val="17"/>
      </w:rPr>
    </w:pPr>
    <w:bookmarkStart w:id="12" w:name="TITUS2FooterFirstPage"/>
    <w:r>
      <w:rPr>
        <w:sz w:val="17"/>
      </w:rPr>
      <w:t> </w:t>
    </w:r>
  </w:p>
  <w:bookmarkEnd w:id="12"/>
  <w:p w14:paraId="6CBE97D3" w14:textId="77777777" w:rsidR="00B4254E" w:rsidRDefault="00B4254E" w:rsidP="008668CD">
    <w:pPr>
      <w:pStyle w:val="Footer"/>
      <w:jc w:val="right"/>
    </w:pPr>
  </w:p>
  <w:p w14:paraId="7F452FE1" w14:textId="28BF9D17" w:rsidR="00B4254E" w:rsidRDefault="00B4254E" w:rsidP="008668CD">
    <w:pPr>
      <w:pStyle w:val="Footer"/>
      <w:jc w:val="right"/>
    </w:pPr>
    <w:r>
      <w:fldChar w:fldCharType="begin"/>
    </w:r>
    <w:r>
      <w:instrText xml:space="preserve"> PAGE   \* MERGEFORMAT </w:instrText>
    </w:r>
    <w:r>
      <w:fldChar w:fldCharType="separate"/>
    </w:r>
    <w:r>
      <w:rPr>
        <w:noProof/>
      </w:rPr>
      <w:t>8</w:t>
    </w:r>
    <w:r>
      <w:rPr>
        <w:noProof/>
      </w:rPr>
      <w:fldChar w:fldCharType="end"/>
    </w:r>
  </w:p>
  <w:p w14:paraId="1C4ABA4F" w14:textId="77777777" w:rsidR="00B4254E" w:rsidRPr="00BB5EAA" w:rsidRDefault="00B4254E" w:rsidP="008668CD">
    <w:pPr>
      <w:pStyle w:val="Footer"/>
      <w:ind w:right="360"/>
      <w:jc w:val="center"/>
    </w:pPr>
  </w:p>
  <w:p w14:paraId="630221F4" w14:textId="77777777" w:rsidR="00B4254E" w:rsidRDefault="00B4254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28D40" w14:textId="373D7395" w:rsidR="00B4254E" w:rsidRDefault="00B4254E" w:rsidP="00616425">
    <w:pPr>
      <w:pStyle w:val="Footer"/>
      <w:rPr>
        <w:sz w:val="17"/>
      </w:rPr>
    </w:pPr>
    <w:bookmarkStart w:id="17" w:name="TITUS3FooterEvenPages"/>
    <w:r>
      <w:rPr>
        <w:sz w:val="17"/>
      </w:rPr>
      <w:t> </w:t>
    </w:r>
  </w:p>
  <w:bookmarkEnd w:id="17"/>
  <w:p w14:paraId="00206CD1" w14:textId="77777777" w:rsidR="00B4254E" w:rsidRDefault="00B4254E" w:rsidP="008668CD">
    <w:pPr>
      <w:pStyle w:val="Footer"/>
      <w:jc w:val="right"/>
    </w:pPr>
  </w:p>
  <w:p w14:paraId="3121C597" w14:textId="1877B813" w:rsidR="00B4254E" w:rsidRDefault="00B4254E" w:rsidP="008668CD">
    <w:pPr>
      <w:pStyle w:val="Footer"/>
      <w:jc w:val="right"/>
    </w:pPr>
    <w:r>
      <w:fldChar w:fldCharType="begin"/>
    </w:r>
    <w:r>
      <w:instrText xml:space="preserve"> PAGE   \* MERGEFORMAT </w:instrText>
    </w:r>
    <w:r>
      <w:fldChar w:fldCharType="separate"/>
    </w:r>
    <w:r>
      <w:rPr>
        <w:noProof/>
      </w:rPr>
      <w:t>14</w:t>
    </w:r>
    <w:r>
      <w:rPr>
        <w:noProof/>
      </w:rPr>
      <w:fldChar w:fldCharType="end"/>
    </w:r>
  </w:p>
  <w:p w14:paraId="77A5F690" w14:textId="77777777" w:rsidR="00B4254E" w:rsidRPr="00BB5EAA" w:rsidRDefault="00B4254E" w:rsidP="008668CD">
    <w:pPr>
      <w:pStyle w:val="Footer"/>
      <w:ind w:right="360"/>
      <w:jc w:val="center"/>
    </w:pPr>
  </w:p>
  <w:p w14:paraId="34F0E1CF" w14:textId="77777777" w:rsidR="00B4254E" w:rsidRDefault="00B4254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24B11C" w14:textId="5B088790" w:rsidR="00B4254E" w:rsidRDefault="00B4254E" w:rsidP="00616425">
    <w:pPr>
      <w:pStyle w:val="Footer"/>
      <w:rPr>
        <w:sz w:val="17"/>
      </w:rPr>
    </w:pPr>
    <w:bookmarkStart w:id="18" w:name="TITUS3FooterPrimary"/>
    <w:r>
      <w:rPr>
        <w:sz w:val="17"/>
      </w:rPr>
      <w:t> </w:t>
    </w:r>
  </w:p>
  <w:bookmarkEnd w:id="18"/>
  <w:p w14:paraId="18C1E211" w14:textId="77777777" w:rsidR="00B4254E" w:rsidRDefault="00B4254E">
    <w:pPr>
      <w:pStyle w:val="Footer"/>
      <w:jc w:val="right"/>
    </w:pPr>
  </w:p>
  <w:p w14:paraId="64AB532A" w14:textId="630A00C4" w:rsidR="00B4254E" w:rsidRDefault="00B4254E">
    <w:pPr>
      <w:pStyle w:val="Footer"/>
      <w:jc w:val="right"/>
    </w:pPr>
    <w:r>
      <w:fldChar w:fldCharType="begin"/>
    </w:r>
    <w:r>
      <w:instrText xml:space="preserve"> PAGE   \* MERGEFORMAT </w:instrText>
    </w:r>
    <w:r>
      <w:fldChar w:fldCharType="separate"/>
    </w:r>
    <w:r>
      <w:rPr>
        <w:noProof/>
      </w:rPr>
      <w:t>15</w:t>
    </w:r>
    <w:r>
      <w:rPr>
        <w:noProof/>
      </w:rPr>
      <w:fldChar w:fldCharType="end"/>
    </w:r>
  </w:p>
  <w:p w14:paraId="1BA263DA" w14:textId="77777777" w:rsidR="00B4254E" w:rsidRPr="00BB5EAA" w:rsidRDefault="00B4254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17E1F" w14:textId="2850C89A" w:rsidR="00B4254E" w:rsidRDefault="00B4254E" w:rsidP="00616425">
    <w:pPr>
      <w:pStyle w:val="Footer"/>
      <w:rPr>
        <w:sz w:val="17"/>
      </w:rPr>
    </w:pPr>
    <w:bookmarkStart w:id="20" w:name="TITUS3FooterFirstPage"/>
    <w:r>
      <w:rPr>
        <w:sz w:val="17"/>
      </w:rPr>
      <w:t> </w:t>
    </w:r>
  </w:p>
  <w:bookmarkEnd w:id="20"/>
  <w:p w14:paraId="635CDB98" w14:textId="77777777" w:rsidR="00B4254E" w:rsidRDefault="00B4254E" w:rsidP="008668CD">
    <w:pPr>
      <w:pStyle w:val="Footer"/>
      <w:jc w:val="right"/>
    </w:pPr>
  </w:p>
  <w:p w14:paraId="71805F06" w14:textId="42BC2FEA" w:rsidR="00B4254E" w:rsidRDefault="00B4254E" w:rsidP="008668CD">
    <w:pPr>
      <w:pStyle w:val="Footer"/>
      <w:jc w:val="right"/>
    </w:pPr>
    <w:r>
      <w:fldChar w:fldCharType="begin"/>
    </w:r>
    <w:r>
      <w:instrText xml:space="preserve"> PAGE   \* MERGEFORMAT </w:instrText>
    </w:r>
    <w:r>
      <w:fldChar w:fldCharType="separate"/>
    </w:r>
    <w:r>
      <w:rPr>
        <w:noProof/>
      </w:rPr>
      <w:t>12</w:t>
    </w:r>
    <w:r>
      <w:rPr>
        <w:noProof/>
      </w:rPr>
      <w:fldChar w:fldCharType="end"/>
    </w:r>
  </w:p>
  <w:p w14:paraId="64CA5B5E" w14:textId="77777777" w:rsidR="00B4254E" w:rsidRPr="00BB5EAA" w:rsidRDefault="00B4254E" w:rsidP="008668CD">
    <w:pPr>
      <w:pStyle w:val="Footer"/>
      <w:ind w:right="360"/>
      <w:jc w:val="center"/>
    </w:pPr>
  </w:p>
  <w:p w14:paraId="03C18E2F" w14:textId="77777777" w:rsidR="00B4254E" w:rsidRDefault="00B4254E">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557042" w14:textId="75B18085" w:rsidR="00B4254E" w:rsidRDefault="00B4254E" w:rsidP="00616425">
    <w:pPr>
      <w:pStyle w:val="Footer"/>
      <w:rPr>
        <w:sz w:val="17"/>
      </w:rPr>
    </w:pPr>
    <w:bookmarkStart w:id="23" w:name="TITUS4FooterEvenPages"/>
    <w:r>
      <w:rPr>
        <w:sz w:val="17"/>
      </w:rPr>
      <w:t> </w:t>
    </w:r>
  </w:p>
  <w:bookmarkEnd w:id="23"/>
  <w:p w14:paraId="5357321B" w14:textId="77777777" w:rsidR="00B4254E" w:rsidRDefault="00B4254E" w:rsidP="008668CD">
    <w:pPr>
      <w:pStyle w:val="Footer"/>
      <w:jc w:val="right"/>
    </w:pPr>
  </w:p>
  <w:p w14:paraId="0DC087E5" w14:textId="77777777" w:rsidR="00B4254E" w:rsidRDefault="00B4254E" w:rsidP="008668CD">
    <w:pPr>
      <w:pStyle w:val="Footer"/>
      <w:jc w:val="right"/>
    </w:pPr>
    <w:r>
      <w:fldChar w:fldCharType="begin"/>
    </w:r>
    <w:r>
      <w:instrText xml:space="preserve"> PAGE   \* MERGEFORMAT </w:instrText>
    </w:r>
    <w:r>
      <w:fldChar w:fldCharType="separate"/>
    </w:r>
    <w:r>
      <w:rPr>
        <w:noProof/>
      </w:rPr>
      <w:t>14</w:t>
    </w:r>
    <w:r>
      <w:rPr>
        <w:noProof/>
      </w:rPr>
      <w:fldChar w:fldCharType="end"/>
    </w:r>
  </w:p>
  <w:p w14:paraId="2E2A0F98" w14:textId="77777777" w:rsidR="00B4254E" w:rsidRPr="00BB5EAA" w:rsidRDefault="00B4254E" w:rsidP="008668CD">
    <w:pPr>
      <w:pStyle w:val="Footer"/>
      <w:ind w:right="360"/>
      <w:jc w:val="center"/>
    </w:pPr>
  </w:p>
  <w:p w14:paraId="1EA504ED" w14:textId="77777777" w:rsidR="00B4254E" w:rsidRDefault="00B4254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CDA84" w14:textId="0D499739" w:rsidR="00B4254E" w:rsidRDefault="00B4254E" w:rsidP="00616425">
    <w:pPr>
      <w:pStyle w:val="Footer"/>
      <w:rPr>
        <w:sz w:val="17"/>
      </w:rPr>
    </w:pPr>
    <w:bookmarkStart w:id="24" w:name="TITUS4FooterPrimary"/>
    <w:r>
      <w:rPr>
        <w:sz w:val="17"/>
      </w:rPr>
      <w:t> </w:t>
    </w:r>
  </w:p>
  <w:bookmarkEnd w:id="24"/>
  <w:p w14:paraId="37D6657D" w14:textId="77777777" w:rsidR="00B4254E" w:rsidRDefault="00B4254E">
    <w:pPr>
      <w:pStyle w:val="Footer"/>
      <w:jc w:val="right"/>
    </w:pPr>
  </w:p>
  <w:p w14:paraId="26B7B23A" w14:textId="77777777" w:rsidR="00B4254E" w:rsidRDefault="00B4254E">
    <w:pPr>
      <w:pStyle w:val="Footer"/>
      <w:jc w:val="right"/>
    </w:pPr>
    <w:r>
      <w:fldChar w:fldCharType="begin"/>
    </w:r>
    <w:r>
      <w:instrText xml:space="preserve"> PAGE   \* MERGEFORMAT </w:instrText>
    </w:r>
    <w:r>
      <w:fldChar w:fldCharType="separate"/>
    </w:r>
    <w:r>
      <w:rPr>
        <w:noProof/>
      </w:rPr>
      <w:t>13</w:t>
    </w:r>
    <w:r>
      <w:rPr>
        <w:noProof/>
      </w:rPr>
      <w:fldChar w:fldCharType="end"/>
    </w:r>
  </w:p>
  <w:p w14:paraId="703D1E5A" w14:textId="77777777" w:rsidR="00B4254E" w:rsidRPr="00BB5EAA" w:rsidRDefault="00B4254E"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3C267" w14:textId="43B27B39" w:rsidR="00B4254E" w:rsidRDefault="00B4254E" w:rsidP="00616425">
    <w:pPr>
      <w:pStyle w:val="Footer"/>
      <w:rPr>
        <w:sz w:val="17"/>
      </w:rPr>
    </w:pPr>
    <w:bookmarkStart w:id="26" w:name="TITUS4FooterFirstPage"/>
    <w:r>
      <w:rPr>
        <w:sz w:val="17"/>
      </w:rPr>
      <w:t> </w:t>
    </w:r>
  </w:p>
  <w:bookmarkEnd w:id="26"/>
  <w:p w14:paraId="6FAB5FC3" w14:textId="77777777" w:rsidR="00B4254E" w:rsidRDefault="00B4254E" w:rsidP="008668CD">
    <w:pPr>
      <w:pStyle w:val="Footer"/>
      <w:jc w:val="right"/>
    </w:pPr>
  </w:p>
  <w:p w14:paraId="3DD59939" w14:textId="2F664AF0" w:rsidR="00B4254E" w:rsidRDefault="00B4254E" w:rsidP="008668CD">
    <w:pPr>
      <w:pStyle w:val="Footer"/>
      <w:jc w:val="right"/>
    </w:pPr>
    <w:r>
      <w:fldChar w:fldCharType="begin"/>
    </w:r>
    <w:r>
      <w:instrText xml:space="preserve"> PAGE   \* MERGEFORMAT </w:instrText>
    </w:r>
    <w:r>
      <w:fldChar w:fldCharType="separate"/>
    </w:r>
    <w:r>
      <w:rPr>
        <w:noProof/>
      </w:rPr>
      <w:t>16</w:t>
    </w:r>
    <w:r>
      <w:rPr>
        <w:noProof/>
      </w:rPr>
      <w:fldChar w:fldCharType="end"/>
    </w:r>
  </w:p>
  <w:p w14:paraId="4663F533" w14:textId="77777777" w:rsidR="00B4254E" w:rsidRPr="00BB5EAA" w:rsidRDefault="00B4254E" w:rsidP="008668CD">
    <w:pPr>
      <w:pStyle w:val="Footer"/>
      <w:ind w:right="360"/>
      <w:jc w:val="center"/>
    </w:pPr>
  </w:p>
  <w:p w14:paraId="3C286C30" w14:textId="77777777" w:rsidR="00B4254E" w:rsidRDefault="00B425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B4254E" w:rsidRDefault="00B4254E">
      <w:r>
        <w:separator/>
      </w:r>
    </w:p>
  </w:footnote>
  <w:footnote w:type="continuationSeparator" w:id="0">
    <w:p w14:paraId="09396778" w14:textId="77777777" w:rsidR="00B4254E" w:rsidRDefault="00B425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3CD57B" w14:textId="07C47A65" w:rsidR="00B4254E" w:rsidRDefault="00B4254E" w:rsidP="00616425">
    <w:pPr>
      <w:pStyle w:val="Header"/>
      <w:rPr>
        <w:sz w:val="17"/>
      </w:rPr>
    </w:pPr>
    <w:bookmarkStart w:id="0" w:name="TITUS1HeaderEvenPages"/>
    <w:r w:rsidRPr="00616425">
      <w:rPr>
        <w:sz w:val="17"/>
      </w:rPr>
      <w:t> </w:t>
    </w:r>
  </w:p>
  <w:bookmarkEnd w:id="0"/>
  <w:p w14:paraId="27BC3066" w14:textId="77777777" w:rsidR="00B4254E" w:rsidRDefault="00B4254E" w:rsidP="00616425">
    <w:pPr>
      <w:pStyle w:val="Header"/>
    </w:pPr>
  </w:p>
  <w:p w14:paraId="013D6A97" w14:textId="77777777" w:rsidR="00B4254E" w:rsidRDefault="00B425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212BE1AE" w:rsidR="00B4254E" w:rsidRDefault="00B4254E" w:rsidP="00616425">
    <w:pPr>
      <w:pStyle w:val="Header"/>
      <w:rPr>
        <w:sz w:val="17"/>
      </w:rPr>
    </w:pPr>
    <w:bookmarkStart w:id="1" w:name="TITUS1HeaderPrimary"/>
    <w:r>
      <w:rPr>
        <w:sz w:val="17"/>
      </w:rPr>
      <w:t> </w:t>
    </w:r>
  </w:p>
  <w:bookmarkEnd w:id="1"/>
  <w:p w14:paraId="7376F961" w14:textId="77777777" w:rsidR="00B4254E" w:rsidRDefault="00B425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576447CB" w:rsidR="00B4254E" w:rsidRDefault="00B4254E" w:rsidP="00616425">
    <w:pPr>
      <w:pStyle w:val="Header"/>
      <w:rPr>
        <w:sz w:val="17"/>
      </w:rPr>
    </w:pPr>
    <w:bookmarkStart w:id="4" w:name="TITUS1HeaderFirstPage"/>
    <w:r>
      <w:rPr>
        <w:sz w:val="17"/>
      </w:rPr>
      <w:t> </w:t>
    </w:r>
  </w:p>
  <w:bookmarkEnd w:id="4"/>
  <w:p w14:paraId="3830ECD8" w14:textId="77777777" w:rsidR="00B4254E" w:rsidRDefault="00B4254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8F346" w14:textId="30513459" w:rsidR="00B4254E" w:rsidRDefault="00B4254E" w:rsidP="00616425">
    <w:pPr>
      <w:pStyle w:val="Header"/>
      <w:rPr>
        <w:sz w:val="17"/>
      </w:rPr>
    </w:pPr>
    <w:bookmarkStart w:id="7" w:name="TITUS2HeaderEvenPages"/>
    <w:r>
      <w:rPr>
        <w:sz w:val="17"/>
      </w:rPr>
      <w:t> </w:t>
    </w:r>
  </w:p>
  <w:bookmarkEnd w:id="7"/>
  <w:p w14:paraId="0DE66F17" w14:textId="77777777" w:rsidR="00B4254E" w:rsidRDefault="00B4254E" w:rsidP="008668CD">
    <w:pPr>
      <w:pStyle w:val="Header"/>
    </w:pPr>
  </w:p>
  <w:p w14:paraId="15549387" w14:textId="77777777" w:rsidR="00B4254E" w:rsidRDefault="00B4254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A66A8" w14:textId="2F7476D7" w:rsidR="00B4254E" w:rsidRDefault="00B4254E" w:rsidP="00616425">
    <w:pPr>
      <w:pStyle w:val="Header"/>
      <w:rPr>
        <w:sz w:val="17"/>
      </w:rPr>
    </w:pPr>
    <w:bookmarkStart w:id="8" w:name="TITUS2HeaderPrimary"/>
    <w:r>
      <w:rPr>
        <w:sz w:val="17"/>
      </w:rPr>
      <w:t> </w:t>
    </w:r>
  </w:p>
  <w:bookmarkEnd w:id="8"/>
  <w:p w14:paraId="46D4378D" w14:textId="77777777" w:rsidR="00B4254E" w:rsidRDefault="00B4254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A34B8" w14:textId="426E45C2" w:rsidR="00B4254E" w:rsidRDefault="00B4254E" w:rsidP="00616425">
    <w:pPr>
      <w:pStyle w:val="Header"/>
      <w:rPr>
        <w:sz w:val="17"/>
      </w:rPr>
    </w:pPr>
    <w:bookmarkStart w:id="11" w:name="TITUS2HeaderFirstPage"/>
    <w:r>
      <w:rPr>
        <w:sz w:val="17"/>
      </w:rPr>
      <w:t> </w:t>
    </w:r>
  </w:p>
  <w:bookmarkEnd w:id="11"/>
  <w:p w14:paraId="5F655088" w14:textId="77777777" w:rsidR="00B4254E" w:rsidRDefault="00B4254E" w:rsidP="008668CD">
    <w:pPr>
      <w:pStyle w:val="Header"/>
    </w:pPr>
  </w:p>
  <w:p w14:paraId="5D129384" w14:textId="77777777" w:rsidR="00B4254E" w:rsidRDefault="00B4254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7A2E1" w14:textId="15DFC999" w:rsidR="00B4254E" w:rsidRDefault="00B4254E" w:rsidP="00616425">
    <w:pPr>
      <w:pStyle w:val="Header"/>
      <w:rPr>
        <w:sz w:val="17"/>
      </w:rPr>
    </w:pPr>
    <w:bookmarkStart w:id="15" w:name="TITUS3HeaderEvenPages"/>
    <w:r>
      <w:rPr>
        <w:sz w:val="17"/>
      </w:rPr>
      <w:t> </w:t>
    </w:r>
  </w:p>
  <w:bookmarkEnd w:id="15"/>
  <w:p w14:paraId="480E4D83" w14:textId="77777777" w:rsidR="00B4254E" w:rsidRDefault="00B4254E" w:rsidP="008668CD">
    <w:pPr>
      <w:pStyle w:val="Header"/>
    </w:pPr>
  </w:p>
  <w:p w14:paraId="45B08ABF" w14:textId="77777777" w:rsidR="00B4254E" w:rsidRDefault="00B4254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AC2FD" w14:textId="4862E3D6" w:rsidR="00B4254E" w:rsidRDefault="00B4254E" w:rsidP="00616425">
    <w:pPr>
      <w:pStyle w:val="Header"/>
      <w:rPr>
        <w:sz w:val="17"/>
      </w:rPr>
    </w:pPr>
    <w:bookmarkStart w:id="16" w:name="TITUS3HeaderPrimary"/>
    <w:r>
      <w:rPr>
        <w:sz w:val="17"/>
      </w:rPr>
      <w:t> </w:t>
    </w:r>
  </w:p>
  <w:bookmarkEnd w:id="16"/>
  <w:p w14:paraId="7781AF41" w14:textId="77777777" w:rsidR="00B4254E" w:rsidRDefault="00B4254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912C2" w14:textId="42DCD9FC" w:rsidR="00B4254E" w:rsidRDefault="00B4254E" w:rsidP="00616425">
    <w:pPr>
      <w:pStyle w:val="Header"/>
      <w:rPr>
        <w:sz w:val="17"/>
      </w:rPr>
    </w:pPr>
    <w:bookmarkStart w:id="19" w:name="TITUS3HeaderFirstPage"/>
    <w:r>
      <w:rPr>
        <w:sz w:val="17"/>
      </w:rPr>
      <w:t> </w:t>
    </w:r>
  </w:p>
  <w:bookmarkEnd w:id="19"/>
  <w:p w14:paraId="26FBD6FA" w14:textId="77777777" w:rsidR="00B4254E" w:rsidRDefault="00B4254E" w:rsidP="008668CD">
    <w:pPr>
      <w:pStyle w:val="Header"/>
    </w:pPr>
  </w:p>
  <w:p w14:paraId="12226C00" w14:textId="77777777" w:rsidR="00B4254E" w:rsidRDefault="00B4254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C3022" w14:textId="6F1E8E6F" w:rsidR="00B4254E" w:rsidRDefault="00B4254E" w:rsidP="00616425">
    <w:pPr>
      <w:pStyle w:val="Header"/>
      <w:rPr>
        <w:sz w:val="17"/>
      </w:rPr>
    </w:pPr>
    <w:bookmarkStart w:id="21" w:name="TITUS4HeaderEvenPages"/>
    <w:r>
      <w:rPr>
        <w:sz w:val="17"/>
      </w:rPr>
      <w:t> </w:t>
    </w:r>
  </w:p>
  <w:bookmarkEnd w:id="21"/>
  <w:p w14:paraId="327AB99E" w14:textId="77777777" w:rsidR="00B4254E" w:rsidRDefault="00B4254E" w:rsidP="008668CD">
    <w:pPr>
      <w:pStyle w:val="Header"/>
    </w:pPr>
  </w:p>
  <w:p w14:paraId="7A5F93A4" w14:textId="77777777" w:rsidR="00B4254E" w:rsidRDefault="00B4254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45514D" w14:textId="1D84A12A" w:rsidR="00B4254E" w:rsidRDefault="00B4254E" w:rsidP="00616425">
    <w:pPr>
      <w:pStyle w:val="Header"/>
      <w:rPr>
        <w:sz w:val="17"/>
      </w:rPr>
    </w:pPr>
    <w:bookmarkStart w:id="22" w:name="TITUS4HeaderPrimary"/>
    <w:r>
      <w:rPr>
        <w:sz w:val="17"/>
      </w:rPr>
      <w:t> </w:t>
    </w:r>
  </w:p>
  <w:bookmarkEnd w:id="22"/>
  <w:p w14:paraId="2CCE2EAE" w14:textId="77777777" w:rsidR="00B4254E" w:rsidRDefault="00B4254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AB1C4" w14:textId="451650F6" w:rsidR="00B4254E" w:rsidRDefault="00B4254E" w:rsidP="00616425">
    <w:pPr>
      <w:pStyle w:val="Header"/>
      <w:rPr>
        <w:sz w:val="17"/>
      </w:rPr>
    </w:pPr>
    <w:bookmarkStart w:id="25" w:name="TITUS4HeaderFirstPage"/>
    <w:r>
      <w:rPr>
        <w:sz w:val="17"/>
      </w:rPr>
      <w:t> </w:t>
    </w:r>
  </w:p>
  <w:bookmarkEnd w:id="25"/>
  <w:p w14:paraId="4A8A1282" w14:textId="77777777" w:rsidR="00B4254E" w:rsidRDefault="00B4254E" w:rsidP="008668CD">
    <w:pPr>
      <w:pStyle w:val="Header"/>
    </w:pPr>
  </w:p>
  <w:p w14:paraId="7A5F7B07" w14:textId="77777777" w:rsidR="00B4254E" w:rsidRDefault="00B425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D262E"/>
    <w:multiLevelType w:val="hybridMultilevel"/>
    <w:tmpl w:val="DE6A0308"/>
    <w:lvl w:ilvl="0" w:tplc="7012E10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5F12BB"/>
    <w:multiLevelType w:val="hybridMultilevel"/>
    <w:tmpl w:val="B8285656"/>
    <w:lvl w:ilvl="0" w:tplc="B5B8EEE8">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666AC9"/>
    <w:multiLevelType w:val="hybridMultilevel"/>
    <w:tmpl w:val="5E403802"/>
    <w:lvl w:ilvl="0" w:tplc="3BC2D1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32F40A7D"/>
    <w:multiLevelType w:val="hybridMultilevel"/>
    <w:tmpl w:val="7948614A"/>
    <w:lvl w:ilvl="0" w:tplc="ED76482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69075C"/>
    <w:multiLevelType w:val="hybridMultilevel"/>
    <w:tmpl w:val="10A86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FF78FD"/>
    <w:multiLevelType w:val="hybridMultilevel"/>
    <w:tmpl w:val="3E5816EA"/>
    <w:lvl w:ilvl="0" w:tplc="8A3C95B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9" w15:restartNumberingAfterBreak="0">
    <w:nsid w:val="69D86327"/>
    <w:multiLevelType w:val="hybridMultilevel"/>
    <w:tmpl w:val="535ED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3"/>
  </w:num>
  <w:num w:numId="4">
    <w:abstractNumId w:val="10"/>
  </w:num>
  <w:num w:numId="5">
    <w:abstractNumId w:val="6"/>
  </w:num>
  <w:num w:numId="6">
    <w:abstractNumId w:val="2"/>
  </w:num>
  <w:num w:numId="7">
    <w:abstractNumId w:val="1"/>
  </w:num>
  <w:num w:numId="8">
    <w:abstractNumId w:val="4"/>
  </w:num>
  <w:num w:numId="9">
    <w:abstractNumId w:val="5"/>
  </w:num>
  <w:num w:numId="10">
    <w:abstractNumId w:val="9"/>
  </w:num>
  <w:num w:numId="11">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03F"/>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1F3"/>
    <w:rsid w:val="000E26B0"/>
    <w:rsid w:val="000E3ACB"/>
    <w:rsid w:val="000F1599"/>
    <w:rsid w:val="000F1769"/>
    <w:rsid w:val="000F48E1"/>
    <w:rsid w:val="000F6196"/>
    <w:rsid w:val="000F7ECD"/>
    <w:rsid w:val="00102E64"/>
    <w:rsid w:val="0010312C"/>
    <w:rsid w:val="00106DC7"/>
    <w:rsid w:val="00112391"/>
    <w:rsid w:val="00112751"/>
    <w:rsid w:val="00114F52"/>
    <w:rsid w:val="00117141"/>
    <w:rsid w:val="00132332"/>
    <w:rsid w:val="001347F8"/>
    <w:rsid w:val="00137BB5"/>
    <w:rsid w:val="00137E05"/>
    <w:rsid w:val="00142AE1"/>
    <w:rsid w:val="001447F6"/>
    <w:rsid w:val="00147473"/>
    <w:rsid w:val="00147DE3"/>
    <w:rsid w:val="00150794"/>
    <w:rsid w:val="001608C4"/>
    <w:rsid w:val="00171418"/>
    <w:rsid w:val="001961CF"/>
    <w:rsid w:val="001A59BB"/>
    <w:rsid w:val="001A6A51"/>
    <w:rsid w:val="001A79C4"/>
    <w:rsid w:val="001B331A"/>
    <w:rsid w:val="001C0C77"/>
    <w:rsid w:val="001C0E74"/>
    <w:rsid w:val="001D229F"/>
    <w:rsid w:val="001D4F25"/>
    <w:rsid w:val="001E6B89"/>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45723"/>
    <w:rsid w:val="0025394E"/>
    <w:rsid w:val="00255D8E"/>
    <w:rsid w:val="002657E9"/>
    <w:rsid w:val="0026665E"/>
    <w:rsid w:val="00270EEB"/>
    <w:rsid w:val="0027147E"/>
    <w:rsid w:val="002761F4"/>
    <w:rsid w:val="002775E1"/>
    <w:rsid w:val="00277844"/>
    <w:rsid w:val="00277979"/>
    <w:rsid w:val="002808EB"/>
    <w:rsid w:val="002825CD"/>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287A"/>
    <w:rsid w:val="00335FC5"/>
    <w:rsid w:val="003516C0"/>
    <w:rsid w:val="00352E59"/>
    <w:rsid w:val="00354DBE"/>
    <w:rsid w:val="00355210"/>
    <w:rsid w:val="0035644C"/>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5BCF"/>
    <w:rsid w:val="003C6185"/>
    <w:rsid w:val="003D0D2D"/>
    <w:rsid w:val="003D4710"/>
    <w:rsid w:val="003E16D7"/>
    <w:rsid w:val="003E197E"/>
    <w:rsid w:val="003F1A37"/>
    <w:rsid w:val="004046F0"/>
    <w:rsid w:val="0040668F"/>
    <w:rsid w:val="00412677"/>
    <w:rsid w:val="00413251"/>
    <w:rsid w:val="00426F78"/>
    <w:rsid w:val="004348AE"/>
    <w:rsid w:val="004376C0"/>
    <w:rsid w:val="0044223A"/>
    <w:rsid w:val="00450C83"/>
    <w:rsid w:val="00451851"/>
    <w:rsid w:val="00451AB3"/>
    <w:rsid w:val="00453343"/>
    <w:rsid w:val="004608B9"/>
    <w:rsid w:val="00465947"/>
    <w:rsid w:val="004677AA"/>
    <w:rsid w:val="00470BB1"/>
    <w:rsid w:val="004718F7"/>
    <w:rsid w:val="004722E2"/>
    <w:rsid w:val="00473153"/>
    <w:rsid w:val="004743AF"/>
    <w:rsid w:val="00482C17"/>
    <w:rsid w:val="00485FFA"/>
    <w:rsid w:val="004911B4"/>
    <w:rsid w:val="0049196A"/>
    <w:rsid w:val="004923DA"/>
    <w:rsid w:val="00493434"/>
    <w:rsid w:val="004962F9"/>
    <w:rsid w:val="004968E2"/>
    <w:rsid w:val="004A2A49"/>
    <w:rsid w:val="004A421E"/>
    <w:rsid w:val="004B4C15"/>
    <w:rsid w:val="004B600B"/>
    <w:rsid w:val="004B6822"/>
    <w:rsid w:val="004B69F6"/>
    <w:rsid w:val="004C2D3A"/>
    <w:rsid w:val="004D03C4"/>
    <w:rsid w:val="004D0BF1"/>
    <w:rsid w:val="004D24D2"/>
    <w:rsid w:val="004D35A4"/>
    <w:rsid w:val="004D445F"/>
    <w:rsid w:val="004D6F04"/>
    <w:rsid w:val="004E087B"/>
    <w:rsid w:val="004E44A4"/>
    <w:rsid w:val="004E7B8B"/>
    <w:rsid w:val="004E7BDD"/>
    <w:rsid w:val="004F1E21"/>
    <w:rsid w:val="004F6472"/>
    <w:rsid w:val="004F740D"/>
    <w:rsid w:val="004F7B8F"/>
    <w:rsid w:val="00500748"/>
    <w:rsid w:val="005011D6"/>
    <w:rsid w:val="0050167A"/>
    <w:rsid w:val="005042F1"/>
    <w:rsid w:val="00504B92"/>
    <w:rsid w:val="00510F78"/>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742"/>
    <w:rsid w:val="0057780F"/>
    <w:rsid w:val="00581E0A"/>
    <w:rsid w:val="00586D89"/>
    <w:rsid w:val="005916B8"/>
    <w:rsid w:val="005A1B4C"/>
    <w:rsid w:val="005A545C"/>
    <w:rsid w:val="005C1567"/>
    <w:rsid w:val="005C6CE5"/>
    <w:rsid w:val="005C6E3A"/>
    <w:rsid w:val="005C7829"/>
    <w:rsid w:val="005D3F07"/>
    <w:rsid w:val="005D6686"/>
    <w:rsid w:val="005E13EA"/>
    <w:rsid w:val="00606E27"/>
    <w:rsid w:val="006108C9"/>
    <w:rsid w:val="00616425"/>
    <w:rsid w:val="00616D7F"/>
    <w:rsid w:val="0062158D"/>
    <w:rsid w:val="00625EC2"/>
    <w:rsid w:val="00630F39"/>
    <w:rsid w:val="006326D1"/>
    <w:rsid w:val="00632E0A"/>
    <w:rsid w:val="00633165"/>
    <w:rsid w:val="0064176F"/>
    <w:rsid w:val="006447DE"/>
    <w:rsid w:val="0065276E"/>
    <w:rsid w:val="00654293"/>
    <w:rsid w:val="00654329"/>
    <w:rsid w:val="00654CEC"/>
    <w:rsid w:val="00655507"/>
    <w:rsid w:val="00661758"/>
    <w:rsid w:val="006712A7"/>
    <w:rsid w:val="00674FC2"/>
    <w:rsid w:val="00677E42"/>
    <w:rsid w:val="00682334"/>
    <w:rsid w:val="00684B16"/>
    <w:rsid w:val="006936EB"/>
    <w:rsid w:val="00696F65"/>
    <w:rsid w:val="006A7A6D"/>
    <w:rsid w:val="006B5E67"/>
    <w:rsid w:val="006B718C"/>
    <w:rsid w:val="006C2EB5"/>
    <w:rsid w:val="006C53A8"/>
    <w:rsid w:val="006C723A"/>
    <w:rsid w:val="006C7CA5"/>
    <w:rsid w:val="006D18A3"/>
    <w:rsid w:val="006D4550"/>
    <w:rsid w:val="006D5970"/>
    <w:rsid w:val="006E481E"/>
    <w:rsid w:val="006E795F"/>
    <w:rsid w:val="006F5BAF"/>
    <w:rsid w:val="00700249"/>
    <w:rsid w:val="0070604C"/>
    <w:rsid w:val="007069CD"/>
    <w:rsid w:val="00710F09"/>
    <w:rsid w:val="00711A70"/>
    <w:rsid w:val="00712E6F"/>
    <w:rsid w:val="00712E90"/>
    <w:rsid w:val="00713B7E"/>
    <w:rsid w:val="00716D49"/>
    <w:rsid w:val="007204AE"/>
    <w:rsid w:val="0072678F"/>
    <w:rsid w:val="00727C4C"/>
    <w:rsid w:val="00732FB9"/>
    <w:rsid w:val="00734809"/>
    <w:rsid w:val="00734E90"/>
    <w:rsid w:val="007406E1"/>
    <w:rsid w:val="00743E40"/>
    <w:rsid w:val="00745FDB"/>
    <w:rsid w:val="00751263"/>
    <w:rsid w:val="0075693D"/>
    <w:rsid w:val="0075704F"/>
    <w:rsid w:val="00761373"/>
    <w:rsid w:val="00763B2D"/>
    <w:rsid w:val="0077099C"/>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D751B"/>
    <w:rsid w:val="007E2CF0"/>
    <w:rsid w:val="007E6C2E"/>
    <w:rsid w:val="007F371B"/>
    <w:rsid w:val="007F3F7E"/>
    <w:rsid w:val="007F5497"/>
    <w:rsid w:val="00813CEC"/>
    <w:rsid w:val="0081534C"/>
    <w:rsid w:val="008171E4"/>
    <w:rsid w:val="008208EA"/>
    <w:rsid w:val="00824E67"/>
    <w:rsid w:val="00825A64"/>
    <w:rsid w:val="00826F48"/>
    <w:rsid w:val="008308AE"/>
    <w:rsid w:val="00830D1B"/>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8CD"/>
    <w:rsid w:val="00866B50"/>
    <w:rsid w:val="008708F1"/>
    <w:rsid w:val="00880539"/>
    <w:rsid w:val="00883E41"/>
    <w:rsid w:val="008859E8"/>
    <w:rsid w:val="0088737B"/>
    <w:rsid w:val="00892716"/>
    <w:rsid w:val="00893067"/>
    <w:rsid w:val="008933DE"/>
    <w:rsid w:val="00895FCE"/>
    <w:rsid w:val="0089650E"/>
    <w:rsid w:val="00897F3E"/>
    <w:rsid w:val="008A21B4"/>
    <w:rsid w:val="008A4576"/>
    <w:rsid w:val="008A5179"/>
    <w:rsid w:val="008B07DE"/>
    <w:rsid w:val="008B28E7"/>
    <w:rsid w:val="008C14C7"/>
    <w:rsid w:val="008C2FFB"/>
    <w:rsid w:val="008C6EEA"/>
    <w:rsid w:val="008D5813"/>
    <w:rsid w:val="008D634E"/>
    <w:rsid w:val="008D778A"/>
    <w:rsid w:val="008F22BD"/>
    <w:rsid w:val="0090304A"/>
    <w:rsid w:val="009079BD"/>
    <w:rsid w:val="00910B43"/>
    <w:rsid w:val="00912BD9"/>
    <w:rsid w:val="0091435D"/>
    <w:rsid w:val="00920E5B"/>
    <w:rsid w:val="00926436"/>
    <w:rsid w:val="0093018C"/>
    <w:rsid w:val="00932AFF"/>
    <w:rsid w:val="00936EA2"/>
    <w:rsid w:val="009426B7"/>
    <w:rsid w:val="009544C0"/>
    <w:rsid w:val="00954FA4"/>
    <w:rsid w:val="00956AE9"/>
    <w:rsid w:val="00964CC6"/>
    <w:rsid w:val="00966AA8"/>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9F5A0A"/>
    <w:rsid w:val="00A00081"/>
    <w:rsid w:val="00A01680"/>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3721"/>
    <w:rsid w:val="00A7489E"/>
    <w:rsid w:val="00A8015F"/>
    <w:rsid w:val="00A80BD2"/>
    <w:rsid w:val="00A85039"/>
    <w:rsid w:val="00A906AA"/>
    <w:rsid w:val="00A94C5E"/>
    <w:rsid w:val="00AA228C"/>
    <w:rsid w:val="00AA241A"/>
    <w:rsid w:val="00AA252C"/>
    <w:rsid w:val="00AA37BB"/>
    <w:rsid w:val="00AA666E"/>
    <w:rsid w:val="00AB5518"/>
    <w:rsid w:val="00AC01D4"/>
    <w:rsid w:val="00AC4637"/>
    <w:rsid w:val="00AC4A04"/>
    <w:rsid w:val="00AD336F"/>
    <w:rsid w:val="00AD3550"/>
    <w:rsid w:val="00AD6ECE"/>
    <w:rsid w:val="00AE0E7A"/>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254E"/>
    <w:rsid w:val="00B43194"/>
    <w:rsid w:val="00B47734"/>
    <w:rsid w:val="00B50FBA"/>
    <w:rsid w:val="00B558EB"/>
    <w:rsid w:val="00B577D3"/>
    <w:rsid w:val="00B60466"/>
    <w:rsid w:val="00B60838"/>
    <w:rsid w:val="00B6548F"/>
    <w:rsid w:val="00B7502A"/>
    <w:rsid w:val="00B760B0"/>
    <w:rsid w:val="00B77305"/>
    <w:rsid w:val="00B82CC2"/>
    <w:rsid w:val="00B84A89"/>
    <w:rsid w:val="00B92BEF"/>
    <w:rsid w:val="00B9689A"/>
    <w:rsid w:val="00BA0A59"/>
    <w:rsid w:val="00BB06CB"/>
    <w:rsid w:val="00BB0EFE"/>
    <w:rsid w:val="00BB261F"/>
    <w:rsid w:val="00BB2887"/>
    <w:rsid w:val="00BB5EAA"/>
    <w:rsid w:val="00BB5F11"/>
    <w:rsid w:val="00BC04FA"/>
    <w:rsid w:val="00BC1C22"/>
    <w:rsid w:val="00BC460B"/>
    <w:rsid w:val="00BC5725"/>
    <w:rsid w:val="00BD30B1"/>
    <w:rsid w:val="00BE0F7B"/>
    <w:rsid w:val="00BE10C2"/>
    <w:rsid w:val="00BF45D7"/>
    <w:rsid w:val="00C01D14"/>
    <w:rsid w:val="00C025B4"/>
    <w:rsid w:val="00C161FD"/>
    <w:rsid w:val="00C23F17"/>
    <w:rsid w:val="00C26D0D"/>
    <w:rsid w:val="00C27C95"/>
    <w:rsid w:val="00C300D2"/>
    <w:rsid w:val="00C3270F"/>
    <w:rsid w:val="00C3278B"/>
    <w:rsid w:val="00C33375"/>
    <w:rsid w:val="00C34C23"/>
    <w:rsid w:val="00C36D4D"/>
    <w:rsid w:val="00C42005"/>
    <w:rsid w:val="00C44446"/>
    <w:rsid w:val="00C4664D"/>
    <w:rsid w:val="00C472AA"/>
    <w:rsid w:val="00C50A05"/>
    <w:rsid w:val="00C50E8B"/>
    <w:rsid w:val="00C54AED"/>
    <w:rsid w:val="00C63D00"/>
    <w:rsid w:val="00C6441B"/>
    <w:rsid w:val="00C7108B"/>
    <w:rsid w:val="00C72938"/>
    <w:rsid w:val="00C73C6E"/>
    <w:rsid w:val="00C8089F"/>
    <w:rsid w:val="00C836CC"/>
    <w:rsid w:val="00C87A74"/>
    <w:rsid w:val="00C92C71"/>
    <w:rsid w:val="00C93F8F"/>
    <w:rsid w:val="00C95867"/>
    <w:rsid w:val="00CA3593"/>
    <w:rsid w:val="00CB143A"/>
    <w:rsid w:val="00CB258E"/>
    <w:rsid w:val="00CB3C8F"/>
    <w:rsid w:val="00CC02F1"/>
    <w:rsid w:val="00CC11A6"/>
    <w:rsid w:val="00CC135E"/>
    <w:rsid w:val="00CC4414"/>
    <w:rsid w:val="00CD5D3F"/>
    <w:rsid w:val="00CE595A"/>
    <w:rsid w:val="00CF3DB3"/>
    <w:rsid w:val="00D052BC"/>
    <w:rsid w:val="00D07026"/>
    <w:rsid w:val="00D11888"/>
    <w:rsid w:val="00D22C8F"/>
    <w:rsid w:val="00D33491"/>
    <w:rsid w:val="00D41A93"/>
    <w:rsid w:val="00D44F8E"/>
    <w:rsid w:val="00D56521"/>
    <w:rsid w:val="00D607EF"/>
    <w:rsid w:val="00D60F88"/>
    <w:rsid w:val="00D625E7"/>
    <w:rsid w:val="00D646BD"/>
    <w:rsid w:val="00D7018A"/>
    <w:rsid w:val="00D71201"/>
    <w:rsid w:val="00D720C7"/>
    <w:rsid w:val="00D876E6"/>
    <w:rsid w:val="00DA1025"/>
    <w:rsid w:val="00DA22EC"/>
    <w:rsid w:val="00DA5860"/>
    <w:rsid w:val="00DB2767"/>
    <w:rsid w:val="00DC4729"/>
    <w:rsid w:val="00DF7258"/>
    <w:rsid w:val="00E17160"/>
    <w:rsid w:val="00E35BEC"/>
    <w:rsid w:val="00E429C2"/>
    <w:rsid w:val="00E46FFE"/>
    <w:rsid w:val="00E50821"/>
    <w:rsid w:val="00E51F91"/>
    <w:rsid w:val="00E607C3"/>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1928"/>
    <w:rsid w:val="00EA239E"/>
    <w:rsid w:val="00EA4D48"/>
    <w:rsid w:val="00EA5581"/>
    <w:rsid w:val="00EA62DE"/>
    <w:rsid w:val="00EA65D6"/>
    <w:rsid w:val="00EB2173"/>
    <w:rsid w:val="00EB62E6"/>
    <w:rsid w:val="00ED1B30"/>
    <w:rsid w:val="00ED250E"/>
    <w:rsid w:val="00ED6516"/>
    <w:rsid w:val="00EE1AC1"/>
    <w:rsid w:val="00EE39D6"/>
    <w:rsid w:val="00EE52AD"/>
    <w:rsid w:val="00F01F92"/>
    <w:rsid w:val="00F10A08"/>
    <w:rsid w:val="00F22491"/>
    <w:rsid w:val="00F22AC5"/>
    <w:rsid w:val="00F254D1"/>
    <w:rsid w:val="00F32B82"/>
    <w:rsid w:val="00F4043E"/>
    <w:rsid w:val="00F41BBC"/>
    <w:rsid w:val="00F43B9D"/>
    <w:rsid w:val="00F444F0"/>
    <w:rsid w:val="00F50847"/>
    <w:rsid w:val="00F53F27"/>
    <w:rsid w:val="00F546D1"/>
    <w:rsid w:val="00F66272"/>
    <w:rsid w:val="00F709C0"/>
    <w:rsid w:val="00F9024B"/>
    <w:rsid w:val="00F927A1"/>
    <w:rsid w:val="00F92E4D"/>
    <w:rsid w:val="00FA2BC2"/>
    <w:rsid w:val="00FA3764"/>
    <w:rsid w:val="00FA56ED"/>
    <w:rsid w:val="00FB4993"/>
    <w:rsid w:val="00FB5FA6"/>
    <w:rsid w:val="00FC1310"/>
    <w:rsid w:val="00FC2FF3"/>
    <w:rsid w:val="00FC3263"/>
    <w:rsid w:val="00FC5094"/>
    <w:rsid w:val="00FC51F9"/>
    <w:rsid w:val="00FC5B40"/>
    <w:rsid w:val="00FC5FF8"/>
    <w:rsid w:val="00FD3D7C"/>
    <w:rsid w:val="00FD4F8F"/>
    <w:rsid w:val="00FE0C16"/>
    <w:rsid w:val="00FE14AD"/>
    <w:rsid w:val="00FE14B1"/>
    <w:rsid w:val="00FE3D20"/>
    <w:rsid w:val="00FF0070"/>
    <w:rsid w:val="00FF4B9B"/>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142A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footer" Target="footer4.xml"/><Relationship Id="rId21" Type="http://schemas.openxmlformats.org/officeDocument/2006/relationships/image" Target="media/image3.png"/><Relationship Id="rId42" Type="http://schemas.openxmlformats.org/officeDocument/2006/relationships/hyperlink" Target="https://www.gov.uk/guidance/police-and-criminal-evidence-act-1984-pace-codes-of-practice" TargetMode="External"/><Relationship Id="rId47" Type="http://schemas.openxmlformats.org/officeDocument/2006/relationships/hyperlink" Target="https://www.hse.gov.uk/enforce/enforcementguide/investigation/witness-questioning.htm" TargetMode="External"/><Relationship Id="rId63" Type="http://schemas.openxmlformats.org/officeDocument/2006/relationships/hyperlink" Target="https://www.mindtools.com/pages/article/newCS_82.htm" TargetMode="External"/><Relationship Id="rId68" Type="http://schemas.openxmlformats.org/officeDocument/2006/relationships/hyperlink" Target="https://journals.sagepub.com/doi/full/10.1177/0269881113477708" TargetMode="External"/><Relationship Id="rId84" Type="http://schemas.openxmlformats.org/officeDocument/2006/relationships/header" Target="header7.xml"/><Relationship Id="rId89" Type="http://schemas.openxmlformats.org/officeDocument/2006/relationships/footer" Target="footer9.xml"/><Relationship Id="rId16" Type="http://schemas.openxmlformats.org/officeDocument/2006/relationships/footer" Target="footer1.xml"/><Relationship Id="rId11" Type="http://schemas.openxmlformats.org/officeDocument/2006/relationships/image" Target="media/image1.png"/><Relationship Id="rId32" Type="http://schemas.openxmlformats.org/officeDocument/2006/relationships/hyperlink" Target="https://www.tandfonline.com/doi/abs/10.3109/01612847909058201" TargetMode="External"/><Relationship Id="rId37" Type="http://schemas.openxmlformats.org/officeDocument/2006/relationships/hyperlink" Target="https://www.college.police.uk/guidance/conflict-management/conflict-management-skills" TargetMode="External"/><Relationship Id="rId53" Type="http://schemas.openxmlformats.org/officeDocument/2006/relationships/hyperlink" Target="https://journals.sagepub.com/doi/10.1177/0886260516663897" TargetMode="External"/><Relationship Id="rId58" Type="http://schemas.openxmlformats.org/officeDocument/2006/relationships/hyperlink" Target="https://www.tandfonline.com/doi/abs/10.1080/02699930050117666" TargetMode="External"/><Relationship Id="rId74" Type="http://schemas.openxmlformats.org/officeDocument/2006/relationships/hyperlink" Target="https://www.tandfonline.com/doi/abs/10.1080/15614263.2018.1537847?journalCode=gppr20" TargetMode="External"/><Relationship Id="rId79" Type="http://schemas.openxmlformats.org/officeDocument/2006/relationships/hyperlink" Target="https://www.tandfonline.com/doi/abs/10.1080/13561820.2016.1248816" TargetMode="External"/><Relationship Id="rId5" Type="http://schemas.openxmlformats.org/officeDocument/2006/relationships/numbering" Target="numbering.xml"/><Relationship Id="rId90" Type="http://schemas.openxmlformats.org/officeDocument/2006/relationships/header" Target="header10.xml"/><Relationship Id="rId95" Type="http://schemas.openxmlformats.org/officeDocument/2006/relationships/footer" Target="footer12.xml"/><Relationship Id="rId22" Type="http://schemas.openxmlformats.org/officeDocument/2006/relationships/image" Target="media/image4.png"/><Relationship Id="rId27" Type="http://schemas.openxmlformats.org/officeDocument/2006/relationships/footer" Target="footer5.xml"/><Relationship Id="rId43" Type="http://schemas.openxmlformats.org/officeDocument/2006/relationships/hyperlink" Target="https://assets.publishing.service.gov.uk/government/uploads/system/uploads/attachment_data/file/903814/pace-code-g-2012.pdf%20Accessed%20on%2008/07/22" TargetMode="External"/><Relationship Id="rId48" Type="http://schemas.openxmlformats.org/officeDocument/2006/relationships/hyperlink" Target="https://journals.sagepub.com/doi/10.1177/0032258X18763101" TargetMode="External"/><Relationship Id="rId64" Type="http://schemas.openxmlformats.org/officeDocument/2006/relationships/hyperlink" Target="https://www.tandfonline.com/doi/abs/10.1300/J013v35n01_04" TargetMode="External"/><Relationship Id="rId69" Type="http://schemas.openxmlformats.org/officeDocument/2006/relationships/hyperlink" Target="https://www.england.nhs.uk/mental-health/cyp/children-and-adolescent-mental-health-service-inpatient-services/" TargetMode="External"/><Relationship Id="rId80" Type="http://schemas.openxmlformats.org/officeDocument/2006/relationships/hyperlink" Target="https://assets.publishing.service.gov.uk/government/uploads/system/uploads/attachment_data/file/979234/victims-code-crime-leaflet-web.pdf" TargetMode="External"/><Relationship Id="rId85" Type="http://schemas.openxmlformats.org/officeDocument/2006/relationships/header" Target="header8.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5.xml"/><Relationship Id="rId33" Type="http://schemas.openxmlformats.org/officeDocument/2006/relationships/hyperlink" Target="https://www.tandfonline.com/doi/abs/10.1080/02699930600562276?journalCode=pcem20" TargetMode="External"/><Relationship Id="rId38" Type="http://schemas.openxmlformats.org/officeDocument/2006/relationships/hyperlink" Target="https://www.tandfonline.com/doi/abs/10.1080/01973533.2013.840632?journalCode=hbas20" TargetMode="External"/><Relationship Id="rId46" Type="http://schemas.openxmlformats.org/officeDocument/2006/relationships/hyperlink" Target="https://journals.sagepub.com/doi/10.1037/1089-2680.2.3.271" TargetMode="External"/><Relationship Id="rId59" Type="http://schemas.openxmlformats.org/officeDocument/2006/relationships/hyperlink" Target="https://journals.sagepub.com/doi/10.1177/1077801213498208" TargetMode="External"/><Relationship Id="rId67" Type="http://schemas.openxmlformats.org/officeDocument/2006/relationships/hyperlink" Target="https://www.gov.uk/government/publications/the-code-of-practice-for-victims-of-crime" TargetMode="External"/><Relationship Id="rId20" Type="http://schemas.openxmlformats.org/officeDocument/2006/relationships/image" Target="media/image2.emf"/><Relationship Id="rId41" Type="http://schemas.openxmlformats.org/officeDocument/2006/relationships/hyperlink" Target="https://www.tandfonline.com/doi/abs/10.1080/02699931.2016.1213704?journalCode=pcem20" TargetMode="External"/><Relationship Id="rId54" Type="http://schemas.openxmlformats.org/officeDocument/2006/relationships/hyperlink" Target="https://www.tandfonline.com/doi/abs/10.3109/10826087909060367" TargetMode="External"/><Relationship Id="rId62" Type="http://schemas.openxmlformats.org/officeDocument/2006/relationships/hyperlink" Target="https://www.mindtools.com/pages/article/reflective-cycle.htm" TargetMode="External"/><Relationship Id="rId70" Type="http://schemas.openxmlformats.org/officeDocument/2006/relationships/hyperlink" Target="https://www.ons.gov.uk/peoplepopulationandcommunity/crimeandjustice/articles/domesticabuseprevalenceandtrendsenglandandwales/yearendingmarch2021" TargetMode="External"/><Relationship Id="rId75" Type="http://schemas.openxmlformats.org/officeDocument/2006/relationships/hyperlink" Target="https://journals.sagepub.com/doi/10.4103/0253-7176.211757" TargetMode="External"/><Relationship Id="rId83" Type="http://schemas.openxmlformats.org/officeDocument/2006/relationships/hyperlink" Target="https://www.tandfonline.com/doi/abs/10.1080/02699931.2020.1758632?journalCode=pcem20#:~:text=However%2C%20mindfulness%20was%20not%20significantly%20associated%20with%20more,and%20awareness%20did%20not%20significantly%20influence%20emotion%20regulation" TargetMode="External"/><Relationship Id="rId88" Type="http://schemas.openxmlformats.org/officeDocument/2006/relationships/header" Target="header9.xml"/><Relationship Id="rId91" Type="http://schemas.openxmlformats.org/officeDocument/2006/relationships/header" Target="header11.xm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microsoft.com/office/2007/relationships/hdphoto" Target="media/hdphoto1.wdp"/><Relationship Id="rId28" Type="http://schemas.openxmlformats.org/officeDocument/2006/relationships/header" Target="header6.xml"/><Relationship Id="rId36" Type="http://schemas.openxmlformats.org/officeDocument/2006/relationships/hyperlink" Target="https://www.college.police.uk/ethics/code-of-ethics" TargetMode="External"/><Relationship Id="rId49" Type="http://schemas.openxmlformats.org/officeDocument/2006/relationships/hyperlink" Target="https://www.tandfonline.com/doi/full/10.1080/23311886.2015.1033369" TargetMode="External"/><Relationship Id="rId57" Type="http://schemas.openxmlformats.org/officeDocument/2006/relationships/hyperlink" Target="https://www.legislation.gov.uk/ukpga/1986/64/section/5" TargetMode="External"/><Relationship Id="rId10" Type="http://schemas.openxmlformats.org/officeDocument/2006/relationships/endnotes" Target="endnotes.xml"/><Relationship Id="rId31" Type="http://schemas.openxmlformats.org/officeDocument/2006/relationships/hyperlink" Target="https://cogentoa.tandfonline.com/doi/full/10.1080/23311886.2022.2029249" TargetMode="External"/><Relationship Id="rId44" Type="http://schemas.openxmlformats.org/officeDocument/2006/relationships/hyperlink" Target="https://www.gov.uk/government/publications/pace-code-b-2013" TargetMode="External"/><Relationship Id="rId52" Type="http://schemas.openxmlformats.org/officeDocument/2006/relationships/hyperlink" Target="https://www.gov.uk/guidance/police-and-criminal-evidence-act-1984-pace-codes-of-practice.%20Accessed%20on%2008/07/22" TargetMode="External"/><Relationship Id="rId60" Type="http://schemas.openxmlformats.org/officeDocument/2006/relationships/hyperlink" Target="https://saw.americananthro.org/pub/police-work-versus-police-action-justice-discretion/release/1" TargetMode="External"/><Relationship Id="rId65" Type="http://schemas.openxmlformats.org/officeDocument/2006/relationships/hyperlink" Target="https://www.tandfonline.com/doi/abs/10.1080/01973530701331585?journalCode=hbas20" TargetMode="External"/><Relationship Id="rId73" Type="http://schemas.openxmlformats.org/officeDocument/2006/relationships/hyperlink" Target="https://journals.sagepub.com/doi/10.1177/08982643211011020" TargetMode="External"/><Relationship Id="rId78" Type="http://schemas.openxmlformats.org/officeDocument/2006/relationships/hyperlink" Target="https://journals.sagepub.com/doi/abs/10.1177/0038038512448562" TargetMode="External"/><Relationship Id="rId81" Type="http://schemas.openxmlformats.org/officeDocument/2006/relationships/hyperlink" Target="https://www.victimsupport.org.uk/help-and-support/your-rights/victims-code/" TargetMode="External"/><Relationship Id="rId86" Type="http://schemas.openxmlformats.org/officeDocument/2006/relationships/footer" Target="footer7.xml"/><Relationship Id="rId94"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tandfonline.com/doi/abs/10.1080/02699931.2017.1353485?journalCode=pcem20" TargetMode="External"/><Relationship Id="rId34" Type="http://schemas.openxmlformats.org/officeDocument/2006/relationships/hyperlink" Target="https://www.tandfonline.com/doi/full/10.1080/1068316X.2018.1467910" TargetMode="External"/><Relationship Id="rId50" Type="http://schemas.openxmlformats.org/officeDocument/2006/relationships/hyperlink" Target="https://journals.sagepub.com/doi/10.1177/13678779030062005" TargetMode="External"/><Relationship Id="rId55" Type="http://schemas.openxmlformats.org/officeDocument/2006/relationships/hyperlink" Target="https://www.rcemlearning.co.uk/reference/acute-behavioural-disturbance/" TargetMode="External"/><Relationship Id="rId76" Type="http://schemas.openxmlformats.org/officeDocument/2006/relationships/hyperlink" Target="https://academic.oup.com/policing/article-abstract/8/4/353/1563780" TargetMode="External"/><Relationship Id="rId97"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journals.sagepub.com/doi/10.1350/pojo.77.1.5.31512" TargetMode="External"/><Relationship Id="rId92" Type="http://schemas.openxmlformats.org/officeDocument/2006/relationships/footer" Target="footer10.xml"/><Relationship Id="rId2" Type="http://schemas.openxmlformats.org/officeDocument/2006/relationships/customXml" Target="../customXml/item2.xml"/><Relationship Id="rId29" Type="http://schemas.openxmlformats.org/officeDocument/2006/relationships/footer" Target="footer6.xml"/><Relationship Id="rId24" Type="http://schemas.openxmlformats.org/officeDocument/2006/relationships/header" Target="header4.xml"/><Relationship Id="rId40" Type="http://schemas.openxmlformats.org/officeDocument/2006/relationships/hyperlink" Target="https://journals.sagepub.com/doi/10.1177/1077801206290238" TargetMode="External"/><Relationship Id="rId45" Type="http://schemas.openxmlformats.org/officeDocument/2006/relationships/hyperlink" Target="https://www.gov.uk/government/publications/pace-code-d-2017" TargetMode="External"/><Relationship Id="rId66" Type="http://schemas.openxmlformats.org/officeDocument/2006/relationships/hyperlink" Target="https://www.gov.uk/government/publications/the-code-of-practice-for-victims-of-crime/code-of-practice-for-victims-of-crime-in-england-and-wales-victims-code" TargetMode="External"/><Relationship Id="rId87" Type="http://schemas.openxmlformats.org/officeDocument/2006/relationships/footer" Target="footer8.xml"/><Relationship Id="rId61" Type="http://schemas.openxmlformats.org/officeDocument/2006/relationships/hyperlink" Target="https://www.mind.org.uk/donate/?msclkid=d3f46a885af61d605b89084046179a59&amp;utm_source=bing&amp;utm_medium=cpc&amp;utm_campaign=Donation%20Appeal%20-%20Branded%20-%20Bing%20-%20Paid&amp;utm_term=mind&amp;utm_content=Branded%20(Phase%205)" TargetMode="External"/><Relationship Id="rId82" Type="http://schemas.openxmlformats.org/officeDocument/2006/relationships/hyperlink" Target="https://www.womensaid.org.uk/" TargetMode="External"/><Relationship Id="rId19" Type="http://schemas.openxmlformats.org/officeDocument/2006/relationships/footer" Target="footer3.xml"/><Relationship Id="rId14" Type="http://schemas.openxmlformats.org/officeDocument/2006/relationships/header" Target="header1.xml"/><Relationship Id="rId30" Type="http://schemas.openxmlformats.org/officeDocument/2006/relationships/hyperlink" Target="https://www.tandfonline.com/doi/abs/10.1080/10926771.2011.568997?journalCode=wamt20" TargetMode="External"/><Relationship Id="rId35" Type="http://schemas.openxmlformats.org/officeDocument/2006/relationships/hyperlink" Target="https://journals.sagepub.com/doi/10.1177/0734016814568012" TargetMode="External"/><Relationship Id="rId56" Type="http://schemas.openxmlformats.org/officeDocument/2006/relationships/hyperlink" Target="https://journals.sagepub.com/doi/10.1177/0032258X211041021" TargetMode="External"/><Relationship Id="rId77" Type="http://schemas.openxmlformats.org/officeDocument/2006/relationships/hyperlink" Target="https://journals.sagepub.com/doi/10.1177/0093854811403123" TargetMode="External"/><Relationship Id="rId8" Type="http://schemas.openxmlformats.org/officeDocument/2006/relationships/webSettings" Target="webSettings.xml"/><Relationship Id="rId51" Type="http://schemas.openxmlformats.org/officeDocument/2006/relationships/hyperlink" Target="https://assets.publishing.service.gov.uk/government/uploads/system/uploads/attachment_data/file/729842/pace-code-c-2018.pdf" TargetMode="External"/><Relationship Id="rId72" Type="http://schemas.openxmlformats.org/officeDocument/2006/relationships/hyperlink" Target="https://www.drkathrynkissell.com/resources/karpmans-drama-triangle/" TargetMode="External"/><Relationship Id="rId93"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78598D-FE0E-4216-A73D-47F9BF26F88A}">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http://purl.org/dc/dcmitype/"/>
    <ds:schemaRef ds:uri="http://purl.org/dc/elements/1.1/"/>
    <ds:schemaRef ds:uri="http://schemas.microsoft.com/office/infopath/2007/PartnerControls"/>
    <ds:schemaRef ds:uri="http://schemas.openxmlformats.org/package/2006/metadata/core-properties"/>
    <ds:schemaRef ds:uri="http://schemas.microsoft.com/office/2006/metadata/properties"/>
    <ds:schemaRef ds:uri="1ecf5648-3750-43f5-867d-bfaa16e6e17e"/>
    <ds:schemaRef ds:uri="2e89cfda-a374-4413-9f0d-8b601eddeb70"/>
    <ds:schemaRef ds:uri="http://www.w3.org/XML/1998/namespace"/>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38</Pages>
  <Words>14067</Words>
  <Characters>85167</Characters>
  <Application>Microsoft Office Word</Application>
  <DocSecurity>0</DocSecurity>
  <Lines>709</Lines>
  <Paragraphs>198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99036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Rimes,Luke swp8077</cp:lastModifiedBy>
  <cp:revision>9</cp:revision>
  <cp:lastPrinted>2019-08-13T11:47:00Z</cp:lastPrinted>
  <dcterms:created xsi:type="dcterms:W3CDTF">2022-07-11T10:18:00Z</dcterms:created>
  <dcterms:modified xsi:type="dcterms:W3CDTF">2022-07-11T13:55:00Z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0a431853-a019-4b66-8793-f0bd227fed6a</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2022-06-22T09:07:01Z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8175677b-47c5-4515-9134-a90d95cfba8d</vt:lpwstr>
  </property>
  <property fmtid="{D5CDD505-2E9C-101B-9397-08002B2CF9AE}" pid="12" name="MSIP_Label_66cf8fe5-b7b7-4df7-b38d-1c61ac2f6639_ContentBits">
    <vt:lpwstr>0</vt:lpwstr>
  </property>
</Properties>
</file>