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Arial" w:cs="Arial" w:hAnsi="Arial" w:eastAsia="Arial"/>
          <w:sz w:val="36"/>
          <w:szCs w:val="36"/>
        </w:rPr>
      </w:pPr>
      <w:r>
        <w:rPr>
          <w:rFonts w:ascii="Arial" w:hAnsi="Arial"/>
          <w:sz w:val="28"/>
          <w:szCs w:val="28"/>
          <w:rtl w:val="0"/>
          <w:lang w:val="en-US"/>
        </w:rPr>
        <w:t>A critical analysis of the current challenges facing</w:t>
      </w:r>
      <w:r>
        <w:rPr>
          <w:rFonts w:ascii="Arial" w:hAnsi="Arial"/>
          <w:sz w:val="28"/>
          <w:szCs w:val="28"/>
          <w:rtl w:val="0"/>
          <w:lang w:val="en-US"/>
        </w:rPr>
        <w:t xml:space="preserve"> Dwr Cymru Welsh Water</w:t>
      </w:r>
      <w:r>
        <w:rPr>
          <w:rFonts w:ascii="Arial" w:hAnsi="Arial"/>
          <w:sz w:val="28"/>
          <w:szCs w:val="28"/>
          <w:rtl w:val="0"/>
          <w:lang w:val="en-US"/>
        </w:rPr>
        <w:t>, with specific focus on recruiting, promoting and retaining talent</w:t>
      </w: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jc w:val="center"/>
        <w:rPr>
          <w:rFonts w:ascii="Times New Roman" w:cs="Times New Roman" w:hAnsi="Times New Roman" w:eastAsia="Times New Roman"/>
          <w:sz w:val="24"/>
          <w:szCs w:val="24"/>
        </w:rPr>
      </w:pPr>
    </w:p>
    <w:p>
      <w:pPr>
        <w:pStyle w:val="Body A"/>
        <w:rPr>
          <w:rFonts w:ascii="Arial" w:cs="Arial" w:hAnsi="Arial" w:eastAsia="Arial"/>
          <w:b w:val="1"/>
          <w:bCs w:val="1"/>
          <w:sz w:val="24"/>
          <w:szCs w:val="24"/>
        </w:rPr>
      </w:pPr>
      <w:r>
        <w:rPr>
          <w:rFonts w:ascii="Arial" w:hAnsi="Arial"/>
          <w:b w:val="1"/>
          <w:bCs w:val="1"/>
          <w:sz w:val="24"/>
          <w:szCs w:val="24"/>
          <w:rtl w:val="0"/>
          <w:lang w:val="en-US"/>
        </w:rPr>
        <w:t>Name: Callum Griffiths-Barlow</w:t>
      </w:r>
    </w:p>
    <w:p>
      <w:pPr>
        <w:pStyle w:val="Body A"/>
        <w:rPr>
          <w:rFonts w:ascii="Arial" w:cs="Arial" w:hAnsi="Arial" w:eastAsia="Arial"/>
          <w:b w:val="1"/>
          <w:bCs w:val="1"/>
          <w:sz w:val="24"/>
          <w:szCs w:val="24"/>
        </w:rPr>
      </w:pPr>
      <w:r>
        <w:rPr>
          <w:rFonts w:ascii="Arial" w:hAnsi="Arial"/>
          <w:b w:val="1"/>
          <w:bCs w:val="1"/>
          <w:sz w:val="24"/>
          <w:szCs w:val="24"/>
          <w:rtl w:val="0"/>
          <w:lang w:val="en-US"/>
        </w:rPr>
        <w:t>Student Number: 2316490</w:t>
      </w:r>
    </w:p>
    <w:p>
      <w:pPr>
        <w:pStyle w:val="Body A"/>
        <w:rPr>
          <w:rFonts w:ascii="Arial" w:cs="Arial" w:hAnsi="Arial" w:eastAsia="Arial"/>
          <w:b w:val="1"/>
          <w:bCs w:val="1"/>
          <w:sz w:val="24"/>
          <w:szCs w:val="24"/>
        </w:rPr>
      </w:pPr>
      <w:r>
        <w:rPr>
          <w:rFonts w:ascii="Arial" w:hAnsi="Arial"/>
          <w:b w:val="1"/>
          <w:bCs w:val="1"/>
          <w:sz w:val="24"/>
          <w:szCs w:val="24"/>
          <w:rtl w:val="0"/>
          <w:lang w:val="en-US"/>
        </w:rPr>
        <w:t>Word Count:</w:t>
      </w:r>
      <w:r>
        <w:rPr>
          <w:rFonts w:ascii="Arial" w:hAnsi="Arial"/>
          <w:b w:val="1"/>
          <w:bCs w:val="1"/>
          <w:sz w:val="24"/>
          <w:szCs w:val="24"/>
          <w:rtl w:val="0"/>
          <w:lang w:val="en-US"/>
        </w:rPr>
        <w:t xml:space="preserve"> 3547</w:t>
      </w:r>
    </w:p>
    <w:p>
      <w:pPr>
        <w:pStyle w:val="Body A"/>
        <w:rPr>
          <w:rFonts w:ascii="Arial" w:cs="Arial" w:hAnsi="Arial" w:eastAsia="Arial"/>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I confirm this assignment is my own work</w:t>
      </w:r>
    </w:p>
    <w:p>
      <w:pPr>
        <w:pStyle w:val="Body A"/>
        <w:rPr>
          <w:rFonts w:ascii="Arial" w:cs="Arial" w:hAnsi="Arial" w:eastAsia="Arial"/>
          <w:sz w:val="24"/>
          <w:szCs w:val="24"/>
          <w:u w:val="single"/>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EXECUTIVE SUMMARY</w:t>
      </w:r>
    </w:p>
    <w:p>
      <w:pPr>
        <w:pStyle w:val="Body A"/>
        <w:jc w:val="both"/>
        <w:rPr>
          <w:rFonts w:ascii="Arial" w:cs="Arial" w:hAnsi="Arial" w:eastAsia="Arial"/>
          <w:sz w:val="24"/>
          <w:szCs w:val="24"/>
        </w:rPr>
      </w:pPr>
    </w:p>
    <w:p>
      <w:pPr>
        <w:pStyle w:val="Body A"/>
        <w:bidi w:val="0"/>
        <w:ind w:left="0" w:right="0" w:firstLine="0"/>
        <w:jc w:val="both"/>
        <w:rPr>
          <w:rFonts w:ascii="Arial" w:cs="Arial" w:hAnsi="Arial" w:eastAsia="Arial"/>
          <w:sz w:val="24"/>
          <w:szCs w:val="24"/>
          <w:rtl w:val="0"/>
          <w:lang w:val="en-US"/>
        </w:rPr>
      </w:pPr>
      <w:r>
        <w:rPr>
          <w:rFonts w:ascii="Arial" w:hAnsi="Arial"/>
          <w:sz w:val="24"/>
          <w:szCs w:val="24"/>
          <w:rtl w:val="0"/>
          <w:lang w:val="en-US"/>
        </w:rPr>
        <w:t>This report highlights the findings of an evaluation conducted on the external and internal factors affecting talent management within Dwr Cymru Welsh Water, both currently and in the coming years. A PESTLE analysis was completed to ensure that all factors were considered throughout. Given the limitations of PESTLE, a SWOT analysis and start, stop, continue exercise should be carried out by the relevant managers to ascertain where  further attention needs to be focused.</w:t>
      </w:r>
    </w:p>
    <w:p>
      <w:pPr>
        <w:pStyle w:val="Body A"/>
        <w:bidi w:val="0"/>
        <w:ind w:left="0" w:right="0" w:firstLine="0"/>
        <w:jc w:val="both"/>
        <w:rPr>
          <w:rFonts w:ascii="Arial" w:cs="Arial" w:hAnsi="Arial" w:eastAsia="Arial"/>
          <w:sz w:val="24"/>
          <w:szCs w:val="24"/>
          <w:rtl w:val="0"/>
          <w:lang w:val="en-US"/>
        </w:rPr>
      </w:pPr>
    </w:p>
    <w:p>
      <w:pPr>
        <w:pStyle w:val="Body A"/>
        <w:bidi w:val="0"/>
        <w:ind w:left="0" w:right="0" w:firstLine="0"/>
        <w:jc w:val="both"/>
        <w:rPr>
          <w:rFonts w:ascii="Arial" w:cs="Arial" w:hAnsi="Arial" w:eastAsia="Arial"/>
          <w:sz w:val="24"/>
          <w:szCs w:val="24"/>
          <w:rtl w:val="0"/>
          <w:lang w:val="en-US"/>
        </w:rPr>
      </w:pPr>
      <w:r>
        <w:rPr>
          <w:rFonts w:ascii="Arial" w:hAnsi="Arial"/>
          <w:sz w:val="24"/>
          <w:szCs w:val="24"/>
          <w:rtl w:val="0"/>
          <w:lang w:val="en-US"/>
        </w:rPr>
        <w:t>A critical analysis has been carried out on the current approach taken by the Company, when it comes to talent management, to aid in identifying how recruiting, promoting and retaining talent can be improved.</w:t>
      </w:r>
    </w:p>
    <w:p>
      <w:pPr>
        <w:pStyle w:val="Body A"/>
        <w:bidi w:val="0"/>
        <w:ind w:left="0" w:right="0" w:firstLine="0"/>
        <w:jc w:val="both"/>
        <w:rPr>
          <w:rFonts w:ascii="Arial" w:cs="Arial" w:hAnsi="Arial" w:eastAsia="Arial"/>
          <w:sz w:val="24"/>
          <w:szCs w:val="24"/>
          <w:rtl w:val="0"/>
          <w:lang w:val="en-US"/>
        </w:rPr>
      </w:pPr>
    </w:p>
    <w:p>
      <w:pPr>
        <w:pStyle w:val="Body A"/>
        <w:bidi w:val="0"/>
        <w:ind w:left="0" w:right="0" w:firstLine="0"/>
        <w:jc w:val="both"/>
        <w:rPr>
          <w:rFonts w:ascii="Arial" w:cs="Arial" w:hAnsi="Arial" w:eastAsia="Arial"/>
          <w:sz w:val="24"/>
          <w:szCs w:val="24"/>
          <w:rtl w:val="0"/>
          <w:lang w:val="en-US"/>
        </w:rPr>
      </w:pPr>
      <w:r>
        <w:rPr>
          <w:rFonts w:ascii="Arial" w:hAnsi="Arial"/>
          <w:sz w:val="24"/>
          <w:szCs w:val="24"/>
          <w:rtl w:val="0"/>
          <w:lang w:val="en-US"/>
        </w:rPr>
        <w:t xml:space="preserve">The main areas of concern I have discovered from my analysis need immediate management attention in order to prevent serious workforce implications moving forwards. </w:t>
      </w:r>
    </w:p>
    <w:p>
      <w:pPr>
        <w:pStyle w:val="Body A"/>
        <w:bidi w:val="0"/>
        <w:ind w:left="0" w:right="0" w:firstLine="0"/>
        <w:jc w:val="both"/>
        <w:rPr>
          <w:rFonts w:ascii="Arial" w:cs="Arial" w:hAnsi="Arial" w:eastAsia="Arial"/>
          <w:sz w:val="24"/>
          <w:szCs w:val="24"/>
          <w:rtl w:val="0"/>
          <w:lang w:val="en-US"/>
        </w:rPr>
      </w:pPr>
    </w:p>
    <w:p>
      <w:pPr>
        <w:pStyle w:val="Body A"/>
        <w:bidi w:val="0"/>
        <w:ind w:left="0" w:right="0" w:firstLine="0"/>
        <w:jc w:val="both"/>
        <w:rPr>
          <w:rFonts w:ascii="Arial" w:cs="Arial" w:hAnsi="Arial" w:eastAsia="Arial"/>
          <w:sz w:val="24"/>
          <w:szCs w:val="24"/>
          <w:rtl w:val="0"/>
          <w:lang w:val="en-US"/>
        </w:rPr>
      </w:pPr>
      <w:r>
        <w:rPr>
          <w:rFonts w:ascii="Arial" w:hAnsi="Arial"/>
          <w:sz w:val="24"/>
          <w:szCs w:val="24"/>
          <w:rtl w:val="0"/>
          <w:lang w:val="en-US"/>
        </w:rPr>
        <w:t>Recommendations discussed within the report are:</w:t>
      </w:r>
    </w:p>
    <w:p>
      <w:pPr>
        <w:pStyle w:val="Body A"/>
        <w:bidi w:val="0"/>
        <w:ind w:left="0" w:right="0" w:firstLine="0"/>
        <w:jc w:val="both"/>
        <w:rPr>
          <w:rFonts w:ascii="Arial" w:cs="Arial" w:hAnsi="Arial" w:eastAsia="Arial"/>
          <w:sz w:val="24"/>
          <w:szCs w:val="24"/>
          <w:rtl w:val="0"/>
          <w:lang w:val="en-US"/>
        </w:rPr>
      </w:pPr>
    </w:p>
    <w:p>
      <w:pPr>
        <w:pStyle w:val="Body A"/>
        <w:numPr>
          <w:ilvl w:val="0"/>
          <w:numId w:val="2"/>
        </w:numPr>
        <w:jc w:val="both"/>
        <w:rPr>
          <w:rFonts w:ascii="Arial" w:hAnsi="Arial"/>
          <w:lang w:val="en-US"/>
        </w:rPr>
      </w:pPr>
      <w:r>
        <w:rPr>
          <w:rFonts w:ascii="Arial" w:hAnsi="Arial"/>
          <w:rtl w:val="0"/>
          <w:lang w:val="en-US"/>
        </w:rPr>
        <w:t xml:space="preserve"> To i</w:t>
      </w:r>
      <w:r>
        <w:rPr>
          <w:rFonts w:ascii="Arial" w:hAnsi="Arial"/>
          <w:sz w:val="24"/>
          <w:szCs w:val="24"/>
          <w:rtl w:val="0"/>
          <w:lang w:val="en-US"/>
        </w:rPr>
        <w:t xml:space="preserve">ncrease the level of succession planning for hard to fill and business critical support roles to aid in the management of current internal talent and enable a smoother transition when vacancies become available.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Body A"/>
        <w:numPr>
          <w:ilvl w:val="0"/>
          <w:numId w:val="3"/>
        </w:numPr>
        <w:jc w:val="both"/>
        <w:rPr>
          <w:rFonts w:ascii="Arial" w:hAnsi="Arial"/>
          <w:sz w:val="24"/>
          <w:szCs w:val="24"/>
          <w:lang w:val="en-US"/>
        </w:rPr>
      </w:pPr>
      <w:r>
        <w:rPr>
          <w:rFonts w:ascii="Arial" w:hAnsi="Arial"/>
          <w:sz w:val="24"/>
          <w:szCs w:val="24"/>
          <w:rtl w:val="0"/>
          <w:lang w:val="en-US"/>
        </w:rPr>
        <w:t xml:space="preserve"> There needs to be greater flexibility within the recruitment policy in order to widen the external talent pool, given the competitive nature for a significant proportion of roles across different areas of the business.</w:t>
      </w:r>
    </w:p>
    <w:p>
      <w:pPr>
        <w:pStyle w:val="Body A"/>
        <w:bidi w:val="0"/>
        <w:ind w:left="0" w:right="0" w:firstLine="0"/>
        <w:jc w:val="both"/>
        <w:rPr>
          <w:rFonts w:ascii="Arial" w:cs="Arial" w:hAnsi="Arial" w:eastAsia="Arial"/>
          <w:sz w:val="24"/>
          <w:szCs w:val="24"/>
          <w:rtl w:val="0"/>
          <w:lang w:val="en-US"/>
        </w:rPr>
      </w:pPr>
    </w:p>
    <w:p>
      <w:pPr>
        <w:pStyle w:val="Body A"/>
        <w:bidi w:val="0"/>
        <w:ind w:left="0" w:right="0" w:firstLine="0"/>
        <w:jc w:val="left"/>
        <w:rPr>
          <w:rFonts w:ascii="Arial" w:cs="Arial" w:hAnsi="Arial" w:eastAsia="Arial"/>
          <w:sz w:val="24"/>
          <w:szCs w:val="24"/>
          <w:rtl w:val="0"/>
          <w:lang w:val="en-US"/>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bidi w:val="0"/>
        <w:ind w:left="0" w:right="0" w:firstLine="0"/>
        <w:jc w:val="left"/>
        <w:rPr>
          <w:rFonts w:ascii="Arial" w:cs="Arial" w:hAnsi="Arial" w:eastAsia="Arial"/>
          <w:sz w:val="24"/>
          <w:szCs w:val="24"/>
          <w:rtl w:val="0"/>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sz w:val="24"/>
          <w:szCs w:val="24"/>
        </w:rPr>
      </w:pPr>
    </w:p>
    <w:p>
      <w:pPr>
        <w:pStyle w:val="Body A"/>
        <w:rPr>
          <w:rFonts w:ascii="Arial" w:cs="Arial" w:hAnsi="Arial" w:eastAsia="Arial"/>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Contents</w:t>
      </w:r>
    </w:p>
    <w:p>
      <w:pPr>
        <w:pStyle w:val="Body A"/>
        <w:rPr>
          <w:rFonts w:ascii="Arial" w:cs="Arial" w:hAnsi="Arial" w:eastAsia="Arial"/>
          <w:b w:val="1"/>
          <w:bCs w:val="1"/>
          <w:sz w:val="24"/>
          <w:szCs w:val="24"/>
          <w:u w:val="single"/>
        </w:rPr>
      </w:pPr>
    </w:p>
    <w:p>
      <w:pPr>
        <w:pStyle w:val="Body A"/>
        <w:rPr>
          <w:rFonts w:ascii="Arial" w:cs="Arial" w:hAnsi="Arial" w:eastAsia="Arial"/>
          <w:sz w:val="24"/>
          <w:szCs w:val="24"/>
        </w:rPr>
      </w:pPr>
    </w:p>
    <w:tbl>
      <w:tblPr>
        <w:tblW w:w="963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000000" w:sz="8" w:space="0" w:shadow="0" w:frame="0"/>
          <w:insideV w:val="single" w:color="000000" w:sz="8" w:space="0" w:shadow="0" w:frame="0"/>
        </w:tblBorders>
        <w:shd w:val="clear" w:color="auto" w:fill="cadfff"/>
        <w:tblLayout w:type="fixed"/>
      </w:tblPr>
      <w:tblGrid>
        <w:gridCol w:w="8531"/>
        <w:gridCol w:w="1099"/>
      </w:tblGrid>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Introduction</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4</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Evaluation of Internal and External Factors</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5</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Critical Analysis of DCWW</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s Current Approach</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6</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Conclusion</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8</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Recommendations</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8</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Reference List</w:t>
            </w:r>
          </w:p>
        </w:tc>
        <w:tc>
          <w:tcPr>
            <w:tcW w:type="dxa" w:w="1099"/>
            <w:tcBorders>
              <w:top w:val="nil"/>
              <w:left w:val="nil"/>
              <w:bottom w:val="nil"/>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noFill/>
                </w14:textOutline>
                <w14:textFill>
                  <w14:solidFill>
                    <w14:srgbClr w14:val="000000"/>
                  </w14:solidFill>
                </w14:textFill>
              </w:rPr>
              <w:t>10</w:t>
            </w:r>
          </w:p>
        </w:tc>
      </w:tr>
      <w:tr>
        <w:tblPrEx>
          <w:shd w:val="clear" w:color="auto" w:fill="cadfff"/>
        </w:tblPrEx>
        <w:trPr>
          <w:trHeight w:val="295" w:hRule="atLeast"/>
        </w:trPr>
        <w:tc>
          <w:tcPr>
            <w:tcW w:type="dxa" w:w="8531"/>
            <w:tcBorders>
              <w:top w:val="nil"/>
              <w:left w:val="nil"/>
              <w:bottom w:val="nil"/>
              <w:right w:val="nil"/>
            </w:tcBorders>
            <w:shd w:val="clear" w:color="auto" w:fill="auto"/>
            <w:tcMar>
              <w:top w:type="dxa" w:w="80"/>
              <w:left w:type="dxa" w:w="80"/>
              <w:bottom w:type="dxa" w:w="80"/>
              <w:right w:type="dxa" w:w="80"/>
            </w:tcMar>
            <w:vAlign w:val="top"/>
          </w:tcPr>
          <w:p/>
        </w:tc>
        <w:tc>
          <w:tcPr>
            <w:tcW w:type="dxa" w:w="1099"/>
            <w:tcBorders>
              <w:top w:val="nil"/>
              <w:left w:val="nil"/>
              <w:bottom w:val="nil"/>
              <w:right w:val="nil"/>
            </w:tcBorders>
            <w:shd w:val="clear" w:color="auto" w:fill="auto"/>
            <w:tcMar>
              <w:top w:type="dxa" w:w="80"/>
              <w:left w:type="dxa" w:w="80"/>
              <w:bottom w:type="dxa" w:w="80"/>
              <w:right w:type="dxa" w:w="80"/>
            </w:tcMar>
            <w:vAlign w:val="top"/>
          </w:tcPr>
          <w:p/>
        </w:tc>
      </w:tr>
    </w:tbl>
    <w:p>
      <w:pPr>
        <w:pStyle w:val="Body A"/>
        <w:widowControl w:val="0"/>
        <w:ind w:left="108" w:hanging="108"/>
        <w:rPr>
          <w:rFonts w:ascii="Arial" w:cs="Arial" w:hAnsi="Arial" w:eastAsia="Arial"/>
          <w:sz w:val="24"/>
          <w:szCs w:val="24"/>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b w:val="1"/>
          <w:bCs w:val="1"/>
          <w:sz w:val="24"/>
          <w:szCs w:val="24"/>
          <w:u w:val="single"/>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rPr>
      </w:pPr>
    </w:p>
    <w:p>
      <w:pPr>
        <w:pStyle w:val="Body A"/>
        <w:rPr>
          <w:rFonts w:ascii="Arial" w:cs="Arial" w:hAnsi="Arial" w:eastAsia="Arial"/>
          <w:b w:val="1"/>
          <w:bCs w:val="1"/>
          <w:sz w:val="24"/>
          <w:szCs w:val="24"/>
          <w:u w:val="single"/>
        </w:rPr>
      </w:pPr>
      <w:r>
        <w:rPr>
          <w:rFonts w:ascii="Arial" w:hAnsi="Arial"/>
          <w:b w:val="1"/>
          <w:bCs w:val="1"/>
          <w:sz w:val="24"/>
          <w:szCs w:val="24"/>
          <w:u w:val="single"/>
          <w:rtl w:val="0"/>
          <w:lang w:val="en-US"/>
        </w:rPr>
        <w:t>Introduction</w:t>
      </w:r>
    </w:p>
    <w:p>
      <w:pPr>
        <w:pStyle w:val="Body A"/>
        <w:rPr>
          <w:rFonts w:ascii="Arial" w:cs="Arial" w:hAnsi="Arial" w:eastAsia="Arial"/>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line="240" w:lineRule="auto"/>
        <w:jc w:val="both"/>
        <w:rPr>
          <w:rFonts w:ascii="Arial" w:cs="Arial" w:hAnsi="Arial" w:eastAsia="Arial"/>
        </w:rPr>
      </w:pPr>
      <w:r>
        <w:rPr>
          <w:rFonts w:ascii="Arial" w:hAnsi="Arial"/>
          <w:rtl w:val="0"/>
          <w:lang w:val="en-US"/>
        </w:rPr>
        <w:t xml:space="preserve">Talent management within Dwr Cymru Welsh Water (DCWW) is a key element of its strategic plan for the next 5 years. Given the criticality of many job roles within the business, clear direction is required to ensure attraction and retention processes are constantly being reviewed, and the development of its existing workforce is management in a proactive manner.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line="240" w:lineRule="auto"/>
        <w:jc w:val="both"/>
        <w:rPr>
          <w:rFonts w:ascii="Arial" w:cs="Arial" w:hAnsi="Arial" w:eastAsia="Arial"/>
        </w:rPr>
      </w:pPr>
      <w:r>
        <w:rPr>
          <w:rFonts w:ascii="Arial" w:hAnsi="Arial"/>
          <w:rtl w:val="0"/>
          <w:lang w:val="en-US"/>
        </w:rPr>
        <w:t>The management of DCWW</w:t>
      </w:r>
      <w:r>
        <w:rPr>
          <w:rFonts w:ascii="Arial" w:hAnsi="Arial" w:hint="default"/>
          <w:rtl w:val="0"/>
          <w:lang w:val="en-US"/>
        </w:rPr>
        <w:t>’</w:t>
      </w:r>
      <w:r>
        <w:rPr>
          <w:rFonts w:ascii="Arial" w:hAnsi="Arial"/>
          <w:rtl w:val="0"/>
          <w:lang w:val="en-US"/>
        </w:rPr>
        <w:t xml:space="preserve">s talent will ultimately contribute to higher business performance and help foster a culture of development and progression, which will in turn add positively to its employer brand (CIPD, 2024a).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line="240" w:lineRule="auto"/>
        <w:jc w:val="both"/>
        <w:rPr>
          <w:rFonts w:ascii="Arial" w:cs="Arial" w:hAnsi="Arial" w:eastAsia="Arial"/>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2"/>
        </w:tabs>
        <w:spacing w:before="0" w:line="240" w:lineRule="auto"/>
        <w:jc w:val="both"/>
        <w:rPr>
          <w:rFonts w:ascii="Arial" w:cs="Arial" w:hAnsi="Arial" w:eastAsia="Arial"/>
        </w:rPr>
      </w:pPr>
      <w:r>
        <w:rPr>
          <w:rFonts w:ascii="Arial" w:hAnsi="Arial"/>
          <w:rtl w:val="0"/>
          <w:lang w:val="en-US"/>
        </w:rPr>
        <w:t>The competition in Wales and parts of England for certain roles poses a significant challenge when it comes to attracting and retaining employees, especially in areas such as IT and Science. This primarily comes down to national skills shortages in these areas (Kearney, 2023).</w:t>
      </w:r>
    </w:p>
    <w:p>
      <w:pPr>
        <w:pStyle w:val="Body A"/>
        <w:rPr>
          <w:rFonts w:ascii="Arial" w:cs="Arial" w:hAnsi="Arial" w:eastAsia="Arial"/>
          <w:sz w:val="24"/>
          <w:szCs w:val="24"/>
        </w:rPr>
      </w:pPr>
    </w:p>
    <w:p>
      <w:pPr>
        <w:pStyle w:val="Body A"/>
        <w:rPr>
          <w:rFonts w:ascii="Arial" w:cs="Arial" w:hAnsi="Arial" w:eastAsia="Arial"/>
          <w:b w:val="1"/>
          <w:bCs w:val="1"/>
          <w:sz w:val="24"/>
          <w:szCs w:val="24"/>
          <w:u w:val="single"/>
          <w:lang w:val="en-US"/>
        </w:rPr>
      </w:pPr>
      <w:r>
        <w:rPr>
          <w:rFonts w:ascii="Arial" w:hAnsi="Arial"/>
          <w:b w:val="1"/>
          <w:bCs w:val="1"/>
          <w:sz w:val="24"/>
          <w:szCs w:val="24"/>
          <w:u w:val="single"/>
          <w:rtl w:val="0"/>
          <w:lang w:val="en-US"/>
        </w:rPr>
        <w:t>Evaluation of External and Internal Factors</w:t>
      </w:r>
    </w:p>
    <w:p>
      <w:pPr>
        <w:pStyle w:val="Body A"/>
        <w:rPr>
          <w:rFonts w:ascii="Arial" w:cs="Arial" w:hAnsi="Arial" w:eastAsia="Arial"/>
          <w:b w:val="1"/>
          <w:bCs w:val="1"/>
          <w:sz w:val="24"/>
          <w:szCs w:val="24"/>
          <w:u w:val="single"/>
          <w:lang w:val="en-US"/>
        </w:rPr>
      </w:pPr>
    </w:p>
    <w:p>
      <w:pPr>
        <w:pStyle w:val="Body A"/>
        <w:jc w:val="both"/>
        <w:rPr>
          <w:rFonts w:ascii="Arial" w:cs="Arial" w:hAnsi="Arial" w:eastAsia="Arial"/>
          <w:b w:val="1"/>
          <w:bCs w:val="1"/>
          <w:sz w:val="24"/>
          <w:szCs w:val="24"/>
          <w:u w:val="single"/>
          <w:lang w:val="en-US"/>
        </w:rPr>
      </w:pPr>
      <w:r>
        <w:rPr>
          <w:rFonts w:ascii="Arial" w:hAnsi="Arial"/>
          <w:sz w:val="24"/>
          <w:szCs w:val="24"/>
          <w:rtl w:val="0"/>
          <w:lang w:val="en-US"/>
        </w:rPr>
        <w:t xml:space="preserve">I have completed a PESTLE (see appendix 1) to highlight the internal and external factors affecting DCWW which link back to its talent management processes. </w:t>
      </w:r>
    </w:p>
    <w:p>
      <w:pPr>
        <w:pStyle w:val="Body A"/>
        <w:rPr>
          <w:rFonts w:ascii="Arial" w:cs="Arial" w:hAnsi="Arial" w:eastAsia="Arial"/>
          <w:b w:val="1"/>
          <w:bCs w:val="1"/>
          <w:sz w:val="24"/>
          <w:szCs w:val="24"/>
          <w:u w:val="single"/>
          <w:lang w:val="en-US"/>
        </w:rPr>
      </w:pPr>
    </w:p>
    <w:p>
      <w:pPr>
        <w:pStyle w:val="Body A"/>
        <w:rPr>
          <w:rFonts w:ascii="Arial" w:cs="Arial" w:hAnsi="Arial" w:eastAsia="Arial"/>
          <w:b w:val="1"/>
          <w:bCs w:val="1"/>
          <w:sz w:val="24"/>
          <w:szCs w:val="24"/>
          <w:u w:val="single"/>
          <w:lang w:val="en-US"/>
        </w:rPr>
      </w:pPr>
      <w:r>
        <w:rPr>
          <w:rFonts w:ascii="Arial" w:hAnsi="Arial"/>
          <w:sz w:val="24"/>
          <w:szCs w:val="24"/>
          <w:u w:val="single"/>
          <w:rtl w:val="0"/>
          <w:lang w:val="en-US"/>
        </w:rPr>
        <w:t>External Factors</w:t>
      </w:r>
    </w:p>
    <w:p>
      <w:pPr>
        <w:pStyle w:val="Body A"/>
        <w:rPr>
          <w:rFonts w:ascii="Arial" w:cs="Arial" w:hAnsi="Arial" w:eastAsia="Arial"/>
          <w:b w:val="1"/>
          <w:bCs w:val="1"/>
          <w:sz w:val="24"/>
          <w:szCs w:val="24"/>
          <w:u w:val="single"/>
          <w:lang w:val="en-US"/>
        </w:rPr>
      </w:pPr>
    </w:p>
    <w:p>
      <w:pPr>
        <w:pStyle w:val="Body A"/>
        <w:numPr>
          <w:ilvl w:val="0"/>
          <w:numId w:val="5"/>
        </w:numPr>
        <w:rPr>
          <w:rFonts w:ascii="Arial" w:hAnsi="Arial"/>
          <w:sz w:val="24"/>
          <w:szCs w:val="24"/>
          <w:lang w:val="en-US"/>
        </w:rPr>
      </w:pPr>
      <w:r>
        <w:rPr>
          <w:rFonts w:ascii="Arial" w:hAnsi="Arial"/>
          <w:sz w:val="24"/>
          <w:szCs w:val="24"/>
          <w:rtl w:val="0"/>
          <w:lang w:val="en-US"/>
        </w:rPr>
        <w:t xml:space="preserve">Skills shortages in </w:t>
      </w:r>
      <w:r>
        <w:rPr>
          <w:rFonts w:ascii="Arial" w:hAnsi="Arial"/>
          <w:sz w:val="24"/>
          <w:szCs w:val="24"/>
          <w:rtl w:val="0"/>
          <w:lang w:val="en-US"/>
        </w:rPr>
        <w:t>IT and S</w:t>
      </w:r>
      <w:r>
        <w:rPr>
          <w:rFonts w:ascii="Arial" w:hAnsi="Arial"/>
          <w:sz w:val="24"/>
          <w:szCs w:val="24"/>
          <w:rtl w:val="0"/>
          <w:lang w:val="en-US"/>
        </w:rPr>
        <w:t>cience</w:t>
      </w:r>
    </w:p>
    <w:p>
      <w:pPr>
        <w:pStyle w:val="Body A"/>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IT roles within DCWW are some of the most difficult to fill for several reasons. Primarily, the UK wide skills shortage for IT talent makes it incredibly hard to attract and then retain candidates due to the choice of employers they have available. According to CPS Group UK (No Date), since 2010, IT roles have increased by 83% in Wales, whereas the talent to fill those roles has not grown at the same rate. This could be due to various reasons including Wales based talent moving to higher salary areas, such as London, where there are opportunities to progress quicker with higher financial reward.</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Cyber security is one area that is struggling due to available talent. Given that this is a relatively new industry, there are 2 sides to the talent issue here, one being a gap in expertise and knowledge of existing talent and then a shortage in people who can fill those available positions. Cyber is a fast moving area due to the ever developing threats seen through cyber attacks, therefore the skills needed are constantly changing (Cardiff Capital Region, 2022).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Laboratory based positions within DCWW experience similar challenges with their talent management. Attracting experienced candidates is difficult due to the competition within Wales and bordering areas of England. This partly comes down to reward package and career progression that DCWW is able to offer. According to Skellington (2024), there is currently a skills shortage of 35%, something which is expected to widen if not addressed. Coupled with the growing regulatory pressures on the UK water industry, DCWW will continue to experience difficulty in attracting and retaining talent if the current approach isn</w:t>
      </w:r>
      <w:r>
        <w:rPr>
          <w:rFonts w:ascii="Arial" w:hAnsi="Arial" w:hint="default"/>
          <w:sz w:val="24"/>
          <w:szCs w:val="24"/>
          <w:rtl w:val="0"/>
          <w:lang w:val="en-US"/>
        </w:rPr>
        <w:t>’</w:t>
      </w:r>
      <w:r>
        <w:rPr>
          <w:rFonts w:ascii="Arial" w:hAnsi="Arial"/>
          <w:sz w:val="24"/>
          <w:szCs w:val="24"/>
          <w:rtl w:val="0"/>
          <w:lang w:val="en-US"/>
        </w:rPr>
        <w:t>t adjusted (Environment Agency,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p>
    <w:p>
      <w:pPr>
        <w:pStyle w:val="Body A"/>
        <w:rPr>
          <w:rFonts w:ascii="Arial" w:cs="Arial" w:hAnsi="Arial" w:eastAsia="Arial"/>
          <w:sz w:val="24"/>
          <w:szCs w:val="24"/>
          <w:lang w:val="en-US"/>
        </w:rPr>
      </w:pPr>
    </w:p>
    <w:p>
      <w:pPr>
        <w:pStyle w:val="Body A"/>
        <w:numPr>
          <w:ilvl w:val="0"/>
          <w:numId w:val="5"/>
        </w:numPr>
        <w:rPr>
          <w:rFonts w:ascii="Arial" w:hAnsi="Arial"/>
          <w:sz w:val="24"/>
          <w:szCs w:val="24"/>
          <w:lang w:val="en-US"/>
        </w:rPr>
      </w:pPr>
      <w:r>
        <w:rPr>
          <w:rFonts w:ascii="Arial" w:hAnsi="Arial"/>
          <w:sz w:val="24"/>
          <w:szCs w:val="24"/>
          <w:rtl w:val="0"/>
          <w:lang w:val="en-US"/>
        </w:rPr>
        <w:t>Labour versus product market competitors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Within South Wales, particularly the Cardiff region, there are several companies who are competitors to DCWW, not for product but for labour. IT recruitment can be fast paced due to the variety of vacancies available from companies such as Admiral and Microsoft, who offer very different working cultures, career opportunities and reward packages.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This environment gives DCWW less employer power, meaning it</w:t>
      </w:r>
      <w:r>
        <w:rPr>
          <w:sz w:val="24"/>
          <w:szCs w:val="24"/>
          <w:rtl w:val="0"/>
          <w:lang w:val="en-US"/>
        </w:rPr>
        <w:t>’</w:t>
      </w:r>
      <w:r>
        <w:rPr>
          <w:sz w:val="24"/>
          <w:szCs w:val="24"/>
          <w:rtl w:val="0"/>
          <w:lang w:val="en-US"/>
        </w:rPr>
        <w:t>s quick and easy for employees for find alternative roles with higher salaries and/or benefits. If it were the opposite, DCWW would have higher power over the labour market giving them more control over the salaries they can offer (</w:t>
      </w:r>
      <w:r>
        <w:rPr>
          <w:sz w:val="24"/>
          <w:szCs w:val="24"/>
          <w:rtl w:val="0"/>
          <w:lang w:val="en-US"/>
        </w:rPr>
        <w:t xml:space="preserve">Kariel </w:t>
      </w:r>
      <w:r>
        <w:rPr>
          <w:i w:val="1"/>
          <w:iCs w:val="1"/>
          <w:sz w:val="24"/>
          <w:szCs w:val="24"/>
          <w:rtl w:val="0"/>
          <w:lang w:val="en-US"/>
        </w:rPr>
        <w:t>et al</w:t>
      </w:r>
      <w:r>
        <w:rPr>
          <w:sz w:val="24"/>
          <w:szCs w:val="24"/>
          <w:rtl w:val="0"/>
          <w:lang w:val="en-US"/>
        </w:rPr>
        <w:t>., 2024</w:t>
      </w:r>
      <w:r>
        <w:rPr>
          <w:sz w:val="24"/>
          <w:szCs w:val="24"/>
          <w:rtl w:val="0"/>
          <w:lang w:val="en-US"/>
        </w:rPr>
        <w:t>). Not all employees are financially driven, non-monetary benefits have risen in popularity in recent years, for example career progression, learning and development investment, remote/hybrid working and flexible hours. These tools should be capitalised on more when recruiting to balance where salaries fall short as not all employers offer the same reward package when salary is not considered (CIPD, 2024b).</w:t>
      </w:r>
    </w:p>
    <w:p>
      <w:pPr>
        <w:pStyle w:val="Body A"/>
        <w:rPr>
          <w:rFonts w:ascii="Arial" w:cs="Arial" w:hAnsi="Arial" w:eastAsia="Arial"/>
          <w:b w:val="1"/>
          <w:bCs w:val="1"/>
          <w:sz w:val="24"/>
          <w:szCs w:val="24"/>
          <w:u w:val="single"/>
          <w:lang w:val="en-US"/>
        </w:rPr>
      </w:pPr>
    </w:p>
    <w:p>
      <w:pPr>
        <w:pStyle w:val="Body A"/>
        <w:rPr>
          <w:rFonts w:ascii="Arial" w:cs="Arial" w:hAnsi="Arial" w:eastAsia="Arial"/>
          <w:b w:val="1"/>
          <w:bCs w:val="1"/>
          <w:sz w:val="24"/>
          <w:szCs w:val="24"/>
          <w:u w:val="single"/>
          <w:lang w:val="en-US"/>
        </w:rPr>
      </w:pPr>
      <w:r>
        <w:rPr>
          <w:rFonts w:ascii="Arial" w:hAnsi="Arial"/>
          <w:sz w:val="24"/>
          <w:szCs w:val="24"/>
          <w:u w:val="single"/>
          <w:rtl w:val="0"/>
          <w:lang w:val="en-US"/>
        </w:rPr>
        <w:t>Internal Factors</w:t>
      </w:r>
    </w:p>
    <w:p>
      <w:pPr>
        <w:pStyle w:val="Body A"/>
        <w:rPr>
          <w:rFonts w:ascii="Arial" w:cs="Arial" w:hAnsi="Arial" w:eastAsia="Arial"/>
          <w:b w:val="1"/>
          <w:bCs w:val="1"/>
          <w:sz w:val="24"/>
          <w:szCs w:val="24"/>
          <w:u w:val="single"/>
          <w:lang w:val="en-US"/>
        </w:rPr>
      </w:pPr>
    </w:p>
    <w:p>
      <w:pPr>
        <w:pStyle w:val="Body A"/>
        <w:numPr>
          <w:ilvl w:val="0"/>
          <w:numId w:val="5"/>
        </w:numPr>
        <w:rPr>
          <w:rFonts w:ascii="Arial" w:hAnsi="Arial"/>
          <w:sz w:val="24"/>
          <w:szCs w:val="24"/>
          <w:lang w:val="en-US"/>
        </w:rPr>
      </w:pPr>
      <w:r>
        <w:rPr>
          <w:rFonts w:ascii="Arial" w:hAnsi="Arial"/>
          <w:sz w:val="24"/>
          <w:szCs w:val="24"/>
          <w:rtl w:val="0"/>
          <w:lang w:val="en-US"/>
        </w:rPr>
        <w:t>Lack of</w:t>
      </w:r>
      <w:r>
        <w:rPr>
          <w:rFonts w:ascii="Arial" w:hAnsi="Arial"/>
          <w:sz w:val="24"/>
          <w:szCs w:val="24"/>
          <w:rtl w:val="0"/>
          <w:lang w:val="en-US"/>
        </w:rPr>
        <w:t xml:space="preserve"> focus on internal progression within </w:t>
      </w:r>
      <w:r>
        <w:rPr>
          <w:rFonts w:ascii="Arial" w:hAnsi="Arial"/>
          <w:sz w:val="24"/>
          <w:szCs w:val="24"/>
          <w:rtl w:val="0"/>
          <w:lang w:val="en-US"/>
        </w:rPr>
        <w:t>non-operational areas</w:t>
      </w:r>
    </w:p>
    <w:p>
      <w:pPr>
        <w:pStyle w:val="Body A"/>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Being a utility company, when it comes to the workforce, the focus has naturally fallen to the operational roles, such as in water and waste treatment. Strategically, the support departments, including IT and the laboratories, have not been given the same level of workforce planning in terms of identifying skills gaps and succession planning. This has become evident when key roles have left the business and the response has been reactive rather than proactive, with duties split amongst colleagues, a struggle to recruit a suitable candidate and a very small handover period due to insufficient notice periods (CIPD, 2024c).</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This has also become clear due to the lack of reporting available for support departments, which has hindered the ability for certain directors to future plan. Operational areas have had various reporting tools for a significant period of time, something IT and the laboratories are only now starting to have access to. Lack of data analysis can have a detrimental impact on a businesses ability to identify key areas where recruitment, retention and development need improvement (Ronan, 2021). This has been further reinforced by the CIPD in their resourcing and talent planning report (2024d), where they agree that quality data is required to effectively workforce plan, something that a surprising number of businesses are not currently collecting.  </w:t>
      </w:r>
    </w:p>
    <w:p>
      <w:pPr>
        <w:pStyle w:val="Body A"/>
        <w:rPr>
          <w:rFonts w:ascii="Arial" w:cs="Arial" w:hAnsi="Arial" w:eastAsia="Arial"/>
          <w:sz w:val="24"/>
          <w:szCs w:val="24"/>
          <w:lang w:val="en-US"/>
        </w:rPr>
      </w:pPr>
    </w:p>
    <w:p>
      <w:pPr>
        <w:pStyle w:val="Body A"/>
        <w:numPr>
          <w:ilvl w:val="0"/>
          <w:numId w:val="5"/>
        </w:numPr>
        <w:rPr>
          <w:rFonts w:ascii="Arial" w:hAnsi="Arial"/>
          <w:sz w:val="24"/>
          <w:szCs w:val="24"/>
          <w:lang w:val="en-US"/>
        </w:rPr>
      </w:pPr>
      <w:r>
        <w:rPr>
          <w:rFonts w:ascii="Arial" w:hAnsi="Arial"/>
          <w:sz w:val="24"/>
          <w:szCs w:val="24"/>
          <w:rtl w:val="0"/>
          <w:lang w:val="en-US"/>
        </w:rPr>
        <w:t>Laboratory upskilling and retention challenges</w:t>
      </w:r>
    </w:p>
    <w:p>
      <w:pPr>
        <w:pStyle w:val="Body A"/>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Within the laboratories, there are a high number of entry level roles, such as analysts and administration assistants, which are typically filled by graduates or newly qualified candidates. A significant amount of resource is invested into this individuals for them to gain the </w:t>
      </w:r>
      <w:r>
        <w:rPr>
          <w:rFonts w:ascii="Arial" w:hAnsi="Arial" w:hint="default"/>
          <w:sz w:val="24"/>
          <w:szCs w:val="24"/>
          <w:rtl w:val="0"/>
          <w:lang w:val="en-US"/>
        </w:rPr>
        <w:t>‘</w:t>
      </w:r>
      <w:r>
        <w:rPr>
          <w:rFonts w:ascii="Arial" w:hAnsi="Arial"/>
          <w:sz w:val="24"/>
          <w:szCs w:val="24"/>
          <w:rtl w:val="0"/>
          <w:lang w:val="en-US"/>
        </w:rPr>
        <w:t>on the job</w:t>
      </w:r>
      <w:r>
        <w:rPr>
          <w:rFonts w:ascii="Arial" w:hAnsi="Arial" w:hint="default"/>
          <w:sz w:val="24"/>
          <w:szCs w:val="24"/>
          <w:rtl w:val="0"/>
          <w:lang w:val="en-US"/>
        </w:rPr>
        <w:t xml:space="preserve">’ </w:t>
      </w:r>
      <w:r>
        <w:rPr>
          <w:rFonts w:ascii="Arial" w:hAnsi="Arial"/>
          <w:sz w:val="24"/>
          <w:szCs w:val="24"/>
          <w:rtl w:val="0"/>
          <w:lang w:val="en-US"/>
        </w:rPr>
        <w:t xml:space="preserve">skills needed to succeed. However, the average service length for these positions sits at 18 months before the colleague leaves the business. The people structure within the laboratories slims significantly the higher up you go, so opportunities for progression are limited, with many roles occupied by long serving employees (Grensing-Pophal, 2019). This presents a range of challenges for the progression of the team as a whole, due to new skills and perspectives not staying within the business area, stunting its evolution.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According to Tatel (2024), 45% of voluntary leavers said that neither their manager or another business leader had proactive conversations with them to discuss job satisfaction, performance or internal progression. This highlights that the issue isn</w:t>
      </w:r>
      <w:r>
        <w:rPr>
          <w:rFonts w:ascii="Arial" w:hAnsi="Arial" w:hint="default"/>
          <w:sz w:val="24"/>
          <w:szCs w:val="24"/>
          <w:rtl w:val="0"/>
          <w:lang w:val="en-US"/>
        </w:rPr>
        <w:t>’</w:t>
      </w:r>
      <w:r>
        <w:rPr>
          <w:rFonts w:ascii="Arial" w:hAnsi="Arial"/>
          <w:sz w:val="24"/>
          <w:szCs w:val="24"/>
          <w:rtl w:val="0"/>
          <w:lang w:val="en-US"/>
        </w:rPr>
        <w:t>t unique to DCWW, but is one that can be partially remedied through conversation and relationship building, and is backed up from feedback gathered in exit interviews.</w:t>
      </w:r>
    </w:p>
    <w:p>
      <w:pPr>
        <w:pStyle w:val="Body A"/>
        <w:rPr>
          <w:rFonts w:ascii="Arial" w:cs="Arial" w:hAnsi="Arial" w:eastAsia="Arial"/>
          <w:sz w:val="24"/>
          <w:szCs w:val="24"/>
          <w:lang w:val="en-US"/>
        </w:rPr>
      </w:pPr>
    </w:p>
    <w:p>
      <w:pPr>
        <w:pStyle w:val="Body A"/>
        <w:numPr>
          <w:ilvl w:val="0"/>
          <w:numId w:val="5"/>
        </w:numPr>
        <w:rPr>
          <w:rFonts w:ascii="Arial" w:hAnsi="Arial"/>
          <w:sz w:val="24"/>
          <w:szCs w:val="24"/>
          <w:lang w:val="en-US"/>
        </w:rPr>
      </w:pPr>
      <w:r>
        <w:rPr>
          <w:rFonts w:ascii="Arial" w:hAnsi="Arial"/>
          <w:sz w:val="24"/>
          <w:szCs w:val="24"/>
          <w:rtl w:val="0"/>
          <w:lang w:val="en-US"/>
        </w:rPr>
        <w:t>Hybrid working model for support roles</w:t>
      </w:r>
    </w:p>
    <w:p>
      <w:pPr>
        <w:pStyle w:val="Body A"/>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Following the Covid-19 pandemic, DCWW adopted a hybrid working model for its support areas, introducing a balance of office and home working days. For the most part, this approach works effectively and is consistent with the offering of external competitors. There are exceptions to this though, whereby other employers are promoting fully remote working, especially for IT roles. This increases the reach for employers when it comes to the candidate pools and skills they can engage with, particularly in niche areas of IT (ResoPro Training Services, 2023).</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DCWW have chosen a blanket approach of hybrid working, rather than looking at it on a role by role basis. This has put limitations and geographical barriers in place, which other employers in South Wales potentially do not have. There is the view of having a collaborative approach to justify part office working, however there are certain positions which can be equally as collaborative online as face to face, namely in IT, if the correct methods and communication channels are established (Seal, 2024). </w:t>
      </w:r>
    </w:p>
    <w:p>
      <w:pPr>
        <w:pStyle w:val="Body A"/>
        <w:rPr>
          <w:rFonts w:ascii="Arial" w:cs="Arial" w:hAnsi="Arial" w:eastAsia="Arial"/>
          <w:b w:val="1"/>
          <w:bCs w:val="1"/>
          <w:sz w:val="24"/>
          <w:szCs w:val="24"/>
          <w:u w:val="single"/>
          <w:lang w:val="en-US"/>
        </w:rPr>
      </w:pPr>
    </w:p>
    <w:p>
      <w:pPr>
        <w:pStyle w:val="Body A"/>
        <w:rPr>
          <w:rFonts w:ascii="Arial" w:cs="Arial" w:hAnsi="Arial" w:eastAsia="Arial"/>
          <w:b w:val="1"/>
          <w:bCs w:val="1"/>
          <w:sz w:val="24"/>
          <w:szCs w:val="24"/>
          <w:u w:val="single"/>
          <w:lang w:val="en-US"/>
        </w:rPr>
      </w:pPr>
      <w:r>
        <w:rPr>
          <w:rFonts w:ascii="Arial" w:hAnsi="Arial"/>
          <w:b w:val="1"/>
          <w:bCs w:val="1"/>
          <w:sz w:val="24"/>
          <w:szCs w:val="24"/>
          <w:u w:val="single"/>
          <w:rtl w:val="0"/>
          <w:lang w:val="en-US"/>
        </w:rPr>
        <w:t>Critical Analysis of DCWW</w:t>
      </w:r>
      <w:r>
        <w:rPr>
          <w:rFonts w:ascii="Arial" w:hAnsi="Arial" w:hint="default"/>
          <w:b w:val="1"/>
          <w:bCs w:val="1"/>
          <w:sz w:val="24"/>
          <w:szCs w:val="24"/>
          <w:u w:val="single"/>
          <w:rtl w:val="0"/>
          <w:lang w:val="en-US"/>
        </w:rPr>
        <w:t>’</w:t>
      </w:r>
      <w:r>
        <w:rPr>
          <w:rFonts w:ascii="Arial" w:hAnsi="Arial"/>
          <w:b w:val="1"/>
          <w:bCs w:val="1"/>
          <w:sz w:val="24"/>
          <w:szCs w:val="24"/>
          <w:u w:val="single"/>
          <w:rtl w:val="0"/>
          <w:lang w:val="en-US"/>
        </w:rPr>
        <w:t>s Current Approach</w:t>
      </w:r>
    </w:p>
    <w:p>
      <w:pPr>
        <w:pStyle w:val="Body A"/>
        <w:rPr>
          <w:rFonts w:ascii="Arial" w:cs="Arial" w:hAnsi="Arial" w:eastAsia="Arial"/>
          <w:b w:val="1"/>
          <w:bCs w:val="1"/>
          <w:sz w:val="24"/>
          <w:szCs w:val="24"/>
          <w:u w:val="single"/>
          <w:lang w:val="en-US"/>
        </w:rPr>
      </w:pPr>
    </w:p>
    <w:p>
      <w:pPr>
        <w:pStyle w:val="Default"/>
        <w:numPr>
          <w:ilvl w:val="0"/>
          <w:numId w:val="6"/>
        </w:numPr>
        <w:spacing w:before="0" w:line="240" w:lineRule="auto"/>
        <w:rPr>
          <w:sz w:val="24"/>
          <w:szCs w:val="24"/>
          <w:lang w:val="en-US"/>
        </w:rPr>
      </w:pPr>
      <w:r>
        <w:rPr>
          <w:sz w:val="24"/>
          <w:szCs w:val="24"/>
          <w:rtl w:val="0"/>
          <w:lang w:val="en-US"/>
        </w:rPr>
        <w:t>Advertising process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r>
        <w:rPr>
          <w:sz w:val="24"/>
          <w:szCs w:val="24"/>
          <w:rtl w:val="0"/>
          <w:lang w:val="en-US"/>
        </w:rPr>
        <w:t>DCWW has an advertising approach of always posting a role internally only for 1 week, prior to any external recruitment. The main aim of this is to give internal candidates the opportunity to apply first in the hope that suitable home grown talent will be utilised for the position. Having this opportunity is positive for employees as it shows that DCWW takes internal progression seriously. It can also boost engagement, not just for the successful candidate but for the team as well due to the ripple effect of a colleague being promoted and then the backfill potentially required for their role. This can, however, be demotivating for colleagues who are unsuccessful if the recruiting manager doesn</w:t>
      </w:r>
      <w:r>
        <w:rPr>
          <w:sz w:val="24"/>
          <w:szCs w:val="24"/>
          <w:rtl w:val="0"/>
          <w:lang w:val="en-US"/>
        </w:rPr>
        <w:t>’</w:t>
      </w:r>
      <w:r>
        <w:rPr>
          <w:sz w:val="24"/>
          <w:szCs w:val="24"/>
          <w:rtl w:val="0"/>
          <w:lang w:val="en-US"/>
        </w:rPr>
        <w:t xml:space="preserve">t deliver feedback and development opportunities in the right way (Indeed, 2024). If a position is successfully filled internally there are business advantages to this, including financial savings through reduced advertising costs and temporary cover and  in time as the colleague will already been onboarded to the organisation and know its processes.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r>
        <w:rPr>
          <w:sz w:val="24"/>
          <w:szCs w:val="24"/>
          <w:rtl w:val="0"/>
          <w:lang w:val="en-US"/>
        </w:rPr>
        <w:t>There are, however, draw backs to DCWW</w:t>
      </w:r>
      <w:r>
        <w:rPr>
          <w:sz w:val="24"/>
          <w:szCs w:val="24"/>
          <w:rtl w:val="0"/>
          <w:lang w:val="en-US"/>
        </w:rPr>
        <w:t>’</w:t>
      </w:r>
      <w:r>
        <w:rPr>
          <w:sz w:val="24"/>
          <w:szCs w:val="24"/>
          <w:rtl w:val="0"/>
          <w:lang w:val="en-US"/>
        </w:rPr>
        <w:t xml:space="preserve">s approach. In certain circumstances there will be the need to advertise externally from the beginning, due to business criticality or lack of internal skills. Currently, policy does not allow for exclusions to the 1 week internal rule, without senior director approval. This is a time consuming process and can cost the business in both money and skills availability as certain candidates are highly specialised and in high demand (Crush, 2023). Roles within finance and IT are frequently put in this position due to the fast paced external recruitment environment.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r>
        <w:rPr>
          <w:sz w:val="24"/>
          <w:szCs w:val="24"/>
          <w:rtl w:val="0"/>
          <w:lang w:val="en-US"/>
        </w:rPr>
        <w:t>On occasions there are situations where there is no internal talent for a position but the recruiting manager still has to internally advertise first. This is frustrating for the manager and the team, as they need a candidate in post in order to effectively operate, but it does expose 2 areas of failure. Firstly, the policy should be more flexible when it comes to certain circumstances and allow external recruitment from the start. Secondly, it shows that the recruiting manager hasn</w:t>
      </w:r>
      <w:r>
        <w:rPr>
          <w:sz w:val="24"/>
          <w:szCs w:val="24"/>
          <w:rtl w:val="0"/>
          <w:lang w:val="en-US"/>
        </w:rPr>
        <w:t>’</w:t>
      </w:r>
      <w:r>
        <w:rPr>
          <w:sz w:val="24"/>
          <w:szCs w:val="24"/>
          <w:rtl w:val="0"/>
          <w:lang w:val="en-US"/>
        </w:rPr>
        <w:t xml:space="preserve">t done sufficient development within their team to have a successor ready to step up or be in a position to take the role on in a development capacity. Having done this, they would have talent ready to step into the role with only backfill recruitment needed, which could potentially be from within the team and easier to source due to the lower skill set required (CIPD, 2024e).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rPr>
      </w:pPr>
      <w:r>
        <w:rPr>
          <w:sz w:val="24"/>
          <w:szCs w:val="24"/>
          <w:rtl w:val="0"/>
          <w:lang w:val="en-US"/>
        </w:rPr>
        <w:t>There is also the view of having too much internal recruitment and the need for external candidates in order to add a fresh perspective to the business. Allowing roles to be advertised internally and externally would give a level playing field to all candidates, whilst also speeding up the recruitment process. Having internal progression is positive for familiarity with culture and processes, boosting morale and from a cost perspective, but it can bring risks and limitations with stagnation and diversity (Alfira and Hariyanti,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Default"/>
        <w:numPr>
          <w:ilvl w:val="0"/>
          <w:numId w:val="6"/>
        </w:numPr>
        <w:spacing w:before="0" w:line="240" w:lineRule="auto"/>
        <w:rPr>
          <w:sz w:val="24"/>
          <w:szCs w:val="24"/>
          <w:lang w:val="en-US"/>
        </w:rPr>
      </w:pPr>
      <w:r>
        <w:rPr>
          <w:sz w:val="24"/>
          <w:szCs w:val="24"/>
          <w:rtl w:val="0"/>
          <w:lang w:val="en-US"/>
        </w:rPr>
        <w:t xml:space="preserve">Workforce </w:t>
      </w:r>
      <w:r>
        <w:rPr>
          <w:sz w:val="24"/>
          <w:szCs w:val="24"/>
          <w:rtl w:val="0"/>
          <w:lang w:val="en-US"/>
        </w:rPr>
        <w:t>p</w:t>
      </w:r>
      <w:r>
        <w:rPr>
          <w:sz w:val="24"/>
          <w:szCs w:val="24"/>
          <w:rtl w:val="0"/>
          <w:lang w:val="en-US"/>
        </w:rPr>
        <w:t>lannin</w:t>
      </w:r>
      <w:r>
        <w:rPr>
          <w:sz w:val="24"/>
          <w:szCs w:val="24"/>
          <w:rtl w:val="0"/>
          <w:lang w:val="en-US"/>
        </w:rPr>
        <w:t>g</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DCWW</w:t>
      </w:r>
      <w:r>
        <w:rPr>
          <w:sz w:val="24"/>
          <w:szCs w:val="24"/>
          <w:rtl w:val="0"/>
          <w:lang w:val="en-US"/>
        </w:rPr>
        <w:t>’</w:t>
      </w:r>
      <w:r>
        <w:rPr>
          <w:sz w:val="24"/>
          <w:szCs w:val="24"/>
          <w:rtl w:val="0"/>
          <w:lang w:val="en-US"/>
        </w:rPr>
        <w:t xml:space="preserve">s focus for workforce planning has predominantly been on operational roles, to ensure the integrity of the business's primary purpose of water and waste management is maintained. Increases in regulatory requirements and media scrutiny over the handling of issues in the water industry has heavily influenced this decision due to the reputational and financial implications that could be experienced (Ofwat, 2024).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This approach has, however, left support positions exposed with certain departments lacking sufficient internal skill levels for critical and hard to fill roles. Many operational positions can be easier to fill due to the nature of the training and how DCWW can facilitate this in house with minor external support. Whereas a specialist IT position, for example, requires a niche skillset and level of experience which cannot be replicated quickly or easily internally (Dennison,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Taking IT as an example area, there are various critical positions there which would leave the business vulnerable, including to cyber attack, if positions were not filled by the correct talent. This brings the argument that support roles have as much of an impact on DCWW as operational ones, with threats as equally as large on both sides of the business. A report by the Department for Science, Innovation and Technology (2024) highlights that even though graduates of cyber security courses has increased by 34%, there is still a 44% skills gap in basic technical areas. This demonstrates the risk of being unable to swiftly fill future vacancies if sufficient internal development steps are not taken with existing employees.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Default"/>
        <w:numPr>
          <w:ilvl w:val="0"/>
          <w:numId w:val="6"/>
        </w:numPr>
        <w:spacing w:before="0" w:line="240" w:lineRule="auto"/>
        <w:jc w:val="both"/>
        <w:rPr>
          <w:sz w:val="24"/>
          <w:szCs w:val="24"/>
          <w:lang w:val="en-US"/>
        </w:rPr>
      </w:pPr>
      <w:r>
        <w:rPr>
          <w:sz w:val="24"/>
          <w:szCs w:val="24"/>
          <w:rtl w:val="0"/>
          <w:lang w:val="en-US"/>
        </w:rPr>
        <w:t>Hybrid working model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 xml:space="preserve">Following the Covid-19 pandemic, as with many employers, DCWW adopted a hybrid working model with a split of home and office based working. This applies to all roles that have duties that would allow home working. The response to this is mostly positive with collaboration levels within teams remaining high and managers giving freedom to colleagues when managing their office days. During onboarding office working is especially important to ensure integration with the team and relationship building, which can be difficult to do remotely (White and Wigert, 2022).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Currently this approach is applied consistently to all roles with no deviation from that. This does impose a potentially unnecessary challenge when recruiting for hard to fill and specialist roles, particularly in IT. Given the nature of the roles being exclusively online, there is the argument that they could be advertised as fully remote, which would increase to candidate pool significantly and enable DCWW to tap into skill pools that they would otherwise not be within reach of (OUTprof, 2023). To remain fair to those in positions that are deemed hybrid, there does need to be justification for the need to advertise as fully remote, such as a niche skillset requirement.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r>
        <w:rPr>
          <w:sz w:val="24"/>
          <w:szCs w:val="24"/>
          <w:rtl w:val="0"/>
          <w:lang w:val="en-US"/>
        </w:rPr>
        <w:t>Remaining hybrid and increasing home working roles would be a positive step forward and help avoid hostile working environments that some employers have encountered when enforcing changes to office working following the pandemic. This approach has been detrimental to a positive working culture and caused reputational damage, which could impact on attraction of new candidates (Grey,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b w:val="1"/>
          <w:bCs w:val="1"/>
          <w:outline w:val="0"/>
          <w:color w:val="ff644e"/>
          <w:sz w:val="24"/>
          <w:szCs w:val="24"/>
          <w:u w:val="single"/>
          <w:lang w:val="en-US"/>
          <w14:textFill>
            <w14:solidFill>
              <w14:srgbClr w14:val="FF644E"/>
            </w14:solidFill>
          </w14:textFill>
        </w:rPr>
      </w:pPr>
    </w:p>
    <w:p>
      <w:pPr>
        <w:pStyle w:val="Body A"/>
        <w:rPr>
          <w:rFonts w:ascii="Arial" w:cs="Arial" w:hAnsi="Arial" w:eastAsia="Arial"/>
          <w:b w:val="1"/>
          <w:bCs w:val="1"/>
          <w:sz w:val="24"/>
          <w:szCs w:val="24"/>
          <w:u w:val="single"/>
          <w:lang w:val="en-US"/>
        </w:rPr>
      </w:pPr>
      <w:r>
        <w:rPr>
          <w:rFonts w:ascii="Arial" w:hAnsi="Arial"/>
          <w:b w:val="1"/>
          <w:bCs w:val="1"/>
          <w:sz w:val="24"/>
          <w:szCs w:val="24"/>
          <w:u w:val="single"/>
          <w:rtl w:val="0"/>
          <w:lang w:val="en-US"/>
        </w:rPr>
        <w:t>Conclusion</w:t>
      </w:r>
    </w:p>
    <w:p>
      <w:pPr>
        <w:pStyle w:val="Body A"/>
        <w:rPr>
          <w:rFonts w:ascii="Arial" w:cs="Arial" w:hAnsi="Arial" w:eastAsia="Arial"/>
          <w:b w:val="1"/>
          <w:bCs w:val="1"/>
          <w:sz w:val="24"/>
          <w:szCs w:val="24"/>
          <w:u w:val="single"/>
          <w:lang w:val="en-US"/>
        </w:rPr>
      </w:pPr>
    </w:p>
    <w:p>
      <w:pPr>
        <w:pStyle w:val="Body A"/>
        <w:jc w:val="both"/>
        <w:rPr>
          <w:rFonts w:ascii="Arial" w:cs="Arial" w:hAnsi="Arial" w:eastAsia="Arial"/>
          <w:sz w:val="24"/>
          <w:szCs w:val="24"/>
          <w:lang w:val="en-US"/>
        </w:rPr>
      </w:pPr>
      <w:r>
        <w:rPr>
          <w:rFonts w:ascii="Arial" w:hAnsi="Arial"/>
          <w:sz w:val="24"/>
          <w:szCs w:val="24"/>
          <w:rtl w:val="0"/>
          <w:lang w:val="en-US"/>
        </w:rPr>
        <w:t>To conclude, there are several ways in which DCWW are approaching talent management positively which will feed into their future success. However, there are certain aspects of their processes that they need to reevaluate to remain competitive and continue to meet business requirements.</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The leadership team should commission a SWOT analysis and stop, start, continue exercises to establish where they are currently succeeding, how this can be further enhanced and what processes need urgent review. This will ensure consistency in the approach taken to manage the talent needed from external channels and how internally employees can be developed into the talent needed in the future (CIPD, 2024f).</w:t>
      </w:r>
    </w:p>
    <w:p>
      <w:pPr>
        <w:pStyle w:val="Body A"/>
        <w:jc w:val="both"/>
        <w:rPr>
          <w:rFonts w:ascii="Arial" w:cs="Arial" w:hAnsi="Arial" w:eastAsia="Arial"/>
          <w:sz w:val="24"/>
          <w:szCs w:val="24"/>
          <w:lang w:val="en-US"/>
        </w:rPr>
      </w:pPr>
    </w:p>
    <w:p>
      <w:pPr>
        <w:pStyle w:val="Body A"/>
        <w:jc w:val="both"/>
        <w:rPr>
          <w:rFonts w:ascii="Arial" w:cs="Arial" w:hAnsi="Arial" w:eastAsia="Arial"/>
          <w:b w:val="1"/>
          <w:bCs w:val="1"/>
          <w:sz w:val="24"/>
          <w:szCs w:val="24"/>
          <w:u w:val="single"/>
          <w:lang w:val="en-US"/>
        </w:rPr>
      </w:pPr>
      <w:r>
        <w:rPr>
          <w:rFonts w:ascii="Arial" w:hAnsi="Arial"/>
          <w:sz w:val="24"/>
          <w:szCs w:val="24"/>
          <w:rtl w:val="0"/>
          <w:lang w:val="en-US"/>
        </w:rPr>
        <w:t>Moving forward, DCWW will have to adapt in order to tackle the future challenges with talent management. These will include upskilling their workforce to bridge skill shortages, adapting their approach to flexible working to attract top talent and promoting the use of learning and development opportunities (LinkedIn, 2024).</w:t>
      </w:r>
    </w:p>
    <w:p>
      <w:pPr>
        <w:pStyle w:val="Body A"/>
        <w:rPr>
          <w:rFonts w:ascii="Arial" w:cs="Arial" w:hAnsi="Arial" w:eastAsia="Arial"/>
          <w:b w:val="1"/>
          <w:bCs w:val="1"/>
          <w:sz w:val="24"/>
          <w:szCs w:val="24"/>
          <w:u w:val="single"/>
          <w:lang w:val="en-US"/>
        </w:rPr>
      </w:pPr>
    </w:p>
    <w:p>
      <w:pPr>
        <w:pStyle w:val="Body A"/>
        <w:rPr>
          <w:rFonts w:ascii="Arial" w:cs="Arial" w:hAnsi="Arial" w:eastAsia="Arial"/>
          <w:b w:val="1"/>
          <w:bCs w:val="1"/>
          <w:sz w:val="24"/>
          <w:szCs w:val="24"/>
          <w:u w:val="single"/>
          <w:lang w:val="en-US"/>
        </w:rPr>
      </w:pPr>
      <w:r>
        <w:rPr>
          <w:rFonts w:ascii="Arial" w:hAnsi="Arial"/>
          <w:b w:val="1"/>
          <w:bCs w:val="1"/>
          <w:sz w:val="24"/>
          <w:szCs w:val="24"/>
          <w:u w:val="single"/>
          <w:rtl w:val="0"/>
          <w:lang w:val="en-US"/>
        </w:rPr>
        <w:t>Recommendations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sz w:val="24"/>
          <w:szCs w:val="24"/>
          <w:lang w:val="en-US"/>
        </w:rPr>
      </w:pPr>
    </w:p>
    <w:p>
      <w:pPr>
        <w:pStyle w:val="Body A"/>
        <w:numPr>
          <w:ilvl w:val="0"/>
          <w:numId w:val="7"/>
        </w:numPr>
        <w:jc w:val="both"/>
        <w:rPr>
          <w:rFonts w:ascii="Arial" w:hAnsi="Arial"/>
          <w:sz w:val="24"/>
          <w:szCs w:val="24"/>
          <w:lang w:val="en-US"/>
        </w:rPr>
      </w:pPr>
      <w:r>
        <w:rPr>
          <w:rFonts w:ascii="Arial" w:hAnsi="Arial"/>
          <w:sz w:val="24"/>
          <w:szCs w:val="24"/>
          <w:rtl w:val="0"/>
          <w:lang w:val="en-US"/>
        </w:rPr>
        <w:t xml:space="preserve"> Increase in succession planning for hard to fill and business critical support roles</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To aid in reducing the affects felt when vacancies arise in hard to fill and business critical roles, more robust succession planning needs to be carried out. There are several avenues that can be explored with this, both short and long term (Hirsh, 2000).</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Firstly, analysis needs to be carried out on the roles in question and the colleagues who are located near those roles in the structure to identify what the size of the skill requirement from a lower level position is. Where there are colleagues in post where natural progression could occur, line managers should create that dialogue with the individuals through 1 to 1 development conversations. This will enable the company to understand what interest there is to progress to avoid investing in the wrong individuals. When a colleague has made clear their intentions to want to develop their skills for future progression, managers should explore learning and development opportunities by benchmarking the individual</w:t>
      </w:r>
      <w:r>
        <w:rPr>
          <w:rFonts w:ascii="Arial" w:hAnsi="Arial" w:hint="default"/>
          <w:sz w:val="24"/>
          <w:szCs w:val="24"/>
          <w:rtl w:val="0"/>
          <w:lang w:val="en-US"/>
        </w:rPr>
        <w:t>’</w:t>
      </w:r>
      <w:r>
        <w:rPr>
          <w:rFonts w:ascii="Arial" w:hAnsi="Arial"/>
          <w:sz w:val="24"/>
          <w:szCs w:val="24"/>
          <w:rtl w:val="0"/>
          <w:lang w:val="en-US"/>
        </w:rPr>
        <w:t xml:space="preserve">s current skill set and the requirement of the future position to gauge what upskilling is needed. This information can then be included in a development plan and performance management tools to track progress in a </w:t>
      </w:r>
      <w:r>
        <w:rPr>
          <w:rFonts w:ascii="Arial" w:hAnsi="Arial" w:hint="default"/>
          <w:sz w:val="24"/>
          <w:szCs w:val="24"/>
          <w:rtl w:val="0"/>
          <w:lang w:val="en-US"/>
        </w:rPr>
        <w:t>‘</w:t>
      </w:r>
      <w:r>
        <w:rPr>
          <w:rFonts w:ascii="Arial" w:hAnsi="Arial"/>
          <w:sz w:val="24"/>
          <w:szCs w:val="24"/>
          <w:rtl w:val="0"/>
          <w:lang w:val="en-US"/>
        </w:rPr>
        <w:t>rising star</w:t>
      </w:r>
      <w:r>
        <w:rPr>
          <w:rFonts w:ascii="Arial" w:hAnsi="Arial" w:hint="default"/>
          <w:sz w:val="24"/>
          <w:szCs w:val="24"/>
          <w:rtl w:val="0"/>
          <w:lang w:val="en-US"/>
        </w:rPr>
        <w:t xml:space="preserve">’ </w:t>
      </w:r>
      <w:r>
        <w:rPr>
          <w:rFonts w:ascii="Arial" w:hAnsi="Arial"/>
          <w:sz w:val="24"/>
          <w:szCs w:val="24"/>
          <w:rtl w:val="0"/>
          <w:lang w:val="en-US"/>
        </w:rPr>
        <w:t xml:space="preserve">type approach (Optimus Learning, 2023).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A cost example for this approach could be an HR Business Partner (HRBP) position becoming available with a number of HR Advisors ready to progress to that role. A requirement of the HRBP role is a CIPD Level 7 qualification, which costs </w:t>
      </w:r>
      <w:r>
        <w:rPr>
          <w:rFonts w:ascii="Arial" w:hAnsi="Arial" w:hint="default"/>
          <w:sz w:val="24"/>
          <w:szCs w:val="24"/>
          <w:rtl w:val="0"/>
          <w:lang w:val="en-US"/>
        </w:rPr>
        <w:t>£</w:t>
      </w:r>
      <w:r>
        <w:rPr>
          <w:rFonts w:ascii="Arial" w:hAnsi="Arial"/>
          <w:sz w:val="24"/>
          <w:szCs w:val="24"/>
          <w:rtl w:val="0"/>
          <w:lang w:val="en-US"/>
        </w:rPr>
        <w:t>4,500. If this was already completed by the HR Advisors, the role could be advertised internally only, resulting in a significant saving in both time and recruitment costs. If successful, it would then be potentially easier to recruit a HR Advisor as backfill.</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Where a colleague indicates they don</w:t>
      </w:r>
      <w:r>
        <w:rPr>
          <w:rFonts w:ascii="Arial" w:hAnsi="Arial" w:hint="default"/>
          <w:sz w:val="24"/>
          <w:szCs w:val="24"/>
          <w:rtl w:val="0"/>
          <w:lang w:val="en-US"/>
        </w:rPr>
        <w:t>’</w:t>
      </w:r>
      <w:r>
        <w:rPr>
          <w:rFonts w:ascii="Arial" w:hAnsi="Arial"/>
          <w:sz w:val="24"/>
          <w:szCs w:val="24"/>
          <w:rtl w:val="0"/>
          <w:lang w:val="en-US"/>
        </w:rPr>
        <w:t>t want to progress past their current role, the manager must respect that this is an acceptable response for the employee to make, as long as they are performing well in their current position (Athitakis, 2022). A different approach to succession planning would need to be taken in the form of either widening the scope of colleagues who could upskill, potentially in other departments or entirely separate business areas where skills overlap. This also applies where colleagues could take a sideways move rather than a step up, as this would offer a new challenge but not necessarily a financial increase. Non-financial incentives can be very enticing for some individuals due to the opportunity of widening their skillset, increasing their visibility within the company and potentially greater job security if they are moving into an area that is set up for future growth (Matuson, 2024).</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jc w:val="both"/>
        <w:rPr>
          <w:rFonts w:ascii="Arial" w:cs="Arial" w:hAnsi="Arial" w:eastAsia="Arial"/>
          <w:sz w:val="24"/>
          <w:szCs w:val="24"/>
        </w:rPr>
      </w:pPr>
      <w:r>
        <w:rPr>
          <w:rFonts w:ascii="Arial" w:hAnsi="Arial"/>
          <w:rtl w:val="0"/>
          <w:lang w:val="en-US"/>
        </w:rPr>
        <w:t xml:space="preserve">A route that is significantly underused at present is the early careers pathway for IT and laboratory roles. This is predominantly used in operational roles through the use of apprenticeships and graduate schemes. According to Mackenzie (2019), employers spent approximately </w:t>
      </w:r>
      <w:r>
        <w:rPr>
          <w:rFonts w:ascii="Arial" w:hAnsi="Arial" w:hint="default"/>
          <w:rtl w:val="0"/>
          <w:lang w:val="en-US"/>
        </w:rPr>
        <w:t>£</w:t>
      </w:r>
      <w:r>
        <w:rPr>
          <w:rFonts w:ascii="Arial" w:hAnsi="Arial"/>
          <w:rtl w:val="0"/>
          <w:lang w:val="en-US"/>
        </w:rPr>
        <w:t xml:space="preserve">3,500 on each early career new hire in addition to their starting salary, which at DCWW would be </w:t>
      </w:r>
      <w:r>
        <w:rPr>
          <w:rFonts w:ascii="Arial" w:hAnsi="Arial" w:hint="default"/>
          <w:rtl w:val="0"/>
          <w:lang w:val="en-US"/>
        </w:rPr>
        <w:t>£</w:t>
      </w:r>
      <w:r>
        <w:rPr>
          <w:rFonts w:ascii="Arial" w:hAnsi="Arial"/>
          <w:rtl w:val="0"/>
          <w:lang w:val="en-US"/>
        </w:rPr>
        <w:t xml:space="preserve">23,500 for apprentices and </w:t>
      </w:r>
      <w:r>
        <w:rPr>
          <w:rFonts w:ascii="Arial" w:hAnsi="Arial" w:hint="default"/>
          <w:rtl w:val="0"/>
          <w:lang w:val="en-US"/>
        </w:rPr>
        <w:t>£</w:t>
      </w:r>
      <w:r>
        <w:rPr>
          <w:rFonts w:ascii="Arial" w:hAnsi="Arial"/>
          <w:rtl w:val="0"/>
          <w:lang w:val="en-US"/>
        </w:rPr>
        <w:t xml:space="preserve">29,280 for trainees and graduates. An example where this approach could be adopted is for the role of Technical Delivery Lead (TDL) in the IT team. This is a specialist position which can be hard to fill, due to the expertise needed and the competitive salaries available on the market. If an early careers development path was created for a graduate, this would enable the company to craft candidates to be the TDLs of the future through in house and external training whilst also learning the company ways of working and culture. It should be acknowledged that this is a medium to long term solution, but the cost and time savings can be significant. The cost of developing a graduate would be </w:t>
      </w:r>
      <w:r>
        <w:rPr>
          <w:rFonts w:ascii="Arial" w:hAnsi="Arial" w:hint="default"/>
          <w:rtl w:val="0"/>
          <w:lang w:val="en-US"/>
        </w:rPr>
        <w:t>£</w:t>
      </w:r>
      <w:r>
        <w:rPr>
          <w:rFonts w:ascii="Arial" w:hAnsi="Arial"/>
          <w:rtl w:val="0"/>
          <w:lang w:val="en-US"/>
        </w:rPr>
        <w:t xml:space="preserve">131,120, based on </w:t>
      </w:r>
      <w:r>
        <w:rPr>
          <w:rFonts w:ascii="Arial" w:hAnsi="Arial" w:hint="default"/>
          <w:rtl w:val="0"/>
          <w:lang w:val="en-US"/>
        </w:rPr>
        <w:t>£</w:t>
      </w:r>
      <w:r>
        <w:rPr>
          <w:rFonts w:ascii="Arial" w:hAnsi="Arial"/>
          <w:rtl w:val="0"/>
          <w:lang w:val="en-US"/>
        </w:rPr>
        <w:t xml:space="preserve">3,500 per year of development (4years in total) and their salary of </w:t>
      </w:r>
      <w:r>
        <w:rPr>
          <w:rFonts w:ascii="Arial" w:hAnsi="Arial" w:hint="default"/>
          <w:rtl w:val="0"/>
          <w:lang w:val="en-US"/>
        </w:rPr>
        <w:t>£</w:t>
      </w:r>
      <w:r>
        <w:rPr>
          <w:rFonts w:ascii="Arial" w:hAnsi="Arial"/>
          <w:rtl w:val="0"/>
          <w:lang w:val="en-US"/>
        </w:rPr>
        <w:t xml:space="preserve">29,280, against a reactive cost of engaging with a recruitment agency, paying fees and salary for a permanent placement, on top of temporary cover which could all total in excess of </w:t>
      </w:r>
      <w:r>
        <w:rPr>
          <w:rFonts w:ascii="Arial" w:hAnsi="Arial" w:hint="default"/>
          <w:rtl w:val="0"/>
          <w:lang w:val="en-US"/>
        </w:rPr>
        <w:t>£</w:t>
      </w:r>
      <w:r>
        <w:rPr>
          <w:rFonts w:ascii="Arial" w:hAnsi="Arial"/>
          <w:rtl w:val="0"/>
          <w:lang w:val="en-US"/>
        </w:rPr>
        <w:t>94,158. There are risks with both routes with the potential for either candidate to leave the business but if an employee has been developed by the organisation there is a higher chance of them staying committed (Keswin, 2022).</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spacing w:before="0" w:line="240" w:lineRule="auto"/>
        <w:rPr>
          <w:sz w:val="24"/>
          <w:szCs w:val="24"/>
          <w:lang w:val="en-US"/>
        </w:rPr>
      </w:pPr>
    </w:p>
    <w:p>
      <w:pPr>
        <w:pStyle w:val="Body A"/>
        <w:numPr>
          <w:ilvl w:val="0"/>
          <w:numId w:val="8"/>
        </w:numPr>
        <w:jc w:val="both"/>
        <w:rPr>
          <w:rFonts w:ascii="Arial" w:hAnsi="Arial"/>
          <w:sz w:val="24"/>
          <w:szCs w:val="24"/>
          <w:lang w:val="en-US"/>
        </w:rPr>
      </w:pPr>
      <w:r>
        <w:rPr>
          <w:rFonts w:ascii="Arial" w:hAnsi="Arial"/>
          <w:sz w:val="24"/>
          <w:szCs w:val="24"/>
          <w:rtl w:val="0"/>
          <w:lang w:val="en-US"/>
        </w:rPr>
        <w:t xml:space="preserve"> Greater flexibility with recruitment policy to widen the external talent pool</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rPr>
      </w:pPr>
      <w:r>
        <w:rPr>
          <w:rFonts w:ascii="Arial" w:hAnsi="Arial"/>
          <w:sz w:val="24"/>
          <w:szCs w:val="24"/>
          <w:rtl w:val="0"/>
          <w:lang w:val="en-US"/>
        </w:rPr>
        <w:t xml:space="preserve">Currently, a hybrid working approach is consistently taken across the business with no option for fully remote. This is significantly restricting the candidate pool for certain roles and adds to the difficulty in finding suitable talent. </w:t>
      </w:r>
      <w:r>
        <w:rPr>
          <w:rFonts w:ascii="Arial" w:hAnsi="Arial"/>
          <w:sz w:val="24"/>
          <w:szCs w:val="24"/>
          <w:rtl w:val="0"/>
          <w:lang w:val="en-US"/>
        </w:rPr>
        <w:t>Where there is a hard to fill position in an area such as IT, a more logical approach should be taken when it comes to flexible working. If the skillset is niche and challenging to locate, then that would make it justifiable to offer the role out with fully remote working options. This would ensure fairness against other roles in the business that are easier to fill so can continue in a hybrid fashion (Burleigh, 2024).</w:t>
      </w:r>
    </w:p>
    <w:p>
      <w:pPr>
        <w:pStyle w:val="Body A"/>
        <w:jc w:val="both"/>
        <w:rPr>
          <w:rFonts w:ascii="Arial" w:cs="Arial" w:hAnsi="Arial" w:eastAsia="Arial"/>
          <w:sz w:val="24"/>
          <w:szCs w:val="24"/>
        </w:rPr>
      </w:pPr>
    </w:p>
    <w:p>
      <w:pPr>
        <w:pStyle w:val="Body A"/>
        <w:jc w:val="both"/>
        <w:rPr>
          <w:rFonts w:ascii="Arial" w:cs="Arial" w:hAnsi="Arial" w:eastAsia="Arial"/>
          <w:sz w:val="24"/>
          <w:szCs w:val="24"/>
          <w:lang w:val="en-US"/>
        </w:rPr>
      </w:pPr>
      <w:r>
        <w:rPr>
          <w:rFonts w:ascii="Arial" w:hAnsi="Arial"/>
          <w:sz w:val="24"/>
          <w:szCs w:val="24"/>
          <w:rtl w:val="0"/>
          <w:lang w:val="en-US"/>
        </w:rPr>
        <w:t xml:space="preserve">This approach would enable recruiting managers to promote their roles to a much larger audience from the beginning of the recruitment cycle, potentially reducing the time to hire. An example of this would be the hiring of a solution architect, which took 5months to complete. This role was marketed as hybrid and re-advertised a number of times before a suitable candidate was found. If the role was marketed as fully remote from the beginning, it would have widened the candidate pool from Wales to the whole of the UK and beyond, when considering visa sponsorship. Time to hire would have also reduced, saving both time, money and workload strain on the existing team. The cost saving of changing to a fully remote approach in this instance would have been in excess of </w:t>
      </w:r>
      <w:r>
        <w:rPr>
          <w:rFonts w:ascii="Arial" w:hAnsi="Arial" w:hint="default"/>
          <w:sz w:val="24"/>
          <w:szCs w:val="24"/>
          <w:rtl w:val="0"/>
          <w:lang w:val="en-US"/>
        </w:rPr>
        <w:t>£</w:t>
      </w:r>
      <w:r>
        <w:rPr>
          <w:rFonts w:ascii="Arial" w:hAnsi="Arial"/>
          <w:sz w:val="24"/>
          <w:szCs w:val="24"/>
          <w:rtl w:val="0"/>
          <w:lang w:val="en-US"/>
        </w:rPr>
        <w:t>13,000. This is a result of additional duties payments to various employees (</w:t>
      </w:r>
      <w:r>
        <w:rPr>
          <w:rFonts w:ascii="Arial" w:hAnsi="Arial" w:hint="default"/>
          <w:sz w:val="24"/>
          <w:szCs w:val="24"/>
          <w:rtl w:val="0"/>
          <w:lang w:val="en-US"/>
        </w:rPr>
        <w:t>£</w:t>
      </w:r>
      <w:r>
        <w:rPr>
          <w:rFonts w:ascii="Arial" w:hAnsi="Arial"/>
          <w:sz w:val="24"/>
          <w:szCs w:val="24"/>
          <w:rtl w:val="0"/>
          <w:lang w:val="en-US"/>
        </w:rPr>
        <w:t>6,000) and the recruitment costs (</w:t>
      </w:r>
      <w:r>
        <w:rPr>
          <w:rFonts w:ascii="Arial" w:hAnsi="Arial" w:hint="default"/>
          <w:sz w:val="24"/>
          <w:szCs w:val="24"/>
          <w:rtl w:val="0"/>
          <w:lang w:val="en-US"/>
        </w:rPr>
        <w:t>£</w:t>
      </w:r>
      <w:r>
        <w:rPr>
          <w:rFonts w:ascii="Arial" w:hAnsi="Arial"/>
          <w:sz w:val="24"/>
          <w:szCs w:val="24"/>
          <w:rtl w:val="0"/>
          <w:lang w:val="en-US"/>
        </w:rPr>
        <w:t>8,000) associated with the advertising campaign.</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rPr>
      </w:pPr>
      <w:r>
        <w:rPr>
          <w:rFonts w:ascii="Arial" w:hAnsi="Arial"/>
          <w:sz w:val="24"/>
          <w:szCs w:val="24"/>
          <w:rtl w:val="0"/>
          <w:lang w:val="en-US"/>
        </w:rPr>
        <w:t>According to a report by LinkedIn (2024), recruitment professionals are noticing negative impacts on attraction and retention when an approach of fully or mostly office based working is pushed. There was a sizeable difference in the positive impact felt on employee numbers with 77% of employees choosing a flexible hybrid approach compared to only 7% when changed to fully office based.</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Additionally, the current recruitment policy needs to have more flexibility for managers to recruit externally and internally from the initial stage, rather than exclusively the latter. This should still be in keeping with a fair recruitment process, but enables managers who understand the skills they require, to obtain them from external channels where internal talent doesn</w:t>
      </w:r>
      <w:r>
        <w:rPr>
          <w:rFonts w:ascii="Arial" w:hAnsi="Arial" w:hint="default"/>
          <w:sz w:val="24"/>
          <w:szCs w:val="24"/>
          <w:rtl w:val="0"/>
          <w:lang w:val="en-US"/>
        </w:rPr>
        <w:t>’</w:t>
      </w:r>
      <w:r>
        <w:rPr>
          <w:rFonts w:ascii="Arial" w:hAnsi="Arial"/>
          <w:sz w:val="24"/>
          <w:szCs w:val="24"/>
          <w:rtl w:val="0"/>
          <w:lang w:val="en-US"/>
        </w:rPr>
        <w:t>t fulfil the criteria (Vierira, 2024). This would be following a review of suitable talent within the relevant teams as, through regular development conversations, managers should know where certain skills are within their departments and how close to the criteria employees are.</w:t>
      </w:r>
    </w:p>
    <w:p>
      <w:pPr>
        <w:pStyle w:val="Body A"/>
        <w:jc w:val="both"/>
        <w:rPr>
          <w:rFonts w:ascii="Arial" w:cs="Arial" w:hAnsi="Arial" w:eastAsia="Arial"/>
          <w:sz w:val="24"/>
          <w:szCs w:val="24"/>
          <w:u w:val="single"/>
        </w:rPr>
      </w:pPr>
    </w:p>
    <w:p>
      <w:pPr>
        <w:pStyle w:val="Body A"/>
        <w:jc w:val="both"/>
        <w:rPr>
          <w:rFonts w:ascii="Arial" w:cs="Arial" w:hAnsi="Arial" w:eastAsia="Arial"/>
          <w:b w:val="1"/>
          <w:bCs w:val="1"/>
          <w:sz w:val="24"/>
          <w:szCs w:val="24"/>
          <w:u w:val="single"/>
        </w:rPr>
      </w:pPr>
      <w:r>
        <w:rPr>
          <w:rFonts w:ascii="Arial" w:hAnsi="Arial"/>
          <w:b w:val="1"/>
          <w:bCs w:val="1"/>
          <w:sz w:val="24"/>
          <w:szCs w:val="24"/>
          <w:u w:val="single"/>
          <w:rtl w:val="0"/>
          <w:lang w:val="en-US"/>
        </w:rPr>
        <w:t>Reference List</w:t>
      </w:r>
    </w:p>
    <w:p>
      <w:pPr>
        <w:pStyle w:val="Body A"/>
        <w:jc w:val="both"/>
        <w:rPr>
          <w:rFonts w:ascii="Arial" w:cs="Arial" w:hAnsi="Arial" w:eastAsia="Arial"/>
          <w:sz w:val="24"/>
          <w:szCs w:val="24"/>
          <w:u w:val="single"/>
        </w:rPr>
      </w:pPr>
    </w:p>
    <w:p>
      <w:pPr>
        <w:pStyle w:val="Body A"/>
        <w:jc w:val="both"/>
        <w:rPr>
          <w:rFonts w:ascii="Arial" w:cs="Arial" w:hAnsi="Arial" w:eastAsia="Arial"/>
          <w:sz w:val="24"/>
          <w:szCs w:val="24"/>
        </w:rPr>
      </w:pPr>
      <w:r>
        <w:rPr>
          <w:rFonts w:ascii="Arial" w:hAnsi="Arial"/>
          <w:sz w:val="24"/>
          <w:szCs w:val="24"/>
          <w:rtl w:val="0"/>
          <w:lang w:val="en-US"/>
        </w:rPr>
        <w:t xml:space="preserve">Alfira, M., Hariyanti, M. (2024). </w:t>
      </w:r>
      <w:r>
        <w:rPr>
          <w:rFonts w:ascii="Arial" w:hAnsi="Arial"/>
          <w:i w:val="1"/>
          <w:iCs w:val="1"/>
          <w:sz w:val="24"/>
          <w:szCs w:val="24"/>
          <w:rtl w:val="0"/>
          <w:lang w:val="en-US"/>
        </w:rPr>
        <w:t xml:space="preserve">Internal Probation vs External Hiring: the Pros and Cons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"https://hubbedin.com/journals/internal-promotion-vs-external-hiring-the-pros-and-cons?trk=article-ssr-frontend-pulse_little-text-block"</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https://hubbedin.com/journals/internal-promotion-vs-external-hiring-the-pros-and-cons?trk=article-ssr-frontend-pulse_little-text-block</w:t>
      </w:r>
      <w:r>
        <w:rPr>
          <w:rFonts w:ascii="Arial" w:cs="Arial" w:hAnsi="Arial" w:eastAsia="Arial"/>
          <w:sz w:val="24"/>
          <w:szCs w:val="24"/>
        </w:rPr>
        <w:fldChar w:fldCharType="end" w:fldLock="0"/>
      </w:r>
      <w:r>
        <w:rPr>
          <w:rFonts w:ascii="Arial" w:hAnsi="Arial"/>
          <w:sz w:val="24"/>
          <w:szCs w:val="24"/>
          <w:rtl w:val="0"/>
          <w:lang w:val="en-US"/>
        </w:rPr>
        <w:t xml:space="preserve">  (Accessed 26th November 2024).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Athitakis, M. (2022). </w:t>
      </w:r>
      <w:r>
        <w:rPr>
          <w:rFonts w:ascii="Arial" w:hAnsi="Arial"/>
          <w:i w:val="1"/>
          <w:iCs w:val="1"/>
          <w:sz w:val="24"/>
          <w:szCs w:val="24"/>
          <w:rtl w:val="0"/>
          <w:lang w:val="en-US"/>
        </w:rPr>
        <w:t>How to Lead a Staffer Who Doesn</w:t>
      </w:r>
      <w:r>
        <w:rPr>
          <w:rFonts w:ascii="Arial" w:hAnsi="Arial" w:hint="default"/>
          <w:i w:val="1"/>
          <w:iCs w:val="1"/>
          <w:sz w:val="24"/>
          <w:szCs w:val="24"/>
          <w:rtl w:val="0"/>
          <w:lang w:val="en-US"/>
        </w:rPr>
        <w:t>’</w:t>
      </w:r>
      <w:r>
        <w:rPr>
          <w:rFonts w:ascii="Arial" w:hAnsi="Arial"/>
          <w:i w:val="1"/>
          <w:iCs w:val="1"/>
          <w:sz w:val="24"/>
          <w:szCs w:val="24"/>
          <w:rtl w:val="0"/>
          <w:lang w:val="en-US"/>
        </w:rPr>
        <w:t>t Want That Promotion</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"https://associationsnow.com/2022/08/how-to-lead-a-staffer-who-doesnt-want-that-promotion/#:~:text=I%20often%20think%20about%20this,think%20about%20their%20career%20goals"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https://associationsnow.com/2022/08/how-to-lead-a-staffer-who-doesnt-want-that-promotion/#:~:text=I%20often%20think%20about%20this,think%20about%20their%20career%20goals</w:t>
      </w:r>
      <w:r>
        <w:rPr>
          <w:rFonts w:ascii="Arial" w:cs="Arial" w:hAnsi="Arial" w:eastAsia="Arial"/>
          <w:sz w:val="24"/>
          <w:szCs w:val="24"/>
        </w:rPr>
        <w:fldChar w:fldCharType="end" w:fldLock="0"/>
      </w:r>
      <w:r>
        <w:rPr>
          <w:rFonts w:ascii="Arial" w:hAnsi="Arial"/>
          <w:sz w:val="24"/>
          <w:szCs w:val="24"/>
          <w:rtl w:val="0"/>
          <w:lang w:val="en-US"/>
        </w:rPr>
        <w:t xml:space="preserve"> (Accessed 27th November 2024).</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Burliegh, E. (2024). </w:t>
      </w:r>
      <w:r>
        <w:rPr>
          <w:rFonts w:ascii="Arial" w:hAnsi="Arial"/>
          <w:i w:val="1"/>
          <w:iCs w:val="1"/>
          <w:sz w:val="24"/>
          <w:szCs w:val="24"/>
          <w:rtl w:val="0"/>
          <w:lang w:val="en-US"/>
        </w:rPr>
        <w:t>Most recruiters say that remote work has improved the quality of their talent pool</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"https://fortune.com/2024/08/27/recruiters-remote-work-quality-talent-pool/"</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https://fortune.com/2024/08/27/recruiters-remote-work-quality-talent-pool/</w:t>
      </w:r>
      <w:r>
        <w:rPr>
          <w:rFonts w:ascii="Arial" w:cs="Arial" w:hAnsi="Arial" w:eastAsia="Arial"/>
          <w:sz w:val="24"/>
          <w:szCs w:val="24"/>
        </w:rPr>
        <w:fldChar w:fldCharType="end" w:fldLock="0"/>
      </w:r>
      <w:r>
        <w:rPr>
          <w:rFonts w:ascii="Arial" w:hAnsi="Arial"/>
          <w:sz w:val="24"/>
          <w:szCs w:val="24"/>
          <w:rtl w:val="0"/>
          <w:lang w:val="en-US"/>
        </w:rPr>
        <w:t xml:space="preserve"> (Accessed 2nd December 2024). </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Cardiff Capital Region. (2022). </w:t>
      </w:r>
      <w:r>
        <w:rPr>
          <w:rFonts w:ascii="Arial" w:hAnsi="Arial"/>
          <w:i w:val="1"/>
          <w:iCs w:val="1"/>
          <w:sz w:val="24"/>
          <w:szCs w:val="24"/>
          <w:rtl w:val="0"/>
          <w:lang w:val="en-US"/>
        </w:rPr>
        <w:t xml:space="preserve">The latest in Skills &amp; Talent across Southeast Wales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"https://www.cardiffcapitalregion.wales/news-events/latest-news/the-latest-in-skills-talent-across-southeast-wales-20/"</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https://www.cardiffcapitalregion.wales/news-events/latest-news/the-latest-in-skills-talent-across-southeast-wales-20/</w:t>
      </w:r>
      <w:r>
        <w:rPr>
          <w:rFonts w:ascii="Arial" w:cs="Arial" w:hAnsi="Arial" w:eastAsia="Arial"/>
          <w:sz w:val="24"/>
          <w:szCs w:val="24"/>
        </w:rPr>
        <w:fldChar w:fldCharType="end" w:fldLock="0"/>
      </w:r>
      <w:r>
        <w:rPr>
          <w:rFonts w:ascii="Arial" w:hAnsi="Arial"/>
          <w:sz w:val="24"/>
          <w:szCs w:val="24"/>
          <w:rtl w:val="0"/>
          <w:lang w:val="en-US"/>
        </w:rPr>
        <w:t xml:space="preserve"> (Accessed 22nd November 2024). </w:t>
      </w:r>
    </w:p>
    <w:p>
      <w:pPr>
        <w:pStyle w:val="Body A"/>
        <w:jc w:val="both"/>
        <w:rPr>
          <w:rFonts w:ascii="Arial" w:cs="Arial" w:hAnsi="Arial" w:eastAsia="Arial"/>
          <w:sz w:val="24"/>
          <w:szCs w:val="24"/>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(2024a). </w:t>
      </w:r>
      <w:r>
        <w:rPr>
          <w:rFonts w:ascii="Arial" w:hAnsi="Arial"/>
          <w:i w:val="1"/>
          <w:iCs w:val="1"/>
          <w:sz w:val="24"/>
          <w:szCs w:val="24"/>
          <w:rtl w:val="0"/>
          <w:lang w:val="en-US"/>
        </w:rPr>
        <w:t>Talent Management</w:t>
      </w:r>
      <w:r>
        <w:rPr>
          <w:rFonts w:ascii="Arial" w:hAnsi="Arial"/>
          <w:sz w:val="24"/>
          <w:szCs w:val="24"/>
          <w:rtl w:val="0"/>
          <w:lang w:val="en-US"/>
        </w:rPr>
        <w:t xml:space="preserve"> Available at: </w:t>
      </w:r>
      <w:r>
        <w:rPr>
          <w:rFonts w:ascii="Arial" w:hAnsi="Arial"/>
          <w:sz w:val="24"/>
          <w:szCs w:val="24"/>
          <w:rtl w:val="0"/>
          <w:lang w:val="en-US"/>
        </w:rPr>
        <w:t>https://www.cipd.org/uk/knowledge/factsheets/talent-factsheet/</w:t>
      </w:r>
      <w:r>
        <w:rPr>
          <w:rFonts w:ascii="Arial" w:hAnsi="Arial"/>
          <w:sz w:val="24"/>
          <w:szCs w:val="24"/>
          <w:rtl w:val="0"/>
          <w:lang w:val="en-US"/>
        </w:rPr>
        <w:t xml:space="preserve"> (Accessed 21st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(2024b). </w:t>
      </w:r>
      <w:r>
        <w:rPr>
          <w:rFonts w:ascii="Arial" w:hAnsi="Arial"/>
          <w:i w:val="1"/>
          <w:iCs w:val="1"/>
          <w:sz w:val="24"/>
          <w:szCs w:val="24"/>
          <w:rtl w:val="0"/>
          <w:lang w:val="en-US"/>
        </w:rPr>
        <w:t>Reward: an introduction</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"https://www.cipd.org/uk/knowledge/factsheets/reward-factsheet/#totalreward"</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https://www.cipd.org/uk/knowledge/factsheets/reward-factsheet/#totalreward</w:t>
      </w:r>
      <w:r>
        <w:rPr>
          <w:rFonts w:ascii="Arial" w:cs="Arial" w:hAnsi="Arial" w:eastAsia="Arial"/>
          <w:sz w:val="24"/>
          <w:szCs w:val="24"/>
        </w:rPr>
        <w:fldChar w:fldCharType="end" w:fldLock="0"/>
      </w:r>
      <w:r>
        <w:rPr>
          <w:rFonts w:ascii="Arial" w:hAnsi="Arial"/>
          <w:sz w:val="24"/>
          <w:szCs w:val="24"/>
          <w:rtl w:val="0"/>
          <w:lang w:val="en-US"/>
        </w:rPr>
        <w:t xml:space="preserve"> (Accessed 25th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(2024c). </w:t>
      </w:r>
      <w:r>
        <w:rPr>
          <w:rFonts w:ascii="Arial" w:hAnsi="Arial"/>
          <w:i w:val="1"/>
          <w:iCs w:val="1"/>
          <w:sz w:val="24"/>
          <w:szCs w:val="24"/>
          <w:rtl w:val="0"/>
          <w:lang w:val="en-US"/>
        </w:rPr>
        <w:t>Workforce Planning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"https://www.cipd.org/uk/knowledge/factsheets/workforce-planning-factsheet/#stages-of-workforce-planning"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https://www.cipd.org/uk/knowledge/factsheets/workforce-planning-factsheet/#stages-of-workforce-planning</w:t>
      </w:r>
      <w:r>
        <w:rPr>
          <w:rFonts w:ascii="Arial" w:cs="Arial" w:hAnsi="Arial" w:eastAsia="Arial"/>
          <w:sz w:val="24"/>
          <w:szCs w:val="24"/>
        </w:rPr>
        <w:fldChar w:fldCharType="end" w:fldLock="0"/>
      </w:r>
      <w:r>
        <w:rPr>
          <w:rFonts w:ascii="Arial" w:hAnsi="Arial"/>
          <w:sz w:val="24"/>
          <w:szCs w:val="24"/>
          <w:rtl w:val="0"/>
          <w:lang w:val="en-US"/>
        </w:rPr>
        <w:t xml:space="preserve"> (Accessed 25th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(2024d). </w:t>
      </w:r>
      <w:r>
        <w:rPr>
          <w:rFonts w:ascii="Arial" w:hAnsi="Arial"/>
          <w:i w:val="1"/>
          <w:iCs w:val="1"/>
          <w:sz w:val="24"/>
          <w:szCs w:val="24"/>
          <w:rtl w:val="0"/>
          <w:lang w:val="en-US"/>
        </w:rPr>
        <w:t>Resourcing and talent planning report 2024</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"https://www.cipd.org/globalassets/media/knowledge/knowledge-hub/reports/2024-pdfs/8662-resource-and-talent-planning-2024-report-web.pdf"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https://www.cipd.org/globalassets/media/knowledge/knowledge-hub/reports/2024-pdfs/8662-resource-and-talent-planning-2024-report-web.pdf</w:t>
      </w:r>
      <w:r>
        <w:rPr>
          <w:rFonts w:ascii="Arial" w:cs="Arial" w:hAnsi="Arial" w:eastAsia="Arial"/>
          <w:sz w:val="24"/>
          <w:szCs w:val="24"/>
        </w:rPr>
        <w:fldChar w:fldCharType="end" w:fldLock="0"/>
      </w:r>
      <w:r>
        <w:rPr>
          <w:rFonts w:ascii="Arial" w:hAnsi="Arial"/>
          <w:sz w:val="24"/>
          <w:szCs w:val="24"/>
          <w:rtl w:val="0"/>
          <w:lang w:val="en-US"/>
        </w:rPr>
        <w:t xml:space="preserve"> (Accessed 1st October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(2024e). </w:t>
      </w:r>
      <w:r>
        <w:rPr>
          <w:rFonts w:ascii="Arial" w:hAnsi="Arial"/>
          <w:i w:val="1"/>
          <w:iCs w:val="1"/>
          <w:sz w:val="24"/>
          <w:szCs w:val="24"/>
          <w:rtl w:val="0"/>
          <w:lang w:val="en-US"/>
        </w:rPr>
        <w:t>Succession planning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"https://www.cipd.org/uk/knowledge/factsheets/succession-planning-factsheet/#:~:text=The%20aim%20of%20succession%20planning,experience%20relevant%20for%20future%20roles"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https://www.cipd.org/uk/knowledge/factsheets/succession-planning-factsheet/#:~:text=The%20aim%20of%20succession%20planning,experience%20relevant%20for%20future%20roles</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CIPD. (2024f). </w:t>
      </w:r>
      <w:r>
        <w:rPr>
          <w:rFonts w:ascii="Arial" w:hAnsi="Arial"/>
          <w:i w:val="1"/>
          <w:iCs w:val="1"/>
          <w:sz w:val="24"/>
          <w:szCs w:val="24"/>
          <w:rtl w:val="0"/>
          <w:lang w:val="en-US"/>
        </w:rPr>
        <w:t>SWOT analysis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"https://www.cipd.org/uk/knowledge/factsheets/swot-analysis-factsheet/"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https://www.cipd.org/uk/knowledge/factsheets/swot-analysis-factsheet/</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CPS Group UK. (No Date). </w:t>
      </w:r>
      <w:r>
        <w:rPr>
          <w:rFonts w:ascii="Arial" w:hAnsi="Arial"/>
          <w:i w:val="1"/>
          <w:iCs w:val="1"/>
          <w:sz w:val="24"/>
          <w:szCs w:val="24"/>
          <w:rtl w:val="0"/>
          <w:lang w:val="en-US"/>
        </w:rPr>
        <w:t>What</w:t>
      </w:r>
      <w:r>
        <w:rPr>
          <w:rFonts w:ascii="Arial" w:hAnsi="Arial" w:hint="default"/>
          <w:i w:val="1"/>
          <w:iCs w:val="1"/>
          <w:sz w:val="24"/>
          <w:szCs w:val="24"/>
          <w:rtl w:val="0"/>
          <w:lang w:val="en-US"/>
        </w:rPr>
        <w:t>’</w:t>
      </w:r>
      <w:r>
        <w:rPr>
          <w:rFonts w:ascii="Arial" w:hAnsi="Arial"/>
          <w:i w:val="1"/>
          <w:iCs w:val="1"/>
          <w:sz w:val="24"/>
          <w:szCs w:val="24"/>
          <w:rtl w:val="0"/>
          <w:lang w:val="en-US"/>
        </w:rPr>
        <w:t>s Behind Wales</w:t>
      </w:r>
      <w:r>
        <w:rPr>
          <w:rFonts w:ascii="Arial" w:hAnsi="Arial" w:hint="default"/>
          <w:i w:val="1"/>
          <w:iCs w:val="1"/>
          <w:sz w:val="24"/>
          <w:szCs w:val="24"/>
          <w:rtl w:val="0"/>
          <w:lang w:val="en-US"/>
        </w:rPr>
        <w:t xml:space="preserve">’ </w:t>
      </w:r>
      <w:r>
        <w:rPr>
          <w:rFonts w:ascii="Arial" w:hAnsi="Arial"/>
          <w:i w:val="1"/>
          <w:iCs w:val="1"/>
          <w:sz w:val="24"/>
          <w:szCs w:val="24"/>
          <w:rtl w:val="0"/>
          <w:lang w:val="en-US"/>
        </w:rPr>
        <w:t>Booming Tech Scene?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"https://www.cpsgroupuk.com/news-archive/whats-behind-wales-booming-tech-scene/"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https://www.cpsgroupuk.com/news-archive/whats-behind-wales-booming-tech-scene/</w:t>
      </w:r>
      <w:r>
        <w:rPr>
          <w:rFonts w:ascii="Arial" w:cs="Arial" w:hAnsi="Arial" w:eastAsia="Arial"/>
          <w:sz w:val="24"/>
          <w:szCs w:val="24"/>
        </w:rPr>
        <w:fldChar w:fldCharType="end" w:fldLock="0"/>
      </w:r>
      <w:r>
        <w:rPr>
          <w:rFonts w:ascii="Arial" w:hAnsi="Arial"/>
          <w:sz w:val="24"/>
          <w:szCs w:val="24"/>
          <w:rtl w:val="0"/>
          <w:lang w:val="en-US"/>
        </w:rPr>
        <w:t xml:space="preserve"> (Accessed 22nd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Crush, P. (2023). </w:t>
      </w:r>
      <w:r>
        <w:rPr>
          <w:rFonts w:ascii="Arial" w:hAnsi="Arial"/>
          <w:i w:val="1"/>
          <w:iCs w:val="1"/>
          <w:sz w:val="24"/>
          <w:szCs w:val="24"/>
          <w:rtl w:val="0"/>
          <w:lang w:val="en-US"/>
        </w:rPr>
        <w:t>Lengthy recruitment processes could be pushing candidates away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"https://www.hrmagazine.co.uk/content/features/lengthy-recruitment-processes-could-be-pushing-candidates-away/"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https://www.hrmagazine.co.uk/content/features/lengthy-recruitment-processes-could-be-pushing-candidates-away/</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Dennison, K. (2024). </w:t>
      </w:r>
      <w:r>
        <w:rPr>
          <w:rFonts w:ascii="Arial" w:hAnsi="Arial"/>
          <w:i w:val="1"/>
          <w:iCs w:val="1"/>
          <w:sz w:val="24"/>
          <w:szCs w:val="24"/>
          <w:rtl w:val="0"/>
          <w:lang w:val="en-US"/>
        </w:rPr>
        <w:t xml:space="preserve">The Importance of Succession Planning, No More Than Ever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"https://www.forbes.com/sites/karadennison/2024/06/25/the-importance-of-succession-planning-now-more-than-ever/"</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https://www.forbes.com/sites/karadennison/2024/06/25/the-importance-of-succession-planning-now-more-than-ever/</w:t>
      </w:r>
      <w:r>
        <w:rPr>
          <w:rFonts w:ascii="Arial" w:cs="Arial" w:hAnsi="Arial" w:eastAsia="Arial"/>
          <w:sz w:val="24"/>
          <w:szCs w:val="24"/>
        </w:rPr>
        <w:fldChar w:fldCharType="end" w:fldLock="0"/>
      </w:r>
      <w:r>
        <w:rPr>
          <w:rFonts w:ascii="Arial" w:hAnsi="Arial"/>
          <w:sz w:val="24"/>
          <w:szCs w:val="24"/>
          <w:rtl w:val="0"/>
          <w:lang w:val="en-US"/>
        </w:rPr>
        <w:t xml:space="preserve"> (Accessed 26th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Department for Science, Innovation and Technology. (2024). </w:t>
      </w:r>
      <w:r>
        <w:rPr>
          <w:rFonts w:ascii="Arial" w:hAnsi="Arial"/>
          <w:i w:val="1"/>
          <w:iCs w:val="1"/>
          <w:sz w:val="24"/>
          <w:szCs w:val="24"/>
          <w:rtl w:val="0"/>
          <w:lang w:val="en-US"/>
        </w:rPr>
        <w:t xml:space="preserve">Cyber security skills in the UK labour market 2024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"https://www.gov.uk/government/publications/cyber-security-skills-in-the-uk-labour-market-2024/cyber-security-skills-in-the-uk-labour-market-2024"</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https://www.gov.uk/government/publications/cyber-security-skills-in-the-uk-labour-market-2024/cyber-security-skills-in-the-uk-labour-market-2024</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Environment Agency. (2024). </w:t>
      </w:r>
      <w:r>
        <w:rPr>
          <w:rFonts w:ascii="Arial" w:hAnsi="Arial"/>
          <w:i w:val="1"/>
          <w:iCs w:val="1"/>
          <w:sz w:val="24"/>
          <w:szCs w:val="24"/>
          <w:rtl w:val="0"/>
          <w:lang w:val="en-US"/>
        </w:rPr>
        <w:t>How we</w:t>
      </w:r>
      <w:r>
        <w:rPr>
          <w:rFonts w:ascii="Arial" w:hAnsi="Arial" w:hint="default"/>
          <w:i w:val="1"/>
          <w:iCs w:val="1"/>
          <w:sz w:val="24"/>
          <w:szCs w:val="24"/>
          <w:rtl w:val="0"/>
          <w:lang w:val="en-US"/>
        </w:rPr>
        <w:t>’</w:t>
      </w:r>
      <w:r>
        <w:rPr>
          <w:rFonts w:ascii="Arial" w:hAnsi="Arial"/>
          <w:i w:val="1"/>
          <w:iCs w:val="1"/>
          <w:sz w:val="24"/>
          <w:szCs w:val="24"/>
          <w:rtl w:val="0"/>
          <w:lang w:val="en-US"/>
        </w:rPr>
        <w:t xml:space="preserve">re bringing change to water industry performance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"https://environmentagency.blog.gov.uk/2024/07/31/how-were-bringing-change-to-water-industry-performance/"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https://environmentagency.blog.gov.uk/2024/07/31/how-were-bringing-change-to-water-industry-performance/</w:t>
      </w:r>
      <w:r>
        <w:rPr>
          <w:rFonts w:ascii="Arial" w:cs="Arial" w:hAnsi="Arial" w:eastAsia="Arial"/>
          <w:sz w:val="24"/>
          <w:szCs w:val="24"/>
        </w:rPr>
        <w:fldChar w:fldCharType="end" w:fldLock="0"/>
      </w:r>
      <w:r>
        <w:rPr>
          <w:rFonts w:ascii="Arial" w:hAnsi="Arial"/>
          <w:sz w:val="24"/>
          <w:szCs w:val="24"/>
          <w:rtl w:val="0"/>
          <w:lang w:val="en-US"/>
        </w:rPr>
        <w:t xml:space="preserve"> (Accessed 22nd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Grensing-Pophal, L. (2019). </w:t>
      </w:r>
      <w:r>
        <w:rPr>
          <w:rFonts w:ascii="Arial" w:hAnsi="Arial"/>
          <w:i w:val="1"/>
          <w:iCs w:val="1"/>
          <w:sz w:val="24"/>
          <w:szCs w:val="24"/>
          <w:rtl w:val="0"/>
          <w:lang w:val="en-US"/>
        </w:rPr>
        <w:t>Should You Worry About Training Employees Out of Your Company?</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"https://hrdailyadvisor.blr.com/2019/12/18/should-you-worry-about-training-employees-out-of-your-company/"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https://hrdailyadvisor.blr.com/2019/12/18/should-you-worry-about-training-employees-out-of-your-company/</w:t>
      </w:r>
      <w:r>
        <w:rPr>
          <w:rFonts w:ascii="Arial" w:cs="Arial" w:hAnsi="Arial" w:eastAsia="Arial"/>
          <w:sz w:val="24"/>
          <w:szCs w:val="24"/>
        </w:rPr>
        <w:fldChar w:fldCharType="end" w:fldLock="0"/>
      </w:r>
      <w:r>
        <w:rPr>
          <w:rFonts w:ascii="Arial" w:hAnsi="Arial"/>
          <w:sz w:val="24"/>
          <w:szCs w:val="24"/>
          <w:rtl w:val="0"/>
          <w:lang w:val="en-US"/>
        </w:rPr>
        <w:t xml:space="preserve"> (Accessed 25th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Grey, J. (2024) </w:t>
      </w:r>
      <w:r>
        <w:rPr>
          <w:rFonts w:ascii="Arial" w:hAnsi="Arial"/>
          <w:i w:val="1"/>
          <w:iCs w:val="1"/>
          <w:sz w:val="24"/>
          <w:szCs w:val="24"/>
          <w:rtl w:val="0"/>
          <w:lang w:val="en-US"/>
        </w:rPr>
        <w:t xml:space="preserve">Hundreds of staff vote to strike over office return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"https://www.bbc.co.uk/news/articles/c99v3x1m5pyo"</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https://www.bbc.co.uk/news/articles/c99v3x1m5pyo</w:t>
      </w:r>
      <w:r>
        <w:rPr>
          <w:rFonts w:ascii="Arial" w:cs="Arial" w:hAnsi="Arial" w:eastAsia="Arial"/>
          <w:sz w:val="24"/>
          <w:szCs w:val="24"/>
        </w:rPr>
        <w:fldChar w:fldCharType="end" w:fldLock="0"/>
      </w:r>
      <w:r>
        <w:rPr>
          <w:rFonts w:ascii="Arial" w:hAnsi="Arial"/>
          <w:sz w:val="24"/>
          <w:szCs w:val="24"/>
          <w:rtl w:val="0"/>
          <w:lang w:val="en-US"/>
        </w:rPr>
        <w:t xml:space="preserve"> (Accessed 27th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Hirsh, W. (2000). </w:t>
      </w:r>
      <w:r>
        <w:rPr>
          <w:rFonts w:ascii="Arial" w:hAnsi="Arial"/>
          <w:i w:val="1"/>
          <w:iCs w:val="1"/>
          <w:sz w:val="24"/>
          <w:szCs w:val="24"/>
          <w:rtl w:val="0"/>
          <w:lang w:val="en-US"/>
        </w:rPr>
        <w:t>Succession Planning Demystified</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"https://www.employment-studies.co.uk/system/files/resources/files/372.pdf"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https://www.employment-studies.co.uk/system/files/resources/files/372.pdf</w:t>
      </w:r>
      <w:r>
        <w:rPr>
          <w:rFonts w:ascii="Arial" w:cs="Arial" w:hAnsi="Arial" w:eastAsia="Arial"/>
          <w:sz w:val="24"/>
          <w:szCs w:val="24"/>
        </w:rPr>
        <w:fldChar w:fldCharType="end" w:fldLock="0"/>
      </w:r>
      <w:r>
        <w:rPr>
          <w:rFonts w:ascii="Arial" w:hAnsi="Arial"/>
          <w:sz w:val="24"/>
          <w:szCs w:val="24"/>
          <w:rtl w:val="0"/>
          <w:lang w:val="en-US"/>
        </w:rPr>
        <w:t xml:space="preserve"> (Accessed 28th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Indeed. (2024). </w:t>
      </w:r>
      <w:r>
        <w:rPr>
          <w:rFonts w:ascii="Arial" w:hAnsi="Arial"/>
          <w:i w:val="1"/>
          <w:iCs w:val="1"/>
          <w:sz w:val="24"/>
          <w:szCs w:val="24"/>
          <w:rtl w:val="0"/>
          <w:lang w:val="en-US"/>
        </w:rPr>
        <w:t>Need to fill a position? (Internal recruitment pros and cons)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"https://uk.indeed.com/career-advice/career-development/internal-recruitment-pros"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https://uk.indeed.com/career-advice/career-development/internal-recruitment-pros</w:t>
      </w:r>
      <w:r>
        <w:rPr>
          <w:rFonts w:ascii="Arial" w:cs="Arial" w:hAnsi="Arial" w:eastAsia="Arial"/>
          <w:sz w:val="24"/>
          <w:szCs w:val="24"/>
        </w:rPr>
        <w:fldChar w:fldCharType="end" w:fldLock="0"/>
      </w:r>
      <w:r>
        <w:rPr>
          <w:rFonts w:ascii="Arial" w:hAnsi="Arial"/>
          <w:sz w:val="24"/>
          <w:szCs w:val="24"/>
          <w:rtl w:val="0"/>
          <w:lang w:val="en-US"/>
        </w:rPr>
        <w:t xml:space="preserve"> (Accessed 26th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Kariel, J., Rana, R., Read, M., Rincon Aznar, A., Schneebacher, J. and Scholz, N. (2024). Competition and market power in UK labour markets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"https://assets.publishing.service.gov.uk/media/65b2312af2718c000dfb1d13/Competition_and_market_power_in_UK_labour_markets.pdf"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https://assets.publishing.service.gov.uk/media/65b2312af2718c000dfb1d13/Competition_and_market_power_in_UK_labour_markets.pdf</w:t>
      </w:r>
      <w:r>
        <w:rPr>
          <w:rFonts w:ascii="Arial" w:cs="Arial" w:hAnsi="Arial" w:eastAsia="Arial"/>
          <w:sz w:val="24"/>
          <w:szCs w:val="24"/>
        </w:rPr>
        <w:fldChar w:fldCharType="end" w:fldLock="0"/>
      </w:r>
      <w:r>
        <w:rPr>
          <w:rFonts w:ascii="Arial" w:hAnsi="Arial"/>
          <w:sz w:val="24"/>
          <w:szCs w:val="24"/>
          <w:rtl w:val="0"/>
          <w:lang w:val="en-US"/>
        </w:rPr>
        <w:t xml:space="preserve"> (Accessed 25th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Kearney, P. (2023). </w:t>
      </w:r>
      <w:r>
        <w:rPr>
          <w:rFonts w:ascii="Arial" w:hAnsi="Arial"/>
          <w:i w:val="1"/>
          <w:iCs w:val="1"/>
          <w:sz w:val="24"/>
          <w:szCs w:val="24"/>
          <w:rtl w:val="0"/>
          <w:lang w:val="en-US"/>
        </w:rPr>
        <w:t>Where Has All the Talent Gone?</w:t>
      </w:r>
      <w:r>
        <w:rPr>
          <w:rFonts w:ascii="Arial" w:hAnsi="Arial"/>
          <w:sz w:val="24"/>
          <w:szCs w:val="24"/>
          <w:rtl w:val="0"/>
          <w:lang w:val="en-US"/>
        </w:rPr>
        <w:t xml:space="preserve"> Available at: </w:t>
      </w:r>
      <w:r>
        <w:rPr>
          <w:rFonts w:ascii="Arial" w:hAnsi="Arial"/>
          <w:sz w:val="24"/>
          <w:szCs w:val="24"/>
          <w:rtl w:val="0"/>
          <w:lang w:val="en-US"/>
        </w:rPr>
        <w:t>https://www.genengnews.com/industry-news/where-has-all-the-talent-gone/</w:t>
      </w:r>
      <w:r>
        <w:rPr>
          <w:rFonts w:ascii="Arial" w:hAnsi="Arial"/>
          <w:sz w:val="24"/>
          <w:szCs w:val="24"/>
          <w:rtl w:val="0"/>
          <w:lang w:val="en-US"/>
        </w:rPr>
        <w:t xml:space="preserve"> (Accessed 21st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Keswin, E. (2022). </w:t>
      </w:r>
      <w:r>
        <w:rPr>
          <w:rFonts w:ascii="Arial" w:hAnsi="Arial"/>
          <w:i w:val="1"/>
          <w:iCs w:val="1"/>
          <w:sz w:val="24"/>
          <w:szCs w:val="24"/>
          <w:rtl w:val="0"/>
          <w:lang w:val="en-US"/>
        </w:rPr>
        <w:t xml:space="preserve">3 Ways to Boost Retention Through Professional Development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"https://hbr.org/2022/04/3-ways-to-boost-retention-through-professional-development"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https://hbr.org/2022/04/3-ways-to-boost-retention-through-professional-development</w:t>
      </w:r>
      <w:r>
        <w:rPr>
          <w:rFonts w:ascii="Arial" w:cs="Arial" w:hAnsi="Arial" w:eastAsia="Arial"/>
          <w:sz w:val="24"/>
          <w:szCs w:val="24"/>
        </w:rPr>
        <w:fldChar w:fldCharType="end" w:fldLock="0"/>
      </w:r>
      <w:r>
        <w:rPr>
          <w:rFonts w:ascii="Arial" w:hAnsi="Arial"/>
          <w:sz w:val="24"/>
          <w:szCs w:val="24"/>
          <w:rtl w:val="0"/>
          <w:lang w:val="en-US"/>
        </w:rPr>
        <w:t xml:space="preserve">  (Accessed 30th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LinkedIn. (2024). </w:t>
      </w:r>
      <w:r>
        <w:rPr>
          <w:rFonts w:ascii="Arial" w:hAnsi="Arial"/>
          <w:i w:val="1"/>
          <w:iCs w:val="1"/>
          <w:sz w:val="24"/>
          <w:szCs w:val="24"/>
          <w:rtl w:val="0"/>
          <w:lang w:val="en-US"/>
        </w:rPr>
        <w:t>The Future of Recruiting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"https://business.linkedin.com/talent-solutions/resources/future-of-recruiting?trk=futureofrecruiting&amp;veh=futureofrecruiting#agility"</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https://business.linkedin.com/talent-solutions/resources/future-of-recruiting?trk=futureofrecruiting&amp;veh=futureofrecruiting#agility</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Mackenzie, J. (2019). </w:t>
      </w:r>
      <w:r>
        <w:rPr>
          <w:rFonts w:ascii="Arial" w:hAnsi="Arial"/>
          <w:i w:val="1"/>
          <w:iCs w:val="1"/>
          <w:sz w:val="24"/>
          <w:szCs w:val="24"/>
          <w:rtl w:val="0"/>
          <w:lang w:val="en-US"/>
        </w:rPr>
        <w:t>Add More Value That It Costs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"https://www.linkedin.com/pulse/speed-value-how-your-early-talent-can-add-more-than-costs-mackenzie"</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https://www.linkedin.com/pulse/speed-value-how-your-early-talent-can-add-more-than-costs-mackenzie</w:t>
      </w:r>
      <w:r>
        <w:rPr>
          <w:rFonts w:ascii="Arial" w:cs="Arial" w:hAnsi="Arial" w:eastAsia="Arial"/>
          <w:sz w:val="24"/>
          <w:szCs w:val="24"/>
        </w:rPr>
        <w:fldChar w:fldCharType="end" w:fldLock="0"/>
      </w:r>
      <w:r>
        <w:rPr>
          <w:rFonts w:ascii="Arial" w:hAnsi="Arial"/>
          <w:sz w:val="24"/>
          <w:szCs w:val="24"/>
          <w:rtl w:val="0"/>
          <w:lang w:val="en-US"/>
        </w:rPr>
        <w:t xml:space="preserve"> (Accessed 30th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Matuson, R. (2024). </w:t>
      </w:r>
      <w:r>
        <w:rPr>
          <w:rFonts w:ascii="Arial" w:hAnsi="Arial"/>
          <w:i w:val="1"/>
          <w:iCs w:val="1"/>
          <w:sz w:val="24"/>
          <w:szCs w:val="24"/>
          <w:rtl w:val="0"/>
          <w:lang w:val="en-US"/>
        </w:rPr>
        <w:t>5 Benefits To Making A Lateral Move In Your Career</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"https://www.forbes.com/sites/robertamatuson/2024/01/17/five-benefits-to-making-a-lateral-move-in-your-career/"</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https://www.forbes.com/sites/robertamatuson/2024/01/17/five-benefits-to-making-a-lateral-move-in-your-career/</w:t>
      </w:r>
      <w:r>
        <w:rPr>
          <w:rFonts w:ascii="Arial" w:cs="Arial" w:hAnsi="Arial" w:eastAsia="Arial"/>
          <w:sz w:val="24"/>
          <w:szCs w:val="24"/>
        </w:rPr>
        <w:fldChar w:fldCharType="end" w:fldLock="0"/>
      </w:r>
      <w:r>
        <w:rPr>
          <w:rFonts w:ascii="Arial" w:hAnsi="Arial"/>
          <w:sz w:val="24"/>
          <w:szCs w:val="24"/>
          <w:rtl w:val="0"/>
          <w:lang w:val="en-US"/>
        </w:rPr>
        <w:t xml:space="preserve"> (Accessed 30th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Ofwat. (2024). </w:t>
      </w:r>
      <w:r>
        <w:rPr>
          <w:rFonts w:ascii="Arial" w:hAnsi="Arial"/>
          <w:i w:val="1"/>
          <w:iCs w:val="1"/>
          <w:sz w:val="24"/>
          <w:szCs w:val="24"/>
          <w:rtl w:val="0"/>
          <w:lang w:val="en-US"/>
        </w:rPr>
        <w:t>Ofwat announces enforcement cases against four more companies in wastewater treatment investigation</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"https://www.ofwat.gov.uk/ofwat-announces-enforcement-cases-against-four-more-companies-in-wastewater-treatment-investigation/"</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https://www.ofwat.gov.uk/ofwat-announces-enforcement-cases-against-four-more-companies-in-wastewater-treatment-investigation/</w:t>
      </w:r>
      <w:r>
        <w:rPr>
          <w:rFonts w:ascii="Arial" w:cs="Arial" w:hAnsi="Arial" w:eastAsia="Arial"/>
          <w:sz w:val="24"/>
          <w:szCs w:val="24"/>
        </w:rPr>
        <w:fldChar w:fldCharType="end" w:fldLock="0"/>
      </w:r>
      <w:r>
        <w:rPr>
          <w:rFonts w:ascii="Arial" w:hAnsi="Arial"/>
          <w:sz w:val="24"/>
          <w:szCs w:val="24"/>
          <w:rtl w:val="0"/>
          <w:lang w:val="en-US"/>
        </w:rPr>
        <w:t xml:space="preserve"> (Accessed 26th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Optimus Learning. (2023). </w:t>
      </w:r>
      <w:r>
        <w:rPr>
          <w:rFonts w:ascii="Arial" w:hAnsi="Arial"/>
          <w:i w:val="1"/>
          <w:iCs w:val="1"/>
          <w:sz w:val="24"/>
          <w:szCs w:val="24"/>
          <w:rtl w:val="0"/>
          <w:lang w:val="en-US"/>
        </w:rPr>
        <w:t>Proactive vs Reactive Learning and Development</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"https://www.optimuslearningservices.com/ld-strategy/proactive-vs-reactive-learning-and-development/"</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https://www.optimuslearningservices.com/ld-strategy/proactive-vs-reactive-learning-and-development/</w:t>
      </w:r>
      <w:r>
        <w:rPr>
          <w:rFonts w:ascii="Arial" w:cs="Arial" w:hAnsi="Arial" w:eastAsia="Arial"/>
          <w:sz w:val="24"/>
          <w:szCs w:val="24"/>
        </w:rPr>
        <w:fldChar w:fldCharType="end" w:fldLock="0"/>
      </w:r>
      <w:r>
        <w:rPr>
          <w:rFonts w:ascii="Arial" w:hAnsi="Arial"/>
          <w:sz w:val="24"/>
          <w:szCs w:val="24"/>
          <w:rtl w:val="0"/>
          <w:lang w:val="en-US"/>
        </w:rPr>
        <w:t xml:space="preserve"> (Accessed 25th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OUTprof. (2023). </w:t>
      </w:r>
      <w:r>
        <w:rPr>
          <w:rFonts w:ascii="Arial" w:hAnsi="Arial"/>
          <w:i w:val="1"/>
          <w:iCs w:val="1"/>
          <w:sz w:val="24"/>
          <w:szCs w:val="24"/>
          <w:rtl w:val="0"/>
          <w:lang w:val="en-US"/>
        </w:rPr>
        <w:t>Embracing Remote Work: Expanding Talent Pools for Global Companies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"https://www.linkedin.com/pulse/embracing-remote-work-expanding-talent-pools-global-companies"</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https://www.linkedin.com/pulse/embracing-remote-work-expanding-talent-pools-global-companies</w:t>
      </w:r>
      <w:r>
        <w:rPr>
          <w:rFonts w:ascii="Arial" w:cs="Arial" w:hAnsi="Arial" w:eastAsia="Arial"/>
          <w:sz w:val="24"/>
          <w:szCs w:val="24"/>
        </w:rPr>
        <w:fldChar w:fldCharType="end" w:fldLock="0"/>
      </w:r>
      <w:r>
        <w:rPr>
          <w:rFonts w:ascii="Arial" w:hAnsi="Arial"/>
          <w:sz w:val="24"/>
          <w:szCs w:val="24"/>
          <w:rtl w:val="0"/>
          <w:lang w:val="en-US"/>
        </w:rPr>
        <w:t xml:space="preserve"> (Accessed 27th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ResoPro Training Services. (2023). </w:t>
      </w:r>
      <w:r>
        <w:rPr>
          <w:rFonts w:ascii="Arial" w:hAnsi="Arial"/>
          <w:i w:val="1"/>
          <w:iCs w:val="1"/>
          <w:sz w:val="24"/>
          <w:szCs w:val="24"/>
          <w:rtl w:val="0"/>
          <w:lang w:val="en-US"/>
        </w:rPr>
        <w:t>The impact of remote work on the recruitment process</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"https://www.linkedin.com/pulse/impact-remote-work-recruitment-process-resopro"</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https://www.linkedin.com/pulse/impact-remote-work-recruitment-process-resopro</w:t>
      </w:r>
      <w:r>
        <w:rPr>
          <w:rFonts w:ascii="Arial" w:cs="Arial" w:hAnsi="Arial" w:eastAsia="Arial"/>
          <w:sz w:val="24"/>
          <w:szCs w:val="24"/>
        </w:rPr>
        <w:fldChar w:fldCharType="end" w:fldLock="0"/>
      </w:r>
      <w:r>
        <w:rPr>
          <w:rFonts w:ascii="Arial" w:hAnsi="Arial"/>
          <w:sz w:val="24"/>
          <w:szCs w:val="24"/>
          <w:rtl w:val="0"/>
          <w:lang w:val="en-US"/>
        </w:rPr>
        <w:t xml:space="preserve"> (Accessed 25th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Ronan, S. (2021). </w:t>
      </w:r>
      <w:r>
        <w:rPr>
          <w:rFonts w:ascii="Arial" w:hAnsi="Arial"/>
          <w:i w:val="1"/>
          <w:iCs w:val="1"/>
          <w:sz w:val="24"/>
          <w:szCs w:val="24"/>
          <w:rtl w:val="0"/>
          <w:lang w:val="en-US"/>
        </w:rPr>
        <w:t>Employers failing to use data for future workforce planning</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"https://www.hrmagazine.co.uk/content/news/employers-failing-to-use-data-for-future-workforce-planning/"</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https://www.hrmagazine.co.uk/content/news/employers-failing-to-use-data-for-future-workforce-planning/</w:t>
      </w:r>
      <w:r>
        <w:rPr>
          <w:rFonts w:ascii="Arial" w:cs="Arial" w:hAnsi="Arial" w:eastAsia="Arial"/>
          <w:sz w:val="24"/>
          <w:szCs w:val="24"/>
        </w:rPr>
        <w:fldChar w:fldCharType="end" w:fldLock="0"/>
      </w:r>
      <w:r>
        <w:rPr>
          <w:rFonts w:ascii="Arial" w:hAnsi="Arial"/>
          <w:sz w:val="24"/>
          <w:szCs w:val="24"/>
          <w:rtl w:val="0"/>
          <w:lang w:val="en-US"/>
        </w:rPr>
        <w:t xml:space="preserve"> (Accessed 25th November 2024).</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lang w:val="en-US"/>
        </w:rPr>
      </w:pPr>
      <w:r>
        <w:rPr>
          <w:rFonts w:ascii="Arial" w:hAnsi="Arial"/>
          <w:sz w:val="24"/>
          <w:szCs w:val="24"/>
          <w:rtl w:val="0"/>
          <w:lang w:val="en-US"/>
        </w:rPr>
        <w:t xml:space="preserve">Seal, D. (2024). </w:t>
      </w:r>
      <w:r>
        <w:rPr>
          <w:rFonts w:ascii="Arial" w:hAnsi="Arial"/>
          <w:i w:val="1"/>
          <w:iCs w:val="1"/>
          <w:sz w:val="24"/>
          <w:szCs w:val="24"/>
          <w:rtl w:val="0"/>
          <w:lang w:val="en-US"/>
        </w:rPr>
        <w:t>The Impact of Remote Work in IT Recruitment</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"https://www.linkedin.com/pulse/impact-remote-work-recruitment-dorothy-seal-bx4if"</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https://www.linkedin.com/pulse/impact-remote-work-recruitment-dorothy-seal-bx4if</w:t>
      </w:r>
      <w:r>
        <w:rPr>
          <w:rFonts w:ascii="Arial" w:cs="Arial" w:hAnsi="Arial" w:eastAsia="Arial"/>
          <w:sz w:val="24"/>
          <w:szCs w:val="24"/>
        </w:rPr>
        <w:fldChar w:fldCharType="end" w:fldLock="0"/>
      </w:r>
      <w:r>
        <w:rPr>
          <w:rFonts w:ascii="Arial" w:hAnsi="Arial"/>
          <w:sz w:val="24"/>
          <w:szCs w:val="24"/>
          <w:rtl w:val="0"/>
          <w:lang w:val="en-US"/>
        </w:rPr>
        <w:t xml:space="preserve"> (Accessed 25th November 2024). </w:t>
      </w:r>
    </w:p>
    <w:p>
      <w:pPr>
        <w:pStyle w:val="Body A"/>
        <w:jc w:val="both"/>
        <w:rPr>
          <w:rFonts w:ascii="Arial" w:cs="Arial" w:hAnsi="Arial" w:eastAsia="Arial"/>
          <w:sz w:val="24"/>
          <w:szCs w:val="24"/>
          <w:lang w:val="en-US"/>
        </w:rPr>
      </w:pPr>
    </w:p>
    <w:p>
      <w:pPr>
        <w:pStyle w:val="Body A"/>
        <w:jc w:val="both"/>
        <w:rPr>
          <w:rFonts w:ascii="Arial" w:cs="Arial" w:hAnsi="Arial" w:eastAsia="Arial"/>
          <w:sz w:val="24"/>
          <w:szCs w:val="24"/>
          <w:u w:val="single"/>
        </w:rPr>
      </w:pPr>
      <w:r>
        <w:rPr>
          <w:rFonts w:ascii="Arial" w:hAnsi="Arial"/>
          <w:sz w:val="24"/>
          <w:szCs w:val="24"/>
          <w:rtl w:val="0"/>
          <w:lang w:val="en-US"/>
        </w:rPr>
        <w:t xml:space="preserve">Skellington, F. (2024). </w:t>
      </w:r>
      <w:r>
        <w:rPr>
          <w:rFonts w:ascii="Arial" w:hAnsi="Arial"/>
          <w:i w:val="1"/>
          <w:iCs w:val="1"/>
          <w:sz w:val="24"/>
          <w:szCs w:val="24"/>
          <w:rtl w:val="0"/>
          <w:lang w:val="en-US"/>
        </w:rPr>
        <w:t>Recruitment Challenges facing Life Sciences Industry Execs in 2025</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"https://www.csgtalent.com/insights/blog/recruitment-challenges-facing-life-sciences-industry-execs-in-2025/"</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https://www.csgtalent.com/insights/blog/recruitment-challenges-facing-life-sciences-industry-execs-in-2025/</w:t>
      </w:r>
      <w:r>
        <w:rPr>
          <w:rFonts w:ascii="Arial" w:cs="Arial" w:hAnsi="Arial" w:eastAsia="Arial"/>
          <w:sz w:val="24"/>
          <w:szCs w:val="24"/>
        </w:rPr>
        <w:fldChar w:fldCharType="end" w:fldLock="0"/>
      </w:r>
      <w:r>
        <w:rPr>
          <w:rFonts w:ascii="Arial" w:hAnsi="Arial"/>
          <w:sz w:val="24"/>
          <w:szCs w:val="24"/>
          <w:rtl w:val="0"/>
          <w:lang w:val="en-US"/>
        </w:rPr>
        <w:t xml:space="preserve"> (Accessed 22nd November 2024).</w:t>
      </w:r>
    </w:p>
    <w:p>
      <w:pPr>
        <w:pStyle w:val="Body A"/>
        <w:jc w:val="both"/>
        <w:rPr>
          <w:rFonts w:ascii="Arial" w:cs="Arial" w:hAnsi="Arial" w:eastAsia="Arial"/>
          <w:sz w:val="24"/>
          <w:szCs w:val="24"/>
          <w:u w:val="single"/>
        </w:rPr>
      </w:pPr>
    </w:p>
    <w:p>
      <w:pPr>
        <w:pStyle w:val="Body A"/>
        <w:jc w:val="both"/>
        <w:rPr>
          <w:rFonts w:ascii="Arial" w:cs="Arial" w:hAnsi="Arial" w:eastAsia="Arial"/>
          <w:sz w:val="24"/>
          <w:szCs w:val="24"/>
        </w:rPr>
      </w:pPr>
      <w:r>
        <w:rPr>
          <w:rFonts w:ascii="Arial" w:hAnsi="Arial"/>
          <w:sz w:val="24"/>
          <w:szCs w:val="24"/>
          <w:rtl w:val="0"/>
          <w:lang w:val="en-US"/>
        </w:rPr>
        <w:t xml:space="preserve">Tatel, C. (2024). </w:t>
      </w:r>
      <w:r>
        <w:rPr>
          <w:rFonts w:ascii="Arial" w:hAnsi="Arial"/>
          <w:i w:val="1"/>
          <w:iCs w:val="1"/>
          <w:sz w:val="24"/>
          <w:szCs w:val="24"/>
          <w:rtl w:val="0"/>
          <w:lang w:val="en-US"/>
        </w:rPr>
        <w:t xml:space="preserve">42% of Employee Turnover Is Preventable but Often Ignored </w:t>
      </w:r>
      <w:r>
        <w:rPr>
          <w:rFonts w:ascii="Arial" w:hAnsi="Arial"/>
          <w:sz w:val="24"/>
          <w:szCs w:val="24"/>
          <w:rtl w:val="0"/>
          <w:lang w:val="en-US"/>
        </w:rPr>
        <w:t xml:space="preserve">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"https://www.gallup.com/workplace/646538/employee-turnover-preventable-often-ignored.aspx"</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https://www.gallup.com/workplace/646538/employee-turnover-preventable-often-ignored.aspx</w:t>
      </w:r>
      <w:r>
        <w:rPr>
          <w:rFonts w:ascii="Arial" w:cs="Arial" w:hAnsi="Arial" w:eastAsia="Arial"/>
          <w:sz w:val="24"/>
          <w:szCs w:val="24"/>
        </w:rPr>
        <w:fldChar w:fldCharType="end" w:fldLock="0"/>
      </w:r>
      <w:r>
        <w:rPr>
          <w:rFonts w:ascii="Arial" w:hAnsi="Arial"/>
          <w:sz w:val="24"/>
          <w:szCs w:val="24"/>
          <w:rtl w:val="0"/>
          <w:lang w:val="en-US"/>
        </w:rPr>
        <w:t xml:space="preserve"> (Accessed 25th November 2024).</w:t>
      </w:r>
    </w:p>
    <w:p>
      <w:pPr>
        <w:pStyle w:val="Body A"/>
        <w:jc w:val="both"/>
        <w:rPr>
          <w:rFonts w:ascii="Arial" w:cs="Arial" w:hAnsi="Arial" w:eastAsia="Arial"/>
          <w:sz w:val="24"/>
          <w:szCs w:val="24"/>
        </w:rPr>
      </w:pPr>
    </w:p>
    <w:p>
      <w:pPr>
        <w:pStyle w:val="Body A"/>
        <w:jc w:val="both"/>
        <w:rPr>
          <w:rFonts w:ascii="Arial" w:cs="Arial" w:hAnsi="Arial" w:eastAsia="Arial"/>
          <w:sz w:val="24"/>
          <w:szCs w:val="24"/>
        </w:rPr>
      </w:pPr>
      <w:r>
        <w:rPr>
          <w:rFonts w:ascii="Arial" w:hAnsi="Arial"/>
          <w:sz w:val="24"/>
          <w:szCs w:val="24"/>
          <w:rtl w:val="0"/>
          <w:lang w:val="en-US"/>
        </w:rPr>
        <w:t xml:space="preserve">Vieira, M. (2024). </w:t>
      </w:r>
      <w:r>
        <w:rPr>
          <w:rFonts w:ascii="Arial" w:hAnsi="Arial"/>
          <w:i w:val="1"/>
          <w:iCs w:val="1"/>
          <w:sz w:val="24"/>
          <w:szCs w:val="24"/>
          <w:rtl w:val="0"/>
          <w:lang w:val="en-US"/>
        </w:rPr>
        <w:t>The Pitfalls of Internal Hiring for Hard-to-Fill Roles: Why External Agencies Might Be the Better Choice</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"https://www.linkedin.com/pulse/pitfalls-internal-hiring-hard-to-fill-roles-why-external-vieira-bq7zc"</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https://www.linkedin.com/pulse/pitfalls-internal-hiring-hard-to-fill-roles-why-external-vieira-bq7zc</w:t>
      </w:r>
      <w:r>
        <w:rPr>
          <w:rFonts w:ascii="Arial" w:cs="Arial" w:hAnsi="Arial" w:eastAsia="Arial"/>
          <w:sz w:val="24"/>
          <w:szCs w:val="24"/>
        </w:rPr>
        <w:fldChar w:fldCharType="end" w:fldLock="0"/>
      </w:r>
      <w:r>
        <w:rPr>
          <w:rFonts w:ascii="Arial" w:hAnsi="Arial"/>
          <w:sz w:val="24"/>
          <w:szCs w:val="24"/>
          <w:rtl w:val="0"/>
          <w:lang w:val="en-US"/>
        </w:rPr>
        <w:t xml:space="preserve"> (Accessed 2nd December 2024). </w:t>
      </w:r>
    </w:p>
    <w:p>
      <w:pPr>
        <w:pStyle w:val="Body A"/>
        <w:jc w:val="both"/>
        <w:rPr>
          <w:rFonts w:ascii="Arial" w:cs="Arial" w:hAnsi="Arial" w:eastAsia="Arial"/>
          <w:sz w:val="24"/>
          <w:szCs w:val="24"/>
        </w:rPr>
      </w:pPr>
    </w:p>
    <w:p>
      <w:pPr>
        <w:pStyle w:val="Body A"/>
        <w:jc w:val="both"/>
      </w:pPr>
      <w:r>
        <w:rPr>
          <w:rFonts w:ascii="Arial" w:hAnsi="Arial"/>
          <w:sz w:val="24"/>
          <w:szCs w:val="24"/>
          <w:rtl w:val="0"/>
          <w:lang w:val="en-US"/>
        </w:rPr>
        <w:t xml:space="preserve">White, J., Wigert, B. (2022). </w:t>
      </w:r>
      <w:r>
        <w:rPr>
          <w:rFonts w:ascii="Arial" w:hAnsi="Arial"/>
          <w:i w:val="1"/>
          <w:iCs w:val="1"/>
          <w:sz w:val="24"/>
          <w:szCs w:val="24"/>
          <w:rtl w:val="0"/>
          <w:lang w:val="en-US"/>
        </w:rPr>
        <w:t>The Advantages and Challenges of Hybrid Work</w:t>
      </w:r>
      <w:r>
        <w:rPr>
          <w:rFonts w:ascii="Arial" w:hAnsi="Arial"/>
          <w:sz w:val="24"/>
          <w:szCs w:val="24"/>
          <w:rtl w:val="0"/>
          <w:lang w:val="en-US"/>
        </w:rPr>
        <w:t xml:space="preserve"> Available at: </w:t>
      </w:r>
      <w:r>
        <w:rPr>
          <w:rStyle w:val="Hyperlink.0"/>
          <w:rFonts w:ascii="Arial" w:cs="Arial" w:hAnsi="Arial" w:eastAsia="Arial"/>
          <w:sz w:val="24"/>
          <w:szCs w:val="24"/>
        </w:rPr>
        <w:fldChar w:fldCharType="begin" w:fldLock="0"/>
      </w:r>
      <w:r>
        <w:rPr>
          <w:rStyle w:val="Hyperlink.0"/>
          <w:rFonts w:ascii="Arial" w:cs="Arial" w:hAnsi="Arial" w:eastAsia="Arial"/>
          <w:sz w:val="24"/>
          <w:szCs w:val="24"/>
        </w:rPr>
        <w:instrText xml:space="preserve"> HYPERLINK "https://www.gallup.com/workplace/398135/advantages-challenges-hybrid-work.aspx"</w:instrText>
      </w:r>
      <w:r>
        <w:rPr>
          <w:rStyle w:val="Hyperlink.0"/>
          <w:rFonts w:ascii="Arial" w:cs="Arial" w:hAnsi="Arial" w:eastAsia="Arial"/>
          <w:sz w:val="24"/>
          <w:szCs w:val="24"/>
        </w:rPr>
        <w:fldChar w:fldCharType="separate" w:fldLock="0"/>
      </w:r>
      <w:r>
        <w:rPr>
          <w:rStyle w:val="Hyperlink.0"/>
          <w:rFonts w:ascii="Arial" w:hAnsi="Arial"/>
          <w:sz w:val="24"/>
          <w:szCs w:val="24"/>
          <w:rtl w:val="0"/>
          <w:lang w:val="en-US"/>
        </w:rPr>
        <w:t>https://www.gallup.com/workplace/398135/advantages-challenges-hybrid-work.aspx</w:t>
      </w:r>
      <w:r>
        <w:rPr>
          <w:rFonts w:ascii="Arial" w:cs="Arial" w:hAnsi="Arial" w:eastAsia="Arial"/>
          <w:sz w:val="24"/>
          <w:szCs w:val="24"/>
        </w:rPr>
        <w:fldChar w:fldCharType="end" w:fldLock="0"/>
      </w:r>
      <w:r>
        <w:rPr>
          <w:rFonts w:ascii="Arial" w:hAnsi="Arial"/>
          <w:sz w:val="24"/>
          <w:szCs w:val="24"/>
          <w:rtl w:val="0"/>
          <w:lang w:val="en-US"/>
        </w:rPr>
        <w:t xml:space="preserve"> (Accessed 27th November 2024).</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12"/>
        <w:tab w:val="clear" w:pos="9020"/>
      </w:tabs>
    </w:pPr>
    <w:r>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Bullets"/>
  </w:abstractNum>
  <w:abstractNum w:abstractNumId="3">
    <w:multiLevelType w:val="hybridMultilevel"/>
    <w:styleLink w:val="Bullets"/>
    <w:lvl w:ilvl="0">
      <w:start w:val="1"/>
      <w:numFmt w:val="bullet"/>
      <w:suff w:val="tab"/>
      <w:lvlText w:val="•"/>
      <w:lvlJc w:val="left"/>
      <w:pPr>
        <w:ind w:left="174" w:hanging="17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3"/>
  </w:num>
  <w:num w:numId="5">
    <w:abstractNumId w:val="2"/>
  </w:num>
  <w:num w:numId="6">
    <w:abstractNumId w:val="2"/>
    <w:lvlOverride w:ilvl="0">
      <w:lvl w:ilvl="0">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8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14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0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26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2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38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44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520"/>
          </w:tabs>
          <w:ind w:left="5005" w:hanging="20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0"/>
    <w:lvlOverride w:ilvl="0">
      <w:startOverride w:val="1"/>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0"/>
    <w:lvlOverride w:ilvl="0">
      <w:lvl w:ilvl="0">
        <w:start w:val="1"/>
        <w:numFmt w:val="decimal"/>
        <w:suff w:val="tab"/>
        <w:lvlText w:val="%1."/>
        <w:lvlJc w:val="left"/>
        <w:pPr>
          <w:ind w:left="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w="12700" w14:cap="flat">
        <w14:noFill/>
        <w14:miter w14:lim="400000"/>
      </w14:textOutline>
      <w14:textFill>
        <w14:solidFill>
          <w14:srgbClr w14:val="000000"/>
        </w14:solidFill>
      </w14:textFill>
    </w:rPr>
  </w:style>
  <w:style w:type="numbering" w:styleId="Numbered">
    <w:name w:val="Numbered"/>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numbering" w:styleId="Bullets">
    <w:name w:val="Bullets"/>
    <w:pPr>
      <w:numPr>
        <w:numId w:val="4"/>
      </w:numPr>
    </w:p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outline w:val="0"/>
      <w:color w:val="000000"/>
      <w:u w:val="no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