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Pr="005E2E48" w:rsidRDefault="005E2E48" w:rsidP="005E2E48">
      <w:pPr>
        <w:jc w:val="center"/>
        <w:rPr>
          <w:rFonts w:ascii="Times New Roman" w:eastAsia="Times New Roman" w:hAnsi="Times New Roman" w:cs="Times New Roman"/>
          <w:b/>
          <w:bCs/>
          <w:sz w:val="48"/>
          <w:szCs w:val="48"/>
        </w:rPr>
      </w:pPr>
      <w:r w:rsidRPr="005E2E48">
        <w:rPr>
          <w:rFonts w:ascii="Times New Roman" w:eastAsia="Times New Roman" w:hAnsi="Times New Roman" w:cs="Times New Roman"/>
          <w:b/>
          <w:bCs/>
          <w:sz w:val="48"/>
          <w:szCs w:val="48"/>
        </w:rPr>
        <w:t>Law and Legal Practice</w:t>
      </w:r>
    </w:p>
    <w:p w:rsidR="005E2E48" w:rsidRPr="005E2E48" w:rsidRDefault="005E2E48" w:rsidP="005E2E48">
      <w:pPr>
        <w:jc w:val="center"/>
        <w:rPr>
          <w:rFonts w:ascii="Times New Roman" w:eastAsia="Times New Roman" w:hAnsi="Times New Roman" w:cs="Times New Roman"/>
          <w:b/>
          <w:bCs/>
          <w:sz w:val="48"/>
          <w:szCs w:val="48"/>
        </w:rPr>
      </w:pPr>
      <w:r w:rsidRPr="005E2E48">
        <w:rPr>
          <w:rFonts w:ascii="Times New Roman" w:eastAsia="Times New Roman" w:hAnsi="Times New Roman" w:cs="Times New Roman"/>
          <w:b/>
          <w:bCs/>
          <w:sz w:val="48"/>
          <w:szCs w:val="48"/>
        </w:rPr>
        <w:t>Module: Civil Litigation</w:t>
      </w:r>
    </w:p>
    <w:p w:rsidR="005E2E48" w:rsidRPr="005E2E48" w:rsidRDefault="005E2E48" w:rsidP="005E2E48">
      <w:pPr>
        <w:jc w:val="center"/>
        <w:rPr>
          <w:rFonts w:ascii="Times New Roman" w:eastAsia="Times New Roman" w:hAnsi="Times New Roman" w:cs="Times New Roman"/>
          <w:b/>
          <w:bCs/>
          <w:sz w:val="48"/>
          <w:szCs w:val="48"/>
        </w:rPr>
      </w:pPr>
      <w:r w:rsidRPr="005E2E48">
        <w:rPr>
          <w:rFonts w:ascii="Times New Roman" w:eastAsia="Times New Roman" w:hAnsi="Times New Roman" w:cs="Times New Roman"/>
          <w:b/>
          <w:bCs/>
          <w:sz w:val="48"/>
          <w:szCs w:val="48"/>
        </w:rPr>
        <w:t>Module code: BMLW5016</w:t>
      </w:r>
    </w:p>
    <w:p w:rsidR="005E2E48" w:rsidRPr="005E2E48" w:rsidRDefault="005E2E48" w:rsidP="005E2E48">
      <w:pPr>
        <w:jc w:val="center"/>
        <w:rPr>
          <w:rFonts w:ascii="Times New Roman" w:eastAsia="Times New Roman" w:hAnsi="Times New Roman" w:cs="Times New Roman"/>
          <w:b/>
          <w:bCs/>
          <w:sz w:val="48"/>
          <w:szCs w:val="48"/>
        </w:rPr>
      </w:pPr>
      <w:r w:rsidRPr="005E2E48">
        <w:rPr>
          <w:rFonts w:ascii="Times New Roman" w:eastAsia="Times New Roman" w:hAnsi="Times New Roman" w:cs="Times New Roman"/>
          <w:b/>
          <w:bCs/>
          <w:sz w:val="48"/>
          <w:szCs w:val="48"/>
        </w:rPr>
        <w:t>Assignment Title: Advice to Client</w:t>
      </w:r>
    </w:p>
    <w:p w:rsidR="005E2E48" w:rsidRPr="005E2E48" w:rsidRDefault="005E2E48" w:rsidP="005E2E48">
      <w:pPr>
        <w:jc w:val="center"/>
        <w:rPr>
          <w:rFonts w:ascii="Times New Roman" w:eastAsia="Times New Roman" w:hAnsi="Times New Roman" w:cs="Times New Roman"/>
          <w:b/>
          <w:bCs/>
          <w:sz w:val="48"/>
          <w:szCs w:val="48"/>
        </w:rPr>
      </w:pPr>
      <w:r w:rsidRPr="005E2E48">
        <w:rPr>
          <w:rFonts w:ascii="Times New Roman" w:eastAsia="Times New Roman" w:hAnsi="Times New Roman" w:cs="Times New Roman"/>
          <w:b/>
          <w:bCs/>
          <w:sz w:val="48"/>
          <w:szCs w:val="48"/>
        </w:rPr>
        <w:t>Name of the Student</w:t>
      </w:r>
      <w:r>
        <w:rPr>
          <w:rFonts w:ascii="Times New Roman" w:eastAsia="Times New Roman" w:hAnsi="Times New Roman" w:cs="Times New Roman"/>
          <w:b/>
          <w:bCs/>
          <w:sz w:val="48"/>
          <w:szCs w:val="48"/>
        </w:rPr>
        <w:t xml:space="preserve">:  Ana-Maria </w:t>
      </w:r>
      <w:proofErr w:type="spellStart"/>
      <w:r>
        <w:rPr>
          <w:rFonts w:ascii="Times New Roman" w:eastAsia="Times New Roman" w:hAnsi="Times New Roman" w:cs="Times New Roman"/>
          <w:b/>
          <w:bCs/>
          <w:sz w:val="48"/>
          <w:szCs w:val="48"/>
        </w:rPr>
        <w:t>Nicu</w:t>
      </w:r>
      <w:proofErr w:type="spellEnd"/>
    </w:p>
    <w:p w:rsidR="0033192B" w:rsidRDefault="005E2E48" w:rsidP="005E2E48">
      <w:pPr>
        <w:jc w:val="center"/>
        <w:rPr>
          <w:rFonts w:ascii="Times New Roman" w:eastAsia="Times New Roman" w:hAnsi="Times New Roman" w:cs="Times New Roman"/>
          <w:b/>
          <w:bCs/>
          <w:sz w:val="48"/>
          <w:szCs w:val="48"/>
        </w:rPr>
      </w:pPr>
      <w:r w:rsidRPr="005E2E48">
        <w:rPr>
          <w:rFonts w:ascii="Times New Roman" w:eastAsia="Times New Roman" w:hAnsi="Times New Roman" w:cs="Times New Roman"/>
          <w:b/>
          <w:bCs/>
          <w:sz w:val="48"/>
          <w:szCs w:val="48"/>
        </w:rPr>
        <w:t>Student ID</w:t>
      </w:r>
      <w:r>
        <w:rPr>
          <w:rFonts w:ascii="Times New Roman" w:eastAsia="Times New Roman" w:hAnsi="Times New Roman" w:cs="Times New Roman"/>
          <w:b/>
          <w:bCs/>
          <w:sz w:val="48"/>
          <w:szCs w:val="48"/>
        </w:rPr>
        <w:t>: 2322209</w:t>
      </w:r>
    </w:p>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Default="005E2E48" w:rsidP="005E2E48">
      <w:pPr>
        <w:jc w:val="center"/>
        <w:rPr>
          <w:rFonts w:ascii="Times New Roman" w:eastAsia="Times New Roman" w:hAnsi="Times New Roman" w:cs="Times New Roman"/>
          <w:b/>
          <w:bCs/>
          <w:sz w:val="48"/>
          <w:szCs w:val="48"/>
        </w:rPr>
      </w:pPr>
    </w:p>
    <w:p w:rsidR="005E2E48" w:rsidRPr="005E2E48" w:rsidRDefault="005E2E48" w:rsidP="005E2E48">
      <w:pPr>
        <w:rPr>
          <w:rFonts w:ascii="Times New Roman" w:eastAsia="Times New Roman" w:hAnsi="Times New Roman" w:cs="Times New Roman"/>
          <w:b/>
          <w:bCs/>
          <w:sz w:val="24"/>
          <w:szCs w:val="24"/>
        </w:rPr>
      </w:pPr>
    </w:p>
    <w:p w:rsidR="00EE32EF" w:rsidRPr="00B3743B" w:rsidRDefault="00EE32EF" w:rsidP="00EE32EF">
      <w:pPr>
        <w:pStyle w:val="Heading3"/>
        <w:rPr>
          <w:rFonts w:ascii="Times New Roman" w:hAnsi="Times New Roman" w:cs="Times New Roman"/>
          <w:sz w:val="24"/>
          <w:szCs w:val="24"/>
        </w:rPr>
      </w:pPr>
      <w:r w:rsidRPr="00B3743B">
        <w:rPr>
          <w:rStyle w:val="Strong"/>
          <w:b/>
          <w:bCs/>
          <w:sz w:val="24"/>
          <w:szCs w:val="24"/>
        </w:rPr>
        <w:lastRenderedPageBreak/>
        <w:t>AI Statement</w:t>
      </w:r>
    </w:p>
    <w:p w:rsidR="00EE32EF" w:rsidRDefault="00EE32EF" w:rsidP="00EE32EF">
      <w:pPr>
        <w:pStyle w:val="NormalWeb"/>
      </w:pPr>
      <w:r w:rsidRPr="00B3743B">
        <w:t>This assessment was completed with t</w:t>
      </w:r>
      <w:r>
        <w:t>he assistance of AI for grammar text correction (</w:t>
      </w:r>
      <w:proofErr w:type="spellStart"/>
      <w:r>
        <w:t>ChatGPT</w:t>
      </w:r>
      <w:proofErr w:type="spellEnd"/>
      <w:r w:rsidRPr="00B3743B">
        <w:t>)</w:t>
      </w:r>
      <w:r>
        <w:t xml:space="preserve"> and autocorrect word function. </w:t>
      </w:r>
      <w:r w:rsidRPr="00B3743B">
        <w:t xml:space="preserve"> </w:t>
      </w:r>
      <w:r>
        <w:t xml:space="preserve">I critically reviewed, verified </w:t>
      </w:r>
      <w:r w:rsidRPr="00B3743B">
        <w:t xml:space="preserve">and edited all generated content to ensure </w:t>
      </w:r>
      <w:r>
        <w:t xml:space="preserve">academic integrity, originality </w:t>
      </w:r>
      <w:r w:rsidRPr="00B3743B">
        <w:t>and compliance with university assessment guidelines.</w:t>
      </w:r>
      <w:r>
        <w:t xml:space="preserve"> </w:t>
      </w: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EE32EF" w:rsidRDefault="00EE32EF" w:rsidP="005E2E48">
      <w:pPr>
        <w:rPr>
          <w:rFonts w:ascii="Times New Roman" w:eastAsia="Times New Roman" w:hAnsi="Times New Roman" w:cs="Times New Roman"/>
          <w:bCs/>
          <w:color w:val="000000"/>
          <w:sz w:val="24"/>
          <w:szCs w:val="24"/>
        </w:rPr>
      </w:pPr>
    </w:p>
    <w:p w:rsidR="005E2E48" w:rsidRPr="00A16EBA" w:rsidRDefault="005E2E48" w:rsidP="005E2E48">
      <w:pPr>
        <w:rPr>
          <w:rFonts w:ascii="Times New Roman" w:eastAsia="Times New Roman" w:hAnsi="Times New Roman" w:cs="Times New Roman"/>
          <w:bCs/>
          <w:color w:val="000000"/>
          <w:sz w:val="24"/>
          <w:szCs w:val="24"/>
        </w:rPr>
      </w:pPr>
      <w:r w:rsidRPr="00A16EBA">
        <w:rPr>
          <w:rFonts w:ascii="Times New Roman" w:eastAsia="Times New Roman" w:hAnsi="Times New Roman" w:cs="Times New Roman"/>
          <w:bCs/>
          <w:color w:val="000000"/>
          <w:sz w:val="24"/>
          <w:szCs w:val="24"/>
        </w:rPr>
        <w:lastRenderedPageBreak/>
        <w:t xml:space="preserve">Content </w:t>
      </w:r>
    </w:p>
    <w:p w:rsidR="005E2E48" w:rsidRPr="00A16EBA" w:rsidRDefault="005E2E48" w:rsidP="005E2E48">
      <w:pPr>
        <w:rPr>
          <w:rFonts w:ascii="Times New Roman" w:eastAsia="Times New Roman" w:hAnsi="Times New Roman" w:cs="Times New Roman"/>
          <w:bCs/>
          <w:color w:val="000000"/>
          <w:sz w:val="24"/>
          <w:szCs w:val="24"/>
        </w:rPr>
      </w:pPr>
      <w:r w:rsidRPr="00A16EBA">
        <w:rPr>
          <w:rFonts w:ascii="Times New Roman" w:eastAsia="Times New Roman" w:hAnsi="Times New Roman" w:cs="Times New Roman"/>
          <w:bCs/>
          <w:color w:val="000000"/>
          <w:sz w:val="24"/>
          <w:szCs w:val="24"/>
        </w:rPr>
        <w:t>1.</w:t>
      </w:r>
      <w:r w:rsidR="00A16EBA" w:rsidRPr="00A16EBA">
        <w:rPr>
          <w:rFonts w:ascii="Times New Roman" w:eastAsia="Times New Roman" w:hAnsi="Times New Roman" w:cs="Times New Roman"/>
          <w:bCs/>
          <w:color w:val="000000"/>
          <w:sz w:val="24"/>
          <w:szCs w:val="24"/>
        </w:rPr>
        <w:t xml:space="preserve"> </w:t>
      </w:r>
      <w:r w:rsidRPr="00A16EBA">
        <w:rPr>
          <w:rFonts w:ascii="Times New Roman" w:eastAsia="Times New Roman" w:hAnsi="Times New Roman" w:cs="Times New Roman"/>
          <w:bCs/>
          <w:color w:val="000000"/>
          <w:sz w:val="24"/>
          <w:szCs w:val="24"/>
        </w:rPr>
        <w:t>Introduction</w:t>
      </w:r>
    </w:p>
    <w:p w:rsidR="00A16EBA" w:rsidRDefault="00A16EBA" w:rsidP="005E2E48">
      <w:pPr>
        <w:rPr>
          <w:rFonts w:ascii="Times New Roman" w:eastAsia="Times New Roman" w:hAnsi="Times New Roman" w:cs="Times New Roman"/>
          <w:bCs/>
          <w:color w:val="000000"/>
          <w:sz w:val="24"/>
          <w:szCs w:val="24"/>
        </w:rPr>
      </w:pPr>
      <w:r w:rsidRPr="00A16EBA">
        <w:rPr>
          <w:rFonts w:ascii="Times New Roman" w:eastAsia="Times New Roman" w:hAnsi="Times New Roman" w:cs="Times New Roman"/>
          <w:bCs/>
          <w:color w:val="000000"/>
          <w:sz w:val="24"/>
          <w:szCs w:val="24"/>
        </w:rPr>
        <w:t>2. Task 1</w:t>
      </w:r>
    </w:p>
    <w:p w:rsidR="00A16EBA" w:rsidRPr="00A16EBA" w:rsidRDefault="00A16EBA" w:rsidP="005E2E48">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r w:rsidRPr="00A16EBA">
        <w:rPr>
          <w:rFonts w:ascii="Times New Roman" w:eastAsia="Times New Roman" w:hAnsi="Times New Roman" w:cs="Times New Roman"/>
          <w:bCs/>
          <w:color w:val="000000"/>
          <w:sz w:val="24"/>
          <w:szCs w:val="24"/>
        </w:rPr>
        <w:t xml:space="preserve"> Advice letter to Ms. Foster</w:t>
      </w:r>
    </w:p>
    <w:p w:rsidR="00A16EBA" w:rsidRPr="00A16EBA" w:rsidRDefault="00A16EBA" w:rsidP="005E2E48">
      <w:pPr>
        <w:rPr>
          <w:rFonts w:ascii="Times New Roman" w:eastAsia="Times New Roman" w:hAnsi="Times New Roman" w:cs="Times New Roman"/>
          <w:bCs/>
          <w:color w:val="000000"/>
          <w:sz w:val="24"/>
          <w:szCs w:val="24"/>
        </w:rPr>
      </w:pPr>
      <w:r w:rsidRPr="00A16EBA">
        <w:rPr>
          <w:rFonts w:ascii="Times New Roman" w:eastAsia="Times New Roman" w:hAnsi="Times New Roman" w:cs="Times New Roman"/>
          <w:bCs/>
          <w:color w:val="000000"/>
          <w:sz w:val="24"/>
          <w:szCs w:val="24"/>
        </w:rPr>
        <w:t xml:space="preserve">    Available funding options</w:t>
      </w:r>
    </w:p>
    <w:p w:rsidR="00A16EBA" w:rsidRPr="00A16EBA" w:rsidRDefault="00A16EBA" w:rsidP="005E2E48">
      <w:pPr>
        <w:rPr>
          <w:rFonts w:ascii="Times New Roman" w:eastAsia="Times New Roman" w:hAnsi="Times New Roman" w:cs="Times New Roman"/>
          <w:bCs/>
          <w:color w:val="000000"/>
          <w:sz w:val="24"/>
          <w:szCs w:val="24"/>
        </w:rPr>
      </w:pPr>
      <w:r w:rsidRPr="00A16EBA">
        <w:rPr>
          <w:rFonts w:ascii="Times New Roman" w:eastAsia="Times New Roman" w:hAnsi="Times New Roman" w:cs="Times New Roman"/>
          <w:bCs/>
          <w:color w:val="000000"/>
          <w:sz w:val="24"/>
          <w:szCs w:val="24"/>
        </w:rPr>
        <w:t xml:space="preserve">    Before the event legal expenses </w:t>
      </w:r>
      <w:r w:rsidR="00D42FBC" w:rsidRPr="00A16EBA">
        <w:rPr>
          <w:rFonts w:ascii="Times New Roman" w:eastAsia="Times New Roman" w:hAnsi="Times New Roman" w:cs="Times New Roman"/>
          <w:bCs/>
          <w:color w:val="000000"/>
          <w:sz w:val="24"/>
          <w:szCs w:val="24"/>
        </w:rPr>
        <w:t>insurance (</w:t>
      </w:r>
      <w:r w:rsidRPr="00A16EBA">
        <w:rPr>
          <w:rFonts w:ascii="Times New Roman" w:eastAsia="Times New Roman" w:hAnsi="Times New Roman" w:cs="Times New Roman"/>
          <w:bCs/>
          <w:color w:val="000000"/>
          <w:sz w:val="24"/>
          <w:szCs w:val="24"/>
        </w:rPr>
        <w:t xml:space="preserve">BTE) </w:t>
      </w:r>
    </w:p>
    <w:p w:rsidR="00A16EBA" w:rsidRPr="00A16EBA" w:rsidRDefault="00A16EBA" w:rsidP="005E2E48">
      <w:pPr>
        <w:rPr>
          <w:rFonts w:ascii="Times New Roman" w:eastAsia="Times New Roman" w:hAnsi="Times New Roman" w:cs="Times New Roman"/>
          <w:bCs/>
          <w:color w:val="000000"/>
          <w:sz w:val="24"/>
          <w:szCs w:val="24"/>
        </w:rPr>
      </w:pPr>
      <w:r w:rsidRPr="00A16EBA">
        <w:rPr>
          <w:rFonts w:ascii="Times New Roman" w:eastAsia="Times New Roman" w:hAnsi="Times New Roman" w:cs="Times New Roman"/>
          <w:bCs/>
          <w:color w:val="000000"/>
          <w:sz w:val="24"/>
          <w:szCs w:val="24"/>
        </w:rPr>
        <w:t xml:space="preserve">    Private funding</w:t>
      </w:r>
    </w:p>
    <w:p w:rsidR="005E2E48" w:rsidRPr="005E2E48" w:rsidRDefault="00A16EBA" w:rsidP="005E2E48">
      <w:pPr>
        <w:spacing w:after="100" w:line="480" w:lineRule="auto"/>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Conditional fee </w:t>
      </w:r>
      <w:r w:rsidR="00D42FBC">
        <w:rPr>
          <w:rFonts w:ascii="Times New Roman" w:eastAsia="Times New Roman" w:hAnsi="Times New Roman" w:cs="Times New Roman"/>
          <w:sz w:val="24"/>
          <w:szCs w:val="24"/>
        </w:rPr>
        <w:t>agreement (</w:t>
      </w:r>
      <w:r>
        <w:rPr>
          <w:rFonts w:ascii="Times New Roman" w:eastAsia="Times New Roman" w:hAnsi="Times New Roman" w:cs="Times New Roman"/>
          <w:sz w:val="24"/>
          <w:szCs w:val="24"/>
        </w:rPr>
        <w:t>CFA)</w:t>
      </w:r>
    </w:p>
    <w:p w:rsidR="00A16EBA" w:rsidRDefault="00366CE1" w:rsidP="00A16EBA">
      <w:pPr>
        <w:spacing w:after="100" w:line="480" w:lineRule="auto"/>
        <w:ind w:left="240"/>
        <w:jc w:val="both"/>
        <w:rPr>
          <w:rFonts w:ascii="Times New Roman" w:eastAsia="Times New Roman" w:hAnsi="Times New Roman" w:cs="Times New Roman"/>
          <w:sz w:val="24"/>
          <w:szCs w:val="24"/>
        </w:rPr>
      </w:pPr>
      <w:hyperlink r:id="rId6" w:anchor="heading=h.zihwov3hy650" w:history="1">
        <w:r w:rsidR="00A16EBA">
          <w:rPr>
            <w:rFonts w:ascii="Times New Roman" w:eastAsia="Times New Roman" w:hAnsi="Times New Roman" w:cs="Times New Roman"/>
            <w:color w:val="222222"/>
            <w:sz w:val="24"/>
            <w:szCs w:val="24"/>
          </w:rPr>
          <w:t>Potential</w:t>
        </w:r>
      </w:hyperlink>
      <w:r w:rsidR="00A16EBA">
        <w:rPr>
          <w:rFonts w:ascii="Times New Roman" w:eastAsia="Times New Roman" w:hAnsi="Times New Roman" w:cs="Times New Roman"/>
          <w:sz w:val="24"/>
          <w:szCs w:val="24"/>
        </w:rPr>
        <w:t xml:space="preserve"> liability of legal costs</w:t>
      </w:r>
    </w:p>
    <w:p w:rsidR="00A16EBA" w:rsidRDefault="00A16EBA" w:rsidP="00A16EBA">
      <w:pPr>
        <w:spacing w:after="1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Task 2</w:t>
      </w:r>
    </w:p>
    <w:p w:rsidR="00A16EBA" w:rsidRDefault="00A16EBA" w:rsidP="00A16EBA">
      <w:pPr>
        <w:spacing w:after="1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Briefing note – procedural steps for progressing the claim</w:t>
      </w:r>
    </w:p>
    <w:p w:rsidR="00A16EBA" w:rsidRDefault="00A16EBA" w:rsidP="00A16EBA">
      <w:pPr>
        <w:spacing w:after="1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Limitation</w:t>
      </w:r>
    </w:p>
    <w:p w:rsidR="005E2E48" w:rsidRPr="005E2E48" w:rsidRDefault="00A16EBA" w:rsidP="00A16EBA">
      <w:pPr>
        <w:spacing w:after="1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Medical evidence </w:t>
      </w:r>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7" w:anchor="heading=h.1bfmey98r41" w:history="1">
        <w:r w:rsidR="00A16EBA">
          <w:rPr>
            <w:rFonts w:ascii="Times New Roman" w:eastAsia="Times New Roman" w:hAnsi="Times New Roman" w:cs="Times New Roman"/>
            <w:bCs/>
            <w:color w:val="222222"/>
            <w:sz w:val="24"/>
            <w:szCs w:val="24"/>
          </w:rPr>
          <w:t>Liability i</w:t>
        </w:r>
        <w:r w:rsidR="005E2E48" w:rsidRPr="00A16EBA">
          <w:rPr>
            <w:rFonts w:ascii="Times New Roman" w:eastAsia="Times New Roman" w:hAnsi="Times New Roman" w:cs="Times New Roman"/>
            <w:bCs/>
            <w:color w:val="222222"/>
            <w:sz w:val="24"/>
            <w:szCs w:val="24"/>
          </w:rPr>
          <w:t>nvestigations</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8" w:anchor="heading=h.6kcdkwea3r3r" w:history="1">
        <w:r w:rsidR="00A16EBA" w:rsidRPr="00A16EBA">
          <w:rPr>
            <w:rFonts w:ascii="Times New Roman" w:eastAsia="Times New Roman" w:hAnsi="Times New Roman" w:cs="Times New Roman"/>
            <w:bCs/>
            <w:color w:val="222222"/>
            <w:sz w:val="24"/>
            <w:szCs w:val="24"/>
          </w:rPr>
          <w:t>Pre-action p</w:t>
        </w:r>
        <w:r w:rsidR="005E2E48" w:rsidRPr="00A16EBA">
          <w:rPr>
            <w:rFonts w:ascii="Times New Roman" w:eastAsia="Times New Roman" w:hAnsi="Times New Roman" w:cs="Times New Roman"/>
            <w:bCs/>
            <w:color w:val="222222"/>
            <w:sz w:val="24"/>
            <w:szCs w:val="24"/>
          </w:rPr>
          <w:t>rotocol</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9" w:anchor="heading=h.d3xuy3y825bm" w:history="1">
        <w:r w:rsidR="00A16EBA" w:rsidRPr="00A16EBA">
          <w:rPr>
            <w:rFonts w:ascii="Times New Roman" w:eastAsia="Times New Roman" w:hAnsi="Times New Roman" w:cs="Times New Roman"/>
            <w:bCs/>
            <w:color w:val="222222"/>
            <w:sz w:val="24"/>
            <w:szCs w:val="24"/>
          </w:rPr>
          <w:t>Letter of c</w:t>
        </w:r>
        <w:r w:rsidR="005E2E48" w:rsidRPr="00A16EBA">
          <w:rPr>
            <w:rFonts w:ascii="Times New Roman" w:eastAsia="Times New Roman" w:hAnsi="Times New Roman" w:cs="Times New Roman"/>
            <w:bCs/>
            <w:color w:val="222222"/>
            <w:sz w:val="24"/>
            <w:szCs w:val="24"/>
          </w:rPr>
          <w:t>laim</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10" w:anchor="heading=h.8r57mt8kut7f" w:history="1">
        <w:r w:rsidR="005E2E48" w:rsidRPr="00A16EBA">
          <w:rPr>
            <w:rFonts w:ascii="Times New Roman" w:eastAsia="Times New Roman" w:hAnsi="Times New Roman" w:cs="Times New Roman"/>
            <w:bCs/>
            <w:color w:val="222222"/>
            <w:sz w:val="24"/>
            <w:szCs w:val="24"/>
          </w:rPr>
          <w:t>Rehabilitation</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11" w:anchor="heading=h.equ2tp5gpds7" w:history="1">
        <w:r w:rsidR="005E2E48" w:rsidRPr="00A16EBA">
          <w:rPr>
            <w:rFonts w:ascii="Times New Roman" w:eastAsia="Times New Roman" w:hAnsi="Times New Roman" w:cs="Times New Roman"/>
            <w:bCs/>
            <w:color w:val="222222"/>
            <w:sz w:val="24"/>
            <w:szCs w:val="24"/>
          </w:rPr>
          <w:t>Settlement and ADR</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12" w:anchor="heading=h.54wzwnqndfm" w:history="1">
        <w:r w:rsidR="00A16EBA" w:rsidRPr="00A16EBA">
          <w:rPr>
            <w:rFonts w:ascii="Times New Roman" w:eastAsia="Times New Roman" w:hAnsi="Times New Roman" w:cs="Times New Roman"/>
            <w:bCs/>
            <w:color w:val="222222"/>
            <w:sz w:val="24"/>
            <w:szCs w:val="24"/>
          </w:rPr>
          <w:t>Issuing p</w:t>
        </w:r>
        <w:r w:rsidR="005E2E48" w:rsidRPr="00A16EBA">
          <w:rPr>
            <w:rFonts w:ascii="Times New Roman" w:eastAsia="Times New Roman" w:hAnsi="Times New Roman" w:cs="Times New Roman"/>
            <w:bCs/>
            <w:color w:val="222222"/>
            <w:sz w:val="24"/>
            <w:szCs w:val="24"/>
          </w:rPr>
          <w:t>roceedings</w:t>
        </w:r>
        <w:r w:rsidR="005E2E48" w:rsidRPr="005E2E48">
          <w:rPr>
            <w:rFonts w:ascii="Times New Roman" w:eastAsia="Times New Roman" w:hAnsi="Times New Roman" w:cs="Times New Roman"/>
            <w:color w:val="222222"/>
            <w:sz w:val="24"/>
            <w:szCs w:val="24"/>
          </w:rPr>
          <w:tab/>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13" w:anchor="heading=h.xhiil6kvxri6" w:history="1">
        <w:r w:rsidR="00A16EBA" w:rsidRPr="00A16EBA">
          <w:rPr>
            <w:rFonts w:ascii="Times New Roman" w:eastAsia="Times New Roman" w:hAnsi="Times New Roman" w:cs="Times New Roman"/>
            <w:bCs/>
            <w:color w:val="222222"/>
            <w:sz w:val="24"/>
            <w:szCs w:val="24"/>
          </w:rPr>
          <w:t>Service of p</w:t>
        </w:r>
        <w:r w:rsidR="005E2E48" w:rsidRPr="00A16EBA">
          <w:rPr>
            <w:rFonts w:ascii="Times New Roman" w:eastAsia="Times New Roman" w:hAnsi="Times New Roman" w:cs="Times New Roman"/>
            <w:bCs/>
            <w:color w:val="222222"/>
            <w:sz w:val="24"/>
            <w:szCs w:val="24"/>
          </w:rPr>
          <w:t>roceedings</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14" w:anchor="heading=h.1umwpl9w47hv" w:history="1">
        <w:r w:rsidR="00A16EBA" w:rsidRPr="00A16EBA">
          <w:rPr>
            <w:rFonts w:ascii="Times New Roman" w:eastAsia="Times New Roman" w:hAnsi="Times New Roman" w:cs="Times New Roman"/>
            <w:bCs/>
            <w:color w:val="222222"/>
            <w:sz w:val="24"/>
            <w:szCs w:val="24"/>
          </w:rPr>
          <w:t>Defendant’s o</w:t>
        </w:r>
        <w:r w:rsidR="005E2E48" w:rsidRPr="00A16EBA">
          <w:rPr>
            <w:rFonts w:ascii="Times New Roman" w:eastAsia="Times New Roman" w:hAnsi="Times New Roman" w:cs="Times New Roman"/>
            <w:bCs/>
            <w:color w:val="222222"/>
            <w:sz w:val="24"/>
            <w:szCs w:val="24"/>
          </w:rPr>
          <w:t>ptions</w:t>
        </w:r>
      </w:hyperlink>
    </w:p>
    <w:p w:rsidR="005E2E48" w:rsidRPr="005E2E48" w:rsidRDefault="00366CE1" w:rsidP="005E2E48">
      <w:pPr>
        <w:spacing w:after="100" w:line="480" w:lineRule="auto"/>
        <w:ind w:left="240"/>
        <w:jc w:val="both"/>
        <w:rPr>
          <w:rFonts w:ascii="Times New Roman" w:eastAsia="Times New Roman" w:hAnsi="Times New Roman" w:cs="Times New Roman"/>
          <w:sz w:val="24"/>
          <w:szCs w:val="24"/>
        </w:rPr>
      </w:pPr>
      <w:hyperlink r:id="rId15" w:anchor="heading=h.lv5mqddxtek5" w:history="1">
        <w:r w:rsidR="00A16EBA" w:rsidRPr="00A16EBA">
          <w:rPr>
            <w:rFonts w:ascii="Times New Roman" w:eastAsia="Times New Roman" w:hAnsi="Times New Roman" w:cs="Times New Roman"/>
            <w:bCs/>
            <w:color w:val="222222"/>
            <w:sz w:val="24"/>
            <w:szCs w:val="24"/>
          </w:rPr>
          <w:t>Default j</w:t>
        </w:r>
        <w:r w:rsidR="005E2E48" w:rsidRPr="00A16EBA">
          <w:rPr>
            <w:rFonts w:ascii="Times New Roman" w:eastAsia="Times New Roman" w:hAnsi="Times New Roman" w:cs="Times New Roman"/>
            <w:bCs/>
            <w:color w:val="222222"/>
            <w:sz w:val="24"/>
            <w:szCs w:val="24"/>
          </w:rPr>
          <w:t>udgment</w:t>
        </w:r>
      </w:hyperlink>
    </w:p>
    <w:p w:rsidR="005E2E48" w:rsidRPr="005E2E48" w:rsidRDefault="00366CE1" w:rsidP="005E2E48">
      <w:pPr>
        <w:spacing w:after="100" w:line="480" w:lineRule="auto"/>
        <w:jc w:val="both"/>
        <w:rPr>
          <w:rFonts w:ascii="Times New Roman" w:eastAsia="Times New Roman" w:hAnsi="Times New Roman" w:cs="Times New Roman"/>
          <w:sz w:val="24"/>
          <w:szCs w:val="24"/>
        </w:rPr>
      </w:pPr>
      <w:hyperlink r:id="rId16" w:anchor="heading=h.4nbddyr7k6y4" w:history="1">
        <w:r w:rsidR="005E2E48" w:rsidRPr="00371F3D">
          <w:rPr>
            <w:rFonts w:ascii="Times New Roman" w:eastAsia="Times New Roman" w:hAnsi="Times New Roman" w:cs="Times New Roman"/>
            <w:bCs/>
            <w:color w:val="222222"/>
            <w:sz w:val="24"/>
            <w:szCs w:val="24"/>
          </w:rPr>
          <w:t>4. Conclusion</w:t>
        </w:r>
        <w:r w:rsidR="005E2E48" w:rsidRPr="00371F3D">
          <w:rPr>
            <w:rFonts w:ascii="Times New Roman" w:eastAsia="Times New Roman" w:hAnsi="Times New Roman" w:cs="Times New Roman"/>
            <w:color w:val="222222"/>
            <w:sz w:val="24"/>
            <w:szCs w:val="24"/>
          </w:rPr>
          <w:tab/>
        </w:r>
      </w:hyperlink>
    </w:p>
    <w:p w:rsidR="005E2E48" w:rsidRPr="005E2E48" w:rsidRDefault="00371F3D" w:rsidP="005E2E48">
      <w:pPr>
        <w:spacing w:after="1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w:t>
      </w:r>
      <w:hyperlink r:id="rId17" w:anchor="heading=h.2m5trd4cg4pv" w:history="1">
        <w:r w:rsidR="005E2E48" w:rsidRPr="005E2E48">
          <w:rPr>
            <w:rFonts w:ascii="Times New Roman" w:eastAsia="Times New Roman" w:hAnsi="Times New Roman" w:cs="Times New Roman"/>
            <w:color w:val="222222"/>
            <w:sz w:val="24"/>
            <w:szCs w:val="24"/>
          </w:rPr>
          <w:t>References</w:t>
        </w:r>
        <w:r w:rsidR="005E2E48" w:rsidRPr="005E2E48">
          <w:rPr>
            <w:rFonts w:ascii="Times New Roman" w:eastAsia="Times New Roman" w:hAnsi="Times New Roman" w:cs="Times New Roman"/>
            <w:color w:val="222222"/>
            <w:sz w:val="24"/>
            <w:szCs w:val="24"/>
          </w:rPr>
          <w:tab/>
        </w:r>
      </w:hyperlink>
    </w:p>
    <w:p w:rsidR="005E2E48" w:rsidRPr="005E2E48" w:rsidRDefault="005E2E48" w:rsidP="005E2E48">
      <w:pPr>
        <w:spacing w:after="0" w:line="240" w:lineRule="auto"/>
        <w:rPr>
          <w:rFonts w:ascii="Times New Roman" w:eastAsia="Times New Roman" w:hAnsi="Times New Roman" w:cs="Times New Roman"/>
          <w:sz w:val="24"/>
          <w:szCs w:val="24"/>
        </w:rPr>
      </w:pPr>
    </w:p>
    <w:p w:rsidR="005E2E48" w:rsidRDefault="005E2E48"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5E2E48">
      <w:pPr>
        <w:rPr>
          <w:szCs w:val="28"/>
        </w:rPr>
      </w:pPr>
    </w:p>
    <w:p w:rsidR="003B6DEB" w:rsidRDefault="003B6DEB" w:rsidP="003B6DEB">
      <w:pPr>
        <w:pStyle w:val="Heading1"/>
        <w:spacing w:before="0" w:line="480" w:lineRule="auto"/>
        <w:jc w:val="both"/>
      </w:pPr>
      <w:r>
        <w:rPr>
          <w:color w:val="000000"/>
        </w:rPr>
        <w:lastRenderedPageBreak/>
        <w:t>1. Introduction</w:t>
      </w:r>
    </w:p>
    <w:p w:rsidR="003B6DEB" w:rsidRDefault="003B6DEB" w:rsidP="003B6DEB">
      <w:pPr>
        <w:pStyle w:val="NormalWeb"/>
        <w:spacing w:before="0" w:beforeAutospacing="0" w:after="0" w:afterAutospacing="0" w:line="480" w:lineRule="auto"/>
        <w:jc w:val="both"/>
      </w:pPr>
      <w:r>
        <w:rPr>
          <w:color w:val="000000"/>
        </w:rPr>
        <w:t>The development of this report evaluates the ultimate potential associated with the injury claim of Ms Daniela Foster, who mainly sustained injuries from a road traffic accident while cycling. The first task will provide the client with clear advice on all available funding options and union support. The second task will represent the briefing note outlining the procedural steps required to achieve progress in the claim. </w:t>
      </w:r>
    </w:p>
    <w:p w:rsidR="00734D9B" w:rsidRDefault="003B6DEB" w:rsidP="003B6DEB">
      <w:pPr>
        <w:pStyle w:val="Heading1"/>
        <w:spacing w:before="0" w:line="480" w:lineRule="auto"/>
        <w:jc w:val="both"/>
        <w:rPr>
          <w:color w:val="000000"/>
        </w:rPr>
      </w:pPr>
      <w:r>
        <w:rPr>
          <w:color w:val="000000"/>
        </w:rPr>
        <w:t>2. Task 1</w:t>
      </w:r>
    </w:p>
    <w:p w:rsidR="003B6DEB" w:rsidRDefault="003B6DEB" w:rsidP="003B6DEB">
      <w:pPr>
        <w:pStyle w:val="Heading1"/>
        <w:spacing w:before="0" w:line="480" w:lineRule="auto"/>
        <w:jc w:val="both"/>
      </w:pPr>
      <w:r>
        <w:rPr>
          <w:color w:val="000000"/>
        </w:rPr>
        <w:t>Advice Letter to Ms</w:t>
      </w:r>
      <w:r>
        <w:rPr>
          <w:color w:val="222222"/>
        </w:rPr>
        <w:t xml:space="preserve"> Foster</w:t>
      </w:r>
    </w:p>
    <w:p w:rsidR="003B6DEB" w:rsidRDefault="003B6DEB" w:rsidP="003B6DEB">
      <w:pPr>
        <w:pStyle w:val="NormalWeb"/>
        <w:spacing w:before="0" w:beforeAutospacing="0" w:after="0" w:afterAutospacing="0" w:line="480" w:lineRule="auto"/>
        <w:jc w:val="both"/>
      </w:pPr>
      <w:r>
        <w:rPr>
          <w:b/>
          <w:bCs/>
          <w:color w:val="222222"/>
        </w:rPr>
        <w:t>Harrington &amp; Co. Solicitors</w:t>
      </w:r>
    </w:p>
    <w:p w:rsidR="003B6DEB" w:rsidRDefault="003B6DEB" w:rsidP="003B6DEB">
      <w:pPr>
        <w:pStyle w:val="NormalWeb"/>
        <w:spacing w:before="0" w:beforeAutospacing="0" w:after="0" w:afterAutospacing="0" w:line="480" w:lineRule="auto"/>
        <w:jc w:val="both"/>
      </w:pPr>
      <w:r>
        <w:rPr>
          <w:color w:val="222222"/>
        </w:rPr>
        <w:t>Cardiff </w:t>
      </w:r>
    </w:p>
    <w:p w:rsidR="003B6DEB" w:rsidRDefault="003B6DEB" w:rsidP="003B6DEB">
      <w:pPr>
        <w:pStyle w:val="NormalWeb"/>
        <w:spacing w:before="0" w:beforeAutospacing="0" w:after="0" w:afterAutospacing="0" w:line="480" w:lineRule="auto"/>
        <w:jc w:val="both"/>
      </w:pPr>
      <w:r>
        <w:rPr>
          <w:color w:val="222222"/>
        </w:rPr>
        <w:t>Respected Ms Foster, </w:t>
      </w:r>
    </w:p>
    <w:p w:rsidR="003B6DEB" w:rsidRDefault="003B6DEB" w:rsidP="003B6DEB">
      <w:pPr>
        <w:pStyle w:val="NormalWeb"/>
        <w:spacing w:before="0" w:beforeAutospacing="0" w:after="0" w:afterAutospacing="0" w:line="480" w:lineRule="auto"/>
        <w:jc w:val="both"/>
      </w:pPr>
      <w:r>
        <w:rPr>
          <w:color w:val="222222"/>
        </w:rPr>
        <w:t>Based on your recent meeting with Ms Sarah Collins on January 14, 2026, I am writing to provide advice on the available funding options for pursuing your claim of personal injury, as well as the potential cost implications associated with these options. This particular advice is related to the information that you have provided at the time of the interview and also based on the preliminary ‘Proof of Evidence’ prepared by our main office. </w:t>
      </w:r>
    </w:p>
    <w:p w:rsidR="003B6DEB" w:rsidRDefault="003B6DEB" w:rsidP="003B6DEB">
      <w:pPr>
        <w:pStyle w:val="NormalWeb"/>
        <w:spacing w:before="0" w:beforeAutospacing="0" w:after="0" w:afterAutospacing="0" w:line="480" w:lineRule="auto"/>
        <w:jc w:val="both"/>
      </w:pPr>
      <w:r>
        <w:rPr>
          <w:color w:val="222222"/>
        </w:rPr>
        <w:t>Your overall claims arise as a consequence of the accident that occurred on the 10th day of December, 2025, as a result of road traffic, whereby you were initially hit by a certain vehicle in a special cycle lane, which caused a broken wrist, soft-neck tissue and other economic damages. At this phase, the driver was not found guilty of the liability, and additional searches are still in progress to understand whether the driver was insured or not. Our main role during the initial period of time when we interviewed the client was to evaluate the viability of all the claims and clarify the available funding arrangements. </w:t>
      </w:r>
    </w:p>
    <w:p w:rsidR="00734D9B" w:rsidRDefault="00734D9B" w:rsidP="003B6DEB">
      <w:pPr>
        <w:pStyle w:val="Heading2"/>
        <w:spacing w:before="0" w:beforeAutospacing="0" w:after="0" w:afterAutospacing="0" w:line="480" w:lineRule="auto"/>
        <w:jc w:val="both"/>
        <w:rPr>
          <w:color w:val="222222"/>
          <w:sz w:val="26"/>
          <w:szCs w:val="26"/>
        </w:rPr>
      </w:pPr>
    </w:p>
    <w:p w:rsidR="003B6DEB" w:rsidRDefault="003B6DEB" w:rsidP="003B6DEB">
      <w:pPr>
        <w:pStyle w:val="Heading2"/>
        <w:spacing w:before="0" w:beforeAutospacing="0" w:after="0" w:afterAutospacing="0" w:line="480" w:lineRule="auto"/>
        <w:jc w:val="both"/>
      </w:pPr>
      <w:r>
        <w:rPr>
          <w:color w:val="222222"/>
          <w:sz w:val="26"/>
          <w:szCs w:val="26"/>
        </w:rPr>
        <w:t xml:space="preserve">Available </w:t>
      </w:r>
      <w:r>
        <w:rPr>
          <w:color w:val="000000"/>
          <w:sz w:val="26"/>
          <w:szCs w:val="26"/>
        </w:rPr>
        <w:t>Funding Options</w:t>
      </w:r>
    </w:p>
    <w:p w:rsidR="003B6DEB" w:rsidRDefault="003B6DEB" w:rsidP="003B6DEB">
      <w:pPr>
        <w:pStyle w:val="NormalWeb"/>
        <w:spacing w:before="0" w:beforeAutospacing="0" w:after="0" w:afterAutospacing="0" w:line="480" w:lineRule="auto"/>
        <w:jc w:val="both"/>
      </w:pPr>
      <w:r>
        <w:rPr>
          <w:color w:val="000000"/>
        </w:rPr>
        <w:t>As you are a confirmed member of the GMB trade union, your union can help in the provision of legal assistance for your personal injury claim. The Trade Unions not only provide support during injury claims but also offer the necessary assistance in cases of professional and criminal misconduct, as well as employment law violations (Thompsons Solicitors, 2017). This indicates that the union may provide the payment of the solicitor for acting on your behalf, so that there is no requirement to pay yourself.</w:t>
      </w:r>
    </w:p>
    <w:p w:rsidR="003B6DEB" w:rsidRDefault="003B6DEB" w:rsidP="003B6DEB">
      <w:pPr>
        <w:pStyle w:val="NormalWeb"/>
        <w:spacing w:before="0" w:beforeAutospacing="0" w:after="0" w:afterAutospacing="0" w:line="480" w:lineRule="auto"/>
        <w:jc w:val="both"/>
      </w:pPr>
      <w:r>
        <w:rPr>
          <w:color w:val="000000"/>
        </w:rPr>
        <w:t xml:space="preserve">Moreover, in your current situation, the union may further instruct about their own panel of solicitors or further </w:t>
      </w:r>
      <w:proofErr w:type="spellStart"/>
      <w:r>
        <w:rPr>
          <w:color w:val="000000"/>
        </w:rPr>
        <w:t>authorise</w:t>
      </w:r>
      <w:proofErr w:type="spellEnd"/>
      <w:r>
        <w:rPr>
          <w:color w:val="000000"/>
        </w:rPr>
        <w:t xml:space="preserve"> our whole firm to act based on your offerings under their appropriate scheme. However, as per </w:t>
      </w:r>
      <w:proofErr w:type="spellStart"/>
      <w:r>
        <w:rPr>
          <w:color w:val="000000"/>
        </w:rPr>
        <w:t>Sintons</w:t>
      </w:r>
      <w:proofErr w:type="spellEnd"/>
      <w:r>
        <w:rPr>
          <w:color w:val="000000"/>
        </w:rPr>
        <w:t xml:space="preserve"> (2025), the solicitors mainly have an agreement with the whole Union for pursuing all the claims based on ‘No Win No Fee’. </w:t>
      </w:r>
    </w:p>
    <w:p w:rsidR="003B6DEB" w:rsidRDefault="003B6DEB" w:rsidP="003B6DEB">
      <w:pPr>
        <w:pStyle w:val="Heading2"/>
        <w:spacing w:before="0" w:beforeAutospacing="0" w:after="0" w:afterAutospacing="0" w:line="480" w:lineRule="auto"/>
        <w:jc w:val="both"/>
      </w:pPr>
      <w:r>
        <w:rPr>
          <w:color w:val="000000"/>
          <w:sz w:val="26"/>
          <w:szCs w:val="26"/>
        </w:rPr>
        <w:t>Before-the-Event Legal Expenses Insurance (BTE)</w:t>
      </w:r>
    </w:p>
    <w:p w:rsidR="003B6DEB" w:rsidRDefault="003B6DEB" w:rsidP="003B6DEB">
      <w:pPr>
        <w:pStyle w:val="NormalWeb"/>
        <w:spacing w:before="0" w:beforeAutospacing="0" w:after="0" w:afterAutospacing="0" w:line="480" w:lineRule="auto"/>
        <w:jc w:val="both"/>
      </w:pPr>
      <w:r>
        <w:rPr>
          <w:color w:val="000000"/>
        </w:rPr>
        <w:t xml:space="preserve">You also further mentioned that you mainly hold the insurance contents with the Insurance of </w:t>
      </w:r>
      <w:proofErr w:type="spellStart"/>
      <w:r>
        <w:rPr>
          <w:color w:val="000000"/>
        </w:rPr>
        <w:t>SafeHome</w:t>
      </w:r>
      <w:proofErr w:type="spellEnd"/>
      <w:r>
        <w:rPr>
          <w:color w:val="000000"/>
        </w:rPr>
        <w:t>. Several policies of home insurance often involve insurance of legal expenses, which is known as BTE insurance. BTE insurance covers personal motorists, fleet motorists, larger and small businesses, homeowners and also their immediate family, and lastly the property owners against any kind of legal costs (Allianz, 2026). If your policy involves BTE cover, then the insurer may further agree to provide the required funds for paying your solicitor and also for the claim against the main driver. </w:t>
      </w:r>
    </w:p>
    <w:p w:rsidR="003B6DEB" w:rsidRDefault="003B6DEB" w:rsidP="003B6DEB">
      <w:pPr>
        <w:pStyle w:val="Heading2"/>
        <w:spacing w:before="0" w:beforeAutospacing="0" w:after="0" w:afterAutospacing="0" w:line="480" w:lineRule="auto"/>
        <w:jc w:val="both"/>
      </w:pPr>
      <w:r>
        <w:rPr>
          <w:color w:val="000000"/>
          <w:sz w:val="26"/>
          <w:szCs w:val="26"/>
        </w:rPr>
        <w:t>Private Funding</w:t>
      </w:r>
    </w:p>
    <w:p w:rsidR="003B6DEB" w:rsidRDefault="003B6DEB" w:rsidP="003B6DEB">
      <w:pPr>
        <w:pStyle w:val="NormalWeb"/>
        <w:spacing w:before="0" w:beforeAutospacing="0" w:after="0" w:afterAutospacing="0" w:line="480" w:lineRule="auto"/>
        <w:jc w:val="both"/>
      </w:pPr>
      <w:r>
        <w:rPr>
          <w:color w:val="000000"/>
        </w:rPr>
        <w:t xml:space="preserve">Private funding mainly refers to the ability of the private sectors for raising their capital, which is </w:t>
      </w:r>
      <w:proofErr w:type="gramStart"/>
      <w:r>
        <w:rPr>
          <w:color w:val="000000"/>
        </w:rPr>
        <w:t>further</w:t>
      </w:r>
      <w:proofErr w:type="gramEnd"/>
      <w:r>
        <w:rPr>
          <w:color w:val="000000"/>
        </w:rPr>
        <w:t xml:space="preserve"> identified as a critical part for businesses within any particular phase of startup as well </w:t>
      </w:r>
      <w:r>
        <w:rPr>
          <w:color w:val="000000"/>
        </w:rPr>
        <w:lastRenderedPageBreak/>
        <w:t xml:space="preserve">(DFIN, 2024). Under private funding, you would mainly be responsible for paying both the legal fee and any other additional expenses associated with the case. Legal costs within the litigation of personal injury mainly include the professional fees of the solicitor, court fees during proceedings, fees of the expert medical reports, and lastly, the fees of other disbursements. Overall, it means that if there is no success in the claim, then you are required to pay all the costs by </w:t>
      </w:r>
      <w:proofErr w:type="gramStart"/>
      <w:r>
        <w:rPr>
          <w:color w:val="000000"/>
        </w:rPr>
        <w:t>yourself,</w:t>
      </w:r>
      <w:proofErr w:type="gramEnd"/>
      <w:r>
        <w:rPr>
          <w:color w:val="000000"/>
        </w:rPr>
        <w:t xml:space="preserve"> and because of this, private funding has higher risks</w:t>
      </w:r>
      <w:r w:rsidR="00D42FBC">
        <w:rPr>
          <w:color w:val="000000"/>
        </w:rPr>
        <w:t xml:space="preserve"> (DFIN, 2024)</w:t>
      </w:r>
      <w:r>
        <w:rPr>
          <w:color w:val="000000"/>
        </w:rPr>
        <w:t>.</w:t>
      </w:r>
    </w:p>
    <w:p w:rsidR="003B6DEB" w:rsidRDefault="003B6DEB" w:rsidP="003B6DEB">
      <w:pPr>
        <w:pStyle w:val="Heading2"/>
        <w:spacing w:before="0" w:beforeAutospacing="0" w:after="0" w:afterAutospacing="0" w:line="480" w:lineRule="auto"/>
        <w:jc w:val="both"/>
      </w:pPr>
      <w:r>
        <w:rPr>
          <w:color w:val="000000"/>
          <w:sz w:val="26"/>
          <w:szCs w:val="26"/>
        </w:rPr>
        <w:t>Conditional Fee Agreement (CFA)</w:t>
      </w:r>
    </w:p>
    <w:p w:rsidR="003B6DEB" w:rsidRDefault="003B6DEB" w:rsidP="003B6DEB">
      <w:pPr>
        <w:pStyle w:val="NormalWeb"/>
        <w:spacing w:before="0" w:beforeAutospacing="0" w:after="0" w:afterAutospacing="0" w:line="480" w:lineRule="auto"/>
        <w:jc w:val="both"/>
      </w:pPr>
      <w:r>
        <w:rPr>
          <w:color w:val="000000"/>
        </w:rPr>
        <w:t>CFA refers to the agreement associated with any legal representative and helps in providing their fees and also their expenses under any particular circumstances, like winning the client in any case (Thomson Reuters, 2026). Based on CFA, the payment of the solicitor is only given when the claim achieves success. But if there is an unsuccessful claim, then you need to pay the legal fees of your solicitor for all the work that has been done. Following the LASPO (Legal Aid, Sentencing and Punishment of Offenders Act 2012), as per the GOV.UK (2012), the success fee cannot be fully recovered from the actual defendant and is often deducted from all the awarded damages to the main claimant. Moreover, to protect against the ultimate risk of paying the costs of the opponents during the failure of the claim, it is really common to take out the insurance of ATE or ‘After-the-Event’ by the claimants (</w:t>
      </w:r>
      <w:proofErr w:type="spellStart"/>
      <w:r>
        <w:rPr>
          <w:color w:val="000000"/>
        </w:rPr>
        <w:t>Pinsent</w:t>
      </w:r>
      <w:proofErr w:type="spellEnd"/>
      <w:r>
        <w:rPr>
          <w:color w:val="000000"/>
        </w:rPr>
        <w:t xml:space="preserve"> </w:t>
      </w:r>
      <w:proofErr w:type="spellStart"/>
      <w:r>
        <w:rPr>
          <w:color w:val="000000"/>
        </w:rPr>
        <w:t>Mansons</w:t>
      </w:r>
      <w:proofErr w:type="spellEnd"/>
      <w:r>
        <w:rPr>
          <w:color w:val="000000"/>
        </w:rPr>
        <w:t>, 2023). In your case, the estimated ATE insurance rate is about £450.</w:t>
      </w:r>
    </w:p>
    <w:p w:rsidR="003B6DEB" w:rsidRDefault="003B6DEB" w:rsidP="003B6DEB">
      <w:pPr>
        <w:pStyle w:val="Heading2"/>
        <w:spacing w:before="0" w:beforeAutospacing="0" w:after="0" w:afterAutospacing="0" w:line="480" w:lineRule="auto"/>
        <w:jc w:val="both"/>
      </w:pPr>
      <w:r>
        <w:rPr>
          <w:color w:val="000000"/>
          <w:sz w:val="26"/>
          <w:szCs w:val="26"/>
        </w:rPr>
        <w:t>Potential Liability of Legal Costs</w:t>
      </w:r>
    </w:p>
    <w:p w:rsidR="003B6DEB" w:rsidRDefault="003B6DEB" w:rsidP="003B6DEB">
      <w:pPr>
        <w:pStyle w:val="NormalWeb"/>
        <w:spacing w:before="0" w:beforeAutospacing="0" w:after="0" w:afterAutospacing="0" w:line="480" w:lineRule="auto"/>
        <w:jc w:val="both"/>
      </w:pPr>
      <w:r>
        <w:rPr>
          <w:color w:val="000000"/>
        </w:rPr>
        <w:t xml:space="preserve">It is further important that you specifically understand all the situations in which you can successfully become responsible for the legal costs while pursuing the claim. If the case proceeds under any private funding, then you may be required to pay the legal fees of your solicitor regardless of the claim’s success. However, with the further proceedings of the claim under </w:t>
      </w:r>
      <w:r>
        <w:rPr>
          <w:color w:val="000000"/>
        </w:rPr>
        <w:lastRenderedPageBreak/>
        <w:t>CFA, you would mainly pay the legal fees if the claim achieves success. Overall, a success fee may also be deducted from your ultimate compensation as per CFA</w:t>
      </w:r>
      <w:r w:rsidR="00141039">
        <w:rPr>
          <w:color w:val="000000"/>
        </w:rPr>
        <w:t xml:space="preserve"> (Thomson Reuters, 2026)</w:t>
      </w:r>
      <w:r>
        <w:rPr>
          <w:color w:val="000000"/>
        </w:rPr>
        <w:t>. </w:t>
      </w:r>
    </w:p>
    <w:p w:rsidR="003B6DEB" w:rsidRDefault="003B6DEB" w:rsidP="003B6DEB">
      <w:pPr>
        <w:pStyle w:val="NormalWeb"/>
        <w:spacing w:before="0" w:beforeAutospacing="0" w:after="0" w:afterAutospacing="0" w:line="480" w:lineRule="auto"/>
        <w:jc w:val="both"/>
      </w:pPr>
      <w:r>
        <w:rPr>
          <w:color w:val="000000"/>
        </w:rPr>
        <w:t>On the other hand, while focusing on the areas of legal fees, disbursements may also develop at the time of the claim, like a report of a medical expert, court fees, and lastly, the costs of obtaining evidence as well. All of these may further be payable unless</w:t>
      </w:r>
      <w:r>
        <w:rPr>
          <w:color w:val="222222"/>
        </w:rPr>
        <w:t xml:space="preserve"> they are recovered from the main defendant. Under the ‘Civil Procedure Rules’ as per Justice.uk.gov (2026), the unsuccessful party may further be ordered to pay the costs of the opponents. According to IPOS Mediation (2026), courts may also impose the consequences of costs if the party refuses ADR unreasonably, as discussed in IPOS Mediation (2026), in ‘Halsey v Milton Keynes NHS Trust [2004]’.</w:t>
      </w:r>
    </w:p>
    <w:p w:rsidR="003B6DEB" w:rsidRDefault="003B6DEB" w:rsidP="003B6DEB">
      <w:pPr>
        <w:pStyle w:val="NormalWeb"/>
        <w:spacing w:before="0" w:beforeAutospacing="0" w:after="0" w:afterAutospacing="0" w:line="480" w:lineRule="auto"/>
        <w:jc w:val="both"/>
      </w:pPr>
      <w:r>
        <w:rPr>
          <w:color w:val="222222"/>
        </w:rPr>
        <w:t>Please do not hesitate to further contact us with your requirements regarding any kind of clarification of the matters within this letter. </w:t>
      </w:r>
    </w:p>
    <w:p w:rsidR="003B6DEB" w:rsidRDefault="003B6DEB" w:rsidP="003B6DEB">
      <w:pPr>
        <w:pStyle w:val="NormalWeb"/>
        <w:spacing w:before="0" w:beforeAutospacing="0" w:after="0" w:afterAutospacing="0" w:line="480" w:lineRule="auto"/>
        <w:jc w:val="both"/>
      </w:pPr>
      <w:r>
        <w:rPr>
          <w:color w:val="222222"/>
        </w:rPr>
        <w:t>Yours faithfully,</w:t>
      </w:r>
    </w:p>
    <w:p w:rsidR="003B6DEB" w:rsidRDefault="003B6DEB" w:rsidP="003B6DEB">
      <w:pPr>
        <w:pStyle w:val="NormalWeb"/>
        <w:spacing w:before="0" w:beforeAutospacing="0" w:after="0" w:afterAutospacing="0" w:line="480" w:lineRule="auto"/>
        <w:jc w:val="both"/>
      </w:pPr>
      <w:r>
        <w:rPr>
          <w:color w:val="222222"/>
        </w:rPr>
        <w:t>Trainee Paralegal</w:t>
      </w:r>
    </w:p>
    <w:p w:rsidR="003B6DEB" w:rsidRDefault="003B6DEB" w:rsidP="003B6DEB">
      <w:pPr>
        <w:pStyle w:val="NormalWeb"/>
        <w:spacing w:before="0" w:beforeAutospacing="0" w:after="0" w:afterAutospacing="0" w:line="480" w:lineRule="auto"/>
        <w:jc w:val="both"/>
      </w:pPr>
      <w:r>
        <w:rPr>
          <w:color w:val="222222"/>
        </w:rPr>
        <w:t>Harrington &amp; Co. Solicitors</w:t>
      </w:r>
    </w:p>
    <w:p w:rsidR="003E6013" w:rsidRDefault="003B6DEB" w:rsidP="003B6DEB">
      <w:pPr>
        <w:pStyle w:val="NormalWeb"/>
        <w:spacing w:before="240" w:beforeAutospacing="0" w:after="240" w:afterAutospacing="0" w:line="480" w:lineRule="auto"/>
        <w:jc w:val="both"/>
        <w:rPr>
          <w:b/>
          <w:bCs/>
          <w:color w:val="000000"/>
          <w:sz w:val="28"/>
          <w:szCs w:val="28"/>
        </w:rPr>
      </w:pPr>
      <w:r>
        <w:rPr>
          <w:b/>
          <w:bCs/>
          <w:color w:val="000000"/>
          <w:sz w:val="28"/>
          <w:szCs w:val="28"/>
        </w:rPr>
        <w:t xml:space="preserve">3. TASK 2 </w:t>
      </w:r>
    </w:p>
    <w:p w:rsidR="003B6DEB" w:rsidRDefault="003B6DEB" w:rsidP="003B6DEB">
      <w:pPr>
        <w:pStyle w:val="NormalWeb"/>
        <w:spacing w:before="240" w:beforeAutospacing="0" w:after="240" w:afterAutospacing="0" w:line="480" w:lineRule="auto"/>
        <w:jc w:val="both"/>
      </w:pPr>
      <w:r>
        <w:rPr>
          <w:b/>
          <w:bCs/>
          <w:color w:val="000000"/>
          <w:sz w:val="28"/>
          <w:szCs w:val="28"/>
        </w:rPr>
        <w:t>Briefing Note – Procedural Steps for Progressing the Claim</w:t>
      </w:r>
    </w:p>
    <w:p w:rsidR="003B6DEB" w:rsidRDefault="003B6DEB" w:rsidP="003B6DEB">
      <w:pPr>
        <w:pStyle w:val="NormalWeb"/>
        <w:spacing w:before="0" w:beforeAutospacing="0" w:after="0" w:afterAutospacing="0" w:line="480" w:lineRule="auto"/>
        <w:jc w:val="both"/>
      </w:pPr>
      <w:r>
        <w:rPr>
          <w:color w:val="000000"/>
        </w:rPr>
        <w:t>To: Sarah Collins</w:t>
      </w:r>
    </w:p>
    <w:p w:rsidR="003B6DEB" w:rsidRDefault="003B6DEB" w:rsidP="003B6DEB">
      <w:pPr>
        <w:pStyle w:val="NormalWeb"/>
        <w:spacing w:before="0" w:beforeAutospacing="0" w:after="0" w:afterAutospacing="0" w:line="480" w:lineRule="auto"/>
        <w:jc w:val="both"/>
      </w:pPr>
      <w:r>
        <w:rPr>
          <w:color w:val="000000"/>
        </w:rPr>
        <w:t>From: Trainee Paralegal</w:t>
      </w:r>
    </w:p>
    <w:p w:rsidR="003B6DEB" w:rsidRDefault="003B6DEB" w:rsidP="003B6DEB">
      <w:pPr>
        <w:pStyle w:val="NormalWeb"/>
        <w:spacing w:before="0" w:beforeAutospacing="0" w:after="0" w:afterAutospacing="0" w:line="480" w:lineRule="auto"/>
        <w:jc w:val="both"/>
      </w:pPr>
      <w:r>
        <w:rPr>
          <w:color w:val="000000"/>
        </w:rPr>
        <w:t>Re: Daniela Foster – Personal Injury Claim</w:t>
      </w:r>
    </w:p>
    <w:p w:rsidR="008B3C02" w:rsidRDefault="008B3C02" w:rsidP="003B6DEB">
      <w:pPr>
        <w:pStyle w:val="NormalWeb"/>
        <w:spacing w:before="360" w:beforeAutospacing="0" w:after="80" w:afterAutospacing="0" w:line="480" w:lineRule="auto"/>
        <w:jc w:val="both"/>
        <w:rPr>
          <w:b/>
          <w:bCs/>
          <w:color w:val="000000"/>
          <w:sz w:val="26"/>
          <w:szCs w:val="26"/>
        </w:rPr>
      </w:pPr>
    </w:p>
    <w:p w:rsidR="003B6DEB" w:rsidRDefault="003B6DEB" w:rsidP="003B6DEB">
      <w:pPr>
        <w:pStyle w:val="NormalWeb"/>
        <w:spacing w:before="360" w:beforeAutospacing="0" w:after="80" w:afterAutospacing="0" w:line="480" w:lineRule="auto"/>
        <w:jc w:val="both"/>
      </w:pPr>
      <w:r>
        <w:rPr>
          <w:b/>
          <w:bCs/>
          <w:color w:val="000000"/>
          <w:sz w:val="26"/>
          <w:szCs w:val="26"/>
        </w:rPr>
        <w:lastRenderedPageBreak/>
        <w:t>Limitation</w:t>
      </w:r>
    </w:p>
    <w:p w:rsidR="003B6DEB" w:rsidRDefault="003B6DEB" w:rsidP="003B6DEB">
      <w:pPr>
        <w:pStyle w:val="NormalWeb"/>
        <w:spacing w:before="240" w:beforeAutospacing="0" w:after="240" w:afterAutospacing="0" w:line="480" w:lineRule="auto"/>
        <w:jc w:val="both"/>
      </w:pPr>
      <w:r>
        <w:rPr>
          <w:color w:val="000000"/>
        </w:rPr>
        <w:t>It was the accident that occurred on 10 December 2025. The 11th section of the Limitation Act 1980 also indicates that the action of personal injury must be sued within three years of the occurrence of an accident or the knowledge of an injured person of the injury (Axis Solicitors, 2026). Based on this, the proceedings should be issued before 10 December 2028. There is no immediate limit risk at the moment, but this time frame should be paid attention to make sure that the claimant does not lose a legal opportunity to pursue the claim (Cunningham-Hill and Elder, 2018).</w:t>
      </w:r>
    </w:p>
    <w:p w:rsidR="003B6DEB" w:rsidRDefault="003B6DEB" w:rsidP="003B6DEB">
      <w:pPr>
        <w:pStyle w:val="NormalWeb"/>
        <w:spacing w:before="360" w:beforeAutospacing="0" w:after="80" w:afterAutospacing="0" w:line="480" w:lineRule="auto"/>
        <w:jc w:val="both"/>
      </w:pPr>
      <w:r>
        <w:rPr>
          <w:b/>
          <w:bCs/>
          <w:color w:val="000000"/>
          <w:sz w:val="26"/>
          <w:szCs w:val="26"/>
        </w:rPr>
        <w:t>Medical Evidence</w:t>
      </w:r>
    </w:p>
    <w:p w:rsidR="003B6DEB" w:rsidRDefault="003B6DEB" w:rsidP="003B6DEB">
      <w:pPr>
        <w:pStyle w:val="NormalWeb"/>
        <w:spacing w:before="240" w:beforeAutospacing="0" w:after="240" w:afterAutospacing="0" w:line="480" w:lineRule="auto"/>
        <w:jc w:val="both"/>
      </w:pPr>
      <w:r>
        <w:rPr>
          <w:color w:val="000000"/>
        </w:rPr>
        <w:t>Ms Foster needs to have medical reports that help to prove that she has suffered personal injury, and it is high time to pay the right amount of compensation. It also involves the retrieval of medical records in the hospital where she has been treated, including the University Hospital of Wales, and requesting GP records. A medico-legal report should also be directed to an independent medical expert. Part 35 of the Civil Procedure Rules demonstrates that expert evidence should be independent and helpful to the court (Ministry of Justice, 2021).</w:t>
      </w:r>
    </w:p>
    <w:p w:rsidR="003B6DEB" w:rsidRDefault="003B6DEB" w:rsidP="003B6DEB">
      <w:pPr>
        <w:pStyle w:val="NormalWeb"/>
        <w:spacing w:before="360" w:beforeAutospacing="0" w:after="80" w:afterAutospacing="0" w:line="480" w:lineRule="auto"/>
        <w:jc w:val="both"/>
      </w:pPr>
      <w:r>
        <w:rPr>
          <w:b/>
          <w:bCs/>
          <w:color w:val="000000"/>
          <w:sz w:val="26"/>
          <w:szCs w:val="26"/>
        </w:rPr>
        <w:t>Liability Investigations</w:t>
      </w:r>
    </w:p>
    <w:p w:rsidR="003B6DEB" w:rsidRDefault="003B6DEB" w:rsidP="003B6DEB">
      <w:pPr>
        <w:pStyle w:val="NormalWeb"/>
        <w:spacing w:before="240" w:beforeAutospacing="0" w:after="240" w:afterAutospacing="0" w:line="480" w:lineRule="auto"/>
        <w:jc w:val="both"/>
      </w:pPr>
      <w:r>
        <w:rPr>
          <w:color w:val="000000"/>
        </w:rPr>
        <w:t xml:space="preserve">An investigation of liability has to be conducted to establish whether the defendant committed negligence and was the cause of the accident. This includes obtaining the police report of the accident by use of the incident number assigned, contacting </w:t>
      </w:r>
      <w:proofErr w:type="spellStart"/>
      <w:r>
        <w:rPr>
          <w:color w:val="000000"/>
        </w:rPr>
        <w:t>Mrs</w:t>
      </w:r>
      <w:proofErr w:type="spellEnd"/>
      <w:r>
        <w:rPr>
          <w:color w:val="000000"/>
        </w:rPr>
        <w:t xml:space="preserve"> Ellen Davies, who was present during the accident and ensuring the existence of dash-cam footage. The identity of a driver should also be verified, as well as his insurance. It might also be possible to prove the violation </w:t>
      </w:r>
      <w:r>
        <w:rPr>
          <w:color w:val="000000"/>
        </w:rPr>
        <w:lastRenderedPageBreak/>
        <w:t>of the duty of care by the driver through the analysis of the place where the accident took place</w:t>
      </w:r>
      <w:r w:rsidR="00A914E6">
        <w:rPr>
          <w:color w:val="000000"/>
        </w:rPr>
        <w:t xml:space="preserve"> (PSIC, 2026)</w:t>
      </w:r>
      <w:r>
        <w:rPr>
          <w:color w:val="000000"/>
        </w:rPr>
        <w:t>.</w:t>
      </w:r>
    </w:p>
    <w:p w:rsidR="003B6DEB" w:rsidRDefault="003B6DEB" w:rsidP="003B6DEB">
      <w:pPr>
        <w:pStyle w:val="NormalWeb"/>
        <w:spacing w:before="360" w:beforeAutospacing="0" w:after="80" w:afterAutospacing="0" w:line="480" w:lineRule="auto"/>
        <w:jc w:val="both"/>
      </w:pPr>
      <w:r>
        <w:rPr>
          <w:b/>
          <w:bCs/>
          <w:color w:val="000000"/>
          <w:sz w:val="26"/>
          <w:szCs w:val="26"/>
        </w:rPr>
        <w:t>Pre-Action Protocol</w:t>
      </w:r>
    </w:p>
    <w:p w:rsidR="003B6DEB" w:rsidRDefault="003B6DEB" w:rsidP="003B6DEB">
      <w:pPr>
        <w:pStyle w:val="NormalWeb"/>
        <w:spacing w:before="240" w:beforeAutospacing="0" w:after="240" w:afterAutospacing="0" w:line="480" w:lineRule="auto"/>
        <w:jc w:val="both"/>
      </w:pPr>
      <w:r>
        <w:rPr>
          <w:color w:val="000000"/>
        </w:rPr>
        <w:t xml:space="preserve">The parties should adhere to the Pre-Action Protocol of Personal Injury Claims before the court proceedings begin. The protocol obliges parties to share information early and seek settlement before the process of litigation commences. Its major objectives include promoting transparency, reducing legal costs and reducing the issues in litigation. Upon the receipt of the Letter of Claim, the defendant has 21 days in which to receive the letter, followed by three months in which to enquire into the claims and to give a reasoned answer on the matter of liability. Lack of adherence to the protocol can lead to penalties of a cost nature brought by </w:t>
      </w:r>
      <w:r w:rsidR="006C474A" w:rsidRPr="006C474A">
        <w:rPr>
          <w:iCs/>
          <w:color w:val="222222"/>
        </w:rPr>
        <w:t>Civil Procedure Rules</w:t>
      </w:r>
      <w:r>
        <w:rPr>
          <w:color w:val="000000"/>
        </w:rPr>
        <w:t xml:space="preserve"> Part 44 (Justice UK, 2025).</w:t>
      </w:r>
    </w:p>
    <w:p w:rsidR="003B6DEB" w:rsidRDefault="003B6DEB" w:rsidP="003B6DEB">
      <w:pPr>
        <w:pStyle w:val="NormalWeb"/>
        <w:spacing w:before="360" w:beforeAutospacing="0" w:after="80" w:afterAutospacing="0" w:line="480" w:lineRule="auto"/>
        <w:jc w:val="both"/>
      </w:pPr>
      <w:r>
        <w:rPr>
          <w:b/>
          <w:bCs/>
          <w:color w:val="000000"/>
          <w:sz w:val="26"/>
          <w:szCs w:val="26"/>
        </w:rPr>
        <w:t>Letter of Claim</w:t>
      </w:r>
    </w:p>
    <w:p w:rsidR="003B6DEB" w:rsidRDefault="003B6DEB" w:rsidP="003B6DEB">
      <w:pPr>
        <w:pStyle w:val="NormalWeb"/>
        <w:spacing w:before="240" w:beforeAutospacing="0" w:after="240" w:afterAutospacing="0" w:line="480" w:lineRule="auto"/>
        <w:jc w:val="both"/>
      </w:pPr>
      <w:r>
        <w:rPr>
          <w:color w:val="000000"/>
        </w:rPr>
        <w:t>Once the preliminary enquiries are carried out, a formal Letter of Claim should be sent to the defendant or the defendant's insurance company. In the letter, the situation of the accident has to be explained clearly, negligence allegations are to be mentioned, the injuries that the claimant suffers, and financial losses should be mentioned. The defendant is offered this document to inform them of the claim. The defendant normally takes about three months under the pre-action protocol to prepare for the issue and respond</w:t>
      </w:r>
      <w:r w:rsidR="00A914E6">
        <w:rPr>
          <w:color w:val="000000"/>
        </w:rPr>
        <w:t xml:space="preserve"> </w:t>
      </w:r>
      <w:r w:rsidR="00A914E6" w:rsidRPr="00A914E6">
        <w:rPr>
          <w:color w:val="000000"/>
        </w:rPr>
        <w:t>(</w:t>
      </w:r>
      <w:proofErr w:type="spellStart"/>
      <w:r w:rsidR="00A914E6" w:rsidRPr="00A914E6">
        <w:rPr>
          <w:color w:val="000000"/>
        </w:rPr>
        <w:t>Grossi</w:t>
      </w:r>
      <w:proofErr w:type="spellEnd"/>
      <w:r w:rsidR="00A914E6" w:rsidRPr="00A914E6">
        <w:rPr>
          <w:color w:val="000000"/>
        </w:rPr>
        <w:t>, 2017).</w:t>
      </w:r>
    </w:p>
    <w:p w:rsidR="009F2711" w:rsidRDefault="009F2711" w:rsidP="003B6DEB">
      <w:pPr>
        <w:pStyle w:val="NormalWeb"/>
        <w:spacing w:before="360" w:beforeAutospacing="0" w:after="80" w:afterAutospacing="0" w:line="480" w:lineRule="auto"/>
        <w:jc w:val="both"/>
        <w:rPr>
          <w:b/>
          <w:bCs/>
          <w:color w:val="000000"/>
          <w:sz w:val="26"/>
          <w:szCs w:val="26"/>
        </w:rPr>
      </w:pPr>
    </w:p>
    <w:p w:rsidR="009F2711" w:rsidRDefault="009F2711" w:rsidP="003B6DEB">
      <w:pPr>
        <w:pStyle w:val="NormalWeb"/>
        <w:spacing w:before="360" w:beforeAutospacing="0" w:after="80" w:afterAutospacing="0" w:line="480" w:lineRule="auto"/>
        <w:jc w:val="both"/>
        <w:rPr>
          <w:b/>
          <w:bCs/>
          <w:color w:val="000000"/>
          <w:sz w:val="26"/>
          <w:szCs w:val="26"/>
        </w:rPr>
      </w:pPr>
    </w:p>
    <w:p w:rsidR="003B6DEB" w:rsidRDefault="003B6DEB" w:rsidP="003B6DEB">
      <w:pPr>
        <w:pStyle w:val="NormalWeb"/>
        <w:spacing w:before="360" w:beforeAutospacing="0" w:after="80" w:afterAutospacing="0" w:line="480" w:lineRule="auto"/>
        <w:jc w:val="both"/>
      </w:pPr>
      <w:r>
        <w:rPr>
          <w:b/>
          <w:bCs/>
          <w:color w:val="000000"/>
          <w:sz w:val="26"/>
          <w:szCs w:val="26"/>
        </w:rPr>
        <w:lastRenderedPageBreak/>
        <w:t>Rehabilitation</w:t>
      </w:r>
    </w:p>
    <w:p w:rsidR="003B6DEB" w:rsidRDefault="003B6DEB" w:rsidP="003B6DEB">
      <w:pPr>
        <w:pStyle w:val="NormalWeb"/>
        <w:spacing w:before="240" w:beforeAutospacing="0" w:after="240" w:afterAutospacing="0" w:line="480" w:lineRule="auto"/>
        <w:jc w:val="both"/>
      </w:pPr>
      <w:r>
        <w:rPr>
          <w:color w:val="000000"/>
        </w:rPr>
        <w:t>The Rehabilitation Code 2015 encourages early rehabilitation</w:t>
      </w:r>
      <w:r w:rsidR="00BF0130">
        <w:rPr>
          <w:color w:val="000000"/>
        </w:rPr>
        <w:t xml:space="preserve"> where there is personal injury. </w:t>
      </w:r>
      <w:r>
        <w:rPr>
          <w:color w:val="000000"/>
        </w:rPr>
        <w:t xml:space="preserve">This code aims to assist the injured claimants in recovery by providing them with proper treatment as early as possible. Physiotherapy can also be used in the case of Ms Foster to treat her fractured neck and wrist injuries. Early consideration of rehabilitation can enhance the health outcomes of the claimant and can also </w:t>
      </w:r>
      <w:proofErr w:type="spellStart"/>
      <w:r>
        <w:rPr>
          <w:color w:val="000000"/>
        </w:rPr>
        <w:t>minimise</w:t>
      </w:r>
      <w:proofErr w:type="spellEnd"/>
      <w:r>
        <w:rPr>
          <w:color w:val="000000"/>
        </w:rPr>
        <w:t xml:space="preserve"> the consequences of the injuries in the long-</w:t>
      </w:r>
      <w:proofErr w:type="gramStart"/>
      <w:r>
        <w:rPr>
          <w:color w:val="000000"/>
        </w:rPr>
        <w:t>term</w:t>
      </w:r>
      <w:r w:rsidR="00BF0130">
        <w:rPr>
          <w:color w:val="000000"/>
        </w:rPr>
        <w:t xml:space="preserve">  (</w:t>
      </w:r>
      <w:proofErr w:type="gramEnd"/>
      <w:r w:rsidR="00BF0130" w:rsidRPr="00BF0130">
        <w:rPr>
          <w:iCs/>
          <w:color w:val="222222"/>
        </w:rPr>
        <w:t>Rehabilitation Code 2015</w:t>
      </w:r>
      <w:r w:rsidR="00BF0130">
        <w:rPr>
          <w:color w:val="000000"/>
        </w:rPr>
        <w:t>, 2019).</w:t>
      </w:r>
      <w:r>
        <w:rPr>
          <w:color w:val="000000"/>
        </w:rPr>
        <w:t>.</w:t>
      </w:r>
    </w:p>
    <w:p w:rsidR="003B6DEB" w:rsidRDefault="003B6DEB" w:rsidP="003B6DEB">
      <w:pPr>
        <w:pStyle w:val="NormalWeb"/>
        <w:spacing w:before="360" w:beforeAutospacing="0" w:after="80" w:afterAutospacing="0" w:line="480" w:lineRule="auto"/>
        <w:jc w:val="both"/>
      </w:pPr>
      <w:r>
        <w:rPr>
          <w:b/>
          <w:bCs/>
          <w:color w:val="000000"/>
          <w:sz w:val="26"/>
          <w:szCs w:val="26"/>
        </w:rPr>
        <w:t>Settlement and ADR</w:t>
      </w:r>
    </w:p>
    <w:p w:rsidR="003B6DEB" w:rsidRDefault="003B6DEB" w:rsidP="003B6DEB">
      <w:pPr>
        <w:pStyle w:val="NormalWeb"/>
        <w:spacing w:before="240" w:beforeAutospacing="0" w:after="240" w:afterAutospacing="0" w:line="480" w:lineRule="auto"/>
        <w:jc w:val="both"/>
      </w:pPr>
      <w:r>
        <w:rPr>
          <w:color w:val="000000"/>
        </w:rPr>
        <w:t>Negotiation of settlements can be done at any point in the claim. At the court level, the courts highly recommend parties use Alternative Dispute Resolution (ADR) as a means of settling disputes without goin</w:t>
      </w:r>
      <w:r w:rsidR="00043326">
        <w:rPr>
          <w:color w:val="000000"/>
        </w:rPr>
        <w:t>g to Court</w:t>
      </w:r>
      <w:r>
        <w:rPr>
          <w:color w:val="000000"/>
        </w:rPr>
        <w:t xml:space="preserve">. ADRs can be negotiated between solicitors, mediated by an independent mediator, or made by formal offers of settlement under Part 36 of the Civil Procedure Rules. ADR helps in supporting the overall purpose of the </w:t>
      </w:r>
      <w:r w:rsidR="006C474A" w:rsidRPr="006C474A">
        <w:rPr>
          <w:iCs/>
          <w:color w:val="222222"/>
        </w:rPr>
        <w:t>Civil Procedure Rules</w:t>
      </w:r>
      <w:r w:rsidRPr="006C474A">
        <w:rPr>
          <w:color w:val="000000"/>
        </w:rPr>
        <w:t>,</w:t>
      </w:r>
      <w:r>
        <w:rPr>
          <w:color w:val="000000"/>
        </w:rPr>
        <w:t xml:space="preserve"> which facilitates solving disputes in a just, efficient, and at reasonable costs (Legg, 2016).</w:t>
      </w:r>
    </w:p>
    <w:p w:rsidR="003B6DEB" w:rsidRDefault="003B6DEB" w:rsidP="003B6DEB">
      <w:pPr>
        <w:pStyle w:val="NormalWeb"/>
        <w:spacing w:before="360" w:beforeAutospacing="0" w:after="80" w:afterAutospacing="0" w:line="480" w:lineRule="auto"/>
        <w:jc w:val="both"/>
      </w:pPr>
      <w:r>
        <w:rPr>
          <w:b/>
          <w:bCs/>
          <w:color w:val="000000"/>
          <w:sz w:val="26"/>
          <w:szCs w:val="26"/>
        </w:rPr>
        <w:t>Issuing Proceedings</w:t>
      </w:r>
    </w:p>
    <w:p w:rsidR="003B6DEB" w:rsidRDefault="003B6DEB" w:rsidP="003B6DEB">
      <w:pPr>
        <w:pStyle w:val="NormalWeb"/>
        <w:spacing w:before="240" w:beforeAutospacing="0" w:after="240" w:afterAutospacing="0" w:line="480" w:lineRule="auto"/>
        <w:jc w:val="both"/>
      </w:pPr>
      <w:r>
        <w:rPr>
          <w:color w:val="000000"/>
        </w:rPr>
        <w:t>Under the circumstances that the dispute cannot be defused in the pre-action step, the claimant would be granted access to official litigation. It serves proceedings by a Claim Form (Form N1), which is issued under CPR Part 7</w:t>
      </w:r>
      <w:r w:rsidR="00024B00">
        <w:rPr>
          <w:color w:val="000000"/>
        </w:rPr>
        <w:t xml:space="preserve">. </w:t>
      </w:r>
      <w:r>
        <w:rPr>
          <w:color w:val="000000"/>
        </w:rPr>
        <w:t xml:space="preserve">Specifications of the claim that contain the assertion of negligence, description of damages and injuries sustained are also normally annexed to the claim form. It is through proper presentation of the claim that the legal action in the civil court system is </w:t>
      </w:r>
      <w:proofErr w:type="gramStart"/>
      <w:r>
        <w:rPr>
          <w:color w:val="000000"/>
        </w:rPr>
        <w:t>initiated</w:t>
      </w:r>
      <w:r w:rsidR="00024B00">
        <w:rPr>
          <w:color w:val="000000"/>
        </w:rPr>
        <w:t>(</w:t>
      </w:r>
      <w:proofErr w:type="gramEnd"/>
      <w:r w:rsidR="00024B00">
        <w:rPr>
          <w:color w:val="000000"/>
        </w:rPr>
        <w:t>GOV.UK, 2025).</w:t>
      </w:r>
    </w:p>
    <w:p w:rsidR="003B6DEB" w:rsidRDefault="003B6DEB" w:rsidP="003B6DEB">
      <w:pPr>
        <w:pStyle w:val="NormalWeb"/>
        <w:spacing w:before="360" w:beforeAutospacing="0" w:after="80" w:afterAutospacing="0" w:line="480" w:lineRule="auto"/>
        <w:jc w:val="both"/>
      </w:pPr>
      <w:r>
        <w:rPr>
          <w:b/>
          <w:bCs/>
          <w:color w:val="000000"/>
          <w:sz w:val="26"/>
          <w:szCs w:val="26"/>
        </w:rPr>
        <w:lastRenderedPageBreak/>
        <w:t>Service of Proceedings</w:t>
      </w:r>
    </w:p>
    <w:p w:rsidR="003B6DEB" w:rsidRDefault="003B6DEB" w:rsidP="003B6DEB">
      <w:pPr>
        <w:pStyle w:val="NormalWeb"/>
        <w:spacing w:before="240" w:beforeAutospacing="0" w:after="240" w:afterAutospacing="0" w:line="480" w:lineRule="auto"/>
        <w:jc w:val="both"/>
      </w:pPr>
      <w:r>
        <w:rPr>
          <w:color w:val="000000"/>
        </w:rPr>
        <w:t xml:space="preserve">After the claim form is issued by the </w:t>
      </w:r>
      <w:r w:rsidR="00873064">
        <w:rPr>
          <w:color w:val="000000"/>
        </w:rPr>
        <w:t>court, it is supposed to be correctly</w:t>
      </w:r>
      <w:r>
        <w:rPr>
          <w:color w:val="000000"/>
        </w:rPr>
        <w:t xml:space="preserve"> delivered to the defendant. CPR 7.5 provides that the Claim Form must be served within four months after the date of issue if the defendant is located in England and Wales</w:t>
      </w:r>
      <w:r w:rsidR="000C008F">
        <w:rPr>
          <w:color w:val="000000"/>
        </w:rPr>
        <w:t>.</w:t>
      </w:r>
      <w:r>
        <w:rPr>
          <w:color w:val="EE0000"/>
        </w:rPr>
        <w:t xml:space="preserve"> </w:t>
      </w:r>
      <w:r>
        <w:rPr>
          <w:color w:val="000000"/>
        </w:rPr>
        <w:t>Adequate service is crucial since it informs the defendant formally of the claim of law and initiates the time constraints within which the defendant can respond</w:t>
      </w:r>
      <w:r w:rsidR="000C008F">
        <w:rPr>
          <w:color w:val="000000"/>
        </w:rPr>
        <w:t xml:space="preserve"> </w:t>
      </w:r>
      <w:r w:rsidR="00873064">
        <w:rPr>
          <w:color w:val="000000"/>
        </w:rPr>
        <w:t>(Wiggin, 2017)</w:t>
      </w:r>
      <w:r>
        <w:rPr>
          <w:color w:val="000000"/>
        </w:rPr>
        <w:t>.</w:t>
      </w:r>
    </w:p>
    <w:p w:rsidR="003B6DEB" w:rsidRDefault="003B6DEB" w:rsidP="003B6DEB">
      <w:pPr>
        <w:pStyle w:val="NormalWeb"/>
        <w:spacing w:before="360" w:beforeAutospacing="0" w:after="80" w:afterAutospacing="0" w:line="480" w:lineRule="auto"/>
        <w:jc w:val="both"/>
      </w:pPr>
      <w:r>
        <w:rPr>
          <w:b/>
          <w:bCs/>
          <w:color w:val="000000"/>
          <w:sz w:val="26"/>
          <w:szCs w:val="26"/>
        </w:rPr>
        <w:t>Defendant’s Options</w:t>
      </w:r>
    </w:p>
    <w:p w:rsidR="003B6DEB" w:rsidRDefault="003B6DEB" w:rsidP="003B6DEB">
      <w:pPr>
        <w:pStyle w:val="NormalWeb"/>
        <w:spacing w:before="240" w:beforeAutospacing="0" w:after="240" w:afterAutospacing="0" w:line="480" w:lineRule="auto"/>
        <w:jc w:val="both"/>
      </w:pPr>
      <w:r>
        <w:rPr>
          <w:color w:val="000000"/>
        </w:rPr>
        <w:t xml:space="preserve">In case of failure of the defendant to respond within the terms required, the claimant may seek the court to grant a default </w:t>
      </w:r>
      <w:r w:rsidR="00053E21">
        <w:rPr>
          <w:color w:val="000000"/>
        </w:rPr>
        <w:t xml:space="preserve">judgment as per the CPR Part 12. </w:t>
      </w:r>
      <w:r>
        <w:rPr>
          <w:color w:val="000000"/>
        </w:rPr>
        <w:t xml:space="preserve">It is a judgment by default in which the judge can sentence in </w:t>
      </w:r>
      <w:proofErr w:type="spellStart"/>
      <w:r>
        <w:rPr>
          <w:color w:val="000000"/>
        </w:rPr>
        <w:t>favour</w:t>
      </w:r>
      <w:proofErr w:type="spellEnd"/>
      <w:r>
        <w:rPr>
          <w:color w:val="000000"/>
        </w:rPr>
        <w:t xml:space="preserve"> of the claimant without necessarily hearing the case. This kind of process ensures that litigation by the defendants is not postponed because of a lack of knowledge of the court-related materials, to do so and that claims are expedited through the civil justice system properly</w:t>
      </w:r>
      <w:r w:rsidR="00053E21">
        <w:rPr>
          <w:color w:val="000000"/>
        </w:rPr>
        <w:t xml:space="preserve"> (</w:t>
      </w:r>
      <w:proofErr w:type="spellStart"/>
      <w:r w:rsidR="00053E21">
        <w:rPr>
          <w:color w:val="000000"/>
        </w:rPr>
        <w:t>Lexology</w:t>
      </w:r>
      <w:proofErr w:type="spellEnd"/>
      <w:r w:rsidR="00053E21">
        <w:rPr>
          <w:color w:val="000000"/>
        </w:rPr>
        <w:t>, 2026).</w:t>
      </w:r>
    </w:p>
    <w:p w:rsidR="003B6DEB" w:rsidRDefault="003B6DEB" w:rsidP="003B6DEB">
      <w:pPr>
        <w:pStyle w:val="NormalWeb"/>
        <w:spacing w:before="360" w:beforeAutospacing="0" w:after="80" w:afterAutospacing="0" w:line="480" w:lineRule="auto"/>
        <w:jc w:val="both"/>
      </w:pPr>
      <w:r>
        <w:rPr>
          <w:b/>
          <w:bCs/>
          <w:color w:val="000000"/>
          <w:sz w:val="26"/>
          <w:szCs w:val="26"/>
        </w:rPr>
        <w:t>Default Judgment</w:t>
      </w:r>
    </w:p>
    <w:p w:rsidR="003B6DEB" w:rsidRDefault="003B6DEB" w:rsidP="003B6DEB">
      <w:pPr>
        <w:pStyle w:val="NormalWeb"/>
        <w:spacing w:before="240" w:beforeAutospacing="0" w:after="240" w:afterAutospacing="0" w:line="480" w:lineRule="auto"/>
        <w:jc w:val="both"/>
      </w:pPr>
      <w:r>
        <w:rPr>
          <w:color w:val="000000"/>
        </w:rPr>
        <w:t>The claimant may also ask the court to impose a default judgment on the defendant in case he or she fails to respond within the required tim</w:t>
      </w:r>
      <w:r w:rsidR="00053E21">
        <w:rPr>
          <w:color w:val="000000"/>
        </w:rPr>
        <w:t xml:space="preserve">e frames as per the CPR Part 12. </w:t>
      </w:r>
      <w:r>
        <w:rPr>
          <w:color w:val="000000"/>
        </w:rPr>
        <w:t>It is a default judgment, in which the court can make a judgment on behalf of the claimant without necessarily a trial. This process ensures that defendants cannot delay litigation due to a lack of knowledge of court-related documents and that claims can be brought effectively through the civil justice system</w:t>
      </w:r>
      <w:r w:rsidR="00053E21">
        <w:rPr>
          <w:color w:val="000000"/>
        </w:rPr>
        <w:t xml:space="preserve"> (</w:t>
      </w:r>
      <w:proofErr w:type="spellStart"/>
      <w:r w:rsidR="00053E21">
        <w:rPr>
          <w:color w:val="000000"/>
        </w:rPr>
        <w:t>Lexology</w:t>
      </w:r>
      <w:proofErr w:type="spellEnd"/>
      <w:r w:rsidR="00053E21">
        <w:rPr>
          <w:color w:val="000000"/>
        </w:rPr>
        <w:t>, 2026).</w:t>
      </w:r>
    </w:p>
    <w:p w:rsidR="003B6DEB" w:rsidRDefault="003B6DEB" w:rsidP="003B6DEB">
      <w:pPr>
        <w:pStyle w:val="NormalWeb"/>
        <w:spacing w:before="280" w:beforeAutospacing="0" w:after="240" w:afterAutospacing="0" w:line="480" w:lineRule="auto"/>
        <w:jc w:val="both"/>
      </w:pPr>
      <w:r>
        <w:rPr>
          <w:b/>
          <w:bCs/>
          <w:color w:val="000000"/>
          <w:sz w:val="28"/>
          <w:szCs w:val="28"/>
        </w:rPr>
        <w:lastRenderedPageBreak/>
        <w:t>4. Conclusion</w:t>
      </w:r>
    </w:p>
    <w:p w:rsidR="00F35EC3" w:rsidRPr="00F35EC3" w:rsidRDefault="003B6DEB" w:rsidP="00F35EC3">
      <w:pPr>
        <w:pStyle w:val="NormalWeb"/>
        <w:spacing w:before="240" w:beforeAutospacing="0" w:after="240" w:afterAutospacing="0" w:line="480" w:lineRule="auto"/>
        <w:jc w:val="both"/>
      </w:pPr>
      <w:r>
        <w:rPr>
          <w:color w:val="000000"/>
        </w:rPr>
        <w:t xml:space="preserve">Lastly, Ms Foster can access a lot of sources of funding, including union funding, BTE insurance, private funding or a Conditional Fee Agreement. All options have various costs and risk implications, but such covers as QOCS and ATE insurance can </w:t>
      </w:r>
      <w:proofErr w:type="spellStart"/>
      <w:r>
        <w:rPr>
          <w:color w:val="000000"/>
        </w:rPr>
        <w:t>minimise</w:t>
      </w:r>
      <w:proofErr w:type="spellEnd"/>
      <w:r>
        <w:rPr>
          <w:color w:val="000000"/>
        </w:rPr>
        <w:t xml:space="preserve"> financial risk. In case the claim is pursued, the case would go through the civil litigation process, which involves investigations and adherence to pre-action procedures prior to the potential court proceedings.</w:t>
      </w:r>
    </w:p>
    <w:p w:rsidR="00F35EC3" w:rsidRDefault="00F35EC3" w:rsidP="00F35EC3">
      <w:pPr>
        <w:pStyle w:val="Heading1"/>
        <w:spacing w:before="0" w:line="480" w:lineRule="auto"/>
        <w:jc w:val="both"/>
      </w:pPr>
      <w:r>
        <w:rPr>
          <w:color w:val="222222"/>
        </w:rPr>
        <w:t>5. References</w:t>
      </w:r>
    </w:p>
    <w:p w:rsidR="00F35EC3" w:rsidRDefault="00F35EC3" w:rsidP="00F35EC3">
      <w:pPr>
        <w:pStyle w:val="NormalWeb"/>
        <w:spacing w:before="240" w:beforeAutospacing="0" w:after="240" w:afterAutospacing="0" w:line="480" w:lineRule="auto"/>
        <w:jc w:val="both"/>
      </w:pPr>
      <w:r>
        <w:rPr>
          <w:color w:val="222222"/>
        </w:rPr>
        <w:t xml:space="preserve">1. Allianz (2026). </w:t>
      </w:r>
      <w:proofErr w:type="gramStart"/>
      <w:r>
        <w:rPr>
          <w:i/>
          <w:iCs/>
          <w:color w:val="222222"/>
        </w:rPr>
        <w:t>Before the Event (BTE) insurance</w:t>
      </w:r>
      <w:r>
        <w:rPr>
          <w:color w:val="222222"/>
        </w:rPr>
        <w:t>.</w:t>
      </w:r>
      <w:proofErr w:type="gramEnd"/>
      <w:r>
        <w:rPr>
          <w:color w:val="222222"/>
        </w:rPr>
        <w:t xml:space="preserve"> [</w:t>
      </w:r>
      <w:proofErr w:type="gramStart"/>
      <w:r>
        <w:rPr>
          <w:color w:val="222222"/>
        </w:rPr>
        <w:t>online</w:t>
      </w:r>
      <w:proofErr w:type="gramEnd"/>
      <w:r>
        <w:rPr>
          <w:color w:val="222222"/>
        </w:rPr>
        <w:t xml:space="preserve">] </w:t>
      </w:r>
      <w:proofErr w:type="gramStart"/>
      <w:r>
        <w:rPr>
          <w:color w:val="222222"/>
        </w:rPr>
        <w:t>Allianz Insurance.</w:t>
      </w:r>
      <w:proofErr w:type="gramEnd"/>
      <w:r>
        <w:rPr>
          <w:color w:val="222222"/>
        </w:rPr>
        <w:t xml:space="preserve"> Available at: https://www.allianz.co.uk/insurance/legal-protection/Products/before-the-event.html [Accessed 10 Mar. 2026].</w:t>
      </w:r>
    </w:p>
    <w:p w:rsidR="00F35EC3" w:rsidRDefault="00F35EC3" w:rsidP="00F35EC3">
      <w:pPr>
        <w:pStyle w:val="NormalWeb"/>
        <w:spacing w:before="240" w:beforeAutospacing="0" w:after="240" w:afterAutospacing="0" w:line="480" w:lineRule="auto"/>
        <w:jc w:val="both"/>
      </w:pPr>
      <w:r>
        <w:rPr>
          <w:color w:val="222222"/>
        </w:rPr>
        <w:t>2. Axis Solicitors. (2026).</w:t>
      </w:r>
      <w:r>
        <w:rPr>
          <w:i/>
          <w:iCs/>
          <w:color w:val="222222"/>
        </w:rPr>
        <w:t xml:space="preserve"> Limitation Act 1980: How Long Do You Have to Make a Claim? </w:t>
      </w:r>
      <w:r>
        <w:rPr>
          <w:color w:val="222222"/>
        </w:rPr>
        <w:t>[</w:t>
      </w:r>
      <w:proofErr w:type="gramStart"/>
      <w:r>
        <w:rPr>
          <w:color w:val="222222"/>
        </w:rPr>
        <w:t>online</w:t>
      </w:r>
      <w:proofErr w:type="gramEnd"/>
      <w:r>
        <w:rPr>
          <w:color w:val="222222"/>
        </w:rPr>
        <w:t>] Available at: https://axis.lawyer/limitation-act-1980/ [Accessed 8 Mar. 2026].</w:t>
      </w:r>
    </w:p>
    <w:p w:rsidR="00F35EC3" w:rsidRDefault="00F35EC3" w:rsidP="00F35EC3">
      <w:pPr>
        <w:pStyle w:val="NormalWeb"/>
        <w:spacing w:before="240" w:beforeAutospacing="0" w:after="240" w:afterAutospacing="0" w:line="480" w:lineRule="auto"/>
        <w:jc w:val="both"/>
      </w:pPr>
      <w:r>
        <w:rPr>
          <w:color w:val="222222"/>
        </w:rPr>
        <w:t>Cunningham-Hill, S. and Elder, K. (2018)</w:t>
      </w:r>
      <w:r>
        <w:rPr>
          <w:i/>
          <w:iCs/>
          <w:color w:val="222222"/>
        </w:rPr>
        <w:t xml:space="preserve"> Civil Litigation 2018-2019,</w:t>
      </w:r>
      <w:r>
        <w:rPr>
          <w:color w:val="222222"/>
        </w:rPr>
        <w:t xml:space="preserve"> 11 </w:t>
      </w:r>
      <w:proofErr w:type="spellStart"/>
      <w:r>
        <w:rPr>
          <w:color w:val="222222"/>
        </w:rPr>
        <w:t>thedn</w:t>
      </w:r>
      <w:proofErr w:type="spellEnd"/>
      <w:r>
        <w:rPr>
          <w:color w:val="222222"/>
        </w:rPr>
        <w:t>, OUP</w:t>
      </w:r>
    </w:p>
    <w:p w:rsidR="00F35EC3" w:rsidRDefault="00F226FB" w:rsidP="00F35EC3">
      <w:pPr>
        <w:pStyle w:val="NormalWeb"/>
        <w:spacing w:before="240" w:beforeAutospacing="0" w:after="240" w:afterAutospacing="0" w:line="480" w:lineRule="auto"/>
        <w:jc w:val="both"/>
      </w:pPr>
      <w:r>
        <w:rPr>
          <w:color w:val="222222"/>
        </w:rPr>
        <w:t xml:space="preserve">3. </w:t>
      </w:r>
      <w:r w:rsidR="00F35EC3">
        <w:rPr>
          <w:color w:val="222222"/>
        </w:rPr>
        <w:t xml:space="preserve">DFIN (2024). </w:t>
      </w:r>
      <w:proofErr w:type="gramStart"/>
      <w:r w:rsidR="00F35EC3">
        <w:rPr>
          <w:i/>
          <w:iCs/>
          <w:color w:val="222222"/>
        </w:rPr>
        <w:t>Types of Funding for Private Companies</w:t>
      </w:r>
      <w:r w:rsidR="00F35EC3">
        <w:rPr>
          <w:color w:val="222222"/>
        </w:rPr>
        <w:t>.</w:t>
      </w:r>
      <w:proofErr w:type="gramEnd"/>
      <w:r w:rsidR="00F35EC3">
        <w:rPr>
          <w:color w:val="222222"/>
        </w:rPr>
        <w:t xml:space="preserve"> [</w:t>
      </w:r>
      <w:proofErr w:type="gramStart"/>
      <w:r w:rsidR="00F35EC3">
        <w:rPr>
          <w:color w:val="222222"/>
        </w:rPr>
        <w:t>online</w:t>
      </w:r>
      <w:proofErr w:type="gramEnd"/>
      <w:r w:rsidR="00F35EC3">
        <w:rPr>
          <w:color w:val="222222"/>
        </w:rPr>
        <w:t xml:space="preserve">] </w:t>
      </w:r>
      <w:proofErr w:type="gramStart"/>
      <w:r w:rsidR="00F35EC3">
        <w:rPr>
          <w:color w:val="222222"/>
        </w:rPr>
        <w:t>Donnelley Financial Solutions (DFIN).</w:t>
      </w:r>
      <w:proofErr w:type="gramEnd"/>
      <w:r w:rsidR="00F35EC3">
        <w:rPr>
          <w:color w:val="222222"/>
        </w:rPr>
        <w:t xml:space="preserve"> Available at: https://www.dfinsolutions.com/knowledge-hub/thought-leadership/knowledge-resources/private-company-funding [Accessed 9 Mar. 2026].</w:t>
      </w:r>
    </w:p>
    <w:p w:rsidR="00F35EC3" w:rsidRDefault="00F226FB" w:rsidP="00F35EC3">
      <w:pPr>
        <w:pStyle w:val="NormalWeb"/>
        <w:spacing w:before="240" w:beforeAutospacing="0" w:after="240" w:afterAutospacing="0" w:line="480" w:lineRule="auto"/>
        <w:jc w:val="both"/>
      </w:pPr>
      <w:r>
        <w:rPr>
          <w:color w:val="222222"/>
        </w:rPr>
        <w:t xml:space="preserve">4. </w:t>
      </w:r>
      <w:r w:rsidR="00F35EC3">
        <w:rPr>
          <w:color w:val="222222"/>
        </w:rPr>
        <w:t xml:space="preserve">GOV.UK (2012). </w:t>
      </w:r>
      <w:proofErr w:type="gramStart"/>
      <w:r w:rsidR="00F35EC3">
        <w:rPr>
          <w:i/>
          <w:iCs/>
          <w:color w:val="222222"/>
        </w:rPr>
        <w:t>Legal Aid, Sentencing and Punishment of Offenders Act 2012</w:t>
      </w:r>
      <w:r w:rsidR="00F35EC3">
        <w:rPr>
          <w:color w:val="222222"/>
        </w:rPr>
        <w:t>.</w:t>
      </w:r>
      <w:proofErr w:type="gramEnd"/>
      <w:r w:rsidR="00F35EC3">
        <w:rPr>
          <w:color w:val="222222"/>
        </w:rPr>
        <w:t xml:space="preserve"> [</w:t>
      </w:r>
      <w:proofErr w:type="gramStart"/>
      <w:r w:rsidR="00F35EC3">
        <w:rPr>
          <w:color w:val="222222"/>
        </w:rPr>
        <w:t>online</w:t>
      </w:r>
      <w:proofErr w:type="gramEnd"/>
      <w:r w:rsidR="00F35EC3">
        <w:rPr>
          <w:color w:val="222222"/>
        </w:rPr>
        <w:t>] Legislation.gov.uk. Available at: https://www.legislation.gov.uk/ukpga/2012/10/contents [Accessed 10 Mar. 2026].</w:t>
      </w:r>
    </w:p>
    <w:p w:rsidR="00F35EC3" w:rsidRDefault="00F226FB" w:rsidP="00F35EC3">
      <w:pPr>
        <w:pStyle w:val="NormalWeb"/>
        <w:spacing w:before="240" w:beforeAutospacing="0" w:after="240" w:afterAutospacing="0" w:line="480" w:lineRule="auto"/>
        <w:jc w:val="both"/>
        <w:rPr>
          <w:color w:val="222222"/>
        </w:rPr>
      </w:pPr>
      <w:r>
        <w:rPr>
          <w:color w:val="222222"/>
        </w:rPr>
        <w:lastRenderedPageBreak/>
        <w:t xml:space="preserve">5. </w:t>
      </w:r>
      <w:r w:rsidR="00F35EC3">
        <w:rPr>
          <w:color w:val="222222"/>
        </w:rPr>
        <w:t xml:space="preserve">GOV.UK (2025). </w:t>
      </w:r>
      <w:r w:rsidR="00F35EC3">
        <w:rPr>
          <w:i/>
          <w:iCs/>
          <w:color w:val="222222"/>
        </w:rPr>
        <w:t xml:space="preserve">Form N1: Make a claim against a person or </w:t>
      </w:r>
      <w:proofErr w:type="spellStart"/>
      <w:r w:rsidR="00F35EC3">
        <w:rPr>
          <w:i/>
          <w:iCs/>
          <w:color w:val="222222"/>
        </w:rPr>
        <w:t>organisation</w:t>
      </w:r>
      <w:proofErr w:type="spellEnd"/>
      <w:r w:rsidR="00F35EC3">
        <w:rPr>
          <w:i/>
          <w:iCs/>
          <w:color w:val="222222"/>
        </w:rPr>
        <w:t xml:space="preserve"> (Claim form CPR Part 7). </w:t>
      </w:r>
      <w:r w:rsidR="00F35EC3">
        <w:rPr>
          <w:color w:val="222222"/>
        </w:rPr>
        <w:t>[</w:t>
      </w:r>
      <w:proofErr w:type="gramStart"/>
      <w:r w:rsidR="00F35EC3">
        <w:rPr>
          <w:color w:val="222222"/>
        </w:rPr>
        <w:t>online</w:t>
      </w:r>
      <w:proofErr w:type="gramEnd"/>
      <w:r w:rsidR="00F35EC3">
        <w:rPr>
          <w:color w:val="222222"/>
        </w:rPr>
        <w:t>] GOV.UK. Available at: https://www.gov.uk/government/publications/form-n1-claim-form-cpr-part-7 [Accessed 11 Mar. 2026].</w:t>
      </w:r>
    </w:p>
    <w:p w:rsidR="00841BE9" w:rsidRDefault="00841BE9" w:rsidP="00F35EC3">
      <w:pPr>
        <w:pStyle w:val="NormalWeb"/>
        <w:spacing w:before="240" w:beforeAutospacing="0" w:after="240" w:afterAutospacing="0" w:line="480" w:lineRule="auto"/>
        <w:jc w:val="both"/>
      </w:pPr>
      <w:r>
        <w:t xml:space="preserve">6. </w:t>
      </w:r>
      <w:proofErr w:type="spellStart"/>
      <w:r w:rsidRPr="00841BE9">
        <w:t>Grossi</w:t>
      </w:r>
      <w:proofErr w:type="spellEnd"/>
      <w:r w:rsidRPr="00841BE9">
        <w:t xml:space="preserve">, S. (2017). </w:t>
      </w:r>
      <w:proofErr w:type="gramStart"/>
      <w:r w:rsidRPr="00841BE9">
        <w:t>The Claim.</w:t>
      </w:r>
      <w:proofErr w:type="gramEnd"/>
      <w:r w:rsidRPr="00841BE9">
        <w:t> </w:t>
      </w:r>
      <w:proofErr w:type="spellStart"/>
      <w:proofErr w:type="gramStart"/>
      <w:r w:rsidRPr="00841BE9">
        <w:t>Hous</w:t>
      </w:r>
      <w:proofErr w:type="spellEnd"/>
      <w:r w:rsidRPr="00841BE9">
        <w:t>.</w:t>
      </w:r>
      <w:proofErr w:type="gramEnd"/>
      <w:r w:rsidRPr="00841BE9">
        <w:t xml:space="preserve"> L. Rev., 55, 1-63.</w:t>
      </w:r>
    </w:p>
    <w:p w:rsidR="00F35EC3" w:rsidRDefault="00841BE9" w:rsidP="00F35EC3">
      <w:pPr>
        <w:pStyle w:val="NormalWeb"/>
        <w:spacing w:before="240" w:beforeAutospacing="0" w:after="240" w:afterAutospacing="0" w:line="480" w:lineRule="auto"/>
        <w:jc w:val="both"/>
      </w:pPr>
      <w:r>
        <w:rPr>
          <w:color w:val="222222"/>
        </w:rPr>
        <w:t>7</w:t>
      </w:r>
      <w:r w:rsidR="00F226FB">
        <w:rPr>
          <w:color w:val="222222"/>
        </w:rPr>
        <w:t xml:space="preserve">. </w:t>
      </w:r>
      <w:r w:rsidR="00F35EC3">
        <w:rPr>
          <w:color w:val="222222"/>
        </w:rPr>
        <w:t xml:space="preserve">IPOS Mediation (2026). </w:t>
      </w:r>
      <w:proofErr w:type="gramStart"/>
      <w:r w:rsidR="00F35EC3">
        <w:rPr>
          <w:i/>
          <w:iCs/>
          <w:color w:val="222222"/>
        </w:rPr>
        <w:t xml:space="preserve">Halsey -v- Milton Keynes General NHS Trust and Steel -v- Joy and </w:t>
      </w:r>
      <w:proofErr w:type="spellStart"/>
      <w:r w:rsidR="00F35EC3">
        <w:rPr>
          <w:i/>
          <w:iCs/>
          <w:color w:val="222222"/>
        </w:rPr>
        <w:t>Halliday</w:t>
      </w:r>
      <w:proofErr w:type="spellEnd"/>
      <w:r w:rsidR="00F35EC3">
        <w:rPr>
          <w:color w:val="222222"/>
        </w:rPr>
        <w:t>.</w:t>
      </w:r>
      <w:proofErr w:type="gramEnd"/>
      <w:r w:rsidR="00F35EC3">
        <w:rPr>
          <w:color w:val="222222"/>
        </w:rPr>
        <w:t xml:space="preserve"> [</w:t>
      </w:r>
      <w:proofErr w:type="gramStart"/>
      <w:r w:rsidR="00F35EC3">
        <w:rPr>
          <w:color w:val="222222"/>
        </w:rPr>
        <w:t>online</w:t>
      </w:r>
      <w:proofErr w:type="gramEnd"/>
      <w:r w:rsidR="00F35EC3">
        <w:rPr>
          <w:color w:val="222222"/>
        </w:rPr>
        <w:t xml:space="preserve">] </w:t>
      </w:r>
      <w:proofErr w:type="gramStart"/>
      <w:r w:rsidR="00F35EC3">
        <w:rPr>
          <w:color w:val="222222"/>
        </w:rPr>
        <w:t>IPOS Mediation.</w:t>
      </w:r>
      <w:proofErr w:type="gramEnd"/>
      <w:r w:rsidR="00F35EC3">
        <w:rPr>
          <w:color w:val="222222"/>
        </w:rPr>
        <w:t xml:space="preserve"> Available at: https://mediate.co.uk/case-law/halsey-v-milton-keynes-general-nhs-trust-and-steel-v-joy-and-halliday/ [Accessed 7 Mar. 2026].</w:t>
      </w:r>
    </w:p>
    <w:p w:rsidR="00F35EC3" w:rsidRDefault="00841BE9" w:rsidP="00F35EC3">
      <w:pPr>
        <w:pStyle w:val="NormalWeb"/>
        <w:spacing w:before="240" w:beforeAutospacing="0" w:after="240" w:afterAutospacing="0" w:line="480" w:lineRule="auto"/>
        <w:jc w:val="both"/>
      </w:pPr>
      <w:r>
        <w:rPr>
          <w:color w:val="222222"/>
        </w:rPr>
        <w:t>8</w:t>
      </w:r>
      <w:r w:rsidR="00F226FB">
        <w:rPr>
          <w:color w:val="222222"/>
        </w:rPr>
        <w:t xml:space="preserve">. </w:t>
      </w:r>
      <w:r w:rsidR="00F35EC3">
        <w:rPr>
          <w:color w:val="222222"/>
        </w:rPr>
        <w:t xml:space="preserve">Justice UK (2025). </w:t>
      </w:r>
      <w:r w:rsidR="00F35EC3">
        <w:rPr>
          <w:i/>
          <w:iCs/>
          <w:color w:val="222222"/>
        </w:rPr>
        <w:t>PRACTICE DIRECTION 44 - GENERAL RULES ABOUT COSTS</w:t>
      </w:r>
      <w:r w:rsidR="00F35EC3">
        <w:rPr>
          <w:color w:val="222222"/>
        </w:rPr>
        <w:t>. [</w:t>
      </w:r>
      <w:proofErr w:type="gramStart"/>
      <w:r w:rsidR="00F35EC3">
        <w:rPr>
          <w:color w:val="222222"/>
        </w:rPr>
        <w:t>online</w:t>
      </w:r>
      <w:proofErr w:type="gramEnd"/>
      <w:r w:rsidR="00F35EC3">
        <w:rPr>
          <w:color w:val="222222"/>
        </w:rPr>
        <w:t>] www.justice.gov.uk. Available at: https://www.justice.gov.uk/courts/procedure-rules/civil/rules/part-44-general-rules-about-costs/part-44-general-rules-about-costs2 [Accessed 6 Mar. 2026].</w:t>
      </w:r>
    </w:p>
    <w:p w:rsidR="00F35EC3" w:rsidRDefault="00841BE9" w:rsidP="00F35EC3">
      <w:pPr>
        <w:pStyle w:val="NormalWeb"/>
        <w:spacing w:before="240" w:beforeAutospacing="0" w:after="240" w:afterAutospacing="0" w:line="480" w:lineRule="auto"/>
        <w:jc w:val="both"/>
      </w:pPr>
      <w:r>
        <w:rPr>
          <w:color w:val="222222"/>
        </w:rPr>
        <w:t>9</w:t>
      </w:r>
      <w:r w:rsidR="00F226FB">
        <w:rPr>
          <w:color w:val="222222"/>
        </w:rPr>
        <w:t xml:space="preserve">. </w:t>
      </w:r>
      <w:r w:rsidR="00F35EC3">
        <w:rPr>
          <w:color w:val="222222"/>
        </w:rPr>
        <w:t xml:space="preserve">Justice.uk.gov (2026). </w:t>
      </w:r>
      <w:proofErr w:type="gramStart"/>
      <w:r w:rsidR="00F35EC3">
        <w:rPr>
          <w:i/>
          <w:iCs/>
          <w:color w:val="222222"/>
        </w:rPr>
        <w:t>Civil - Civil Procedure Rules</w:t>
      </w:r>
      <w:r w:rsidR="00F35EC3">
        <w:rPr>
          <w:color w:val="222222"/>
        </w:rPr>
        <w:t>.</w:t>
      </w:r>
      <w:proofErr w:type="gramEnd"/>
      <w:r w:rsidR="00F35EC3">
        <w:rPr>
          <w:color w:val="222222"/>
        </w:rPr>
        <w:t xml:space="preserve"> [</w:t>
      </w:r>
      <w:proofErr w:type="gramStart"/>
      <w:r w:rsidR="00F35EC3">
        <w:rPr>
          <w:color w:val="222222"/>
        </w:rPr>
        <w:t>online</w:t>
      </w:r>
      <w:proofErr w:type="gramEnd"/>
      <w:r w:rsidR="00F35EC3">
        <w:rPr>
          <w:color w:val="222222"/>
        </w:rPr>
        <w:t>] www.justice.gov.uk. Available at: https://www.justice.gov.uk/courts/procedure-rules/civil [Accessed 9 Mar. 2026].</w:t>
      </w:r>
    </w:p>
    <w:p w:rsidR="00F35EC3" w:rsidRDefault="00841BE9" w:rsidP="00F35EC3">
      <w:pPr>
        <w:pStyle w:val="NormalWeb"/>
        <w:spacing w:before="240" w:beforeAutospacing="0" w:after="240" w:afterAutospacing="0" w:line="480" w:lineRule="auto"/>
        <w:jc w:val="both"/>
      </w:pPr>
      <w:r>
        <w:rPr>
          <w:color w:val="222222"/>
        </w:rPr>
        <w:t>10</w:t>
      </w:r>
      <w:r w:rsidR="00F226FB">
        <w:rPr>
          <w:color w:val="222222"/>
        </w:rPr>
        <w:t xml:space="preserve">. </w:t>
      </w:r>
      <w:r w:rsidR="00F35EC3">
        <w:rPr>
          <w:color w:val="222222"/>
        </w:rPr>
        <w:t xml:space="preserve">Legg, M. (2016). </w:t>
      </w:r>
      <w:proofErr w:type="gramStart"/>
      <w:r w:rsidR="00F35EC3">
        <w:rPr>
          <w:i/>
          <w:iCs/>
          <w:color w:val="222222"/>
        </w:rPr>
        <w:t>Case Management and Complex Civil Litigation.</w:t>
      </w:r>
      <w:proofErr w:type="gramEnd"/>
      <w:r w:rsidR="00F35EC3">
        <w:rPr>
          <w:color w:val="222222"/>
        </w:rPr>
        <w:t xml:space="preserve"> </w:t>
      </w:r>
      <w:proofErr w:type="spellStart"/>
      <w:r w:rsidR="00F35EC3">
        <w:rPr>
          <w:color w:val="222222"/>
        </w:rPr>
        <w:t>Routledge</w:t>
      </w:r>
      <w:proofErr w:type="spellEnd"/>
    </w:p>
    <w:p w:rsidR="00F35EC3" w:rsidRDefault="00841BE9" w:rsidP="00F35EC3">
      <w:pPr>
        <w:pStyle w:val="NormalWeb"/>
        <w:spacing w:before="240" w:beforeAutospacing="0" w:after="240" w:afterAutospacing="0" w:line="480" w:lineRule="auto"/>
        <w:jc w:val="both"/>
      </w:pPr>
      <w:r>
        <w:rPr>
          <w:color w:val="222222"/>
        </w:rPr>
        <w:t>11</w:t>
      </w:r>
      <w:r w:rsidR="00F226FB">
        <w:rPr>
          <w:color w:val="222222"/>
        </w:rPr>
        <w:t xml:space="preserve">. </w:t>
      </w:r>
      <w:r w:rsidR="00F35EC3">
        <w:rPr>
          <w:color w:val="222222"/>
        </w:rPr>
        <w:t>LexisNexis (2019).</w:t>
      </w:r>
      <w:r w:rsidR="00F35EC3">
        <w:rPr>
          <w:i/>
          <w:iCs/>
          <w:color w:val="222222"/>
        </w:rPr>
        <w:t xml:space="preserve"> </w:t>
      </w:r>
      <w:proofErr w:type="gramStart"/>
      <w:r w:rsidR="00F35EC3">
        <w:rPr>
          <w:i/>
          <w:iCs/>
          <w:color w:val="222222"/>
        </w:rPr>
        <w:t>Rehabilitation Code 2015.</w:t>
      </w:r>
      <w:proofErr w:type="gramEnd"/>
      <w:r w:rsidR="00F35EC3">
        <w:rPr>
          <w:color w:val="222222"/>
        </w:rPr>
        <w:t xml:space="preserve"> [</w:t>
      </w:r>
      <w:proofErr w:type="gramStart"/>
      <w:r w:rsidR="00F35EC3">
        <w:rPr>
          <w:color w:val="222222"/>
        </w:rPr>
        <w:t>online</w:t>
      </w:r>
      <w:proofErr w:type="gramEnd"/>
      <w:r w:rsidR="00F35EC3">
        <w:rPr>
          <w:color w:val="222222"/>
        </w:rPr>
        <w:t xml:space="preserve">] </w:t>
      </w:r>
      <w:proofErr w:type="gramStart"/>
      <w:r w:rsidR="00F35EC3">
        <w:rPr>
          <w:color w:val="222222"/>
        </w:rPr>
        <w:t>@</w:t>
      </w:r>
      <w:proofErr w:type="spellStart"/>
      <w:r w:rsidR="00F35EC3">
        <w:rPr>
          <w:color w:val="222222"/>
        </w:rPr>
        <w:t>lexisnexis</w:t>
      </w:r>
      <w:proofErr w:type="spellEnd"/>
      <w:r w:rsidR="00F35EC3">
        <w:rPr>
          <w:color w:val="222222"/>
        </w:rPr>
        <w:t>.</w:t>
      </w:r>
      <w:proofErr w:type="gramEnd"/>
      <w:r w:rsidR="00F35EC3">
        <w:rPr>
          <w:color w:val="222222"/>
        </w:rPr>
        <w:t xml:space="preserve"> Available at: https://www.lexisnexis.co.uk/legal/guidance/rehabilitation-code-2015 [Accessed 11 Mar. 2026].</w:t>
      </w:r>
    </w:p>
    <w:p w:rsidR="00F35EC3" w:rsidRDefault="00841BE9" w:rsidP="00F35EC3">
      <w:pPr>
        <w:pStyle w:val="NormalWeb"/>
        <w:spacing w:before="240" w:beforeAutospacing="0" w:after="240" w:afterAutospacing="0" w:line="480" w:lineRule="auto"/>
        <w:jc w:val="both"/>
      </w:pPr>
      <w:r>
        <w:rPr>
          <w:color w:val="222222"/>
        </w:rPr>
        <w:t>12</w:t>
      </w:r>
      <w:r w:rsidR="00F226FB">
        <w:rPr>
          <w:color w:val="222222"/>
        </w:rPr>
        <w:t xml:space="preserve">. </w:t>
      </w:r>
      <w:proofErr w:type="spellStart"/>
      <w:r w:rsidR="00F35EC3">
        <w:rPr>
          <w:color w:val="222222"/>
        </w:rPr>
        <w:t>Lexology</w:t>
      </w:r>
      <w:proofErr w:type="spellEnd"/>
      <w:r w:rsidR="00F35EC3">
        <w:rPr>
          <w:color w:val="222222"/>
        </w:rPr>
        <w:t xml:space="preserve"> (2026). </w:t>
      </w:r>
      <w:r w:rsidR="00F35EC3">
        <w:rPr>
          <w:i/>
          <w:iCs/>
          <w:color w:val="222222"/>
        </w:rPr>
        <w:t xml:space="preserve">Claimant’s default judgment set aside for failure to comply with court rules. </w:t>
      </w:r>
      <w:r w:rsidR="00F35EC3">
        <w:rPr>
          <w:color w:val="222222"/>
        </w:rPr>
        <w:t>[</w:t>
      </w:r>
      <w:proofErr w:type="gramStart"/>
      <w:r w:rsidR="00F35EC3">
        <w:rPr>
          <w:color w:val="222222"/>
        </w:rPr>
        <w:t>online</w:t>
      </w:r>
      <w:proofErr w:type="gramEnd"/>
      <w:r w:rsidR="00F35EC3">
        <w:rPr>
          <w:color w:val="222222"/>
        </w:rPr>
        <w:t>] Lexology.com. Available at: https://www.lexology.com/library/detail.aspx?g=bf06b9a7-462f-4ef9-9c10-08af871b2aeb [Accessed 6 Mar. 2026].</w:t>
      </w:r>
    </w:p>
    <w:p w:rsidR="00F35EC3" w:rsidRDefault="00841BE9" w:rsidP="00F35EC3">
      <w:pPr>
        <w:pStyle w:val="NormalWeb"/>
        <w:spacing w:before="240" w:beforeAutospacing="0" w:after="240" w:afterAutospacing="0" w:line="480" w:lineRule="auto"/>
        <w:jc w:val="both"/>
      </w:pPr>
      <w:r>
        <w:rPr>
          <w:color w:val="222222"/>
        </w:rPr>
        <w:lastRenderedPageBreak/>
        <w:t>13</w:t>
      </w:r>
      <w:r w:rsidR="00F226FB">
        <w:rPr>
          <w:color w:val="222222"/>
        </w:rPr>
        <w:t xml:space="preserve">. </w:t>
      </w:r>
      <w:r w:rsidR="00F35EC3">
        <w:rPr>
          <w:color w:val="222222"/>
        </w:rPr>
        <w:t>Ministry of Justice (2021).</w:t>
      </w:r>
      <w:r w:rsidR="00F35EC3">
        <w:rPr>
          <w:i/>
          <w:iCs/>
          <w:color w:val="222222"/>
        </w:rPr>
        <w:t xml:space="preserve"> PART 35 - EXPERTS AND ASSESSORS - Civil Procedure Rules.</w:t>
      </w:r>
      <w:r w:rsidR="00F35EC3">
        <w:rPr>
          <w:color w:val="222222"/>
        </w:rPr>
        <w:t xml:space="preserve"> [</w:t>
      </w:r>
      <w:proofErr w:type="gramStart"/>
      <w:r w:rsidR="00F35EC3">
        <w:rPr>
          <w:color w:val="222222"/>
        </w:rPr>
        <w:t>online</w:t>
      </w:r>
      <w:proofErr w:type="gramEnd"/>
      <w:r w:rsidR="00F35EC3">
        <w:rPr>
          <w:color w:val="222222"/>
        </w:rPr>
        <w:t>] www.justice.gov.uk. Available at: https://www.justice.gov.uk/courts/procedure-rules/civil/rules/part35 [Accessed 9 Mar. 2026].</w:t>
      </w:r>
    </w:p>
    <w:p w:rsidR="00F35EC3" w:rsidRDefault="00841BE9" w:rsidP="00F35EC3">
      <w:pPr>
        <w:pStyle w:val="NormalWeb"/>
        <w:spacing w:before="240" w:beforeAutospacing="0" w:after="240" w:afterAutospacing="0" w:line="480" w:lineRule="auto"/>
        <w:jc w:val="both"/>
        <w:rPr>
          <w:color w:val="222222"/>
        </w:rPr>
      </w:pPr>
      <w:r>
        <w:rPr>
          <w:color w:val="222222"/>
        </w:rPr>
        <w:t>14</w:t>
      </w:r>
      <w:r w:rsidR="00F226FB">
        <w:rPr>
          <w:color w:val="222222"/>
        </w:rPr>
        <w:t xml:space="preserve">. </w:t>
      </w:r>
      <w:proofErr w:type="spellStart"/>
      <w:r w:rsidR="00F35EC3">
        <w:rPr>
          <w:color w:val="222222"/>
        </w:rPr>
        <w:t>Pinsent</w:t>
      </w:r>
      <w:proofErr w:type="spellEnd"/>
      <w:r w:rsidR="00F35EC3">
        <w:rPr>
          <w:color w:val="222222"/>
        </w:rPr>
        <w:t xml:space="preserve"> </w:t>
      </w:r>
      <w:proofErr w:type="spellStart"/>
      <w:r w:rsidR="00F35EC3">
        <w:rPr>
          <w:color w:val="222222"/>
        </w:rPr>
        <w:t>Mansons</w:t>
      </w:r>
      <w:proofErr w:type="spellEnd"/>
      <w:r w:rsidR="00F35EC3">
        <w:rPr>
          <w:color w:val="222222"/>
        </w:rPr>
        <w:t xml:space="preserve"> (2023). </w:t>
      </w:r>
      <w:r w:rsidR="00F35EC3">
        <w:rPr>
          <w:i/>
          <w:iCs/>
          <w:color w:val="222222"/>
        </w:rPr>
        <w:t>After the event (ATE) litigation costs insurance</w:t>
      </w:r>
      <w:r w:rsidR="00F35EC3">
        <w:rPr>
          <w:color w:val="222222"/>
        </w:rPr>
        <w:t>. [</w:t>
      </w:r>
      <w:proofErr w:type="gramStart"/>
      <w:r w:rsidR="00F35EC3">
        <w:rPr>
          <w:color w:val="222222"/>
        </w:rPr>
        <w:t>online</w:t>
      </w:r>
      <w:proofErr w:type="gramEnd"/>
      <w:r w:rsidR="00F35EC3">
        <w:rPr>
          <w:color w:val="222222"/>
        </w:rPr>
        <w:t xml:space="preserve">] </w:t>
      </w:r>
      <w:proofErr w:type="spellStart"/>
      <w:r w:rsidR="00F35EC3">
        <w:rPr>
          <w:color w:val="222222"/>
        </w:rPr>
        <w:t>Pinsent</w:t>
      </w:r>
      <w:proofErr w:type="spellEnd"/>
      <w:r w:rsidR="00F35EC3">
        <w:rPr>
          <w:color w:val="222222"/>
        </w:rPr>
        <w:t xml:space="preserve"> Masons. Available at: https://www.pinsentmasons.com/out-law/guides/litigation-costs-insurance [Accessed 8 Mar. 2026].</w:t>
      </w:r>
    </w:p>
    <w:p w:rsidR="00433E3B" w:rsidRDefault="00433E3B" w:rsidP="00433E3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15. </w:t>
      </w:r>
      <w:proofErr w:type="spellStart"/>
      <w:r>
        <w:rPr>
          <w:rFonts w:ascii="Times New Roman" w:hAnsi="Times New Roman" w:cs="Times New Roman"/>
          <w:color w:val="000000" w:themeColor="text1"/>
          <w:sz w:val="24"/>
          <w:szCs w:val="24"/>
        </w:rPr>
        <w:t>Poenaru</w:t>
      </w:r>
      <w:proofErr w:type="spellEnd"/>
      <w:r>
        <w:rPr>
          <w:rFonts w:ascii="Times New Roman" w:hAnsi="Times New Roman" w:cs="Times New Roman"/>
          <w:color w:val="000000" w:themeColor="text1"/>
          <w:sz w:val="24"/>
          <w:szCs w:val="24"/>
        </w:rPr>
        <w:t>, V</w:t>
      </w:r>
      <w:proofErr w:type="gramStart"/>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2008) </w:t>
      </w:r>
      <w:proofErr w:type="spellStart"/>
      <w:r>
        <w:rPr>
          <w:rFonts w:ascii="Times New Roman" w:hAnsi="Times New Roman" w:cs="Times New Roman"/>
          <w:color w:val="000000" w:themeColor="text1"/>
          <w:sz w:val="24"/>
          <w:szCs w:val="24"/>
        </w:rPr>
        <w:t>Dictionar</w:t>
      </w:r>
      <w:proofErr w:type="spellEnd"/>
      <w:r>
        <w:rPr>
          <w:rFonts w:ascii="Times New Roman" w:hAnsi="Times New Roman" w:cs="Times New Roman"/>
          <w:color w:val="000000" w:themeColor="text1"/>
          <w:sz w:val="24"/>
          <w:szCs w:val="24"/>
        </w:rPr>
        <w:t xml:space="preserve"> roman-</w:t>
      </w:r>
      <w:proofErr w:type="spellStart"/>
      <w:r>
        <w:rPr>
          <w:rFonts w:ascii="Times New Roman" w:hAnsi="Times New Roman" w:cs="Times New Roman"/>
          <w:color w:val="000000" w:themeColor="text1"/>
          <w:sz w:val="24"/>
          <w:szCs w:val="24"/>
        </w:rPr>
        <w:t>englez</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englez</w:t>
      </w:r>
      <w:proofErr w:type="spellEnd"/>
      <w:r>
        <w:rPr>
          <w:rFonts w:ascii="Times New Roman" w:hAnsi="Times New Roman" w:cs="Times New Roman"/>
          <w:color w:val="000000" w:themeColor="text1"/>
          <w:sz w:val="24"/>
          <w:szCs w:val="24"/>
        </w:rPr>
        <w:t xml:space="preserve">-roman, </w:t>
      </w:r>
      <w:proofErr w:type="spellStart"/>
      <w:r>
        <w:rPr>
          <w:rFonts w:ascii="Times New Roman" w:hAnsi="Times New Roman" w:cs="Times New Roman"/>
          <w:color w:val="000000" w:themeColor="text1"/>
          <w:sz w:val="24"/>
          <w:szCs w:val="24"/>
        </w:rPr>
        <w:t>Editura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Coresi</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Bucuresti</w:t>
      </w:r>
      <w:proofErr w:type="spellEnd"/>
      <w:r>
        <w:rPr>
          <w:rFonts w:ascii="Times New Roman" w:hAnsi="Times New Roman" w:cs="Times New Roman"/>
          <w:color w:val="000000" w:themeColor="text1"/>
          <w:sz w:val="24"/>
          <w:szCs w:val="24"/>
        </w:rPr>
        <w:t xml:space="preserve">, Ed. </w:t>
      </w:r>
      <w:proofErr w:type="gramStart"/>
      <w:r>
        <w:rPr>
          <w:rFonts w:ascii="Times New Roman" w:hAnsi="Times New Roman" w:cs="Times New Roman"/>
          <w:color w:val="000000" w:themeColor="text1"/>
          <w:sz w:val="24"/>
          <w:szCs w:val="24"/>
        </w:rPr>
        <w:t>A 6-a, rev.</w:t>
      </w:r>
      <w:proofErr w:type="gramEnd"/>
    </w:p>
    <w:p w:rsidR="00433E3B" w:rsidRDefault="00433E3B" w:rsidP="00F35EC3">
      <w:pPr>
        <w:pStyle w:val="NormalWeb"/>
        <w:spacing w:before="240" w:beforeAutospacing="0" w:after="240" w:afterAutospacing="0" w:line="480" w:lineRule="auto"/>
        <w:jc w:val="both"/>
        <w:rPr>
          <w:color w:val="222222"/>
        </w:rPr>
      </w:pPr>
    </w:p>
    <w:p w:rsidR="00841BE9" w:rsidRDefault="00433E3B" w:rsidP="00841BE9">
      <w:pPr>
        <w:pStyle w:val="NormalWeb"/>
        <w:spacing w:before="240" w:after="240" w:line="480" w:lineRule="auto"/>
        <w:jc w:val="both"/>
      </w:pPr>
      <w:r>
        <w:t>16</w:t>
      </w:r>
      <w:r w:rsidR="00841BE9">
        <w:t xml:space="preserve">. PSIC (2026). </w:t>
      </w:r>
      <w:proofErr w:type="gramStart"/>
      <w:r w:rsidR="00841BE9">
        <w:t>Liability Investigation.</w:t>
      </w:r>
      <w:proofErr w:type="gramEnd"/>
      <w:r w:rsidR="00841BE9">
        <w:t xml:space="preserve"> [</w:t>
      </w:r>
      <w:proofErr w:type="gramStart"/>
      <w:r w:rsidR="00841BE9">
        <w:t>online</w:t>
      </w:r>
      <w:proofErr w:type="gramEnd"/>
      <w:r w:rsidR="00841BE9">
        <w:t xml:space="preserve">] pacific </w:t>
      </w:r>
      <w:proofErr w:type="spellStart"/>
      <w:r w:rsidR="00841BE9">
        <w:t>speciality</w:t>
      </w:r>
      <w:proofErr w:type="spellEnd"/>
      <w:r w:rsidR="00841BE9">
        <w:t>. Available at:</w:t>
      </w:r>
    </w:p>
    <w:p w:rsidR="00841BE9" w:rsidRDefault="00841BE9" w:rsidP="00841BE9">
      <w:pPr>
        <w:pStyle w:val="NormalWeb"/>
        <w:spacing w:before="240" w:after="240" w:line="480" w:lineRule="auto"/>
        <w:jc w:val="both"/>
      </w:pPr>
      <w:r>
        <w:t>https://www.pacificspecialty.com/resource-center/insurance-term/liability-investigation/</w:t>
      </w:r>
    </w:p>
    <w:p w:rsidR="00841BE9" w:rsidRDefault="00841BE9" w:rsidP="00841BE9">
      <w:pPr>
        <w:pStyle w:val="NormalWeb"/>
        <w:spacing w:before="240" w:beforeAutospacing="0" w:after="240" w:afterAutospacing="0" w:line="480" w:lineRule="auto"/>
        <w:jc w:val="both"/>
      </w:pPr>
      <w:proofErr w:type="gramStart"/>
      <w:r>
        <w:t>[Accessed 13 Mar. 2026].</w:t>
      </w:r>
      <w:proofErr w:type="gramEnd"/>
    </w:p>
    <w:p w:rsidR="00F35EC3" w:rsidRDefault="00433E3B" w:rsidP="00F35EC3">
      <w:pPr>
        <w:pStyle w:val="NormalWeb"/>
        <w:spacing w:before="240" w:beforeAutospacing="0" w:after="240" w:afterAutospacing="0" w:line="480" w:lineRule="auto"/>
        <w:jc w:val="both"/>
      </w:pPr>
      <w:r>
        <w:rPr>
          <w:color w:val="222222"/>
        </w:rPr>
        <w:t>17</w:t>
      </w:r>
      <w:r w:rsidR="00F226FB">
        <w:rPr>
          <w:color w:val="222222"/>
        </w:rPr>
        <w:t xml:space="preserve">. </w:t>
      </w:r>
      <w:proofErr w:type="spellStart"/>
      <w:r w:rsidR="00F35EC3">
        <w:rPr>
          <w:color w:val="222222"/>
        </w:rPr>
        <w:t>Sintons</w:t>
      </w:r>
      <w:proofErr w:type="spellEnd"/>
      <w:r w:rsidR="00F35EC3">
        <w:rPr>
          <w:color w:val="222222"/>
        </w:rPr>
        <w:t xml:space="preserve"> (2025). </w:t>
      </w:r>
      <w:r w:rsidR="00F35EC3">
        <w:rPr>
          <w:i/>
          <w:iCs/>
          <w:color w:val="222222"/>
        </w:rPr>
        <w:t>Trade Union Membership &amp; Personal Injury Compensation Claims</w:t>
      </w:r>
      <w:r w:rsidR="00F35EC3">
        <w:rPr>
          <w:color w:val="222222"/>
        </w:rPr>
        <w:t>. [</w:t>
      </w:r>
      <w:proofErr w:type="gramStart"/>
      <w:r w:rsidR="00F35EC3">
        <w:rPr>
          <w:color w:val="222222"/>
        </w:rPr>
        <w:t>online</w:t>
      </w:r>
      <w:proofErr w:type="gramEnd"/>
      <w:r w:rsidR="00F35EC3">
        <w:rPr>
          <w:color w:val="222222"/>
        </w:rPr>
        <w:t xml:space="preserve">] </w:t>
      </w:r>
      <w:proofErr w:type="spellStart"/>
      <w:proofErr w:type="gramStart"/>
      <w:r w:rsidR="00F35EC3">
        <w:rPr>
          <w:color w:val="222222"/>
        </w:rPr>
        <w:t>Sintons</w:t>
      </w:r>
      <w:proofErr w:type="spellEnd"/>
      <w:r w:rsidR="00F35EC3">
        <w:rPr>
          <w:color w:val="222222"/>
        </w:rPr>
        <w:t>.</w:t>
      </w:r>
      <w:proofErr w:type="gramEnd"/>
      <w:r w:rsidR="00F35EC3">
        <w:rPr>
          <w:color w:val="222222"/>
        </w:rPr>
        <w:t xml:space="preserve"> Available at: https://sintons.co.uk/personal-injury/trade-union-membership/ [Accessed 11 Mar. 2026].</w:t>
      </w:r>
    </w:p>
    <w:p w:rsidR="00F35EC3" w:rsidRDefault="00433E3B" w:rsidP="00F35EC3">
      <w:pPr>
        <w:pStyle w:val="NormalWeb"/>
        <w:spacing w:before="240" w:beforeAutospacing="0" w:after="240" w:afterAutospacing="0" w:line="480" w:lineRule="auto"/>
        <w:jc w:val="both"/>
      </w:pPr>
      <w:r>
        <w:rPr>
          <w:color w:val="222222"/>
        </w:rPr>
        <w:t>18</w:t>
      </w:r>
      <w:r w:rsidR="00F226FB">
        <w:rPr>
          <w:color w:val="222222"/>
        </w:rPr>
        <w:t xml:space="preserve">. </w:t>
      </w:r>
      <w:r w:rsidR="00F35EC3">
        <w:rPr>
          <w:color w:val="222222"/>
        </w:rPr>
        <w:t xml:space="preserve">Thompsons Solicitors (2017). </w:t>
      </w:r>
      <w:r w:rsidR="00F35EC3">
        <w:rPr>
          <w:i/>
          <w:iCs/>
          <w:color w:val="222222"/>
        </w:rPr>
        <w:t>5 frequently asked questions about trade union members’ legal cover</w:t>
      </w:r>
      <w:r w:rsidR="00F35EC3">
        <w:rPr>
          <w:color w:val="222222"/>
        </w:rPr>
        <w:t>. [</w:t>
      </w:r>
      <w:proofErr w:type="gramStart"/>
      <w:r w:rsidR="00F35EC3">
        <w:rPr>
          <w:color w:val="222222"/>
        </w:rPr>
        <w:t>online</w:t>
      </w:r>
      <w:proofErr w:type="gramEnd"/>
      <w:r w:rsidR="00F35EC3">
        <w:rPr>
          <w:color w:val="222222"/>
        </w:rPr>
        <w:t xml:space="preserve">] </w:t>
      </w:r>
      <w:proofErr w:type="gramStart"/>
      <w:r w:rsidR="00F35EC3">
        <w:rPr>
          <w:color w:val="222222"/>
        </w:rPr>
        <w:t>Thompsons Solicitors.</w:t>
      </w:r>
      <w:proofErr w:type="gramEnd"/>
      <w:r w:rsidR="00F35EC3">
        <w:rPr>
          <w:color w:val="222222"/>
        </w:rPr>
        <w:t xml:space="preserve"> Available at: https://www.thompsonstradeunion.law/news/commentary/personal-injury/5-frequently-asked-questions-about-trade-union-members-legal-cover [Accessed 5 Mar. 2026].</w:t>
      </w:r>
    </w:p>
    <w:p w:rsidR="00F35EC3" w:rsidRDefault="00433E3B" w:rsidP="00F35EC3">
      <w:pPr>
        <w:pStyle w:val="NormalWeb"/>
        <w:spacing w:before="240" w:beforeAutospacing="0" w:after="240" w:afterAutospacing="0" w:line="480" w:lineRule="auto"/>
        <w:jc w:val="both"/>
      </w:pPr>
      <w:r>
        <w:rPr>
          <w:color w:val="222222"/>
        </w:rPr>
        <w:lastRenderedPageBreak/>
        <w:t>19</w:t>
      </w:r>
      <w:r w:rsidR="00F226FB">
        <w:rPr>
          <w:color w:val="222222"/>
        </w:rPr>
        <w:t xml:space="preserve">. </w:t>
      </w:r>
      <w:r w:rsidR="00F35EC3">
        <w:rPr>
          <w:color w:val="222222"/>
        </w:rPr>
        <w:t xml:space="preserve">Thomson Reuters (2026). </w:t>
      </w:r>
      <w:proofErr w:type="gramStart"/>
      <w:r w:rsidR="00F35EC3">
        <w:rPr>
          <w:i/>
          <w:iCs/>
          <w:color w:val="222222"/>
        </w:rPr>
        <w:t xml:space="preserve">Practical Law UK </w:t>
      </w:r>
      <w:proofErr w:type="spellStart"/>
      <w:r w:rsidR="00F35EC3">
        <w:rPr>
          <w:i/>
          <w:iCs/>
          <w:color w:val="222222"/>
        </w:rPr>
        <w:t>Signon</w:t>
      </w:r>
      <w:proofErr w:type="spellEnd"/>
      <w:r w:rsidR="00F35EC3">
        <w:rPr>
          <w:color w:val="222222"/>
        </w:rPr>
        <w:t>.</w:t>
      </w:r>
      <w:proofErr w:type="gramEnd"/>
      <w:r w:rsidR="00F35EC3">
        <w:rPr>
          <w:color w:val="222222"/>
        </w:rPr>
        <w:t xml:space="preserve"> [</w:t>
      </w:r>
      <w:proofErr w:type="gramStart"/>
      <w:r w:rsidR="00F35EC3">
        <w:rPr>
          <w:color w:val="222222"/>
        </w:rPr>
        <w:t>online</w:t>
      </w:r>
      <w:proofErr w:type="gramEnd"/>
      <w:r w:rsidR="00F35EC3">
        <w:rPr>
          <w:color w:val="222222"/>
        </w:rPr>
        <w:t>] signon.thomsonreuters.com. Available at: https://uk.practicallaw.thomsonreuters.com/8-380-0693?transitionType=Default&amp;contextData</w:t>
      </w:r>
      <w:proofErr w:type="gramStart"/>
      <w:r w:rsidR="00F35EC3">
        <w:rPr>
          <w:color w:val="222222"/>
        </w:rPr>
        <w:t>=(</w:t>
      </w:r>
      <w:proofErr w:type="gramEnd"/>
      <w:r w:rsidR="00F35EC3">
        <w:rPr>
          <w:color w:val="222222"/>
        </w:rPr>
        <w:t>sc.Default)&amp;firstPage=true [Accessed 7 Mar. 2026].</w:t>
      </w:r>
    </w:p>
    <w:p w:rsidR="00F35EC3" w:rsidRDefault="00433E3B" w:rsidP="00F35EC3">
      <w:pPr>
        <w:pStyle w:val="NormalWeb"/>
        <w:spacing w:before="240" w:beforeAutospacing="0" w:after="240" w:afterAutospacing="0" w:line="480" w:lineRule="auto"/>
        <w:jc w:val="both"/>
      </w:pPr>
      <w:r>
        <w:rPr>
          <w:color w:val="222222"/>
        </w:rPr>
        <w:t>20</w:t>
      </w:r>
      <w:r w:rsidR="00F226FB">
        <w:rPr>
          <w:color w:val="222222"/>
        </w:rPr>
        <w:t xml:space="preserve">. </w:t>
      </w:r>
      <w:r w:rsidR="00F35EC3">
        <w:rPr>
          <w:color w:val="222222"/>
        </w:rPr>
        <w:t xml:space="preserve">Wiggin, E. (2017). </w:t>
      </w:r>
      <w:r w:rsidR="00F35EC3">
        <w:rPr>
          <w:i/>
          <w:iCs/>
          <w:color w:val="222222"/>
        </w:rPr>
        <w:t>High Court clarifies interplay of Civil Procedure Rules on valid service of claim form.</w:t>
      </w:r>
      <w:r w:rsidR="00F35EC3">
        <w:rPr>
          <w:color w:val="222222"/>
        </w:rPr>
        <w:t xml:space="preserve"> [</w:t>
      </w:r>
      <w:proofErr w:type="gramStart"/>
      <w:r w:rsidR="00F35EC3">
        <w:rPr>
          <w:color w:val="222222"/>
        </w:rPr>
        <w:t>online</w:t>
      </w:r>
      <w:proofErr w:type="gramEnd"/>
      <w:r w:rsidR="00F35EC3">
        <w:rPr>
          <w:color w:val="222222"/>
        </w:rPr>
        <w:t xml:space="preserve">] </w:t>
      </w:r>
      <w:proofErr w:type="spellStart"/>
      <w:proofErr w:type="gramStart"/>
      <w:r w:rsidR="00F35EC3">
        <w:rPr>
          <w:color w:val="222222"/>
        </w:rPr>
        <w:t>Lexology</w:t>
      </w:r>
      <w:proofErr w:type="spellEnd"/>
      <w:r w:rsidR="00F35EC3">
        <w:rPr>
          <w:color w:val="222222"/>
        </w:rPr>
        <w:t>.</w:t>
      </w:r>
      <w:proofErr w:type="gramEnd"/>
      <w:r w:rsidR="00F35EC3">
        <w:rPr>
          <w:color w:val="222222"/>
        </w:rPr>
        <w:t xml:space="preserve"> Available at: https://www.lexology.com/library/detail.aspx?g=6e0fc662-4582-4ebe-9fa1-ed6ce98f51eb [Accessed 8 Mar. 2026].</w:t>
      </w:r>
    </w:p>
    <w:p w:rsidR="003B6DEB" w:rsidRPr="005E2E48" w:rsidRDefault="003B6DEB" w:rsidP="00F35EC3">
      <w:pPr>
        <w:pStyle w:val="Heading1"/>
        <w:spacing w:before="0" w:line="480" w:lineRule="auto"/>
        <w:jc w:val="both"/>
      </w:pPr>
    </w:p>
    <w:sectPr w:rsidR="003B6DEB" w:rsidRPr="005E2E48" w:rsidSect="00CE52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04939"/>
    <w:multiLevelType w:val="multilevel"/>
    <w:tmpl w:val="A54A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BB5F7B"/>
    <w:multiLevelType w:val="multilevel"/>
    <w:tmpl w:val="59B8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33192B"/>
    <w:rsid w:val="00024B00"/>
    <w:rsid w:val="00043326"/>
    <w:rsid w:val="00051130"/>
    <w:rsid w:val="00053E21"/>
    <w:rsid w:val="000803D4"/>
    <w:rsid w:val="000A384B"/>
    <w:rsid w:val="000C008F"/>
    <w:rsid w:val="00141039"/>
    <w:rsid w:val="00177BE3"/>
    <w:rsid w:val="0020463E"/>
    <w:rsid w:val="00221440"/>
    <w:rsid w:val="002D167A"/>
    <w:rsid w:val="00311997"/>
    <w:rsid w:val="00323C8F"/>
    <w:rsid w:val="0033192B"/>
    <w:rsid w:val="00362F26"/>
    <w:rsid w:val="00366CE1"/>
    <w:rsid w:val="00371F3D"/>
    <w:rsid w:val="003B6DEB"/>
    <w:rsid w:val="003E6013"/>
    <w:rsid w:val="00433E3B"/>
    <w:rsid w:val="005241B2"/>
    <w:rsid w:val="005E2E48"/>
    <w:rsid w:val="00687CEB"/>
    <w:rsid w:val="006C474A"/>
    <w:rsid w:val="006F2EB6"/>
    <w:rsid w:val="00734D9B"/>
    <w:rsid w:val="00841BE9"/>
    <w:rsid w:val="00873064"/>
    <w:rsid w:val="00880A6B"/>
    <w:rsid w:val="008B3C02"/>
    <w:rsid w:val="009F2711"/>
    <w:rsid w:val="00A16EBA"/>
    <w:rsid w:val="00A914E6"/>
    <w:rsid w:val="00B21B36"/>
    <w:rsid w:val="00BF0130"/>
    <w:rsid w:val="00C30456"/>
    <w:rsid w:val="00CE52D0"/>
    <w:rsid w:val="00D42FBC"/>
    <w:rsid w:val="00DC2BFA"/>
    <w:rsid w:val="00E36ED5"/>
    <w:rsid w:val="00EE32EF"/>
    <w:rsid w:val="00F226FB"/>
    <w:rsid w:val="00F35EC3"/>
    <w:rsid w:val="00F40F6D"/>
    <w:rsid w:val="00FB4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2D0"/>
  </w:style>
  <w:style w:type="paragraph" w:styleId="Heading1">
    <w:name w:val="heading 1"/>
    <w:basedOn w:val="Normal"/>
    <w:next w:val="Normal"/>
    <w:link w:val="Heading1Char"/>
    <w:uiPriority w:val="9"/>
    <w:qFormat/>
    <w:rsid w:val="003B6D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B47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E32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47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B4702"/>
    <w:rPr>
      <w:rFonts w:ascii="Times New Roman" w:eastAsia="Times New Roman" w:hAnsi="Times New Roman" w:cs="Times New Roman"/>
      <w:b/>
      <w:bCs/>
      <w:sz w:val="36"/>
      <w:szCs w:val="36"/>
    </w:rPr>
  </w:style>
  <w:style w:type="character" w:styleId="Strong">
    <w:name w:val="Strong"/>
    <w:basedOn w:val="DefaultParagraphFont"/>
    <w:uiPriority w:val="22"/>
    <w:qFormat/>
    <w:rsid w:val="00FB4702"/>
    <w:rPr>
      <w:b/>
      <w:bCs/>
    </w:rPr>
  </w:style>
  <w:style w:type="character" w:customStyle="1" w:styleId="whitespace-normal">
    <w:name w:val="whitespace-normal"/>
    <w:basedOn w:val="DefaultParagraphFont"/>
    <w:rsid w:val="00323C8F"/>
  </w:style>
  <w:style w:type="character" w:styleId="Hyperlink">
    <w:name w:val="Hyperlink"/>
    <w:basedOn w:val="DefaultParagraphFont"/>
    <w:uiPriority w:val="99"/>
    <w:semiHidden/>
    <w:unhideWhenUsed/>
    <w:rsid w:val="005E2E48"/>
    <w:rPr>
      <w:color w:val="0000FF"/>
      <w:u w:val="single"/>
    </w:rPr>
  </w:style>
  <w:style w:type="character" w:customStyle="1" w:styleId="apple-tab-span">
    <w:name w:val="apple-tab-span"/>
    <w:basedOn w:val="DefaultParagraphFont"/>
    <w:rsid w:val="005E2E48"/>
  </w:style>
  <w:style w:type="paragraph" w:styleId="ListParagraph">
    <w:name w:val="List Paragraph"/>
    <w:basedOn w:val="Normal"/>
    <w:uiPriority w:val="34"/>
    <w:qFormat/>
    <w:rsid w:val="00A16EBA"/>
    <w:pPr>
      <w:ind w:left="720"/>
      <w:contextualSpacing/>
    </w:pPr>
  </w:style>
  <w:style w:type="character" w:customStyle="1" w:styleId="Heading1Char">
    <w:name w:val="Heading 1 Char"/>
    <w:basedOn w:val="DefaultParagraphFont"/>
    <w:link w:val="Heading1"/>
    <w:uiPriority w:val="9"/>
    <w:rsid w:val="003B6DE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32EF"/>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303395540">
      <w:bodyDiv w:val="1"/>
      <w:marLeft w:val="0"/>
      <w:marRight w:val="0"/>
      <w:marTop w:val="0"/>
      <w:marBottom w:val="0"/>
      <w:divBdr>
        <w:top w:val="none" w:sz="0" w:space="0" w:color="auto"/>
        <w:left w:val="none" w:sz="0" w:space="0" w:color="auto"/>
        <w:bottom w:val="none" w:sz="0" w:space="0" w:color="auto"/>
        <w:right w:val="none" w:sz="0" w:space="0" w:color="auto"/>
      </w:divBdr>
    </w:div>
    <w:div w:id="304965976">
      <w:bodyDiv w:val="1"/>
      <w:marLeft w:val="0"/>
      <w:marRight w:val="0"/>
      <w:marTop w:val="0"/>
      <w:marBottom w:val="0"/>
      <w:divBdr>
        <w:top w:val="none" w:sz="0" w:space="0" w:color="auto"/>
        <w:left w:val="none" w:sz="0" w:space="0" w:color="auto"/>
        <w:bottom w:val="none" w:sz="0" w:space="0" w:color="auto"/>
        <w:right w:val="none" w:sz="0" w:space="0" w:color="auto"/>
      </w:divBdr>
    </w:div>
    <w:div w:id="556821040">
      <w:bodyDiv w:val="1"/>
      <w:marLeft w:val="0"/>
      <w:marRight w:val="0"/>
      <w:marTop w:val="0"/>
      <w:marBottom w:val="0"/>
      <w:divBdr>
        <w:top w:val="none" w:sz="0" w:space="0" w:color="auto"/>
        <w:left w:val="none" w:sz="0" w:space="0" w:color="auto"/>
        <w:bottom w:val="none" w:sz="0" w:space="0" w:color="auto"/>
        <w:right w:val="none" w:sz="0" w:space="0" w:color="auto"/>
      </w:divBdr>
      <w:divsChild>
        <w:div w:id="187837912">
          <w:marLeft w:val="0"/>
          <w:marRight w:val="0"/>
          <w:marTop w:val="0"/>
          <w:marBottom w:val="0"/>
          <w:divBdr>
            <w:top w:val="none" w:sz="0" w:space="0" w:color="auto"/>
            <w:left w:val="none" w:sz="0" w:space="0" w:color="auto"/>
            <w:bottom w:val="none" w:sz="0" w:space="0" w:color="auto"/>
            <w:right w:val="none" w:sz="0" w:space="0" w:color="auto"/>
          </w:divBdr>
        </w:div>
        <w:div w:id="1439838924">
          <w:marLeft w:val="0"/>
          <w:marRight w:val="0"/>
          <w:marTop w:val="0"/>
          <w:marBottom w:val="0"/>
          <w:divBdr>
            <w:top w:val="none" w:sz="0" w:space="0" w:color="auto"/>
            <w:left w:val="none" w:sz="0" w:space="0" w:color="auto"/>
            <w:bottom w:val="none" w:sz="0" w:space="0" w:color="auto"/>
            <w:right w:val="none" w:sz="0" w:space="0" w:color="auto"/>
          </w:divBdr>
        </w:div>
        <w:div w:id="1437678463">
          <w:marLeft w:val="0"/>
          <w:marRight w:val="0"/>
          <w:marTop w:val="0"/>
          <w:marBottom w:val="0"/>
          <w:divBdr>
            <w:top w:val="none" w:sz="0" w:space="0" w:color="auto"/>
            <w:left w:val="none" w:sz="0" w:space="0" w:color="auto"/>
            <w:bottom w:val="none" w:sz="0" w:space="0" w:color="auto"/>
            <w:right w:val="none" w:sz="0" w:space="0" w:color="auto"/>
          </w:divBdr>
        </w:div>
      </w:divsChild>
    </w:div>
    <w:div w:id="1013071640">
      <w:bodyDiv w:val="1"/>
      <w:marLeft w:val="0"/>
      <w:marRight w:val="0"/>
      <w:marTop w:val="0"/>
      <w:marBottom w:val="0"/>
      <w:divBdr>
        <w:top w:val="none" w:sz="0" w:space="0" w:color="auto"/>
        <w:left w:val="none" w:sz="0" w:space="0" w:color="auto"/>
        <w:bottom w:val="none" w:sz="0" w:space="0" w:color="auto"/>
        <w:right w:val="none" w:sz="0" w:space="0" w:color="auto"/>
      </w:divBdr>
    </w:div>
    <w:div w:id="1223057524">
      <w:bodyDiv w:val="1"/>
      <w:marLeft w:val="0"/>
      <w:marRight w:val="0"/>
      <w:marTop w:val="0"/>
      <w:marBottom w:val="0"/>
      <w:divBdr>
        <w:top w:val="none" w:sz="0" w:space="0" w:color="auto"/>
        <w:left w:val="none" w:sz="0" w:space="0" w:color="auto"/>
        <w:bottom w:val="none" w:sz="0" w:space="0" w:color="auto"/>
        <w:right w:val="none" w:sz="0" w:space="0" w:color="auto"/>
      </w:divBdr>
    </w:div>
    <w:div w:id="1405377111">
      <w:bodyDiv w:val="1"/>
      <w:marLeft w:val="0"/>
      <w:marRight w:val="0"/>
      <w:marTop w:val="0"/>
      <w:marBottom w:val="0"/>
      <w:divBdr>
        <w:top w:val="none" w:sz="0" w:space="0" w:color="auto"/>
        <w:left w:val="none" w:sz="0" w:space="0" w:color="auto"/>
        <w:bottom w:val="none" w:sz="0" w:space="0" w:color="auto"/>
        <w:right w:val="none" w:sz="0" w:space="0" w:color="auto"/>
      </w:divBdr>
    </w:div>
    <w:div w:id="1609462471">
      <w:bodyDiv w:val="1"/>
      <w:marLeft w:val="0"/>
      <w:marRight w:val="0"/>
      <w:marTop w:val="0"/>
      <w:marBottom w:val="0"/>
      <w:divBdr>
        <w:top w:val="none" w:sz="0" w:space="0" w:color="auto"/>
        <w:left w:val="none" w:sz="0" w:space="0" w:color="auto"/>
        <w:bottom w:val="none" w:sz="0" w:space="0" w:color="auto"/>
        <w:right w:val="none" w:sz="0" w:space="0" w:color="auto"/>
      </w:divBdr>
    </w:div>
    <w:div w:id="1670406156">
      <w:bodyDiv w:val="1"/>
      <w:marLeft w:val="0"/>
      <w:marRight w:val="0"/>
      <w:marTop w:val="0"/>
      <w:marBottom w:val="0"/>
      <w:divBdr>
        <w:top w:val="none" w:sz="0" w:space="0" w:color="auto"/>
        <w:left w:val="none" w:sz="0" w:space="0" w:color="auto"/>
        <w:bottom w:val="none" w:sz="0" w:space="0" w:color="auto"/>
        <w:right w:val="none" w:sz="0" w:space="0" w:color="auto"/>
      </w:divBdr>
    </w:div>
    <w:div w:id="1705203950">
      <w:bodyDiv w:val="1"/>
      <w:marLeft w:val="0"/>
      <w:marRight w:val="0"/>
      <w:marTop w:val="0"/>
      <w:marBottom w:val="0"/>
      <w:divBdr>
        <w:top w:val="none" w:sz="0" w:space="0" w:color="auto"/>
        <w:left w:val="none" w:sz="0" w:space="0" w:color="auto"/>
        <w:bottom w:val="none" w:sz="0" w:space="0" w:color="auto"/>
        <w:right w:val="none" w:sz="0" w:space="0" w:color="auto"/>
      </w:divBdr>
    </w:div>
    <w:div w:id="20469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BDu3x3jG5gochiinLKEwfIafDc5OgJRl/edit?pli=1" TargetMode="External"/><Relationship Id="rId13" Type="http://schemas.openxmlformats.org/officeDocument/2006/relationships/hyperlink" Target="https://docs.google.com/document/d/1BDu3x3jG5gochiinLKEwfIafDc5OgJRl/edit?pli=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cs.google.com/document/d/1BDu3x3jG5gochiinLKEwfIafDc5OgJRl/edit?pli=1" TargetMode="External"/><Relationship Id="rId12" Type="http://schemas.openxmlformats.org/officeDocument/2006/relationships/hyperlink" Target="https://docs.google.com/document/d/1BDu3x3jG5gochiinLKEwfIafDc5OgJRl/edit?pli=1" TargetMode="External"/><Relationship Id="rId17" Type="http://schemas.openxmlformats.org/officeDocument/2006/relationships/hyperlink" Target="https://docs.google.com/document/d/1BDu3x3jG5gochiinLKEwfIafDc5OgJRl/edit?pli=1" TargetMode="External"/><Relationship Id="rId2" Type="http://schemas.openxmlformats.org/officeDocument/2006/relationships/numbering" Target="numbering.xml"/><Relationship Id="rId16" Type="http://schemas.openxmlformats.org/officeDocument/2006/relationships/hyperlink" Target="https://docs.google.com/document/d/1BDu3x3jG5gochiinLKEwfIafDc5OgJRl/edit?pli=1" TargetMode="External"/><Relationship Id="rId1" Type="http://schemas.openxmlformats.org/officeDocument/2006/relationships/customXml" Target="../customXml/item1.xml"/><Relationship Id="rId6" Type="http://schemas.openxmlformats.org/officeDocument/2006/relationships/hyperlink" Target="https://docs.google.com/document/d/1BDu3x3jG5gochiinLKEwfIafDc5OgJRl/edit?pli=1" TargetMode="External"/><Relationship Id="rId11" Type="http://schemas.openxmlformats.org/officeDocument/2006/relationships/hyperlink" Target="https://docs.google.com/document/d/1BDu3x3jG5gochiinLKEwfIafDc5OgJRl/edit?pli=1" TargetMode="External"/><Relationship Id="rId5" Type="http://schemas.openxmlformats.org/officeDocument/2006/relationships/webSettings" Target="webSettings.xml"/><Relationship Id="rId15" Type="http://schemas.openxmlformats.org/officeDocument/2006/relationships/hyperlink" Target="https://docs.google.com/document/d/1BDu3x3jG5gochiinLKEwfIafDc5OgJRl/edit?pli=1" TargetMode="External"/><Relationship Id="rId10" Type="http://schemas.openxmlformats.org/officeDocument/2006/relationships/hyperlink" Target="https://docs.google.com/document/d/1BDu3x3jG5gochiinLKEwfIafDc5OgJRl/edit?pli=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google.com/document/d/1BDu3x3jG5gochiinLKEwfIafDc5OgJRl/edit?pli=1" TargetMode="External"/><Relationship Id="rId14" Type="http://schemas.openxmlformats.org/officeDocument/2006/relationships/hyperlink" Target="https://docs.google.com/document/d/1BDu3x3jG5gochiinLKEwfIafDc5OgJRl/edit?pl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86472-E3FC-466A-9E44-ABCE6285A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16</Pages>
  <Words>2976</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Windows 10</cp:lastModifiedBy>
  <cp:revision>34</cp:revision>
  <dcterms:created xsi:type="dcterms:W3CDTF">2026-03-12T11:14:00Z</dcterms:created>
  <dcterms:modified xsi:type="dcterms:W3CDTF">2026-03-13T11:19:00Z</dcterms:modified>
</cp:coreProperties>
</file>