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9128B1">
        <w:t>Dylan Hughes</w:t>
      </w:r>
    </w:p>
    <w:p w:rsidR="007E4409" w:rsidRDefault="00451AB2">
      <w:r w:rsidRPr="00451AB2">
        <w:rPr>
          <w:b/>
        </w:rPr>
        <w:t>Force Number:</w:t>
      </w:r>
      <w:r>
        <w:rPr>
          <w:b/>
        </w:rPr>
        <w:t>-</w:t>
      </w:r>
      <w:r>
        <w:tab/>
      </w:r>
      <w:r>
        <w:tab/>
      </w:r>
      <w:r w:rsidR="009128B1">
        <w:t>PC6969</w:t>
      </w:r>
      <w:r w:rsidR="00575AC9">
        <w:t xml:space="preserve"> </w:t>
      </w:r>
      <w:r w:rsidR="007E4409">
        <w:t xml:space="preserve"> South Wales Police</w:t>
      </w:r>
    </w:p>
    <w:p w:rsidR="00390F03" w:rsidRPr="009128B1" w:rsidRDefault="007E4409">
      <w:r w:rsidRPr="00451AB2">
        <w:rPr>
          <w:b/>
        </w:rPr>
        <w:t>Student Number:</w:t>
      </w:r>
      <w:r w:rsidR="00451AB2">
        <w:rPr>
          <w:b/>
        </w:rPr>
        <w:t>-</w:t>
      </w:r>
      <w:r w:rsidR="00451AB2">
        <w:rPr>
          <w:b/>
        </w:rPr>
        <w:tab/>
        <w:t xml:space="preserve"> </w:t>
      </w:r>
      <w:r w:rsidR="009128B1">
        <w:t>2029428</w:t>
      </w:r>
    </w:p>
    <w:p w:rsidR="007E4409" w:rsidRPr="00451AB2" w:rsidRDefault="009128B1">
      <w:pPr>
        <w:rPr>
          <w:b/>
        </w:rPr>
      </w:pPr>
      <w:r>
        <w:rPr>
          <w:b/>
        </w:rPr>
        <w:t>Exam 2</w:t>
      </w:r>
      <w:r w:rsidR="007E4409" w:rsidRPr="00451AB2">
        <w:rPr>
          <w:b/>
        </w:rPr>
        <w:t xml:space="preserve"> </w:t>
      </w:r>
      <w:r w:rsidR="00451AB2">
        <w:rPr>
          <w:b/>
        </w:rPr>
        <w:t>:-</w:t>
      </w:r>
      <w:r w:rsidR="007E4409" w:rsidRPr="00451AB2">
        <w:rPr>
          <w:b/>
        </w:rPr>
        <w:t xml:space="preserve"> </w:t>
      </w:r>
      <w:r w:rsidR="00451AB2">
        <w:rPr>
          <w:b/>
        </w:rPr>
        <w:tab/>
      </w:r>
      <w:r w:rsidR="00451AB2">
        <w:rPr>
          <w:b/>
        </w:rPr>
        <w:tab/>
      </w:r>
      <w:r>
        <w:t>23/08/2021</w:t>
      </w:r>
    </w:p>
    <w:p w:rsidR="00682F3B" w:rsidRDefault="00682F3B"/>
    <w:p w:rsidR="00682F3B" w:rsidRDefault="00682F3B">
      <w:r w:rsidRPr="00451AB2">
        <w:rPr>
          <w:b/>
        </w:rPr>
        <w:t>Question 1</w:t>
      </w:r>
      <w:r w:rsidR="00451AB2">
        <w:rPr>
          <w:b/>
        </w:rPr>
        <w:br/>
      </w:r>
      <w:r w:rsidR="00370A10">
        <w:t xml:space="preserve">Section 163 gives a constable the power to stop a vehicle if they believe it has been used in a road traffic offence, if the vehicle is carrying a person who is unlawfully at large or the constable believes an offence is about to be committed. </w:t>
      </w:r>
    </w:p>
    <w:p w:rsidR="00682F3B" w:rsidRDefault="00682F3B"/>
    <w:p w:rsidR="00682F3B" w:rsidRPr="00451AB2" w:rsidRDefault="00682F3B">
      <w:pPr>
        <w:rPr>
          <w:b/>
        </w:rPr>
      </w:pPr>
      <w:r w:rsidRPr="00451AB2">
        <w:rPr>
          <w:b/>
        </w:rPr>
        <w:t>Question 2</w:t>
      </w:r>
    </w:p>
    <w:p w:rsidR="00682F3B" w:rsidRDefault="00370A10">
      <w:r>
        <w:t xml:space="preserve">Section 6(4) gives a constable the power to complete a preliminary test of a person driving a mechanically propelled vehicle </w:t>
      </w:r>
      <w:r w:rsidR="00D06BEB">
        <w:t>and a road traffic offence has been committed.</w:t>
      </w:r>
    </w:p>
    <w:p w:rsidR="00682F3B" w:rsidRDefault="00682F3B"/>
    <w:p w:rsidR="00682F3B" w:rsidRPr="00451AB2" w:rsidRDefault="00682F3B" w:rsidP="00682F3B">
      <w:pPr>
        <w:rPr>
          <w:b/>
        </w:rPr>
      </w:pPr>
      <w:r w:rsidRPr="00451AB2">
        <w:rPr>
          <w:b/>
        </w:rPr>
        <w:t>Question 3</w:t>
      </w:r>
    </w:p>
    <w:p w:rsidR="00682F3B" w:rsidRDefault="00370A10">
      <w:r>
        <w:t>A person is guilty of an offence if they whilst driving a mechanically propelled vehicle on a road do so without due care and attention or reasonable consideration for other persons using that road</w:t>
      </w:r>
      <w:r w:rsidR="001F3B4F">
        <w:t>.</w:t>
      </w:r>
    </w:p>
    <w:p w:rsidR="00682F3B" w:rsidRDefault="00682F3B"/>
    <w:p w:rsidR="00682F3B" w:rsidRPr="00451AB2" w:rsidRDefault="00682F3B" w:rsidP="00682F3B">
      <w:pPr>
        <w:rPr>
          <w:b/>
        </w:rPr>
      </w:pPr>
      <w:r w:rsidRPr="00451AB2">
        <w:rPr>
          <w:b/>
        </w:rPr>
        <w:t>Question 4</w:t>
      </w:r>
    </w:p>
    <w:p w:rsidR="00682F3B" w:rsidRDefault="00370A10">
      <w:r>
        <w:t xml:space="preserve">Road policing powers help reduce wider criminal activity due </w:t>
      </w:r>
      <w:r w:rsidR="00D06BEB">
        <w:t>to its ability to catch a criminal who is using a mechanically propelled vehicle on the roads through the use of police national computer databases using intelligence.</w:t>
      </w:r>
    </w:p>
    <w:p w:rsidR="00682F3B" w:rsidRDefault="00682F3B"/>
    <w:p w:rsidR="00682F3B" w:rsidRPr="00451AB2" w:rsidRDefault="00682F3B" w:rsidP="00682F3B">
      <w:pPr>
        <w:rPr>
          <w:b/>
        </w:rPr>
      </w:pPr>
      <w:r w:rsidRPr="00451AB2">
        <w:rPr>
          <w:b/>
        </w:rPr>
        <w:t>Question 5</w:t>
      </w:r>
    </w:p>
    <w:p w:rsidR="00682F3B" w:rsidRDefault="00682F3B"/>
    <w:p w:rsidR="00682F3B" w:rsidRDefault="00682F3B"/>
    <w:p w:rsidR="00682F3B" w:rsidRPr="00451AB2" w:rsidRDefault="00682F3B" w:rsidP="00682F3B">
      <w:r w:rsidRPr="00451AB2">
        <w:rPr>
          <w:b/>
        </w:rPr>
        <w:t>Question 6</w:t>
      </w:r>
      <w:r w:rsidR="00451AB2">
        <w:rPr>
          <w:b/>
        </w:rPr>
        <w:br/>
      </w:r>
      <w:r w:rsidR="00D06BEB">
        <w:t>Due to a mechanically propelled vehicle being on a road or in a public place, an accident occurs causing a person personal injury, injury to an animal, damage to a vehicle or other personal property</w:t>
      </w:r>
      <w:r w:rsidR="001F3B4F">
        <w:t>.</w:t>
      </w:r>
    </w:p>
    <w:p w:rsidR="00682F3B" w:rsidRDefault="00682F3B"/>
    <w:p w:rsidR="00682F3B" w:rsidRDefault="00682F3B">
      <w:r w:rsidRPr="00451AB2">
        <w:rPr>
          <w:b/>
        </w:rPr>
        <w:t>Question 7</w:t>
      </w:r>
      <w:r w:rsidR="00451AB2">
        <w:rPr>
          <w:b/>
        </w:rPr>
        <w:br/>
      </w:r>
      <w:r w:rsidR="00D06BEB">
        <w:t>The role of a Family Liaison Officer (FLO) is to help the family understand the circumstances of a fatality, whilst offeri</w:t>
      </w:r>
      <w:r w:rsidR="009935E0">
        <w:t xml:space="preserve">ng support. If the road incident occurred due to a road traffic offence by the casualty then the FLO will be there to help guide and support the family through the investigation. If </w:t>
      </w:r>
      <w:r w:rsidR="009935E0">
        <w:lastRenderedPageBreak/>
        <w:t>the person was a victim the FLO will provide updates and support throughout the investigation process.</w:t>
      </w:r>
    </w:p>
    <w:p w:rsidR="00682F3B" w:rsidRPr="00451AB2" w:rsidRDefault="00682F3B" w:rsidP="00682F3B">
      <w:r w:rsidRPr="00451AB2">
        <w:rPr>
          <w:b/>
        </w:rPr>
        <w:t>Question 8</w:t>
      </w:r>
      <w:r w:rsidR="00451AB2">
        <w:rPr>
          <w:b/>
        </w:rPr>
        <w:br/>
      </w:r>
      <w:r w:rsidR="009935E0">
        <w:t xml:space="preserve">The driver must stop and wait for a reasonable amount of time allowing any person with reasonable grounds to do so to ask questions or request details and information. If the driver does not stop, they must report it to the police within 24 hours of the incident occurring. </w:t>
      </w:r>
    </w:p>
    <w:p w:rsidR="00682F3B" w:rsidRDefault="00682F3B"/>
    <w:p w:rsidR="00682F3B" w:rsidRDefault="00682F3B">
      <w:r w:rsidRPr="00451AB2">
        <w:rPr>
          <w:b/>
        </w:rPr>
        <w:t>Question 9</w:t>
      </w:r>
      <w:r w:rsidR="00451AB2">
        <w:rPr>
          <w:b/>
        </w:rPr>
        <w:br/>
      </w:r>
      <w:r w:rsidR="009935E0">
        <w:t>Section 6E provides a constable power of entry to a house without warrant if the constable believes a driving offence has been committed whilst the person is under the influence of drinks or/and drugs and must have seen the person enter the premises</w:t>
      </w:r>
      <w:r w:rsidR="001F3B4F">
        <w:t>.</w:t>
      </w:r>
    </w:p>
    <w:p w:rsidR="00682F3B" w:rsidRDefault="00682F3B"/>
    <w:p w:rsidR="00682F3B" w:rsidRDefault="00682F3B" w:rsidP="00682F3B">
      <w:r w:rsidRPr="00451AB2">
        <w:rPr>
          <w:b/>
        </w:rPr>
        <w:t>Question 10</w:t>
      </w:r>
      <w:r w:rsidR="00451AB2">
        <w:br/>
      </w:r>
      <w:r w:rsidR="009935E0">
        <w:t>A person is guilty of an offence if while driving a mechanically propelled vehicle on a road or public place does so dangerously causing the death of another person, they shall be guilty of an offence</w:t>
      </w:r>
      <w:r w:rsidR="001F3B4F">
        <w:t>.</w:t>
      </w:r>
    </w:p>
    <w:p w:rsidR="00682F3B" w:rsidRDefault="00682F3B"/>
    <w:p w:rsidR="0086420B" w:rsidRDefault="00682F3B">
      <w:r w:rsidRPr="00451AB2">
        <w:rPr>
          <w:b/>
        </w:rPr>
        <w:t>Question 11</w:t>
      </w:r>
      <w:r w:rsidR="00451AB2">
        <w:rPr>
          <w:b/>
        </w:rPr>
        <w:br/>
      </w:r>
      <w:r w:rsidR="0086420B">
        <w:t>Drink: breath 30, blood 70, urine 107</w:t>
      </w:r>
    </w:p>
    <w:p w:rsidR="00682F3B" w:rsidRDefault="0086420B">
      <w:r>
        <w:t>Drugs: cocaine 10, cannabis 2</w:t>
      </w:r>
      <w:r w:rsidR="00451AB2">
        <w:br/>
      </w:r>
    </w:p>
    <w:p w:rsidR="00682F3B" w:rsidRDefault="00682F3B" w:rsidP="00682F3B">
      <w:r w:rsidRPr="00451AB2">
        <w:rPr>
          <w:b/>
        </w:rPr>
        <w:t>Question 12</w:t>
      </w:r>
      <w:r w:rsidR="00451AB2">
        <w:rPr>
          <w:b/>
        </w:rPr>
        <w:br/>
      </w:r>
      <w:r w:rsidR="0086420B">
        <w:t>Appropriate adult (AA): when the suspect is either a child or vulnerable adult, it is required for them to have an AA. Whilst the role is often taken by family members, uninvolved parties such as social services can also fulfil the role. It is important that the AA had no involvement in the incident as they would have to be interviewed separately. The role of the AA is to ensure that the interview process is fully understood by the suspect and that they do not try to answer questions for them or offer legal advice.</w:t>
      </w:r>
    </w:p>
    <w:p w:rsidR="0086420B" w:rsidRPr="0086420B" w:rsidRDefault="0086420B" w:rsidP="00682F3B">
      <w:r>
        <w:t>Legal advisor: all suspects have the legal right to a legal advisor. It is their role to aid in the suspect’s legal understanding of the investigation and advise how to cooperate through the process.</w:t>
      </w:r>
    </w:p>
    <w:p w:rsidR="00682F3B" w:rsidRDefault="00682F3B"/>
    <w:p w:rsidR="00682F3B" w:rsidRDefault="00682F3B" w:rsidP="00682F3B">
      <w:r w:rsidRPr="00451AB2">
        <w:rPr>
          <w:b/>
        </w:rPr>
        <w:t>Question 13</w:t>
      </w:r>
      <w:r w:rsidR="00451AB2">
        <w:rPr>
          <w:b/>
        </w:rPr>
        <w:br/>
      </w:r>
      <w:r w:rsidR="0086420B">
        <w:t>Planning and preparation</w:t>
      </w:r>
    </w:p>
    <w:p w:rsidR="0086420B" w:rsidRDefault="0086420B" w:rsidP="00682F3B">
      <w:r>
        <w:t>Engage and explain</w:t>
      </w:r>
    </w:p>
    <w:p w:rsidR="0086420B" w:rsidRDefault="0086420B" w:rsidP="00682F3B">
      <w:r>
        <w:t>Account clarification</w:t>
      </w:r>
    </w:p>
    <w:p w:rsidR="0086420B" w:rsidRDefault="0086420B" w:rsidP="00682F3B">
      <w:r>
        <w:t xml:space="preserve">Closure </w:t>
      </w:r>
    </w:p>
    <w:p w:rsidR="0086420B" w:rsidRPr="00451AB2" w:rsidRDefault="0086420B" w:rsidP="00682F3B">
      <w:r>
        <w:t>Evaluation</w:t>
      </w:r>
    </w:p>
    <w:p w:rsidR="00682F3B" w:rsidRDefault="00682F3B"/>
    <w:p w:rsidR="00682F3B" w:rsidRPr="00451AB2" w:rsidRDefault="00682F3B" w:rsidP="00682F3B">
      <w:r w:rsidRPr="00451AB2">
        <w:rPr>
          <w:b/>
        </w:rPr>
        <w:lastRenderedPageBreak/>
        <w:t>Question 14</w:t>
      </w:r>
      <w:r w:rsidR="00451AB2">
        <w:rPr>
          <w:b/>
        </w:rPr>
        <w:br/>
      </w:r>
      <w:r w:rsidR="006A67EE">
        <w:t>A person commits the offence of Coercive Control if they repeatedly behave in a manner towards another in which i</w:t>
      </w:r>
      <w:r w:rsidR="00002CFD">
        <w:t>s controlling and coercive, the</w:t>
      </w:r>
      <w:bookmarkStart w:id="0" w:name="_GoBack"/>
      <w:bookmarkEnd w:id="0"/>
      <w:r w:rsidR="006A67EE">
        <w:t xml:space="preserve"> perpetrator and victim are personally linked, the victim is seriously affected and the perpetrator knows or should reasonably know that their actions would have serious affects</w:t>
      </w:r>
      <w:r w:rsidR="001F3B4F">
        <w:t>.</w:t>
      </w:r>
    </w:p>
    <w:p w:rsidR="00682F3B" w:rsidRPr="00451AB2" w:rsidRDefault="00451AB2" w:rsidP="00682F3B">
      <w:pPr>
        <w:rPr>
          <w:b/>
        </w:rPr>
      </w:pPr>
      <w:r>
        <w:br/>
      </w:r>
      <w:r w:rsidR="00682F3B" w:rsidRPr="00451AB2">
        <w:rPr>
          <w:b/>
        </w:rPr>
        <w:t>Question 15</w:t>
      </w:r>
    </w:p>
    <w:p w:rsidR="00682F3B" w:rsidRDefault="006A67EE">
      <w:r>
        <w:t>It is important because a victim of Coercive Control can be seriously affected and it also links in with the offence of domestic abuse and domestic violence. Many victims take a long time to realise that they have been victims of the offence until it often comes to light through the occurrence of a domestic abuse or violence offence.</w:t>
      </w:r>
    </w:p>
    <w:p w:rsidR="00682F3B" w:rsidRDefault="00682F3B"/>
    <w:p w:rsidR="00682F3B" w:rsidRPr="001F3B4F" w:rsidRDefault="00682F3B">
      <w:r w:rsidRPr="00451AB2">
        <w:rPr>
          <w:b/>
        </w:rPr>
        <w:t>Question 16</w:t>
      </w:r>
      <w:r w:rsidR="00451AB2">
        <w:rPr>
          <w:b/>
        </w:rPr>
        <w:br/>
      </w:r>
      <w:r w:rsidR="001F3B4F">
        <w:t>If a constable has concerns for a child’s safety and has immediate safeguarding concerns on the child’s welfare, an officer has the power to remove the child from that situation and place them in protective care. This should not last for more than 72 hours and a police station is not suitable for a medium or long term solution.</w:t>
      </w:r>
    </w:p>
    <w:p w:rsidR="00682F3B" w:rsidRDefault="00682F3B"/>
    <w:p w:rsidR="00682F3B" w:rsidRPr="001F3B4F" w:rsidRDefault="00682F3B" w:rsidP="00682F3B">
      <w:r w:rsidRPr="00451AB2">
        <w:rPr>
          <w:b/>
        </w:rPr>
        <w:t>Question 17</w:t>
      </w:r>
      <w:r w:rsidR="00451AB2">
        <w:rPr>
          <w:b/>
        </w:rPr>
        <w:br/>
      </w:r>
      <w:r w:rsidR="001F3B4F">
        <w:t>A person over the age of 16 is guilty of an offence if whilst having responsibility of a child under the age of 16, they wilfully assault, neglect or abandon the child in a manner likely to cause suffering or injury.</w:t>
      </w:r>
    </w:p>
    <w:p w:rsidR="00682F3B" w:rsidRDefault="00682F3B"/>
    <w:p w:rsidR="00682F3B" w:rsidRPr="001F3B4F" w:rsidRDefault="00682F3B" w:rsidP="00682F3B">
      <w:r w:rsidRPr="00451AB2">
        <w:rPr>
          <w:b/>
        </w:rPr>
        <w:t>Question 18</w:t>
      </w:r>
      <w:r w:rsidR="00451AB2">
        <w:rPr>
          <w:b/>
        </w:rPr>
        <w:br/>
      </w:r>
      <w:r w:rsidR="001F3B4F">
        <w:t xml:space="preserve">The DASH model uses a series of 29 questions which aids in risk identification, risk assessment, and risk management. </w:t>
      </w:r>
      <w:r w:rsidR="00763ACB">
        <w:t>It is also used to determine whether the incident should be reported to MARAC.</w:t>
      </w:r>
    </w:p>
    <w:p w:rsidR="00682F3B" w:rsidRDefault="00682F3B"/>
    <w:p w:rsidR="00682F3B" w:rsidRPr="00763ACB" w:rsidRDefault="00682F3B" w:rsidP="00682F3B">
      <w:r w:rsidRPr="00451AB2">
        <w:rPr>
          <w:b/>
        </w:rPr>
        <w:t>Question 19</w:t>
      </w:r>
      <w:r w:rsidR="00451AB2">
        <w:rPr>
          <w:b/>
        </w:rPr>
        <w:br/>
      </w:r>
      <w:r w:rsidR="00763ACB">
        <w:t xml:space="preserve">A Public Protection Notification (PPN) must be completed after all DASH incidents. It outlines whether the incident is of standard risk, medium risk or high risk and is used to keep </w:t>
      </w:r>
      <w:r w:rsidR="00C31937">
        <w:t>other agencies updated.</w:t>
      </w:r>
    </w:p>
    <w:p w:rsidR="00682F3B" w:rsidRDefault="00682F3B"/>
    <w:p w:rsidR="00682F3B" w:rsidRPr="00763ACB" w:rsidRDefault="00682F3B">
      <w:r w:rsidRPr="00451AB2">
        <w:rPr>
          <w:b/>
        </w:rPr>
        <w:t>Question 20</w:t>
      </w:r>
      <w:r w:rsidR="00451AB2">
        <w:rPr>
          <w:b/>
        </w:rPr>
        <w:br/>
      </w:r>
      <w:r w:rsidR="00763ACB">
        <w:t xml:space="preserve">A DVPN must be authorised by a senior officer where there is reasonable grounds to believe there has been violence or threats of violence towards the victim and it is necessary to protect the victim from the perpetrator. If living at the same address, it requires the perpetrator to leave the address and prevents the </w:t>
      </w:r>
      <w:r w:rsidR="00763ACB">
        <w:t>perpetrator</w:t>
      </w:r>
      <w:r w:rsidR="00763ACB">
        <w:t xml:space="preserve"> from entering the address or evicting the victim. DVPN can be a victimless process.</w:t>
      </w:r>
    </w:p>
    <w:p w:rsidR="00682F3B" w:rsidRDefault="00682F3B"/>
    <w:p w:rsidR="00682F3B" w:rsidRDefault="00682F3B">
      <w:r w:rsidRPr="00451AB2">
        <w:rPr>
          <w:b/>
        </w:rPr>
        <w:lastRenderedPageBreak/>
        <w:t>Question 21</w:t>
      </w:r>
      <w:r w:rsidR="00451AB2">
        <w:rPr>
          <w:b/>
        </w:rPr>
        <w:br/>
      </w:r>
      <w:r w:rsidR="00C31937">
        <w:t>Child Sexual Exploitation is a form of sexual abuse. A person is guilty of an offence if they manipulate or deceive a child into sexual activity.</w:t>
      </w:r>
    </w:p>
    <w:p w:rsidR="00682F3B" w:rsidRDefault="00682F3B"/>
    <w:p w:rsidR="00682F3B" w:rsidRPr="00451AB2" w:rsidRDefault="00682F3B" w:rsidP="00682F3B">
      <w:r w:rsidRPr="00451AB2">
        <w:rPr>
          <w:b/>
        </w:rPr>
        <w:t>Question 22</w:t>
      </w:r>
      <w:r w:rsidR="00451AB2">
        <w:rPr>
          <w:b/>
        </w:rPr>
        <w:br/>
      </w:r>
    </w:p>
    <w:p w:rsidR="00682F3B" w:rsidRDefault="00682F3B"/>
    <w:p w:rsidR="00682F3B" w:rsidRDefault="00682F3B" w:rsidP="00682F3B">
      <w:r w:rsidRPr="00451AB2">
        <w:rPr>
          <w:b/>
        </w:rPr>
        <w:t>Question 23</w:t>
      </w:r>
      <w:r w:rsidR="00451AB2">
        <w:rPr>
          <w:b/>
        </w:rPr>
        <w:br/>
      </w:r>
      <w:r w:rsidR="00C31937">
        <w:t>Under Section 75 (a) it is proven that the defendant did the assault.</w:t>
      </w:r>
    </w:p>
    <w:p w:rsidR="00C31937" w:rsidRPr="00451AB2" w:rsidRDefault="00C31937" w:rsidP="00682F3B">
      <w:r>
        <w:t>Under Section 75 (b) it is proven that there was a use of fear of violence or unconsciousness and/or there was an inability for the victim to communicate and/or a substance was given without consent making the victim incapacitated.</w:t>
      </w:r>
    </w:p>
    <w:p w:rsidR="00682F3B" w:rsidRDefault="00682F3B"/>
    <w:p w:rsidR="00682F3B" w:rsidRPr="00451AB2" w:rsidRDefault="00682F3B" w:rsidP="00682F3B">
      <w:r w:rsidRPr="00451AB2">
        <w:rPr>
          <w:b/>
        </w:rPr>
        <w:t>Question 24</w:t>
      </w:r>
      <w:r w:rsidR="00451AB2">
        <w:rPr>
          <w:b/>
        </w:rPr>
        <w:br/>
      </w:r>
    </w:p>
    <w:p w:rsidR="00682F3B" w:rsidRDefault="00682F3B"/>
    <w:p w:rsidR="00682F3B" w:rsidRDefault="00682F3B" w:rsidP="00682F3B">
      <w:r w:rsidRPr="00451AB2">
        <w:rPr>
          <w:b/>
        </w:rPr>
        <w:t>Question 25</w:t>
      </w:r>
      <w:r w:rsidR="00451AB2">
        <w:rPr>
          <w:b/>
        </w:rPr>
        <w:br/>
      </w:r>
    </w:p>
    <w:sectPr w:rsidR="00682F3B" w:rsidSect="00FE2AAD">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E2AAD" w:rsidRDefault="00FE2AAD" w:rsidP="00FE2AAD">
      <w:pPr>
        <w:spacing w:after="0" w:line="240" w:lineRule="auto"/>
      </w:pPr>
      <w:r>
        <w:separator/>
      </w:r>
    </w:p>
  </w:endnote>
  <w:endnote w:type="continuationSeparator" w:id="0">
    <w:p w:rsidR="00FE2AAD" w:rsidRDefault="00FE2AAD" w:rsidP="00FE2A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B7469" w:rsidRDefault="008B62AE" w:rsidP="008B62AE">
    <w:pPr>
      <w:pStyle w:val="Footer"/>
      <w:rPr>
        <w:color w:val="000000"/>
        <w:sz w:val="17"/>
      </w:rPr>
    </w:pPr>
    <w:bookmarkStart w:id="3" w:name="TITUS1FooterEvenPages"/>
    <w:r>
      <w:rPr>
        <w:color w:val="000000"/>
        <w:sz w:val="17"/>
      </w:rPr>
      <w:t> </w:t>
    </w:r>
  </w:p>
  <w:bookmarkEnd w:id="3"/>
  <w:p w:rsidR="001B7469" w:rsidRDefault="001B7469" w:rsidP="001B7469">
    <w:pPr>
      <w:pStyle w:val="Footer"/>
    </w:pPr>
  </w:p>
  <w:p w:rsidR="00FE2AAD" w:rsidRDefault="00FE2A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2AAD" w:rsidRDefault="008B62AE" w:rsidP="008B62AE">
    <w:pPr>
      <w:pStyle w:val="Footer"/>
      <w:rPr>
        <w:color w:val="000000"/>
        <w:sz w:val="17"/>
      </w:rPr>
    </w:pPr>
    <w:bookmarkStart w:id="4" w:name="TITUS1FooterPrimary"/>
    <w:r>
      <w:rPr>
        <w:color w:val="000000"/>
        <w:sz w:val="17"/>
      </w:rPr>
      <w:t> </w:t>
    </w:r>
  </w:p>
  <w:bookmarkEnd w:id="4"/>
  <w:p w:rsidR="00FE2AAD" w:rsidRDefault="00FE2AA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2AAD" w:rsidRDefault="008B62AE" w:rsidP="008B62AE">
    <w:pPr>
      <w:pStyle w:val="Footer"/>
      <w:rPr>
        <w:color w:val="000000"/>
        <w:sz w:val="17"/>
      </w:rPr>
    </w:pPr>
    <w:bookmarkStart w:id="6" w:name="TITUS1FooterFirstPage"/>
    <w:r>
      <w:rPr>
        <w:color w:val="000000"/>
        <w:sz w:val="17"/>
      </w:rPr>
      <w:t> </w:t>
    </w:r>
  </w:p>
  <w:bookmarkEnd w:id="6"/>
  <w:p w:rsidR="00FE2AAD" w:rsidRDefault="00FE2A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E2AAD" w:rsidRDefault="00FE2AAD" w:rsidP="00FE2AAD">
      <w:pPr>
        <w:spacing w:after="0" w:line="240" w:lineRule="auto"/>
      </w:pPr>
      <w:r>
        <w:separator/>
      </w:r>
    </w:p>
  </w:footnote>
  <w:footnote w:type="continuationSeparator" w:id="0">
    <w:p w:rsidR="00FE2AAD" w:rsidRDefault="00FE2AAD" w:rsidP="00FE2A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B7469" w:rsidRDefault="008B62AE" w:rsidP="008B62AE">
    <w:pPr>
      <w:pStyle w:val="Header"/>
      <w:rPr>
        <w:color w:val="000000"/>
        <w:sz w:val="17"/>
      </w:rPr>
    </w:pPr>
    <w:bookmarkStart w:id="1" w:name="TITUS1HeaderEvenPages"/>
    <w:r>
      <w:rPr>
        <w:color w:val="000000"/>
        <w:sz w:val="17"/>
      </w:rPr>
      <w:t> </w:t>
    </w:r>
  </w:p>
  <w:bookmarkEnd w:id="1"/>
  <w:p w:rsidR="001B7469" w:rsidRDefault="001B7469" w:rsidP="001B7469">
    <w:pPr>
      <w:pStyle w:val="Header"/>
    </w:pPr>
  </w:p>
  <w:p w:rsidR="00FE2AAD" w:rsidRDefault="00FE2A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2AAD" w:rsidRDefault="008B62AE" w:rsidP="008B62AE">
    <w:pPr>
      <w:pStyle w:val="Header"/>
      <w:rPr>
        <w:color w:val="000000"/>
        <w:sz w:val="17"/>
      </w:rPr>
    </w:pPr>
    <w:bookmarkStart w:id="2" w:name="TITUS1HeaderPrimary"/>
    <w:r>
      <w:rPr>
        <w:color w:val="000000"/>
        <w:sz w:val="17"/>
      </w:rPr>
      <w:t> </w:t>
    </w:r>
  </w:p>
  <w:bookmarkEnd w:id="2"/>
  <w:p w:rsidR="00FE2AAD" w:rsidRDefault="00FE2AA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2AAD" w:rsidRDefault="008B62AE" w:rsidP="008B62AE">
    <w:pPr>
      <w:pStyle w:val="Header"/>
      <w:rPr>
        <w:color w:val="000000"/>
        <w:sz w:val="17"/>
      </w:rPr>
    </w:pPr>
    <w:bookmarkStart w:id="5" w:name="TITUS1HeaderFirstPage"/>
    <w:r>
      <w:rPr>
        <w:color w:val="000000"/>
        <w:sz w:val="17"/>
      </w:rPr>
      <w:t> </w:t>
    </w:r>
  </w:p>
  <w:bookmarkEnd w:id="5"/>
  <w:p w:rsidR="00FE2AAD" w:rsidRDefault="00FE2AA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02CFD"/>
    <w:rsid w:val="00121DF7"/>
    <w:rsid w:val="001B7469"/>
    <w:rsid w:val="001F3B4F"/>
    <w:rsid w:val="00370A10"/>
    <w:rsid w:val="00451AB2"/>
    <w:rsid w:val="00575AC9"/>
    <w:rsid w:val="00682F3B"/>
    <w:rsid w:val="006A67EE"/>
    <w:rsid w:val="00763ACB"/>
    <w:rsid w:val="007E4409"/>
    <w:rsid w:val="0086420B"/>
    <w:rsid w:val="00877432"/>
    <w:rsid w:val="008B62AE"/>
    <w:rsid w:val="009128B1"/>
    <w:rsid w:val="009935E0"/>
    <w:rsid w:val="00AE7CA9"/>
    <w:rsid w:val="00C31937"/>
    <w:rsid w:val="00D06BEB"/>
    <w:rsid w:val="00FE2A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ACDDAA"/>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2A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2AAD"/>
  </w:style>
  <w:style w:type="paragraph" w:styleId="Footer">
    <w:name w:val="footer"/>
    <w:basedOn w:val="Normal"/>
    <w:link w:val="FooterChar"/>
    <w:uiPriority w:val="99"/>
    <w:unhideWhenUsed/>
    <w:rsid w:val="00FE2A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2A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889</Words>
  <Characters>5070</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Hughes,Dylan swp6969</cp:lastModifiedBy>
  <cp:revision>6</cp:revision>
  <dcterms:created xsi:type="dcterms:W3CDTF">2021-08-23T13:25:00Z</dcterms:created>
  <dcterms:modified xsi:type="dcterms:W3CDTF">2021-08-23T13:33:00Z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