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C974A" w14:textId="77777777" w:rsidR="00976F41" w:rsidRDefault="00000000">
      <w:pPr>
        <w:pStyle w:val="TOCHeading"/>
      </w:pPr>
      <w:r>
        <w:t xml:space="preserve">                                   </w:t>
      </w:r>
    </w:p>
    <w:p w14:paraId="242ED4FE" w14:textId="33ADDD1B" w:rsidR="00F101F7" w:rsidRPr="00F101F7" w:rsidRDefault="00000000" w:rsidP="00F101F7">
      <w:pPr>
        <w:pStyle w:val="TOCHeading"/>
      </w:pPr>
      <w:r>
        <w:t xml:space="preserve">                                 Student Name: Roh</w:t>
      </w:r>
      <w:r w:rsidR="00F101F7">
        <w:t>e</w:t>
      </w:r>
      <w:r>
        <w:t>y Savage</w:t>
      </w:r>
    </w:p>
    <w:p w14:paraId="5902566C" w14:textId="77777777" w:rsidR="00976F41" w:rsidRDefault="00976F41"/>
    <w:p w14:paraId="42630577" w14:textId="1BAFC83C" w:rsidR="00F101F7" w:rsidRDefault="00000000" w:rsidP="00F101F7">
      <w:pPr>
        <w:pStyle w:val="TOCHeading"/>
      </w:pPr>
      <w:r>
        <w:t xml:space="preserve">                              Student Number: 2246134. </w:t>
      </w:r>
      <w:r w:rsidR="00F101F7">
        <w:t>BMHP5019</w:t>
      </w:r>
    </w:p>
    <w:p w14:paraId="75A2669C" w14:textId="77777777" w:rsidR="00F101F7" w:rsidRPr="00F101F7" w:rsidRDefault="00F101F7" w:rsidP="00F101F7"/>
    <w:p w14:paraId="0B9006B5" w14:textId="77777777" w:rsidR="00976F41" w:rsidRDefault="00000000">
      <w:pPr>
        <w:pStyle w:val="TOCHeading"/>
      </w:pPr>
      <w:r>
        <w:lastRenderedPageBreak/>
        <w:t xml:space="preserve">                        </w:t>
      </w:r>
    </w:p>
    <w:p w14:paraId="2F5DF338" w14:textId="77777777" w:rsidR="00976F41" w:rsidRDefault="00976F41">
      <w:pPr>
        <w:pStyle w:val="TOCHeading"/>
      </w:pPr>
    </w:p>
    <w:p w14:paraId="42487E4A" w14:textId="77777777" w:rsidR="00976F41" w:rsidRDefault="00976F41">
      <w:pPr>
        <w:pStyle w:val="TOCHeading"/>
      </w:pPr>
    </w:p>
    <w:p w14:paraId="7221B9A4" w14:textId="77777777" w:rsidR="00976F41" w:rsidRDefault="00976F41">
      <w:pPr>
        <w:pStyle w:val="TOCHeading"/>
      </w:pPr>
    </w:p>
    <w:p w14:paraId="12DBC3D7" w14:textId="77777777" w:rsidR="00976F41" w:rsidRDefault="00976F41">
      <w:pPr>
        <w:pStyle w:val="TOCHeading"/>
      </w:pPr>
    </w:p>
    <w:p w14:paraId="13F4BAF1" w14:textId="77777777" w:rsidR="00976F41" w:rsidRDefault="00976F41">
      <w:pPr>
        <w:pStyle w:val="TOCHeading"/>
      </w:pPr>
    </w:p>
    <w:p w14:paraId="2EB46CFE" w14:textId="77777777" w:rsidR="00976F41" w:rsidRDefault="00976F41">
      <w:pPr>
        <w:pStyle w:val="TOCHeading"/>
      </w:pPr>
    </w:p>
    <w:p w14:paraId="5AC62403" w14:textId="77777777" w:rsidR="00976F41" w:rsidRDefault="00976F41">
      <w:pPr>
        <w:pStyle w:val="TOCHeading"/>
      </w:pPr>
    </w:p>
    <w:p w14:paraId="7E607BD3" w14:textId="77777777" w:rsidR="00976F41" w:rsidRDefault="00976F41">
      <w:pPr>
        <w:pStyle w:val="TOCHeading"/>
      </w:pPr>
    </w:p>
    <w:p w14:paraId="567B4DB4" w14:textId="77777777" w:rsidR="00976F41" w:rsidRDefault="00976F41">
      <w:pPr>
        <w:pStyle w:val="TOCHeading"/>
      </w:pPr>
    </w:p>
    <w:p w14:paraId="5360DC90" w14:textId="77777777" w:rsidR="00976F41" w:rsidRDefault="00976F41">
      <w:pPr>
        <w:pStyle w:val="TOCHeading"/>
      </w:pPr>
    </w:p>
    <w:p w14:paraId="45FA68EA" w14:textId="77777777" w:rsidR="00976F41" w:rsidRDefault="00976F41">
      <w:pPr>
        <w:pStyle w:val="TOCHeading"/>
      </w:pPr>
    </w:p>
    <w:p w14:paraId="3297A25D" w14:textId="77777777" w:rsidR="00976F41" w:rsidRDefault="00976F41">
      <w:pPr>
        <w:pStyle w:val="TOCHeading"/>
      </w:pPr>
    </w:p>
    <w:p w14:paraId="7E3C9CF4" w14:textId="77777777" w:rsidR="00976F41" w:rsidRDefault="00976F41">
      <w:pPr>
        <w:pStyle w:val="TOCHeading"/>
      </w:pPr>
    </w:p>
    <w:p w14:paraId="765E2E4E" w14:textId="77777777" w:rsidR="00976F41" w:rsidRDefault="00976F41">
      <w:pPr>
        <w:pStyle w:val="TOCHeading"/>
      </w:pPr>
    </w:p>
    <w:p w14:paraId="1623554F" w14:textId="77777777" w:rsidR="00976F41" w:rsidRDefault="00976F41">
      <w:pPr>
        <w:pStyle w:val="TOCHeading"/>
      </w:pPr>
    </w:p>
    <w:p w14:paraId="648C6B9F" w14:textId="77777777" w:rsidR="00976F41" w:rsidRDefault="00976F41"/>
    <w:p w14:paraId="7A09AE3E" w14:textId="77777777" w:rsidR="00976F41" w:rsidRDefault="00976F41"/>
    <w:p w14:paraId="606E678C" w14:textId="77777777" w:rsidR="00976F41" w:rsidRDefault="00976F41"/>
    <w:p w14:paraId="06875CC6" w14:textId="77777777" w:rsidR="00976F41" w:rsidRDefault="00000000">
      <w:pPr>
        <w:pStyle w:val="TOCHeading"/>
      </w:pPr>
      <w:r>
        <w:lastRenderedPageBreak/>
        <w:t xml:space="preserve">                </w:t>
      </w:r>
    </w:p>
    <w:p w14:paraId="11FED586" w14:textId="77777777" w:rsidR="00976F41" w:rsidRDefault="00000000">
      <w:pPr>
        <w:pStyle w:val="TOCHeading"/>
      </w:pPr>
      <w:r>
        <w:t>Table of Contents</w:t>
      </w:r>
    </w:p>
    <w:p w14:paraId="785234FE" w14:textId="77777777" w:rsidR="00976F41" w:rsidRDefault="00000000">
      <w:pPr>
        <w:pStyle w:val="TOC1"/>
        <w:tabs>
          <w:tab w:val="right" w:leader="dot" w:pos="9350"/>
        </w:tabs>
        <w:rPr>
          <w:noProof/>
        </w:rPr>
      </w:pPr>
      <w:r>
        <w:fldChar w:fldCharType="begin"/>
      </w:r>
      <w:r>
        <w:instrText xml:space="preserve"> TOC \o "1-3" \h \z \u </w:instrText>
      </w:r>
      <w:r>
        <w:fldChar w:fldCharType="separate"/>
      </w:r>
      <w:hyperlink w:anchor="_Toc210054037" w:history="1">
        <w:r>
          <w:rPr>
            <w:rStyle w:val="Hyperlink"/>
            <w:noProof/>
          </w:rPr>
          <w:t>1. Introduction</w:t>
        </w:r>
        <w:r>
          <w:rPr>
            <w:noProof/>
            <w:webHidden/>
          </w:rPr>
          <w:tab/>
        </w:r>
        <w:r>
          <w:rPr>
            <w:noProof/>
            <w:webHidden/>
          </w:rPr>
          <w:fldChar w:fldCharType="begin"/>
        </w:r>
        <w:r>
          <w:rPr>
            <w:noProof/>
            <w:webHidden/>
          </w:rPr>
          <w:instrText xml:space="preserve"> PAGEREF _Toc210054037 \h </w:instrText>
        </w:r>
        <w:r>
          <w:rPr>
            <w:noProof/>
            <w:webHidden/>
          </w:rPr>
        </w:r>
        <w:r>
          <w:rPr>
            <w:noProof/>
            <w:webHidden/>
          </w:rPr>
          <w:fldChar w:fldCharType="separate"/>
        </w:r>
        <w:r>
          <w:rPr>
            <w:noProof/>
            <w:webHidden/>
          </w:rPr>
          <w:t>2</w:t>
        </w:r>
        <w:r>
          <w:rPr>
            <w:noProof/>
            <w:webHidden/>
          </w:rPr>
          <w:fldChar w:fldCharType="end"/>
        </w:r>
      </w:hyperlink>
    </w:p>
    <w:p w14:paraId="04C7E0C6" w14:textId="77777777" w:rsidR="00976F41" w:rsidRDefault="00000000">
      <w:pPr>
        <w:pStyle w:val="TOC1"/>
        <w:tabs>
          <w:tab w:val="right" w:leader="dot" w:pos="9350"/>
        </w:tabs>
        <w:rPr>
          <w:noProof/>
        </w:rPr>
      </w:pPr>
      <w:hyperlink w:anchor="_Toc210054038" w:history="1">
        <w:r>
          <w:rPr>
            <w:rStyle w:val="Hyperlink"/>
            <w:noProof/>
          </w:rPr>
          <w:t>2. Rationale</w:t>
        </w:r>
        <w:r>
          <w:rPr>
            <w:noProof/>
            <w:webHidden/>
          </w:rPr>
          <w:tab/>
        </w:r>
        <w:r>
          <w:rPr>
            <w:noProof/>
            <w:webHidden/>
          </w:rPr>
          <w:fldChar w:fldCharType="begin"/>
        </w:r>
        <w:r>
          <w:rPr>
            <w:noProof/>
            <w:webHidden/>
          </w:rPr>
          <w:instrText xml:space="preserve"> PAGEREF _Toc210054038 \h </w:instrText>
        </w:r>
        <w:r>
          <w:rPr>
            <w:noProof/>
            <w:webHidden/>
          </w:rPr>
        </w:r>
        <w:r>
          <w:rPr>
            <w:noProof/>
            <w:webHidden/>
          </w:rPr>
          <w:fldChar w:fldCharType="separate"/>
        </w:r>
        <w:r>
          <w:rPr>
            <w:noProof/>
            <w:webHidden/>
          </w:rPr>
          <w:t>2</w:t>
        </w:r>
        <w:r>
          <w:rPr>
            <w:noProof/>
            <w:webHidden/>
          </w:rPr>
          <w:fldChar w:fldCharType="end"/>
        </w:r>
      </w:hyperlink>
    </w:p>
    <w:p w14:paraId="0306C002" w14:textId="77777777" w:rsidR="00976F41" w:rsidRDefault="00000000">
      <w:pPr>
        <w:pStyle w:val="TOC1"/>
        <w:tabs>
          <w:tab w:val="right" w:leader="dot" w:pos="9350"/>
        </w:tabs>
        <w:rPr>
          <w:noProof/>
        </w:rPr>
      </w:pPr>
      <w:hyperlink w:anchor="_Toc210054039" w:history="1">
        <w:r>
          <w:rPr>
            <w:rStyle w:val="Hyperlink"/>
            <w:noProof/>
          </w:rPr>
          <w:t>3. Methods</w:t>
        </w:r>
        <w:r>
          <w:rPr>
            <w:noProof/>
            <w:webHidden/>
          </w:rPr>
          <w:tab/>
        </w:r>
        <w:r>
          <w:rPr>
            <w:noProof/>
            <w:webHidden/>
          </w:rPr>
          <w:fldChar w:fldCharType="begin"/>
        </w:r>
        <w:r>
          <w:rPr>
            <w:noProof/>
            <w:webHidden/>
          </w:rPr>
          <w:instrText xml:space="preserve"> PAGEREF _Toc210054039 \h </w:instrText>
        </w:r>
        <w:r>
          <w:rPr>
            <w:noProof/>
            <w:webHidden/>
          </w:rPr>
        </w:r>
        <w:r>
          <w:rPr>
            <w:noProof/>
            <w:webHidden/>
          </w:rPr>
          <w:fldChar w:fldCharType="separate"/>
        </w:r>
        <w:r>
          <w:rPr>
            <w:noProof/>
            <w:webHidden/>
          </w:rPr>
          <w:t>2</w:t>
        </w:r>
        <w:r>
          <w:rPr>
            <w:noProof/>
            <w:webHidden/>
          </w:rPr>
          <w:fldChar w:fldCharType="end"/>
        </w:r>
      </w:hyperlink>
    </w:p>
    <w:p w14:paraId="3500C96B" w14:textId="77777777" w:rsidR="00976F41" w:rsidRDefault="00000000">
      <w:pPr>
        <w:pStyle w:val="TOC1"/>
        <w:tabs>
          <w:tab w:val="right" w:leader="dot" w:pos="9350"/>
        </w:tabs>
        <w:rPr>
          <w:noProof/>
        </w:rPr>
      </w:pPr>
      <w:hyperlink w:anchor="_Toc210054040" w:history="1">
        <w:r>
          <w:rPr>
            <w:rStyle w:val="Hyperlink"/>
            <w:noProof/>
          </w:rPr>
          <w:t>4. Ethical Considerations</w:t>
        </w:r>
        <w:r>
          <w:rPr>
            <w:noProof/>
            <w:webHidden/>
          </w:rPr>
          <w:tab/>
        </w:r>
        <w:r>
          <w:rPr>
            <w:noProof/>
            <w:webHidden/>
          </w:rPr>
          <w:fldChar w:fldCharType="begin"/>
        </w:r>
        <w:r>
          <w:rPr>
            <w:noProof/>
            <w:webHidden/>
          </w:rPr>
          <w:instrText xml:space="preserve"> PAGEREF _Toc210054040 \h </w:instrText>
        </w:r>
        <w:r>
          <w:rPr>
            <w:noProof/>
            <w:webHidden/>
          </w:rPr>
        </w:r>
        <w:r>
          <w:rPr>
            <w:noProof/>
            <w:webHidden/>
          </w:rPr>
          <w:fldChar w:fldCharType="separate"/>
        </w:r>
        <w:r>
          <w:rPr>
            <w:noProof/>
            <w:webHidden/>
          </w:rPr>
          <w:t>3</w:t>
        </w:r>
        <w:r>
          <w:rPr>
            <w:noProof/>
            <w:webHidden/>
          </w:rPr>
          <w:fldChar w:fldCharType="end"/>
        </w:r>
      </w:hyperlink>
    </w:p>
    <w:p w14:paraId="7A3BECA8" w14:textId="77777777" w:rsidR="00976F41" w:rsidRDefault="00000000">
      <w:pPr>
        <w:pStyle w:val="TOC1"/>
        <w:tabs>
          <w:tab w:val="right" w:leader="dot" w:pos="9350"/>
        </w:tabs>
        <w:rPr>
          <w:noProof/>
        </w:rPr>
      </w:pPr>
      <w:hyperlink w:anchor="_Toc210054041" w:history="1">
        <w:r>
          <w:rPr>
            <w:rStyle w:val="Hyperlink"/>
            <w:noProof/>
          </w:rPr>
          <w:t>5. References</w:t>
        </w:r>
        <w:r>
          <w:rPr>
            <w:noProof/>
            <w:webHidden/>
          </w:rPr>
          <w:tab/>
        </w:r>
        <w:r>
          <w:rPr>
            <w:noProof/>
            <w:webHidden/>
          </w:rPr>
          <w:fldChar w:fldCharType="begin"/>
        </w:r>
        <w:r>
          <w:rPr>
            <w:noProof/>
            <w:webHidden/>
          </w:rPr>
          <w:instrText xml:space="preserve"> PAGEREF _Toc210054041 \h </w:instrText>
        </w:r>
        <w:r>
          <w:rPr>
            <w:noProof/>
            <w:webHidden/>
          </w:rPr>
        </w:r>
        <w:r>
          <w:rPr>
            <w:noProof/>
            <w:webHidden/>
          </w:rPr>
          <w:fldChar w:fldCharType="separate"/>
        </w:r>
        <w:r>
          <w:rPr>
            <w:noProof/>
            <w:webHidden/>
          </w:rPr>
          <w:t>4</w:t>
        </w:r>
        <w:r>
          <w:rPr>
            <w:noProof/>
            <w:webHidden/>
          </w:rPr>
          <w:fldChar w:fldCharType="end"/>
        </w:r>
      </w:hyperlink>
    </w:p>
    <w:p w14:paraId="67F2D141" w14:textId="77777777" w:rsidR="00976F41" w:rsidRDefault="00000000">
      <w:r>
        <w:rPr>
          <w:b/>
          <w:bCs/>
          <w:noProof/>
        </w:rPr>
        <w:fldChar w:fldCharType="end"/>
      </w:r>
    </w:p>
    <w:p w14:paraId="69529DED" w14:textId="77777777" w:rsidR="00976F41" w:rsidRDefault="00976F41"/>
    <w:p w14:paraId="21817BD8" w14:textId="77777777" w:rsidR="00976F41" w:rsidRDefault="00976F41"/>
    <w:p w14:paraId="7F78D2C6" w14:textId="77777777" w:rsidR="00976F41" w:rsidRDefault="00976F41"/>
    <w:p w14:paraId="593AF6CE" w14:textId="77777777" w:rsidR="00976F41" w:rsidRDefault="00976F41"/>
    <w:p w14:paraId="461B26DC" w14:textId="77777777" w:rsidR="00976F41" w:rsidRDefault="00976F41"/>
    <w:p w14:paraId="1AAEA096" w14:textId="77777777" w:rsidR="00976F41" w:rsidRDefault="00976F41"/>
    <w:p w14:paraId="38536C17" w14:textId="77777777" w:rsidR="00976F41" w:rsidRDefault="00976F41"/>
    <w:p w14:paraId="736680C6" w14:textId="77777777" w:rsidR="00976F41" w:rsidRDefault="00976F41"/>
    <w:p w14:paraId="3E6724A4" w14:textId="77777777" w:rsidR="00976F41" w:rsidRDefault="00976F41"/>
    <w:p w14:paraId="15F57309" w14:textId="77777777" w:rsidR="00976F41" w:rsidRDefault="00976F41"/>
    <w:p w14:paraId="044AD061" w14:textId="77777777" w:rsidR="00976F41" w:rsidRDefault="00976F41"/>
    <w:p w14:paraId="4528BDE1" w14:textId="77777777" w:rsidR="00976F41" w:rsidRDefault="00976F41"/>
    <w:p w14:paraId="470933C2" w14:textId="77777777" w:rsidR="00976F41" w:rsidRDefault="00976F41"/>
    <w:p w14:paraId="47137D35" w14:textId="77777777" w:rsidR="00976F41" w:rsidRDefault="00976F41"/>
    <w:p w14:paraId="51B72B07" w14:textId="77777777" w:rsidR="00976F41" w:rsidRDefault="00976F41"/>
    <w:p w14:paraId="7AFA7E09" w14:textId="77777777" w:rsidR="00976F41" w:rsidRDefault="00976F41"/>
    <w:p w14:paraId="76C21EF2" w14:textId="77777777" w:rsidR="00976F41" w:rsidRDefault="00976F41"/>
    <w:p w14:paraId="102A178A" w14:textId="77777777" w:rsidR="00976F41" w:rsidRDefault="00976F41"/>
    <w:p w14:paraId="39D5B2B8" w14:textId="77777777" w:rsidR="00976F41" w:rsidRDefault="00000000">
      <w:pPr>
        <w:pStyle w:val="Heading1"/>
      </w:pPr>
      <w:bookmarkStart w:id="0" w:name="_Toc210054037"/>
      <w:r>
        <w:lastRenderedPageBreak/>
        <w:t>1. Introduction</w:t>
      </w:r>
      <w:bookmarkEnd w:id="0"/>
    </w:p>
    <w:p w14:paraId="56360F6A" w14:textId="77777777" w:rsidR="00976F41" w:rsidRDefault="00000000">
      <w:pPr>
        <w:spacing w:line="360" w:lineRule="auto"/>
        <w:rPr>
          <w:rFonts w:ascii="Arial" w:hAnsi="Arial" w:cs="Arial"/>
        </w:rPr>
      </w:pPr>
      <w:r>
        <w:rPr>
          <w:rFonts w:ascii="Arial" w:hAnsi="Arial" w:cs="Arial"/>
        </w:rPr>
        <w:t>Breast cancer is the most prevalent cancer in women in the UK and a major cause of death, and it is the issue that continues to challenge health services. The question to be addressed as part of this review is: What are the recent issues and developments in the treatment, diagnosis, and care of breast cancer in the UK? It seeks to review the evidence on early diagnosis and evaluate disparities in access to diagnosis and treatment and highlight gaps in the NHS practice, especially when disadvantaged population groups are diagnosed later (Slade, Luckham, and Owen, 2024).</w:t>
      </w:r>
    </w:p>
    <w:p w14:paraId="72FA35CA" w14:textId="77777777" w:rsidR="00976F41" w:rsidRDefault="00000000">
      <w:pPr>
        <w:pStyle w:val="Heading1"/>
      </w:pPr>
      <w:bookmarkStart w:id="1" w:name="_Toc210054038"/>
      <w:r>
        <w:t>2. Rationale</w:t>
      </w:r>
      <w:bookmarkEnd w:id="1"/>
    </w:p>
    <w:p w14:paraId="03EE6FE3" w14:textId="77777777" w:rsidR="00976F41" w:rsidRDefault="00000000">
      <w:pPr>
        <w:spacing w:line="360" w:lineRule="auto"/>
        <w:rPr>
          <w:rFonts w:ascii="Arial" w:hAnsi="Arial" w:cs="Arial"/>
        </w:rPr>
      </w:pPr>
      <w:r>
        <w:rPr>
          <w:rFonts w:ascii="Arial" w:hAnsi="Arial" w:cs="Arial"/>
        </w:rPr>
        <w:t>The most common cancer to be diagnosed in women in the UK is breast cancer which poses a significant health issue with a high mortality and long-term care rate (NHS England, 2023). The pressing nature of this problem is supported by the fact that COVID-19 had significant impacts on the screening participation, with up to 31% decreases, which resulted in the delay in the diagnosis and possibly worse outcomes (Reagan Lee et al., 2023). In the meantime, longitudinal data indicate growth and continue to show significant issues: in 2000-2021, the UK women prevalence of breast cancer grew 2.5-fold, and survival improved, but inequalities in the outcomes are also persistent (Barclay et al., 2024). These results highlight the policy priority we describe in the NHS Long Term Plan to improve early detection and survival rates. There are still research gaps in finding out the disparities in regions, psychosocial aftermaths, and the sufficiency of the survivorship care, and the additional research is both urgent and necessary to inform NHS practice.</w:t>
      </w:r>
    </w:p>
    <w:p w14:paraId="6D470159" w14:textId="77777777" w:rsidR="00976F41" w:rsidRDefault="00000000">
      <w:pPr>
        <w:pStyle w:val="Heading1"/>
      </w:pPr>
      <w:bookmarkStart w:id="2" w:name="_Toc210054039"/>
      <w:r>
        <w:t>3. Methods</w:t>
      </w:r>
      <w:bookmarkEnd w:id="2"/>
    </w:p>
    <w:p w14:paraId="580BA1C6" w14:textId="77777777" w:rsidR="00976F41" w:rsidRDefault="00000000">
      <w:pPr>
        <w:spacing w:line="360" w:lineRule="auto"/>
        <w:rPr>
          <w:rFonts w:ascii="Arial" w:hAnsi="Arial" w:cs="Arial"/>
        </w:rPr>
      </w:pPr>
      <w:r>
        <w:rPr>
          <w:rFonts w:ascii="Arial" w:hAnsi="Arial" w:cs="Arial"/>
        </w:rPr>
        <w:t>The research design of this study is a secondary research design with a scoping review framework to combine evidence about breast cancer in the UK. PubMed, CINAHL, PsycINFO and Google Scholar databases were searched using the terms: UK breast cancer screening, treatment disparities and cancer survival outcomes. Inclusion was limited to peer-reviewed UK research in the past five years. The data were analysed using a thematic analysis (Aveyard, 2014), considering the drawbacks of secondary data (Dickson-Swift et al., 2024).</w:t>
      </w:r>
    </w:p>
    <w:p w14:paraId="514A1F3E" w14:textId="77777777" w:rsidR="00976F41" w:rsidRDefault="00000000">
      <w:pPr>
        <w:pStyle w:val="Heading1"/>
      </w:pPr>
      <w:bookmarkStart w:id="3" w:name="_Toc210054040"/>
      <w:r>
        <w:lastRenderedPageBreak/>
        <w:t>4. Ethical Considerations</w:t>
      </w:r>
      <w:bookmarkEnd w:id="3"/>
    </w:p>
    <w:p w14:paraId="239D6019" w14:textId="77777777" w:rsidR="00976F41" w:rsidRDefault="00000000">
      <w:pPr>
        <w:spacing w:line="360" w:lineRule="auto"/>
        <w:rPr>
          <w:rFonts w:ascii="Arial" w:hAnsi="Arial" w:cs="Arial"/>
        </w:rPr>
      </w:pPr>
      <w:r>
        <w:rPr>
          <w:rFonts w:ascii="Arial" w:hAnsi="Arial" w:cs="Arial"/>
        </w:rPr>
        <w:t>This is secondary analysis research; thus, the risks of ethics are not high. The academic integrity concerning the correct referencing and prevention of plagiarism is guaranteed. Only peer-reviewed and credible and policy sources are referred to and findings are represented in an unbiased manner. It puts a focus on responsibility, transparency, and research integrity (Armond et al., 2021).</w:t>
      </w:r>
    </w:p>
    <w:p w14:paraId="677C5900" w14:textId="77777777" w:rsidR="00976F41" w:rsidRDefault="00976F41"/>
    <w:p w14:paraId="286F3E80" w14:textId="77777777" w:rsidR="00976F41" w:rsidRDefault="00976F41"/>
    <w:p w14:paraId="4EBD84BF" w14:textId="77777777" w:rsidR="00976F41" w:rsidRDefault="00976F41"/>
    <w:p w14:paraId="579A81D4" w14:textId="77777777" w:rsidR="00976F41" w:rsidRDefault="00976F41"/>
    <w:p w14:paraId="5D73982D" w14:textId="77777777" w:rsidR="00976F41" w:rsidRDefault="00976F41"/>
    <w:p w14:paraId="36A1E159" w14:textId="77777777" w:rsidR="00976F41" w:rsidRDefault="00976F41"/>
    <w:p w14:paraId="7B4ED57E" w14:textId="77777777" w:rsidR="00976F41" w:rsidRDefault="00976F41"/>
    <w:p w14:paraId="1A612B87" w14:textId="77777777" w:rsidR="00976F41" w:rsidRDefault="00976F41"/>
    <w:p w14:paraId="1CCF8B20" w14:textId="77777777" w:rsidR="00976F41" w:rsidRDefault="00976F41"/>
    <w:p w14:paraId="6118FD20" w14:textId="77777777" w:rsidR="00976F41" w:rsidRDefault="00976F41"/>
    <w:p w14:paraId="16B39ECD" w14:textId="77777777" w:rsidR="00976F41" w:rsidRDefault="00976F41"/>
    <w:p w14:paraId="03DFE0B7" w14:textId="77777777" w:rsidR="00976F41" w:rsidRDefault="00976F41"/>
    <w:p w14:paraId="3EBC6F79" w14:textId="77777777" w:rsidR="00976F41" w:rsidRDefault="00976F41"/>
    <w:p w14:paraId="5E0D4820" w14:textId="77777777" w:rsidR="00976F41" w:rsidRDefault="00976F41"/>
    <w:p w14:paraId="3E94E54B" w14:textId="77777777" w:rsidR="00976F41" w:rsidRDefault="00976F41"/>
    <w:p w14:paraId="712D36C6" w14:textId="77777777" w:rsidR="00976F41" w:rsidRDefault="00976F41"/>
    <w:p w14:paraId="6E9B4389" w14:textId="77777777" w:rsidR="00976F41" w:rsidRDefault="00976F41"/>
    <w:p w14:paraId="557AD77A" w14:textId="77777777" w:rsidR="00976F41" w:rsidRDefault="00976F41"/>
    <w:p w14:paraId="64A95522" w14:textId="77777777" w:rsidR="00976F41" w:rsidRDefault="00976F41"/>
    <w:p w14:paraId="4F33F62E" w14:textId="77777777" w:rsidR="00976F41" w:rsidRDefault="00976F41"/>
    <w:p w14:paraId="17783415" w14:textId="77777777" w:rsidR="00976F41" w:rsidRDefault="00000000">
      <w:pPr>
        <w:pStyle w:val="Heading1"/>
      </w:pPr>
      <w:bookmarkStart w:id="4" w:name="_Toc210054041"/>
      <w:r>
        <w:lastRenderedPageBreak/>
        <w:t>5. References</w:t>
      </w:r>
      <w:bookmarkEnd w:id="4"/>
      <w:r>
        <w:t xml:space="preserve"> </w:t>
      </w:r>
    </w:p>
    <w:p w14:paraId="7972B648" w14:textId="77777777" w:rsidR="00976F41" w:rsidRDefault="00000000">
      <w:pPr>
        <w:spacing w:line="360" w:lineRule="auto"/>
        <w:rPr>
          <w:rFonts w:ascii="Arial" w:hAnsi="Arial" w:cs="Arial"/>
        </w:rPr>
      </w:pPr>
      <w:r>
        <w:rPr>
          <w:rFonts w:ascii="Arial" w:hAnsi="Arial" w:cs="Arial"/>
        </w:rPr>
        <w:t xml:space="preserve">Armond, A.C.V., Gordijn, B., Lewis, J. et al. (2021) ‘A scoping review of the literature featuring research ethics and research integrity cases’, </w:t>
      </w:r>
      <w:r>
        <w:rPr>
          <w:rFonts w:ascii="Arial" w:hAnsi="Arial" w:cs="Arial"/>
          <w:i/>
          <w:iCs/>
        </w:rPr>
        <w:t>BMC Medical Ethics</w:t>
      </w:r>
      <w:r>
        <w:rPr>
          <w:rFonts w:ascii="Arial" w:hAnsi="Arial" w:cs="Arial"/>
        </w:rPr>
        <w:t>, 22(50). doi:10.1186/s12910-021-00620-8</w:t>
      </w:r>
    </w:p>
    <w:p w14:paraId="40C7F240" w14:textId="77777777" w:rsidR="00976F41" w:rsidRDefault="00000000">
      <w:pPr>
        <w:spacing w:line="360" w:lineRule="auto"/>
        <w:rPr>
          <w:rFonts w:ascii="Arial" w:hAnsi="Arial" w:cs="Arial"/>
        </w:rPr>
      </w:pPr>
      <w:r>
        <w:rPr>
          <w:rFonts w:ascii="Arial" w:hAnsi="Arial" w:cs="Arial"/>
        </w:rPr>
        <w:t xml:space="preserve">Barclay, N.L., Burn, E., Delmestri, A. et al. (2024) ‘Trends in incidence, prevalence, and survival of breast cancer in the United Kingdom from 2000 to 2021’, </w:t>
      </w:r>
      <w:r>
        <w:rPr>
          <w:rFonts w:ascii="Arial" w:hAnsi="Arial" w:cs="Arial"/>
          <w:i/>
          <w:iCs/>
        </w:rPr>
        <w:t>Scientific Reports</w:t>
      </w:r>
      <w:r>
        <w:rPr>
          <w:rFonts w:ascii="Arial" w:hAnsi="Arial" w:cs="Arial"/>
        </w:rPr>
        <w:t>, 14, 19069. doi:10.1038/s41598-024-69006-1</w:t>
      </w:r>
    </w:p>
    <w:p w14:paraId="51A55219" w14:textId="77777777" w:rsidR="00976F41" w:rsidRDefault="00000000">
      <w:pPr>
        <w:spacing w:line="360" w:lineRule="auto"/>
        <w:rPr>
          <w:rFonts w:ascii="Arial" w:hAnsi="Arial" w:cs="Arial"/>
        </w:rPr>
      </w:pPr>
      <w:r>
        <w:rPr>
          <w:rFonts w:ascii="Arial" w:hAnsi="Arial" w:cs="Arial"/>
        </w:rPr>
        <w:t xml:space="preserve">Dickson-Swift, V., Adams, J., Spelten, E. et al. (2024) ‘Breast cancer screening motivation and behaviours of women aged over 75 years: a scoping review’, </w:t>
      </w:r>
      <w:r>
        <w:rPr>
          <w:rFonts w:ascii="Arial" w:hAnsi="Arial" w:cs="Arial"/>
          <w:i/>
          <w:iCs/>
        </w:rPr>
        <w:t>BMC Women’s Health</w:t>
      </w:r>
      <w:r>
        <w:rPr>
          <w:rFonts w:ascii="Arial" w:hAnsi="Arial" w:cs="Arial"/>
        </w:rPr>
        <w:t>, 24, 256. doi:10.1186/s12905-024-03094-z</w:t>
      </w:r>
    </w:p>
    <w:p w14:paraId="4E4B628C" w14:textId="77777777" w:rsidR="00976F41" w:rsidRDefault="00000000">
      <w:pPr>
        <w:spacing w:line="360" w:lineRule="auto"/>
        <w:rPr>
          <w:rFonts w:ascii="Arial" w:hAnsi="Arial" w:cs="Arial"/>
        </w:rPr>
      </w:pPr>
      <w:r>
        <w:rPr>
          <w:rFonts w:ascii="Arial" w:hAnsi="Arial" w:cs="Arial"/>
        </w:rPr>
        <w:t xml:space="preserve">Lee, R., Xu, W., Dozier, M., McQuillan, R., Theodoratou, E. and Figueroa, J. (2023) ‘A rapid review of COVID-19’s global impact on breast cancer screening participation rates and volumes from January to December 2020’, </w:t>
      </w:r>
      <w:r>
        <w:rPr>
          <w:rFonts w:ascii="Arial" w:hAnsi="Arial" w:cs="Arial"/>
          <w:i/>
          <w:iCs/>
        </w:rPr>
        <w:t>eLife</w:t>
      </w:r>
      <w:r>
        <w:rPr>
          <w:rFonts w:ascii="Arial" w:hAnsi="Arial" w:cs="Arial"/>
        </w:rPr>
        <w:t>, 12, e85680. doi:10.7554/eLife.85680</w:t>
      </w:r>
    </w:p>
    <w:p w14:paraId="3D106A0E" w14:textId="77777777" w:rsidR="00976F41" w:rsidRDefault="00000000">
      <w:pPr>
        <w:spacing w:line="360" w:lineRule="auto"/>
        <w:rPr>
          <w:rFonts w:ascii="Arial" w:hAnsi="Arial" w:cs="Arial"/>
        </w:rPr>
      </w:pPr>
      <w:r>
        <w:rPr>
          <w:rFonts w:ascii="Arial" w:hAnsi="Arial" w:cs="Arial"/>
        </w:rPr>
        <w:t xml:space="preserve">Slade, E., Luckham, K. and Owen, L. (2024) ‘A NICE approach to addressing health inequalities in breast cancer guidance’, </w:t>
      </w:r>
      <w:r>
        <w:rPr>
          <w:rFonts w:ascii="Arial" w:hAnsi="Arial" w:cs="Arial"/>
          <w:i/>
          <w:iCs/>
        </w:rPr>
        <w:t>Clinical and Public Health Guidelines</w:t>
      </w:r>
      <w:r>
        <w:rPr>
          <w:rFonts w:ascii="Arial" w:hAnsi="Arial" w:cs="Arial"/>
        </w:rPr>
        <w:t>, 1(2), e12015. doi:10.1002/gin2.12015</w:t>
      </w:r>
    </w:p>
    <w:p w14:paraId="39C162B8" w14:textId="77777777" w:rsidR="00976F41" w:rsidRDefault="00976F41"/>
    <w:p w14:paraId="4AF4F932" w14:textId="77777777" w:rsidR="00976F41" w:rsidRDefault="00976F41"/>
    <w:sectPr w:rsidR="00976F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F41"/>
    <w:rsid w:val="001540BA"/>
    <w:rsid w:val="00976F41"/>
    <w:rsid w:val="00F101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7BE26"/>
  <w15:docId w15:val="{43F0C9B8-B852-4D78-BFBC-F0FC27149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rial" w:eastAsia="SimSun" w:hAnsi="Arial"/>
      <w:b/>
      <w:color w:val="000000"/>
      <w:sz w:val="28"/>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Cambria" w:eastAsia="SimSun" w:hAnsi="Cambria"/>
      <w:color w:val="365F9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365F9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365F9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365F9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SimSun"/>
      <w:b/>
      <w:color w:val="000000"/>
      <w:sz w:val="28"/>
      <w:szCs w:val="40"/>
    </w:rPr>
  </w:style>
  <w:style w:type="character" w:customStyle="1" w:styleId="Heading2Char">
    <w:name w:val="Heading 2 Char"/>
    <w:basedOn w:val="DefaultParagraphFont"/>
    <w:link w:val="Heading2"/>
    <w:uiPriority w:val="9"/>
    <w:rPr>
      <w:rFonts w:ascii="Cambria" w:eastAsia="SimSun" w:hAnsi="Cambria" w:cs="SimSun"/>
      <w:color w:val="365F91"/>
      <w:sz w:val="32"/>
      <w:szCs w:val="32"/>
    </w:rPr>
  </w:style>
  <w:style w:type="character" w:customStyle="1" w:styleId="Heading3Char">
    <w:name w:val="Heading 3 Char"/>
    <w:basedOn w:val="DefaultParagraphFont"/>
    <w:link w:val="Heading3"/>
    <w:uiPriority w:val="9"/>
    <w:rPr>
      <w:rFonts w:eastAsia="SimSun" w:cs="SimSun"/>
      <w:color w:val="365F91"/>
      <w:sz w:val="28"/>
      <w:szCs w:val="28"/>
    </w:rPr>
  </w:style>
  <w:style w:type="character" w:customStyle="1" w:styleId="Heading4Char">
    <w:name w:val="Heading 4 Char"/>
    <w:basedOn w:val="DefaultParagraphFont"/>
    <w:link w:val="Heading4"/>
    <w:uiPriority w:val="9"/>
    <w:rPr>
      <w:rFonts w:eastAsia="SimSun" w:cs="SimSun"/>
      <w:i/>
      <w:iCs/>
      <w:color w:val="365F91"/>
    </w:rPr>
  </w:style>
  <w:style w:type="character" w:customStyle="1" w:styleId="Heading5Char">
    <w:name w:val="Heading 5 Char"/>
    <w:basedOn w:val="DefaultParagraphFont"/>
    <w:link w:val="Heading5"/>
    <w:uiPriority w:val="9"/>
    <w:rPr>
      <w:rFonts w:eastAsia="SimSun" w:cs="SimSun"/>
      <w:color w:val="365F91"/>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Cambria" w:eastAsia="SimSun" w:hAnsi="Cambria"/>
      <w:spacing w:val="-10"/>
      <w:kern w:val="28"/>
      <w:sz w:val="56"/>
      <w:szCs w:val="56"/>
    </w:rPr>
  </w:style>
  <w:style w:type="character" w:customStyle="1" w:styleId="TitleChar">
    <w:name w:val="Title Char"/>
    <w:basedOn w:val="DefaultParagraphFont"/>
    <w:link w:val="Title"/>
    <w:uiPriority w:val="10"/>
    <w:rPr>
      <w:rFonts w:ascii="Cambria" w:eastAsia="SimSun" w:hAnsi="Cambria" w:cs="SimSun"/>
      <w:spacing w:val="-10"/>
      <w:kern w:val="28"/>
      <w:sz w:val="56"/>
      <w:szCs w:val="56"/>
    </w:rPr>
  </w:style>
  <w:style w:type="paragraph" w:styleId="Subtitle">
    <w:name w:val="Subtitle"/>
    <w:basedOn w:val="Normal"/>
    <w:next w:val="Normal"/>
    <w:link w:val="SubtitleChar"/>
    <w:uiPriority w:val="11"/>
    <w:qFormat/>
    <w:pPr>
      <w:numPr>
        <w:ilvl w:val="1"/>
      </w:numPr>
      <w:spacing w:after="160"/>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365F91"/>
    </w:rPr>
  </w:style>
  <w:style w:type="paragraph" w:styleId="IntenseQuote">
    <w:name w:val="Intense Quote"/>
    <w:basedOn w:val="Normal"/>
    <w:next w:val="Normal"/>
    <w:link w:val="IntenseQuoteChar"/>
    <w:uiPriority w:val="30"/>
    <w:qFormat/>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link w:val="IntenseQuote"/>
    <w:uiPriority w:val="30"/>
    <w:rPr>
      <w:i/>
      <w:iCs/>
      <w:color w:val="365F91"/>
    </w:rPr>
  </w:style>
  <w:style w:type="character" w:styleId="IntenseReference">
    <w:name w:val="Intense Reference"/>
    <w:basedOn w:val="DefaultParagraphFont"/>
    <w:uiPriority w:val="32"/>
    <w:qFormat/>
    <w:rPr>
      <w:b/>
      <w:bCs/>
      <w:smallCaps/>
      <w:color w:val="365F91"/>
      <w:spacing w:val="5"/>
    </w:rPr>
  </w:style>
  <w:style w:type="paragraph" w:styleId="TOCHeading">
    <w:name w:val="TOC Heading"/>
    <w:basedOn w:val="Heading1"/>
    <w:next w:val="Normal"/>
    <w:uiPriority w:val="39"/>
    <w:qFormat/>
    <w:pPr>
      <w:spacing w:before="240" w:after="0" w:line="259" w:lineRule="auto"/>
      <w:outlineLvl w:val="9"/>
    </w:pPr>
    <w:rPr>
      <w:rFonts w:ascii="Cambria" w:hAnsi="Cambria"/>
      <w:b w:val="0"/>
      <w:color w:val="365F91"/>
      <w:kern w:val="0"/>
      <w:sz w:val="32"/>
      <w:szCs w:val="32"/>
      <w14:ligatures w14:val="none"/>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0EBA1-D2C2-4EE1-AC01-6394037D5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664</Words>
  <Characters>3786</Characters>
  <Application>Microsoft Office Word</Application>
  <DocSecurity>0</DocSecurity>
  <Lines>31</Lines>
  <Paragraphs>8</Paragraphs>
  <ScaleCrop>false</ScaleCrop>
  <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SALMAN SAKHI</dc:creator>
  <cp:lastModifiedBy>rohey savage</cp:lastModifiedBy>
  <cp:revision>4</cp:revision>
  <dcterms:created xsi:type="dcterms:W3CDTF">2025-09-28T08:27:00Z</dcterms:created>
  <dcterms:modified xsi:type="dcterms:W3CDTF">2025-10-04T21:55:00Z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2006c86d578b41fe8d023f63164fa596</vt:lpwstr>
  </property>
</Properties>
</file>