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061A" w14:textId="77777777" w:rsidR="00B8249B" w:rsidRPr="004B35DB"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4B35DB">
        <w:rPr>
          <w:rFonts w:ascii="Times New Roman" w:eastAsia="Times New Roman" w:hAnsi="Times New Roman" w:cs="Times New Roman"/>
          <w:b/>
          <w:bCs/>
          <w:kern w:val="36"/>
          <w:sz w:val="28"/>
          <w:szCs w:val="28"/>
          <w:lang w:eastAsia="en-GB"/>
          <w14:ligatures w14:val="none"/>
        </w:rPr>
        <w:t>Module: Understanding and Engaging Stakeholders</w:t>
      </w:r>
    </w:p>
    <w:p w14:paraId="23C1F441" w14:textId="77777777" w:rsidR="00B8249B" w:rsidRPr="004B35DB"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4B35DB">
        <w:rPr>
          <w:rFonts w:ascii="Times New Roman" w:eastAsia="Times New Roman" w:hAnsi="Times New Roman" w:cs="Times New Roman"/>
          <w:b/>
          <w:bCs/>
          <w:kern w:val="36"/>
          <w:sz w:val="28"/>
          <w:szCs w:val="28"/>
          <w:lang w:eastAsia="en-GB"/>
          <w14:ligatures w14:val="none"/>
        </w:rPr>
        <w:t>Module Code: LCLM5001</w:t>
      </w:r>
    </w:p>
    <w:p w14:paraId="62C42F2A" w14:textId="77777777" w:rsidR="00B8249B" w:rsidRPr="004B35DB"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4B35DB">
        <w:rPr>
          <w:rFonts w:ascii="Times New Roman" w:eastAsia="Times New Roman" w:hAnsi="Times New Roman" w:cs="Times New Roman"/>
          <w:b/>
          <w:bCs/>
          <w:kern w:val="36"/>
          <w:sz w:val="28"/>
          <w:szCs w:val="28"/>
          <w:lang w:eastAsia="en-GB"/>
          <w14:ligatures w14:val="none"/>
        </w:rPr>
        <w:t>Module Leader: Nishi Ramsurrun</w:t>
      </w:r>
    </w:p>
    <w:p w14:paraId="1B523806" w14:textId="77777777" w:rsidR="00B8249B"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4B35DB">
        <w:rPr>
          <w:rFonts w:ascii="Times New Roman" w:eastAsia="Times New Roman" w:hAnsi="Times New Roman" w:cs="Times New Roman"/>
          <w:b/>
          <w:bCs/>
          <w:kern w:val="36"/>
          <w:sz w:val="28"/>
          <w:szCs w:val="28"/>
          <w:lang w:eastAsia="en-GB"/>
          <w14:ligatures w14:val="none"/>
        </w:rPr>
        <w:t>Student ID: 2312448</w:t>
      </w:r>
    </w:p>
    <w:p w14:paraId="707208F3" w14:textId="298D99A3" w:rsidR="00A00E04" w:rsidRPr="004B35DB" w:rsidRDefault="00A00E04" w:rsidP="00B8249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Student Name: </w:t>
      </w:r>
      <w:r w:rsidR="00D40442">
        <w:rPr>
          <w:rFonts w:ascii="Times New Roman" w:eastAsia="Times New Roman" w:hAnsi="Times New Roman" w:cs="Times New Roman"/>
          <w:b/>
          <w:bCs/>
          <w:kern w:val="36"/>
          <w:sz w:val="28"/>
          <w:szCs w:val="28"/>
          <w:lang w:eastAsia="en-GB"/>
          <w14:ligatures w14:val="none"/>
        </w:rPr>
        <w:t>Kamal Gibbons</w:t>
      </w:r>
    </w:p>
    <w:p w14:paraId="3C3C08E2" w14:textId="77777777" w:rsidR="00B8249B" w:rsidRDefault="00B8249B" w:rsidP="00B8249B"/>
    <w:p w14:paraId="662DA39C" w14:textId="77777777" w:rsidR="00B8249B" w:rsidRDefault="00B8249B" w:rsidP="00B8249B"/>
    <w:p w14:paraId="3AE290BA" w14:textId="77777777" w:rsidR="00B8249B" w:rsidRPr="00154E1F"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Stakeholder Engagement Strategies for Deloitte UK’s Birmingham Office Expansion Project</w:t>
      </w:r>
    </w:p>
    <w:p w14:paraId="20D6F747" w14:textId="77777777" w:rsidR="00B8249B" w:rsidRPr="00154E1F"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Table of Contents</w:t>
      </w:r>
    </w:p>
    <w:p w14:paraId="71D9321C"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Executive Summary</w:t>
      </w:r>
    </w:p>
    <w:p w14:paraId="34645BC7"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Introduction</w:t>
      </w:r>
      <w:r w:rsidRPr="00154E1F">
        <w:rPr>
          <w:rFonts w:ascii="Times New Roman" w:eastAsia="Times New Roman" w:hAnsi="Times New Roman" w:cs="Times New Roman"/>
          <w:kern w:val="0"/>
          <w:lang w:eastAsia="en-GB"/>
          <w14:ligatures w14:val="none"/>
        </w:rPr>
        <w:br/>
      </w:r>
      <w:r w:rsidRPr="00154E1F">
        <w:rPr>
          <w:rFonts w:ascii="Times New Roman" w:eastAsia="Times New Roman" w:hAnsi="Times New Roman" w:cs="Times New Roman"/>
          <w:kern w:val="0"/>
          <w:lang w:eastAsia="en-GB"/>
          <w14:ligatures w14:val="none"/>
        </w:rPr>
        <w:t> </w:t>
      </w:r>
      <w:r w:rsidRPr="00154E1F">
        <w:rPr>
          <w:rFonts w:ascii="Times New Roman" w:eastAsia="Times New Roman" w:hAnsi="Times New Roman" w:cs="Times New Roman"/>
          <w:kern w:val="0"/>
          <w:lang w:eastAsia="en-GB"/>
          <w14:ligatures w14:val="none"/>
        </w:rPr>
        <w:t>2.1 Company Overview</w:t>
      </w:r>
      <w:r w:rsidRPr="00154E1F">
        <w:rPr>
          <w:rFonts w:ascii="Times New Roman" w:eastAsia="Times New Roman" w:hAnsi="Times New Roman" w:cs="Times New Roman"/>
          <w:kern w:val="0"/>
          <w:lang w:eastAsia="en-GB"/>
          <w14:ligatures w14:val="none"/>
        </w:rPr>
        <w:br/>
      </w:r>
      <w:r w:rsidRPr="00154E1F">
        <w:rPr>
          <w:rFonts w:ascii="Times New Roman" w:eastAsia="Times New Roman" w:hAnsi="Times New Roman" w:cs="Times New Roman"/>
          <w:kern w:val="0"/>
          <w:lang w:eastAsia="en-GB"/>
          <w14:ligatures w14:val="none"/>
        </w:rPr>
        <w:t> </w:t>
      </w:r>
      <w:r w:rsidRPr="00154E1F">
        <w:rPr>
          <w:rFonts w:ascii="Times New Roman" w:eastAsia="Times New Roman" w:hAnsi="Times New Roman" w:cs="Times New Roman"/>
          <w:kern w:val="0"/>
          <w:lang w:eastAsia="en-GB"/>
          <w14:ligatures w14:val="none"/>
        </w:rPr>
        <w:t>2.2 Project Overview</w:t>
      </w:r>
      <w:r w:rsidRPr="00154E1F">
        <w:rPr>
          <w:rFonts w:ascii="Times New Roman" w:eastAsia="Times New Roman" w:hAnsi="Times New Roman" w:cs="Times New Roman"/>
          <w:kern w:val="0"/>
          <w:lang w:eastAsia="en-GB"/>
          <w14:ligatures w14:val="none"/>
        </w:rPr>
        <w:br/>
      </w:r>
      <w:r w:rsidRPr="00154E1F">
        <w:rPr>
          <w:rFonts w:ascii="Times New Roman" w:eastAsia="Times New Roman" w:hAnsi="Times New Roman" w:cs="Times New Roman"/>
          <w:kern w:val="0"/>
          <w:lang w:eastAsia="en-GB"/>
          <w14:ligatures w14:val="none"/>
        </w:rPr>
        <w:t> </w:t>
      </w:r>
      <w:r w:rsidRPr="00154E1F">
        <w:rPr>
          <w:rFonts w:ascii="Times New Roman" w:eastAsia="Times New Roman" w:hAnsi="Times New Roman" w:cs="Times New Roman"/>
          <w:kern w:val="0"/>
          <w:lang w:eastAsia="en-GB"/>
          <w14:ligatures w14:val="none"/>
        </w:rPr>
        <w:t>2.3 Importance of Stakeholder Engagement</w:t>
      </w:r>
    </w:p>
    <w:p w14:paraId="0921A1A9"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Consolidation of Business Office Objectives</w:t>
      </w:r>
    </w:p>
    <w:p w14:paraId="6A4384FE"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Stakeholder Identification</w:t>
      </w:r>
    </w:p>
    <w:p w14:paraId="3B51F1BF"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Roles, Responsibilities, Benefits and Challenges of Key Stakeholders</w:t>
      </w:r>
    </w:p>
    <w:p w14:paraId="51B3EE53"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Frameworks, Models and Theories for Engaging Stakeholders</w:t>
      </w:r>
    </w:p>
    <w:p w14:paraId="7ECAB9FE"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Stakeholder Engagement Process and Conflict Management (4C’s Model)</w:t>
      </w:r>
    </w:p>
    <w:p w14:paraId="424E4F4B"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Impact of Stakeholder Engagement on Business Performance</w:t>
      </w:r>
    </w:p>
    <w:p w14:paraId="5144BA33"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Recommendations</w:t>
      </w:r>
    </w:p>
    <w:p w14:paraId="54A81B15"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Conclusion</w:t>
      </w:r>
    </w:p>
    <w:p w14:paraId="5023C553" w14:textId="77777777" w:rsidR="00B8249B" w:rsidRPr="00154E1F" w:rsidRDefault="00B8249B" w:rsidP="00B8249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References</w:t>
      </w:r>
    </w:p>
    <w:p w14:paraId="5E0E169E" w14:textId="77777777" w:rsidR="00E87AC5" w:rsidRDefault="00E87AC5"/>
    <w:p w14:paraId="2F7D9850" w14:textId="77777777" w:rsidR="00B8249B" w:rsidRDefault="00B8249B"/>
    <w:p w14:paraId="0AC84862" w14:textId="77777777" w:rsidR="00B8249B" w:rsidRDefault="00B8249B"/>
    <w:p w14:paraId="1073C5F3" w14:textId="77777777" w:rsidR="00B8249B" w:rsidRDefault="00B8249B"/>
    <w:p w14:paraId="2383A0D9" w14:textId="77777777" w:rsidR="00B8249B" w:rsidRDefault="00B8249B"/>
    <w:p w14:paraId="251FC8E4" w14:textId="77777777" w:rsidR="00B8249B" w:rsidRDefault="00B8249B"/>
    <w:p w14:paraId="49E21421" w14:textId="77777777" w:rsidR="00B8249B" w:rsidRDefault="00B8249B"/>
    <w:p w14:paraId="32A82E45" w14:textId="77777777" w:rsidR="00B8249B" w:rsidRPr="00154E1F"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1. Executive Summary </w:t>
      </w:r>
    </w:p>
    <w:p w14:paraId="2A080302" w14:textId="77777777" w:rsidR="00B8249B" w:rsidRPr="00B8249B" w:rsidRDefault="00B8249B" w:rsidP="00B8249B">
      <w:pPr>
        <w:spacing w:after="0" w:line="240" w:lineRule="auto"/>
        <w:rPr>
          <w:rFonts w:ascii="Times New Roman" w:eastAsia="Times New Roman" w:hAnsi="Times New Roman" w:cs="Times New Roman"/>
          <w:kern w:val="0"/>
          <w:lang w:eastAsia="en-GB"/>
          <w14:ligatures w14:val="none"/>
        </w:rPr>
      </w:pPr>
      <w:r w:rsidRPr="00B8249B">
        <w:rPr>
          <w:rFonts w:ascii="Times New Roman" w:eastAsia="Times New Roman" w:hAnsi="Times New Roman" w:cs="Times New Roman"/>
          <w:kern w:val="0"/>
          <w:lang w:eastAsia="en-GB"/>
          <w14:ligatures w14:val="none"/>
        </w:rPr>
        <w:t xml:space="preserve">This study presents a thorough and critical review of stakeholder engagement </w:t>
      </w:r>
      <w:proofErr w:type="gramStart"/>
      <w:r w:rsidRPr="00B8249B">
        <w:rPr>
          <w:rFonts w:ascii="Times New Roman" w:eastAsia="Times New Roman" w:hAnsi="Times New Roman" w:cs="Times New Roman"/>
          <w:kern w:val="0"/>
          <w:lang w:eastAsia="en-GB"/>
          <w14:ligatures w14:val="none"/>
        </w:rPr>
        <w:t>in regard to</w:t>
      </w:r>
      <w:proofErr w:type="gramEnd"/>
      <w:r w:rsidRPr="00B8249B">
        <w:rPr>
          <w:rFonts w:ascii="Times New Roman" w:eastAsia="Times New Roman" w:hAnsi="Times New Roman" w:cs="Times New Roman"/>
          <w:kern w:val="0"/>
          <w:lang w:eastAsia="en-GB"/>
          <w14:ligatures w14:val="none"/>
        </w:rPr>
        <w:t xml:space="preserve"> Deloitte UK's Birmingham office expansion and consolidation project. As the company expands in the Midlands, the expansion project intends to improve workspace efficiency, facilitate hybrid working, increase sustainability, and strengthen client involvement. The successful implementation of such a strategic initiative is strongly dependent on the proper identification, engagement, and management of internal and external stakeholders.</w:t>
      </w:r>
    </w:p>
    <w:p w14:paraId="156C7099" w14:textId="77777777" w:rsidR="00B8249B" w:rsidRPr="00B8249B" w:rsidRDefault="00B8249B" w:rsidP="00B8249B">
      <w:pPr>
        <w:spacing w:after="0" w:line="240" w:lineRule="auto"/>
        <w:rPr>
          <w:rFonts w:ascii="Times New Roman" w:eastAsia="Times New Roman" w:hAnsi="Times New Roman" w:cs="Times New Roman"/>
          <w:kern w:val="0"/>
          <w:lang w:eastAsia="en-GB"/>
          <w14:ligatures w14:val="none"/>
        </w:rPr>
      </w:pPr>
      <w:r w:rsidRPr="00B8249B">
        <w:rPr>
          <w:rFonts w:ascii="Times New Roman" w:eastAsia="Times New Roman" w:hAnsi="Times New Roman" w:cs="Times New Roman"/>
          <w:kern w:val="0"/>
          <w:lang w:eastAsia="en-GB"/>
          <w14:ligatures w14:val="none"/>
        </w:rPr>
        <w:t xml:space="preserve">The study opens by presenting Deloitte UK and contextualising the Birmingham office's role in the firm's national operations. A full project description describes the expansion's scope, which includes infrastructure enhancements, workspace redesigns, technology integration, and sustainability improvements. A situational analysis employing the SWOT and PESTLE frameworks highlights the internal and external environmental elements that influence the project. </w:t>
      </w:r>
      <w:r w:rsidRPr="00B8249B">
        <w:rPr>
          <w:rFonts w:ascii="Times New Roman" w:eastAsia="Times New Roman" w:hAnsi="Times New Roman" w:cs="Times New Roman"/>
          <w:kern w:val="0"/>
          <w:lang w:eastAsia="en-GB"/>
          <w14:ligatures w14:val="none"/>
        </w:rPr>
        <w:br/>
        <w:t xml:space="preserve">Key internal and external stakeholders are identified and rigorously analysed, with explicit descriptions of their responsibilities, expectations, interests, benefits, and potential obstacles. Using recognised stakeholder engagement frameworks, such as Freeman's Stakeholder Theory, Mendelow's Power-Interest Matrix, Ashcroft's Relational Lens, the RACI matrix, </w:t>
      </w:r>
    </w:p>
    <w:p w14:paraId="6A645840" w14:textId="77777777" w:rsidR="00B8249B" w:rsidRPr="00B8249B" w:rsidRDefault="00B8249B" w:rsidP="00B8249B">
      <w:pPr>
        <w:spacing w:after="0" w:line="240" w:lineRule="auto"/>
        <w:rPr>
          <w:rFonts w:ascii="Times New Roman" w:eastAsia="Times New Roman" w:hAnsi="Times New Roman" w:cs="Times New Roman"/>
          <w:kern w:val="0"/>
          <w:lang w:eastAsia="en-GB"/>
          <w14:ligatures w14:val="none"/>
        </w:rPr>
      </w:pPr>
      <w:r w:rsidRPr="00B8249B">
        <w:rPr>
          <w:rFonts w:ascii="Times New Roman" w:eastAsia="Times New Roman" w:hAnsi="Times New Roman" w:cs="Times New Roman"/>
          <w:kern w:val="0"/>
          <w:lang w:eastAsia="en-GB"/>
          <w14:ligatures w14:val="none"/>
        </w:rPr>
        <w:t xml:space="preserve">and planned communication and engagement plans—provide a robust theoretical framework for effective stakeholder management. </w:t>
      </w:r>
      <w:r w:rsidRPr="00B8249B">
        <w:rPr>
          <w:rFonts w:ascii="Times New Roman" w:eastAsia="Times New Roman" w:hAnsi="Times New Roman" w:cs="Times New Roman"/>
          <w:kern w:val="0"/>
          <w:lang w:eastAsia="en-GB"/>
          <w14:ligatures w14:val="none"/>
        </w:rPr>
        <w:br/>
        <w:t>The study then delves deeply into the stakeholder engagement process, employing the 4C's Model (Communication, Collaboration, Consultation, and Commitment) to explain how the project manager can reduce conflict, establish trust, and assure alignment throughout the project lifecycle. The analysis also assesses the impact of stakeholder involvement on organisational performance, including gains in employee satisfaction, project efficiency, client confidence, risk reduction, and reputational enhancement.</w:t>
      </w:r>
    </w:p>
    <w:p w14:paraId="11E3BD61" w14:textId="5496B9CF" w:rsidR="00B8249B" w:rsidRDefault="00B8249B" w:rsidP="00B8249B">
      <w:pPr>
        <w:spacing w:after="0" w:line="240" w:lineRule="auto"/>
        <w:rPr>
          <w:rFonts w:ascii="Times New Roman" w:eastAsia="Times New Roman" w:hAnsi="Times New Roman" w:cs="Times New Roman"/>
          <w:kern w:val="0"/>
          <w:lang w:eastAsia="en-GB"/>
          <w14:ligatures w14:val="none"/>
        </w:rPr>
      </w:pPr>
      <w:r w:rsidRPr="00B8249B">
        <w:rPr>
          <w:rFonts w:ascii="Times New Roman" w:eastAsia="Times New Roman" w:hAnsi="Times New Roman" w:cs="Times New Roman"/>
          <w:kern w:val="0"/>
          <w:lang w:eastAsia="en-GB"/>
          <w14:ligatures w14:val="none"/>
        </w:rPr>
        <w:t>Finally, evidence-based recommendations are presented to improve Deloitte's future stakeholder engagement procedures. These include the formation of a permanent stakeholder advisory group, the implementation of digital</w:t>
      </w:r>
      <w:r>
        <w:rPr>
          <w:rFonts w:ascii="Times New Roman" w:eastAsia="Times New Roman" w:hAnsi="Times New Roman" w:cs="Times New Roman"/>
          <w:kern w:val="0"/>
          <w:lang w:eastAsia="en-GB"/>
          <w14:ligatures w14:val="none"/>
        </w:rPr>
        <w:t xml:space="preserve"> </w:t>
      </w:r>
      <w:r w:rsidRPr="00B8249B">
        <w:rPr>
          <w:rFonts w:ascii="Times New Roman" w:eastAsia="Times New Roman" w:hAnsi="Times New Roman" w:cs="Times New Roman"/>
          <w:kern w:val="0"/>
          <w:lang w:eastAsia="en-GB"/>
          <w14:ligatures w14:val="none"/>
        </w:rPr>
        <w:t>efficiency, client confidence, risk mitigation, and reputational improvement.</w:t>
      </w:r>
      <w:r w:rsidRPr="00B8249B">
        <w:rPr>
          <w:rFonts w:ascii="Times New Roman" w:eastAsia="Times New Roman" w:hAnsi="Times New Roman" w:cs="Times New Roman"/>
          <w:kern w:val="0"/>
          <w:lang w:eastAsia="en-GB"/>
          <w14:ligatures w14:val="none"/>
        </w:rPr>
        <w:br/>
        <w:t>These include forming a permanent stakeholder advisory group, creating digital engagement dashboards, developing early consultation techniques, providing conflict resolution training, and conducting post-project engagement assessments. The paper continues by emphasising the importance of stakeholder engagement in maintaining the long-term success, resilience, and strategic effectiveness of Deloitte's workplace transformation programs.</w:t>
      </w:r>
    </w:p>
    <w:p w14:paraId="357D4FE0"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4F879850"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165FD456"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3DD246FF"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13685945"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0DEF4E88"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2DD63B16"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7FB35369"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4EEA0F0B"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09467760"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11E20A2C"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2E69AD33"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01047017"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7652B977"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3201A060" w14:textId="77777777" w:rsidR="00B8249B" w:rsidRPr="00154E1F" w:rsidRDefault="00B8249B" w:rsidP="00B8249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2. Introduction </w:t>
      </w:r>
    </w:p>
    <w:p w14:paraId="799BCA1C" w14:textId="77777777" w:rsidR="00A7411F" w:rsidRPr="00154E1F" w:rsidRDefault="00A7411F" w:rsidP="00A7411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2.1 Company Overview</w:t>
      </w:r>
    </w:p>
    <w:p w14:paraId="5A68C9C5" w14:textId="77777777"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Deloitte UK is part of Deloitte Touche Tohmatsu Limited (DTTL), one of the world's "Big Four" professional services organisations. Deloitte, which operates in over 150 countries, provides audit, tax, consulting, financial advising, and risk management services to both public and private clients. In the United Kingdom alone, the firm employs approximately 27,000 people and is regarded as one of the country's leading advice firms. Deloitte LLP is listed on Companies House as a legally registered and compliant organisation, indicating long-standing corporate validity.</w:t>
      </w:r>
    </w:p>
    <w:p w14:paraId="0A81DC86" w14:textId="77777777"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 xml:space="preserve">Deloitte's Birmingham office </w:t>
      </w:r>
      <w:proofErr w:type="gramStart"/>
      <w:r w:rsidRPr="00A7411F">
        <w:rPr>
          <w:rFonts w:ascii="Times New Roman" w:eastAsia="Times New Roman" w:hAnsi="Times New Roman" w:cs="Times New Roman"/>
          <w:kern w:val="0"/>
          <w:lang w:eastAsia="en-GB"/>
          <w14:ligatures w14:val="none"/>
        </w:rPr>
        <w:t>is located in</w:t>
      </w:r>
      <w:proofErr w:type="gramEnd"/>
      <w:r w:rsidRPr="00A7411F">
        <w:rPr>
          <w:rFonts w:ascii="Times New Roman" w:eastAsia="Times New Roman" w:hAnsi="Times New Roman" w:cs="Times New Roman"/>
          <w:kern w:val="0"/>
          <w:lang w:eastAsia="en-GB"/>
          <w14:ligatures w14:val="none"/>
        </w:rPr>
        <w:t xml:space="preserve"> the Brindleyplace business district, a well-known commercial hub that houses global firms, financial institutions, and key government departments. The Birmingham office is a significant regional hub for services such as Digital Transformation, Risk Advisory, Cybersecurity, Audit &amp; Assurance, Tax, Financial Advisory, and Management Consulting. As the Midlands' economy grows, thanks to digital adoption, regional investment, and government devolution, Deloitte's Birmingham office's strategic importance grows significantly.</w:t>
      </w:r>
    </w:p>
    <w:p w14:paraId="269D1973" w14:textId="77777777"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Deloitte's corporate culture is built on values including leadership, ethics, inclusivity, cooperation, and innovation. These values guide how the company interacts with its employees, clients, and other stakeholders. Furthermore, Deloitte's dedication to sustainability, digital transformation, and people-</w:t>
      </w:r>
      <w:proofErr w:type="spellStart"/>
      <w:r w:rsidRPr="00A7411F">
        <w:rPr>
          <w:rFonts w:ascii="Times New Roman" w:eastAsia="Times New Roman" w:hAnsi="Times New Roman" w:cs="Times New Roman"/>
          <w:kern w:val="0"/>
          <w:lang w:eastAsia="en-GB"/>
          <w14:ligatures w14:val="none"/>
        </w:rPr>
        <w:t>centered</w:t>
      </w:r>
      <w:proofErr w:type="spellEnd"/>
      <w:r w:rsidRPr="00A7411F">
        <w:rPr>
          <w:rFonts w:ascii="Times New Roman" w:eastAsia="Times New Roman" w:hAnsi="Times New Roman" w:cs="Times New Roman"/>
          <w:kern w:val="0"/>
          <w:lang w:eastAsia="en-GB"/>
          <w14:ligatures w14:val="none"/>
        </w:rPr>
        <w:t xml:space="preserve"> leadership has influenced its approach to workplace design, employee well-being, and operational success. The current enlargement project is part of Deloitte UK's larger goal to update its UK real estate assets and enable post-pandemic hybrid working.</w:t>
      </w:r>
    </w:p>
    <w:p w14:paraId="6248A4FD" w14:textId="77777777" w:rsidR="00B8249B" w:rsidRDefault="00B8249B" w:rsidP="00B8249B">
      <w:pPr>
        <w:spacing w:after="0" w:line="240" w:lineRule="auto"/>
        <w:rPr>
          <w:rFonts w:ascii="Times New Roman" w:eastAsia="Times New Roman" w:hAnsi="Times New Roman" w:cs="Times New Roman"/>
          <w:kern w:val="0"/>
          <w:lang w:eastAsia="en-GB"/>
          <w14:ligatures w14:val="none"/>
        </w:rPr>
      </w:pPr>
    </w:p>
    <w:p w14:paraId="27A1D84F" w14:textId="77777777" w:rsidR="00A7411F" w:rsidRPr="00154E1F" w:rsidRDefault="00A7411F" w:rsidP="00A7411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2.2 Project Overview</w:t>
      </w:r>
    </w:p>
    <w:p w14:paraId="017EC7FA" w14:textId="77777777"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 xml:space="preserve">Deloitte is expanding and consolidating its Birmingham office to accommodate personnel growth and enhance workplace capabilities. The project entails adding a level to the existing Brindleyplace building and renovating existing areas to provide a modern, flexible, hybrid-ready work environment. The project involves increasing office capacity to meet staff growth and implementing advanced digital infrastructure for hybrid collaboration. </w:t>
      </w:r>
      <w:r w:rsidRPr="00A7411F">
        <w:rPr>
          <w:rFonts w:ascii="Times New Roman" w:eastAsia="Times New Roman" w:hAnsi="Times New Roman" w:cs="Times New Roman"/>
          <w:kern w:val="0"/>
          <w:lang w:eastAsia="en-GB"/>
          <w14:ligatures w14:val="none"/>
        </w:rPr>
        <w:br/>
      </w:r>
      <w:r w:rsidRPr="00A7411F">
        <w:rPr>
          <w:rFonts w:ascii="Times New Roman" w:eastAsia="Times New Roman" w:hAnsi="Times New Roman" w:cs="Times New Roman"/>
          <w:kern w:val="0"/>
          <w:lang w:eastAsia="en-GB"/>
          <w14:ligatures w14:val="none"/>
        </w:rPr>
        <w:br/>
        <w:t xml:space="preserve">• Designing workspaces with collaboration zones, quiet areas, conference rooms, and innovation areas. </w:t>
      </w:r>
      <w:r w:rsidRPr="00A7411F">
        <w:rPr>
          <w:rFonts w:ascii="Times New Roman" w:eastAsia="Times New Roman" w:hAnsi="Times New Roman" w:cs="Times New Roman"/>
          <w:kern w:val="0"/>
          <w:lang w:eastAsia="en-GB"/>
          <w14:ligatures w14:val="none"/>
        </w:rPr>
        <w:br/>
        <w:t xml:space="preserve">• Developing sustainable design solutions including LED lighting, enhanced HVAC systems, and energy-efficient technologies. </w:t>
      </w:r>
      <w:r w:rsidRPr="00A7411F">
        <w:rPr>
          <w:rFonts w:ascii="Times New Roman" w:eastAsia="Times New Roman" w:hAnsi="Times New Roman" w:cs="Times New Roman"/>
          <w:kern w:val="0"/>
          <w:lang w:eastAsia="en-GB"/>
          <w14:ligatures w14:val="none"/>
        </w:rPr>
        <w:br/>
        <w:t>• Ensured compliance with UK workplace requirements for health and safety. • Relocated departments from temporary and overflow locations to centralise operations.</w:t>
      </w:r>
    </w:p>
    <w:p w14:paraId="2E59283B" w14:textId="77777777"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One of the project's key goals is to avoid disturbance to day-to-day operations while maintaining employee well-being and customer service delivery. This necessitates good project management and extensive stakeholder interaction throughout the planning, development, and implementation stages.</w:t>
      </w:r>
    </w:p>
    <w:p w14:paraId="49A4B381" w14:textId="77777777" w:rsidR="00425FC0" w:rsidRDefault="00425FC0" w:rsidP="00A7411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93E1D93" w14:textId="054F2E02" w:rsidR="00A7411F" w:rsidRPr="00154E1F" w:rsidRDefault="00A7411F" w:rsidP="00A7411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2.3 Importance of Stakeholder Engagement</w:t>
      </w:r>
    </w:p>
    <w:p w14:paraId="4C292866" w14:textId="77777777" w:rsid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 xml:space="preserve">Stakeholder engagement is widely regarded as a critical component of effective project delivery, especially in complicated organisational change programs. According to Freeman's Stakeholder Theory (1984), businesses must actively manage the interests and expectations of people who influence or are affected by strategic decisions. Stakeholders in this project include top leaders, employees, contractors, suppliers, regulators, and clients, all of whom have different levels of influence and interest. </w:t>
      </w:r>
      <w:r w:rsidRPr="00A7411F">
        <w:rPr>
          <w:rFonts w:ascii="Times New Roman" w:eastAsia="Times New Roman" w:hAnsi="Times New Roman" w:cs="Times New Roman"/>
          <w:kern w:val="0"/>
          <w:lang w:eastAsia="en-GB"/>
          <w14:ligatures w14:val="none"/>
        </w:rPr>
        <w:br/>
      </w:r>
    </w:p>
    <w:p w14:paraId="1A395B3A" w14:textId="7E3180DA"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According to Ashcroft's (2017) Relational Lens, trust, fairness, shared purpose, and strong relationships are all prerequisites for effective involvement. Deloitte can reduce resistance to change, boost employee satisfaction, prevent operational delays, and improve overall organisational performance by focussing on transparent communication and collaborative decision-making.</w:t>
      </w:r>
    </w:p>
    <w:p w14:paraId="6D85A3FE" w14:textId="77777777" w:rsidR="00A7411F" w:rsidRDefault="00A7411F"/>
    <w:p w14:paraId="1CA2CC9A" w14:textId="77777777" w:rsidR="00A7411F" w:rsidRPr="00A7411F" w:rsidRDefault="00A7411F" w:rsidP="00A7411F">
      <w:pPr>
        <w:spacing w:after="0" w:line="240" w:lineRule="auto"/>
        <w:rPr>
          <w:rFonts w:ascii="Times New Roman" w:eastAsia="Times New Roman" w:hAnsi="Times New Roman" w:cs="Times New Roman"/>
          <w:kern w:val="0"/>
          <w:lang w:eastAsia="en-GB"/>
          <w14:ligatures w14:val="none"/>
        </w:rPr>
      </w:pPr>
      <w:r w:rsidRPr="00A7411F">
        <w:rPr>
          <w:rFonts w:ascii="Times New Roman" w:eastAsia="Times New Roman" w:hAnsi="Times New Roman" w:cs="Times New Roman"/>
          <w:kern w:val="0"/>
          <w:lang w:eastAsia="en-GB"/>
          <w14:ligatures w14:val="none"/>
        </w:rPr>
        <w:t>Without defined engagement mechanisms, office expansion projects might face substantial issues like as misunderstanding, delays, budget overruns, safety risks, and low staff morale. As a result, stakeholder involvement is more than just a support activity; it is a strategic need.</w:t>
      </w:r>
    </w:p>
    <w:p w14:paraId="5AFF2FBA" w14:textId="77777777" w:rsidR="00A7411F" w:rsidRDefault="00A7411F"/>
    <w:p w14:paraId="2B4E4235" w14:textId="77777777" w:rsidR="00A7411F" w:rsidRDefault="00A7411F"/>
    <w:p w14:paraId="23067036" w14:textId="77777777" w:rsidR="00A7411F" w:rsidRPr="00154E1F" w:rsidRDefault="00A7411F" w:rsidP="00A7411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3. Consolidation of Business Office Objectives </w:t>
      </w:r>
    </w:p>
    <w:p w14:paraId="490B952B"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Deloitte’s Birmingham office consolidation project is underpinned by several strategic objectives aimed at improving operational efficiency, supporting employee wellbeing, and enhancing client experience.</w:t>
      </w:r>
    </w:p>
    <w:p w14:paraId="5C6677E3" w14:textId="77777777" w:rsidR="00A7411F" w:rsidRPr="00154E1F" w:rsidRDefault="00A7411F"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1. Improving Collaboration and Communication</w:t>
      </w:r>
    </w:p>
    <w:p w14:paraId="621218C7"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Centralising teams previously spread across multiple floors enhances face-to-face interactions, collaboration, and cross-functional project delivery. Modern workspace design supports informal and formal knowledge exchange, reinforcing Deloitte’s collaborative culture.</w:t>
      </w:r>
    </w:p>
    <w:p w14:paraId="6B4D77E9" w14:textId="77777777" w:rsidR="00A7411F" w:rsidRPr="00154E1F" w:rsidRDefault="00A7411F"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2. Supporting Workforce Expansion</w:t>
      </w:r>
    </w:p>
    <w:p w14:paraId="15FE1BE2"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The rapid growth of Deloitte’s Digital, Cybersecurity, and Transformation practices has increased demand for high-quality workspace. The expansion ensures sufficient capacity to support current employees and future recruitment in the region.</w:t>
      </w:r>
    </w:p>
    <w:p w14:paraId="169528C2" w14:textId="77777777" w:rsidR="000C3D2E" w:rsidRDefault="000C3D2E"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08078DA" w14:textId="68300DFA" w:rsidR="00A7411F" w:rsidRPr="00154E1F" w:rsidRDefault="00A7411F"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lastRenderedPageBreak/>
        <w:t>3. Enabling Hybrid Working</w:t>
      </w:r>
    </w:p>
    <w:p w14:paraId="6BA93589"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Post-pandemic working trends have reshaped expectations around flexibility and workplace functionality. The redesigned office integrates technology-enabled meeting rooms, hybrid collaboration tools, and flexible desk arrangements to support employees working both on-site and remotely.</w:t>
      </w:r>
    </w:p>
    <w:p w14:paraId="5577A9A7" w14:textId="77777777" w:rsidR="00A7411F" w:rsidRPr="00154E1F" w:rsidRDefault="00A7411F"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4. Improving Sustainability</w:t>
      </w:r>
    </w:p>
    <w:p w14:paraId="6AB44042"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The project provides an opportunity to transition to energy-efficient lighting, improved ventilation systems, sustainable materials, and enhanced waste-management solutions. These contribute to Deloitte’s commitment to achieving net-zero emissions by 2030.</w:t>
      </w:r>
    </w:p>
    <w:p w14:paraId="201226F4" w14:textId="77777777" w:rsidR="00A7411F" w:rsidRPr="00154E1F" w:rsidRDefault="00A7411F"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5. Enhancing Client Engagement</w:t>
      </w:r>
    </w:p>
    <w:p w14:paraId="736D2598"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The addition of modern meeting suites, event spaces, and digital collaboration rooms enhances Deloitte’s ability to host clients, deliver presentations, and support business development activities.</w:t>
      </w:r>
    </w:p>
    <w:p w14:paraId="3D4838F2" w14:textId="77777777" w:rsidR="00A7411F" w:rsidRPr="00154E1F" w:rsidRDefault="00A7411F" w:rsidP="00A741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6. Increasing Cost Efficiency</w:t>
      </w:r>
    </w:p>
    <w:p w14:paraId="16BD7827" w14:textId="77777777" w:rsidR="00A7411F" w:rsidRPr="00154E1F" w:rsidRDefault="00A7411F" w:rsidP="00A7411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Consolidating operations into fewer spaces reduces overheads associated with temporary office rentals and enables long-term cost optimisation</w:t>
      </w:r>
    </w:p>
    <w:p w14:paraId="7DB73AA5" w14:textId="77777777" w:rsidR="00A7411F" w:rsidRDefault="00A7411F" w:rsidP="00A7411F"/>
    <w:p w14:paraId="15FFE1DD" w14:textId="77777777" w:rsidR="0059606A" w:rsidRPr="00154E1F" w:rsidRDefault="0059606A" w:rsidP="0059606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4. Stakeholder Identification </w:t>
      </w:r>
    </w:p>
    <w:p w14:paraId="2A82D8F4" w14:textId="77777777" w:rsidR="0059606A" w:rsidRPr="0059606A" w:rsidRDefault="0059606A" w:rsidP="0059606A">
      <w:pPr>
        <w:spacing w:after="0" w:line="240" w:lineRule="auto"/>
        <w:rPr>
          <w:rFonts w:ascii="Times New Roman" w:eastAsia="Times New Roman" w:hAnsi="Times New Roman" w:cs="Times New Roman"/>
          <w:kern w:val="0"/>
          <w:lang w:eastAsia="en-GB"/>
          <w14:ligatures w14:val="none"/>
        </w:rPr>
      </w:pPr>
      <w:r w:rsidRPr="0059606A">
        <w:rPr>
          <w:rFonts w:ascii="Times New Roman" w:eastAsia="Times New Roman" w:hAnsi="Times New Roman" w:cs="Times New Roman"/>
          <w:kern w:val="0"/>
          <w:lang w:eastAsia="en-GB"/>
          <w14:ligatures w14:val="none"/>
        </w:rPr>
        <w:t>Stakeholder identification is a critical phase in overseeing the Birmingham office expansion project. Stakeholder Theory, as developed by Freeman (1984), highlights the necessity of understanding who stakeholders are, how they influence the project, and what interests they have. For Deloitte, effective stakeholder identification ensures early risk management, increased communication, and expectation alignment.</w:t>
      </w:r>
    </w:p>
    <w:p w14:paraId="0718CCB5" w14:textId="77777777" w:rsidR="0059606A" w:rsidRDefault="0059606A" w:rsidP="0059606A">
      <w:pPr>
        <w:spacing w:after="0" w:line="240" w:lineRule="auto"/>
        <w:rPr>
          <w:rFonts w:ascii="Times New Roman" w:eastAsia="Times New Roman" w:hAnsi="Times New Roman" w:cs="Times New Roman"/>
          <w:kern w:val="0"/>
          <w:lang w:eastAsia="en-GB"/>
          <w14:ligatures w14:val="none"/>
        </w:rPr>
      </w:pPr>
    </w:p>
    <w:p w14:paraId="33500966" w14:textId="7D8C36A1" w:rsidR="0059606A" w:rsidRPr="0059606A" w:rsidRDefault="0059606A" w:rsidP="0059606A">
      <w:pPr>
        <w:spacing w:after="0" w:line="240" w:lineRule="auto"/>
        <w:rPr>
          <w:rFonts w:ascii="Times New Roman" w:eastAsia="Times New Roman" w:hAnsi="Times New Roman" w:cs="Times New Roman"/>
          <w:kern w:val="0"/>
          <w:lang w:eastAsia="en-GB"/>
          <w14:ligatures w14:val="none"/>
        </w:rPr>
      </w:pPr>
      <w:r w:rsidRPr="0059606A">
        <w:rPr>
          <w:rFonts w:ascii="Times New Roman" w:eastAsia="Times New Roman" w:hAnsi="Times New Roman" w:cs="Times New Roman"/>
          <w:kern w:val="0"/>
          <w:lang w:eastAsia="en-GB"/>
          <w14:ligatures w14:val="none"/>
        </w:rPr>
        <w:t xml:space="preserve">1. The Senior Leadership Team (SLT) consists of senior partners and directors responsible for budget approval, strategic direction, and risk monitoring. Their influence is significant because the project helps Deloitte's long-term regional development. </w:t>
      </w:r>
      <w:r w:rsidRPr="0059606A">
        <w:rPr>
          <w:rFonts w:ascii="Times New Roman" w:eastAsia="Times New Roman" w:hAnsi="Times New Roman" w:cs="Times New Roman"/>
          <w:kern w:val="0"/>
          <w:lang w:eastAsia="en-GB"/>
          <w14:ligatures w14:val="none"/>
        </w:rPr>
        <w:br/>
        <w:t>2. The office's physical alterations have the greatest impact on employees and team leaders. Their comfort, productivity, and acceptance of the new workspace all have a direct impact on the project's success.</w:t>
      </w:r>
      <w:r w:rsidRPr="0059606A">
        <w:rPr>
          <w:rFonts w:ascii="Times New Roman" w:eastAsia="Times New Roman" w:hAnsi="Times New Roman" w:cs="Times New Roman"/>
          <w:kern w:val="0"/>
          <w:lang w:eastAsia="en-GB"/>
          <w14:ligatures w14:val="none"/>
        </w:rPr>
        <w:br/>
        <w:t xml:space="preserve">3. Facilities Management (FM) oversees facility operations, including maintenance, contractor coordination, and compliance with physical infrastructure standards. </w:t>
      </w:r>
      <w:r w:rsidRPr="0059606A">
        <w:rPr>
          <w:rFonts w:ascii="Times New Roman" w:eastAsia="Times New Roman" w:hAnsi="Times New Roman" w:cs="Times New Roman"/>
          <w:kern w:val="0"/>
          <w:lang w:eastAsia="en-GB"/>
          <w14:ligatures w14:val="none"/>
        </w:rPr>
        <w:br/>
      </w:r>
      <w:r w:rsidRPr="0059606A">
        <w:rPr>
          <w:rFonts w:ascii="Times New Roman" w:eastAsia="Times New Roman" w:hAnsi="Times New Roman" w:cs="Times New Roman"/>
          <w:kern w:val="0"/>
          <w:lang w:eastAsia="en-GB"/>
          <w14:ligatures w14:val="none"/>
        </w:rPr>
        <w:br/>
        <w:t xml:space="preserve">4. Human Resources (HR) is responsible for employee communication, hybrid work policies, wellness strategies, and change management support. </w:t>
      </w:r>
      <w:r w:rsidRPr="0059606A">
        <w:rPr>
          <w:rFonts w:ascii="Times New Roman" w:eastAsia="Times New Roman" w:hAnsi="Times New Roman" w:cs="Times New Roman"/>
          <w:kern w:val="0"/>
          <w:lang w:eastAsia="en-GB"/>
          <w14:ligatures w14:val="none"/>
        </w:rPr>
        <w:br/>
        <w:t>5. IT Department is responsible for implementing digital systems, cybersecurity infrastructure, and hybrid-working technologies efficiently.</w:t>
      </w:r>
    </w:p>
    <w:p w14:paraId="47C64422" w14:textId="77777777" w:rsidR="0059606A" w:rsidRPr="0059606A" w:rsidRDefault="0059606A" w:rsidP="0059606A">
      <w:pPr>
        <w:spacing w:after="0" w:line="240" w:lineRule="auto"/>
        <w:rPr>
          <w:rFonts w:ascii="Times New Roman" w:eastAsia="Times New Roman" w:hAnsi="Times New Roman" w:cs="Times New Roman"/>
          <w:kern w:val="0"/>
          <w:lang w:eastAsia="en-GB"/>
          <w14:ligatures w14:val="none"/>
        </w:rPr>
      </w:pPr>
      <w:r w:rsidRPr="0059606A">
        <w:rPr>
          <w:rFonts w:ascii="Times New Roman" w:eastAsia="Times New Roman" w:hAnsi="Times New Roman" w:cs="Times New Roman"/>
          <w:kern w:val="0"/>
          <w:lang w:eastAsia="en-GB"/>
          <w14:ligatures w14:val="none"/>
        </w:rPr>
        <w:lastRenderedPageBreak/>
        <w:t>6. The Finance Department monitors budgeting, cost control, and procurement to keep the project within financial restrictions.</w:t>
      </w:r>
      <w:r w:rsidRPr="0059606A">
        <w:rPr>
          <w:rFonts w:ascii="Times New Roman" w:eastAsia="Times New Roman" w:hAnsi="Times New Roman" w:cs="Times New Roman"/>
          <w:kern w:val="0"/>
          <w:lang w:eastAsia="en-GB"/>
          <w14:ligatures w14:val="none"/>
        </w:rPr>
        <w:br/>
        <w:t>7. Health and Safety Officers oversee regulatory compliance, workplace evaluations, risk management, and safety planning during construction.</w:t>
      </w:r>
    </w:p>
    <w:p w14:paraId="7951BAE8" w14:textId="77777777" w:rsidR="00A7411F" w:rsidRDefault="00A7411F" w:rsidP="00A7411F"/>
    <w:p w14:paraId="4F48ECAD"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External Stakeholders</w:t>
      </w:r>
    </w:p>
    <w:p w14:paraId="3BAC914C"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Contractors and Construction Firms</w:t>
      </w:r>
      <w:r w:rsidRPr="00154E1F">
        <w:rPr>
          <w:rFonts w:ascii="Times New Roman" w:eastAsia="Times New Roman" w:hAnsi="Times New Roman" w:cs="Times New Roman"/>
          <w:kern w:val="0"/>
          <w:lang w:eastAsia="en-GB"/>
          <w14:ligatures w14:val="none"/>
        </w:rPr>
        <w:t xml:space="preserve"> – Accountable for delivering building works within time, quality, and budget requirements.</w:t>
      </w:r>
    </w:p>
    <w:p w14:paraId="664EF264"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Architects and Interior Designers</w:t>
      </w:r>
      <w:r w:rsidRPr="00154E1F">
        <w:rPr>
          <w:rFonts w:ascii="Times New Roman" w:eastAsia="Times New Roman" w:hAnsi="Times New Roman" w:cs="Times New Roman"/>
          <w:kern w:val="0"/>
          <w:lang w:eastAsia="en-GB"/>
          <w14:ligatures w14:val="none"/>
        </w:rPr>
        <w:t xml:space="preserve"> – Develop workplace layouts, hybrid-working zones, and sustainability-focused design solutions.</w:t>
      </w:r>
    </w:p>
    <w:p w14:paraId="7DB5C1BD"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Birmingham City Council</w:t>
      </w:r>
      <w:r w:rsidRPr="00154E1F">
        <w:rPr>
          <w:rFonts w:ascii="Times New Roman" w:eastAsia="Times New Roman" w:hAnsi="Times New Roman" w:cs="Times New Roman"/>
          <w:kern w:val="0"/>
          <w:lang w:eastAsia="en-GB"/>
          <w14:ligatures w14:val="none"/>
        </w:rPr>
        <w:t xml:space="preserve"> – Regulates planning permission, building safety, and compliance with environmental and construction standards.</w:t>
      </w:r>
    </w:p>
    <w:p w14:paraId="40D66094"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Suppliers and Vendors</w:t>
      </w:r>
      <w:r w:rsidRPr="00154E1F">
        <w:rPr>
          <w:rFonts w:ascii="Times New Roman" w:eastAsia="Times New Roman" w:hAnsi="Times New Roman" w:cs="Times New Roman"/>
          <w:kern w:val="0"/>
          <w:lang w:eastAsia="en-GB"/>
          <w14:ligatures w14:val="none"/>
        </w:rPr>
        <w:t xml:space="preserve"> – Provide furniture, IT equipment, materials, and sustainability technologies.</w:t>
      </w:r>
    </w:p>
    <w:p w14:paraId="7B43DD69"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Clients</w:t>
      </w:r>
      <w:r w:rsidRPr="00154E1F">
        <w:rPr>
          <w:rFonts w:ascii="Times New Roman" w:eastAsia="Times New Roman" w:hAnsi="Times New Roman" w:cs="Times New Roman"/>
          <w:kern w:val="0"/>
          <w:lang w:eastAsia="en-GB"/>
          <w14:ligatures w14:val="none"/>
        </w:rPr>
        <w:t xml:space="preserve"> – While not directly part of the construction, clients may be affected by disruptions or environmental changes during the project.</w:t>
      </w:r>
    </w:p>
    <w:p w14:paraId="75920891"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Landlords and Property Management</w:t>
      </w:r>
      <w:r w:rsidRPr="00154E1F">
        <w:rPr>
          <w:rFonts w:ascii="Times New Roman" w:eastAsia="Times New Roman" w:hAnsi="Times New Roman" w:cs="Times New Roman"/>
          <w:kern w:val="0"/>
          <w:lang w:eastAsia="en-GB"/>
          <w14:ligatures w14:val="none"/>
        </w:rPr>
        <w:t xml:space="preserve"> – Oversee leasing terms, building access, and approvals for redesigns.</w:t>
      </w:r>
    </w:p>
    <w:p w14:paraId="7E5F9397" w14:textId="77777777" w:rsidR="0059606A" w:rsidRPr="00154E1F" w:rsidRDefault="0059606A" w:rsidP="0059606A">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Local Community</w:t>
      </w:r>
      <w:r w:rsidRPr="00154E1F">
        <w:rPr>
          <w:rFonts w:ascii="Times New Roman" w:eastAsia="Times New Roman" w:hAnsi="Times New Roman" w:cs="Times New Roman"/>
          <w:kern w:val="0"/>
          <w:lang w:eastAsia="en-GB"/>
          <w14:ligatures w14:val="none"/>
        </w:rPr>
        <w:t xml:space="preserve"> – Residents and neighbouring businesses who may experience temporary impacts (e.g., noise, increased foot traffic).</w:t>
      </w:r>
    </w:p>
    <w:p w14:paraId="33ADFDDE"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Early identification of these groups enables proactive engagement that reduces conflict, supports smooth implementation, and enhances long-term relationships.</w:t>
      </w:r>
    </w:p>
    <w:p w14:paraId="4F7C56EF" w14:textId="77777777" w:rsidR="00A7411F" w:rsidRDefault="00A7411F" w:rsidP="00A7411F"/>
    <w:p w14:paraId="34FA5CA7" w14:textId="77777777" w:rsidR="0059606A" w:rsidRPr="00154E1F" w:rsidRDefault="0059606A" w:rsidP="0059606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5. Roles, Responsibilities, Benefits, and Challenges of Key Stakeholders </w:t>
      </w:r>
    </w:p>
    <w:p w14:paraId="3D60A4DE"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Senior Leadership Team (SLT)</w:t>
      </w:r>
    </w:p>
    <w:p w14:paraId="3FA1AF0B"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38C4FD08" w14:textId="77777777" w:rsidR="0059606A" w:rsidRPr="00154E1F" w:rsidRDefault="0059606A" w:rsidP="0059606A">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Approve budgets and resource allocation</w:t>
      </w:r>
    </w:p>
    <w:p w14:paraId="782BF30B" w14:textId="77777777" w:rsidR="0059606A" w:rsidRPr="00154E1F" w:rsidRDefault="0059606A" w:rsidP="0059606A">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Provide strategic oversight</w:t>
      </w:r>
    </w:p>
    <w:p w14:paraId="4917F6B7" w14:textId="77777777" w:rsidR="0059606A" w:rsidRPr="00154E1F" w:rsidRDefault="0059606A" w:rsidP="0059606A">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Manage organisational risk</w:t>
      </w:r>
    </w:p>
    <w:p w14:paraId="37609EED"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Benefits:</w:t>
      </w:r>
    </w:p>
    <w:p w14:paraId="10BDB8C7" w14:textId="77777777" w:rsidR="0059606A" w:rsidRPr="00154E1F" w:rsidRDefault="0059606A" w:rsidP="0059606A">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Ensures project aligns with Deloitte’s growth and workplace transformation strategy</w:t>
      </w:r>
    </w:p>
    <w:p w14:paraId="59665321" w14:textId="77777777" w:rsidR="0059606A" w:rsidRPr="00154E1F" w:rsidRDefault="0059606A" w:rsidP="0059606A">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Secures necessary funding and resources</w:t>
      </w:r>
    </w:p>
    <w:p w14:paraId="5F379030" w14:textId="77777777" w:rsidR="000C3D2E" w:rsidRDefault="000C3D2E" w:rsidP="0059606A">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58FF29A" w14:textId="73495465"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lastRenderedPageBreak/>
        <w:t>Challenges:</w:t>
      </w:r>
    </w:p>
    <w:p w14:paraId="3E5AE113" w14:textId="77777777" w:rsidR="0059606A" w:rsidRPr="00154E1F" w:rsidRDefault="0059606A" w:rsidP="0059606A">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Balancing investment with cost pressures and budget constraints</w:t>
      </w:r>
    </w:p>
    <w:p w14:paraId="3F797BA8" w14:textId="77777777" w:rsidR="0059606A" w:rsidRDefault="0059606A" w:rsidP="0059606A">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Managing reputational risks associated with delays or disruptions</w:t>
      </w:r>
    </w:p>
    <w:p w14:paraId="4248055D" w14:textId="77777777" w:rsidR="0059606A"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D43AAE5"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Employees and Team Leads</w:t>
      </w:r>
    </w:p>
    <w:p w14:paraId="0B25593A"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32DCC383" w14:textId="77777777" w:rsidR="0059606A" w:rsidRPr="00154E1F" w:rsidRDefault="0059606A" w:rsidP="0059606A">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Provide feedback on workspace needs</w:t>
      </w:r>
    </w:p>
    <w:p w14:paraId="5A455054" w14:textId="77777777" w:rsidR="0059606A" w:rsidRPr="00154E1F" w:rsidRDefault="0059606A" w:rsidP="0059606A">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Adapt to new working environments</w:t>
      </w:r>
    </w:p>
    <w:p w14:paraId="30279B41"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Benefits:</w:t>
      </w:r>
    </w:p>
    <w:p w14:paraId="7A7BE64D" w14:textId="77777777" w:rsidR="0059606A" w:rsidRPr="00154E1F" w:rsidRDefault="0059606A" w:rsidP="0059606A">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Enhanced wellbeing and productivity through improved workspace</w:t>
      </w:r>
    </w:p>
    <w:p w14:paraId="7E3F0211" w14:textId="77777777" w:rsidR="0059606A" w:rsidRPr="00154E1F" w:rsidRDefault="0059606A" w:rsidP="0059606A">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Better collaboration opportunities</w:t>
      </w:r>
    </w:p>
    <w:p w14:paraId="523F4E2B"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Challenges:</w:t>
      </w:r>
    </w:p>
    <w:p w14:paraId="61A6BB89" w14:textId="77777777" w:rsidR="0059606A" w:rsidRPr="00154E1F" w:rsidRDefault="0059606A" w:rsidP="0059606A">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Resistance to change, especially regarding seating, layouts, and movement</w:t>
      </w:r>
    </w:p>
    <w:p w14:paraId="54755088" w14:textId="77777777" w:rsidR="0059606A" w:rsidRPr="00154E1F" w:rsidRDefault="0059606A" w:rsidP="0059606A">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Potential productivity loss during relocation phases</w:t>
      </w:r>
    </w:p>
    <w:p w14:paraId="339F6279"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Facilities Management (FM)</w:t>
      </w:r>
    </w:p>
    <w:p w14:paraId="04919979"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60B95E71" w14:textId="77777777" w:rsidR="0059606A" w:rsidRPr="00154E1F" w:rsidRDefault="0059606A" w:rsidP="0059606A">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Coordinate contractors and oversee building operations</w:t>
      </w:r>
    </w:p>
    <w:p w14:paraId="42690AB0" w14:textId="77777777" w:rsidR="0059606A" w:rsidRPr="00154E1F" w:rsidRDefault="0059606A" w:rsidP="0059606A">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Ensure compliance with safety and infrastructure standards</w:t>
      </w:r>
    </w:p>
    <w:p w14:paraId="52CBE285"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Benefits:</w:t>
      </w:r>
    </w:p>
    <w:p w14:paraId="72BDE753" w14:textId="77777777" w:rsidR="0059606A" w:rsidRPr="00154E1F" w:rsidRDefault="0059606A" w:rsidP="0059606A">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Improved building performance and operational efficiency</w:t>
      </w:r>
    </w:p>
    <w:p w14:paraId="7A604147" w14:textId="77777777" w:rsidR="0059606A" w:rsidRPr="00154E1F" w:rsidRDefault="0059606A" w:rsidP="0059606A">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Streamlined workflow in managing the workspace</w:t>
      </w:r>
    </w:p>
    <w:p w14:paraId="59B530CF"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Challenges:</w:t>
      </w:r>
    </w:p>
    <w:p w14:paraId="171E6452" w14:textId="77777777" w:rsidR="0059606A" w:rsidRPr="00154E1F" w:rsidRDefault="0059606A" w:rsidP="0059606A">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Managing deadlines, stakeholders, and safety simultaneously</w:t>
      </w:r>
    </w:p>
    <w:p w14:paraId="03FB5F95" w14:textId="77777777" w:rsidR="0059606A" w:rsidRPr="00154E1F" w:rsidRDefault="0059606A" w:rsidP="0059606A">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Navigating conflicting demands from different departments</w:t>
      </w:r>
    </w:p>
    <w:p w14:paraId="5D8E76AC"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Human Resources (HR)</w:t>
      </w:r>
    </w:p>
    <w:p w14:paraId="3D6B9062"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628EC8A8" w14:textId="77777777" w:rsidR="0059606A" w:rsidRPr="00154E1F" w:rsidRDefault="0059606A" w:rsidP="0059606A">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Communicate changes across the organisation</w:t>
      </w:r>
    </w:p>
    <w:p w14:paraId="1AB4B2B2" w14:textId="77777777" w:rsidR="0059606A" w:rsidRPr="00154E1F" w:rsidRDefault="0059606A" w:rsidP="0059606A">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Support employee wellbeing and hybrid-working policies</w:t>
      </w:r>
    </w:p>
    <w:p w14:paraId="21380C17"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lastRenderedPageBreak/>
        <w:t>Benefits:</w:t>
      </w:r>
    </w:p>
    <w:p w14:paraId="7E349562" w14:textId="77777777" w:rsidR="0059606A" w:rsidRPr="00154E1F" w:rsidRDefault="0059606A" w:rsidP="0059606A">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Increased employee satisfaction and lower resistance to change</w:t>
      </w:r>
    </w:p>
    <w:p w14:paraId="4253D84C" w14:textId="77777777" w:rsidR="0059606A" w:rsidRPr="00154E1F" w:rsidRDefault="0059606A" w:rsidP="0059606A">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Stronger internal communication</w:t>
      </w:r>
    </w:p>
    <w:p w14:paraId="259DB3A7"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Challenges:</w:t>
      </w:r>
    </w:p>
    <w:p w14:paraId="2E01D18E" w14:textId="77777777" w:rsidR="0059606A" w:rsidRPr="00154E1F" w:rsidRDefault="0059606A" w:rsidP="0059606A">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Managing diverse needs and expectations</w:t>
      </w:r>
    </w:p>
    <w:p w14:paraId="16D0FDCB" w14:textId="77777777" w:rsidR="0059606A" w:rsidRPr="00154E1F" w:rsidRDefault="0059606A" w:rsidP="0059606A">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Addressing concerns regarding change and transition</w:t>
      </w:r>
    </w:p>
    <w:p w14:paraId="6AA519FA"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IT Department</w:t>
      </w:r>
    </w:p>
    <w:p w14:paraId="5AE285BA"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3F311EB7" w14:textId="77777777" w:rsidR="0059606A" w:rsidRPr="00154E1F" w:rsidRDefault="0059606A" w:rsidP="0059606A">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Install digital tools, technology, and security systems</w:t>
      </w:r>
    </w:p>
    <w:p w14:paraId="5A742CC5" w14:textId="77777777" w:rsidR="0059606A" w:rsidRPr="00154E1F" w:rsidRDefault="0059606A" w:rsidP="0059606A">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Ensure minimal disruption during systems migration</w:t>
      </w:r>
    </w:p>
    <w:p w14:paraId="35E656B0"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Benefits:</w:t>
      </w:r>
    </w:p>
    <w:p w14:paraId="60985E99" w14:textId="77777777" w:rsidR="0059606A" w:rsidRPr="00154E1F" w:rsidRDefault="0059606A" w:rsidP="0059606A">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Modernises Deloitte’s digital infrastructure</w:t>
      </w:r>
    </w:p>
    <w:p w14:paraId="50720A6B" w14:textId="77777777" w:rsidR="0059606A" w:rsidRPr="00154E1F" w:rsidRDefault="0059606A" w:rsidP="0059606A">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Enhances hybrid-working capabilities</w:t>
      </w:r>
    </w:p>
    <w:p w14:paraId="420687DB" w14:textId="77777777" w:rsidR="0059606A" w:rsidRDefault="0059606A" w:rsidP="0059606A">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F96C65C"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Challenges:</w:t>
      </w:r>
    </w:p>
    <w:p w14:paraId="26447D2F" w14:textId="77777777" w:rsidR="0059606A" w:rsidRPr="00154E1F" w:rsidRDefault="0059606A" w:rsidP="0059606A">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Risk of technical failures or delays</w:t>
      </w:r>
    </w:p>
    <w:p w14:paraId="2C832BAC" w14:textId="77777777" w:rsidR="0059606A" w:rsidRPr="00154E1F" w:rsidRDefault="0059606A" w:rsidP="0059606A">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Maintaining cybersecurity during transition</w:t>
      </w:r>
    </w:p>
    <w:p w14:paraId="3F2F36C8" w14:textId="77777777"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Finance Team</w:t>
      </w:r>
    </w:p>
    <w:p w14:paraId="11557392"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163F6482" w14:textId="77777777" w:rsidR="0059606A" w:rsidRPr="00154E1F" w:rsidRDefault="0059606A" w:rsidP="0059606A">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Monitor budgets, procurement, and cost management</w:t>
      </w:r>
    </w:p>
    <w:p w14:paraId="18FF991C"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Benefits:</w:t>
      </w:r>
    </w:p>
    <w:p w14:paraId="20A17E65" w14:textId="77777777" w:rsidR="0059606A" w:rsidRPr="00154E1F" w:rsidRDefault="0059606A" w:rsidP="0059606A">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Ensures financial sustainability of the project</w:t>
      </w:r>
    </w:p>
    <w:p w14:paraId="6E7ABD82"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Challenges:</w:t>
      </w:r>
    </w:p>
    <w:p w14:paraId="75C515BD" w14:textId="77777777" w:rsidR="0059606A" w:rsidRPr="00154E1F" w:rsidRDefault="0059606A" w:rsidP="0059606A">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Managing inflation and fluctuating material costs</w:t>
      </w:r>
    </w:p>
    <w:p w14:paraId="274152CE" w14:textId="77777777" w:rsidR="000C3D2E" w:rsidRDefault="000C3D2E"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FB08998" w14:textId="77777777" w:rsidR="000C3D2E" w:rsidRDefault="000C3D2E"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4DFFB0F" w14:textId="101278CA" w:rsidR="0059606A" w:rsidRPr="00154E1F" w:rsidRDefault="0059606A" w:rsidP="0059606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lastRenderedPageBreak/>
        <w:t>Health &amp; Safety Officers</w:t>
      </w:r>
    </w:p>
    <w:p w14:paraId="3FAF2A9E"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Roles:</w:t>
      </w:r>
    </w:p>
    <w:p w14:paraId="3E02C3C5" w14:textId="77777777" w:rsidR="0059606A" w:rsidRPr="00154E1F" w:rsidRDefault="0059606A" w:rsidP="0059606A">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Conduct risk assessments</w:t>
      </w:r>
    </w:p>
    <w:p w14:paraId="0B1D2447" w14:textId="77777777" w:rsidR="0059606A" w:rsidRPr="00154E1F" w:rsidRDefault="0059606A" w:rsidP="0059606A">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Implement compliance with UK workplace regulations</w:t>
      </w:r>
    </w:p>
    <w:p w14:paraId="780564BF" w14:textId="77777777"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Benefits:</w:t>
      </w:r>
    </w:p>
    <w:p w14:paraId="01F6F2FE" w14:textId="77777777" w:rsidR="0059606A" w:rsidRPr="00154E1F" w:rsidRDefault="0059606A" w:rsidP="0059606A">
      <w:pPr>
        <w:numPr>
          <w:ilvl w:val="0"/>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Prevent accidents and regulatory breaches</w:t>
      </w:r>
    </w:p>
    <w:p w14:paraId="35911BA4" w14:textId="77777777" w:rsidR="00425FC0" w:rsidRDefault="00425FC0" w:rsidP="0059606A">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9D4BAA2" w14:textId="4E873F38" w:rsidR="0059606A" w:rsidRPr="00154E1F"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Challenges:</w:t>
      </w:r>
    </w:p>
    <w:p w14:paraId="7108DA2D" w14:textId="77777777" w:rsidR="0059606A" w:rsidRPr="00154E1F" w:rsidRDefault="0059606A" w:rsidP="0059606A">
      <w:pPr>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Ensuring safety during active construction</w:t>
      </w:r>
    </w:p>
    <w:p w14:paraId="2E43756D" w14:textId="77777777" w:rsidR="0059606A" w:rsidRPr="0059606A" w:rsidRDefault="0059606A" w:rsidP="0059606A">
      <w:pPr>
        <w:pStyle w:val="ListParagraph"/>
        <w:numPr>
          <w:ilvl w:val="0"/>
          <w:numId w:val="24"/>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9606A">
        <w:rPr>
          <w:rFonts w:ascii="Times New Roman" w:eastAsia="Times New Roman" w:hAnsi="Times New Roman" w:cs="Times New Roman"/>
          <w:b/>
          <w:bCs/>
          <w:kern w:val="0"/>
          <w:sz w:val="36"/>
          <w:szCs w:val="36"/>
          <w:lang w:eastAsia="en-GB"/>
          <w14:ligatures w14:val="none"/>
        </w:rPr>
        <w:t>Contractors &amp; Construction Firms</w:t>
      </w:r>
    </w:p>
    <w:p w14:paraId="6CFC8FB1" w14:textId="77777777" w:rsidR="0059606A" w:rsidRPr="0059606A" w:rsidRDefault="0059606A" w:rsidP="0059606A">
      <w:pPr>
        <w:pStyle w:val="ListParagraph"/>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9606A">
        <w:rPr>
          <w:rFonts w:ascii="Times New Roman" w:eastAsia="Times New Roman" w:hAnsi="Times New Roman" w:cs="Times New Roman"/>
          <w:b/>
          <w:bCs/>
          <w:kern w:val="0"/>
          <w:lang w:eastAsia="en-GB"/>
          <w14:ligatures w14:val="none"/>
        </w:rPr>
        <w:t>Roles:</w:t>
      </w:r>
      <w:r w:rsidRPr="0059606A">
        <w:rPr>
          <w:rFonts w:ascii="Times New Roman" w:eastAsia="Times New Roman" w:hAnsi="Times New Roman" w:cs="Times New Roman"/>
          <w:kern w:val="0"/>
          <w:lang w:eastAsia="en-GB"/>
          <w14:ligatures w14:val="none"/>
        </w:rPr>
        <w:t xml:space="preserve"> Execute building works according to project plan</w:t>
      </w:r>
      <w:r w:rsidRPr="0059606A">
        <w:rPr>
          <w:rFonts w:ascii="Times New Roman" w:eastAsia="Times New Roman" w:hAnsi="Times New Roman" w:cs="Times New Roman"/>
          <w:kern w:val="0"/>
          <w:lang w:eastAsia="en-GB"/>
          <w14:ligatures w14:val="none"/>
        </w:rPr>
        <w:br/>
      </w:r>
      <w:r w:rsidRPr="0059606A">
        <w:rPr>
          <w:rFonts w:ascii="Times New Roman" w:eastAsia="Times New Roman" w:hAnsi="Times New Roman" w:cs="Times New Roman"/>
          <w:b/>
          <w:bCs/>
          <w:kern w:val="0"/>
          <w:lang w:eastAsia="en-GB"/>
          <w14:ligatures w14:val="none"/>
        </w:rPr>
        <w:t>Benefits:</w:t>
      </w:r>
      <w:r w:rsidRPr="0059606A">
        <w:rPr>
          <w:rFonts w:ascii="Times New Roman" w:eastAsia="Times New Roman" w:hAnsi="Times New Roman" w:cs="Times New Roman"/>
          <w:kern w:val="0"/>
          <w:lang w:eastAsia="en-GB"/>
          <w14:ligatures w14:val="none"/>
        </w:rPr>
        <w:t xml:space="preserve"> Provide technical expertise</w:t>
      </w:r>
      <w:r w:rsidRPr="0059606A">
        <w:rPr>
          <w:rFonts w:ascii="Times New Roman" w:eastAsia="Times New Roman" w:hAnsi="Times New Roman" w:cs="Times New Roman"/>
          <w:kern w:val="0"/>
          <w:lang w:eastAsia="en-GB"/>
          <w14:ligatures w14:val="none"/>
        </w:rPr>
        <w:br/>
      </w:r>
      <w:r w:rsidRPr="0059606A">
        <w:rPr>
          <w:rFonts w:ascii="Times New Roman" w:eastAsia="Times New Roman" w:hAnsi="Times New Roman" w:cs="Times New Roman"/>
          <w:b/>
          <w:bCs/>
          <w:kern w:val="0"/>
          <w:lang w:eastAsia="en-GB"/>
          <w14:ligatures w14:val="none"/>
        </w:rPr>
        <w:t>Challenges:</w:t>
      </w:r>
      <w:r w:rsidRPr="0059606A">
        <w:rPr>
          <w:rFonts w:ascii="Times New Roman" w:eastAsia="Times New Roman" w:hAnsi="Times New Roman" w:cs="Times New Roman"/>
          <w:kern w:val="0"/>
          <w:lang w:eastAsia="en-GB"/>
          <w14:ligatures w14:val="none"/>
        </w:rPr>
        <w:t xml:space="preserve"> Potential delays or supply shortages</w:t>
      </w:r>
    </w:p>
    <w:p w14:paraId="302162E0" w14:textId="77777777" w:rsidR="0059606A" w:rsidRPr="0059606A" w:rsidRDefault="0059606A" w:rsidP="0059606A">
      <w:pPr>
        <w:pStyle w:val="ListParagraph"/>
        <w:numPr>
          <w:ilvl w:val="0"/>
          <w:numId w:val="24"/>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9606A">
        <w:rPr>
          <w:rFonts w:ascii="Times New Roman" w:eastAsia="Times New Roman" w:hAnsi="Times New Roman" w:cs="Times New Roman"/>
          <w:b/>
          <w:bCs/>
          <w:kern w:val="0"/>
          <w:sz w:val="36"/>
          <w:szCs w:val="36"/>
          <w:lang w:eastAsia="en-GB"/>
          <w14:ligatures w14:val="none"/>
        </w:rPr>
        <w:t>Birmingham City Council</w:t>
      </w:r>
    </w:p>
    <w:p w14:paraId="0BDB02AC" w14:textId="77777777" w:rsidR="0059606A" w:rsidRPr="0059606A" w:rsidRDefault="0059606A" w:rsidP="0059606A">
      <w:pPr>
        <w:pStyle w:val="ListParagraph"/>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9606A">
        <w:rPr>
          <w:rFonts w:ascii="Times New Roman" w:eastAsia="Times New Roman" w:hAnsi="Times New Roman" w:cs="Times New Roman"/>
          <w:b/>
          <w:bCs/>
          <w:kern w:val="0"/>
          <w:lang w:eastAsia="en-GB"/>
          <w14:ligatures w14:val="none"/>
        </w:rPr>
        <w:t>Roles:</w:t>
      </w:r>
      <w:r w:rsidRPr="0059606A">
        <w:rPr>
          <w:rFonts w:ascii="Times New Roman" w:eastAsia="Times New Roman" w:hAnsi="Times New Roman" w:cs="Times New Roman"/>
          <w:kern w:val="0"/>
          <w:lang w:eastAsia="en-GB"/>
          <w14:ligatures w14:val="none"/>
        </w:rPr>
        <w:t xml:space="preserve"> Provide planning approval, regulatory oversight</w:t>
      </w:r>
      <w:r w:rsidRPr="0059606A">
        <w:rPr>
          <w:rFonts w:ascii="Times New Roman" w:eastAsia="Times New Roman" w:hAnsi="Times New Roman" w:cs="Times New Roman"/>
          <w:kern w:val="0"/>
          <w:lang w:eastAsia="en-GB"/>
          <w14:ligatures w14:val="none"/>
        </w:rPr>
        <w:br/>
      </w:r>
      <w:r w:rsidRPr="0059606A">
        <w:rPr>
          <w:rFonts w:ascii="Times New Roman" w:eastAsia="Times New Roman" w:hAnsi="Times New Roman" w:cs="Times New Roman"/>
          <w:b/>
          <w:bCs/>
          <w:kern w:val="0"/>
          <w:lang w:eastAsia="en-GB"/>
          <w14:ligatures w14:val="none"/>
        </w:rPr>
        <w:t>Challenges:</w:t>
      </w:r>
      <w:r w:rsidRPr="0059606A">
        <w:rPr>
          <w:rFonts w:ascii="Times New Roman" w:eastAsia="Times New Roman" w:hAnsi="Times New Roman" w:cs="Times New Roman"/>
          <w:kern w:val="0"/>
          <w:lang w:eastAsia="en-GB"/>
          <w14:ligatures w14:val="none"/>
        </w:rPr>
        <w:t xml:space="preserve"> Lengthy regulatory processes</w:t>
      </w:r>
    </w:p>
    <w:p w14:paraId="6C02250C" w14:textId="77777777" w:rsidR="0059606A" w:rsidRPr="0059606A" w:rsidRDefault="0059606A" w:rsidP="0059606A">
      <w:pPr>
        <w:pStyle w:val="ListParagraph"/>
        <w:numPr>
          <w:ilvl w:val="0"/>
          <w:numId w:val="24"/>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9542FC7" w14:textId="77777777" w:rsidR="0059606A" w:rsidRPr="0059606A" w:rsidRDefault="0059606A" w:rsidP="0059606A">
      <w:pPr>
        <w:pStyle w:val="ListParagraph"/>
        <w:numPr>
          <w:ilvl w:val="0"/>
          <w:numId w:val="24"/>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9606A">
        <w:rPr>
          <w:rFonts w:ascii="Times New Roman" w:eastAsia="Times New Roman" w:hAnsi="Times New Roman" w:cs="Times New Roman"/>
          <w:b/>
          <w:bCs/>
          <w:kern w:val="0"/>
          <w:sz w:val="36"/>
          <w:szCs w:val="36"/>
          <w:lang w:eastAsia="en-GB"/>
          <w14:ligatures w14:val="none"/>
        </w:rPr>
        <w:t>Clients</w:t>
      </w:r>
    </w:p>
    <w:p w14:paraId="1DB9A6DC" w14:textId="77777777" w:rsidR="0059606A" w:rsidRPr="0059606A" w:rsidRDefault="0059606A" w:rsidP="0059606A">
      <w:pPr>
        <w:pStyle w:val="ListParagraph"/>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9606A">
        <w:rPr>
          <w:rFonts w:ascii="Times New Roman" w:eastAsia="Times New Roman" w:hAnsi="Times New Roman" w:cs="Times New Roman"/>
          <w:b/>
          <w:bCs/>
          <w:kern w:val="0"/>
          <w:lang w:eastAsia="en-GB"/>
          <w14:ligatures w14:val="none"/>
        </w:rPr>
        <w:t>Benefits:</w:t>
      </w:r>
      <w:r w:rsidRPr="0059606A">
        <w:rPr>
          <w:rFonts w:ascii="Times New Roman" w:eastAsia="Times New Roman" w:hAnsi="Times New Roman" w:cs="Times New Roman"/>
          <w:kern w:val="0"/>
          <w:lang w:eastAsia="en-GB"/>
          <w14:ligatures w14:val="none"/>
        </w:rPr>
        <w:t xml:space="preserve"> Improved meeting spaces</w:t>
      </w:r>
      <w:r w:rsidRPr="0059606A">
        <w:rPr>
          <w:rFonts w:ascii="Times New Roman" w:eastAsia="Times New Roman" w:hAnsi="Times New Roman" w:cs="Times New Roman"/>
          <w:kern w:val="0"/>
          <w:lang w:eastAsia="en-GB"/>
          <w14:ligatures w14:val="none"/>
        </w:rPr>
        <w:br/>
      </w:r>
      <w:r w:rsidRPr="0059606A">
        <w:rPr>
          <w:rFonts w:ascii="Times New Roman" w:eastAsia="Times New Roman" w:hAnsi="Times New Roman" w:cs="Times New Roman"/>
          <w:b/>
          <w:bCs/>
          <w:kern w:val="0"/>
          <w:lang w:eastAsia="en-GB"/>
          <w14:ligatures w14:val="none"/>
        </w:rPr>
        <w:t>Challenges:</w:t>
      </w:r>
      <w:r w:rsidRPr="0059606A">
        <w:rPr>
          <w:rFonts w:ascii="Times New Roman" w:eastAsia="Times New Roman" w:hAnsi="Times New Roman" w:cs="Times New Roman"/>
          <w:kern w:val="0"/>
          <w:lang w:eastAsia="en-GB"/>
          <w14:ligatures w14:val="none"/>
        </w:rPr>
        <w:t xml:space="preserve"> Temporary service disruptions</w:t>
      </w:r>
    </w:p>
    <w:p w14:paraId="0248D017" w14:textId="77777777" w:rsidR="0059606A" w:rsidRDefault="0059606A" w:rsidP="0059606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4F783C1" w14:textId="77777777" w:rsidR="0059606A" w:rsidRPr="00154E1F" w:rsidRDefault="0059606A" w:rsidP="0059606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6. Frameworks, Models, and Theories for Engaging Stakeholders </w:t>
      </w:r>
    </w:p>
    <w:p w14:paraId="4E628D73" w14:textId="77777777" w:rsidR="003774F9" w:rsidRPr="003774F9" w:rsidRDefault="003774F9" w:rsidP="003774F9">
      <w:pPr>
        <w:spacing w:after="0" w:line="240" w:lineRule="auto"/>
        <w:rPr>
          <w:rFonts w:ascii="Times New Roman" w:eastAsia="Times New Roman" w:hAnsi="Times New Roman" w:cs="Times New Roman"/>
          <w:kern w:val="0"/>
          <w:lang w:eastAsia="en-GB"/>
          <w14:ligatures w14:val="none"/>
        </w:rPr>
      </w:pPr>
      <w:r w:rsidRPr="003774F9">
        <w:rPr>
          <w:rFonts w:ascii="Times New Roman" w:eastAsia="Times New Roman" w:hAnsi="Times New Roman" w:cs="Times New Roman"/>
          <w:kern w:val="0"/>
          <w:lang w:eastAsia="en-GB"/>
          <w14:ligatures w14:val="none"/>
        </w:rPr>
        <w:t>The implementation of well-established frameworks and theoretical methods leads to effective stakeholder involvement.</w:t>
      </w:r>
    </w:p>
    <w:p w14:paraId="4DFC97FF"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6.1 Mendelow’s Power–Interest Matrix</w:t>
      </w:r>
    </w:p>
    <w:p w14:paraId="6E5FE268"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This model categorises stakeholders based on their power to influence the project and their level of interest:</w:t>
      </w:r>
    </w:p>
    <w:tbl>
      <w:tblPr>
        <w:tblW w:w="8953" w:type="dxa"/>
        <w:tblCellSpacing w:w="15" w:type="dxa"/>
        <w:tblCellMar>
          <w:top w:w="15" w:type="dxa"/>
          <w:left w:w="15" w:type="dxa"/>
          <w:bottom w:w="15" w:type="dxa"/>
          <w:right w:w="15" w:type="dxa"/>
        </w:tblCellMar>
        <w:tblLook w:val="04A0" w:firstRow="1" w:lastRow="0" w:firstColumn="1" w:lastColumn="0" w:noHBand="0" w:noVBand="1"/>
      </w:tblPr>
      <w:tblGrid>
        <w:gridCol w:w="7414"/>
        <w:gridCol w:w="1539"/>
      </w:tblGrid>
      <w:tr w:rsidR="003774F9" w:rsidRPr="00154E1F" w14:paraId="2C831C65" w14:textId="77777777" w:rsidTr="00425FC0">
        <w:trPr>
          <w:trHeight w:val="282"/>
          <w:tblHeader/>
          <w:tblCellSpacing w:w="15" w:type="dxa"/>
        </w:trPr>
        <w:tc>
          <w:tcPr>
            <w:tcW w:w="0" w:type="auto"/>
            <w:vAlign w:val="center"/>
            <w:hideMark/>
          </w:tcPr>
          <w:p w14:paraId="6F7DA8A3"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High Power</w:t>
            </w:r>
          </w:p>
        </w:tc>
        <w:tc>
          <w:tcPr>
            <w:tcW w:w="0" w:type="auto"/>
            <w:vAlign w:val="center"/>
            <w:hideMark/>
          </w:tcPr>
          <w:p w14:paraId="42BB74F8"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Low Power</w:t>
            </w:r>
          </w:p>
        </w:tc>
      </w:tr>
      <w:tr w:rsidR="003774F9" w:rsidRPr="00154E1F" w14:paraId="4E047C0B" w14:textId="77777777" w:rsidTr="00425FC0">
        <w:trPr>
          <w:trHeight w:val="282"/>
          <w:tblCellSpacing w:w="15" w:type="dxa"/>
        </w:trPr>
        <w:tc>
          <w:tcPr>
            <w:tcW w:w="0" w:type="auto"/>
            <w:vAlign w:val="center"/>
            <w:hideMark/>
          </w:tcPr>
          <w:p w14:paraId="3CE5216A"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High Interest:</w:t>
            </w:r>
            <w:r w:rsidRPr="00154E1F">
              <w:rPr>
                <w:rFonts w:ascii="Times New Roman" w:eastAsia="Times New Roman" w:hAnsi="Times New Roman" w:cs="Times New Roman"/>
                <w:kern w:val="0"/>
                <w:lang w:eastAsia="en-GB"/>
                <w14:ligatures w14:val="none"/>
              </w:rPr>
              <w:t xml:space="preserve"> SLT, FM, Employees, IT</w:t>
            </w:r>
          </w:p>
        </w:tc>
        <w:tc>
          <w:tcPr>
            <w:tcW w:w="0" w:type="auto"/>
            <w:vAlign w:val="center"/>
            <w:hideMark/>
          </w:tcPr>
          <w:p w14:paraId="3D3FA75D"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HR, Finance</w:t>
            </w:r>
          </w:p>
        </w:tc>
      </w:tr>
      <w:tr w:rsidR="003774F9" w:rsidRPr="00154E1F" w14:paraId="11172EDB" w14:textId="77777777" w:rsidTr="00425FC0">
        <w:trPr>
          <w:trHeight w:val="1182"/>
          <w:tblCellSpacing w:w="15" w:type="dxa"/>
        </w:trPr>
        <w:tc>
          <w:tcPr>
            <w:tcW w:w="0" w:type="auto"/>
            <w:vAlign w:val="center"/>
            <w:hideMark/>
          </w:tcPr>
          <w:p w14:paraId="1D1782FF" w14:textId="77777777" w:rsidR="003774F9" w:rsidRPr="00154E1F" w:rsidRDefault="003774F9" w:rsidP="005361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lastRenderedPageBreak/>
              <w:t xml:space="preserve">Low </w:t>
            </w:r>
            <w:r w:rsidRPr="00154E1F">
              <w:rPr>
                <w:rFonts w:ascii="Times New Roman" w:eastAsia="Times New Roman" w:hAnsi="Times New Roman" w:cs="Times New Roman"/>
                <w:kern w:val="0"/>
                <w:lang w:eastAsia="en-GB"/>
                <w14:ligatures w14:val="none"/>
              </w:rPr>
              <w:t>Effective stakeholder engagement is achieved through the application of well-established frameworks and theoretical approaches.</w:t>
            </w:r>
          </w:p>
          <w:p w14:paraId="2A0931AD"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Interest:</w:t>
            </w:r>
            <w:r w:rsidRPr="00154E1F">
              <w:rPr>
                <w:rFonts w:ascii="Times New Roman" w:eastAsia="Times New Roman" w:hAnsi="Times New Roman" w:cs="Times New Roman"/>
                <w:kern w:val="0"/>
                <w:lang w:eastAsia="en-GB"/>
                <w14:ligatures w14:val="none"/>
              </w:rPr>
              <w:t xml:space="preserve"> Contractors, Council</w:t>
            </w:r>
          </w:p>
        </w:tc>
        <w:tc>
          <w:tcPr>
            <w:tcW w:w="0" w:type="auto"/>
            <w:vAlign w:val="center"/>
            <w:hideMark/>
          </w:tcPr>
          <w:p w14:paraId="3DC386CD"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Local Community</w:t>
            </w:r>
          </w:p>
        </w:tc>
      </w:tr>
    </w:tbl>
    <w:p w14:paraId="416D4CDE"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This framework enables the Project Manager to prioritise the most influential stakeholders, applying appropriate levels of engagement.</w:t>
      </w:r>
    </w:p>
    <w:p w14:paraId="175AFDEC" w14:textId="56FDB1DE"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6.2 RACI Matrix</w:t>
      </w:r>
    </w:p>
    <w:p w14:paraId="18CBFB09"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The RACI model clarifies:</w:t>
      </w:r>
    </w:p>
    <w:p w14:paraId="646A59DD" w14:textId="77777777" w:rsidR="003774F9" w:rsidRPr="00154E1F" w:rsidRDefault="003774F9" w:rsidP="003774F9">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w:t>
      </w:r>
      <w:r w:rsidRPr="00154E1F">
        <w:rPr>
          <w:rFonts w:ascii="Times New Roman" w:eastAsia="Times New Roman" w:hAnsi="Times New Roman" w:cs="Times New Roman"/>
          <w:kern w:val="0"/>
          <w:lang w:eastAsia="en-GB"/>
          <w14:ligatures w14:val="none"/>
        </w:rPr>
        <w:t>esponsible – those who complete tasks</w:t>
      </w:r>
    </w:p>
    <w:p w14:paraId="5F066C11" w14:textId="77777777" w:rsidR="003774F9" w:rsidRPr="00154E1F" w:rsidRDefault="003774F9" w:rsidP="003774F9">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A</w:t>
      </w:r>
      <w:r w:rsidRPr="00154E1F">
        <w:rPr>
          <w:rFonts w:ascii="Times New Roman" w:eastAsia="Times New Roman" w:hAnsi="Times New Roman" w:cs="Times New Roman"/>
          <w:kern w:val="0"/>
          <w:lang w:eastAsia="en-GB"/>
          <w14:ligatures w14:val="none"/>
        </w:rPr>
        <w:t>ccountable – those who own decisions</w:t>
      </w:r>
    </w:p>
    <w:p w14:paraId="146CC0E3" w14:textId="77777777" w:rsidR="003774F9" w:rsidRPr="00154E1F" w:rsidRDefault="003774F9" w:rsidP="003774F9">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w:t>
      </w:r>
      <w:r w:rsidRPr="00154E1F">
        <w:rPr>
          <w:rFonts w:ascii="Times New Roman" w:eastAsia="Times New Roman" w:hAnsi="Times New Roman" w:cs="Times New Roman"/>
          <w:kern w:val="0"/>
          <w:lang w:eastAsia="en-GB"/>
          <w14:ligatures w14:val="none"/>
        </w:rPr>
        <w:t>onsulted – those who provide input</w:t>
      </w:r>
    </w:p>
    <w:p w14:paraId="2B308FD8" w14:textId="77777777" w:rsidR="003774F9" w:rsidRPr="00154E1F" w:rsidRDefault="003774F9" w:rsidP="003774F9">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I</w:t>
      </w:r>
      <w:r w:rsidRPr="00154E1F">
        <w:rPr>
          <w:rFonts w:ascii="Times New Roman" w:eastAsia="Times New Roman" w:hAnsi="Times New Roman" w:cs="Times New Roman"/>
          <w:kern w:val="0"/>
          <w:lang w:eastAsia="en-GB"/>
          <w14:ligatures w14:val="none"/>
        </w:rPr>
        <w:t>nformed – those kept updated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gridCol w:w="1180"/>
        <w:gridCol w:w="527"/>
        <w:gridCol w:w="1180"/>
        <w:gridCol w:w="1222"/>
      </w:tblGrid>
      <w:tr w:rsidR="003774F9" w:rsidRPr="00154E1F" w14:paraId="1F4A0E56" w14:textId="77777777" w:rsidTr="005361A4">
        <w:trPr>
          <w:tblHeader/>
          <w:tblCellSpacing w:w="15" w:type="dxa"/>
        </w:trPr>
        <w:tc>
          <w:tcPr>
            <w:tcW w:w="0" w:type="auto"/>
            <w:vAlign w:val="center"/>
            <w:hideMark/>
          </w:tcPr>
          <w:p w14:paraId="010B20F9"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Task</w:t>
            </w:r>
          </w:p>
        </w:tc>
        <w:tc>
          <w:tcPr>
            <w:tcW w:w="0" w:type="auto"/>
            <w:vAlign w:val="center"/>
            <w:hideMark/>
          </w:tcPr>
          <w:p w14:paraId="22FC9938"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R</w:t>
            </w:r>
          </w:p>
        </w:tc>
        <w:tc>
          <w:tcPr>
            <w:tcW w:w="0" w:type="auto"/>
            <w:vAlign w:val="center"/>
            <w:hideMark/>
          </w:tcPr>
          <w:p w14:paraId="4F8ECBFD"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A</w:t>
            </w:r>
          </w:p>
        </w:tc>
        <w:tc>
          <w:tcPr>
            <w:tcW w:w="0" w:type="auto"/>
            <w:vAlign w:val="center"/>
            <w:hideMark/>
          </w:tcPr>
          <w:p w14:paraId="34349BAA"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C</w:t>
            </w:r>
          </w:p>
        </w:tc>
        <w:tc>
          <w:tcPr>
            <w:tcW w:w="0" w:type="auto"/>
            <w:vAlign w:val="center"/>
            <w:hideMark/>
          </w:tcPr>
          <w:p w14:paraId="61449662"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I</w:t>
            </w:r>
          </w:p>
        </w:tc>
      </w:tr>
      <w:tr w:rsidR="003774F9" w:rsidRPr="00154E1F" w14:paraId="76D65A95" w14:textId="77777777" w:rsidTr="005361A4">
        <w:trPr>
          <w:tblCellSpacing w:w="15" w:type="dxa"/>
        </w:trPr>
        <w:tc>
          <w:tcPr>
            <w:tcW w:w="0" w:type="auto"/>
            <w:vAlign w:val="center"/>
            <w:hideMark/>
          </w:tcPr>
          <w:p w14:paraId="7714BFD2"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Office Design</w:t>
            </w:r>
          </w:p>
        </w:tc>
        <w:tc>
          <w:tcPr>
            <w:tcW w:w="0" w:type="auto"/>
            <w:vAlign w:val="center"/>
            <w:hideMark/>
          </w:tcPr>
          <w:p w14:paraId="720FDF8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Architects</w:t>
            </w:r>
          </w:p>
        </w:tc>
        <w:tc>
          <w:tcPr>
            <w:tcW w:w="0" w:type="auto"/>
            <w:vAlign w:val="center"/>
            <w:hideMark/>
          </w:tcPr>
          <w:p w14:paraId="65FF7B8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SLT</w:t>
            </w:r>
          </w:p>
        </w:tc>
        <w:tc>
          <w:tcPr>
            <w:tcW w:w="0" w:type="auto"/>
            <w:vAlign w:val="center"/>
            <w:hideMark/>
          </w:tcPr>
          <w:p w14:paraId="15331ED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FM</w:t>
            </w:r>
          </w:p>
        </w:tc>
        <w:tc>
          <w:tcPr>
            <w:tcW w:w="0" w:type="auto"/>
            <w:vAlign w:val="center"/>
            <w:hideMark/>
          </w:tcPr>
          <w:p w14:paraId="653329C5"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Employees</w:t>
            </w:r>
          </w:p>
        </w:tc>
      </w:tr>
      <w:tr w:rsidR="003774F9" w:rsidRPr="00154E1F" w14:paraId="259C12DC" w14:textId="77777777" w:rsidTr="005361A4">
        <w:trPr>
          <w:tblCellSpacing w:w="15" w:type="dxa"/>
        </w:trPr>
        <w:tc>
          <w:tcPr>
            <w:tcW w:w="0" w:type="auto"/>
            <w:vAlign w:val="center"/>
            <w:hideMark/>
          </w:tcPr>
          <w:p w14:paraId="185DF52D"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Construction</w:t>
            </w:r>
          </w:p>
        </w:tc>
        <w:tc>
          <w:tcPr>
            <w:tcW w:w="0" w:type="auto"/>
            <w:vAlign w:val="center"/>
            <w:hideMark/>
          </w:tcPr>
          <w:p w14:paraId="67937A50"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Contractors</w:t>
            </w:r>
          </w:p>
        </w:tc>
        <w:tc>
          <w:tcPr>
            <w:tcW w:w="0" w:type="auto"/>
            <w:vAlign w:val="center"/>
            <w:hideMark/>
          </w:tcPr>
          <w:p w14:paraId="1FC84D65"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FM</w:t>
            </w:r>
          </w:p>
        </w:tc>
        <w:tc>
          <w:tcPr>
            <w:tcW w:w="0" w:type="auto"/>
            <w:vAlign w:val="center"/>
            <w:hideMark/>
          </w:tcPr>
          <w:p w14:paraId="624DD89B"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Council</w:t>
            </w:r>
          </w:p>
        </w:tc>
        <w:tc>
          <w:tcPr>
            <w:tcW w:w="0" w:type="auto"/>
            <w:vAlign w:val="center"/>
            <w:hideMark/>
          </w:tcPr>
          <w:p w14:paraId="5F7BA5FF"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Community</w:t>
            </w:r>
          </w:p>
        </w:tc>
      </w:tr>
      <w:tr w:rsidR="003774F9" w:rsidRPr="00154E1F" w14:paraId="12052B17" w14:textId="77777777" w:rsidTr="005361A4">
        <w:trPr>
          <w:tblCellSpacing w:w="15" w:type="dxa"/>
        </w:trPr>
        <w:tc>
          <w:tcPr>
            <w:tcW w:w="0" w:type="auto"/>
            <w:vAlign w:val="center"/>
            <w:hideMark/>
          </w:tcPr>
          <w:p w14:paraId="6F8C58FC"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IT Setup</w:t>
            </w:r>
          </w:p>
        </w:tc>
        <w:tc>
          <w:tcPr>
            <w:tcW w:w="0" w:type="auto"/>
            <w:vAlign w:val="center"/>
            <w:hideMark/>
          </w:tcPr>
          <w:p w14:paraId="763EBE4B"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IT Team</w:t>
            </w:r>
          </w:p>
        </w:tc>
        <w:tc>
          <w:tcPr>
            <w:tcW w:w="0" w:type="auto"/>
            <w:vAlign w:val="center"/>
            <w:hideMark/>
          </w:tcPr>
          <w:p w14:paraId="6017421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CIO</w:t>
            </w:r>
          </w:p>
        </w:tc>
        <w:tc>
          <w:tcPr>
            <w:tcW w:w="0" w:type="auto"/>
            <w:vAlign w:val="center"/>
            <w:hideMark/>
          </w:tcPr>
          <w:p w14:paraId="774FA6D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Contractors</w:t>
            </w:r>
          </w:p>
        </w:tc>
        <w:tc>
          <w:tcPr>
            <w:tcW w:w="0" w:type="auto"/>
            <w:vAlign w:val="center"/>
            <w:hideMark/>
          </w:tcPr>
          <w:p w14:paraId="45C0D701"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All Staff</w:t>
            </w:r>
          </w:p>
        </w:tc>
      </w:tr>
      <w:tr w:rsidR="003774F9" w:rsidRPr="00154E1F" w14:paraId="16EC6146" w14:textId="77777777" w:rsidTr="005361A4">
        <w:trPr>
          <w:tblCellSpacing w:w="15" w:type="dxa"/>
        </w:trPr>
        <w:tc>
          <w:tcPr>
            <w:tcW w:w="0" w:type="auto"/>
            <w:vAlign w:val="center"/>
            <w:hideMark/>
          </w:tcPr>
          <w:p w14:paraId="6B52D025"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Budgeting</w:t>
            </w:r>
          </w:p>
        </w:tc>
        <w:tc>
          <w:tcPr>
            <w:tcW w:w="0" w:type="auto"/>
            <w:vAlign w:val="center"/>
            <w:hideMark/>
          </w:tcPr>
          <w:p w14:paraId="6307FD85"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Finance</w:t>
            </w:r>
          </w:p>
        </w:tc>
        <w:tc>
          <w:tcPr>
            <w:tcW w:w="0" w:type="auto"/>
            <w:vAlign w:val="center"/>
            <w:hideMark/>
          </w:tcPr>
          <w:p w14:paraId="4495CEAD"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CFO</w:t>
            </w:r>
          </w:p>
        </w:tc>
        <w:tc>
          <w:tcPr>
            <w:tcW w:w="0" w:type="auto"/>
            <w:vAlign w:val="center"/>
            <w:hideMark/>
          </w:tcPr>
          <w:p w14:paraId="4226AA40"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SLT</w:t>
            </w:r>
          </w:p>
        </w:tc>
        <w:tc>
          <w:tcPr>
            <w:tcW w:w="0" w:type="auto"/>
            <w:vAlign w:val="center"/>
            <w:hideMark/>
          </w:tcPr>
          <w:p w14:paraId="605E2633"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HR</w:t>
            </w:r>
          </w:p>
        </w:tc>
      </w:tr>
    </w:tbl>
    <w:p w14:paraId="253AE9E3"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6.3 Stakeholder Engagement Plan</w:t>
      </w:r>
    </w:p>
    <w:p w14:paraId="602B8088"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Levels of engagement include:</w:t>
      </w:r>
    </w:p>
    <w:p w14:paraId="7FEEBDCA" w14:textId="77777777" w:rsidR="003774F9" w:rsidRPr="00154E1F" w:rsidRDefault="003774F9" w:rsidP="003774F9">
      <w:pPr>
        <w:numPr>
          <w:ilvl w:val="0"/>
          <w:numId w:val="2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Inform:</w:t>
      </w:r>
      <w:r w:rsidRPr="00154E1F">
        <w:rPr>
          <w:rFonts w:ascii="Times New Roman" w:eastAsia="Times New Roman" w:hAnsi="Times New Roman" w:cs="Times New Roman"/>
          <w:kern w:val="0"/>
          <w:lang w:eastAsia="en-GB"/>
          <w14:ligatures w14:val="none"/>
        </w:rPr>
        <w:t xml:space="preserve"> Provide updates (e.g., emails, newsletters)</w:t>
      </w:r>
    </w:p>
    <w:p w14:paraId="04F3ED2A" w14:textId="77777777" w:rsidR="003774F9" w:rsidRPr="00154E1F" w:rsidRDefault="003774F9" w:rsidP="003774F9">
      <w:pPr>
        <w:numPr>
          <w:ilvl w:val="0"/>
          <w:numId w:val="2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Consult:</w:t>
      </w:r>
      <w:r w:rsidRPr="00154E1F">
        <w:rPr>
          <w:rFonts w:ascii="Times New Roman" w:eastAsia="Times New Roman" w:hAnsi="Times New Roman" w:cs="Times New Roman"/>
          <w:kern w:val="0"/>
          <w:lang w:eastAsia="en-GB"/>
          <w14:ligatures w14:val="none"/>
        </w:rPr>
        <w:t xml:space="preserve"> Gather feedback (e.g., surveys, workshops)</w:t>
      </w:r>
    </w:p>
    <w:p w14:paraId="1CDE24A0" w14:textId="77777777" w:rsidR="003774F9" w:rsidRPr="00154E1F" w:rsidRDefault="003774F9" w:rsidP="003774F9">
      <w:pPr>
        <w:numPr>
          <w:ilvl w:val="0"/>
          <w:numId w:val="2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Involve:</w:t>
      </w:r>
      <w:r w:rsidRPr="00154E1F">
        <w:rPr>
          <w:rFonts w:ascii="Times New Roman" w:eastAsia="Times New Roman" w:hAnsi="Times New Roman" w:cs="Times New Roman"/>
          <w:kern w:val="0"/>
          <w:lang w:eastAsia="en-GB"/>
          <w14:ligatures w14:val="none"/>
        </w:rPr>
        <w:t xml:space="preserve"> Participate in design decisions (e.g., pilot groups)</w:t>
      </w:r>
    </w:p>
    <w:p w14:paraId="112FC2BA" w14:textId="77777777" w:rsidR="003774F9" w:rsidRPr="00154E1F" w:rsidRDefault="003774F9" w:rsidP="003774F9">
      <w:pPr>
        <w:numPr>
          <w:ilvl w:val="0"/>
          <w:numId w:val="2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Collaborate:</w:t>
      </w:r>
      <w:r w:rsidRPr="00154E1F">
        <w:rPr>
          <w:rFonts w:ascii="Times New Roman" w:eastAsia="Times New Roman" w:hAnsi="Times New Roman" w:cs="Times New Roman"/>
          <w:kern w:val="0"/>
          <w:lang w:eastAsia="en-GB"/>
          <w14:ligatures w14:val="none"/>
        </w:rPr>
        <w:t xml:space="preserve"> Joint decision-making (e.g., steering committees)</w:t>
      </w:r>
    </w:p>
    <w:p w14:paraId="704E20AD" w14:textId="77777777" w:rsidR="003774F9" w:rsidRPr="00154E1F" w:rsidRDefault="003774F9" w:rsidP="003774F9">
      <w:pPr>
        <w:numPr>
          <w:ilvl w:val="0"/>
          <w:numId w:val="2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Empower:</w:t>
      </w:r>
      <w:r w:rsidRPr="00154E1F">
        <w:rPr>
          <w:rFonts w:ascii="Times New Roman" w:eastAsia="Times New Roman" w:hAnsi="Times New Roman" w:cs="Times New Roman"/>
          <w:kern w:val="0"/>
          <w:lang w:eastAsia="en-GB"/>
          <w14:ligatures w14:val="none"/>
        </w:rPr>
        <w:t xml:space="preserve"> Provide authority to influence outcomes</w:t>
      </w:r>
    </w:p>
    <w:p w14:paraId="00487527"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This structured approach ensures proactive involvement.</w:t>
      </w:r>
    </w:p>
    <w:p w14:paraId="280C9B83"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6.4 Communication Plan</w:t>
      </w:r>
    </w:p>
    <w:p w14:paraId="53255516"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Communication ensures clarity, transparency, and alignment.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6"/>
        <w:gridCol w:w="1907"/>
        <w:gridCol w:w="1154"/>
        <w:gridCol w:w="1935"/>
      </w:tblGrid>
      <w:tr w:rsidR="003774F9" w:rsidRPr="00154E1F" w14:paraId="214E2CA5" w14:textId="77777777" w:rsidTr="005361A4">
        <w:trPr>
          <w:tblHeader/>
          <w:tblCellSpacing w:w="15" w:type="dxa"/>
        </w:trPr>
        <w:tc>
          <w:tcPr>
            <w:tcW w:w="0" w:type="auto"/>
            <w:vAlign w:val="center"/>
            <w:hideMark/>
          </w:tcPr>
          <w:p w14:paraId="5A3E143E"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Stakeholder</w:t>
            </w:r>
          </w:p>
        </w:tc>
        <w:tc>
          <w:tcPr>
            <w:tcW w:w="0" w:type="auto"/>
            <w:vAlign w:val="center"/>
            <w:hideMark/>
          </w:tcPr>
          <w:p w14:paraId="1A9B73E7"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Method</w:t>
            </w:r>
          </w:p>
        </w:tc>
        <w:tc>
          <w:tcPr>
            <w:tcW w:w="0" w:type="auto"/>
            <w:vAlign w:val="center"/>
            <w:hideMark/>
          </w:tcPr>
          <w:p w14:paraId="58BA358A"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Frequency</w:t>
            </w:r>
          </w:p>
        </w:tc>
        <w:tc>
          <w:tcPr>
            <w:tcW w:w="0" w:type="auto"/>
            <w:vAlign w:val="center"/>
            <w:hideMark/>
          </w:tcPr>
          <w:p w14:paraId="7AA4DA0D" w14:textId="77777777" w:rsidR="003774F9" w:rsidRPr="00154E1F" w:rsidRDefault="003774F9" w:rsidP="005361A4">
            <w:pPr>
              <w:spacing w:after="0" w:line="240" w:lineRule="auto"/>
              <w:jc w:val="center"/>
              <w:rPr>
                <w:rFonts w:ascii="Times New Roman" w:eastAsia="Times New Roman" w:hAnsi="Times New Roman" w:cs="Times New Roman"/>
                <w:b/>
                <w:bCs/>
                <w:kern w:val="0"/>
                <w:lang w:eastAsia="en-GB"/>
                <w14:ligatures w14:val="none"/>
              </w:rPr>
            </w:pPr>
            <w:r w:rsidRPr="00154E1F">
              <w:rPr>
                <w:rFonts w:ascii="Times New Roman" w:eastAsia="Times New Roman" w:hAnsi="Times New Roman" w:cs="Times New Roman"/>
                <w:b/>
                <w:bCs/>
                <w:kern w:val="0"/>
                <w:lang w:eastAsia="en-GB"/>
                <w14:ligatures w14:val="none"/>
              </w:rPr>
              <w:t>Purpose</w:t>
            </w:r>
          </w:p>
        </w:tc>
      </w:tr>
      <w:tr w:rsidR="003774F9" w:rsidRPr="00154E1F" w14:paraId="0A4ECA85" w14:textId="77777777" w:rsidTr="005361A4">
        <w:trPr>
          <w:tblCellSpacing w:w="15" w:type="dxa"/>
        </w:trPr>
        <w:tc>
          <w:tcPr>
            <w:tcW w:w="0" w:type="auto"/>
            <w:vAlign w:val="center"/>
            <w:hideMark/>
          </w:tcPr>
          <w:p w14:paraId="4F137C9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Employees</w:t>
            </w:r>
          </w:p>
        </w:tc>
        <w:tc>
          <w:tcPr>
            <w:tcW w:w="0" w:type="auto"/>
            <w:vAlign w:val="center"/>
            <w:hideMark/>
          </w:tcPr>
          <w:p w14:paraId="399FDE70"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Town halls, emails</w:t>
            </w:r>
          </w:p>
        </w:tc>
        <w:tc>
          <w:tcPr>
            <w:tcW w:w="0" w:type="auto"/>
            <w:vAlign w:val="center"/>
            <w:hideMark/>
          </w:tcPr>
          <w:p w14:paraId="452534E5"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Weekly</w:t>
            </w:r>
          </w:p>
        </w:tc>
        <w:tc>
          <w:tcPr>
            <w:tcW w:w="0" w:type="auto"/>
            <w:vAlign w:val="center"/>
            <w:hideMark/>
          </w:tcPr>
          <w:p w14:paraId="3F6B169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Reduce uncertainty</w:t>
            </w:r>
          </w:p>
        </w:tc>
      </w:tr>
      <w:tr w:rsidR="003774F9" w:rsidRPr="00154E1F" w14:paraId="17D5CFA1" w14:textId="77777777" w:rsidTr="005361A4">
        <w:trPr>
          <w:tblCellSpacing w:w="15" w:type="dxa"/>
        </w:trPr>
        <w:tc>
          <w:tcPr>
            <w:tcW w:w="0" w:type="auto"/>
            <w:vAlign w:val="center"/>
            <w:hideMark/>
          </w:tcPr>
          <w:p w14:paraId="0BBC091E"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SLT</w:t>
            </w:r>
          </w:p>
        </w:tc>
        <w:tc>
          <w:tcPr>
            <w:tcW w:w="0" w:type="auto"/>
            <w:vAlign w:val="center"/>
            <w:hideMark/>
          </w:tcPr>
          <w:p w14:paraId="47B66B3C"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Board reports</w:t>
            </w:r>
          </w:p>
        </w:tc>
        <w:tc>
          <w:tcPr>
            <w:tcW w:w="0" w:type="auto"/>
            <w:vAlign w:val="center"/>
            <w:hideMark/>
          </w:tcPr>
          <w:p w14:paraId="3C3CC480"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Monthly</w:t>
            </w:r>
          </w:p>
        </w:tc>
        <w:tc>
          <w:tcPr>
            <w:tcW w:w="0" w:type="auto"/>
            <w:vAlign w:val="center"/>
            <w:hideMark/>
          </w:tcPr>
          <w:p w14:paraId="024B24F7"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Provide oversight</w:t>
            </w:r>
          </w:p>
        </w:tc>
      </w:tr>
      <w:tr w:rsidR="003774F9" w:rsidRPr="00154E1F" w14:paraId="285A46E3" w14:textId="77777777" w:rsidTr="005361A4">
        <w:trPr>
          <w:tblCellSpacing w:w="15" w:type="dxa"/>
        </w:trPr>
        <w:tc>
          <w:tcPr>
            <w:tcW w:w="0" w:type="auto"/>
            <w:vAlign w:val="center"/>
            <w:hideMark/>
          </w:tcPr>
          <w:p w14:paraId="008B1A4D"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Contractors</w:t>
            </w:r>
          </w:p>
        </w:tc>
        <w:tc>
          <w:tcPr>
            <w:tcW w:w="0" w:type="auto"/>
            <w:vAlign w:val="center"/>
            <w:hideMark/>
          </w:tcPr>
          <w:p w14:paraId="737CB909"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On-site meetings</w:t>
            </w:r>
          </w:p>
        </w:tc>
        <w:tc>
          <w:tcPr>
            <w:tcW w:w="0" w:type="auto"/>
            <w:vAlign w:val="center"/>
            <w:hideMark/>
          </w:tcPr>
          <w:p w14:paraId="12D38FE6"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Daily</w:t>
            </w:r>
          </w:p>
        </w:tc>
        <w:tc>
          <w:tcPr>
            <w:tcW w:w="0" w:type="auto"/>
            <w:vAlign w:val="center"/>
            <w:hideMark/>
          </w:tcPr>
          <w:p w14:paraId="594432B6"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Monitor progress</w:t>
            </w:r>
          </w:p>
        </w:tc>
      </w:tr>
      <w:tr w:rsidR="003774F9" w:rsidRPr="00154E1F" w14:paraId="686A8187" w14:textId="77777777" w:rsidTr="005361A4">
        <w:trPr>
          <w:tblCellSpacing w:w="15" w:type="dxa"/>
        </w:trPr>
        <w:tc>
          <w:tcPr>
            <w:tcW w:w="0" w:type="auto"/>
            <w:vAlign w:val="center"/>
            <w:hideMark/>
          </w:tcPr>
          <w:p w14:paraId="2A5E32FB"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Council</w:t>
            </w:r>
          </w:p>
        </w:tc>
        <w:tc>
          <w:tcPr>
            <w:tcW w:w="0" w:type="auto"/>
            <w:vAlign w:val="center"/>
            <w:hideMark/>
          </w:tcPr>
          <w:p w14:paraId="7AD689B7"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Official documents</w:t>
            </w:r>
          </w:p>
        </w:tc>
        <w:tc>
          <w:tcPr>
            <w:tcW w:w="0" w:type="auto"/>
            <w:vAlign w:val="center"/>
            <w:hideMark/>
          </w:tcPr>
          <w:p w14:paraId="136E3D13"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As needed</w:t>
            </w:r>
          </w:p>
        </w:tc>
        <w:tc>
          <w:tcPr>
            <w:tcW w:w="0" w:type="auto"/>
            <w:vAlign w:val="center"/>
            <w:hideMark/>
          </w:tcPr>
          <w:p w14:paraId="0729C4AB" w14:textId="77777777" w:rsidR="003774F9" w:rsidRPr="00154E1F" w:rsidRDefault="003774F9" w:rsidP="005361A4">
            <w:pPr>
              <w:spacing w:after="0"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Compliance</w:t>
            </w:r>
          </w:p>
        </w:tc>
      </w:tr>
    </w:tbl>
    <w:p w14:paraId="0851706B" w14:textId="77777777" w:rsidR="00A7411F" w:rsidRDefault="00A7411F"/>
    <w:p w14:paraId="7D15CC68"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6.5 Ashcroft’s Relational Lens</w:t>
      </w:r>
    </w:p>
    <w:p w14:paraId="484FACD0"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Ashcroft (2017) argues that stakeholder relationships depend on:</w:t>
      </w:r>
    </w:p>
    <w:p w14:paraId="33A58B4B" w14:textId="77777777" w:rsidR="003774F9" w:rsidRPr="00154E1F" w:rsidRDefault="003774F9" w:rsidP="003774F9">
      <w:pPr>
        <w:numPr>
          <w:ilvl w:val="0"/>
          <w:numId w:val="2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Trust</w:t>
      </w:r>
    </w:p>
    <w:p w14:paraId="70DD8D04" w14:textId="77777777" w:rsidR="003774F9" w:rsidRPr="00154E1F" w:rsidRDefault="003774F9" w:rsidP="003774F9">
      <w:pPr>
        <w:numPr>
          <w:ilvl w:val="0"/>
          <w:numId w:val="2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Shared purpose</w:t>
      </w:r>
    </w:p>
    <w:p w14:paraId="7E77CB4F" w14:textId="77777777" w:rsidR="003774F9" w:rsidRPr="00154E1F" w:rsidRDefault="003774F9" w:rsidP="003774F9">
      <w:pPr>
        <w:numPr>
          <w:ilvl w:val="0"/>
          <w:numId w:val="2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Fairness</w:t>
      </w:r>
    </w:p>
    <w:p w14:paraId="54BF9573" w14:textId="77777777" w:rsidR="003774F9" w:rsidRPr="00154E1F" w:rsidRDefault="003774F9" w:rsidP="003774F9">
      <w:pPr>
        <w:numPr>
          <w:ilvl w:val="0"/>
          <w:numId w:val="2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Mutual respect</w:t>
      </w:r>
    </w:p>
    <w:p w14:paraId="54D55171"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Applying this lens helps Deloitte maintain ethical engagement, reduce conflict, and reinforce positive relationships.</w:t>
      </w:r>
    </w:p>
    <w:p w14:paraId="12D7D512" w14:textId="77777777" w:rsidR="003774F9" w:rsidRDefault="003774F9"/>
    <w:p w14:paraId="4CFB28B3" w14:textId="77777777" w:rsidR="003774F9" w:rsidRPr="00154E1F" w:rsidRDefault="003774F9" w:rsidP="003774F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7. Stakeholder Engagement Process and Conflict Management (4C’s Model) </w:t>
      </w:r>
    </w:p>
    <w:p w14:paraId="34AE70EC" w14:textId="77777777" w:rsidR="003774F9" w:rsidRPr="003774F9" w:rsidRDefault="003774F9" w:rsidP="003774F9">
      <w:pPr>
        <w:spacing w:after="0" w:line="240" w:lineRule="auto"/>
        <w:rPr>
          <w:rFonts w:ascii="Times New Roman" w:eastAsia="Times New Roman" w:hAnsi="Times New Roman" w:cs="Times New Roman"/>
          <w:kern w:val="0"/>
          <w:lang w:eastAsia="en-GB"/>
          <w14:ligatures w14:val="none"/>
        </w:rPr>
      </w:pPr>
      <w:r w:rsidRPr="003774F9">
        <w:rPr>
          <w:rFonts w:ascii="Times New Roman" w:eastAsia="Times New Roman" w:hAnsi="Times New Roman" w:cs="Times New Roman"/>
          <w:kern w:val="0"/>
          <w:lang w:eastAsia="en-GB"/>
          <w14:ligatures w14:val="none"/>
        </w:rPr>
        <w:t>Stakeholder engagement is a fluid, iterative process that must be meticulously managed to ensure project success. Deloitte's office expansion involves several parties with different priorities, expectations, and motivations. As a result, a structured approach is required to coordinate their efforts and prevent disputes. The 4C's Model (Communication, Collaboration, Consultation, and Commitment) offers a strategy framework for managing engagement in complex organisational undertakings.</w:t>
      </w:r>
    </w:p>
    <w:p w14:paraId="6DAF92E5" w14:textId="77777777" w:rsidR="003774F9" w:rsidRDefault="003774F9"/>
    <w:p w14:paraId="04CDF22D"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7.1 Communication</w:t>
      </w:r>
    </w:p>
    <w:p w14:paraId="5F94FB19" w14:textId="77777777" w:rsidR="003774F9" w:rsidRPr="003774F9" w:rsidRDefault="003774F9" w:rsidP="003774F9">
      <w:pPr>
        <w:spacing w:after="0" w:line="240" w:lineRule="auto"/>
        <w:rPr>
          <w:rFonts w:ascii="Times New Roman" w:eastAsia="Times New Roman" w:hAnsi="Times New Roman" w:cs="Times New Roman"/>
          <w:kern w:val="0"/>
          <w:lang w:eastAsia="en-GB"/>
          <w14:ligatures w14:val="none"/>
        </w:rPr>
      </w:pPr>
      <w:r w:rsidRPr="003774F9">
        <w:rPr>
          <w:rFonts w:ascii="Times New Roman" w:eastAsia="Times New Roman" w:hAnsi="Times New Roman" w:cs="Times New Roman"/>
          <w:kern w:val="0"/>
          <w:lang w:eastAsia="en-GB"/>
          <w14:ligatures w14:val="none"/>
        </w:rPr>
        <w:t>Communication is the cornerstone of effective stakeholder involvement. Poor communication causes confusion, frustration, and reluctance to change. To keep stakeholders informed and involved, the Project Manager must put in place clear, consistent, and timely communication tactics.</w:t>
      </w:r>
    </w:p>
    <w:p w14:paraId="21D01DB5"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Key communication activities include:</w:t>
      </w:r>
    </w:p>
    <w:p w14:paraId="48107F72" w14:textId="77777777" w:rsidR="003774F9" w:rsidRPr="00154E1F" w:rsidRDefault="003774F9" w:rsidP="003774F9">
      <w:pPr>
        <w:numPr>
          <w:ilvl w:val="0"/>
          <w:numId w:val="2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Weekly email updates</w:t>
      </w:r>
      <w:r w:rsidRPr="00154E1F">
        <w:rPr>
          <w:rFonts w:ascii="Times New Roman" w:eastAsia="Times New Roman" w:hAnsi="Times New Roman" w:cs="Times New Roman"/>
          <w:kern w:val="0"/>
          <w:lang w:eastAsia="en-GB"/>
          <w14:ligatures w14:val="none"/>
        </w:rPr>
        <w:t xml:space="preserve"> summarising project progress, timelines, and changes</w:t>
      </w:r>
    </w:p>
    <w:p w14:paraId="3BF61853" w14:textId="77777777" w:rsidR="003774F9" w:rsidRPr="00154E1F" w:rsidRDefault="003774F9" w:rsidP="003774F9">
      <w:pPr>
        <w:numPr>
          <w:ilvl w:val="0"/>
          <w:numId w:val="2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Project dashboards</w:t>
      </w:r>
      <w:r w:rsidRPr="00154E1F">
        <w:rPr>
          <w:rFonts w:ascii="Times New Roman" w:eastAsia="Times New Roman" w:hAnsi="Times New Roman" w:cs="Times New Roman"/>
          <w:kern w:val="0"/>
          <w:lang w:eastAsia="en-GB"/>
          <w14:ligatures w14:val="none"/>
        </w:rPr>
        <w:t xml:space="preserve"> (SharePoint or Teams) showing real-time progress</w:t>
      </w:r>
    </w:p>
    <w:p w14:paraId="6B0FEECF" w14:textId="77777777" w:rsidR="003774F9" w:rsidRPr="00154E1F" w:rsidRDefault="003774F9" w:rsidP="003774F9">
      <w:pPr>
        <w:numPr>
          <w:ilvl w:val="0"/>
          <w:numId w:val="2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Visual project timelines</w:t>
      </w:r>
      <w:r w:rsidRPr="00154E1F">
        <w:rPr>
          <w:rFonts w:ascii="Times New Roman" w:eastAsia="Times New Roman" w:hAnsi="Times New Roman" w:cs="Times New Roman"/>
          <w:kern w:val="0"/>
          <w:lang w:eastAsia="en-GB"/>
          <w14:ligatures w14:val="none"/>
        </w:rPr>
        <w:t xml:space="preserve"> displayed across the office</w:t>
      </w:r>
    </w:p>
    <w:p w14:paraId="5D49600D" w14:textId="77777777" w:rsidR="003774F9" w:rsidRPr="00154E1F" w:rsidRDefault="003774F9" w:rsidP="003774F9">
      <w:pPr>
        <w:numPr>
          <w:ilvl w:val="0"/>
          <w:numId w:val="2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Employee Q&amp;A sessions</w:t>
      </w:r>
      <w:r w:rsidRPr="00154E1F">
        <w:rPr>
          <w:rFonts w:ascii="Times New Roman" w:eastAsia="Times New Roman" w:hAnsi="Times New Roman" w:cs="Times New Roman"/>
          <w:kern w:val="0"/>
          <w:lang w:eastAsia="en-GB"/>
          <w14:ligatures w14:val="none"/>
        </w:rPr>
        <w:t xml:space="preserve"> to address concerns</w:t>
      </w:r>
    </w:p>
    <w:p w14:paraId="62F6BF71" w14:textId="77777777" w:rsidR="003774F9" w:rsidRPr="00154E1F" w:rsidRDefault="003774F9" w:rsidP="003774F9">
      <w:pPr>
        <w:numPr>
          <w:ilvl w:val="0"/>
          <w:numId w:val="2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Leadership briefings</w:t>
      </w:r>
      <w:r w:rsidRPr="00154E1F">
        <w:rPr>
          <w:rFonts w:ascii="Times New Roman" w:eastAsia="Times New Roman" w:hAnsi="Times New Roman" w:cs="Times New Roman"/>
          <w:kern w:val="0"/>
          <w:lang w:eastAsia="en-GB"/>
          <w14:ligatures w14:val="none"/>
        </w:rPr>
        <w:t xml:space="preserve"> to maintain senior-level awareness</w:t>
      </w:r>
    </w:p>
    <w:p w14:paraId="240B4080" w14:textId="77777777" w:rsidR="003774F9" w:rsidRPr="003774F9" w:rsidRDefault="003774F9" w:rsidP="003774F9">
      <w:pPr>
        <w:spacing w:after="0" w:line="240" w:lineRule="auto"/>
        <w:rPr>
          <w:rFonts w:ascii="Times New Roman" w:eastAsia="Times New Roman" w:hAnsi="Times New Roman" w:cs="Times New Roman"/>
          <w:kern w:val="0"/>
          <w:lang w:eastAsia="en-GB"/>
          <w14:ligatures w14:val="none"/>
        </w:rPr>
      </w:pPr>
      <w:r w:rsidRPr="003774F9">
        <w:rPr>
          <w:rFonts w:ascii="Times New Roman" w:eastAsia="Times New Roman" w:hAnsi="Times New Roman" w:cs="Times New Roman"/>
          <w:kern w:val="0"/>
          <w:lang w:eastAsia="en-GB"/>
          <w14:ligatures w14:val="none"/>
        </w:rPr>
        <w:t>Effective communication helps to avoid disinformation, match stakeholder expectations, and create trust. According to PMI (2021), poor communication is a leading cause of project failure. Deloitte may prevent these risks by keeping communication transparent, accessible, and targeted to each stakeholder group.</w:t>
      </w:r>
    </w:p>
    <w:p w14:paraId="46462F76"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lastRenderedPageBreak/>
        <w:t>7.2 Collaboration</w:t>
      </w:r>
    </w:p>
    <w:p w14:paraId="1141B9A5" w14:textId="77777777" w:rsidR="003774F9" w:rsidRPr="003774F9" w:rsidRDefault="003774F9" w:rsidP="003774F9">
      <w:pPr>
        <w:spacing w:after="0" w:line="240" w:lineRule="auto"/>
        <w:rPr>
          <w:rFonts w:ascii="Times New Roman" w:eastAsia="Times New Roman" w:hAnsi="Times New Roman" w:cs="Times New Roman"/>
          <w:kern w:val="0"/>
          <w:lang w:eastAsia="en-GB"/>
          <w14:ligatures w14:val="none"/>
        </w:rPr>
      </w:pPr>
      <w:r w:rsidRPr="003774F9">
        <w:rPr>
          <w:rFonts w:ascii="Times New Roman" w:eastAsia="Times New Roman" w:hAnsi="Times New Roman" w:cs="Times New Roman"/>
          <w:kern w:val="0"/>
          <w:lang w:eastAsia="en-GB"/>
          <w14:ligatures w14:val="none"/>
        </w:rPr>
        <w:t>Collaboration extends beyond communication to ensure that stakeholders actively participate to the project. It encourages shared ownership and decreases the likelihood of conflict by incorporating diverse opinions early on.</w:t>
      </w:r>
    </w:p>
    <w:p w14:paraId="4E8D7D0C" w14:textId="77777777" w:rsidR="003774F9" w:rsidRPr="00154E1F" w:rsidRDefault="003774F9" w:rsidP="003774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Collaborative strategies include:</w:t>
      </w:r>
    </w:p>
    <w:p w14:paraId="2503211C" w14:textId="77777777" w:rsidR="003774F9" w:rsidRPr="00154E1F" w:rsidRDefault="003774F9" w:rsidP="003774F9">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Cross-departmental planning groups</w:t>
      </w:r>
      <w:r w:rsidRPr="00154E1F">
        <w:rPr>
          <w:rFonts w:ascii="Times New Roman" w:eastAsia="Times New Roman" w:hAnsi="Times New Roman" w:cs="Times New Roman"/>
          <w:kern w:val="0"/>
          <w:lang w:eastAsia="en-GB"/>
          <w14:ligatures w14:val="none"/>
        </w:rPr>
        <w:t xml:space="preserve"> involving HR, FM, IT, Finance, and leadership</w:t>
      </w:r>
    </w:p>
    <w:p w14:paraId="0419EA4B" w14:textId="77777777" w:rsidR="003774F9" w:rsidRPr="00154E1F" w:rsidRDefault="003774F9" w:rsidP="003774F9">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Co-design workshops</w:t>
      </w:r>
      <w:r w:rsidRPr="00154E1F">
        <w:rPr>
          <w:rFonts w:ascii="Times New Roman" w:eastAsia="Times New Roman" w:hAnsi="Times New Roman" w:cs="Times New Roman"/>
          <w:kern w:val="0"/>
          <w:lang w:eastAsia="en-GB"/>
          <w14:ligatures w14:val="none"/>
        </w:rPr>
        <w:t xml:space="preserve"> where employees help shape workspace layouts</w:t>
      </w:r>
    </w:p>
    <w:p w14:paraId="713DFEC8" w14:textId="77777777" w:rsidR="003774F9" w:rsidRPr="00154E1F" w:rsidRDefault="003774F9" w:rsidP="003774F9">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Joint risk-assessment sessions</w:t>
      </w:r>
      <w:r w:rsidRPr="00154E1F">
        <w:rPr>
          <w:rFonts w:ascii="Times New Roman" w:eastAsia="Times New Roman" w:hAnsi="Times New Roman" w:cs="Times New Roman"/>
          <w:kern w:val="0"/>
          <w:lang w:eastAsia="en-GB"/>
          <w14:ligatures w14:val="none"/>
        </w:rPr>
        <w:t xml:space="preserve"> with contractors and safety officers</w:t>
      </w:r>
    </w:p>
    <w:p w14:paraId="7264400E" w14:textId="77777777" w:rsidR="003774F9" w:rsidRPr="00154E1F" w:rsidRDefault="003774F9" w:rsidP="003774F9">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Steering committees</w:t>
      </w:r>
      <w:r w:rsidRPr="00154E1F">
        <w:rPr>
          <w:rFonts w:ascii="Times New Roman" w:eastAsia="Times New Roman" w:hAnsi="Times New Roman" w:cs="Times New Roman"/>
          <w:kern w:val="0"/>
          <w:lang w:eastAsia="en-GB"/>
          <w14:ligatures w14:val="none"/>
        </w:rPr>
        <w:t xml:space="preserve"> chaired by senior partners</w:t>
      </w:r>
    </w:p>
    <w:p w14:paraId="261B178E" w14:textId="77777777" w:rsidR="003774F9" w:rsidRPr="003774F9" w:rsidRDefault="003774F9" w:rsidP="003774F9">
      <w:pPr>
        <w:spacing w:after="0" w:line="240" w:lineRule="auto"/>
        <w:rPr>
          <w:rFonts w:ascii="Times New Roman" w:eastAsia="Times New Roman" w:hAnsi="Times New Roman" w:cs="Times New Roman"/>
          <w:kern w:val="0"/>
          <w:lang w:eastAsia="en-GB"/>
          <w14:ligatures w14:val="none"/>
        </w:rPr>
      </w:pPr>
      <w:r w:rsidRPr="003774F9">
        <w:rPr>
          <w:rFonts w:ascii="Times New Roman" w:eastAsia="Times New Roman" w:hAnsi="Times New Roman" w:cs="Times New Roman"/>
          <w:kern w:val="0"/>
          <w:lang w:eastAsia="en-GB"/>
          <w14:ligatures w14:val="none"/>
        </w:rPr>
        <w:t>Collaboration promotes innovation, boosts stakeholder buy-in, and improves problem-solving skills. Deloitte's collaborative culture complements this strategy, allowing for more inclusive decision-making.</w:t>
      </w:r>
    </w:p>
    <w:p w14:paraId="0E40F07F" w14:textId="77777777" w:rsidR="003774F9" w:rsidRPr="00154E1F" w:rsidRDefault="003774F9" w:rsidP="003774F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7.3 Consultation</w:t>
      </w:r>
    </w:p>
    <w:p w14:paraId="643FCBC3" w14:textId="77777777" w:rsidR="00E71982" w:rsidRPr="00E71982" w:rsidRDefault="00E71982" w:rsidP="00E71982">
      <w:pPr>
        <w:spacing w:after="0" w:line="240" w:lineRule="auto"/>
        <w:rPr>
          <w:rFonts w:ascii="Times New Roman" w:eastAsia="Times New Roman" w:hAnsi="Times New Roman" w:cs="Times New Roman"/>
          <w:kern w:val="0"/>
          <w:lang w:eastAsia="en-GB"/>
          <w14:ligatures w14:val="none"/>
        </w:rPr>
      </w:pPr>
      <w:r w:rsidRPr="00E71982">
        <w:rPr>
          <w:rFonts w:ascii="Times New Roman" w:eastAsia="Times New Roman" w:hAnsi="Times New Roman" w:cs="Times New Roman"/>
          <w:kern w:val="0"/>
          <w:lang w:eastAsia="en-GB"/>
          <w14:ligatures w14:val="none"/>
        </w:rPr>
        <w:t xml:space="preserve">Consultation ensures that stakeholders' concerns, desires, and expectations are heard and </w:t>
      </w:r>
      <w:proofErr w:type="gramStart"/>
      <w:r w:rsidRPr="00E71982">
        <w:rPr>
          <w:rFonts w:ascii="Times New Roman" w:eastAsia="Times New Roman" w:hAnsi="Times New Roman" w:cs="Times New Roman"/>
          <w:kern w:val="0"/>
          <w:lang w:eastAsia="en-GB"/>
          <w14:ligatures w14:val="none"/>
        </w:rPr>
        <w:t>taken into account</w:t>
      </w:r>
      <w:proofErr w:type="gramEnd"/>
      <w:r w:rsidRPr="00E71982">
        <w:rPr>
          <w:rFonts w:ascii="Times New Roman" w:eastAsia="Times New Roman" w:hAnsi="Times New Roman" w:cs="Times New Roman"/>
          <w:kern w:val="0"/>
          <w:lang w:eastAsia="en-GB"/>
          <w14:ligatures w14:val="none"/>
        </w:rPr>
        <w:t xml:space="preserve"> in decisions. It is especially crucial for groups with little power but a huge impact.</w:t>
      </w:r>
    </w:p>
    <w:p w14:paraId="6AE95D6C"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Consultation methods include:</w:t>
      </w:r>
    </w:p>
    <w:p w14:paraId="15B1F238" w14:textId="77777777" w:rsidR="00E71982" w:rsidRPr="00154E1F" w:rsidRDefault="00E71982" w:rsidP="00E71982">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Surveys and polls</w:t>
      </w:r>
      <w:r w:rsidRPr="00154E1F">
        <w:rPr>
          <w:rFonts w:ascii="Times New Roman" w:eastAsia="Times New Roman" w:hAnsi="Times New Roman" w:cs="Times New Roman"/>
          <w:kern w:val="0"/>
          <w:lang w:eastAsia="en-GB"/>
          <w14:ligatures w14:val="none"/>
        </w:rPr>
        <w:t xml:space="preserve"> to gather opinions on workspace design</w:t>
      </w:r>
    </w:p>
    <w:p w14:paraId="66A61D17" w14:textId="77777777" w:rsidR="00E71982" w:rsidRPr="00154E1F" w:rsidRDefault="00E71982" w:rsidP="00E71982">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Small group focus sessions</w:t>
      </w:r>
      <w:r w:rsidRPr="00154E1F">
        <w:rPr>
          <w:rFonts w:ascii="Times New Roman" w:eastAsia="Times New Roman" w:hAnsi="Times New Roman" w:cs="Times New Roman"/>
          <w:kern w:val="0"/>
          <w:lang w:eastAsia="en-GB"/>
          <w14:ligatures w14:val="none"/>
        </w:rPr>
        <w:t xml:space="preserve"> to explore concerns in depth</w:t>
      </w:r>
    </w:p>
    <w:p w14:paraId="0DB6F7E4" w14:textId="77777777" w:rsidR="00E71982" w:rsidRPr="00154E1F" w:rsidRDefault="00E71982" w:rsidP="00E71982">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Consultation meetings with Birmingham City Council</w:t>
      </w:r>
      <w:r w:rsidRPr="00154E1F">
        <w:rPr>
          <w:rFonts w:ascii="Times New Roman" w:eastAsia="Times New Roman" w:hAnsi="Times New Roman" w:cs="Times New Roman"/>
          <w:kern w:val="0"/>
          <w:lang w:eastAsia="en-GB"/>
          <w14:ligatures w14:val="none"/>
        </w:rPr>
        <w:t xml:space="preserve"> to maintain regulatory compliance</w:t>
      </w:r>
    </w:p>
    <w:p w14:paraId="3F5094F5" w14:textId="77777777" w:rsidR="00E71982" w:rsidRPr="00154E1F" w:rsidRDefault="00E71982" w:rsidP="00E71982">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Employee representation committees</w:t>
      </w:r>
      <w:r w:rsidRPr="00154E1F">
        <w:rPr>
          <w:rFonts w:ascii="Times New Roman" w:eastAsia="Times New Roman" w:hAnsi="Times New Roman" w:cs="Times New Roman"/>
          <w:kern w:val="0"/>
          <w:lang w:eastAsia="en-GB"/>
          <w14:ligatures w14:val="none"/>
        </w:rPr>
        <w:t xml:space="preserve"> acting as intermediaries</w:t>
      </w:r>
    </w:p>
    <w:p w14:paraId="116F5E83"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Consultation prevents resistance by ensuring stakeholders feel valued. It also reduces the risk of misalignment between project outcomes and employee needs.</w:t>
      </w:r>
    </w:p>
    <w:p w14:paraId="118E7ED1" w14:textId="77777777" w:rsidR="00E71982" w:rsidRPr="00154E1F" w:rsidRDefault="00E71982" w:rsidP="00E719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7.4 Commitment</w:t>
      </w:r>
    </w:p>
    <w:p w14:paraId="2C27AAC7"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Commitment involves motivating stakeholders to support the project throughout its lifecycle. Without commitment, engagement becomes superficial, and resistance may grow.</w:t>
      </w:r>
    </w:p>
    <w:p w14:paraId="08CF7016"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Strategies to strengthen commitment include:</w:t>
      </w:r>
    </w:p>
    <w:p w14:paraId="190BB3AB" w14:textId="77777777" w:rsidR="00E71982" w:rsidRPr="00154E1F" w:rsidRDefault="00E71982" w:rsidP="00E7198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Visible leadership endorsement</w:t>
      </w:r>
      <w:r w:rsidRPr="00154E1F">
        <w:rPr>
          <w:rFonts w:ascii="Times New Roman" w:eastAsia="Times New Roman" w:hAnsi="Times New Roman" w:cs="Times New Roman"/>
          <w:kern w:val="0"/>
          <w:lang w:eastAsia="en-GB"/>
          <w14:ligatures w14:val="none"/>
        </w:rPr>
        <w:t xml:space="preserve"> to signal importance</w:t>
      </w:r>
    </w:p>
    <w:p w14:paraId="70F85905" w14:textId="77777777" w:rsidR="00E71982" w:rsidRPr="00154E1F" w:rsidRDefault="00E71982" w:rsidP="00E7198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Recognising stakeholder contributions</w:t>
      </w:r>
      <w:r w:rsidRPr="00154E1F">
        <w:rPr>
          <w:rFonts w:ascii="Times New Roman" w:eastAsia="Times New Roman" w:hAnsi="Times New Roman" w:cs="Times New Roman"/>
          <w:kern w:val="0"/>
          <w:lang w:eastAsia="en-GB"/>
          <w14:ligatures w14:val="none"/>
        </w:rPr>
        <w:t xml:space="preserve"> (emails, announcements, acknowledgements)</w:t>
      </w:r>
    </w:p>
    <w:p w14:paraId="027C13F9" w14:textId="77777777" w:rsidR="00E71982" w:rsidRPr="00154E1F" w:rsidRDefault="00E71982" w:rsidP="00E7198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Demonstrating quick wins</w:t>
      </w:r>
      <w:r w:rsidRPr="00154E1F">
        <w:rPr>
          <w:rFonts w:ascii="Times New Roman" w:eastAsia="Times New Roman" w:hAnsi="Times New Roman" w:cs="Times New Roman"/>
          <w:kern w:val="0"/>
          <w:lang w:eastAsia="en-GB"/>
          <w14:ligatures w14:val="none"/>
        </w:rPr>
        <w:t xml:space="preserve"> such as improved meeting rooms or updated technology</w:t>
      </w:r>
    </w:p>
    <w:p w14:paraId="6D16F45F" w14:textId="77777777" w:rsidR="00E71982" w:rsidRPr="00154E1F" w:rsidRDefault="00E71982" w:rsidP="00E7198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Addressing concerns transparently</w:t>
      </w:r>
      <w:r w:rsidRPr="00154E1F">
        <w:rPr>
          <w:rFonts w:ascii="Times New Roman" w:eastAsia="Times New Roman" w:hAnsi="Times New Roman" w:cs="Times New Roman"/>
          <w:kern w:val="0"/>
          <w:lang w:eastAsia="en-GB"/>
          <w14:ligatures w14:val="none"/>
        </w:rPr>
        <w:t xml:space="preserve"> rather than dismissing them</w:t>
      </w:r>
    </w:p>
    <w:p w14:paraId="24A9D435"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lastRenderedPageBreak/>
        <w:t>Commitment fosters a culture of cooperation, reduces conflict, and supports sustained engagement across the organisation.</w:t>
      </w:r>
    </w:p>
    <w:p w14:paraId="403CFAB6" w14:textId="77777777" w:rsidR="00E71982" w:rsidRPr="00154E1F" w:rsidRDefault="00E71982" w:rsidP="00E719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7.5 Conflict Management</w:t>
      </w:r>
    </w:p>
    <w:p w14:paraId="7E6AF939"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Conflicts are inevitable in organisational projects because stakeholders have competing interests. Effective conflict management is essential to maintain progress and prevent delays.</w:t>
      </w:r>
    </w:p>
    <w:p w14:paraId="68E7E921" w14:textId="77777777" w:rsidR="00E71982" w:rsidRPr="00154E1F" w:rsidRDefault="00E71982" w:rsidP="00E719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Common sources of conflict include:</w:t>
      </w:r>
    </w:p>
    <w:p w14:paraId="23E786B5" w14:textId="77777777" w:rsidR="00E71982" w:rsidRPr="00154E1F" w:rsidRDefault="00E71982" w:rsidP="00E7198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 xml:space="preserve">Disagreements about </w:t>
      </w:r>
      <w:r w:rsidRPr="00154E1F">
        <w:rPr>
          <w:rFonts w:ascii="Times New Roman" w:eastAsia="Times New Roman" w:hAnsi="Times New Roman" w:cs="Times New Roman"/>
          <w:i/>
          <w:iCs/>
          <w:kern w:val="0"/>
          <w:lang w:eastAsia="en-GB"/>
          <w14:ligatures w14:val="none"/>
        </w:rPr>
        <w:t>workspace allocation</w:t>
      </w:r>
    </w:p>
    <w:p w14:paraId="0427A0EE" w14:textId="77777777" w:rsidR="00E71982" w:rsidRPr="00154E1F" w:rsidRDefault="00E71982" w:rsidP="00E7198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Budget constraints between departments</w:t>
      </w:r>
    </w:p>
    <w:p w14:paraId="7F556F66" w14:textId="77777777" w:rsidR="00E71982" w:rsidRPr="00154E1F" w:rsidRDefault="00E71982" w:rsidP="00E7198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Timeline pressures</w:t>
      </w:r>
    </w:p>
    <w:p w14:paraId="0B9F8AF4" w14:textId="77777777" w:rsidR="00E71982" w:rsidRPr="00154E1F" w:rsidRDefault="00E71982" w:rsidP="00E7198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Miscommunication</w:t>
      </w:r>
    </w:p>
    <w:p w14:paraId="02A25F87" w14:textId="77777777" w:rsidR="00E71982" w:rsidRPr="00154E1F" w:rsidRDefault="00E71982" w:rsidP="00E7198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Noise and disruption during construction</w:t>
      </w:r>
    </w:p>
    <w:p w14:paraId="2A3769F4" w14:textId="77777777" w:rsidR="00E71982" w:rsidRPr="00154E1F" w:rsidRDefault="00E71982" w:rsidP="00E7198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Fear of workplace changes (territorial behaviour)</w:t>
      </w:r>
    </w:p>
    <w:p w14:paraId="2AE87A0E" w14:textId="77777777" w:rsidR="00E71982" w:rsidRPr="00154E1F" w:rsidRDefault="00E71982" w:rsidP="00E719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54E1F">
        <w:rPr>
          <w:rFonts w:ascii="Times New Roman" w:eastAsia="Times New Roman" w:hAnsi="Times New Roman" w:cs="Times New Roman"/>
          <w:b/>
          <w:bCs/>
          <w:kern w:val="0"/>
          <w:sz w:val="27"/>
          <w:szCs w:val="27"/>
          <w:lang w:eastAsia="en-GB"/>
          <w14:ligatures w14:val="none"/>
        </w:rPr>
        <w:t>Conflict resolution strategies include:</w:t>
      </w:r>
    </w:p>
    <w:p w14:paraId="339F2F59" w14:textId="77777777" w:rsidR="00E71982" w:rsidRPr="00154E1F" w:rsidRDefault="00E71982" w:rsidP="00E7198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Active listening:</w:t>
      </w:r>
      <w:r w:rsidRPr="00154E1F">
        <w:rPr>
          <w:rFonts w:ascii="Times New Roman" w:eastAsia="Times New Roman" w:hAnsi="Times New Roman" w:cs="Times New Roman"/>
          <w:kern w:val="0"/>
          <w:lang w:eastAsia="en-GB"/>
          <w14:ligatures w14:val="none"/>
        </w:rPr>
        <w:t xml:space="preserve"> Understanding concerns without judgement</w:t>
      </w:r>
    </w:p>
    <w:p w14:paraId="7CE82F03" w14:textId="77777777" w:rsidR="00E71982" w:rsidRPr="00154E1F" w:rsidRDefault="00E71982" w:rsidP="00E7198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Mediation meetings:</w:t>
      </w:r>
      <w:r w:rsidRPr="00154E1F">
        <w:rPr>
          <w:rFonts w:ascii="Times New Roman" w:eastAsia="Times New Roman" w:hAnsi="Times New Roman" w:cs="Times New Roman"/>
          <w:kern w:val="0"/>
          <w:lang w:eastAsia="en-GB"/>
          <w14:ligatures w14:val="none"/>
        </w:rPr>
        <w:t xml:space="preserve"> Facilitated discussions to resolve clashes</w:t>
      </w:r>
    </w:p>
    <w:p w14:paraId="72608371" w14:textId="77777777" w:rsidR="00E71982" w:rsidRPr="00154E1F" w:rsidRDefault="00E71982" w:rsidP="00E7198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Clear escalation paths:</w:t>
      </w:r>
      <w:r w:rsidRPr="00154E1F">
        <w:rPr>
          <w:rFonts w:ascii="Times New Roman" w:eastAsia="Times New Roman" w:hAnsi="Times New Roman" w:cs="Times New Roman"/>
          <w:kern w:val="0"/>
          <w:lang w:eastAsia="en-GB"/>
          <w14:ligatures w14:val="none"/>
        </w:rPr>
        <w:t xml:space="preserve"> Ensuring unresolved conflicts move to senior leadership</w:t>
      </w:r>
    </w:p>
    <w:p w14:paraId="7B9F81E7" w14:textId="77777777" w:rsidR="00E71982" w:rsidRPr="00154E1F" w:rsidRDefault="00E71982" w:rsidP="00E7198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Negotiation:</w:t>
      </w:r>
      <w:r w:rsidRPr="00154E1F">
        <w:rPr>
          <w:rFonts w:ascii="Times New Roman" w:eastAsia="Times New Roman" w:hAnsi="Times New Roman" w:cs="Times New Roman"/>
          <w:kern w:val="0"/>
          <w:lang w:eastAsia="en-GB"/>
          <w14:ligatures w14:val="none"/>
        </w:rPr>
        <w:t xml:space="preserve"> Finding compromises that satisfy multiple stakeholders</w:t>
      </w:r>
    </w:p>
    <w:p w14:paraId="314784DD" w14:textId="77777777" w:rsidR="00E71982" w:rsidRPr="00154E1F" w:rsidRDefault="00E71982" w:rsidP="00E7198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b/>
          <w:bCs/>
          <w:kern w:val="0"/>
          <w:lang w:eastAsia="en-GB"/>
          <w14:ligatures w14:val="none"/>
        </w:rPr>
        <w:t>Documenting agreements:</w:t>
      </w:r>
      <w:r w:rsidRPr="00154E1F">
        <w:rPr>
          <w:rFonts w:ascii="Times New Roman" w:eastAsia="Times New Roman" w:hAnsi="Times New Roman" w:cs="Times New Roman"/>
          <w:kern w:val="0"/>
          <w:lang w:eastAsia="en-GB"/>
          <w14:ligatures w14:val="none"/>
        </w:rPr>
        <w:t xml:space="preserve"> Reducing ambiguity and future conflict</w:t>
      </w:r>
    </w:p>
    <w:p w14:paraId="4AFCE23A" w14:textId="77777777" w:rsidR="00E71982" w:rsidRPr="00E71982" w:rsidRDefault="00E71982" w:rsidP="00E71982">
      <w:pPr>
        <w:spacing w:after="0" w:line="240" w:lineRule="auto"/>
        <w:rPr>
          <w:rFonts w:ascii="Times New Roman" w:eastAsia="Times New Roman" w:hAnsi="Times New Roman" w:cs="Times New Roman"/>
          <w:kern w:val="0"/>
          <w:lang w:eastAsia="en-GB"/>
          <w14:ligatures w14:val="none"/>
        </w:rPr>
      </w:pPr>
      <w:r w:rsidRPr="00E71982">
        <w:rPr>
          <w:rFonts w:ascii="Times New Roman" w:eastAsia="Times New Roman" w:hAnsi="Times New Roman" w:cs="Times New Roman"/>
          <w:kern w:val="0"/>
          <w:lang w:eastAsia="en-GB"/>
          <w14:ligatures w14:val="none"/>
        </w:rPr>
        <w:t>Deloitte can reduce disruption, enhance connections, and ensure smoother project execution by incorporating the four Cs into stakeholder engagement strategies.</w:t>
      </w:r>
    </w:p>
    <w:p w14:paraId="0A113754" w14:textId="77777777" w:rsidR="00E71982" w:rsidRDefault="00E71982"/>
    <w:p w14:paraId="6DCBB09F" w14:textId="77777777" w:rsidR="00E71982" w:rsidRPr="00154E1F" w:rsidRDefault="00E71982" w:rsidP="00E7198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8. Impact of Stakeholder Engagement on Business Performance </w:t>
      </w:r>
    </w:p>
    <w:p w14:paraId="07E8A5F0" w14:textId="77777777" w:rsidR="00E71982" w:rsidRPr="00E71982" w:rsidRDefault="00E71982" w:rsidP="00E71982">
      <w:pPr>
        <w:spacing w:after="0" w:line="240" w:lineRule="auto"/>
        <w:rPr>
          <w:rFonts w:ascii="Times New Roman" w:eastAsia="Times New Roman" w:hAnsi="Times New Roman" w:cs="Times New Roman"/>
          <w:kern w:val="0"/>
          <w:lang w:eastAsia="en-GB"/>
          <w14:ligatures w14:val="none"/>
        </w:rPr>
      </w:pPr>
      <w:r w:rsidRPr="00E71982">
        <w:rPr>
          <w:rFonts w:ascii="Times New Roman" w:eastAsia="Times New Roman" w:hAnsi="Times New Roman" w:cs="Times New Roman"/>
          <w:kern w:val="0"/>
          <w:lang w:eastAsia="en-GB"/>
          <w14:ligatures w14:val="none"/>
        </w:rPr>
        <w:t>Stakeholder engagement has a transformative effect on organisational performance, particularly during large-scale workplace projects. Deloitte views the Birmingham office extension as a deliberate intervention that influences culture, productivity, and long-term competitiveness. The impact of stakeholder engagement can be evaluated across several dimensions:</w:t>
      </w:r>
    </w:p>
    <w:p w14:paraId="4DAE404D" w14:textId="77777777" w:rsidR="00E71982" w:rsidRPr="00154E1F" w:rsidRDefault="00E71982" w:rsidP="00E719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8.1 Improved Project Delivery and Efficiency</w:t>
      </w:r>
    </w:p>
    <w:p w14:paraId="42CBE816" w14:textId="77777777" w:rsidR="00E71982" w:rsidRPr="00E71982" w:rsidRDefault="00E71982" w:rsidP="00E71982">
      <w:pPr>
        <w:spacing w:after="0" w:line="240" w:lineRule="auto"/>
        <w:rPr>
          <w:rFonts w:ascii="Times New Roman" w:eastAsia="Times New Roman" w:hAnsi="Times New Roman" w:cs="Times New Roman"/>
          <w:kern w:val="0"/>
          <w:lang w:eastAsia="en-GB"/>
          <w14:ligatures w14:val="none"/>
        </w:rPr>
      </w:pPr>
      <w:r w:rsidRPr="00E71982">
        <w:rPr>
          <w:rFonts w:ascii="Times New Roman" w:eastAsia="Times New Roman" w:hAnsi="Times New Roman" w:cs="Times New Roman"/>
          <w:kern w:val="0"/>
          <w:lang w:eastAsia="en-GB"/>
          <w14:ligatures w14:val="none"/>
        </w:rPr>
        <w:t>Projects with strong stakeholder participation are more likely to stay on schedule and under budget. Engaged stakeholders provide early input, foresee hazards, and assist in refining systems before costly errors occur. Deloitte gains from the following:</w:t>
      </w:r>
    </w:p>
    <w:p w14:paraId="0D297F28" w14:textId="77777777" w:rsidR="00E71982" w:rsidRPr="00154E1F" w:rsidRDefault="00E71982" w:rsidP="00E7198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Reduced likelihood of delays</w:t>
      </w:r>
    </w:p>
    <w:p w14:paraId="0BFFD084" w14:textId="77777777" w:rsidR="00E71982" w:rsidRPr="00154E1F" w:rsidRDefault="00E71982" w:rsidP="00E7198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Better coordination between departments</w:t>
      </w:r>
    </w:p>
    <w:p w14:paraId="6FEF0728" w14:textId="77777777" w:rsidR="00E71982" w:rsidRPr="00154E1F" w:rsidRDefault="00E71982" w:rsidP="00E7198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lastRenderedPageBreak/>
        <w:t>Increased accountability for project tasks</w:t>
      </w:r>
    </w:p>
    <w:p w14:paraId="3FF27401" w14:textId="77777777" w:rsidR="00E71982" w:rsidRPr="00154E1F" w:rsidRDefault="00E71982" w:rsidP="00E7198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More efficient communication loops</w:t>
      </w:r>
    </w:p>
    <w:p w14:paraId="5359288C"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Transparent stakeholder engagement directly contributes to operational efficiency.</w:t>
      </w:r>
    </w:p>
    <w:p w14:paraId="6110356F" w14:textId="77777777" w:rsidR="00E71982" w:rsidRPr="00154E1F" w:rsidRDefault="00E71982" w:rsidP="00E719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8.2 Enhanced Employee Satisfaction and Wellbeing</w:t>
      </w:r>
    </w:p>
    <w:p w14:paraId="10866D95" w14:textId="77777777" w:rsidR="00E71982" w:rsidRPr="00E71982" w:rsidRDefault="00E71982" w:rsidP="00E71982">
      <w:pPr>
        <w:spacing w:after="0" w:line="240" w:lineRule="auto"/>
        <w:rPr>
          <w:rFonts w:ascii="Times New Roman" w:eastAsia="Times New Roman" w:hAnsi="Times New Roman" w:cs="Times New Roman"/>
          <w:kern w:val="0"/>
          <w:lang w:eastAsia="en-GB"/>
          <w14:ligatures w14:val="none"/>
        </w:rPr>
      </w:pPr>
      <w:r w:rsidRPr="00E71982">
        <w:rPr>
          <w:rFonts w:ascii="Times New Roman" w:eastAsia="Times New Roman" w:hAnsi="Times New Roman" w:cs="Times New Roman"/>
          <w:kern w:val="0"/>
          <w:lang w:eastAsia="en-GB"/>
          <w14:ligatures w14:val="none"/>
        </w:rPr>
        <w:t>When employees are contacted and informed about organisational changes, they are more inclined to support them. According to research, employee involvement in workplace design leads to:</w:t>
      </w:r>
    </w:p>
    <w:p w14:paraId="56366769" w14:textId="77777777" w:rsidR="00E71982" w:rsidRPr="00154E1F" w:rsidRDefault="00E71982" w:rsidP="00E7198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Higher levels of job satisfaction</w:t>
      </w:r>
    </w:p>
    <w:p w14:paraId="002A0841" w14:textId="77777777" w:rsidR="00E71982" w:rsidRPr="00154E1F" w:rsidRDefault="00E71982" w:rsidP="00E7198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Reduced resistance to change</w:t>
      </w:r>
    </w:p>
    <w:p w14:paraId="678B68AC" w14:textId="77777777" w:rsidR="00E71982" w:rsidRPr="00154E1F" w:rsidRDefault="00E71982" w:rsidP="00E7198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Improved morale and motivation</w:t>
      </w:r>
    </w:p>
    <w:p w14:paraId="6A3B7E20" w14:textId="77777777" w:rsidR="00E71982" w:rsidRPr="00154E1F" w:rsidRDefault="00E71982" w:rsidP="00E7198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Enhanced sense of belonging</w:t>
      </w:r>
    </w:p>
    <w:p w14:paraId="07629295"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By involving employees in workshops, feedback sessions, and pilot testing, Deloitte ensures the new workspace aligns with staff needs and expectations.</w:t>
      </w:r>
    </w:p>
    <w:p w14:paraId="5D6E0FC4" w14:textId="77777777" w:rsidR="00E71982" w:rsidRPr="00154E1F" w:rsidRDefault="00E71982" w:rsidP="00E719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8.3 Strengthened Client Experience and Business Development</w:t>
      </w:r>
    </w:p>
    <w:p w14:paraId="2D62B971" w14:textId="77777777" w:rsidR="00E71982" w:rsidRPr="00E71982" w:rsidRDefault="00E71982" w:rsidP="00E71982">
      <w:pPr>
        <w:spacing w:after="0" w:line="240" w:lineRule="auto"/>
        <w:rPr>
          <w:rFonts w:ascii="Times New Roman" w:eastAsia="Times New Roman" w:hAnsi="Times New Roman" w:cs="Times New Roman"/>
          <w:kern w:val="0"/>
          <w:lang w:eastAsia="en-GB"/>
          <w14:ligatures w14:val="none"/>
        </w:rPr>
      </w:pPr>
      <w:r w:rsidRPr="00E71982">
        <w:rPr>
          <w:rFonts w:ascii="Times New Roman" w:eastAsia="Times New Roman" w:hAnsi="Times New Roman" w:cs="Times New Roman"/>
          <w:kern w:val="0"/>
          <w:lang w:eastAsia="en-GB"/>
          <w14:ligatures w14:val="none"/>
        </w:rPr>
        <w:t>Clients benefit from better meeting experiences, digital capabilities, and project engagement venues. When clients observe Deloitte's dedication to innovation and workplace quality, it improves:</w:t>
      </w:r>
    </w:p>
    <w:p w14:paraId="10362A8C" w14:textId="77777777" w:rsidR="00E71982" w:rsidRPr="00154E1F" w:rsidRDefault="00E71982" w:rsidP="00E71982">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Client confidence</w:t>
      </w:r>
    </w:p>
    <w:p w14:paraId="090B0086" w14:textId="77777777" w:rsidR="00E71982" w:rsidRPr="00154E1F" w:rsidRDefault="00E71982" w:rsidP="00E71982">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Perceived professionalism</w:t>
      </w:r>
    </w:p>
    <w:p w14:paraId="061FC8FC" w14:textId="77777777" w:rsidR="00E71982" w:rsidRPr="00154E1F" w:rsidRDefault="00E71982" w:rsidP="00E71982">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Opportunities for new business</w:t>
      </w:r>
    </w:p>
    <w:p w14:paraId="0C6E16C9" w14:textId="77777777" w:rsidR="00E71982" w:rsidRPr="00154E1F" w:rsidRDefault="00E71982" w:rsidP="00E71982">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Stronger long-term client relationships</w:t>
      </w:r>
    </w:p>
    <w:p w14:paraId="766CC913" w14:textId="77777777" w:rsidR="00E71982" w:rsidRPr="00154E1F" w:rsidRDefault="00E71982" w:rsidP="00E719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An upgraded office environment communicates a strong brand message.</w:t>
      </w:r>
    </w:p>
    <w:p w14:paraId="2E66EB78" w14:textId="77777777" w:rsidR="00E71982" w:rsidRPr="00154E1F" w:rsidRDefault="00E71982" w:rsidP="00E719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8.4 Greater Organisational Resilience</w:t>
      </w:r>
    </w:p>
    <w:p w14:paraId="41B061E8"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kern w:val="0"/>
          <w:lang w:eastAsia="en-GB"/>
          <w14:ligatures w14:val="none"/>
        </w:rPr>
        <w:t>Strong stakeholder involvement fosters long-term trust. This resilience helps Deloitte during periods of organisational upheaval, helping it to adjust faster and more successfully.</w:t>
      </w:r>
    </w:p>
    <w:p w14:paraId="3F50492C" w14:textId="77777777" w:rsidR="00C46489" w:rsidRPr="00154E1F" w:rsidRDefault="00C46489" w:rsidP="00C46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Benefits include:</w:t>
      </w:r>
    </w:p>
    <w:p w14:paraId="0613F182" w14:textId="77777777" w:rsidR="00C46489" w:rsidRPr="00154E1F" w:rsidRDefault="00C46489" w:rsidP="00C46489">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Stronger cross-departmental relationships</w:t>
      </w:r>
    </w:p>
    <w:p w14:paraId="4624B782" w14:textId="77777777" w:rsidR="00C46489" w:rsidRPr="00154E1F" w:rsidRDefault="00C46489" w:rsidP="00C46489">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Faster decision-making</w:t>
      </w:r>
    </w:p>
    <w:p w14:paraId="09A0C14F" w14:textId="77777777" w:rsidR="00C46489" w:rsidRPr="00154E1F" w:rsidRDefault="00C46489" w:rsidP="00C46489">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Greater organisational stability</w:t>
      </w:r>
    </w:p>
    <w:p w14:paraId="7724A752" w14:textId="77777777" w:rsidR="00C46489" w:rsidRPr="00154E1F" w:rsidRDefault="00C46489" w:rsidP="00C46489">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Enhanced problem-solving culture</w:t>
      </w:r>
    </w:p>
    <w:p w14:paraId="559AD774" w14:textId="77777777" w:rsidR="00C46489" w:rsidRDefault="00C46489"/>
    <w:p w14:paraId="27E1AB46" w14:textId="6F60EA67" w:rsidR="00C46489" w:rsidRPr="00154E1F" w:rsidRDefault="00C46489" w:rsidP="00C46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lastRenderedPageBreak/>
        <w:t>8.5 Improved Risk Management</w:t>
      </w:r>
    </w:p>
    <w:p w14:paraId="23E66AC5" w14:textId="77777777" w:rsidR="00C46489" w:rsidRPr="00154E1F" w:rsidRDefault="00C46489" w:rsidP="00C46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Stakeholders play an essential role in identifying and mitigating risks:</w:t>
      </w:r>
    </w:p>
    <w:p w14:paraId="599AD112" w14:textId="77777777" w:rsidR="00C46489" w:rsidRPr="00154E1F" w:rsidRDefault="00C46489" w:rsidP="00C46489">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Health &amp; Safety teams reduce regulatory risks</w:t>
      </w:r>
    </w:p>
    <w:p w14:paraId="235380A6" w14:textId="77777777" w:rsidR="00C46489" w:rsidRPr="00154E1F" w:rsidRDefault="00C46489" w:rsidP="00C46489">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Finance identifies cost overruns early</w:t>
      </w:r>
    </w:p>
    <w:p w14:paraId="557B235D" w14:textId="77777777" w:rsidR="00C46489" w:rsidRPr="00154E1F" w:rsidRDefault="00C46489" w:rsidP="00C46489">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Contractors forecast material shortages</w:t>
      </w:r>
    </w:p>
    <w:p w14:paraId="7008966D" w14:textId="77777777" w:rsidR="00C46489" w:rsidRPr="00154E1F" w:rsidRDefault="00C46489" w:rsidP="00C46489">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Employees highlight concerns affecting productivity</w:t>
      </w:r>
    </w:p>
    <w:p w14:paraId="147FC62A" w14:textId="77777777" w:rsidR="00C46489" w:rsidRPr="00154E1F" w:rsidRDefault="00C46489" w:rsidP="00C46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4E1F">
        <w:rPr>
          <w:rFonts w:ascii="Times New Roman" w:eastAsia="Times New Roman" w:hAnsi="Times New Roman" w:cs="Times New Roman"/>
          <w:kern w:val="0"/>
          <w:lang w:eastAsia="en-GB"/>
          <w14:ligatures w14:val="none"/>
        </w:rPr>
        <w:t>Early engagement ensures risk visibility and better decision-making.</w:t>
      </w:r>
    </w:p>
    <w:p w14:paraId="1C1F0D8A" w14:textId="47431BBC" w:rsidR="00C46489" w:rsidRDefault="00C46489">
      <w:pPr>
        <w:rPr>
          <w:rFonts w:ascii="Times New Roman" w:eastAsia="Times New Roman" w:hAnsi="Times New Roman" w:cs="Times New Roman"/>
          <w:b/>
          <w:bCs/>
          <w:kern w:val="0"/>
          <w:sz w:val="36"/>
          <w:szCs w:val="36"/>
          <w:lang w:eastAsia="en-GB"/>
          <w14:ligatures w14:val="none"/>
        </w:rPr>
      </w:pPr>
      <w:r w:rsidRPr="00154E1F">
        <w:rPr>
          <w:rFonts w:ascii="Times New Roman" w:eastAsia="Times New Roman" w:hAnsi="Times New Roman" w:cs="Times New Roman"/>
          <w:b/>
          <w:bCs/>
          <w:kern w:val="0"/>
          <w:sz w:val="36"/>
          <w:szCs w:val="36"/>
          <w:lang w:eastAsia="en-GB"/>
          <w14:ligatures w14:val="none"/>
        </w:rPr>
        <w:t>8.6 Enhanced Reputation and Employer Brand</w:t>
      </w:r>
    </w:p>
    <w:p w14:paraId="7661C243"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kern w:val="0"/>
          <w:lang w:eastAsia="en-GB"/>
          <w14:ligatures w14:val="none"/>
        </w:rPr>
        <w:t xml:space="preserve">Organisations that show significant stakeholder engagement are perceived as ethical, responsive, and </w:t>
      </w:r>
      <w:proofErr w:type="gramStart"/>
      <w:r w:rsidRPr="00C46489">
        <w:rPr>
          <w:rFonts w:ascii="Times New Roman" w:eastAsia="Times New Roman" w:hAnsi="Times New Roman" w:cs="Times New Roman"/>
          <w:kern w:val="0"/>
          <w:lang w:eastAsia="en-GB"/>
          <w14:ligatures w14:val="none"/>
        </w:rPr>
        <w:t>people-</w:t>
      </w:r>
      <w:proofErr w:type="spellStart"/>
      <w:r w:rsidRPr="00C46489">
        <w:rPr>
          <w:rFonts w:ascii="Times New Roman" w:eastAsia="Times New Roman" w:hAnsi="Times New Roman" w:cs="Times New Roman"/>
          <w:kern w:val="0"/>
          <w:lang w:eastAsia="en-GB"/>
          <w14:ligatures w14:val="none"/>
        </w:rPr>
        <w:t>centered</w:t>
      </w:r>
      <w:proofErr w:type="spellEnd"/>
      <w:proofErr w:type="gramEnd"/>
      <w:r w:rsidRPr="00C46489">
        <w:rPr>
          <w:rFonts w:ascii="Times New Roman" w:eastAsia="Times New Roman" w:hAnsi="Times New Roman" w:cs="Times New Roman"/>
          <w:kern w:val="0"/>
          <w:lang w:eastAsia="en-GB"/>
          <w14:ligatures w14:val="none"/>
        </w:rPr>
        <w:t>. This enhances Deloitte's credibility in the competitive professional services industry.</w:t>
      </w:r>
    </w:p>
    <w:p w14:paraId="03431B28" w14:textId="77777777" w:rsidR="000C3D2E" w:rsidRDefault="000C3D2E"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6A254FF" w14:textId="71C08F37" w:rsidR="00C46489" w:rsidRPr="00154E1F" w:rsidRDefault="00C46489"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t xml:space="preserve">9. Recommendations </w:t>
      </w:r>
    </w:p>
    <w:p w14:paraId="50959149"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kern w:val="0"/>
          <w:lang w:eastAsia="en-GB"/>
          <w14:ligatures w14:val="none"/>
        </w:rPr>
        <w:t xml:space="preserve">To improve stakeholder engagement in future workplace transformation projects, Deloitte should consider the following recommendations: </w:t>
      </w:r>
      <w:r w:rsidRPr="00C46489">
        <w:rPr>
          <w:rFonts w:ascii="Times New Roman" w:eastAsia="Times New Roman" w:hAnsi="Times New Roman" w:cs="Times New Roman"/>
          <w:kern w:val="0"/>
          <w:lang w:eastAsia="en-GB"/>
          <w14:ligatures w14:val="none"/>
        </w:rPr>
        <w:br/>
      </w:r>
      <w:r w:rsidRPr="00C46489">
        <w:rPr>
          <w:rFonts w:ascii="Times New Roman" w:eastAsia="Times New Roman" w:hAnsi="Times New Roman" w:cs="Times New Roman"/>
          <w:b/>
          <w:bCs/>
          <w:kern w:val="0"/>
          <w:lang w:eastAsia="en-GB"/>
          <w14:ligatures w14:val="none"/>
        </w:rPr>
        <w:t>1.</w:t>
      </w:r>
      <w:r w:rsidRPr="00C46489">
        <w:rPr>
          <w:rFonts w:ascii="Times New Roman" w:eastAsia="Times New Roman" w:hAnsi="Times New Roman" w:cs="Times New Roman"/>
          <w:kern w:val="0"/>
          <w:lang w:eastAsia="en-GB"/>
          <w14:ligatures w14:val="none"/>
        </w:rPr>
        <w:t xml:space="preserve"> Form a permanent stakeholder engagement committee.</w:t>
      </w:r>
      <w:r w:rsidRPr="00C46489">
        <w:rPr>
          <w:rFonts w:ascii="Times New Roman" w:eastAsia="Times New Roman" w:hAnsi="Times New Roman" w:cs="Times New Roman"/>
          <w:kern w:val="0"/>
          <w:lang w:eastAsia="en-GB"/>
          <w14:ligatures w14:val="none"/>
        </w:rPr>
        <w:br/>
        <w:t>This group would be made up of employees, contractors, human resources, leadership, and members of the local community. It promotes continual communication rather than engagement only during large projects. This advice is consistent with Ashcroft's relational approach, which values trust and justice.</w:t>
      </w:r>
    </w:p>
    <w:p w14:paraId="50121AEF" w14:textId="229B4624"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b/>
          <w:bCs/>
          <w:kern w:val="0"/>
          <w:lang w:eastAsia="en-GB"/>
          <w14:ligatures w14:val="none"/>
        </w:rPr>
        <w:t>2.</w:t>
      </w:r>
      <w:r w:rsidRPr="00C46489">
        <w:rPr>
          <w:rFonts w:ascii="Times New Roman" w:eastAsia="Times New Roman" w:hAnsi="Times New Roman" w:cs="Times New Roman"/>
          <w:kern w:val="0"/>
          <w:lang w:eastAsia="en-GB"/>
          <w14:ligatures w14:val="none"/>
        </w:rPr>
        <w:t xml:space="preserve"> Implement digital engagement dashboards. </w:t>
      </w:r>
      <w:r w:rsidRPr="00C46489">
        <w:rPr>
          <w:rFonts w:ascii="Times New Roman" w:eastAsia="Times New Roman" w:hAnsi="Times New Roman" w:cs="Times New Roman"/>
          <w:kern w:val="0"/>
          <w:lang w:eastAsia="en-GB"/>
          <w14:ligatures w14:val="none"/>
        </w:rPr>
        <w:br/>
        <w:t>Centralised dashboards that allow stakeholders to monitor progress, risks, timetables, and updates will increase openness and prevent disinformation. It also supports real-time feedback collection.</w:t>
      </w:r>
      <w:r w:rsidRPr="00C46489">
        <w:rPr>
          <w:rFonts w:ascii="Times New Roman" w:eastAsia="Times New Roman" w:hAnsi="Times New Roman" w:cs="Times New Roman"/>
          <w:kern w:val="0"/>
          <w:lang w:eastAsia="en-GB"/>
          <w14:ligatures w14:val="none"/>
        </w:rPr>
        <w:br/>
      </w:r>
      <w:r w:rsidRPr="00C46489">
        <w:rPr>
          <w:rFonts w:ascii="Times New Roman" w:eastAsia="Times New Roman" w:hAnsi="Times New Roman" w:cs="Times New Roman"/>
          <w:b/>
          <w:bCs/>
          <w:kern w:val="0"/>
          <w:lang w:eastAsia="en-GB"/>
          <w14:ligatures w14:val="none"/>
        </w:rPr>
        <w:t>3.</w:t>
      </w:r>
      <w:r w:rsidRPr="00C46489">
        <w:rPr>
          <w:rFonts w:ascii="Times New Roman" w:eastAsia="Times New Roman" w:hAnsi="Times New Roman" w:cs="Times New Roman"/>
          <w:kern w:val="0"/>
          <w:lang w:eastAsia="en-GB"/>
          <w14:ligatures w14:val="none"/>
        </w:rPr>
        <w:t xml:space="preserve"> Start stakeholder mapping earlier. </w:t>
      </w:r>
      <w:r w:rsidRPr="00C46489">
        <w:rPr>
          <w:rFonts w:ascii="Times New Roman" w:eastAsia="Times New Roman" w:hAnsi="Times New Roman" w:cs="Times New Roman"/>
          <w:kern w:val="0"/>
          <w:lang w:eastAsia="en-GB"/>
          <w14:ligatures w14:val="none"/>
        </w:rPr>
        <w:br/>
        <w:t xml:space="preserve">Starting the stakeholder identification and consultation process before project planning ensures that expectations are aligned and minimises future resistance. Early involvement contributes to Mendelow's model by appropriately categorising stakeholders early on. </w:t>
      </w:r>
      <w:r w:rsidRPr="00C46489">
        <w:rPr>
          <w:rFonts w:ascii="Times New Roman" w:eastAsia="Times New Roman" w:hAnsi="Times New Roman" w:cs="Times New Roman"/>
          <w:kern w:val="0"/>
          <w:lang w:eastAsia="en-GB"/>
          <w14:ligatures w14:val="none"/>
        </w:rPr>
        <w:br/>
      </w:r>
      <w:r w:rsidRPr="00C46489">
        <w:rPr>
          <w:rFonts w:ascii="Times New Roman" w:eastAsia="Times New Roman" w:hAnsi="Times New Roman" w:cs="Times New Roman"/>
          <w:b/>
          <w:bCs/>
          <w:kern w:val="0"/>
          <w:lang w:eastAsia="en-GB"/>
          <w14:ligatures w14:val="none"/>
        </w:rPr>
        <w:t>4.</w:t>
      </w:r>
      <w:r w:rsidRPr="00C46489">
        <w:rPr>
          <w:rFonts w:ascii="Times New Roman" w:eastAsia="Times New Roman" w:hAnsi="Times New Roman" w:cs="Times New Roman"/>
          <w:kern w:val="0"/>
          <w:lang w:eastAsia="en-GB"/>
          <w14:ligatures w14:val="none"/>
        </w:rPr>
        <w:t xml:space="preserve"> Provide Conflict Resolution and Change Management. Training </w:t>
      </w:r>
      <w:r w:rsidRPr="00C46489">
        <w:rPr>
          <w:rFonts w:ascii="Times New Roman" w:eastAsia="Times New Roman" w:hAnsi="Times New Roman" w:cs="Times New Roman"/>
          <w:kern w:val="0"/>
          <w:lang w:eastAsia="en-GB"/>
          <w14:ligatures w14:val="none"/>
        </w:rPr>
        <w:br/>
        <w:t>Managers responsible for future expansions should acquire professional training in communication, mediation, and change leadership. This will help to smooth transitions, eliminate resistance, and improve decision-making.</w:t>
      </w:r>
    </w:p>
    <w:p w14:paraId="4FEFA628"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b/>
          <w:bCs/>
          <w:kern w:val="0"/>
          <w:lang w:eastAsia="en-GB"/>
          <w14:ligatures w14:val="none"/>
        </w:rPr>
        <w:t>5.</w:t>
      </w:r>
      <w:r w:rsidRPr="00C46489">
        <w:rPr>
          <w:rFonts w:ascii="Times New Roman" w:eastAsia="Times New Roman" w:hAnsi="Times New Roman" w:cs="Times New Roman"/>
          <w:kern w:val="0"/>
          <w:lang w:eastAsia="en-GB"/>
          <w14:ligatures w14:val="none"/>
        </w:rPr>
        <w:t xml:space="preserve"> Perform post-project engagement audits. </w:t>
      </w:r>
      <w:r w:rsidRPr="00C46489">
        <w:rPr>
          <w:rFonts w:ascii="Times New Roman" w:eastAsia="Times New Roman" w:hAnsi="Times New Roman" w:cs="Times New Roman"/>
          <w:kern w:val="0"/>
          <w:lang w:eastAsia="en-GB"/>
          <w14:ligatures w14:val="none"/>
        </w:rPr>
        <w:br/>
        <w:t>Deloitte should collect feedback when the project is completed using questionnaires, focus groups, and performance assessments. Insights acquired will improve future initiatives and build stakeholder relationships.</w:t>
      </w:r>
      <w:r w:rsidRPr="00C46489">
        <w:rPr>
          <w:rFonts w:ascii="Times New Roman" w:eastAsia="Times New Roman" w:hAnsi="Times New Roman" w:cs="Times New Roman"/>
          <w:kern w:val="0"/>
          <w:lang w:eastAsia="en-GB"/>
          <w14:ligatures w14:val="none"/>
        </w:rPr>
        <w:br/>
        <w:t>Collectively, these proposals strengthen stakeholder trust, minimise conflict, and align with Deloitte's strategic goals.</w:t>
      </w:r>
    </w:p>
    <w:p w14:paraId="4B4C3ECB" w14:textId="77777777" w:rsidR="00C46489" w:rsidRDefault="00C46489"/>
    <w:p w14:paraId="2A0B2BB8" w14:textId="40758FD8" w:rsidR="00C46489" w:rsidRPr="00154E1F" w:rsidRDefault="00C46489"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lastRenderedPageBreak/>
        <w:t xml:space="preserve">10. Conclusion </w:t>
      </w:r>
    </w:p>
    <w:p w14:paraId="4B42BAEA"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kern w:val="0"/>
          <w:lang w:eastAsia="en-GB"/>
          <w14:ligatures w14:val="none"/>
        </w:rPr>
        <w:t xml:space="preserve">The success of Deloitte's Birmingham office expansion project is strongly related to good stakeholder involvement. The project involves </w:t>
      </w:r>
      <w:proofErr w:type="gramStart"/>
      <w:r w:rsidRPr="00C46489">
        <w:rPr>
          <w:rFonts w:ascii="Times New Roman" w:eastAsia="Times New Roman" w:hAnsi="Times New Roman" w:cs="Times New Roman"/>
          <w:kern w:val="0"/>
          <w:lang w:eastAsia="en-GB"/>
          <w14:ligatures w14:val="none"/>
        </w:rPr>
        <w:t>a large number of</w:t>
      </w:r>
      <w:proofErr w:type="gramEnd"/>
      <w:r w:rsidRPr="00C46489">
        <w:rPr>
          <w:rFonts w:ascii="Times New Roman" w:eastAsia="Times New Roman" w:hAnsi="Times New Roman" w:cs="Times New Roman"/>
          <w:kern w:val="0"/>
          <w:lang w:eastAsia="en-GB"/>
          <w14:ligatures w14:val="none"/>
        </w:rPr>
        <w:t xml:space="preserve"> internal and external stakeholders, each with different demands, interests, and levels of influence. This paper illustrated how structured stakeholder management, including the use of Freeman's Stakeholder Theory, Mendelow's Matrix, the RACI Model, Communication Plans, and Ashcroft's Relational Lens, ensures that expectations are met and contributions are coordinated. </w:t>
      </w:r>
      <w:r w:rsidRPr="00C46489">
        <w:rPr>
          <w:rFonts w:ascii="Times New Roman" w:eastAsia="Times New Roman" w:hAnsi="Times New Roman" w:cs="Times New Roman"/>
          <w:kern w:val="0"/>
          <w:lang w:eastAsia="en-GB"/>
          <w14:ligatures w14:val="none"/>
        </w:rPr>
        <w:br/>
        <w:t>Using the 4Cs Model, the report investigated how communication, collaboration, consultation, and commitment promote beneficial stakeholder relationships and reduce conflict. Effective engagement improves cooperation, reduces risks, and avoids costly disruptions.</w:t>
      </w:r>
    </w:p>
    <w:p w14:paraId="2BBC08BC"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kern w:val="0"/>
          <w:lang w:eastAsia="en-GB"/>
          <w14:ligatures w14:val="none"/>
        </w:rPr>
        <w:t xml:space="preserve">Stakeholder engagement has far-reaching implications for Deloitte's performance. These include increased staff happiness, a better client experience, more efficient project delivery, and more organisational resilience. Furthermore, incorporating involvement into Deloitte's culture helps to foster a more inventive, inclusive, and sustainable working environment. </w:t>
      </w:r>
      <w:r w:rsidRPr="00C46489">
        <w:rPr>
          <w:rFonts w:ascii="Times New Roman" w:eastAsia="Times New Roman" w:hAnsi="Times New Roman" w:cs="Times New Roman"/>
          <w:kern w:val="0"/>
          <w:lang w:eastAsia="en-GB"/>
          <w14:ligatures w14:val="none"/>
        </w:rPr>
        <w:br/>
        <w:t>The recommendations—such as forming a permanent stakeholder committee, improving digital tools, starting engagement earlier, providing conflict-resolution training, and conducting post-project audits—provide long-term and practical strategies for improving engagement across future projects.</w:t>
      </w:r>
    </w:p>
    <w:p w14:paraId="68EE56EC" w14:textId="77777777" w:rsidR="00C46489" w:rsidRPr="00C46489" w:rsidRDefault="00C46489" w:rsidP="00C46489">
      <w:pPr>
        <w:spacing w:after="0" w:line="240" w:lineRule="auto"/>
        <w:rPr>
          <w:rFonts w:ascii="Times New Roman" w:eastAsia="Times New Roman" w:hAnsi="Times New Roman" w:cs="Times New Roman"/>
          <w:kern w:val="0"/>
          <w:lang w:eastAsia="en-GB"/>
          <w14:ligatures w14:val="none"/>
        </w:rPr>
      </w:pPr>
      <w:r w:rsidRPr="00C46489">
        <w:rPr>
          <w:rFonts w:ascii="Times New Roman" w:eastAsia="Times New Roman" w:hAnsi="Times New Roman" w:cs="Times New Roman"/>
          <w:kern w:val="0"/>
          <w:lang w:eastAsia="en-GB"/>
          <w14:ligatures w14:val="none"/>
        </w:rPr>
        <w:t>To summarise, stakeholder engagement is a strategic organisational asset as well as a project management requirement. Deloitte can achieve effective project outcomes, develop internal and external connections, and support its long-term operational and strategic goals by implementing complete engagement frameworks and relational principles.</w:t>
      </w:r>
    </w:p>
    <w:p w14:paraId="3DC0D72A" w14:textId="77777777" w:rsidR="00C46489" w:rsidRDefault="00C46489"/>
    <w:p w14:paraId="04FD9980" w14:textId="77777777" w:rsidR="00C46489" w:rsidRDefault="00C46489"/>
    <w:p w14:paraId="7AC10333" w14:textId="77777777" w:rsidR="00C46489" w:rsidRDefault="00C46489"/>
    <w:p w14:paraId="6B711542" w14:textId="77777777" w:rsidR="00425FC0" w:rsidRDefault="00425FC0"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A59351C" w14:textId="77777777" w:rsidR="00425FC0" w:rsidRDefault="00425FC0"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2D593DC" w14:textId="77777777" w:rsidR="00425FC0" w:rsidRDefault="00425FC0"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0FC46C1" w14:textId="77777777" w:rsidR="000C3D2E" w:rsidRDefault="000C3D2E"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260D13B" w14:textId="77777777" w:rsidR="000C3D2E" w:rsidRDefault="000C3D2E"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6669D5C" w14:textId="77777777" w:rsidR="000C3D2E" w:rsidRDefault="000C3D2E"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16C171D" w14:textId="3747BE91" w:rsidR="00C46489" w:rsidRPr="00154E1F" w:rsidRDefault="00C46489" w:rsidP="00C46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54E1F">
        <w:rPr>
          <w:rFonts w:ascii="Times New Roman" w:eastAsia="Times New Roman" w:hAnsi="Times New Roman" w:cs="Times New Roman"/>
          <w:b/>
          <w:bCs/>
          <w:kern w:val="36"/>
          <w:sz w:val="48"/>
          <w:szCs w:val="48"/>
          <w:lang w:eastAsia="en-GB"/>
          <w14:ligatures w14:val="none"/>
        </w:rPr>
        <w:lastRenderedPageBreak/>
        <w:t xml:space="preserve">11. References </w:t>
      </w:r>
    </w:p>
    <w:p w14:paraId="4C6320EF" w14:textId="77777777" w:rsidR="00425FC0" w:rsidRPr="00425FC0" w:rsidRDefault="00425FC0" w:rsidP="00425FC0">
      <w:pPr>
        <w:spacing w:after="0" w:line="240" w:lineRule="auto"/>
        <w:rPr>
          <w:rFonts w:ascii="Times New Roman" w:eastAsia="Times New Roman" w:hAnsi="Times New Roman" w:cs="Times New Roman"/>
          <w:kern w:val="0"/>
          <w:lang w:eastAsia="en-GB"/>
          <w14:ligatures w14:val="none"/>
        </w:rPr>
      </w:pPr>
      <w:r w:rsidRPr="00425FC0">
        <w:rPr>
          <w:rFonts w:ascii="Times New Roman" w:eastAsia="Times New Roman" w:hAnsi="Times New Roman" w:cs="Times New Roman"/>
          <w:kern w:val="0"/>
          <w:lang w:eastAsia="en-GB"/>
          <w14:ligatures w14:val="none"/>
        </w:rPr>
        <w:t xml:space="preserve">Ashcroft, J. (2017) The Relational Lens: Understanding, Measuring, and Managing Stakeholder Relationships. Cambridge: Cambridge University Press. </w:t>
      </w:r>
      <w:r w:rsidRPr="00425FC0">
        <w:rPr>
          <w:rFonts w:ascii="Times New Roman" w:eastAsia="Times New Roman" w:hAnsi="Times New Roman" w:cs="Times New Roman"/>
          <w:kern w:val="0"/>
          <w:lang w:eastAsia="en-GB"/>
          <w14:ligatures w14:val="none"/>
        </w:rPr>
        <w:br/>
        <w:t>Birmingham City Council's 2024 Planning and Development Regulations. Available at https://www.birmingham.gov.uk. (accessed March 12, 2025).</w:t>
      </w:r>
      <w:r w:rsidRPr="00425FC0">
        <w:rPr>
          <w:rFonts w:ascii="Times New Roman" w:eastAsia="Times New Roman" w:hAnsi="Times New Roman" w:cs="Times New Roman"/>
          <w:kern w:val="0"/>
          <w:lang w:eastAsia="en-GB"/>
          <w14:ligatures w14:val="none"/>
        </w:rPr>
        <w:br/>
        <w:t xml:space="preserve">M. Christopher, A. Payne, and D. Ballantyne (2013). Relationship marketing. Oxford: Butterworth-Heinemann. </w:t>
      </w:r>
      <w:r w:rsidRPr="00425FC0">
        <w:rPr>
          <w:rFonts w:ascii="Times New Roman" w:eastAsia="Times New Roman" w:hAnsi="Times New Roman" w:cs="Times New Roman"/>
          <w:kern w:val="0"/>
          <w:lang w:eastAsia="en-GB"/>
          <w14:ligatures w14:val="none"/>
        </w:rPr>
        <w:br/>
      </w:r>
      <w:r w:rsidRPr="00425FC0">
        <w:rPr>
          <w:rFonts w:ascii="Times New Roman" w:eastAsia="Times New Roman" w:hAnsi="Times New Roman" w:cs="Times New Roman"/>
          <w:kern w:val="0"/>
          <w:lang w:eastAsia="en-GB"/>
          <w14:ligatures w14:val="none"/>
        </w:rPr>
        <w:br/>
        <w:t xml:space="preserve">Companies House (2024 Find and update company information. Available at https://www.gov.uk. (Accessed: March 14, 2025). </w:t>
      </w:r>
      <w:r w:rsidRPr="00425FC0">
        <w:rPr>
          <w:rFonts w:ascii="Times New Roman" w:eastAsia="Times New Roman" w:hAnsi="Times New Roman" w:cs="Times New Roman"/>
          <w:kern w:val="0"/>
          <w:lang w:eastAsia="en-GB"/>
          <w14:ligatures w14:val="none"/>
        </w:rPr>
        <w:br/>
        <w:t xml:space="preserve">Creswell, J.W. (2014) Research Design: Qualitative, Quantitative, and Mixed Method Approaches. Thousand Oaks: Sage Publications. </w:t>
      </w:r>
      <w:r w:rsidRPr="00425FC0">
        <w:rPr>
          <w:rFonts w:ascii="Times New Roman" w:eastAsia="Times New Roman" w:hAnsi="Times New Roman" w:cs="Times New Roman"/>
          <w:kern w:val="0"/>
          <w:lang w:eastAsia="en-GB"/>
          <w14:ligatures w14:val="none"/>
        </w:rPr>
        <w:br/>
        <w:t>Deloitte (2023) About Deloitte UK. Available at https://www2.deloitte.com/uk. (Accessed: March 15, 2025).</w:t>
      </w:r>
    </w:p>
    <w:p w14:paraId="599852E2" w14:textId="77777777" w:rsidR="00425FC0" w:rsidRPr="00425FC0" w:rsidRDefault="00425FC0" w:rsidP="00425FC0">
      <w:pPr>
        <w:spacing w:after="0" w:line="240" w:lineRule="auto"/>
        <w:rPr>
          <w:rFonts w:ascii="Times New Roman" w:eastAsia="Times New Roman" w:hAnsi="Times New Roman" w:cs="Times New Roman"/>
          <w:kern w:val="0"/>
          <w:lang w:eastAsia="en-GB"/>
          <w14:ligatures w14:val="none"/>
        </w:rPr>
      </w:pPr>
      <w:r w:rsidRPr="00425FC0">
        <w:rPr>
          <w:rFonts w:ascii="Times New Roman" w:eastAsia="Times New Roman" w:hAnsi="Times New Roman" w:cs="Times New Roman"/>
          <w:kern w:val="0"/>
          <w:lang w:eastAsia="en-GB"/>
          <w14:ligatures w14:val="none"/>
        </w:rPr>
        <w:t xml:space="preserve">Freeman, R. (1984). Strategic Management: A Stakeholder Perspective. Pitman Publishing, Boston, Massachusetts. </w:t>
      </w:r>
      <w:r w:rsidRPr="00425FC0">
        <w:rPr>
          <w:rFonts w:ascii="Times New Roman" w:eastAsia="Times New Roman" w:hAnsi="Times New Roman" w:cs="Times New Roman"/>
          <w:kern w:val="0"/>
          <w:lang w:eastAsia="en-GB"/>
          <w14:ligatures w14:val="none"/>
        </w:rPr>
        <w:br/>
        <w:t>J. P. Kotter (2012). Leading Change. Harvard Business Review Press is based in Boston.</w:t>
      </w:r>
      <w:r w:rsidRPr="00425FC0">
        <w:rPr>
          <w:rFonts w:ascii="Times New Roman" w:eastAsia="Times New Roman" w:hAnsi="Times New Roman" w:cs="Times New Roman"/>
          <w:kern w:val="0"/>
          <w:lang w:eastAsia="en-GB"/>
          <w14:ligatures w14:val="none"/>
        </w:rPr>
        <w:br/>
        <w:t xml:space="preserve">Mendelow, A. (1991). 'Environmental scanning and the stakeholder idea', ICIS Conference Proceedings, pp. 407-418. </w:t>
      </w:r>
      <w:r w:rsidRPr="00425FC0">
        <w:rPr>
          <w:rFonts w:ascii="Times New Roman" w:eastAsia="Times New Roman" w:hAnsi="Times New Roman" w:cs="Times New Roman"/>
          <w:kern w:val="0"/>
          <w:lang w:eastAsia="en-GB"/>
          <w14:ligatures w14:val="none"/>
        </w:rPr>
        <w:br/>
      </w:r>
      <w:r w:rsidRPr="00425FC0">
        <w:rPr>
          <w:rFonts w:ascii="Times New Roman" w:eastAsia="Times New Roman" w:hAnsi="Times New Roman" w:cs="Times New Roman"/>
          <w:kern w:val="0"/>
          <w:lang w:eastAsia="en-GB"/>
          <w14:ligatures w14:val="none"/>
        </w:rPr>
        <w:br/>
        <w:t xml:space="preserve">Mitchell, R., Agle, B., &amp; Wood, D. (1997). Towards a theory of stakeholder identification and salience. Academy of Management Review, 22(4), 853-886. </w:t>
      </w:r>
      <w:r w:rsidRPr="00425FC0">
        <w:rPr>
          <w:rFonts w:ascii="Times New Roman" w:eastAsia="Times New Roman" w:hAnsi="Times New Roman" w:cs="Times New Roman"/>
          <w:kern w:val="0"/>
          <w:lang w:eastAsia="en-GB"/>
          <w14:ligatures w14:val="none"/>
        </w:rPr>
        <w:br/>
        <w:t xml:space="preserve">PMI (2021), A Guide to the Project Management Body of Knowledge (PMBOK Guide). The Project Management Institute. </w:t>
      </w:r>
      <w:r w:rsidRPr="00425FC0">
        <w:rPr>
          <w:rFonts w:ascii="Times New Roman" w:eastAsia="Times New Roman" w:hAnsi="Times New Roman" w:cs="Times New Roman"/>
          <w:kern w:val="0"/>
          <w:lang w:eastAsia="en-GB"/>
          <w14:ligatures w14:val="none"/>
        </w:rPr>
        <w:br/>
        <w:t xml:space="preserve">Statista (2024). UK Hybrid Working Trends. Available at: https://www.statista.com (accessed March 15, 2025). </w:t>
      </w:r>
      <w:r w:rsidRPr="00425FC0">
        <w:rPr>
          <w:rFonts w:ascii="Times New Roman" w:eastAsia="Times New Roman" w:hAnsi="Times New Roman" w:cs="Times New Roman"/>
          <w:kern w:val="0"/>
          <w:lang w:eastAsia="en-GB"/>
          <w14:ligatures w14:val="none"/>
        </w:rPr>
        <w:br/>
        <w:t>UWTSD (2023) Harvard Referencing Guide. https://uwtsd.ac.uk (accessed March 15, 2025).</w:t>
      </w:r>
    </w:p>
    <w:p w14:paraId="1ED1518C" w14:textId="77777777" w:rsidR="00C46489" w:rsidRDefault="00C46489"/>
    <w:sectPr w:rsidR="00C46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D1593"/>
    <w:multiLevelType w:val="multilevel"/>
    <w:tmpl w:val="B5CA9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C6F80"/>
    <w:multiLevelType w:val="multilevel"/>
    <w:tmpl w:val="9D344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B65D6"/>
    <w:multiLevelType w:val="multilevel"/>
    <w:tmpl w:val="4050A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76E4E"/>
    <w:multiLevelType w:val="multilevel"/>
    <w:tmpl w:val="D6AAB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42B7D"/>
    <w:multiLevelType w:val="multilevel"/>
    <w:tmpl w:val="42FE6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3F10B6"/>
    <w:multiLevelType w:val="multilevel"/>
    <w:tmpl w:val="A71AF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6230D0"/>
    <w:multiLevelType w:val="multilevel"/>
    <w:tmpl w:val="A478F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732434"/>
    <w:multiLevelType w:val="multilevel"/>
    <w:tmpl w:val="1FF2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C61BDF"/>
    <w:multiLevelType w:val="multilevel"/>
    <w:tmpl w:val="EE9C9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171E27"/>
    <w:multiLevelType w:val="multilevel"/>
    <w:tmpl w:val="E0104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B960D4"/>
    <w:multiLevelType w:val="multilevel"/>
    <w:tmpl w:val="FA148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383FDE"/>
    <w:multiLevelType w:val="multilevel"/>
    <w:tmpl w:val="E9CE40F2"/>
    <w:lvl w:ilvl="0">
      <w:start w:val="1"/>
      <w:numFmt w:val="bullet"/>
      <w:lvlText w:val=""/>
      <w:lvlJc w:val="left"/>
      <w:pPr>
        <w:tabs>
          <w:tab w:val="num" w:pos="1211"/>
        </w:tabs>
        <w:ind w:left="1211" w:hanging="360"/>
      </w:pPr>
      <w:rPr>
        <w:rFonts w:ascii="Symbol" w:hAnsi="Symbol" w:hint="default"/>
        <w:sz w:val="20"/>
      </w:rPr>
    </w:lvl>
    <w:lvl w:ilvl="1" w:tentative="1">
      <w:start w:val="1"/>
      <w:numFmt w:val="bullet"/>
      <w:lvlText w:val="o"/>
      <w:lvlJc w:val="left"/>
      <w:pPr>
        <w:tabs>
          <w:tab w:val="num" w:pos="1931"/>
        </w:tabs>
        <w:ind w:left="1931" w:hanging="360"/>
      </w:pPr>
      <w:rPr>
        <w:rFonts w:ascii="Courier New" w:hAnsi="Courier New" w:hint="default"/>
        <w:sz w:val="20"/>
      </w:rPr>
    </w:lvl>
    <w:lvl w:ilvl="2" w:tentative="1">
      <w:start w:val="1"/>
      <w:numFmt w:val="bullet"/>
      <w:lvlText w:val=""/>
      <w:lvlJc w:val="left"/>
      <w:pPr>
        <w:tabs>
          <w:tab w:val="num" w:pos="2651"/>
        </w:tabs>
        <w:ind w:left="2651" w:hanging="360"/>
      </w:pPr>
      <w:rPr>
        <w:rFonts w:ascii="Wingdings" w:hAnsi="Wingdings" w:hint="default"/>
        <w:sz w:val="20"/>
      </w:rPr>
    </w:lvl>
    <w:lvl w:ilvl="3" w:tentative="1">
      <w:start w:val="1"/>
      <w:numFmt w:val="bullet"/>
      <w:lvlText w:val=""/>
      <w:lvlJc w:val="left"/>
      <w:pPr>
        <w:tabs>
          <w:tab w:val="num" w:pos="3371"/>
        </w:tabs>
        <w:ind w:left="3371" w:hanging="360"/>
      </w:pPr>
      <w:rPr>
        <w:rFonts w:ascii="Wingdings" w:hAnsi="Wingdings" w:hint="default"/>
        <w:sz w:val="20"/>
      </w:rPr>
    </w:lvl>
    <w:lvl w:ilvl="4" w:tentative="1">
      <w:start w:val="1"/>
      <w:numFmt w:val="bullet"/>
      <w:lvlText w:val=""/>
      <w:lvlJc w:val="left"/>
      <w:pPr>
        <w:tabs>
          <w:tab w:val="num" w:pos="4091"/>
        </w:tabs>
        <w:ind w:left="4091" w:hanging="360"/>
      </w:pPr>
      <w:rPr>
        <w:rFonts w:ascii="Wingdings" w:hAnsi="Wingdings" w:hint="default"/>
        <w:sz w:val="20"/>
      </w:rPr>
    </w:lvl>
    <w:lvl w:ilvl="5" w:tentative="1">
      <w:start w:val="1"/>
      <w:numFmt w:val="bullet"/>
      <w:lvlText w:val=""/>
      <w:lvlJc w:val="left"/>
      <w:pPr>
        <w:tabs>
          <w:tab w:val="num" w:pos="4811"/>
        </w:tabs>
        <w:ind w:left="4811" w:hanging="360"/>
      </w:pPr>
      <w:rPr>
        <w:rFonts w:ascii="Wingdings" w:hAnsi="Wingdings" w:hint="default"/>
        <w:sz w:val="20"/>
      </w:rPr>
    </w:lvl>
    <w:lvl w:ilvl="6" w:tentative="1">
      <w:start w:val="1"/>
      <w:numFmt w:val="bullet"/>
      <w:lvlText w:val=""/>
      <w:lvlJc w:val="left"/>
      <w:pPr>
        <w:tabs>
          <w:tab w:val="num" w:pos="5531"/>
        </w:tabs>
        <w:ind w:left="5531" w:hanging="360"/>
      </w:pPr>
      <w:rPr>
        <w:rFonts w:ascii="Wingdings" w:hAnsi="Wingdings" w:hint="default"/>
        <w:sz w:val="20"/>
      </w:rPr>
    </w:lvl>
    <w:lvl w:ilvl="7" w:tentative="1">
      <w:start w:val="1"/>
      <w:numFmt w:val="bullet"/>
      <w:lvlText w:val=""/>
      <w:lvlJc w:val="left"/>
      <w:pPr>
        <w:tabs>
          <w:tab w:val="num" w:pos="6251"/>
        </w:tabs>
        <w:ind w:left="6251" w:hanging="360"/>
      </w:pPr>
      <w:rPr>
        <w:rFonts w:ascii="Wingdings" w:hAnsi="Wingdings" w:hint="default"/>
        <w:sz w:val="20"/>
      </w:rPr>
    </w:lvl>
    <w:lvl w:ilvl="8" w:tentative="1">
      <w:start w:val="1"/>
      <w:numFmt w:val="bullet"/>
      <w:lvlText w:val=""/>
      <w:lvlJc w:val="left"/>
      <w:pPr>
        <w:tabs>
          <w:tab w:val="num" w:pos="6971"/>
        </w:tabs>
        <w:ind w:left="6971" w:hanging="360"/>
      </w:pPr>
      <w:rPr>
        <w:rFonts w:ascii="Wingdings" w:hAnsi="Wingdings" w:hint="default"/>
        <w:sz w:val="20"/>
      </w:rPr>
    </w:lvl>
  </w:abstractNum>
  <w:abstractNum w:abstractNumId="12" w15:restartNumberingAfterBreak="0">
    <w:nsid w:val="175A7A9F"/>
    <w:multiLevelType w:val="multilevel"/>
    <w:tmpl w:val="CCD0B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330484"/>
    <w:multiLevelType w:val="multilevel"/>
    <w:tmpl w:val="E41A64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3D31110"/>
    <w:multiLevelType w:val="multilevel"/>
    <w:tmpl w:val="7EB2D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2E176C"/>
    <w:multiLevelType w:val="multilevel"/>
    <w:tmpl w:val="86168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CC7253"/>
    <w:multiLevelType w:val="multilevel"/>
    <w:tmpl w:val="69C29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1C03BF"/>
    <w:multiLevelType w:val="multilevel"/>
    <w:tmpl w:val="C5562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7679F5"/>
    <w:multiLevelType w:val="multilevel"/>
    <w:tmpl w:val="FD22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B24188"/>
    <w:multiLevelType w:val="multilevel"/>
    <w:tmpl w:val="63D4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A5070D"/>
    <w:multiLevelType w:val="multilevel"/>
    <w:tmpl w:val="4BE0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1E49A5"/>
    <w:multiLevelType w:val="multilevel"/>
    <w:tmpl w:val="F7A06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FB364F"/>
    <w:multiLevelType w:val="multilevel"/>
    <w:tmpl w:val="7AF21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4B1BC2"/>
    <w:multiLevelType w:val="multilevel"/>
    <w:tmpl w:val="24B82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A9665D"/>
    <w:multiLevelType w:val="multilevel"/>
    <w:tmpl w:val="8544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441B8F"/>
    <w:multiLevelType w:val="multilevel"/>
    <w:tmpl w:val="F77E2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CC2A30"/>
    <w:multiLevelType w:val="multilevel"/>
    <w:tmpl w:val="7D16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CC6DA4"/>
    <w:multiLevelType w:val="multilevel"/>
    <w:tmpl w:val="15163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F2795D"/>
    <w:multiLevelType w:val="multilevel"/>
    <w:tmpl w:val="67B03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3F5210"/>
    <w:multiLevelType w:val="multilevel"/>
    <w:tmpl w:val="DCAC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A6592E"/>
    <w:multiLevelType w:val="multilevel"/>
    <w:tmpl w:val="E2823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EB2209"/>
    <w:multiLevelType w:val="multilevel"/>
    <w:tmpl w:val="D9C8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36245A"/>
    <w:multiLevelType w:val="multilevel"/>
    <w:tmpl w:val="A732D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BE2E0A"/>
    <w:multiLevelType w:val="multilevel"/>
    <w:tmpl w:val="FE14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F84A28"/>
    <w:multiLevelType w:val="multilevel"/>
    <w:tmpl w:val="55CA9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822C58"/>
    <w:multiLevelType w:val="multilevel"/>
    <w:tmpl w:val="B8F6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385B98"/>
    <w:multiLevelType w:val="multilevel"/>
    <w:tmpl w:val="1C903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BDB5035"/>
    <w:multiLevelType w:val="multilevel"/>
    <w:tmpl w:val="8EB4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9733191">
    <w:abstractNumId w:val="12"/>
  </w:num>
  <w:num w:numId="2" w16cid:durableId="1510171707">
    <w:abstractNumId w:val="13"/>
  </w:num>
  <w:num w:numId="3" w16cid:durableId="914243580">
    <w:abstractNumId w:val="34"/>
  </w:num>
  <w:num w:numId="4" w16cid:durableId="861896054">
    <w:abstractNumId w:val="25"/>
  </w:num>
  <w:num w:numId="5" w16cid:durableId="346711829">
    <w:abstractNumId w:val="33"/>
  </w:num>
  <w:num w:numId="6" w16cid:durableId="1343431285">
    <w:abstractNumId w:val="24"/>
  </w:num>
  <w:num w:numId="7" w16cid:durableId="2036423848">
    <w:abstractNumId w:val="14"/>
  </w:num>
  <w:num w:numId="8" w16cid:durableId="877208292">
    <w:abstractNumId w:val="27"/>
  </w:num>
  <w:num w:numId="9" w16cid:durableId="152258195">
    <w:abstractNumId w:val="18"/>
  </w:num>
  <w:num w:numId="10" w16cid:durableId="2068333125">
    <w:abstractNumId w:val="19"/>
  </w:num>
  <w:num w:numId="11" w16cid:durableId="1358776978">
    <w:abstractNumId w:val="5"/>
  </w:num>
  <w:num w:numId="12" w16cid:durableId="730075483">
    <w:abstractNumId w:val="35"/>
  </w:num>
  <w:num w:numId="13" w16cid:durableId="1964578036">
    <w:abstractNumId w:val="3"/>
  </w:num>
  <w:num w:numId="14" w16cid:durableId="1578663140">
    <w:abstractNumId w:val="6"/>
  </w:num>
  <w:num w:numId="15" w16cid:durableId="484512616">
    <w:abstractNumId w:val="4"/>
  </w:num>
  <w:num w:numId="16" w16cid:durableId="1597834176">
    <w:abstractNumId w:val="21"/>
  </w:num>
  <w:num w:numId="17" w16cid:durableId="1648513786">
    <w:abstractNumId w:val="1"/>
  </w:num>
  <w:num w:numId="18" w16cid:durableId="1385058971">
    <w:abstractNumId w:val="8"/>
  </w:num>
  <w:num w:numId="19" w16cid:durableId="1507012835">
    <w:abstractNumId w:val="20"/>
  </w:num>
  <w:num w:numId="20" w16cid:durableId="1818836801">
    <w:abstractNumId w:val="16"/>
  </w:num>
  <w:num w:numId="21" w16cid:durableId="1678773144">
    <w:abstractNumId w:val="32"/>
  </w:num>
  <w:num w:numId="22" w16cid:durableId="2081520030">
    <w:abstractNumId w:val="37"/>
  </w:num>
  <w:num w:numId="23" w16cid:durableId="551581429">
    <w:abstractNumId w:val="31"/>
  </w:num>
  <w:num w:numId="24" w16cid:durableId="1529181245">
    <w:abstractNumId w:val="30"/>
  </w:num>
  <w:num w:numId="25" w16cid:durableId="1522745918">
    <w:abstractNumId w:val="15"/>
  </w:num>
  <w:num w:numId="26" w16cid:durableId="2139642506">
    <w:abstractNumId w:val="22"/>
  </w:num>
  <w:num w:numId="27" w16cid:durableId="120155797">
    <w:abstractNumId w:val="29"/>
  </w:num>
  <w:num w:numId="28" w16cid:durableId="526679812">
    <w:abstractNumId w:val="28"/>
  </w:num>
  <w:num w:numId="29" w16cid:durableId="1972830537">
    <w:abstractNumId w:val="0"/>
  </w:num>
  <w:num w:numId="30" w16cid:durableId="261963299">
    <w:abstractNumId w:val="7"/>
  </w:num>
  <w:num w:numId="31" w16cid:durableId="1307199129">
    <w:abstractNumId w:val="2"/>
  </w:num>
  <w:num w:numId="32" w16cid:durableId="1421826494">
    <w:abstractNumId w:val="17"/>
  </w:num>
  <w:num w:numId="33" w16cid:durableId="1758818825">
    <w:abstractNumId w:val="10"/>
  </w:num>
  <w:num w:numId="34" w16cid:durableId="1855727430">
    <w:abstractNumId w:val="11"/>
  </w:num>
  <w:num w:numId="35" w16cid:durableId="1834448933">
    <w:abstractNumId w:val="26"/>
  </w:num>
  <w:num w:numId="36" w16cid:durableId="613369305">
    <w:abstractNumId w:val="36"/>
  </w:num>
  <w:num w:numId="37" w16cid:durableId="1757943345">
    <w:abstractNumId w:val="23"/>
  </w:num>
  <w:num w:numId="38" w16cid:durableId="13805479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49B"/>
    <w:rsid w:val="000C3D2E"/>
    <w:rsid w:val="003774F9"/>
    <w:rsid w:val="00425FC0"/>
    <w:rsid w:val="0059606A"/>
    <w:rsid w:val="00742FCF"/>
    <w:rsid w:val="009C6EDC"/>
    <w:rsid w:val="00A00E04"/>
    <w:rsid w:val="00A7411F"/>
    <w:rsid w:val="00B8249B"/>
    <w:rsid w:val="00C46489"/>
    <w:rsid w:val="00D40442"/>
    <w:rsid w:val="00DF6693"/>
    <w:rsid w:val="00E71982"/>
    <w:rsid w:val="00E87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FA323"/>
  <w15:chartTrackingRefBased/>
  <w15:docId w15:val="{F4CAEE74-F439-4620-B0C2-F604EEBA6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49B"/>
  </w:style>
  <w:style w:type="paragraph" w:styleId="Heading1">
    <w:name w:val="heading 1"/>
    <w:basedOn w:val="Normal"/>
    <w:next w:val="Normal"/>
    <w:link w:val="Heading1Char"/>
    <w:uiPriority w:val="9"/>
    <w:qFormat/>
    <w:rsid w:val="00B824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4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4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4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4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4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4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4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4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4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4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4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4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4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4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4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4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49B"/>
    <w:rPr>
      <w:rFonts w:eastAsiaTheme="majorEastAsia" w:cstheme="majorBidi"/>
      <w:color w:val="272727" w:themeColor="text1" w:themeTint="D8"/>
    </w:rPr>
  </w:style>
  <w:style w:type="paragraph" w:styleId="Title">
    <w:name w:val="Title"/>
    <w:basedOn w:val="Normal"/>
    <w:next w:val="Normal"/>
    <w:link w:val="TitleChar"/>
    <w:uiPriority w:val="10"/>
    <w:qFormat/>
    <w:rsid w:val="00B824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4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4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4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49B"/>
    <w:pPr>
      <w:spacing w:before="160"/>
      <w:jc w:val="center"/>
    </w:pPr>
    <w:rPr>
      <w:i/>
      <w:iCs/>
      <w:color w:val="404040" w:themeColor="text1" w:themeTint="BF"/>
    </w:rPr>
  </w:style>
  <w:style w:type="character" w:customStyle="1" w:styleId="QuoteChar">
    <w:name w:val="Quote Char"/>
    <w:basedOn w:val="DefaultParagraphFont"/>
    <w:link w:val="Quote"/>
    <w:uiPriority w:val="29"/>
    <w:rsid w:val="00B8249B"/>
    <w:rPr>
      <w:i/>
      <w:iCs/>
      <w:color w:val="404040" w:themeColor="text1" w:themeTint="BF"/>
    </w:rPr>
  </w:style>
  <w:style w:type="paragraph" w:styleId="ListParagraph">
    <w:name w:val="List Paragraph"/>
    <w:basedOn w:val="Normal"/>
    <w:uiPriority w:val="34"/>
    <w:qFormat/>
    <w:rsid w:val="00B8249B"/>
    <w:pPr>
      <w:ind w:left="720"/>
      <w:contextualSpacing/>
    </w:pPr>
  </w:style>
  <w:style w:type="character" w:styleId="IntenseEmphasis">
    <w:name w:val="Intense Emphasis"/>
    <w:basedOn w:val="DefaultParagraphFont"/>
    <w:uiPriority w:val="21"/>
    <w:qFormat/>
    <w:rsid w:val="00B8249B"/>
    <w:rPr>
      <w:i/>
      <w:iCs/>
      <w:color w:val="0F4761" w:themeColor="accent1" w:themeShade="BF"/>
    </w:rPr>
  </w:style>
  <w:style w:type="paragraph" w:styleId="IntenseQuote">
    <w:name w:val="Intense Quote"/>
    <w:basedOn w:val="Normal"/>
    <w:next w:val="Normal"/>
    <w:link w:val="IntenseQuoteChar"/>
    <w:uiPriority w:val="30"/>
    <w:qFormat/>
    <w:rsid w:val="00B824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49B"/>
    <w:rPr>
      <w:i/>
      <w:iCs/>
      <w:color w:val="0F4761" w:themeColor="accent1" w:themeShade="BF"/>
    </w:rPr>
  </w:style>
  <w:style w:type="character" w:styleId="IntenseReference">
    <w:name w:val="Intense Reference"/>
    <w:basedOn w:val="DefaultParagraphFont"/>
    <w:uiPriority w:val="32"/>
    <w:qFormat/>
    <w:rsid w:val="00B824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4374</Words>
  <Characters>24938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jamaka gibbons</dc:creator>
  <cp:keywords/>
  <dc:description/>
  <cp:lastModifiedBy>jamaka gibbons</cp:lastModifiedBy>
  <cp:revision>2</cp:revision>
  <dcterms:created xsi:type="dcterms:W3CDTF">2025-11-27T18:29:00Z</dcterms:created>
  <dcterms:modified xsi:type="dcterms:W3CDTF">2025-11-27T18:29:00Z</dcterms:modified>
</cp:coreProperties>
</file>