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8C0129" w14:textId="66DD96F2" w:rsidR="002847B8" w:rsidRDefault="002847B8" w:rsidP="00A66420">
      <w:pPr>
        <w:pStyle w:val="paragraph"/>
        <w:shd w:val="clear" w:color="auto" w:fill="FFFFFF"/>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sz w:val="52"/>
          <w:szCs w:val="52"/>
        </w:rPr>
        <w:t>Managing Organisations in Nursing (BMNS4008)</w:t>
      </w:r>
    </w:p>
    <w:p w14:paraId="771575CE" w14:textId="77777777" w:rsidR="002847B8" w:rsidRDefault="002847B8" w:rsidP="002847B8">
      <w:pPr>
        <w:pStyle w:val="paragraph"/>
        <w:shd w:val="clear" w:color="auto" w:fill="FFFFFF"/>
        <w:spacing w:before="0" w:beforeAutospacing="0" w:after="0" w:afterAutospacing="0"/>
        <w:jc w:val="center"/>
        <w:textAlignment w:val="baseline"/>
        <w:rPr>
          <w:rFonts w:ascii="Segoe UI" w:hAnsi="Segoe UI" w:cs="Segoe UI"/>
          <w:sz w:val="18"/>
          <w:szCs w:val="18"/>
        </w:rPr>
      </w:pPr>
      <w:r>
        <w:rPr>
          <w:rStyle w:val="eop"/>
          <w:rFonts w:ascii="Arial" w:eastAsiaTheme="majorEastAsia" w:hAnsi="Arial" w:cs="Arial"/>
          <w:sz w:val="52"/>
          <w:szCs w:val="52"/>
        </w:rPr>
        <w:t> </w:t>
      </w:r>
    </w:p>
    <w:p w14:paraId="0D555FF7" w14:textId="77777777" w:rsidR="002847B8" w:rsidRDefault="002847B8" w:rsidP="002847B8">
      <w:pPr>
        <w:pStyle w:val="paragraph"/>
        <w:shd w:val="clear" w:color="auto" w:fill="FFFFFF"/>
        <w:spacing w:before="0" w:beforeAutospacing="0" w:after="0" w:afterAutospacing="0"/>
        <w:jc w:val="center"/>
        <w:textAlignment w:val="baseline"/>
        <w:rPr>
          <w:rFonts w:ascii="Segoe UI" w:hAnsi="Segoe UI" w:cs="Segoe UI"/>
          <w:sz w:val="18"/>
          <w:szCs w:val="18"/>
        </w:rPr>
      </w:pPr>
      <w:r>
        <w:rPr>
          <w:rStyle w:val="eop"/>
          <w:rFonts w:ascii="Arial" w:eastAsiaTheme="majorEastAsia" w:hAnsi="Arial" w:cs="Arial"/>
          <w:sz w:val="52"/>
          <w:szCs w:val="52"/>
        </w:rPr>
        <w:t> </w:t>
      </w:r>
    </w:p>
    <w:p w14:paraId="1F4F5196" w14:textId="77777777" w:rsidR="002847B8" w:rsidRDefault="002847B8" w:rsidP="002847B8">
      <w:pPr>
        <w:pStyle w:val="paragraph"/>
        <w:shd w:val="clear" w:color="auto" w:fill="FFFFFF"/>
        <w:spacing w:before="0" w:beforeAutospacing="0" w:after="0" w:afterAutospacing="0"/>
        <w:jc w:val="center"/>
        <w:textAlignment w:val="baseline"/>
        <w:rPr>
          <w:rFonts w:ascii="Segoe UI" w:hAnsi="Segoe UI" w:cs="Segoe UI"/>
          <w:sz w:val="18"/>
          <w:szCs w:val="18"/>
        </w:rPr>
      </w:pPr>
      <w:r>
        <w:rPr>
          <w:rStyle w:val="eop"/>
          <w:rFonts w:ascii="Arial" w:eastAsiaTheme="majorEastAsia" w:hAnsi="Arial" w:cs="Arial"/>
          <w:sz w:val="52"/>
          <w:szCs w:val="52"/>
        </w:rPr>
        <w:t> </w:t>
      </w:r>
    </w:p>
    <w:p w14:paraId="40F9AC94" w14:textId="77777777" w:rsidR="002847B8" w:rsidRDefault="002847B8" w:rsidP="002847B8">
      <w:pPr>
        <w:pStyle w:val="paragraph"/>
        <w:shd w:val="clear" w:color="auto" w:fill="FFFFFF"/>
        <w:spacing w:before="0" w:beforeAutospacing="0" w:after="0" w:afterAutospacing="0"/>
        <w:jc w:val="center"/>
        <w:textAlignment w:val="baseline"/>
        <w:rPr>
          <w:rFonts w:ascii="Segoe UI" w:hAnsi="Segoe UI" w:cs="Segoe UI"/>
          <w:sz w:val="18"/>
          <w:szCs w:val="18"/>
        </w:rPr>
      </w:pPr>
      <w:r>
        <w:rPr>
          <w:rStyle w:val="eop"/>
          <w:rFonts w:ascii="Arial" w:eastAsiaTheme="majorEastAsia" w:hAnsi="Arial" w:cs="Arial"/>
          <w:sz w:val="52"/>
          <w:szCs w:val="52"/>
        </w:rPr>
        <w:t> </w:t>
      </w:r>
    </w:p>
    <w:p w14:paraId="455E6F60" w14:textId="77777777" w:rsidR="002847B8" w:rsidRDefault="002847B8" w:rsidP="002847B8">
      <w:pPr>
        <w:pStyle w:val="paragraph"/>
        <w:shd w:val="clear" w:color="auto" w:fill="FFFFFF"/>
        <w:spacing w:before="0" w:beforeAutospacing="0" w:after="0" w:afterAutospacing="0"/>
        <w:jc w:val="center"/>
        <w:textAlignment w:val="baseline"/>
        <w:rPr>
          <w:rFonts w:ascii="Segoe UI" w:hAnsi="Segoe UI" w:cs="Segoe UI"/>
          <w:sz w:val="18"/>
          <w:szCs w:val="18"/>
        </w:rPr>
      </w:pPr>
      <w:r>
        <w:rPr>
          <w:rStyle w:val="eop"/>
          <w:rFonts w:ascii="Arial" w:eastAsiaTheme="majorEastAsia" w:hAnsi="Arial" w:cs="Arial"/>
          <w:sz w:val="52"/>
          <w:szCs w:val="52"/>
        </w:rPr>
        <w:t> </w:t>
      </w:r>
    </w:p>
    <w:p w14:paraId="52E385E6" w14:textId="77777777" w:rsidR="002847B8" w:rsidRDefault="002847B8" w:rsidP="002847B8">
      <w:pPr>
        <w:pStyle w:val="paragraph"/>
        <w:shd w:val="clear" w:color="auto" w:fill="FFFFFF"/>
        <w:spacing w:before="0" w:beforeAutospacing="0" w:after="0" w:afterAutospacing="0"/>
        <w:jc w:val="center"/>
        <w:textAlignment w:val="baseline"/>
        <w:rPr>
          <w:rFonts w:ascii="Segoe UI" w:hAnsi="Segoe UI" w:cs="Segoe UI"/>
          <w:sz w:val="18"/>
          <w:szCs w:val="18"/>
        </w:rPr>
      </w:pPr>
      <w:r>
        <w:rPr>
          <w:rStyle w:val="eop"/>
          <w:rFonts w:ascii="Arial" w:eastAsiaTheme="majorEastAsia" w:hAnsi="Arial" w:cs="Arial"/>
          <w:sz w:val="52"/>
          <w:szCs w:val="52"/>
        </w:rPr>
        <w:t> </w:t>
      </w:r>
    </w:p>
    <w:p w14:paraId="7D94A217" w14:textId="77777777" w:rsidR="002847B8" w:rsidRDefault="002847B8" w:rsidP="002847B8">
      <w:pPr>
        <w:pStyle w:val="paragraph"/>
        <w:shd w:val="clear" w:color="auto" w:fill="FFFFFF"/>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sz w:val="52"/>
          <w:szCs w:val="52"/>
        </w:rPr>
        <w:t>Student Name: Georgia Arnold</w:t>
      </w:r>
      <w:r>
        <w:rPr>
          <w:rStyle w:val="eop"/>
          <w:rFonts w:ascii="Arial" w:eastAsiaTheme="majorEastAsia" w:hAnsi="Arial" w:cs="Arial"/>
          <w:sz w:val="52"/>
          <w:szCs w:val="52"/>
        </w:rPr>
        <w:t> </w:t>
      </w:r>
    </w:p>
    <w:p w14:paraId="4A1B4EE1" w14:textId="77777777" w:rsidR="002847B8" w:rsidRDefault="002847B8" w:rsidP="002847B8">
      <w:pPr>
        <w:pStyle w:val="paragraph"/>
        <w:shd w:val="clear" w:color="auto" w:fill="FFFFFF"/>
        <w:spacing w:before="0" w:beforeAutospacing="0" w:after="0" w:afterAutospacing="0"/>
        <w:jc w:val="center"/>
        <w:textAlignment w:val="baseline"/>
        <w:rPr>
          <w:rFonts w:ascii="Segoe UI" w:hAnsi="Segoe UI" w:cs="Segoe UI"/>
          <w:sz w:val="18"/>
          <w:szCs w:val="18"/>
        </w:rPr>
      </w:pPr>
      <w:r>
        <w:rPr>
          <w:rStyle w:val="eop"/>
          <w:rFonts w:ascii="Arial" w:eastAsiaTheme="majorEastAsia" w:hAnsi="Arial" w:cs="Arial"/>
          <w:sz w:val="52"/>
          <w:szCs w:val="52"/>
        </w:rPr>
        <w:t> </w:t>
      </w:r>
    </w:p>
    <w:p w14:paraId="14ADF7C4" w14:textId="77777777" w:rsidR="002847B8" w:rsidRDefault="002847B8" w:rsidP="002847B8">
      <w:pPr>
        <w:pStyle w:val="paragraph"/>
        <w:shd w:val="clear" w:color="auto" w:fill="FFFFFF"/>
        <w:spacing w:before="0" w:beforeAutospacing="0" w:after="0" w:afterAutospacing="0"/>
        <w:jc w:val="center"/>
        <w:textAlignment w:val="baseline"/>
        <w:rPr>
          <w:rStyle w:val="eop"/>
          <w:rFonts w:ascii="Arial" w:eastAsiaTheme="majorEastAsia" w:hAnsi="Arial" w:cs="Arial"/>
          <w:sz w:val="52"/>
          <w:szCs w:val="52"/>
        </w:rPr>
      </w:pPr>
      <w:r>
        <w:rPr>
          <w:rStyle w:val="normaltextrun"/>
          <w:rFonts w:ascii="Arial" w:eastAsiaTheme="majorEastAsia" w:hAnsi="Arial" w:cs="Arial"/>
          <w:sz w:val="52"/>
          <w:szCs w:val="52"/>
        </w:rPr>
        <w:t>Student Number: 2328933</w:t>
      </w:r>
      <w:r>
        <w:rPr>
          <w:rStyle w:val="eop"/>
          <w:rFonts w:ascii="Arial" w:eastAsiaTheme="majorEastAsia" w:hAnsi="Arial" w:cs="Arial"/>
          <w:sz w:val="52"/>
          <w:szCs w:val="52"/>
        </w:rPr>
        <w:t> </w:t>
      </w:r>
    </w:p>
    <w:p w14:paraId="3CAD4E07" w14:textId="77777777" w:rsidR="00FC66B7" w:rsidRDefault="00FC66B7" w:rsidP="002847B8">
      <w:pPr>
        <w:pStyle w:val="paragraph"/>
        <w:shd w:val="clear" w:color="auto" w:fill="FFFFFF"/>
        <w:spacing w:before="0" w:beforeAutospacing="0" w:after="0" w:afterAutospacing="0"/>
        <w:jc w:val="center"/>
        <w:textAlignment w:val="baseline"/>
        <w:rPr>
          <w:rStyle w:val="eop"/>
          <w:rFonts w:ascii="Arial" w:eastAsiaTheme="majorEastAsia" w:hAnsi="Arial" w:cs="Arial"/>
          <w:sz w:val="52"/>
          <w:szCs w:val="52"/>
        </w:rPr>
      </w:pPr>
    </w:p>
    <w:p w14:paraId="48BAA45A" w14:textId="77777777" w:rsidR="00FC66B7" w:rsidRDefault="00FC66B7" w:rsidP="002847B8">
      <w:pPr>
        <w:pStyle w:val="paragraph"/>
        <w:shd w:val="clear" w:color="auto" w:fill="FFFFFF"/>
        <w:spacing w:before="0" w:beforeAutospacing="0" w:after="0" w:afterAutospacing="0"/>
        <w:jc w:val="center"/>
        <w:textAlignment w:val="baseline"/>
        <w:rPr>
          <w:rStyle w:val="eop"/>
          <w:rFonts w:ascii="Arial" w:eastAsiaTheme="majorEastAsia" w:hAnsi="Arial" w:cs="Arial"/>
          <w:sz w:val="52"/>
          <w:szCs w:val="52"/>
        </w:rPr>
      </w:pPr>
    </w:p>
    <w:p w14:paraId="1BA59782" w14:textId="77777777" w:rsidR="00FC66B7" w:rsidRDefault="00FC66B7" w:rsidP="002847B8">
      <w:pPr>
        <w:pStyle w:val="paragraph"/>
        <w:shd w:val="clear" w:color="auto" w:fill="FFFFFF"/>
        <w:spacing w:before="0" w:beforeAutospacing="0" w:after="0" w:afterAutospacing="0"/>
        <w:jc w:val="center"/>
        <w:textAlignment w:val="baseline"/>
        <w:rPr>
          <w:rStyle w:val="eop"/>
          <w:rFonts w:ascii="Arial" w:eastAsiaTheme="majorEastAsia" w:hAnsi="Arial" w:cs="Arial"/>
          <w:sz w:val="52"/>
          <w:szCs w:val="52"/>
        </w:rPr>
      </w:pPr>
    </w:p>
    <w:p w14:paraId="5CE2DC46" w14:textId="77777777" w:rsidR="00FC66B7" w:rsidRDefault="00FC66B7" w:rsidP="002847B8">
      <w:pPr>
        <w:pStyle w:val="paragraph"/>
        <w:shd w:val="clear" w:color="auto" w:fill="FFFFFF"/>
        <w:spacing w:before="0" w:beforeAutospacing="0" w:after="0" w:afterAutospacing="0"/>
        <w:jc w:val="center"/>
        <w:textAlignment w:val="baseline"/>
        <w:rPr>
          <w:rStyle w:val="eop"/>
          <w:rFonts w:ascii="Arial" w:eastAsiaTheme="majorEastAsia" w:hAnsi="Arial" w:cs="Arial"/>
          <w:sz w:val="52"/>
          <w:szCs w:val="52"/>
        </w:rPr>
      </w:pPr>
    </w:p>
    <w:p w14:paraId="7B33FB23" w14:textId="77777777" w:rsidR="00FC66B7" w:rsidRDefault="00FC66B7" w:rsidP="002847B8">
      <w:pPr>
        <w:pStyle w:val="paragraph"/>
        <w:shd w:val="clear" w:color="auto" w:fill="FFFFFF"/>
        <w:spacing w:before="0" w:beforeAutospacing="0" w:after="0" w:afterAutospacing="0"/>
        <w:jc w:val="center"/>
        <w:textAlignment w:val="baseline"/>
        <w:rPr>
          <w:rStyle w:val="eop"/>
          <w:rFonts w:ascii="Arial" w:eastAsiaTheme="majorEastAsia" w:hAnsi="Arial" w:cs="Arial"/>
          <w:sz w:val="52"/>
          <w:szCs w:val="52"/>
        </w:rPr>
      </w:pPr>
    </w:p>
    <w:p w14:paraId="04C51D56" w14:textId="77777777" w:rsidR="00FC66B7" w:rsidRDefault="00FC66B7" w:rsidP="002847B8">
      <w:pPr>
        <w:pStyle w:val="paragraph"/>
        <w:shd w:val="clear" w:color="auto" w:fill="FFFFFF"/>
        <w:spacing w:before="0" w:beforeAutospacing="0" w:after="0" w:afterAutospacing="0"/>
        <w:jc w:val="center"/>
        <w:textAlignment w:val="baseline"/>
        <w:rPr>
          <w:rStyle w:val="eop"/>
          <w:rFonts w:ascii="Arial" w:eastAsiaTheme="majorEastAsia" w:hAnsi="Arial" w:cs="Arial"/>
          <w:sz w:val="52"/>
          <w:szCs w:val="52"/>
        </w:rPr>
      </w:pPr>
    </w:p>
    <w:p w14:paraId="25E7DE68" w14:textId="77777777" w:rsidR="00FC66B7" w:rsidRDefault="00FC66B7" w:rsidP="002847B8">
      <w:pPr>
        <w:pStyle w:val="paragraph"/>
        <w:shd w:val="clear" w:color="auto" w:fill="FFFFFF"/>
        <w:spacing w:before="0" w:beforeAutospacing="0" w:after="0" w:afterAutospacing="0"/>
        <w:jc w:val="center"/>
        <w:textAlignment w:val="baseline"/>
        <w:rPr>
          <w:rStyle w:val="eop"/>
          <w:rFonts w:ascii="Arial" w:eastAsiaTheme="majorEastAsia" w:hAnsi="Arial" w:cs="Arial"/>
          <w:sz w:val="52"/>
          <w:szCs w:val="52"/>
        </w:rPr>
      </w:pPr>
    </w:p>
    <w:p w14:paraId="40E9264E" w14:textId="77777777" w:rsidR="00FC66B7" w:rsidRDefault="00FC66B7" w:rsidP="002847B8">
      <w:pPr>
        <w:pStyle w:val="paragraph"/>
        <w:shd w:val="clear" w:color="auto" w:fill="FFFFFF"/>
        <w:spacing w:before="0" w:beforeAutospacing="0" w:after="0" w:afterAutospacing="0"/>
        <w:jc w:val="center"/>
        <w:textAlignment w:val="baseline"/>
        <w:rPr>
          <w:rStyle w:val="eop"/>
          <w:rFonts w:ascii="Arial" w:eastAsiaTheme="majorEastAsia" w:hAnsi="Arial" w:cs="Arial"/>
          <w:sz w:val="52"/>
          <w:szCs w:val="52"/>
        </w:rPr>
      </w:pPr>
    </w:p>
    <w:p w14:paraId="08E72FE9" w14:textId="77777777" w:rsidR="00FC66B7" w:rsidRDefault="00FC66B7" w:rsidP="002847B8">
      <w:pPr>
        <w:pStyle w:val="paragraph"/>
        <w:shd w:val="clear" w:color="auto" w:fill="FFFFFF"/>
        <w:spacing w:before="0" w:beforeAutospacing="0" w:after="0" w:afterAutospacing="0"/>
        <w:jc w:val="center"/>
        <w:textAlignment w:val="baseline"/>
        <w:rPr>
          <w:rStyle w:val="eop"/>
          <w:rFonts w:ascii="Arial" w:eastAsiaTheme="majorEastAsia" w:hAnsi="Arial" w:cs="Arial"/>
          <w:sz w:val="52"/>
          <w:szCs w:val="52"/>
        </w:rPr>
      </w:pPr>
    </w:p>
    <w:p w14:paraId="4C25001C" w14:textId="77777777" w:rsidR="00FC66B7" w:rsidRDefault="00FC66B7" w:rsidP="002847B8">
      <w:pPr>
        <w:pStyle w:val="paragraph"/>
        <w:shd w:val="clear" w:color="auto" w:fill="FFFFFF"/>
        <w:spacing w:before="0" w:beforeAutospacing="0" w:after="0" w:afterAutospacing="0"/>
        <w:jc w:val="center"/>
        <w:textAlignment w:val="baseline"/>
        <w:rPr>
          <w:rStyle w:val="eop"/>
          <w:rFonts w:ascii="Arial" w:eastAsiaTheme="majorEastAsia" w:hAnsi="Arial" w:cs="Arial"/>
          <w:sz w:val="52"/>
          <w:szCs w:val="52"/>
        </w:rPr>
      </w:pPr>
    </w:p>
    <w:p w14:paraId="052661A7" w14:textId="77777777" w:rsidR="00FC66B7" w:rsidRDefault="00FC66B7" w:rsidP="002847B8">
      <w:pPr>
        <w:pStyle w:val="paragraph"/>
        <w:shd w:val="clear" w:color="auto" w:fill="FFFFFF"/>
        <w:spacing w:before="0" w:beforeAutospacing="0" w:after="0" w:afterAutospacing="0"/>
        <w:jc w:val="center"/>
        <w:textAlignment w:val="baseline"/>
        <w:rPr>
          <w:rStyle w:val="eop"/>
          <w:rFonts w:ascii="Arial" w:eastAsiaTheme="majorEastAsia" w:hAnsi="Arial" w:cs="Arial"/>
          <w:sz w:val="52"/>
          <w:szCs w:val="52"/>
        </w:rPr>
      </w:pPr>
    </w:p>
    <w:p w14:paraId="597F258A" w14:textId="77777777" w:rsidR="00FC66B7" w:rsidRDefault="00FC66B7" w:rsidP="002847B8">
      <w:pPr>
        <w:pStyle w:val="paragraph"/>
        <w:shd w:val="clear" w:color="auto" w:fill="FFFFFF"/>
        <w:spacing w:before="0" w:beforeAutospacing="0" w:after="0" w:afterAutospacing="0"/>
        <w:jc w:val="center"/>
        <w:textAlignment w:val="baseline"/>
        <w:rPr>
          <w:rFonts w:ascii="Segoe UI" w:hAnsi="Segoe UI" w:cs="Segoe UI"/>
          <w:sz w:val="18"/>
          <w:szCs w:val="18"/>
        </w:rPr>
      </w:pPr>
    </w:p>
    <w:p w14:paraId="7106CE80" w14:textId="77777777" w:rsidR="002847B8" w:rsidRDefault="002847B8" w:rsidP="002847B8">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36"/>
          <w:szCs w:val="36"/>
        </w:rPr>
        <w:t> </w:t>
      </w:r>
    </w:p>
    <w:p w14:paraId="2D2CFC76" w14:textId="77777777" w:rsidR="002847B8" w:rsidRDefault="002847B8" w:rsidP="002847B8">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lastRenderedPageBreak/>
        <w:t>This essay is going to evaluate how organisational change within health and care management affects organisational behaviour. It will outline the definitions of both organisational change and organisational behaviour. Moreover, it will focus on the effect of organisational change on the National Health Service as an organisation and the behavioural outcomes encountered by healthcare staff, with a primary focus on the behavioural effects on the nurse. This essay will also discuss both the positive and negative behaviours experienced through the implementation of organisational change in a healthcare setting. Subsequently, it will look at the effects of management on organisational change and behaviour and how resistance to change is a very common and unavoidable stumbling block. It will later highlight what the ADKAR model of change is and how it can be used as a tool for management in organisations to enforce organisational change. </w:t>
      </w:r>
      <w:r>
        <w:rPr>
          <w:rStyle w:val="eop"/>
          <w:rFonts w:ascii="Arial" w:eastAsiaTheme="majorEastAsia" w:hAnsi="Arial" w:cs="Arial"/>
        </w:rPr>
        <w:t> </w:t>
      </w:r>
    </w:p>
    <w:p w14:paraId="31DE0D5D" w14:textId="77777777" w:rsidR="002847B8" w:rsidRDefault="002847B8" w:rsidP="002847B8">
      <w:pPr>
        <w:pStyle w:val="paragraph"/>
        <w:shd w:val="clear" w:color="auto" w:fill="FFFFFF"/>
        <w:spacing w:before="0" w:beforeAutospacing="0" w:after="0" w:afterAutospacing="0"/>
        <w:textAlignment w:val="baseline"/>
        <w:rPr>
          <w:rFonts w:ascii="Segoe UI" w:hAnsi="Segoe UI" w:cs="Segoe UI"/>
          <w:sz w:val="18"/>
          <w:szCs w:val="18"/>
        </w:rPr>
      </w:pPr>
      <w:r>
        <w:rPr>
          <w:rStyle w:val="eop"/>
          <w:rFonts w:ascii="Arial" w:eastAsiaTheme="majorEastAsia" w:hAnsi="Arial" w:cs="Arial"/>
        </w:rPr>
        <w:t> </w:t>
      </w:r>
    </w:p>
    <w:p w14:paraId="2EB3821A" w14:textId="77777777" w:rsidR="002847B8" w:rsidRDefault="002847B8" w:rsidP="002847B8">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 xml:space="preserve">Naveed et al. (2017) described organisational change as an event which facilitates the performance of both current and past systems in a workplace environment, especially regarding systems which may not have worked effectively previously. </w:t>
      </w:r>
      <w:proofErr w:type="spellStart"/>
      <w:r>
        <w:rPr>
          <w:rStyle w:val="normaltextrun"/>
          <w:rFonts w:ascii="Arial" w:eastAsiaTheme="majorEastAsia" w:hAnsi="Arial" w:cs="Arial"/>
        </w:rPr>
        <w:t>Ibbs</w:t>
      </w:r>
      <w:proofErr w:type="spellEnd"/>
      <w:r>
        <w:rPr>
          <w:rStyle w:val="normaltextrun"/>
          <w:rFonts w:ascii="Arial" w:eastAsiaTheme="majorEastAsia" w:hAnsi="Arial" w:cs="Arial"/>
        </w:rPr>
        <w:t>, Wong and Kwak (2001) deemed that there is a direct interrelationship between the achievement of organisational objectives and making compulsory organisational changes. In healthcare, organisational change is a repeated occurrence where the prosperity of the outcome is related closely to factors such as the participants knowledge of and commitment to the changes (Pomare et al. 2019). With concern to healthcare, organisational change is constant and inescapable; the changes often occur expeditiously due to demands from external pressures (McMillan and Perron, 2020). </w:t>
      </w:r>
      <w:r>
        <w:rPr>
          <w:rStyle w:val="eop"/>
          <w:rFonts w:ascii="Arial" w:eastAsiaTheme="majorEastAsia" w:hAnsi="Arial" w:cs="Arial"/>
        </w:rPr>
        <w:t> </w:t>
      </w:r>
    </w:p>
    <w:p w14:paraId="3792E6B4" w14:textId="77777777" w:rsidR="002847B8" w:rsidRDefault="002847B8" w:rsidP="002847B8">
      <w:pPr>
        <w:pStyle w:val="paragraph"/>
        <w:shd w:val="clear" w:color="auto" w:fill="FFFFFF"/>
        <w:spacing w:before="0" w:beforeAutospacing="0" w:after="0" w:afterAutospacing="0"/>
        <w:textAlignment w:val="baseline"/>
        <w:rPr>
          <w:rFonts w:ascii="Segoe UI" w:hAnsi="Segoe UI" w:cs="Segoe UI"/>
          <w:sz w:val="18"/>
          <w:szCs w:val="18"/>
        </w:rPr>
      </w:pPr>
      <w:r>
        <w:rPr>
          <w:rStyle w:val="eop"/>
          <w:rFonts w:ascii="Arial" w:eastAsiaTheme="majorEastAsia" w:hAnsi="Arial" w:cs="Arial"/>
        </w:rPr>
        <w:t> </w:t>
      </w:r>
    </w:p>
    <w:p w14:paraId="19A95744" w14:textId="77777777" w:rsidR="002847B8" w:rsidRDefault="002847B8" w:rsidP="002847B8">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The National Health Service (NHS) is a health organisation that was founded in 1948 by Aneurin Bevan (Wilkin, Gillam and Smith, 2001). The NHS is constructed of a multitude of organisations which each have different roles to play and have certain areas of expertise available to patients (NHS England, 2024). The Government inflict organisational changes on healthcare systems which subsequently influences its employee’s behaviour (Afolabi, Fernando and Bottiglieri, 2018). It is public knowledge about the demands and pressures the NHS currently faces (Sims, 2023). The Department of Health (2005) proclaims that there is a demand for change and a revision of services within the NHS. The NHS is deemed to be a tough and fragmented system to implement change within due to budgetary constraints and intricate structures (Asthana et al., 2019). In respect of organisational change being complicated within the NHS, prospective change must have perks for staff (Wye and McClenahan, 2000). The Department of Health (2008) deemed that nurses play a monumental role in the enforcement of organisational change. </w:t>
      </w:r>
      <w:r>
        <w:rPr>
          <w:rStyle w:val="eop"/>
          <w:rFonts w:ascii="Arial" w:eastAsiaTheme="majorEastAsia" w:hAnsi="Arial" w:cs="Arial"/>
        </w:rPr>
        <w:t> </w:t>
      </w:r>
    </w:p>
    <w:p w14:paraId="1085974F" w14:textId="77777777" w:rsidR="002847B8" w:rsidRDefault="002847B8" w:rsidP="002847B8">
      <w:pPr>
        <w:pStyle w:val="paragraph"/>
        <w:shd w:val="clear" w:color="auto" w:fill="FFFFFF"/>
        <w:spacing w:before="0" w:beforeAutospacing="0" w:after="0" w:afterAutospacing="0"/>
        <w:textAlignment w:val="baseline"/>
        <w:rPr>
          <w:rFonts w:ascii="Segoe UI" w:hAnsi="Segoe UI" w:cs="Segoe UI"/>
          <w:sz w:val="18"/>
          <w:szCs w:val="18"/>
        </w:rPr>
      </w:pPr>
      <w:r>
        <w:rPr>
          <w:rStyle w:val="eop"/>
          <w:rFonts w:ascii="Arial" w:eastAsiaTheme="majorEastAsia" w:hAnsi="Arial" w:cs="Arial"/>
        </w:rPr>
        <w:t> </w:t>
      </w:r>
    </w:p>
    <w:p w14:paraId="6E55272C" w14:textId="77777777" w:rsidR="0057729F" w:rsidRDefault="002847B8" w:rsidP="002847B8">
      <w:pPr>
        <w:pStyle w:val="paragraph"/>
        <w:shd w:val="clear" w:color="auto" w:fill="FFFFFF"/>
        <w:spacing w:before="0" w:beforeAutospacing="0" w:after="0" w:afterAutospacing="0"/>
        <w:textAlignment w:val="baseline"/>
        <w:rPr>
          <w:rStyle w:val="normaltextrun"/>
          <w:rFonts w:ascii="Arial" w:eastAsiaTheme="majorEastAsia" w:hAnsi="Arial" w:cs="Arial"/>
        </w:rPr>
      </w:pPr>
      <w:r>
        <w:rPr>
          <w:rStyle w:val="normaltextrun"/>
          <w:rFonts w:ascii="Arial" w:eastAsiaTheme="majorEastAsia" w:hAnsi="Arial" w:cs="Arial"/>
        </w:rPr>
        <w:t xml:space="preserve">According to McMillan and Perron (2020), nurses are largely afflicted by organisational change. Xerri and Brunetto (2013) discussed the link between the relationship between nurses and the organisations they worked for and how it corresponds to how innovative a nurse was in the workplace. Nurses who were perceived to have positive relationships with the organisations were more inclined to practice innovation in the workplace which is deemed to be beneficial in the achievement of organisational goals (Xerri and Brunetto, 2013). Hewison (2012) believed a fundamental factor in nurses’ co-operation to organisational change was their ability to communicate effectively. Deschenes and </w:t>
      </w:r>
      <w:proofErr w:type="spellStart"/>
      <w:r>
        <w:rPr>
          <w:rStyle w:val="normaltextrun"/>
          <w:rFonts w:ascii="Arial" w:eastAsiaTheme="majorEastAsia" w:hAnsi="Arial" w:cs="Arial"/>
        </w:rPr>
        <w:t>Kunky</w:t>
      </w:r>
      <w:proofErr w:type="spellEnd"/>
      <w:r>
        <w:rPr>
          <w:rStyle w:val="normaltextrun"/>
          <w:rFonts w:ascii="Arial" w:eastAsiaTheme="majorEastAsia" w:hAnsi="Arial" w:cs="Arial"/>
        </w:rPr>
        <w:t xml:space="preserve"> (2020) observed that accelerated and perpetual organisational change impacts the communication </w:t>
      </w:r>
      <w:r>
        <w:rPr>
          <w:rStyle w:val="normaltextrun"/>
          <w:rFonts w:ascii="Arial" w:eastAsiaTheme="majorEastAsia" w:hAnsi="Arial" w:cs="Arial"/>
        </w:rPr>
        <w:lastRenderedPageBreak/>
        <w:t xml:space="preserve">between nurses and their patients by allowing very minimal time to build relationships. Furthermore, McMillan (2018) regarded that organisational change which </w:t>
      </w:r>
      <w:proofErr w:type="gramStart"/>
      <w:r>
        <w:rPr>
          <w:rStyle w:val="normaltextrun"/>
          <w:rFonts w:ascii="Arial" w:eastAsiaTheme="majorEastAsia" w:hAnsi="Arial" w:cs="Arial"/>
        </w:rPr>
        <w:t>was considered to be</w:t>
      </w:r>
      <w:proofErr w:type="gramEnd"/>
      <w:r>
        <w:rPr>
          <w:rStyle w:val="normaltextrun"/>
          <w:rFonts w:ascii="Arial" w:eastAsiaTheme="majorEastAsia" w:hAnsi="Arial" w:cs="Arial"/>
        </w:rPr>
        <w:t xml:space="preserve"> overwhelming can hugely affect nurses by rendering them to experience feelings of apathy and to feel vulnerable in their job roles. What’s more, organisational change can lead to there being a lack of consistent and efficient communication between nurses and their management (Scherer, 2009). </w:t>
      </w:r>
      <w:proofErr w:type="gramStart"/>
      <w:r>
        <w:rPr>
          <w:rStyle w:val="normaltextrun"/>
          <w:rFonts w:ascii="Arial" w:eastAsiaTheme="majorEastAsia" w:hAnsi="Arial" w:cs="Arial"/>
        </w:rPr>
        <w:t>In order to</w:t>
      </w:r>
      <w:proofErr w:type="gramEnd"/>
      <w:r>
        <w:rPr>
          <w:rStyle w:val="normaltextrun"/>
          <w:rFonts w:ascii="Arial" w:eastAsiaTheme="majorEastAsia" w:hAnsi="Arial" w:cs="Arial"/>
        </w:rPr>
        <w:t xml:space="preserve"> preserve and maintain the retention of nursing staff during organisational change, the workplace environment must be closely examined by management in order to ensure job satisfaction amongst nurses (Wall et al., 2016). Not to mention that Grant and Parker (2009) regarded it as a nurse’s duty within her role to both embrace change and find new ways of proposing changes themselves. Colleagues who have shared values and aspirations with their organisations are far more likely to be engaged with change (Gratton, 2000). A positive workplace environment allows individuals to work more smoothly and freely in times of organisational change (</w:t>
      </w:r>
      <w:proofErr w:type="spellStart"/>
      <w:r>
        <w:rPr>
          <w:rStyle w:val="normaltextrun"/>
          <w:rFonts w:ascii="Arial" w:eastAsiaTheme="majorEastAsia" w:hAnsi="Arial" w:cs="Arial"/>
        </w:rPr>
        <w:t>Bontis</w:t>
      </w:r>
      <w:proofErr w:type="spellEnd"/>
      <w:r>
        <w:rPr>
          <w:rStyle w:val="normaltextrun"/>
          <w:rFonts w:ascii="Arial" w:eastAsiaTheme="majorEastAsia" w:hAnsi="Arial" w:cs="Arial"/>
        </w:rPr>
        <w:t>, 1999). Research has shown that a negative organisational climate can increase stress levels of employees, cause friction in the workplace and affect the retention of staff (Pomare et al., 2019). </w:t>
      </w:r>
    </w:p>
    <w:p w14:paraId="700A6FBD" w14:textId="347B03FF" w:rsidR="002847B8" w:rsidRDefault="002847B8" w:rsidP="002847B8">
      <w:pPr>
        <w:pStyle w:val="paragraph"/>
        <w:shd w:val="clear" w:color="auto" w:fill="FFFFFF"/>
        <w:spacing w:before="0" w:beforeAutospacing="0" w:after="0" w:afterAutospacing="0"/>
        <w:textAlignment w:val="baseline"/>
        <w:rPr>
          <w:rFonts w:ascii="Segoe UI" w:hAnsi="Segoe UI" w:cs="Segoe UI"/>
          <w:sz w:val="18"/>
          <w:szCs w:val="18"/>
        </w:rPr>
      </w:pPr>
      <w:r>
        <w:rPr>
          <w:rStyle w:val="eop"/>
          <w:rFonts w:ascii="Arial" w:eastAsiaTheme="majorEastAsia" w:hAnsi="Arial" w:cs="Arial"/>
        </w:rPr>
        <w:t> </w:t>
      </w:r>
    </w:p>
    <w:p w14:paraId="5B6D8EC9" w14:textId="77777777" w:rsidR="002847B8" w:rsidRDefault="002847B8" w:rsidP="002847B8">
      <w:pPr>
        <w:pStyle w:val="paragraph"/>
        <w:shd w:val="clear" w:color="auto" w:fill="FFFFFF"/>
        <w:spacing w:before="0" w:beforeAutospacing="0" w:after="0" w:afterAutospacing="0"/>
        <w:textAlignment w:val="baseline"/>
        <w:rPr>
          <w:rStyle w:val="eop"/>
          <w:rFonts w:ascii="Arial" w:eastAsiaTheme="majorEastAsia" w:hAnsi="Arial" w:cs="Arial"/>
        </w:rPr>
      </w:pPr>
      <w:r>
        <w:rPr>
          <w:rStyle w:val="normaltextrun"/>
          <w:rFonts w:ascii="Arial" w:eastAsiaTheme="majorEastAsia" w:hAnsi="Arial" w:cs="Arial"/>
        </w:rPr>
        <w:t xml:space="preserve">Change can be an organisation’s biggest obstacle that they encounter (Carnall, 2002). Changes to organisations in healthcare </w:t>
      </w:r>
      <w:proofErr w:type="gramStart"/>
      <w:r>
        <w:rPr>
          <w:rStyle w:val="normaltextrun"/>
          <w:rFonts w:ascii="Arial" w:eastAsiaTheme="majorEastAsia" w:hAnsi="Arial" w:cs="Arial"/>
        </w:rPr>
        <w:t>are considered to be</w:t>
      </w:r>
      <w:proofErr w:type="gramEnd"/>
      <w:r>
        <w:rPr>
          <w:rStyle w:val="normaltextrun"/>
          <w:rFonts w:ascii="Arial" w:eastAsiaTheme="majorEastAsia" w:hAnsi="Arial" w:cs="Arial"/>
        </w:rPr>
        <w:t xml:space="preserve"> complicated and complex (</w:t>
      </w:r>
      <w:proofErr w:type="spellStart"/>
      <w:r>
        <w:rPr>
          <w:rStyle w:val="normaltextrun"/>
          <w:rFonts w:ascii="Arial" w:eastAsiaTheme="majorEastAsia" w:hAnsi="Arial" w:cs="Arial"/>
        </w:rPr>
        <w:t>Ywye</w:t>
      </w:r>
      <w:proofErr w:type="spellEnd"/>
      <w:r>
        <w:rPr>
          <w:rStyle w:val="normaltextrun"/>
          <w:rFonts w:ascii="Arial" w:eastAsiaTheme="majorEastAsia" w:hAnsi="Arial" w:cs="Arial"/>
        </w:rPr>
        <w:t xml:space="preserve"> and McClenahan, 2000) however, organisational change is imperative in settings where growth is necessary from a business perspective (Hussain et al, 2018). Change also enhances an organisation by encouraging newfound behaviours amongst employees (Van der Ven, 2011). Organisational behaviour is behaviour which facilitates the aspirations of an organisation (Organ, 1997). Individuals who have an active involvement in organisations are more inclined to perform in accordance and alignment with the objectives set out by the organisation (Gratton, 2000). Petrou, Demerouti and Schaufeli (2018) expressed the belief that employees play an integral role in relation to the success of change within an organisation. Mullins (2019) proposed that behaviour in the workplace is a direct consequence of four correlative factors: the individual, the group, the organisation and the environment. Hewison (2012) insists that models of change are not essential when it comes to management within a healthcare setting however, they lay out foundations which provide manager’s working within healthcare with coping skills which are applicable during times of organisational change. </w:t>
      </w:r>
      <w:r>
        <w:rPr>
          <w:rStyle w:val="eop"/>
          <w:rFonts w:ascii="Arial" w:eastAsiaTheme="majorEastAsia" w:hAnsi="Arial" w:cs="Arial"/>
        </w:rPr>
        <w:t> </w:t>
      </w:r>
    </w:p>
    <w:p w14:paraId="604182F0" w14:textId="77777777" w:rsidR="00043F1F" w:rsidRDefault="00043F1F" w:rsidP="002847B8">
      <w:pPr>
        <w:pStyle w:val="paragraph"/>
        <w:shd w:val="clear" w:color="auto" w:fill="FFFFFF"/>
        <w:spacing w:before="0" w:beforeAutospacing="0" w:after="0" w:afterAutospacing="0"/>
        <w:textAlignment w:val="baseline"/>
        <w:rPr>
          <w:rFonts w:ascii="Segoe UI" w:hAnsi="Segoe UI" w:cs="Segoe UI"/>
          <w:sz w:val="18"/>
          <w:szCs w:val="18"/>
        </w:rPr>
      </w:pPr>
    </w:p>
    <w:p w14:paraId="150B88DE" w14:textId="77777777" w:rsidR="002847B8" w:rsidRDefault="002847B8" w:rsidP="002847B8">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 xml:space="preserve">Hewison (2012) considers nurses involved in management roles to be pillars of promoting change within healthcare. Those in managerial roles play a constituent part in imposing organisational change, especially those who are valued by staff (Greenhalgh et al., 2004). To that end, Mintzberg (1994) insists that organisational change is an essential component of nursing and due to the autonomy of the role, nurses mould well into managerial roles. The discipline required within nursing management correlates with confidence in instilling change (Causer and </w:t>
      </w:r>
      <w:proofErr w:type="spellStart"/>
      <w:r>
        <w:rPr>
          <w:rStyle w:val="normaltextrun"/>
          <w:rFonts w:ascii="Arial" w:eastAsiaTheme="majorEastAsia" w:hAnsi="Arial" w:cs="Arial"/>
        </w:rPr>
        <w:t>Exworthy</w:t>
      </w:r>
      <w:proofErr w:type="spellEnd"/>
      <w:r>
        <w:rPr>
          <w:rStyle w:val="normaltextrun"/>
          <w:rFonts w:ascii="Arial" w:eastAsiaTheme="majorEastAsia" w:hAnsi="Arial" w:cs="Arial"/>
        </w:rPr>
        <w:t xml:space="preserve">, 1999). According to The Department of Health (2011) nurses are to facilitate change with championing behaviour. Faupel and Sub (2019) figured championing behaviour to be fundamental in organisational change promotion. </w:t>
      </w:r>
      <w:proofErr w:type="spellStart"/>
      <w:r>
        <w:rPr>
          <w:rStyle w:val="normaltextrun"/>
          <w:rFonts w:ascii="Arial" w:eastAsiaTheme="majorEastAsia" w:hAnsi="Arial" w:cs="Arial"/>
        </w:rPr>
        <w:t>Herscovitch</w:t>
      </w:r>
      <w:proofErr w:type="spellEnd"/>
      <w:r>
        <w:rPr>
          <w:rStyle w:val="normaltextrun"/>
          <w:rFonts w:ascii="Arial" w:eastAsiaTheme="majorEastAsia" w:hAnsi="Arial" w:cs="Arial"/>
        </w:rPr>
        <w:t xml:space="preserve"> and Meyer (2002) described championing behaviour as:</w:t>
      </w:r>
      <w:r>
        <w:rPr>
          <w:rStyle w:val="eop"/>
          <w:rFonts w:ascii="Arial" w:eastAsiaTheme="majorEastAsia" w:hAnsi="Arial" w:cs="Arial"/>
        </w:rPr>
        <w:t> </w:t>
      </w:r>
    </w:p>
    <w:p w14:paraId="768E69F0" w14:textId="77777777" w:rsidR="002847B8" w:rsidRDefault="002847B8" w:rsidP="002847B8">
      <w:pPr>
        <w:pStyle w:val="paragraph"/>
        <w:shd w:val="clear" w:color="auto" w:fill="FFFFFF"/>
        <w:spacing w:before="0" w:beforeAutospacing="0" w:after="0" w:afterAutospacing="0"/>
        <w:ind w:left="720"/>
        <w:textAlignment w:val="baseline"/>
        <w:rPr>
          <w:rFonts w:ascii="Segoe UI" w:hAnsi="Segoe UI" w:cs="Segoe UI"/>
          <w:sz w:val="18"/>
          <w:szCs w:val="18"/>
        </w:rPr>
      </w:pPr>
      <w:r>
        <w:rPr>
          <w:rStyle w:val="normaltextrun"/>
          <w:rFonts w:ascii="Arial" w:eastAsiaTheme="majorEastAsia" w:hAnsi="Arial" w:cs="Arial"/>
        </w:rPr>
        <w:t>“…demonstrating extreme enthusiasm for a change by going above and beyond what is formally required to ensure the success of the change and promoting the change to others.”</w:t>
      </w:r>
      <w:r>
        <w:rPr>
          <w:rStyle w:val="eop"/>
          <w:rFonts w:ascii="Arial" w:eastAsiaTheme="majorEastAsia" w:hAnsi="Arial" w:cs="Arial"/>
        </w:rPr>
        <w:t> </w:t>
      </w:r>
    </w:p>
    <w:p w14:paraId="50830C5B" w14:textId="77777777" w:rsidR="002847B8" w:rsidRDefault="002847B8" w:rsidP="002847B8">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lastRenderedPageBreak/>
        <w:t>Employees who exhibit championing behaviour facilitate organisational change, especially during critical periods of change (Rothwell et al., 1974). Management who champion change inspire confidence in their teams and eradicate feelings of confusion amongst staff while also ensuring every individual is aiming towards the same shared goals of the organisation (Howell and Shea, 2006). Management and employee advocation for change corresponds to how willing employees are to embrace organisational change (Faupel and Sub, 2019). Furthermore, organisational change is much more effective when management displays interest and engagement with the change (Islam, Furuoka and Idris, 2022). A useful tool for management within a healthcare setting to help them navigate organisational change was deemed, by Hiatt (2006), to be the ADKAR model. </w:t>
      </w:r>
      <w:r>
        <w:rPr>
          <w:rStyle w:val="eop"/>
          <w:rFonts w:ascii="Arial" w:eastAsiaTheme="majorEastAsia" w:hAnsi="Arial" w:cs="Arial"/>
        </w:rPr>
        <w:t> </w:t>
      </w:r>
    </w:p>
    <w:p w14:paraId="4E7DD5C0" w14:textId="77777777" w:rsidR="002847B8" w:rsidRDefault="002847B8" w:rsidP="002847B8">
      <w:pPr>
        <w:pStyle w:val="paragraph"/>
        <w:shd w:val="clear" w:color="auto" w:fill="FFFFFF"/>
        <w:spacing w:before="0" w:beforeAutospacing="0" w:after="0" w:afterAutospacing="0"/>
        <w:textAlignment w:val="baseline"/>
        <w:rPr>
          <w:rFonts w:ascii="Segoe UI" w:hAnsi="Segoe UI" w:cs="Segoe UI"/>
          <w:sz w:val="18"/>
          <w:szCs w:val="18"/>
        </w:rPr>
      </w:pPr>
      <w:r>
        <w:rPr>
          <w:rStyle w:val="eop"/>
          <w:rFonts w:ascii="Arial" w:eastAsiaTheme="majorEastAsia" w:hAnsi="Arial" w:cs="Arial"/>
        </w:rPr>
        <w:t> </w:t>
      </w:r>
    </w:p>
    <w:p w14:paraId="4C7E06A8" w14:textId="77777777" w:rsidR="002847B8" w:rsidRDefault="002847B8" w:rsidP="002847B8">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A model of change with a versatile structure that is applicable in healthcare is The ADKAR model (Kaminski, 2022). The ADKAR model is a comprehensive model which has a particular focus on participant participation and enthusiasm during the operation of implementing change (</w:t>
      </w:r>
      <w:proofErr w:type="spellStart"/>
      <w:r>
        <w:rPr>
          <w:rStyle w:val="normaltextrun"/>
          <w:rFonts w:ascii="Arial" w:eastAsiaTheme="majorEastAsia" w:hAnsi="Arial" w:cs="Arial"/>
        </w:rPr>
        <w:t>Kliewe</w:t>
      </w:r>
      <w:proofErr w:type="spellEnd"/>
      <w:r>
        <w:rPr>
          <w:rStyle w:val="normaltextrun"/>
          <w:rFonts w:ascii="Arial" w:eastAsiaTheme="majorEastAsia" w:hAnsi="Arial" w:cs="Arial"/>
        </w:rPr>
        <w:t xml:space="preserve">, Davey and </w:t>
      </w:r>
      <w:proofErr w:type="spellStart"/>
      <w:r>
        <w:rPr>
          <w:rStyle w:val="normaltextrun"/>
          <w:rFonts w:ascii="Arial" w:eastAsiaTheme="majorEastAsia" w:hAnsi="Arial" w:cs="Arial"/>
        </w:rPr>
        <w:t>Baaken</w:t>
      </w:r>
      <w:proofErr w:type="spellEnd"/>
      <w:r>
        <w:rPr>
          <w:rStyle w:val="normaltextrun"/>
          <w:rFonts w:ascii="Arial" w:eastAsiaTheme="majorEastAsia" w:hAnsi="Arial" w:cs="Arial"/>
        </w:rPr>
        <w:t>, 2013). According to Kozlowski and Bell (2003), two or more individuals who are propelled to achieve shared goals is what defines a ‘team.’ One way to assess a team’s ability and willingness to process organisational change is through the ADKAR model (Hiatt, 2006). ADKAR is an acrostic for Awareness, Desire, Knowledge, Ability and Reinforcement (</w:t>
      </w:r>
      <w:proofErr w:type="spellStart"/>
      <w:r>
        <w:rPr>
          <w:rStyle w:val="normaltextrun"/>
          <w:rFonts w:ascii="Arial" w:eastAsiaTheme="majorEastAsia" w:hAnsi="Arial" w:cs="Arial"/>
        </w:rPr>
        <w:t>Kachian</w:t>
      </w:r>
      <w:proofErr w:type="spellEnd"/>
      <w:r>
        <w:rPr>
          <w:rStyle w:val="normaltextrun"/>
          <w:rFonts w:ascii="Arial" w:eastAsiaTheme="majorEastAsia" w:hAnsi="Arial" w:cs="Arial"/>
        </w:rPr>
        <w:t xml:space="preserve">, </w:t>
      </w:r>
      <w:proofErr w:type="spellStart"/>
      <w:r>
        <w:rPr>
          <w:rStyle w:val="normaltextrun"/>
          <w:rFonts w:ascii="Arial" w:eastAsiaTheme="majorEastAsia" w:hAnsi="Arial" w:cs="Arial"/>
        </w:rPr>
        <w:t>Elyasi</w:t>
      </w:r>
      <w:proofErr w:type="spellEnd"/>
      <w:r>
        <w:rPr>
          <w:rStyle w:val="normaltextrun"/>
          <w:rFonts w:ascii="Arial" w:eastAsiaTheme="majorEastAsia" w:hAnsi="Arial" w:cs="Arial"/>
        </w:rPr>
        <w:t xml:space="preserve"> and Haghani, 2018). Awareness refers to the awareness around the need for the changes being appointed, Desire stands for the want of the participants to take part in the change, Knowledge refers to being aware on ways that the change can be made and implemented, Ability refers to the qualities and behaviours of the participants that are obligatory in the successful outcome of the change, and Reinforcement refers to how the change will be made viable (</w:t>
      </w:r>
      <w:proofErr w:type="spellStart"/>
      <w:r>
        <w:rPr>
          <w:rStyle w:val="normaltextrun"/>
          <w:rFonts w:ascii="Arial" w:eastAsiaTheme="majorEastAsia" w:hAnsi="Arial" w:cs="Arial"/>
        </w:rPr>
        <w:t>Prosci</w:t>
      </w:r>
      <w:proofErr w:type="spellEnd"/>
      <w:r>
        <w:rPr>
          <w:rStyle w:val="normaltextrun"/>
          <w:rFonts w:ascii="Arial" w:eastAsiaTheme="majorEastAsia" w:hAnsi="Arial" w:cs="Arial"/>
        </w:rPr>
        <w:t xml:space="preserve"> 2015). Kaminski (2022) determined that when using the ADKAR model regarding change the main focal point is on participant involvement which is applicable in healthcare settings where the individual’s reception to change within an organisation correlates with the success of the overall changes being enforced. Furthermore, Galli (2018) considered the ADKAR model to the most fitting tool to encourage change in an organisation due to its people-focused approach. Kaminski (2022) believed the ADKAR model to be an efficient tool in helping to deter individuals’ resistance to change and motivate them to engage with change efficiently. </w:t>
      </w:r>
      <w:r>
        <w:rPr>
          <w:rStyle w:val="eop"/>
          <w:rFonts w:ascii="Arial" w:eastAsiaTheme="majorEastAsia" w:hAnsi="Arial" w:cs="Arial"/>
        </w:rPr>
        <w:t> </w:t>
      </w:r>
    </w:p>
    <w:p w14:paraId="19D2480E" w14:textId="77777777" w:rsidR="002847B8" w:rsidRDefault="002847B8" w:rsidP="002847B8">
      <w:pPr>
        <w:pStyle w:val="paragraph"/>
        <w:shd w:val="clear" w:color="auto" w:fill="FFFFFF"/>
        <w:spacing w:before="0" w:beforeAutospacing="0" w:after="0" w:afterAutospacing="0"/>
        <w:textAlignment w:val="baseline"/>
        <w:rPr>
          <w:rFonts w:ascii="Segoe UI" w:hAnsi="Segoe UI" w:cs="Segoe UI"/>
          <w:sz w:val="18"/>
          <w:szCs w:val="18"/>
        </w:rPr>
      </w:pPr>
      <w:r>
        <w:rPr>
          <w:rStyle w:val="eop"/>
          <w:rFonts w:ascii="Arial" w:eastAsiaTheme="majorEastAsia" w:hAnsi="Arial" w:cs="Arial"/>
        </w:rPr>
        <w:t> </w:t>
      </w:r>
    </w:p>
    <w:p w14:paraId="3322FF94" w14:textId="77777777" w:rsidR="002847B8" w:rsidRDefault="002847B8" w:rsidP="002847B8">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A factor that threatens the success of organisational change are employees displaying resistance behaviour, to the point where they lack pleasure in their job roles and employee retention is massively affected (</w:t>
      </w:r>
      <w:proofErr w:type="spellStart"/>
      <w:r>
        <w:rPr>
          <w:rStyle w:val="normaltextrun"/>
          <w:rFonts w:ascii="Arial" w:eastAsiaTheme="majorEastAsia" w:hAnsi="Arial" w:cs="Arial"/>
        </w:rPr>
        <w:t>Oreg</w:t>
      </w:r>
      <w:proofErr w:type="spellEnd"/>
      <w:r>
        <w:rPr>
          <w:rStyle w:val="normaltextrun"/>
          <w:rFonts w:ascii="Arial" w:eastAsiaTheme="majorEastAsia" w:hAnsi="Arial" w:cs="Arial"/>
        </w:rPr>
        <w:t xml:space="preserve">, 2006). Resistance </w:t>
      </w:r>
      <w:proofErr w:type="gramStart"/>
      <w:r>
        <w:rPr>
          <w:rStyle w:val="normaltextrun"/>
          <w:rFonts w:ascii="Arial" w:eastAsiaTheme="majorEastAsia" w:hAnsi="Arial" w:cs="Arial"/>
        </w:rPr>
        <w:t>by definition is</w:t>
      </w:r>
      <w:proofErr w:type="gramEnd"/>
      <w:r>
        <w:rPr>
          <w:rStyle w:val="normaltextrun"/>
          <w:rFonts w:ascii="Arial" w:eastAsiaTheme="majorEastAsia" w:hAnsi="Arial" w:cs="Arial"/>
        </w:rPr>
        <w:t xml:space="preserve"> described as pessimistic and unfavourable reactions to change (Del Val and Fuentes, 2003). Opposition to change is a common occurrence according to Hiatt (2006) who insisted that factors such as when staff feel encumbered by their obligations and duties of their roles and when there is a deficit in their skillsets required </w:t>
      </w:r>
      <w:proofErr w:type="gramStart"/>
      <w:r>
        <w:rPr>
          <w:rStyle w:val="normaltextrun"/>
          <w:rFonts w:ascii="Arial" w:eastAsiaTheme="majorEastAsia" w:hAnsi="Arial" w:cs="Arial"/>
        </w:rPr>
        <w:t>in order to</w:t>
      </w:r>
      <w:proofErr w:type="gramEnd"/>
      <w:r>
        <w:rPr>
          <w:rStyle w:val="normaltextrun"/>
          <w:rFonts w:ascii="Arial" w:eastAsiaTheme="majorEastAsia" w:hAnsi="Arial" w:cs="Arial"/>
        </w:rPr>
        <w:t xml:space="preserve"> apply change throughout an organisation are the main reasons for resistance. Change within an organisation is often met with resistance (Lines, 2004). In other words, individuals sometimes have a difficult time with altering their everyday routines (Szabla, 2007). Many of the physical changes related to organisational change result in the alteration of workplace culture and behaviours; these physical changes can result in employees experiencing stress, a change in their job satisfaction levels and them wanting to abandon their roles within the </w:t>
      </w:r>
      <w:r>
        <w:rPr>
          <w:rStyle w:val="normaltextrun"/>
          <w:rFonts w:ascii="Arial" w:eastAsiaTheme="majorEastAsia" w:hAnsi="Arial" w:cs="Arial"/>
        </w:rPr>
        <w:lastRenderedPageBreak/>
        <w:t xml:space="preserve">organisation (Pomare et al, 2019). Furthermore, Brown and Cregan (2008) realise that individuals present more resistance to change when the change process proves to be too demanding and challenging. However, </w:t>
      </w:r>
      <w:proofErr w:type="spellStart"/>
      <w:r>
        <w:rPr>
          <w:rStyle w:val="normaltextrun"/>
          <w:rFonts w:ascii="Arial" w:eastAsiaTheme="majorEastAsia" w:hAnsi="Arial" w:cs="Arial"/>
        </w:rPr>
        <w:t>Kachian</w:t>
      </w:r>
      <w:proofErr w:type="spellEnd"/>
      <w:r>
        <w:rPr>
          <w:rStyle w:val="normaltextrun"/>
          <w:rFonts w:ascii="Arial" w:eastAsiaTheme="majorEastAsia" w:hAnsi="Arial" w:cs="Arial"/>
        </w:rPr>
        <w:t xml:space="preserve">, </w:t>
      </w:r>
      <w:proofErr w:type="spellStart"/>
      <w:r>
        <w:rPr>
          <w:rStyle w:val="normaltextrun"/>
          <w:rFonts w:ascii="Arial" w:eastAsiaTheme="majorEastAsia" w:hAnsi="Arial" w:cs="Arial"/>
        </w:rPr>
        <w:t>Elyasi</w:t>
      </w:r>
      <w:proofErr w:type="spellEnd"/>
      <w:r>
        <w:rPr>
          <w:rStyle w:val="normaltextrun"/>
          <w:rFonts w:ascii="Arial" w:eastAsiaTheme="majorEastAsia" w:hAnsi="Arial" w:cs="Arial"/>
        </w:rPr>
        <w:t xml:space="preserve"> and Haghani (2019) concludes that aversion to change is an instinctive human response but even so, humans are very resilient. Another negative behavioural outcome of organisational change is that the general welfare of individual’s involved may be affected, for example, they experience feelings of isolation within their job roles and be fearful of the change (</w:t>
      </w:r>
      <w:proofErr w:type="spellStart"/>
      <w:r>
        <w:rPr>
          <w:rStyle w:val="normaltextrun"/>
          <w:rFonts w:ascii="Arial" w:eastAsiaTheme="majorEastAsia" w:hAnsi="Arial" w:cs="Arial"/>
        </w:rPr>
        <w:t>Coid</w:t>
      </w:r>
      <w:proofErr w:type="spellEnd"/>
      <w:r>
        <w:rPr>
          <w:rStyle w:val="normaltextrun"/>
          <w:rFonts w:ascii="Arial" w:eastAsiaTheme="majorEastAsia" w:hAnsi="Arial" w:cs="Arial"/>
        </w:rPr>
        <w:t xml:space="preserve"> and Davies, 2007). To that end, organisations must be conscientious about the importance of studying employee’s resistance </w:t>
      </w:r>
      <w:proofErr w:type="gramStart"/>
      <w:r>
        <w:rPr>
          <w:rStyle w:val="normaltextrun"/>
          <w:rFonts w:ascii="Arial" w:eastAsiaTheme="majorEastAsia" w:hAnsi="Arial" w:cs="Arial"/>
        </w:rPr>
        <w:t>in order to</w:t>
      </w:r>
      <w:proofErr w:type="gramEnd"/>
      <w:r>
        <w:rPr>
          <w:rStyle w:val="normaltextrun"/>
          <w:rFonts w:ascii="Arial" w:eastAsiaTheme="majorEastAsia" w:hAnsi="Arial" w:cs="Arial"/>
        </w:rPr>
        <w:t xml:space="preserve"> better support organisational change and observe positive behaviour amongst staff (Del Val and Fuentes, 2003). Successful organisations </w:t>
      </w:r>
      <w:proofErr w:type="gramStart"/>
      <w:r>
        <w:rPr>
          <w:rStyle w:val="normaltextrun"/>
          <w:rFonts w:ascii="Arial" w:eastAsiaTheme="majorEastAsia" w:hAnsi="Arial" w:cs="Arial"/>
        </w:rPr>
        <w:t>are considered to be</w:t>
      </w:r>
      <w:proofErr w:type="gramEnd"/>
      <w:r>
        <w:rPr>
          <w:rStyle w:val="normaltextrun"/>
          <w:rFonts w:ascii="Arial" w:eastAsiaTheme="majorEastAsia" w:hAnsi="Arial" w:cs="Arial"/>
        </w:rPr>
        <w:t xml:space="preserve"> those who value and are conscientious of the individuals within the organisations’ needs (Stalker, 2000). Moreover, the desire for an organisation to conduct any further changes in future instances is a direct result of successful change (Ozawa, 2000). </w:t>
      </w:r>
      <w:r>
        <w:rPr>
          <w:rStyle w:val="eop"/>
          <w:rFonts w:ascii="Arial" w:eastAsiaTheme="majorEastAsia" w:hAnsi="Arial" w:cs="Arial"/>
        </w:rPr>
        <w:t> </w:t>
      </w:r>
    </w:p>
    <w:p w14:paraId="60B396F9" w14:textId="77777777" w:rsidR="002847B8" w:rsidRDefault="002847B8" w:rsidP="002847B8">
      <w:pPr>
        <w:pStyle w:val="paragraph"/>
        <w:shd w:val="clear" w:color="auto" w:fill="FFFFFF"/>
        <w:spacing w:before="0" w:beforeAutospacing="0" w:after="0" w:afterAutospacing="0"/>
        <w:textAlignment w:val="baseline"/>
        <w:rPr>
          <w:rFonts w:ascii="Segoe UI" w:hAnsi="Segoe UI" w:cs="Segoe UI"/>
          <w:sz w:val="18"/>
          <w:szCs w:val="18"/>
        </w:rPr>
      </w:pPr>
      <w:r>
        <w:rPr>
          <w:rStyle w:val="eop"/>
          <w:rFonts w:ascii="Arial" w:eastAsiaTheme="majorEastAsia" w:hAnsi="Arial" w:cs="Arial"/>
        </w:rPr>
        <w:t> </w:t>
      </w:r>
    </w:p>
    <w:p w14:paraId="64B3AFDD" w14:textId="77777777" w:rsidR="002847B8" w:rsidRDefault="002847B8" w:rsidP="002847B8">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In summary, change paves the way for dramatically improved services being offered by healthcare staff. Moreover, within healthcare, nurses play a crucial role in implementing organisational change. It is evident that nurses who also take on managerial roles are better suited to implementing change due to the respect shown by other colleagues and having existing knowledge of the challenges of the job role which better prepares them to face organisational change. Furthermore, models of change are a necessary and advantageous tool for management to have structure around the changes they wish to invoke. Lastly, the essay concludes that resistance is an inevitable factor when enforcing organisational changes. </w:t>
      </w:r>
      <w:r>
        <w:rPr>
          <w:rStyle w:val="eop"/>
          <w:rFonts w:ascii="Arial" w:eastAsiaTheme="majorEastAsia" w:hAnsi="Arial" w:cs="Arial"/>
        </w:rPr>
        <w:t> </w:t>
      </w:r>
    </w:p>
    <w:p w14:paraId="1628548D" w14:textId="77777777" w:rsidR="002847B8" w:rsidRDefault="002847B8" w:rsidP="00235DDC">
      <w:pPr>
        <w:spacing w:line="360" w:lineRule="auto"/>
        <w:jc w:val="both"/>
        <w:rPr>
          <w:rFonts w:ascii="Arial" w:hAnsi="Arial" w:cs="Arial"/>
        </w:rPr>
      </w:pPr>
    </w:p>
    <w:p w14:paraId="3B825119" w14:textId="77777777" w:rsidR="002847B8" w:rsidRDefault="002847B8" w:rsidP="00235DDC">
      <w:pPr>
        <w:spacing w:line="360" w:lineRule="auto"/>
        <w:jc w:val="both"/>
        <w:rPr>
          <w:rFonts w:ascii="Arial" w:hAnsi="Arial" w:cs="Arial"/>
        </w:rPr>
      </w:pPr>
    </w:p>
    <w:p w14:paraId="46A66C3B" w14:textId="77777777" w:rsidR="002847B8" w:rsidRDefault="002847B8" w:rsidP="00235DDC">
      <w:pPr>
        <w:spacing w:line="360" w:lineRule="auto"/>
        <w:jc w:val="both"/>
        <w:rPr>
          <w:rFonts w:ascii="Arial" w:hAnsi="Arial" w:cs="Arial"/>
        </w:rPr>
      </w:pPr>
    </w:p>
    <w:p w14:paraId="15F898D8" w14:textId="77777777" w:rsidR="002847B8" w:rsidRDefault="002847B8" w:rsidP="00235DDC">
      <w:pPr>
        <w:spacing w:line="360" w:lineRule="auto"/>
        <w:jc w:val="both"/>
        <w:rPr>
          <w:rFonts w:ascii="Arial" w:hAnsi="Arial" w:cs="Arial"/>
        </w:rPr>
      </w:pPr>
    </w:p>
    <w:p w14:paraId="5D4985E4" w14:textId="77777777" w:rsidR="002847B8" w:rsidRDefault="002847B8" w:rsidP="00235DDC">
      <w:pPr>
        <w:spacing w:line="360" w:lineRule="auto"/>
        <w:jc w:val="both"/>
        <w:rPr>
          <w:rFonts w:ascii="Arial" w:hAnsi="Arial" w:cs="Arial"/>
        </w:rPr>
      </w:pPr>
    </w:p>
    <w:p w14:paraId="3B5D9D83" w14:textId="77777777" w:rsidR="002847B8" w:rsidRDefault="002847B8" w:rsidP="00235DDC">
      <w:pPr>
        <w:spacing w:line="360" w:lineRule="auto"/>
        <w:jc w:val="both"/>
        <w:rPr>
          <w:rFonts w:ascii="Arial" w:hAnsi="Arial" w:cs="Arial"/>
        </w:rPr>
      </w:pPr>
    </w:p>
    <w:p w14:paraId="2308937B" w14:textId="77777777" w:rsidR="002847B8" w:rsidRDefault="002847B8" w:rsidP="00235DDC">
      <w:pPr>
        <w:spacing w:line="360" w:lineRule="auto"/>
        <w:jc w:val="both"/>
        <w:rPr>
          <w:rFonts w:ascii="Arial" w:hAnsi="Arial" w:cs="Arial"/>
        </w:rPr>
      </w:pPr>
    </w:p>
    <w:p w14:paraId="1C5C85C5" w14:textId="77777777" w:rsidR="002847B8" w:rsidRDefault="002847B8" w:rsidP="00235DDC">
      <w:pPr>
        <w:spacing w:line="360" w:lineRule="auto"/>
        <w:jc w:val="both"/>
        <w:rPr>
          <w:rFonts w:ascii="Arial" w:hAnsi="Arial" w:cs="Arial"/>
        </w:rPr>
      </w:pPr>
    </w:p>
    <w:p w14:paraId="0D6B45C1" w14:textId="77777777" w:rsidR="002847B8" w:rsidRDefault="002847B8" w:rsidP="00235DDC">
      <w:pPr>
        <w:spacing w:line="360" w:lineRule="auto"/>
        <w:jc w:val="both"/>
        <w:rPr>
          <w:rFonts w:ascii="Arial" w:hAnsi="Arial" w:cs="Arial"/>
        </w:rPr>
      </w:pPr>
    </w:p>
    <w:p w14:paraId="5F95C50A" w14:textId="77777777" w:rsidR="002847B8" w:rsidRDefault="002847B8" w:rsidP="00235DDC">
      <w:pPr>
        <w:spacing w:line="360" w:lineRule="auto"/>
        <w:jc w:val="both"/>
        <w:rPr>
          <w:rFonts w:ascii="Arial" w:hAnsi="Arial" w:cs="Arial"/>
        </w:rPr>
      </w:pPr>
    </w:p>
    <w:p w14:paraId="2D6E14C8" w14:textId="77777777" w:rsidR="002847B8" w:rsidRDefault="002847B8" w:rsidP="00235DDC">
      <w:pPr>
        <w:spacing w:line="360" w:lineRule="auto"/>
        <w:jc w:val="both"/>
        <w:rPr>
          <w:rFonts w:ascii="Arial" w:hAnsi="Arial" w:cs="Arial"/>
        </w:rPr>
      </w:pPr>
    </w:p>
    <w:p w14:paraId="2F56EB78" w14:textId="77777777" w:rsidR="002847B8" w:rsidRDefault="002847B8" w:rsidP="00235DDC">
      <w:pPr>
        <w:spacing w:line="360" w:lineRule="auto"/>
        <w:jc w:val="both"/>
        <w:rPr>
          <w:rFonts w:ascii="Arial" w:hAnsi="Arial" w:cs="Arial"/>
        </w:rPr>
      </w:pPr>
    </w:p>
    <w:p w14:paraId="7E3D7020" w14:textId="77777777" w:rsidR="00A66420" w:rsidRDefault="00A66420" w:rsidP="00235DDC">
      <w:pPr>
        <w:spacing w:after="0" w:line="360" w:lineRule="auto"/>
        <w:jc w:val="both"/>
        <w:textAlignment w:val="baseline"/>
        <w:rPr>
          <w:rFonts w:ascii="Arial" w:hAnsi="Arial" w:cs="Arial"/>
        </w:rPr>
      </w:pPr>
    </w:p>
    <w:p w14:paraId="20DFECAD" w14:textId="77777777" w:rsidR="00A66420" w:rsidRDefault="00A66420" w:rsidP="00235DDC">
      <w:pPr>
        <w:spacing w:after="0" w:line="360" w:lineRule="auto"/>
        <w:jc w:val="both"/>
        <w:textAlignment w:val="baseline"/>
        <w:rPr>
          <w:rFonts w:ascii="Arial" w:hAnsi="Arial" w:cs="Arial"/>
        </w:rPr>
      </w:pPr>
    </w:p>
    <w:p w14:paraId="486C06C5" w14:textId="16038A5E" w:rsidR="002847B8" w:rsidRPr="007317B1" w:rsidRDefault="002847B8" w:rsidP="00235DDC">
      <w:pPr>
        <w:spacing w:after="0" w:line="360" w:lineRule="auto"/>
        <w:jc w:val="both"/>
        <w:textAlignment w:val="baseline"/>
        <w:rPr>
          <w:rFonts w:ascii="Arial" w:eastAsia="Times New Roman" w:hAnsi="Arial" w:cs="Arial"/>
          <w:color w:val="000000"/>
          <w:kern w:val="0"/>
          <w:u w:val="single"/>
          <w:lang w:eastAsia="en-GB"/>
          <w14:ligatures w14:val="none"/>
        </w:rPr>
      </w:pPr>
      <w:r w:rsidRPr="007317B1">
        <w:rPr>
          <w:rFonts w:ascii="Arial" w:eastAsia="Times New Roman" w:hAnsi="Arial" w:cs="Arial"/>
          <w:color w:val="000000"/>
          <w:kern w:val="0"/>
          <w:u w:val="single"/>
          <w:lang w:eastAsia="en-GB"/>
          <w14:ligatures w14:val="none"/>
        </w:rPr>
        <w:t>Reference List</w:t>
      </w:r>
    </w:p>
    <w:p w14:paraId="7D41D4A7" w14:textId="6304C0F9"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proofErr w:type="spellStart"/>
      <w:r w:rsidRPr="00235DDC">
        <w:rPr>
          <w:rFonts w:ascii="Arial" w:eastAsia="Times New Roman" w:hAnsi="Arial" w:cs="Arial"/>
          <w:color w:val="000000"/>
          <w:kern w:val="0"/>
          <w:lang w:eastAsia="en-GB"/>
          <w14:ligatures w14:val="none"/>
        </w:rPr>
        <w:t>Afolabia</w:t>
      </w:r>
      <w:proofErr w:type="spellEnd"/>
      <w:r w:rsidRPr="00235DDC">
        <w:rPr>
          <w:rFonts w:ascii="Arial" w:eastAsia="Times New Roman" w:hAnsi="Arial" w:cs="Arial"/>
          <w:color w:val="000000"/>
          <w:kern w:val="0"/>
          <w:lang w:eastAsia="en-GB"/>
          <w14:ligatures w14:val="none"/>
        </w:rPr>
        <w:t xml:space="preserve">, A. Fernando, S. and Bottiglieri, S. (2018) ‘The effect of organisational factors in motivating healthcare employees: a systematic review’, </w:t>
      </w:r>
      <w:r w:rsidRPr="00235DDC">
        <w:rPr>
          <w:rFonts w:ascii="Arial" w:eastAsia="Times New Roman" w:hAnsi="Arial" w:cs="Arial"/>
          <w:i/>
          <w:iCs/>
          <w:color w:val="000000"/>
          <w:kern w:val="0"/>
          <w:lang w:eastAsia="en-GB"/>
          <w14:ligatures w14:val="none"/>
        </w:rPr>
        <w:t xml:space="preserve">British Journal of Healthcare Management, </w:t>
      </w:r>
      <w:r w:rsidRPr="00235DDC">
        <w:rPr>
          <w:rFonts w:ascii="Arial" w:eastAsia="Times New Roman" w:hAnsi="Arial" w:cs="Arial"/>
          <w:color w:val="000000"/>
          <w:kern w:val="0"/>
          <w:lang w:eastAsia="en-GB"/>
          <w14:ligatures w14:val="none"/>
        </w:rPr>
        <w:t xml:space="preserve">24(12), pp. 103-610. Available at: </w:t>
      </w:r>
      <w:hyperlink r:id="rId4" w:tgtFrame="_blank" w:history="1">
        <w:r w:rsidRPr="00235DDC">
          <w:rPr>
            <w:rFonts w:ascii="Arial" w:eastAsia="Times New Roman" w:hAnsi="Arial" w:cs="Arial"/>
            <w:color w:val="0000FF"/>
            <w:kern w:val="0"/>
            <w:u w:val="single"/>
            <w:lang w:eastAsia="en-GB"/>
            <w14:ligatures w14:val="none"/>
          </w:rPr>
          <w:t>https://doi.org/10.12968/bjhc.2018.24.12.603</w:t>
        </w:r>
      </w:hyperlink>
      <w:r w:rsidRPr="00235DDC">
        <w:rPr>
          <w:rFonts w:ascii="Arial" w:eastAsia="Times New Roman" w:hAnsi="Arial" w:cs="Arial"/>
          <w:color w:val="000000"/>
          <w:kern w:val="0"/>
          <w:lang w:eastAsia="en-GB"/>
          <w14:ligatures w14:val="none"/>
        </w:rPr>
        <w:t>.  </w:t>
      </w:r>
    </w:p>
    <w:p w14:paraId="12B07515" w14:textId="77777777" w:rsidR="00235DDC" w:rsidRDefault="00235DDC" w:rsidP="00235DDC">
      <w:pPr>
        <w:spacing w:after="0" w:line="360" w:lineRule="auto"/>
        <w:jc w:val="both"/>
        <w:textAlignment w:val="baseline"/>
        <w:rPr>
          <w:rFonts w:ascii="Arial" w:eastAsia="Times New Roman" w:hAnsi="Arial" w:cs="Arial"/>
          <w:kern w:val="0"/>
          <w:lang w:eastAsia="en-GB"/>
          <w14:ligatures w14:val="none"/>
        </w:rPr>
      </w:pPr>
    </w:p>
    <w:p w14:paraId="618803AD" w14:textId="20F283A1"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r w:rsidRPr="00235DDC">
        <w:rPr>
          <w:rFonts w:ascii="Arial" w:eastAsia="Times New Roman" w:hAnsi="Arial" w:cs="Arial"/>
          <w:kern w:val="0"/>
          <w:lang w:eastAsia="en-GB"/>
          <w14:ligatures w14:val="none"/>
        </w:rPr>
        <w:t xml:space="preserve">Asthana, S. </w:t>
      </w:r>
      <w:proofErr w:type="spellStart"/>
      <w:r w:rsidRPr="00235DDC">
        <w:rPr>
          <w:rFonts w:ascii="Arial" w:eastAsia="Times New Roman" w:hAnsi="Arial" w:cs="Arial"/>
          <w:kern w:val="0"/>
          <w:lang w:eastAsia="en-GB"/>
          <w14:ligatures w14:val="none"/>
        </w:rPr>
        <w:t>Gradinger</w:t>
      </w:r>
      <w:proofErr w:type="spellEnd"/>
      <w:r w:rsidRPr="00235DDC">
        <w:rPr>
          <w:rFonts w:ascii="Arial" w:eastAsia="Times New Roman" w:hAnsi="Arial" w:cs="Arial"/>
          <w:kern w:val="0"/>
          <w:lang w:eastAsia="en-GB"/>
          <w14:ligatures w14:val="none"/>
        </w:rPr>
        <w:t xml:space="preserve">, F. Elston, J. Martin, S. and Byng, R. (2020) ‘Capturing the Role of Context in Complex System Change: An Application of the Canadian Context and Capabilities for Integrating Care (CCIC) Framework to an Integrated Care Organisation in the UK’, </w:t>
      </w:r>
      <w:r w:rsidRPr="00235DDC">
        <w:rPr>
          <w:rFonts w:ascii="Arial" w:eastAsia="Times New Roman" w:hAnsi="Arial" w:cs="Arial"/>
          <w:i/>
          <w:iCs/>
          <w:kern w:val="0"/>
          <w:lang w:eastAsia="en-GB"/>
          <w14:ligatures w14:val="none"/>
        </w:rPr>
        <w:t xml:space="preserve">Int J </w:t>
      </w:r>
      <w:proofErr w:type="spellStart"/>
      <w:r w:rsidRPr="00235DDC">
        <w:rPr>
          <w:rFonts w:ascii="Arial" w:eastAsia="Times New Roman" w:hAnsi="Arial" w:cs="Arial"/>
          <w:i/>
          <w:iCs/>
          <w:kern w:val="0"/>
          <w:lang w:eastAsia="en-GB"/>
          <w14:ligatures w14:val="none"/>
        </w:rPr>
        <w:t>Integr</w:t>
      </w:r>
      <w:proofErr w:type="spellEnd"/>
      <w:r w:rsidRPr="00235DDC">
        <w:rPr>
          <w:rFonts w:ascii="Arial" w:eastAsia="Times New Roman" w:hAnsi="Arial" w:cs="Arial"/>
          <w:i/>
          <w:iCs/>
          <w:kern w:val="0"/>
          <w:lang w:eastAsia="en-GB"/>
          <w14:ligatures w14:val="none"/>
        </w:rPr>
        <w:t xml:space="preserve"> Care, </w:t>
      </w:r>
      <w:r w:rsidRPr="00235DDC">
        <w:rPr>
          <w:rFonts w:ascii="Arial" w:eastAsia="Times New Roman" w:hAnsi="Arial" w:cs="Arial"/>
          <w:kern w:val="0"/>
          <w:lang w:eastAsia="en-GB"/>
          <w14:ligatures w14:val="none"/>
        </w:rPr>
        <w:t>20(1), pp. 4. DOI: 10.5334/ijic.5196.  </w:t>
      </w:r>
    </w:p>
    <w:p w14:paraId="5100A624" w14:textId="77777777" w:rsidR="00235DDC" w:rsidRDefault="00235DDC" w:rsidP="00235DDC">
      <w:pPr>
        <w:spacing w:after="0" w:line="360" w:lineRule="auto"/>
        <w:jc w:val="both"/>
        <w:textAlignment w:val="baseline"/>
        <w:rPr>
          <w:rFonts w:ascii="Arial" w:eastAsia="Times New Roman" w:hAnsi="Arial" w:cs="Arial"/>
          <w:color w:val="000000"/>
          <w:kern w:val="0"/>
          <w:lang w:eastAsia="en-GB"/>
          <w14:ligatures w14:val="none"/>
        </w:rPr>
      </w:pPr>
    </w:p>
    <w:p w14:paraId="3A01EB2D" w14:textId="10E8E0B1"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proofErr w:type="spellStart"/>
      <w:r w:rsidRPr="00235DDC">
        <w:rPr>
          <w:rFonts w:ascii="Arial" w:eastAsia="Times New Roman" w:hAnsi="Arial" w:cs="Arial"/>
          <w:color w:val="000000"/>
          <w:kern w:val="0"/>
          <w:lang w:eastAsia="en-GB"/>
          <w14:ligatures w14:val="none"/>
        </w:rPr>
        <w:t>Bontis</w:t>
      </w:r>
      <w:proofErr w:type="spellEnd"/>
      <w:r w:rsidRPr="00235DDC">
        <w:rPr>
          <w:rFonts w:ascii="Arial" w:eastAsia="Times New Roman" w:hAnsi="Arial" w:cs="Arial"/>
          <w:color w:val="000000"/>
          <w:kern w:val="0"/>
          <w:lang w:eastAsia="en-GB"/>
          <w14:ligatures w14:val="none"/>
        </w:rPr>
        <w:t xml:space="preserve">, N. Dragonetti, N.C. Jacobsen, K. and </w:t>
      </w:r>
      <w:proofErr w:type="spellStart"/>
      <w:r w:rsidRPr="00235DDC">
        <w:rPr>
          <w:rFonts w:ascii="Arial" w:eastAsia="Times New Roman" w:hAnsi="Arial" w:cs="Arial"/>
          <w:color w:val="000000"/>
          <w:kern w:val="0"/>
          <w:lang w:eastAsia="en-GB"/>
          <w14:ligatures w14:val="none"/>
        </w:rPr>
        <w:t>Roos</w:t>
      </w:r>
      <w:proofErr w:type="spellEnd"/>
      <w:r w:rsidRPr="00235DDC">
        <w:rPr>
          <w:rFonts w:ascii="Arial" w:eastAsia="Times New Roman" w:hAnsi="Arial" w:cs="Arial"/>
          <w:color w:val="000000"/>
          <w:kern w:val="0"/>
          <w:lang w:eastAsia="en-GB"/>
          <w14:ligatures w14:val="none"/>
        </w:rPr>
        <w:t>, G. (1999) ‘The Knowledge Toolbox: A Review of Tools Available to Measure and Manage Intangible Resources’,</w:t>
      </w:r>
      <w:r w:rsidRPr="00235DDC">
        <w:rPr>
          <w:rFonts w:ascii="Arial" w:eastAsia="Times New Roman" w:hAnsi="Arial" w:cs="Arial"/>
          <w:i/>
          <w:iCs/>
          <w:color w:val="000000"/>
          <w:kern w:val="0"/>
          <w:lang w:eastAsia="en-GB"/>
          <w14:ligatures w14:val="none"/>
        </w:rPr>
        <w:t xml:space="preserve"> European Management Journal</w:t>
      </w:r>
      <w:r w:rsidRPr="00235DDC">
        <w:rPr>
          <w:rFonts w:ascii="Arial" w:eastAsia="Times New Roman" w:hAnsi="Arial" w:cs="Arial"/>
          <w:color w:val="000000"/>
          <w:kern w:val="0"/>
          <w:lang w:eastAsia="en-GB"/>
          <w14:ligatures w14:val="none"/>
        </w:rPr>
        <w:t xml:space="preserve">, 17(4), pp. 391– 402. 25. Available at: </w:t>
      </w:r>
      <w:hyperlink r:id="rId5" w:tgtFrame="_blank" w:history="1">
        <w:r w:rsidRPr="00235DDC">
          <w:rPr>
            <w:rFonts w:ascii="Arial" w:eastAsia="Times New Roman" w:hAnsi="Arial" w:cs="Arial"/>
            <w:color w:val="0000FF"/>
            <w:kern w:val="0"/>
            <w:u w:val="single"/>
            <w:lang w:eastAsia="en-GB"/>
            <w14:ligatures w14:val="none"/>
          </w:rPr>
          <w:t>https://doi.org/10.1016/S0263-2373(99)00019-5</w:t>
        </w:r>
      </w:hyperlink>
      <w:r w:rsidRPr="00235DDC">
        <w:rPr>
          <w:rFonts w:ascii="Arial" w:eastAsia="Times New Roman" w:hAnsi="Arial" w:cs="Arial"/>
          <w:color w:val="000000"/>
          <w:kern w:val="0"/>
          <w:lang w:eastAsia="en-GB"/>
          <w14:ligatures w14:val="none"/>
        </w:rPr>
        <w:t>. (Accessed: 2 March 2024).  </w:t>
      </w:r>
    </w:p>
    <w:p w14:paraId="4018C275" w14:textId="77777777" w:rsidR="00235DDC" w:rsidRDefault="00235DDC" w:rsidP="00235DDC">
      <w:pPr>
        <w:spacing w:after="0" w:line="360" w:lineRule="auto"/>
        <w:jc w:val="both"/>
        <w:textAlignment w:val="baseline"/>
        <w:rPr>
          <w:rFonts w:ascii="Arial" w:eastAsia="Times New Roman" w:hAnsi="Arial" w:cs="Arial"/>
          <w:color w:val="000000"/>
          <w:kern w:val="0"/>
          <w:lang w:eastAsia="en-GB"/>
          <w14:ligatures w14:val="none"/>
        </w:rPr>
      </w:pPr>
    </w:p>
    <w:p w14:paraId="76A7E354" w14:textId="5970311B"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r w:rsidRPr="00235DDC">
        <w:rPr>
          <w:rFonts w:ascii="Arial" w:eastAsia="Times New Roman" w:hAnsi="Arial" w:cs="Arial"/>
          <w:color w:val="000000"/>
          <w:kern w:val="0"/>
          <w:lang w:eastAsia="en-GB"/>
          <w14:ligatures w14:val="none"/>
        </w:rPr>
        <w:t xml:space="preserve">Brown, M. and Cregan, C. (2008) ‘Organizational change cynicism: The role of employee involvement’, </w:t>
      </w:r>
      <w:r w:rsidRPr="00235DDC">
        <w:rPr>
          <w:rFonts w:ascii="Arial" w:eastAsia="Times New Roman" w:hAnsi="Arial" w:cs="Arial"/>
          <w:i/>
          <w:iCs/>
          <w:color w:val="000000"/>
          <w:kern w:val="0"/>
          <w:lang w:eastAsia="en-GB"/>
          <w14:ligatures w14:val="none"/>
        </w:rPr>
        <w:t>Human Resource Management</w:t>
      </w:r>
      <w:r w:rsidRPr="00235DDC">
        <w:rPr>
          <w:rFonts w:ascii="Arial" w:eastAsia="Times New Roman" w:hAnsi="Arial" w:cs="Arial"/>
          <w:color w:val="000000"/>
          <w:kern w:val="0"/>
          <w:lang w:eastAsia="en-GB"/>
          <w14:ligatures w14:val="none"/>
        </w:rPr>
        <w:t xml:space="preserve">, 47(4), pp. 667–686. Available at: </w:t>
      </w:r>
      <w:hyperlink r:id="rId6" w:tgtFrame="_blank" w:history="1">
        <w:r w:rsidRPr="00235DDC">
          <w:rPr>
            <w:rFonts w:ascii="Arial" w:eastAsia="Times New Roman" w:hAnsi="Arial" w:cs="Arial"/>
            <w:color w:val="0000FF"/>
            <w:kern w:val="0"/>
            <w:u w:val="single"/>
            <w:lang w:eastAsia="en-GB"/>
            <w14:ligatures w14:val="none"/>
          </w:rPr>
          <w:t>https://doi.org/10.1002/hrm.20239</w:t>
        </w:r>
      </w:hyperlink>
      <w:r w:rsidRPr="00235DDC">
        <w:rPr>
          <w:rFonts w:ascii="Arial" w:eastAsia="Times New Roman" w:hAnsi="Arial" w:cs="Arial"/>
          <w:kern w:val="0"/>
          <w:lang w:eastAsia="en-GB"/>
          <w14:ligatures w14:val="none"/>
        </w:rPr>
        <w:t>. (Accessed: 3 March 2024).  </w:t>
      </w:r>
    </w:p>
    <w:p w14:paraId="2A9962CE" w14:textId="77777777" w:rsidR="00235DDC" w:rsidRDefault="00235DDC" w:rsidP="00235DDC">
      <w:pPr>
        <w:spacing w:after="0" w:line="360" w:lineRule="auto"/>
        <w:jc w:val="both"/>
        <w:textAlignment w:val="baseline"/>
        <w:rPr>
          <w:rFonts w:ascii="Arial" w:eastAsia="Times New Roman" w:hAnsi="Arial" w:cs="Arial"/>
          <w:kern w:val="0"/>
          <w:lang w:eastAsia="en-GB"/>
          <w14:ligatures w14:val="none"/>
        </w:rPr>
      </w:pPr>
    </w:p>
    <w:p w14:paraId="21C90062" w14:textId="761F51FE"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r w:rsidRPr="00235DDC">
        <w:rPr>
          <w:rFonts w:ascii="Arial" w:eastAsia="Times New Roman" w:hAnsi="Arial" w:cs="Arial"/>
          <w:kern w:val="0"/>
          <w:lang w:eastAsia="en-GB"/>
          <w14:ligatures w14:val="none"/>
        </w:rPr>
        <w:t>Carnall, C. A. (2002)</w:t>
      </w:r>
      <w:r w:rsidRPr="00235DDC">
        <w:rPr>
          <w:rFonts w:ascii="Arial" w:eastAsia="Times New Roman" w:hAnsi="Arial" w:cs="Arial"/>
          <w:i/>
          <w:iCs/>
          <w:kern w:val="0"/>
          <w:lang w:eastAsia="en-GB"/>
          <w14:ligatures w14:val="none"/>
        </w:rPr>
        <w:t xml:space="preserve"> Managing change in Organisations. </w:t>
      </w:r>
      <w:r w:rsidRPr="00235DDC">
        <w:rPr>
          <w:rFonts w:ascii="Arial" w:eastAsia="Times New Roman" w:hAnsi="Arial" w:cs="Arial"/>
          <w:kern w:val="0"/>
          <w:lang w:eastAsia="en-GB"/>
          <w14:ligatures w14:val="none"/>
        </w:rPr>
        <w:t>England: Pearson Education Limited.  </w:t>
      </w:r>
    </w:p>
    <w:p w14:paraId="40180FB4" w14:textId="77777777" w:rsidR="00235DDC" w:rsidRDefault="00235DDC" w:rsidP="00235DDC">
      <w:pPr>
        <w:spacing w:after="0" w:line="360" w:lineRule="auto"/>
        <w:jc w:val="both"/>
        <w:textAlignment w:val="baseline"/>
        <w:rPr>
          <w:rFonts w:ascii="Arial" w:eastAsia="Times New Roman" w:hAnsi="Arial" w:cs="Arial"/>
          <w:color w:val="000000"/>
          <w:kern w:val="0"/>
          <w:lang w:eastAsia="en-GB"/>
          <w14:ligatures w14:val="none"/>
        </w:rPr>
      </w:pPr>
    </w:p>
    <w:p w14:paraId="3720749D" w14:textId="290BADD2"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proofErr w:type="spellStart"/>
      <w:r w:rsidRPr="00235DDC">
        <w:rPr>
          <w:rFonts w:ascii="Arial" w:eastAsia="Times New Roman" w:hAnsi="Arial" w:cs="Arial"/>
          <w:color w:val="000000"/>
          <w:kern w:val="0"/>
          <w:lang w:eastAsia="en-GB"/>
          <w14:ligatures w14:val="none"/>
        </w:rPr>
        <w:t>Coid</w:t>
      </w:r>
      <w:proofErr w:type="spellEnd"/>
      <w:r w:rsidRPr="00235DDC">
        <w:rPr>
          <w:rFonts w:ascii="Arial" w:eastAsia="Times New Roman" w:hAnsi="Arial" w:cs="Arial"/>
          <w:color w:val="000000"/>
          <w:kern w:val="0"/>
          <w:lang w:eastAsia="en-GB"/>
          <w14:ligatures w14:val="none"/>
        </w:rPr>
        <w:t xml:space="preserve">, D.R. and Davies, H.T. (2007) ‘Health care Workers' well-being and the therapeutic relationship: does organizational change do damage?’, </w:t>
      </w:r>
      <w:r w:rsidRPr="00235DDC">
        <w:rPr>
          <w:rFonts w:ascii="Arial" w:eastAsia="Times New Roman" w:hAnsi="Arial" w:cs="Arial"/>
          <w:i/>
          <w:iCs/>
          <w:color w:val="000000"/>
          <w:kern w:val="0"/>
          <w:lang w:eastAsia="en-GB"/>
          <w14:ligatures w14:val="none"/>
        </w:rPr>
        <w:t xml:space="preserve">Public Money and Management, </w:t>
      </w:r>
      <w:r w:rsidRPr="00235DDC">
        <w:rPr>
          <w:rFonts w:ascii="Arial" w:eastAsia="Times New Roman" w:hAnsi="Arial" w:cs="Arial"/>
          <w:color w:val="000000"/>
          <w:kern w:val="0"/>
          <w:lang w:eastAsia="en-GB"/>
          <w14:ligatures w14:val="none"/>
        </w:rPr>
        <w:t>27(2), pp. 93-94. DOI: 10.1111/j.1467-9302.2007.</w:t>
      </w:r>
      <w:proofErr w:type="gramStart"/>
      <w:r w:rsidRPr="00235DDC">
        <w:rPr>
          <w:rFonts w:ascii="Arial" w:eastAsia="Times New Roman" w:hAnsi="Arial" w:cs="Arial"/>
          <w:color w:val="000000"/>
          <w:kern w:val="0"/>
          <w:lang w:eastAsia="en-GB"/>
          <w14:ligatures w14:val="none"/>
        </w:rPr>
        <w:t>00563.x.</w:t>
      </w:r>
      <w:proofErr w:type="gramEnd"/>
      <w:r w:rsidRPr="00235DDC">
        <w:rPr>
          <w:rFonts w:ascii="Arial" w:eastAsia="Times New Roman" w:hAnsi="Arial" w:cs="Arial"/>
          <w:color w:val="000000"/>
          <w:kern w:val="0"/>
          <w:lang w:eastAsia="en-GB"/>
          <w14:ligatures w14:val="none"/>
        </w:rPr>
        <w:t xml:space="preserve">  </w:t>
      </w:r>
    </w:p>
    <w:p w14:paraId="732669AC" w14:textId="77777777" w:rsidR="00235DDC" w:rsidRPr="00235DDC" w:rsidRDefault="00235DDC" w:rsidP="00235DDC">
      <w:pPr>
        <w:shd w:val="clear" w:color="auto" w:fill="FFFFFF"/>
        <w:spacing w:after="0" w:line="360" w:lineRule="auto"/>
        <w:jc w:val="both"/>
        <w:textAlignment w:val="baseline"/>
        <w:rPr>
          <w:rFonts w:ascii="Arial" w:eastAsia="Times New Roman" w:hAnsi="Arial" w:cs="Arial"/>
          <w:kern w:val="0"/>
          <w:lang w:eastAsia="en-GB"/>
          <w14:ligatures w14:val="none"/>
        </w:rPr>
      </w:pPr>
      <w:r w:rsidRPr="00235DDC">
        <w:rPr>
          <w:rFonts w:ascii="Arial" w:eastAsia="Times New Roman" w:hAnsi="Arial" w:cs="Arial"/>
          <w:kern w:val="0"/>
          <w:lang w:eastAsia="en-GB"/>
          <w14:ligatures w14:val="none"/>
        </w:rPr>
        <w:t xml:space="preserve">Deschenes, S. and </w:t>
      </w:r>
      <w:proofErr w:type="spellStart"/>
      <w:r w:rsidRPr="00235DDC">
        <w:rPr>
          <w:rFonts w:ascii="Arial" w:eastAsia="Times New Roman" w:hAnsi="Arial" w:cs="Arial"/>
          <w:kern w:val="0"/>
          <w:lang w:eastAsia="en-GB"/>
          <w14:ligatures w14:val="none"/>
        </w:rPr>
        <w:t>Kunyk</w:t>
      </w:r>
      <w:proofErr w:type="spellEnd"/>
      <w:r w:rsidRPr="00235DDC">
        <w:rPr>
          <w:rFonts w:ascii="Arial" w:eastAsia="Times New Roman" w:hAnsi="Arial" w:cs="Arial"/>
          <w:kern w:val="0"/>
          <w:lang w:eastAsia="en-GB"/>
          <w14:ligatures w14:val="none"/>
        </w:rPr>
        <w:t xml:space="preserve">, K. (2020) ‘Situating moral distress within relational ethics’, </w:t>
      </w:r>
      <w:r w:rsidRPr="00235DDC">
        <w:rPr>
          <w:rFonts w:ascii="Arial" w:eastAsia="Times New Roman" w:hAnsi="Arial" w:cs="Arial"/>
          <w:i/>
          <w:iCs/>
          <w:kern w:val="0"/>
          <w:lang w:eastAsia="en-GB"/>
          <w14:ligatures w14:val="none"/>
        </w:rPr>
        <w:t>Nursing Ethics</w:t>
      </w:r>
      <w:r w:rsidRPr="00235DDC">
        <w:rPr>
          <w:rFonts w:ascii="Arial" w:eastAsia="Times New Roman" w:hAnsi="Arial" w:cs="Arial"/>
          <w:kern w:val="0"/>
          <w:lang w:eastAsia="en-GB"/>
          <w14:ligatures w14:val="none"/>
        </w:rPr>
        <w:t>, 27(3), pp. 767-777. DOI: 10.1177/0969733019884621.  </w:t>
      </w:r>
    </w:p>
    <w:p w14:paraId="4560AE4E" w14:textId="77777777" w:rsidR="00235DDC" w:rsidRDefault="00235DDC" w:rsidP="00235DDC">
      <w:pPr>
        <w:spacing w:after="0" w:line="360" w:lineRule="auto"/>
        <w:jc w:val="both"/>
        <w:textAlignment w:val="baseline"/>
        <w:rPr>
          <w:rFonts w:ascii="Arial" w:eastAsia="Times New Roman" w:hAnsi="Arial" w:cs="Arial"/>
          <w:color w:val="000000"/>
          <w:kern w:val="0"/>
          <w:lang w:eastAsia="en-GB"/>
          <w14:ligatures w14:val="none"/>
        </w:rPr>
      </w:pPr>
    </w:p>
    <w:p w14:paraId="23B0E5FF" w14:textId="03F411EF"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proofErr w:type="spellStart"/>
      <w:r w:rsidRPr="00235DDC">
        <w:rPr>
          <w:rFonts w:ascii="Arial" w:eastAsia="Times New Roman" w:hAnsi="Arial" w:cs="Arial"/>
          <w:color w:val="000000"/>
          <w:kern w:val="0"/>
          <w:lang w:eastAsia="en-GB"/>
          <w14:ligatures w14:val="none"/>
        </w:rPr>
        <w:t>Exworthy</w:t>
      </w:r>
      <w:proofErr w:type="spellEnd"/>
      <w:r w:rsidRPr="00235DDC">
        <w:rPr>
          <w:rFonts w:ascii="Arial" w:eastAsia="Times New Roman" w:hAnsi="Arial" w:cs="Arial"/>
          <w:color w:val="000000"/>
          <w:kern w:val="0"/>
          <w:lang w:eastAsia="en-GB"/>
          <w14:ligatures w14:val="none"/>
        </w:rPr>
        <w:t xml:space="preserve">, M. and Halford, S. (1998) </w:t>
      </w:r>
      <w:r w:rsidRPr="00235DDC">
        <w:rPr>
          <w:rFonts w:ascii="Arial" w:eastAsia="Times New Roman" w:hAnsi="Arial" w:cs="Arial"/>
          <w:i/>
          <w:iCs/>
          <w:color w:val="000000"/>
          <w:kern w:val="0"/>
          <w:lang w:eastAsia="en-GB"/>
          <w14:ligatures w14:val="none"/>
        </w:rPr>
        <w:t>Professionals and the new managerialism in the public sector</w:t>
      </w:r>
      <w:r w:rsidRPr="00235DDC">
        <w:rPr>
          <w:rFonts w:ascii="Arial" w:eastAsia="Times New Roman" w:hAnsi="Arial" w:cs="Arial"/>
          <w:color w:val="000000"/>
          <w:kern w:val="0"/>
          <w:lang w:eastAsia="en-GB"/>
          <w14:ligatures w14:val="none"/>
        </w:rPr>
        <w:t>. United Kingdom: Open University. </w:t>
      </w:r>
    </w:p>
    <w:p w14:paraId="75E5978E" w14:textId="77777777" w:rsidR="00235DDC" w:rsidRDefault="00235DDC" w:rsidP="00235DDC">
      <w:pPr>
        <w:spacing w:after="0" w:line="360" w:lineRule="auto"/>
        <w:jc w:val="both"/>
        <w:textAlignment w:val="baseline"/>
        <w:rPr>
          <w:rFonts w:ascii="Arial" w:eastAsia="Times New Roman" w:hAnsi="Arial" w:cs="Arial"/>
          <w:kern w:val="0"/>
          <w:lang w:eastAsia="en-GB"/>
          <w14:ligatures w14:val="none"/>
        </w:rPr>
      </w:pPr>
    </w:p>
    <w:p w14:paraId="54741A83" w14:textId="04EC3CD0"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r w:rsidRPr="00235DDC">
        <w:rPr>
          <w:rFonts w:ascii="Arial" w:eastAsia="Times New Roman" w:hAnsi="Arial" w:cs="Arial"/>
          <w:kern w:val="0"/>
          <w:lang w:eastAsia="en-GB"/>
          <w14:ligatures w14:val="none"/>
        </w:rPr>
        <w:lastRenderedPageBreak/>
        <w:t xml:space="preserve">Faupel, S. and </w:t>
      </w:r>
      <w:proofErr w:type="spellStart"/>
      <w:r w:rsidRPr="00235DDC">
        <w:rPr>
          <w:rFonts w:ascii="Arial" w:eastAsia="Times New Roman" w:hAnsi="Arial" w:cs="Arial"/>
          <w:kern w:val="0"/>
          <w:lang w:eastAsia="en-GB"/>
          <w14:ligatures w14:val="none"/>
        </w:rPr>
        <w:t>Süß</w:t>
      </w:r>
      <w:proofErr w:type="spellEnd"/>
      <w:r w:rsidRPr="00235DDC">
        <w:rPr>
          <w:rFonts w:ascii="Arial" w:eastAsia="Times New Roman" w:hAnsi="Arial" w:cs="Arial"/>
          <w:kern w:val="0"/>
          <w:lang w:eastAsia="en-GB"/>
          <w14:ligatures w14:val="none"/>
        </w:rPr>
        <w:t xml:space="preserve">, S. (2019) ‘The Effect of Transformational Leadership on Employees During Organisational Change – An Empirical Analysis’, </w:t>
      </w:r>
      <w:r w:rsidRPr="00235DDC">
        <w:rPr>
          <w:rFonts w:ascii="Arial" w:eastAsia="Times New Roman" w:hAnsi="Arial" w:cs="Arial"/>
          <w:i/>
          <w:iCs/>
          <w:kern w:val="0"/>
          <w:lang w:eastAsia="en-GB"/>
          <w14:ligatures w14:val="none"/>
        </w:rPr>
        <w:t xml:space="preserve">Journal of Change Management, </w:t>
      </w:r>
      <w:r w:rsidRPr="00235DDC">
        <w:rPr>
          <w:rFonts w:ascii="Arial" w:eastAsia="Times New Roman" w:hAnsi="Arial" w:cs="Arial"/>
          <w:kern w:val="0"/>
          <w:lang w:eastAsia="en-GB"/>
          <w14:ligatures w14:val="none"/>
        </w:rPr>
        <w:t xml:space="preserve">19(3), pp. 145-166. Available at: </w:t>
      </w:r>
      <w:hyperlink r:id="rId7" w:tgtFrame="_blank" w:history="1">
        <w:r w:rsidRPr="00235DDC">
          <w:rPr>
            <w:rFonts w:ascii="Arial" w:eastAsia="Times New Roman" w:hAnsi="Arial" w:cs="Arial"/>
            <w:color w:val="0000FF"/>
            <w:kern w:val="0"/>
            <w:u w:val="single"/>
            <w:lang w:eastAsia="en-GB"/>
            <w14:ligatures w14:val="none"/>
          </w:rPr>
          <w:t>https://doi.org/10.1080/14697017.2018.1447006</w:t>
        </w:r>
      </w:hyperlink>
      <w:r w:rsidRPr="00235DDC">
        <w:rPr>
          <w:rFonts w:ascii="Arial" w:eastAsia="Times New Roman" w:hAnsi="Arial" w:cs="Arial"/>
          <w:kern w:val="0"/>
          <w:lang w:eastAsia="en-GB"/>
          <w14:ligatures w14:val="none"/>
        </w:rPr>
        <w:t>. (Accessed: 4 March 2024).  </w:t>
      </w:r>
    </w:p>
    <w:p w14:paraId="5174B262" w14:textId="77777777" w:rsidR="00235DDC" w:rsidRDefault="00235DDC" w:rsidP="00235DDC">
      <w:pPr>
        <w:spacing w:after="0" w:line="360" w:lineRule="auto"/>
        <w:jc w:val="both"/>
        <w:textAlignment w:val="baseline"/>
        <w:rPr>
          <w:rFonts w:ascii="Arial" w:eastAsia="Times New Roman" w:hAnsi="Arial" w:cs="Arial"/>
          <w:kern w:val="0"/>
          <w:lang w:eastAsia="en-GB"/>
          <w14:ligatures w14:val="none"/>
        </w:rPr>
      </w:pPr>
    </w:p>
    <w:p w14:paraId="0529FA3F" w14:textId="3ED37678"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r w:rsidRPr="00235DDC">
        <w:rPr>
          <w:rFonts w:ascii="Arial" w:eastAsia="Times New Roman" w:hAnsi="Arial" w:cs="Arial"/>
          <w:kern w:val="0"/>
          <w:lang w:eastAsia="en-GB"/>
          <w14:ligatures w14:val="none"/>
        </w:rPr>
        <w:t xml:space="preserve">Galli, B.J. (2018) ‘Change management models: A comparative analysis and concerns’, </w:t>
      </w:r>
      <w:r w:rsidRPr="00235DDC">
        <w:rPr>
          <w:rFonts w:ascii="Arial" w:eastAsia="Times New Roman" w:hAnsi="Arial" w:cs="Arial"/>
          <w:i/>
          <w:iCs/>
          <w:kern w:val="0"/>
          <w:lang w:eastAsia="en-GB"/>
          <w14:ligatures w14:val="none"/>
        </w:rPr>
        <w:t>IEEE Engineering Management Review</w:t>
      </w:r>
      <w:r w:rsidRPr="00235DDC">
        <w:rPr>
          <w:rFonts w:ascii="Arial" w:eastAsia="Times New Roman" w:hAnsi="Arial" w:cs="Arial"/>
          <w:kern w:val="0"/>
          <w:lang w:eastAsia="en-GB"/>
          <w14:ligatures w14:val="none"/>
        </w:rPr>
        <w:t xml:space="preserve">, 46(3), pp.124–132. Available </w:t>
      </w:r>
      <w:proofErr w:type="spellStart"/>
      <w:r w:rsidRPr="00235DDC">
        <w:rPr>
          <w:rFonts w:ascii="Arial" w:eastAsia="Times New Roman" w:hAnsi="Arial" w:cs="Arial"/>
          <w:kern w:val="0"/>
          <w:lang w:eastAsia="en-GB"/>
          <w14:ligatures w14:val="none"/>
        </w:rPr>
        <w:t>at:</w:t>
      </w:r>
      <w:hyperlink r:id="rId8" w:tgtFrame="_blank" w:history="1">
        <w:r w:rsidRPr="00235DDC">
          <w:rPr>
            <w:rFonts w:ascii="Arial" w:eastAsia="Times New Roman" w:hAnsi="Arial" w:cs="Arial"/>
            <w:color w:val="0000FF"/>
            <w:kern w:val="0"/>
            <w:u w:val="single"/>
            <w:lang w:eastAsia="en-GB"/>
            <w14:ligatures w14:val="none"/>
          </w:rPr>
          <w:t>https</w:t>
        </w:r>
        <w:proofErr w:type="spellEnd"/>
        <w:r w:rsidRPr="00235DDC">
          <w:rPr>
            <w:rFonts w:ascii="Arial" w:eastAsia="Times New Roman" w:hAnsi="Arial" w:cs="Arial"/>
            <w:color w:val="0000FF"/>
            <w:kern w:val="0"/>
            <w:u w:val="single"/>
            <w:lang w:eastAsia="en-GB"/>
            <w14:ligatures w14:val="none"/>
          </w:rPr>
          <w:t>://doi.org/10.1109/EMR.2018.28.</w:t>
        </w:r>
      </w:hyperlink>
      <w:r w:rsidRPr="00235DDC">
        <w:rPr>
          <w:rFonts w:ascii="Arial" w:eastAsia="Times New Roman" w:hAnsi="Arial" w:cs="Arial"/>
          <w:kern w:val="0"/>
          <w:lang w:eastAsia="en-GB"/>
          <w14:ligatures w14:val="none"/>
        </w:rPr>
        <w:t xml:space="preserve"> (Accessed: 2 March 2024).  </w:t>
      </w:r>
    </w:p>
    <w:p w14:paraId="3671F085" w14:textId="78325AD4"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r w:rsidRPr="00235DDC">
        <w:rPr>
          <w:rFonts w:ascii="Arial" w:eastAsia="Times New Roman" w:hAnsi="Arial" w:cs="Arial"/>
          <w:color w:val="000000"/>
          <w:kern w:val="0"/>
          <w:lang w:eastAsia="en-GB"/>
          <w14:ligatures w14:val="none"/>
        </w:rPr>
        <w:t xml:space="preserve">Grant A.M. and Parker S.K. (2009) ‘Redesigning work design theories: The rise of relational and proactive perspectives’, </w:t>
      </w:r>
      <w:r w:rsidRPr="00235DDC">
        <w:rPr>
          <w:rFonts w:ascii="Arial" w:eastAsia="Times New Roman" w:hAnsi="Arial" w:cs="Arial"/>
          <w:i/>
          <w:iCs/>
          <w:color w:val="000000"/>
          <w:kern w:val="0"/>
          <w:lang w:eastAsia="en-GB"/>
          <w14:ligatures w14:val="none"/>
        </w:rPr>
        <w:t>The Academy of Management Annals</w:t>
      </w:r>
      <w:r w:rsidRPr="00235DDC">
        <w:rPr>
          <w:rFonts w:ascii="Arial" w:eastAsia="Times New Roman" w:hAnsi="Arial" w:cs="Arial"/>
          <w:color w:val="000000"/>
          <w:kern w:val="0"/>
          <w:lang w:eastAsia="en-GB"/>
          <w14:ligatures w14:val="none"/>
        </w:rPr>
        <w:t xml:space="preserve">, 3(1), pp. 317-375. Available at: </w:t>
      </w:r>
      <w:hyperlink r:id="rId9" w:tgtFrame="_blank" w:history="1">
        <w:r w:rsidRPr="00235DDC">
          <w:rPr>
            <w:rFonts w:ascii="Arial" w:eastAsia="Times New Roman" w:hAnsi="Arial" w:cs="Arial"/>
            <w:color w:val="0000FF"/>
            <w:kern w:val="0"/>
            <w:u w:val="single"/>
            <w:lang w:eastAsia="en-GB"/>
            <w14:ligatures w14:val="none"/>
          </w:rPr>
          <w:t>https://doi.org/10.1080/19416520903047327</w:t>
        </w:r>
      </w:hyperlink>
      <w:r w:rsidRPr="00235DDC">
        <w:rPr>
          <w:rFonts w:ascii="Arial" w:eastAsia="Times New Roman" w:hAnsi="Arial" w:cs="Arial"/>
          <w:color w:val="000000"/>
          <w:kern w:val="0"/>
          <w:lang w:eastAsia="en-GB"/>
          <w14:ligatures w14:val="none"/>
        </w:rPr>
        <w:t>. (Accessed: 2 March 2024).  </w:t>
      </w:r>
    </w:p>
    <w:p w14:paraId="667954C5" w14:textId="77777777" w:rsidR="00235DDC" w:rsidRDefault="00235DDC" w:rsidP="00235DDC">
      <w:pPr>
        <w:spacing w:after="0" w:line="360" w:lineRule="auto"/>
        <w:jc w:val="both"/>
        <w:textAlignment w:val="baseline"/>
        <w:rPr>
          <w:rFonts w:ascii="Arial" w:eastAsia="Times New Roman" w:hAnsi="Arial" w:cs="Arial"/>
          <w:color w:val="000000"/>
          <w:kern w:val="0"/>
          <w:lang w:eastAsia="en-GB"/>
          <w14:ligatures w14:val="none"/>
        </w:rPr>
      </w:pPr>
    </w:p>
    <w:p w14:paraId="4C24E98B" w14:textId="5B910BAA"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r w:rsidRPr="00235DDC">
        <w:rPr>
          <w:rFonts w:ascii="Arial" w:eastAsia="Times New Roman" w:hAnsi="Arial" w:cs="Arial"/>
          <w:color w:val="000000"/>
          <w:kern w:val="0"/>
          <w:lang w:eastAsia="en-GB"/>
          <w14:ligatures w14:val="none"/>
        </w:rPr>
        <w:t xml:space="preserve">Gratton, L. (2000) </w:t>
      </w:r>
      <w:r w:rsidRPr="00235DDC">
        <w:rPr>
          <w:rFonts w:ascii="Arial" w:eastAsia="Times New Roman" w:hAnsi="Arial" w:cs="Arial"/>
          <w:i/>
          <w:iCs/>
          <w:color w:val="000000"/>
          <w:kern w:val="0"/>
          <w:lang w:eastAsia="en-GB"/>
          <w14:ligatures w14:val="none"/>
        </w:rPr>
        <w:t xml:space="preserve">Living Strategy: Putting People at the Heart of Corporate Purpose. </w:t>
      </w:r>
      <w:r w:rsidRPr="00235DDC">
        <w:rPr>
          <w:rFonts w:ascii="Arial" w:eastAsia="Times New Roman" w:hAnsi="Arial" w:cs="Arial"/>
          <w:color w:val="000000"/>
          <w:kern w:val="0"/>
          <w:lang w:eastAsia="en-GB"/>
          <w14:ligatures w14:val="none"/>
        </w:rPr>
        <w:t>London: Pearson Education.  </w:t>
      </w:r>
    </w:p>
    <w:p w14:paraId="0595B6C3" w14:textId="77777777" w:rsidR="00235DDC" w:rsidRDefault="00235DDC" w:rsidP="00235DDC">
      <w:pPr>
        <w:spacing w:after="0" w:line="360" w:lineRule="auto"/>
        <w:jc w:val="both"/>
        <w:textAlignment w:val="baseline"/>
        <w:rPr>
          <w:rFonts w:ascii="Arial" w:eastAsia="Times New Roman" w:hAnsi="Arial" w:cs="Arial"/>
          <w:color w:val="000000"/>
          <w:kern w:val="0"/>
          <w:lang w:eastAsia="en-GB"/>
          <w14:ligatures w14:val="none"/>
        </w:rPr>
      </w:pPr>
    </w:p>
    <w:p w14:paraId="3F20616C" w14:textId="690BD275"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r w:rsidRPr="00235DDC">
        <w:rPr>
          <w:rFonts w:ascii="Arial" w:eastAsia="Times New Roman" w:hAnsi="Arial" w:cs="Arial"/>
          <w:color w:val="000000"/>
          <w:kern w:val="0"/>
          <w:lang w:eastAsia="en-GB"/>
          <w14:ligatures w14:val="none"/>
        </w:rPr>
        <w:t xml:space="preserve">Greenhalgh, T. Robert, G. Bate, S.P. Kyriakidou, O. and Macfarlane, F. (2004) ‘Diffusion of innovations in service organisations: systematic review and recommendations’, </w:t>
      </w:r>
      <w:r w:rsidRPr="00235DDC">
        <w:rPr>
          <w:rFonts w:ascii="Arial" w:eastAsia="Times New Roman" w:hAnsi="Arial" w:cs="Arial"/>
          <w:i/>
          <w:iCs/>
          <w:color w:val="000000"/>
          <w:kern w:val="0"/>
          <w:lang w:eastAsia="en-GB"/>
          <w14:ligatures w14:val="none"/>
        </w:rPr>
        <w:t>The Milbank Quarterly</w:t>
      </w:r>
      <w:r w:rsidRPr="00235DDC">
        <w:rPr>
          <w:rFonts w:ascii="Arial" w:eastAsia="Times New Roman" w:hAnsi="Arial" w:cs="Arial"/>
          <w:color w:val="000000"/>
          <w:kern w:val="0"/>
          <w:lang w:eastAsia="en-GB"/>
          <w14:ligatures w14:val="none"/>
        </w:rPr>
        <w:t xml:space="preserve">, 82(4), pp. 581-629. </w:t>
      </w:r>
      <w:proofErr w:type="spellStart"/>
      <w:r w:rsidRPr="00235DDC">
        <w:rPr>
          <w:rFonts w:ascii="Arial" w:eastAsia="Times New Roman" w:hAnsi="Arial" w:cs="Arial"/>
          <w:color w:val="000000"/>
          <w:kern w:val="0"/>
          <w:lang w:eastAsia="en-GB"/>
          <w14:ligatures w14:val="none"/>
        </w:rPr>
        <w:t>Availble</w:t>
      </w:r>
      <w:proofErr w:type="spellEnd"/>
      <w:r w:rsidRPr="00235DDC">
        <w:rPr>
          <w:rFonts w:ascii="Arial" w:eastAsia="Times New Roman" w:hAnsi="Arial" w:cs="Arial"/>
          <w:color w:val="000000"/>
          <w:kern w:val="0"/>
          <w:lang w:eastAsia="en-GB"/>
          <w14:ligatures w14:val="none"/>
        </w:rPr>
        <w:t xml:space="preserve"> at: </w:t>
      </w:r>
      <w:hyperlink r:id="rId10" w:tgtFrame="_blank" w:history="1">
        <w:r w:rsidRPr="00235DDC">
          <w:rPr>
            <w:rFonts w:ascii="Arial" w:eastAsia="Times New Roman" w:hAnsi="Arial" w:cs="Arial"/>
            <w:color w:val="0000FF"/>
            <w:kern w:val="0"/>
            <w:u w:val="single"/>
            <w:lang w:eastAsia="en-GB"/>
            <w14:ligatures w14:val="none"/>
          </w:rPr>
          <w:t>https://doi.org/10.1111/j.0887-378X.2004.00325.x</w:t>
        </w:r>
      </w:hyperlink>
      <w:r w:rsidRPr="00235DDC">
        <w:rPr>
          <w:rFonts w:ascii="Arial" w:eastAsia="Times New Roman" w:hAnsi="Arial" w:cs="Arial"/>
          <w:color w:val="000000"/>
          <w:kern w:val="0"/>
          <w:lang w:eastAsia="en-GB"/>
          <w14:ligatures w14:val="none"/>
        </w:rPr>
        <w:t>. (Accessed: 4 March 2024).  </w:t>
      </w:r>
    </w:p>
    <w:p w14:paraId="0F23BCBA" w14:textId="77777777" w:rsidR="00235DDC" w:rsidRDefault="00235DDC" w:rsidP="00235DDC">
      <w:pPr>
        <w:spacing w:after="0" w:line="360" w:lineRule="auto"/>
        <w:jc w:val="both"/>
        <w:textAlignment w:val="baseline"/>
        <w:rPr>
          <w:rFonts w:ascii="Arial" w:eastAsia="Times New Roman" w:hAnsi="Arial" w:cs="Arial"/>
          <w:kern w:val="0"/>
          <w:lang w:eastAsia="en-GB"/>
          <w14:ligatures w14:val="none"/>
        </w:rPr>
      </w:pPr>
    </w:p>
    <w:p w14:paraId="58464399" w14:textId="6FBBB536"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proofErr w:type="spellStart"/>
      <w:r w:rsidRPr="00235DDC">
        <w:rPr>
          <w:rFonts w:ascii="Arial" w:eastAsia="Times New Roman" w:hAnsi="Arial" w:cs="Arial"/>
          <w:kern w:val="0"/>
          <w:lang w:eastAsia="en-GB"/>
          <w14:ligatures w14:val="none"/>
        </w:rPr>
        <w:t>Herscovitch</w:t>
      </w:r>
      <w:proofErr w:type="spellEnd"/>
      <w:r w:rsidRPr="00235DDC">
        <w:rPr>
          <w:rFonts w:ascii="Arial" w:eastAsia="Times New Roman" w:hAnsi="Arial" w:cs="Arial"/>
          <w:kern w:val="0"/>
          <w:lang w:eastAsia="en-GB"/>
          <w14:ligatures w14:val="none"/>
        </w:rPr>
        <w:t xml:space="preserve">, L. and Meyer, J.P. (2002) ‘Commitment to organizational change: extension of a </w:t>
      </w:r>
      <w:proofErr w:type="gramStart"/>
      <w:r w:rsidRPr="00235DDC">
        <w:rPr>
          <w:rFonts w:ascii="Arial" w:eastAsia="Times New Roman" w:hAnsi="Arial" w:cs="Arial"/>
          <w:kern w:val="0"/>
          <w:lang w:eastAsia="en-GB"/>
          <w14:ligatures w14:val="none"/>
        </w:rPr>
        <w:t>three component</w:t>
      </w:r>
      <w:proofErr w:type="gramEnd"/>
      <w:r w:rsidRPr="00235DDC">
        <w:rPr>
          <w:rFonts w:ascii="Arial" w:eastAsia="Times New Roman" w:hAnsi="Arial" w:cs="Arial"/>
          <w:kern w:val="0"/>
          <w:lang w:eastAsia="en-GB"/>
          <w14:ligatures w14:val="none"/>
        </w:rPr>
        <w:t xml:space="preserve"> model’, </w:t>
      </w:r>
      <w:r w:rsidRPr="00235DDC">
        <w:rPr>
          <w:rFonts w:ascii="Arial" w:eastAsia="Times New Roman" w:hAnsi="Arial" w:cs="Arial"/>
          <w:i/>
          <w:iCs/>
          <w:kern w:val="0"/>
          <w:lang w:eastAsia="en-GB"/>
          <w14:ligatures w14:val="none"/>
        </w:rPr>
        <w:t>Journal of Applied Psychology</w:t>
      </w:r>
      <w:r w:rsidRPr="00235DDC">
        <w:rPr>
          <w:rFonts w:ascii="Arial" w:eastAsia="Times New Roman" w:hAnsi="Arial" w:cs="Arial"/>
          <w:kern w:val="0"/>
          <w:lang w:eastAsia="en-GB"/>
          <w14:ligatures w14:val="none"/>
        </w:rPr>
        <w:t xml:space="preserve">, 87(3), p. 474-487. Available at: </w:t>
      </w:r>
      <w:hyperlink r:id="rId11" w:tgtFrame="_blank" w:history="1">
        <w:r w:rsidRPr="00235DDC">
          <w:rPr>
            <w:rFonts w:ascii="Arial" w:eastAsia="Times New Roman" w:hAnsi="Arial" w:cs="Arial"/>
            <w:color w:val="0000FF"/>
            <w:kern w:val="0"/>
            <w:u w:val="single"/>
            <w:lang w:eastAsia="en-GB"/>
            <w14:ligatures w14:val="none"/>
          </w:rPr>
          <w:t>https://doi.org/10.1037/0021-9010.87.3.474</w:t>
        </w:r>
      </w:hyperlink>
      <w:r w:rsidRPr="00235DDC">
        <w:rPr>
          <w:rFonts w:ascii="Arial" w:eastAsia="Times New Roman" w:hAnsi="Arial" w:cs="Arial"/>
          <w:kern w:val="0"/>
          <w:lang w:eastAsia="en-GB"/>
          <w14:ligatures w14:val="none"/>
        </w:rPr>
        <w:t>. (Accessed: 3 March 2024).  </w:t>
      </w:r>
    </w:p>
    <w:p w14:paraId="64857A8F" w14:textId="77777777" w:rsidR="00235DDC" w:rsidRDefault="00235DDC" w:rsidP="00235DDC">
      <w:pPr>
        <w:spacing w:after="0" w:line="360" w:lineRule="auto"/>
        <w:jc w:val="both"/>
        <w:textAlignment w:val="baseline"/>
        <w:rPr>
          <w:rFonts w:ascii="Arial" w:eastAsia="Times New Roman" w:hAnsi="Arial" w:cs="Arial"/>
          <w:color w:val="000000"/>
          <w:kern w:val="0"/>
          <w:lang w:eastAsia="en-GB"/>
          <w14:ligatures w14:val="none"/>
        </w:rPr>
      </w:pPr>
    </w:p>
    <w:p w14:paraId="1A9C3CD8" w14:textId="7890C293"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r w:rsidRPr="00235DDC">
        <w:rPr>
          <w:rFonts w:ascii="Arial" w:eastAsia="Times New Roman" w:hAnsi="Arial" w:cs="Arial"/>
          <w:color w:val="000000"/>
          <w:kern w:val="0"/>
          <w:lang w:eastAsia="en-GB"/>
          <w14:ligatures w14:val="none"/>
        </w:rPr>
        <w:t xml:space="preserve">Hewison, A. (2012) ‘Nurse managers’ narratives of organizational change in the English National Health Service’, </w:t>
      </w:r>
      <w:r w:rsidRPr="00235DDC">
        <w:rPr>
          <w:rFonts w:ascii="Arial" w:eastAsia="Times New Roman" w:hAnsi="Arial" w:cs="Arial"/>
          <w:i/>
          <w:iCs/>
          <w:color w:val="000000"/>
          <w:kern w:val="0"/>
          <w:lang w:eastAsia="en-GB"/>
          <w14:ligatures w14:val="none"/>
        </w:rPr>
        <w:t>Journal of Nursery Management</w:t>
      </w:r>
      <w:r w:rsidRPr="00235DDC">
        <w:rPr>
          <w:rFonts w:ascii="Arial" w:eastAsia="Times New Roman" w:hAnsi="Arial" w:cs="Arial"/>
          <w:color w:val="000000"/>
          <w:kern w:val="0"/>
          <w:lang w:eastAsia="en-GB"/>
          <w14:ligatures w14:val="none"/>
        </w:rPr>
        <w:t xml:space="preserve">, 20(7), pp. 858-867. Available at: </w:t>
      </w:r>
      <w:hyperlink r:id="rId12" w:tgtFrame="_blank" w:history="1">
        <w:r w:rsidRPr="00235DDC">
          <w:rPr>
            <w:rFonts w:ascii="Arial" w:eastAsia="Times New Roman" w:hAnsi="Arial" w:cs="Arial"/>
            <w:color w:val="0000FF"/>
            <w:kern w:val="0"/>
            <w:u w:val="single"/>
            <w:lang w:eastAsia="en-GB"/>
            <w14:ligatures w14:val="none"/>
          </w:rPr>
          <w:t>https://doi.org/10.1111/j.1365-2834.2012.01359.x</w:t>
        </w:r>
      </w:hyperlink>
      <w:r w:rsidRPr="00235DDC">
        <w:rPr>
          <w:rFonts w:ascii="Arial" w:eastAsia="Times New Roman" w:hAnsi="Arial" w:cs="Arial"/>
          <w:color w:val="000000"/>
          <w:kern w:val="0"/>
          <w:lang w:eastAsia="en-GB"/>
          <w14:ligatures w14:val="none"/>
        </w:rPr>
        <w:t>. (Accessed: 3 March 2024).  </w:t>
      </w:r>
    </w:p>
    <w:p w14:paraId="43BB03E2" w14:textId="77777777" w:rsidR="00235DDC" w:rsidRDefault="00235DDC" w:rsidP="00235DDC">
      <w:pPr>
        <w:spacing w:after="0" w:line="360" w:lineRule="auto"/>
        <w:jc w:val="both"/>
        <w:textAlignment w:val="baseline"/>
        <w:rPr>
          <w:rFonts w:ascii="Arial" w:eastAsia="Times New Roman" w:hAnsi="Arial" w:cs="Arial"/>
          <w:color w:val="000000"/>
          <w:kern w:val="0"/>
          <w:lang w:eastAsia="en-GB"/>
          <w14:ligatures w14:val="none"/>
        </w:rPr>
      </w:pPr>
    </w:p>
    <w:p w14:paraId="76D6F266" w14:textId="1C780741"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r w:rsidRPr="00235DDC">
        <w:rPr>
          <w:rFonts w:ascii="Arial" w:eastAsia="Times New Roman" w:hAnsi="Arial" w:cs="Arial"/>
          <w:color w:val="000000"/>
          <w:kern w:val="0"/>
          <w:lang w:eastAsia="en-GB"/>
          <w14:ligatures w14:val="none"/>
        </w:rPr>
        <w:t xml:space="preserve">Hiatt, J. (2006) ADKAR: a model for change in business, government, and our community. </w:t>
      </w:r>
      <w:proofErr w:type="spellStart"/>
      <w:proofErr w:type="gramStart"/>
      <w:r w:rsidRPr="00235DDC">
        <w:rPr>
          <w:rFonts w:ascii="Arial" w:eastAsia="Times New Roman" w:hAnsi="Arial" w:cs="Arial"/>
          <w:color w:val="000000"/>
          <w:kern w:val="0"/>
          <w:lang w:eastAsia="en-GB"/>
          <w14:ligatures w14:val="none"/>
        </w:rPr>
        <w:t>Colorado:Prosci</w:t>
      </w:r>
      <w:proofErr w:type="spellEnd"/>
      <w:proofErr w:type="gramEnd"/>
      <w:r w:rsidRPr="00235DDC">
        <w:rPr>
          <w:rFonts w:ascii="Arial" w:eastAsia="Times New Roman" w:hAnsi="Arial" w:cs="Arial"/>
          <w:color w:val="000000"/>
          <w:kern w:val="0"/>
          <w:lang w:eastAsia="en-GB"/>
          <w14:ligatures w14:val="none"/>
        </w:rPr>
        <w:t xml:space="preserve"> Learning </w:t>
      </w:r>
      <w:proofErr w:type="spellStart"/>
      <w:r w:rsidRPr="00235DDC">
        <w:rPr>
          <w:rFonts w:ascii="Arial" w:eastAsia="Times New Roman" w:hAnsi="Arial" w:cs="Arial"/>
          <w:color w:val="000000"/>
          <w:kern w:val="0"/>
          <w:lang w:eastAsia="en-GB"/>
          <w14:ligatures w14:val="none"/>
        </w:rPr>
        <w:t>Center</w:t>
      </w:r>
      <w:proofErr w:type="spellEnd"/>
      <w:r w:rsidRPr="00235DDC">
        <w:rPr>
          <w:rFonts w:ascii="Arial" w:eastAsia="Times New Roman" w:hAnsi="Arial" w:cs="Arial"/>
          <w:color w:val="000000"/>
          <w:kern w:val="0"/>
          <w:lang w:eastAsia="en-GB"/>
          <w14:ligatures w14:val="none"/>
        </w:rPr>
        <w:t xml:space="preserve"> Publications.  </w:t>
      </w:r>
    </w:p>
    <w:p w14:paraId="74CAA064" w14:textId="77777777" w:rsidR="00235DDC" w:rsidRDefault="00235DDC" w:rsidP="00235DDC">
      <w:pPr>
        <w:spacing w:after="0" w:line="360" w:lineRule="auto"/>
        <w:jc w:val="both"/>
        <w:textAlignment w:val="baseline"/>
        <w:rPr>
          <w:rFonts w:ascii="Arial" w:eastAsia="Times New Roman" w:hAnsi="Arial" w:cs="Arial"/>
          <w:kern w:val="0"/>
          <w:lang w:eastAsia="en-GB"/>
          <w14:ligatures w14:val="none"/>
        </w:rPr>
      </w:pPr>
    </w:p>
    <w:p w14:paraId="2F1E1B48" w14:textId="73D606AA"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r w:rsidRPr="00235DDC">
        <w:rPr>
          <w:rFonts w:ascii="Arial" w:eastAsia="Times New Roman" w:hAnsi="Arial" w:cs="Arial"/>
          <w:kern w:val="0"/>
          <w:lang w:eastAsia="en-GB"/>
          <w14:ligatures w14:val="none"/>
        </w:rPr>
        <w:lastRenderedPageBreak/>
        <w:t xml:space="preserve">Howell, J.M. and Shea, C.M. (2006) ‘Effects of champion behaviour, team potency, and external communication activities on predicting team performance’, </w:t>
      </w:r>
      <w:r w:rsidRPr="00235DDC">
        <w:rPr>
          <w:rFonts w:ascii="Arial" w:eastAsia="Times New Roman" w:hAnsi="Arial" w:cs="Arial"/>
          <w:i/>
          <w:iCs/>
          <w:kern w:val="0"/>
          <w:lang w:eastAsia="en-GB"/>
          <w14:ligatures w14:val="none"/>
        </w:rPr>
        <w:t>Group and Organization Management</w:t>
      </w:r>
      <w:r w:rsidRPr="00235DDC">
        <w:rPr>
          <w:rFonts w:ascii="Arial" w:eastAsia="Times New Roman" w:hAnsi="Arial" w:cs="Arial"/>
          <w:kern w:val="0"/>
          <w:lang w:eastAsia="en-GB"/>
          <w14:ligatures w14:val="none"/>
        </w:rPr>
        <w:t xml:space="preserve">, 31(2), pp. 180-211. </w:t>
      </w:r>
      <w:hyperlink r:id="rId13" w:tgtFrame="_blank" w:history="1">
        <w:r w:rsidRPr="00235DDC">
          <w:rPr>
            <w:rFonts w:ascii="Arial" w:eastAsia="Times New Roman" w:hAnsi="Arial" w:cs="Arial"/>
            <w:color w:val="0000FF"/>
            <w:kern w:val="0"/>
            <w:u w:val="single"/>
            <w:lang w:eastAsia="en-GB"/>
            <w14:ligatures w14:val="none"/>
          </w:rPr>
          <w:t>https://doi.org/10.1177/1059601104273067</w:t>
        </w:r>
      </w:hyperlink>
      <w:r w:rsidRPr="00235DDC">
        <w:rPr>
          <w:rFonts w:ascii="Arial" w:eastAsia="Times New Roman" w:hAnsi="Arial" w:cs="Arial"/>
          <w:kern w:val="0"/>
          <w:lang w:eastAsia="en-GB"/>
          <w14:ligatures w14:val="none"/>
        </w:rPr>
        <w:t>. (Accessed: 1 March 2024).  </w:t>
      </w:r>
    </w:p>
    <w:p w14:paraId="5FDE725B" w14:textId="77777777" w:rsidR="00235DDC" w:rsidRDefault="00235DDC" w:rsidP="00235DDC">
      <w:pPr>
        <w:spacing w:after="0" w:line="360" w:lineRule="auto"/>
        <w:jc w:val="both"/>
        <w:textAlignment w:val="baseline"/>
        <w:rPr>
          <w:rFonts w:ascii="Arial" w:eastAsia="Times New Roman" w:hAnsi="Arial" w:cs="Arial"/>
          <w:kern w:val="0"/>
          <w:lang w:eastAsia="en-GB"/>
          <w14:ligatures w14:val="none"/>
        </w:rPr>
      </w:pPr>
    </w:p>
    <w:p w14:paraId="3109661C" w14:textId="5B978BE3"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r w:rsidRPr="00235DDC">
        <w:rPr>
          <w:rFonts w:ascii="Arial" w:eastAsia="Times New Roman" w:hAnsi="Arial" w:cs="Arial"/>
          <w:kern w:val="0"/>
          <w:lang w:eastAsia="en-GB"/>
          <w14:ligatures w14:val="none"/>
        </w:rPr>
        <w:t xml:space="preserve">Hussain, T. Lei, S. </w:t>
      </w:r>
      <w:proofErr w:type="spellStart"/>
      <w:proofErr w:type="gramStart"/>
      <w:r w:rsidRPr="00235DDC">
        <w:rPr>
          <w:rFonts w:ascii="Arial" w:eastAsia="Times New Roman" w:hAnsi="Arial" w:cs="Arial"/>
          <w:kern w:val="0"/>
          <w:lang w:eastAsia="en-GB"/>
          <w14:ligatures w14:val="none"/>
        </w:rPr>
        <w:t>Akram,T</w:t>
      </w:r>
      <w:proofErr w:type="spellEnd"/>
      <w:r w:rsidRPr="00235DDC">
        <w:rPr>
          <w:rFonts w:ascii="Arial" w:eastAsia="Times New Roman" w:hAnsi="Arial" w:cs="Arial"/>
          <w:kern w:val="0"/>
          <w:lang w:eastAsia="en-GB"/>
          <w14:ligatures w14:val="none"/>
        </w:rPr>
        <w:t>.</w:t>
      </w:r>
      <w:proofErr w:type="gramEnd"/>
      <w:r w:rsidRPr="00235DDC">
        <w:rPr>
          <w:rFonts w:ascii="Arial" w:eastAsia="Times New Roman" w:hAnsi="Arial" w:cs="Arial"/>
          <w:kern w:val="0"/>
          <w:lang w:eastAsia="en-GB"/>
          <w14:ligatures w14:val="none"/>
        </w:rPr>
        <w:t xml:space="preserve"> Haider, M. J. Hussain, S. H. and Ali, M. (2018) ‘Kurt Lewin’s change model: A critical review of the role of leadership and employee involvement in organisational change’, </w:t>
      </w:r>
      <w:r w:rsidRPr="00235DDC">
        <w:rPr>
          <w:rFonts w:ascii="Arial" w:eastAsia="Times New Roman" w:hAnsi="Arial" w:cs="Arial"/>
          <w:i/>
          <w:iCs/>
          <w:kern w:val="0"/>
          <w:lang w:eastAsia="en-GB"/>
          <w14:ligatures w14:val="none"/>
        </w:rPr>
        <w:t xml:space="preserve">Journal of Innovation and Knowledge, </w:t>
      </w:r>
      <w:r w:rsidRPr="00235DDC">
        <w:rPr>
          <w:rFonts w:ascii="Arial" w:eastAsia="Times New Roman" w:hAnsi="Arial" w:cs="Arial"/>
          <w:kern w:val="0"/>
          <w:lang w:eastAsia="en-GB"/>
          <w14:ligatures w14:val="none"/>
        </w:rPr>
        <w:t>3(3), pp. 123-127. Available at: https://doi.org/10.1016/j.jik.2016.07.002. (Accessed: 2 March 2024).  </w:t>
      </w:r>
    </w:p>
    <w:p w14:paraId="4795DEF7" w14:textId="77777777" w:rsidR="00235DDC" w:rsidRDefault="00235DDC" w:rsidP="00235DDC">
      <w:pPr>
        <w:spacing w:after="0" w:line="360" w:lineRule="auto"/>
        <w:jc w:val="both"/>
        <w:textAlignment w:val="baseline"/>
        <w:rPr>
          <w:rFonts w:ascii="Arial" w:eastAsia="Times New Roman" w:hAnsi="Arial" w:cs="Arial"/>
          <w:kern w:val="0"/>
          <w:lang w:eastAsia="en-GB"/>
          <w14:ligatures w14:val="none"/>
        </w:rPr>
      </w:pPr>
    </w:p>
    <w:p w14:paraId="509F088D" w14:textId="01B99500"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proofErr w:type="spellStart"/>
      <w:r w:rsidRPr="00235DDC">
        <w:rPr>
          <w:rFonts w:ascii="Arial" w:eastAsia="Times New Roman" w:hAnsi="Arial" w:cs="Arial"/>
          <w:kern w:val="0"/>
          <w:lang w:eastAsia="en-GB"/>
          <w14:ligatures w14:val="none"/>
        </w:rPr>
        <w:t>Ibbs</w:t>
      </w:r>
      <w:proofErr w:type="spellEnd"/>
      <w:r w:rsidRPr="00235DDC">
        <w:rPr>
          <w:rFonts w:ascii="Arial" w:eastAsia="Times New Roman" w:hAnsi="Arial" w:cs="Arial"/>
          <w:kern w:val="0"/>
          <w:lang w:eastAsia="en-GB"/>
          <w14:ligatures w14:val="none"/>
        </w:rPr>
        <w:t xml:space="preserve">, C.W. Wong, C.K. and Kwak, Y.H. (2001) ‘Project change management system’, </w:t>
      </w:r>
      <w:r w:rsidRPr="00235DDC">
        <w:rPr>
          <w:rFonts w:ascii="Arial" w:eastAsia="Times New Roman" w:hAnsi="Arial" w:cs="Arial"/>
          <w:i/>
          <w:iCs/>
          <w:kern w:val="0"/>
          <w:lang w:eastAsia="en-GB"/>
          <w14:ligatures w14:val="none"/>
        </w:rPr>
        <w:t>Journal of Management in Engineering</w:t>
      </w:r>
      <w:r w:rsidRPr="00235DDC">
        <w:rPr>
          <w:rFonts w:ascii="Arial" w:eastAsia="Times New Roman" w:hAnsi="Arial" w:cs="Arial"/>
          <w:kern w:val="0"/>
          <w:lang w:eastAsia="en-GB"/>
          <w14:ligatures w14:val="none"/>
        </w:rPr>
        <w:t>, 17(3): pp. 159-165. DOI:10.1061/(ASCE)0742-597X.  </w:t>
      </w:r>
    </w:p>
    <w:p w14:paraId="71AFD635" w14:textId="77777777" w:rsidR="00235DDC" w:rsidRDefault="00235DDC" w:rsidP="00235DDC">
      <w:pPr>
        <w:spacing w:after="0" w:line="360" w:lineRule="auto"/>
        <w:jc w:val="both"/>
        <w:textAlignment w:val="baseline"/>
        <w:rPr>
          <w:rFonts w:ascii="Arial" w:eastAsia="Times New Roman" w:hAnsi="Arial" w:cs="Arial"/>
          <w:color w:val="000000"/>
          <w:kern w:val="0"/>
          <w:lang w:eastAsia="en-GB"/>
          <w14:ligatures w14:val="none"/>
        </w:rPr>
      </w:pPr>
    </w:p>
    <w:p w14:paraId="0017F4E6" w14:textId="0B12F78F"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r w:rsidRPr="00235DDC">
        <w:rPr>
          <w:rFonts w:ascii="Arial" w:eastAsia="Times New Roman" w:hAnsi="Arial" w:cs="Arial"/>
          <w:color w:val="000000"/>
          <w:kern w:val="0"/>
          <w:lang w:eastAsia="en-GB"/>
          <w14:ligatures w14:val="none"/>
        </w:rPr>
        <w:t xml:space="preserve">Islam, M.N. Furuoka, F. and Idris, A. (2022) Transformational leadership and employee championing </w:t>
      </w:r>
      <w:proofErr w:type="spellStart"/>
      <w:r w:rsidRPr="00235DDC">
        <w:rPr>
          <w:rFonts w:ascii="Arial" w:eastAsia="Times New Roman" w:hAnsi="Arial" w:cs="Arial"/>
          <w:color w:val="000000"/>
          <w:kern w:val="0"/>
          <w:lang w:eastAsia="en-GB"/>
          <w14:ligatures w14:val="none"/>
        </w:rPr>
        <w:t>behavior</w:t>
      </w:r>
      <w:proofErr w:type="spellEnd"/>
      <w:r w:rsidRPr="00235DDC">
        <w:rPr>
          <w:rFonts w:ascii="Arial" w:eastAsia="Times New Roman" w:hAnsi="Arial" w:cs="Arial"/>
          <w:color w:val="000000"/>
          <w:kern w:val="0"/>
          <w:lang w:eastAsia="en-GB"/>
          <w14:ligatures w14:val="none"/>
        </w:rPr>
        <w:t xml:space="preserve"> during organizational change: the mediating effect of work engagement’ </w:t>
      </w:r>
      <w:r w:rsidRPr="00235DDC">
        <w:rPr>
          <w:rFonts w:ascii="Arial" w:eastAsia="Times New Roman" w:hAnsi="Arial" w:cs="Arial"/>
          <w:i/>
          <w:iCs/>
          <w:color w:val="000000"/>
          <w:kern w:val="0"/>
          <w:lang w:eastAsia="en-GB"/>
          <w14:ligatures w14:val="none"/>
        </w:rPr>
        <w:t>South Asian Journal of Business Studies</w:t>
      </w:r>
      <w:r w:rsidRPr="00235DDC">
        <w:rPr>
          <w:rFonts w:ascii="Arial" w:eastAsia="Times New Roman" w:hAnsi="Arial" w:cs="Arial"/>
          <w:color w:val="000000"/>
          <w:kern w:val="0"/>
          <w:lang w:eastAsia="en-GB"/>
          <w14:ligatures w14:val="none"/>
        </w:rPr>
        <w:t xml:space="preserve">, 11(1), pp. 1-19. Available at: </w:t>
      </w:r>
      <w:hyperlink r:id="rId14" w:tgtFrame="_blank" w:history="1">
        <w:r w:rsidRPr="00235DDC">
          <w:rPr>
            <w:rFonts w:ascii="Arial" w:eastAsia="Times New Roman" w:hAnsi="Arial" w:cs="Arial"/>
            <w:color w:val="0000FF"/>
            <w:kern w:val="0"/>
            <w:u w:val="single"/>
            <w:lang w:eastAsia="en-GB"/>
            <w14:ligatures w14:val="none"/>
          </w:rPr>
          <w:t>https://ssrn.com/abstract=3708439</w:t>
        </w:r>
      </w:hyperlink>
      <w:r w:rsidRPr="00235DDC">
        <w:rPr>
          <w:rFonts w:ascii="Arial" w:eastAsia="Times New Roman" w:hAnsi="Arial" w:cs="Arial"/>
          <w:color w:val="000000"/>
          <w:kern w:val="0"/>
          <w:lang w:eastAsia="en-GB"/>
          <w14:ligatures w14:val="none"/>
        </w:rPr>
        <w:t>. (Accessed: 2 March 2024).  </w:t>
      </w:r>
    </w:p>
    <w:p w14:paraId="029AE369" w14:textId="77777777" w:rsidR="00235DDC" w:rsidRDefault="00235DDC" w:rsidP="00235DDC">
      <w:pPr>
        <w:spacing w:after="0" w:line="360" w:lineRule="auto"/>
        <w:jc w:val="both"/>
        <w:textAlignment w:val="baseline"/>
        <w:rPr>
          <w:rFonts w:ascii="Arial" w:eastAsia="Times New Roman" w:hAnsi="Arial" w:cs="Arial"/>
          <w:kern w:val="0"/>
          <w:lang w:eastAsia="en-GB"/>
          <w14:ligatures w14:val="none"/>
        </w:rPr>
      </w:pPr>
    </w:p>
    <w:p w14:paraId="321ACFB5" w14:textId="28849D7F"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proofErr w:type="spellStart"/>
      <w:r w:rsidRPr="00235DDC">
        <w:rPr>
          <w:rFonts w:ascii="Arial" w:eastAsia="Times New Roman" w:hAnsi="Arial" w:cs="Arial"/>
          <w:kern w:val="0"/>
          <w:lang w:eastAsia="en-GB"/>
          <w14:ligatures w14:val="none"/>
        </w:rPr>
        <w:t>Kachian</w:t>
      </w:r>
      <w:proofErr w:type="spellEnd"/>
      <w:r w:rsidRPr="00235DDC">
        <w:rPr>
          <w:rFonts w:ascii="Arial" w:eastAsia="Times New Roman" w:hAnsi="Arial" w:cs="Arial"/>
          <w:kern w:val="0"/>
          <w:lang w:eastAsia="en-GB"/>
          <w14:ligatures w14:val="none"/>
        </w:rPr>
        <w:t xml:space="preserve">, A. </w:t>
      </w:r>
      <w:proofErr w:type="spellStart"/>
      <w:r w:rsidRPr="00235DDC">
        <w:rPr>
          <w:rFonts w:ascii="Arial" w:eastAsia="Times New Roman" w:hAnsi="Arial" w:cs="Arial"/>
          <w:kern w:val="0"/>
          <w:lang w:eastAsia="en-GB"/>
          <w14:ligatures w14:val="none"/>
        </w:rPr>
        <w:t>Elyasi</w:t>
      </w:r>
      <w:proofErr w:type="spellEnd"/>
      <w:r w:rsidRPr="00235DDC">
        <w:rPr>
          <w:rFonts w:ascii="Arial" w:eastAsia="Times New Roman" w:hAnsi="Arial" w:cs="Arial"/>
          <w:kern w:val="0"/>
          <w:lang w:eastAsia="en-GB"/>
          <w14:ligatures w14:val="none"/>
        </w:rPr>
        <w:t xml:space="preserve">, S. and Haghani, H. (2018) ‘ADKAR Model and Nurses' Readiness for Change’, </w:t>
      </w:r>
      <w:r w:rsidRPr="00235DDC">
        <w:rPr>
          <w:rFonts w:ascii="Arial" w:eastAsia="Times New Roman" w:hAnsi="Arial" w:cs="Arial"/>
          <w:i/>
          <w:iCs/>
          <w:kern w:val="0"/>
          <w:lang w:eastAsia="en-GB"/>
          <w14:ligatures w14:val="none"/>
        </w:rPr>
        <w:t xml:space="preserve">Journal of Client </w:t>
      </w:r>
      <w:proofErr w:type="spellStart"/>
      <w:r w:rsidRPr="00235DDC">
        <w:rPr>
          <w:rFonts w:ascii="Arial" w:eastAsia="Times New Roman" w:hAnsi="Arial" w:cs="Arial"/>
          <w:i/>
          <w:iCs/>
          <w:kern w:val="0"/>
          <w:lang w:eastAsia="en-GB"/>
          <w14:ligatures w14:val="none"/>
        </w:rPr>
        <w:t>Centered</w:t>
      </w:r>
      <w:proofErr w:type="spellEnd"/>
      <w:r w:rsidRPr="00235DDC">
        <w:rPr>
          <w:rFonts w:ascii="Arial" w:eastAsia="Times New Roman" w:hAnsi="Arial" w:cs="Arial"/>
          <w:i/>
          <w:iCs/>
          <w:kern w:val="0"/>
          <w:lang w:eastAsia="en-GB"/>
          <w14:ligatures w14:val="none"/>
        </w:rPr>
        <w:t xml:space="preserve"> Nursing Care</w:t>
      </w:r>
      <w:r w:rsidRPr="00235DDC">
        <w:rPr>
          <w:rFonts w:ascii="Arial" w:eastAsia="Times New Roman" w:hAnsi="Arial" w:cs="Arial"/>
          <w:kern w:val="0"/>
          <w:lang w:eastAsia="en-GB"/>
          <w14:ligatures w14:val="none"/>
        </w:rPr>
        <w:t xml:space="preserve">, 4(4), pp. 203-212. Available at: </w:t>
      </w:r>
      <w:hyperlink r:id="rId15" w:tgtFrame="_blank" w:history="1">
        <w:r w:rsidRPr="00235DDC">
          <w:rPr>
            <w:rFonts w:ascii="Arial" w:eastAsia="Times New Roman" w:hAnsi="Arial" w:cs="Arial"/>
            <w:color w:val="0000FF"/>
            <w:kern w:val="0"/>
            <w:u w:val="single"/>
            <w:lang w:eastAsia="en-GB"/>
            <w14:ligatures w14:val="none"/>
          </w:rPr>
          <w:t>https://doi.org/10.32598/jccnc.4.4.203.</w:t>
        </w:r>
      </w:hyperlink>
      <w:r w:rsidRPr="00235DDC">
        <w:rPr>
          <w:rFonts w:ascii="Arial" w:eastAsia="Times New Roman" w:hAnsi="Arial" w:cs="Arial"/>
          <w:kern w:val="0"/>
          <w:lang w:eastAsia="en-GB"/>
          <w14:ligatures w14:val="none"/>
        </w:rPr>
        <w:t xml:space="preserve"> (Accessed: 2 March 2024).  </w:t>
      </w:r>
    </w:p>
    <w:p w14:paraId="4F7DCF40" w14:textId="77777777" w:rsidR="00235DDC" w:rsidRDefault="00235DDC" w:rsidP="00235DDC">
      <w:pPr>
        <w:spacing w:after="0" w:line="360" w:lineRule="auto"/>
        <w:jc w:val="both"/>
        <w:textAlignment w:val="baseline"/>
        <w:rPr>
          <w:rFonts w:ascii="Arial" w:eastAsia="Times New Roman" w:hAnsi="Arial" w:cs="Arial"/>
          <w:color w:val="000000"/>
          <w:kern w:val="0"/>
          <w:lang w:eastAsia="en-GB"/>
          <w14:ligatures w14:val="none"/>
        </w:rPr>
      </w:pPr>
    </w:p>
    <w:p w14:paraId="499F166A" w14:textId="52B04617"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r w:rsidRPr="00235DDC">
        <w:rPr>
          <w:rFonts w:ascii="Arial" w:eastAsia="Times New Roman" w:hAnsi="Arial" w:cs="Arial"/>
          <w:color w:val="000000"/>
          <w:kern w:val="0"/>
          <w:lang w:eastAsia="en-GB"/>
          <w14:ligatures w14:val="none"/>
        </w:rPr>
        <w:t xml:space="preserve">Kaminski, J. (2022) ‘Theory applied to informatics – The </w:t>
      </w:r>
      <w:proofErr w:type="spellStart"/>
      <w:r w:rsidRPr="00235DDC">
        <w:rPr>
          <w:rFonts w:ascii="Arial" w:eastAsia="Times New Roman" w:hAnsi="Arial" w:cs="Arial"/>
          <w:color w:val="000000"/>
          <w:kern w:val="0"/>
          <w:lang w:eastAsia="en-GB"/>
          <w14:ligatures w14:val="none"/>
        </w:rPr>
        <w:t>Prosci</w:t>
      </w:r>
      <w:proofErr w:type="spellEnd"/>
      <w:r w:rsidRPr="00235DDC">
        <w:rPr>
          <w:rFonts w:ascii="Arial" w:eastAsia="Times New Roman" w:hAnsi="Arial" w:cs="Arial"/>
          <w:color w:val="000000"/>
          <w:kern w:val="0"/>
          <w:lang w:eastAsia="en-GB"/>
          <w14:ligatures w14:val="none"/>
        </w:rPr>
        <w:t xml:space="preserve"> ADKAR Model’, </w:t>
      </w:r>
      <w:r w:rsidRPr="00235DDC">
        <w:rPr>
          <w:rFonts w:ascii="Arial" w:eastAsia="Times New Roman" w:hAnsi="Arial" w:cs="Arial"/>
          <w:i/>
          <w:iCs/>
          <w:color w:val="000000"/>
          <w:kern w:val="0"/>
          <w:lang w:eastAsia="en-GB"/>
          <w14:ligatures w14:val="none"/>
        </w:rPr>
        <w:t>Canadian Journal of Nursing Informatics</w:t>
      </w:r>
      <w:r w:rsidRPr="00235DDC">
        <w:rPr>
          <w:rFonts w:ascii="Arial" w:eastAsia="Times New Roman" w:hAnsi="Arial" w:cs="Arial"/>
          <w:color w:val="000000"/>
          <w:kern w:val="0"/>
          <w:lang w:eastAsia="en-GB"/>
          <w14:ligatures w14:val="none"/>
        </w:rPr>
        <w:t xml:space="preserve">, 17(2). Available at: </w:t>
      </w:r>
      <w:hyperlink r:id="rId16" w:tgtFrame="_blank" w:history="1">
        <w:r w:rsidRPr="00235DDC">
          <w:rPr>
            <w:rFonts w:ascii="Arial" w:eastAsia="Times New Roman" w:hAnsi="Arial" w:cs="Arial"/>
            <w:color w:val="0000FF"/>
            <w:kern w:val="0"/>
            <w:u w:val="single"/>
            <w:lang w:eastAsia="en-GB"/>
            <w14:ligatures w14:val="none"/>
          </w:rPr>
          <w:t>https://cjni.net/journal/?p=10076</w:t>
        </w:r>
      </w:hyperlink>
      <w:r w:rsidRPr="00235DDC">
        <w:rPr>
          <w:rFonts w:ascii="Arial" w:eastAsia="Times New Roman" w:hAnsi="Arial" w:cs="Arial"/>
          <w:color w:val="000000"/>
          <w:kern w:val="0"/>
          <w:lang w:eastAsia="en-GB"/>
          <w14:ligatures w14:val="none"/>
        </w:rPr>
        <w:t>. (Accessed: 2 March 2024).  </w:t>
      </w:r>
    </w:p>
    <w:p w14:paraId="49FEE552" w14:textId="77777777" w:rsidR="00235DDC" w:rsidRDefault="00235DDC" w:rsidP="00235DDC">
      <w:pPr>
        <w:spacing w:after="0" w:line="360" w:lineRule="auto"/>
        <w:jc w:val="both"/>
        <w:textAlignment w:val="baseline"/>
        <w:rPr>
          <w:rFonts w:ascii="Arial" w:eastAsia="Times New Roman" w:hAnsi="Arial" w:cs="Arial"/>
          <w:kern w:val="0"/>
          <w:lang w:eastAsia="en-GB"/>
          <w14:ligatures w14:val="none"/>
        </w:rPr>
      </w:pPr>
    </w:p>
    <w:p w14:paraId="772BC8CE" w14:textId="2CBC2C5E"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proofErr w:type="spellStart"/>
      <w:r w:rsidRPr="00235DDC">
        <w:rPr>
          <w:rFonts w:ascii="Arial" w:eastAsia="Times New Roman" w:hAnsi="Arial" w:cs="Arial"/>
          <w:kern w:val="0"/>
          <w:lang w:eastAsia="en-GB"/>
          <w14:ligatures w14:val="none"/>
        </w:rPr>
        <w:t>Kliewe</w:t>
      </w:r>
      <w:proofErr w:type="spellEnd"/>
      <w:r w:rsidRPr="00235DDC">
        <w:rPr>
          <w:rFonts w:ascii="Arial" w:eastAsia="Times New Roman" w:hAnsi="Arial" w:cs="Arial"/>
          <w:kern w:val="0"/>
          <w:lang w:eastAsia="en-GB"/>
          <w14:ligatures w14:val="none"/>
        </w:rPr>
        <w:t xml:space="preserve">, T. Davey, T. and </w:t>
      </w:r>
      <w:proofErr w:type="spellStart"/>
      <w:r w:rsidRPr="00235DDC">
        <w:rPr>
          <w:rFonts w:ascii="Arial" w:eastAsia="Times New Roman" w:hAnsi="Arial" w:cs="Arial"/>
          <w:kern w:val="0"/>
          <w:lang w:eastAsia="en-GB"/>
          <w14:ligatures w14:val="none"/>
        </w:rPr>
        <w:t>Baaken</w:t>
      </w:r>
      <w:proofErr w:type="spellEnd"/>
      <w:r w:rsidRPr="00235DDC">
        <w:rPr>
          <w:rFonts w:ascii="Arial" w:eastAsia="Times New Roman" w:hAnsi="Arial" w:cs="Arial"/>
          <w:kern w:val="0"/>
          <w:lang w:eastAsia="en-GB"/>
          <w14:ligatures w14:val="none"/>
        </w:rPr>
        <w:t xml:space="preserve">, T. (2013) ‘Creating a sustainable innovation environment within large enterprises: A case study on a professional services firm’, </w:t>
      </w:r>
      <w:r w:rsidRPr="00235DDC">
        <w:rPr>
          <w:rFonts w:ascii="Arial" w:eastAsia="Times New Roman" w:hAnsi="Arial" w:cs="Arial"/>
          <w:i/>
          <w:iCs/>
          <w:kern w:val="0"/>
          <w:lang w:eastAsia="en-GB"/>
          <w14:ligatures w14:val="none"/>
        </w:rPr>
        <w:t>Journal of Innovation Management</w:t>
      </w:r>
      <w:r w:rsidRPr="00235DDC">
        <w:rPr>
          <w:rFonts w:ascii="Arial" w:eastAsia="Times New Roman" w:hAnsi="Arial" w:cs="Arial"/>
          <w:kern w:val="0"/>
          <w:lang w:eastAsia="en-GB"/>
          <w14:ligatures w14:val="none"/>
        </w:rPr>
        <w:t>, 1(1), 55–84. Available at: https://doi.org/ 10.24840/2183-0606_001.001_0006. (Accessed: 2 March 2024).  </w:t>
      </w:r>
    </w:p>
    <w:p w14:paraId="53F658DE" w14:textId="77777777" w:rsidR="00235DDC" w:rsidRDefault="00235DDC" w:rsidP="00235DDC">
      <w:pPr>
        <w:spacing w:after="0" w:line="360" w:lineRule="auto"/>
        <w:jc w:val="both"/>
        <w:textAlignment w:val="baseline"/>
        <w:rPr>
          <w:rFonts w:ascii="Arial" w:eastAsia="Times New Roman" w:hAnsi="Arial" w:cs="Arial"/>
          <w:kern w:val="0"/>
          <w:lang w:eastAsia="en-GB"/>
          <w14:ligatures w14:val="none"/>
        </w:rPr>
      </w:pPr>
    </w:p>
    <w:p w14:paraId="65C3810B" w14:textId="08F9030A"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r w:rsidRPr="00235DDC">
        <w:rPr>
          <w:rFonts w:ascii="Arial" w:eastAsia="Times New Roman" w:hAnsi="Arial" w:cs="Arial"/>
          <w:kern w:val="0"/>
          <w:lang w:eastAsia="en-GB"/>
          <w14:ligatures w14:val="none"/>
        </w:rPr>
        <w:lastRenderedPageBreak/>
        <w:t xml:space="preserve">Kozlowski, S.W.J. and Bell, B.S. (2003) ‘Work groups and teams in organizations. In W. C. Borman, D. R. Ilgen, &amp; R. J. </w:t>
      </w:r>
      <w:proofErr w:type="spellStart"/>
      <w:r w:rsidRPr="00235DDC">
        <w:rPr>
          <w:rFonts w:ascii="Arial" w:eastAsia="Times New Roman" w:hAnsi="Arial" w:cs="Arial"/>
          <w:kern w:val="0"/>
          <w:lang w:eastAsia="en-GB"/>
          <w14:ligatures w14:val="none"/>
        </w:rPr>
        <w:t>Klimoski</w:t>
      </w:r>
      <w:proofErr w:type="spellEnd"/>
      <w:r w:rsidRPr="00235DDC">
        <w:rPr>
          <w:rFonts w:ascii="Arial" w:eastAsia="Times New Roman" w:hAnsi="Arial" w:cs="Arial"/>
          <w:kern w:val="0"/>
          <w:lang w:eastAsia="en-GB"/>
          <w14:ligatures w14:val="none"/>
        </w:rPr>
        <w:t xml:space="preserve"> (Eds.)’, </w:t>
      </w:r>
      <w:r w:rsidRPr="00235DDC">
        <w:rPr>
          <w:rFonts w:ascii="Arial" w:eastAsia="Times New Roman" w:hAnsi="Arial" w:cs="Arial"/>
          <w:i/>
          <w:iCs/>
          <w:kern w:val="0"/>
          <w:lang w:eastAsia="en-GB"/>
          <w14:ligatures w14:val="none"/>
        </w:rPr>
        <w:t>Handbook of psychology:</w:t>
      </w:r>
      <w:r w:rsidRPr="00235DDC">
        <w:rPr>
          <w:rFonts w:ascii="Arial" w:eastAsia="Times New Roman" w:hAnsi="Arial" w:cs="Arial"/>
          <w:kern w:val="0"/>
          <w:lang w:eastAsia="en-GB"/>
          <w14:ligatures w14:val="none"/>
        </w:rPr>
        <w:t xml:space="preserve"> </w:t>
      </w:r>
      <w:r w:rsidRPr="00235DDC">
        <w:rPr>
          <w:rFonts w:ascii="Arial" w:eastAsia="Times New Roman" w:hAnsi="Arial" w:cs="Arial"/>
          <w:i/>
          <w:iCs/>
          <w:kern w:val="0"/>
          <w:lang w:eastAsia="en-GB"/>
          <w14:ligatures w14:val="none"/>
        </w:rPr>
        <w:t>Industrial and organizational psychology, 12,</w:t>
      </w:r>
      <w:r w:rsidRPr="00235DDC">
        <w:rPr>
          <w:rFonts w:ascii="Arial" w:eastAsia="Times New Roman" w:hAnsi="Arial" w:cs="Arial"/>
          <w:kern w:val="0"/>
          <w:lang w:eastAsia="en-GB"/>
          <w14:ligatures w14:val="none"/>
        </w:rPr>
        <w:t xml:space="preserve"> pp. 333-376. Available at: </w:t>
      </w:r>
      <w:hyperlink r:id="rId17" w:tgtFrame="_blank" w:history="1">
        <w:r w:rsidRPr="00235DDC">
          <w:rPr>
            <w:rFonts w:ascii="Arial" w:eastAsia="Times New Roman" w:hAnsi="Arial" w:cs="Arial"/>
            <w:color w:val="0000FF"/>
            <w:kern w:val="0"/>
            <w:u w:val="single"/>
            <w:lang w:eastAsia="en-GB"/>
            <w14:ligatures w14:val="none"/>
          </w:rPr>
          <w:t>https://doi.org/10.1002/0471264385.wei1214</w:t>
        </w:r>
      </w:hyperlink>
      <w:r w:rsidRPr="00235DDC">
        <w:rPr>
          <w:rFonts w:ascii="Arial" w:eastAsia="Times New Roman" w:hAnsi="Arial" w:cs="Arial"/>
          <w:kern w:val="0"/>
          <w:lang w:eastAsia="en-GB"/>
          <w14:ligatures w14:val="none"/>
        </w:rPr>
        <w:t>.  </w:t>
      </w:r>
    </w:p>
    <w:p w14:paraId="05A79482" w14:textId="77777777" w:rsidR="00235DDC" w:rsidRDefault="00235DDC" w:rsidP="00235DDC">
      <w:pPr>
        <w:spacing w:after="0" w:line="360" w:lineRule="auto"/>
        <w:jc w:val="both"/>
        <w:textAlignment w:val="baseline"/>
        <w:rPr>
          <w:rFonts w:ascii="Arial" w:eastAsia="Times New Roman" w:hAnsi="Arial" w:cs="Arial"/>
          <w:color w:val="000000"/>
          <w:kern w:val="0"/>
          <w:lang w:eastAsia="en-GB"/>
          <w14:ligatures w14:val="none"/>
        </w:rPr>
      </w:pPr>
    </w:p>
    <w:p w14:paraId="183A66BA" w14:textId="313627F4"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r w:rsidRPr="00235DDC">
        <w:rPr>
          <w:rFonts w:ascii="Arial" w:eastAsia="Times New Roman" w:hAnsi="Arial" w:cs="Arial"/>
          <w:color w:val="000000"/>
          <w:kern w:val="0"/>
          <w:lang w:eastAsia="en-GB"/>
          <w14:ligatures w14:val="none"/>
        </w:rPr>
        <w:t xml:space="preserve">Lines, R. (2004) ‘Influence of participation in strategic change: Resistance, organizational commitment and change goal achievement’, </w:t>
      </w:r>
      <w:r w:rsidRPr="00235DDC">
        <w:rPr>
          <w:rFonts w:ascii="Arial" w:eastAsia="Times New Roman" w:hAnsi="Arial" w:cs="Arial"/>
          <w:i/>
          <w:iCs/>
          <w:color w:val="000000"/>
          <w:kern w:val="0"/>
          <w:lang w:eastAsia="en-GB"/>
          <w14:ligatures w14:val="none"/>
        </w:rPr>
        <w:t>Journal of Change Management</w:t>
      </w:r>
      <w:r w:rsidRPr="00235DDC">
        <w:rPr>
          <w:rFonts w:ascii="Arial" w:eastAsia="Times New Roman" w:hAnsi="Arial" w:cs="Arial"/>
          <w:color w:val="000000"/>
          <w:kern w:val="0"/>
          <w:lang w:eastAsia="en-GB"/>
          <w14:ligatures w14:val="none"/>
        </w:rPr>
        <w:t xml:space="preserve">, 4(3), 193-215. Available at: </w:t>
      </w:r>
      <w:hyperlink r:id="rId18" w:tgtFrame="_blank" w:history="1">
        <w:r w:rsidRPr="00235DDC">
          <w:rPr>
            <w:rFonts w:ascii="Arial" w:eastAsia="Times New Roman" w:hAnsi="Arial" w:cs="Arial"/>
            <w:color w:val="0000FF"/>
            <w:kern w:val="0"/>
            <w:u w:val="single"/>
            <w:lang w:eastAsia="en-GB"/>
            <w14:ligatures w14:val="none"/>
          </w:rPr>
          <w:t>http://dx.doi.org/10.1080/1469701042000221696.</w:t>
        </w:r>
      </w:hyperlink>
      <w:r w:rsidRPr="00235DDC">
        <w:rPr>
          <w:rFonts w:ascii="Arial" w:eastAsia="Times New Roman" w:hAnsi="Arial" w:cs="Arial"/>
          <w:kern w:val="0"/>
          <w:lang w:eastAsia="en-GB"/>
          <w14:ligatures w14:val="none"/>
        </w:rPr>
        <w:t xml:space="preserve"> (Accessed: 3 March 2024). </w:t>
      </w:r>
    </w:p>
    <w:p w14:paraId="69FD29CC" w14:textId="77777777" w:rsidR="00235DDC" w:rsidRDefault="00235DDC" w:rsidP="00235DDC">
      <w:pPr>
        <w:shd w:val="clear" w:color="auto" w:fill="FFFFFF"/>
        <w:spacing w:after="0" w:line="360" w:lineRule="auto"/>
        <w:jc w:val="both"/>
        <w:textAlignment w:val="baseline"/>
        <w:rPr>
          <w:rFonts w:ascii="Arial" w:eastAsia="Times New Roman" w:hAnsi="Arial" w:cs="Arial"/>
          <w:color w:val="000000"/>
          <w:kern w:val="0"/>
          <w:lang w:eastAsia="en-GB"/>
          <w14:ligatures w14:val="none"/>
        </w:rPr>
      </w:pPr>
    </w:p>
    <w:p w14:paraId="1383BE59" w14:textId="318C2F3E" w:rsidR="00235DDC" w:rsidRPr="00235DDC" w:rsidRDefault="00235DDC" w:rsidP="00235DDC">
      <w:pPr>
        <w:shd w:val="clear" w:color="auto" w:fill="FFFFFF"/>
        <w:spacing w:after="0" w:line="360" w:lineRule="auto"/>
        <w:jc w:val="both"/>
        <w:textAlignment w:val="baseline"/>
        <w:rPr>
          <w:rFonts w:ascii="Arial" w:eastAsia="Times New Roman" w:hAnsi="Arial" w:cs="Arial"/>
          <w:kern w:val="0"/>
          <w:lang w:eastAsia="en-GB"/>
          <w14:ligatures w14:val="none"/>
        </w:rPr>
      </w:pPr>
      <w:r w:rsidRPr="00235DDC">
        <w:rPr>
          <w:rFonts w:ascii="Arial" w:eastAsia="Times New Roman" w:hAnsi="Arial" w:cs="Arial"/>
          <w:color w:val="000000"/>
          <w:kern w:val="0"/>
          <w:lang w:eastAsia="en-GB"/>
          <w14:ligatures w14:val="none"/>
        </w:rPr>
        <w:t xml:space="preserve">McMillan, K. (2018) </w:t>
      </w:r>
      <w:r w:rsidRPr="00235DDC">
        <w:rPr>
          <w:rFonts w:ascii="Arial" w:eastAsia="Times New Roman" w:hAnsi="Arial" w:cs="Arial"/>
          <w:i/>
          <w:iCs/>
          <w:color w:val="000000"/>
          <w:kern w:val="0"/>
          <w:lang w:eastAsia="en-GB"/>
          <w14:ligatures w14:val="none"/>
        </w:rPr>
        <w:t xml:space="preserve">A critical organizational analysis of frontline </w:t>
      </w:r>
      <w:proofErr w:type="gramStart"/>
      <w:r w:rsidRPr="00235DDC">
        <w:rPr>
          <w:rFonts w:ascii="Arial" w:eastAsia="Times New Roman" w:hAnsi="Arial" w:cs="Arial"/>
          <w:i/>
          <w:iCs/>
          <w:color w:val="000000"/>
          <w:kern w:val="0"/>
          <w:lang w:eastAsia="en-GB"/>
          <w14:ligatures w14:val="none"/>
        </w:rPr>
        <w:t>nurses</w:t>
      </w:r>
      <w:proofErr w:type="gramEnd"/>
      <w:r w:rsidRPr="00235DDC">
        <w:rPr>
          <w:rFonts w:ascii="Arial" w:eastAsia="Times New Roman" w:hAnsi="Arial" w:cs="Arial"/>
          <w:i/>
          <w:iCs/>
          <w:color w:val="000000"/>
          <w:kern w:val="0"/>
          <w:lang w:eastAsia="en-GB"/>
          <w14:ligatures w14:val="none"/>
        </w:rPr>
        <w:t xml:space="preserve"> experience of rapid and continuous change in an acute health care organization. </w:t>
      </w:r>
      <w:r w:rsidRPr="00235DDC">
        <w:rPr>
          <w:rFonts w:ascii="Arial" w:eastAsia="Times New Roman" w:hAnsi="Arial" w:cs="Arial"/>
          <w:color w:val="000000"/>
          <w:kern w:val="0"/>
          <w:lang w:eastAsia="en-GB"/>
          <w14:ligatures w14:val="none"/>
        </w:rPr>
        <w:t>Unpublished PhD thesis. University of Ottawa.  </w:t>
      </w:r>
    </w:p>
    <w:p w14:paraId="271ECFAF" w14:textId="77777777" w:rsidR="00235DDC" w:rsidRDefault="00235DDC" w:rsidP="00235DDC">
      <w:pPr>
        <w:spacing w:after="0" w:line="360" w:lineRule="auto"/>
        <w:jc w:val="both"/>
        <w:textAlignment w:val="baseline"/>
        <w:rPr>
          <w:rFonts w:ascii="Arial" w:eastAsia="Times New Roman" w:hAnsi="Arial" w:cs="Arial"/>
          <w:kern w:val="0"/>
          <w:lang w:eastAsia="en-GB"/>
          <w14:ligatures w14:val="none"/>
        </w:rPr>
      </w:pPr>
    </w:p>
    <w:p w14:paraId="402A0877" w14:textId="303973DE"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r w:rsidRPr="00235DDC">
        <w:rPr>
          <w:rFonts w:ascii="Arial" w:eastAsia="Times New Roman" w:hAnsi="Arial" w:cs="Arial"/>
          <w:kern w:val="0"/>
          <w:lang w:eastAsia="en-GB"/>
          <w14:ligatures w14:val="none"/>
        </w:rPr>
        <w:t xml:space="preserve">McMillan, K. and Amélie, P. (2020) ‘Ideological tensions amidst rapid and continuous organizational change in healthcare’, </w:t>
      </w:r>
      <w:r w:rsidRPr="00235DDC">
        <w:rPr>
          <w:rFonts w:ascii="Arial" w:eastAsia="Times New Roman" w:hAnsi="Arial" w:cs="Arial"/>
          <w:i/>
          <w:iCs/>
          <w:kern w:val="0"/>
          <w:lang w:eastAsia="en-GB"/>
          <w14:ligatures w14:val="none"/>
        </w:rPr>
        <w:t>Journal of Organizational Change Management</w:t>
      </w:r>
      <w:r w:rsidRPr="00235DDC">
        <w:rPr>
          <w:rFonts w:ascii="Arial" w:eastAsia="Times New Roman" w:hAnsi="Arial" w:cs="Arial"/>
          <w:kern w:val="0"/>
          <w:lang w:eastAsia="en-GB"/>
          <w14:ligatures w14:val="none"/>
        </w:rPr>
        <w:t>; 33(6), pp. 1029-1039. DOI:10.1108/JOCM-02-2020-0061.  </w:t>
      </w:r>
    </w:p>
    <w:p w14:paraId="2BBCA6D6" w14:textId="77777777" w:rsidR="00235DDC" w:rsidRDefault="00235DDC" w:rsidP="00235DDC">
      <w:pPr>
        <w:spacing w:after="0" w:line="360" w:lineRule="auto"/>
        <w:jc w:val="both"/>
        <w:textAlignment w:val="baseline"/>
        <w:rPr>
          <w:rFonts w:ascii="Arial" w:eastAsia="Times New Roman" w:hAnsi="Arial" w:cs="Arial"/>
          <w:color w:val="000000"/>
          <w:kern w:val="0"/>
          <w:lang w:eastAsia="en-GB"/>
          <w14:ligatures w14:val="none"/>
        </w:rPr>
      </w:pPr>
    </w:p>
    <w:p w14:paraId="2793968C" w14:textId="641243B7"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r w:rsidRPr="00235DDC">
        <w:rPr>
          <w:rFonts w:ascii="Arial" w:eastAsia="Times New Roman" w:hAnsi="Arial" w:cs="Arial"/>
          <w:color w:val="000000"/>
          <w:kern w:val="0"/>
          <w:lang w:eastAsia="en-GB"/>
          <w14:ligatures w14:val="none"/>
        </w:rPr>
        <w:t xml:space="preserve">Mintzberg, H. (1994) ‘Managing as blended care.’ </w:t>
      </w:r>
      <w:r w:rsidRPr="00235DDC">
        <w:rPr>
          <w:rFonts w:ascii="Arial" w:eastAsia="Times New Roman" w:hAnsi="Arial" w:cs="Arial"/>
          <w:i/>
          <w:iCs/>
          <w:color w:val="000000"/>
          <w:kern w:val="0"/>
          <w:lang w:eastAsia="en-GB"/>
          <w14:ligatures w14:val="none"/>
        </w:rPr>
        <w:t>JONA: The Journal of Nursing Administration</w:t>
      </w:r>
      <w:r w:rsidRPr="00235DDC">
        <w:rPr>
          <w:rFonts w:ascii="Arial" w:eastAsia="Times New Roman" w:hAnsi="Arial" w:cs="Arial"/>
          <w:color w:val="000000"/>
          <w:kern w:val="0"/>
          <w:lang w:eastAsia="en-GB"/>
          <w14:ligatures w14:val="none"/>
        </w:rPr>
        <w:t>, 24(9), pp. 29-36. Available at: Managing as blended care - PubMed (nih.gov) (Accessed: 4 March 2024).  </w:t>
      </w:r>
    </w:p>
    <w:p w14:paraId="1C2E2460" w14:textId="77777777" w:rsidR="00235DDC" w:rsidRDefault="00235DDC" w:rsidP="00235DDC">
      <w:pPr>
        <w:spacing w:after="0" w:line="360" w:lineRule="auto"/>
        <w:jc w:val="both"/>
        <w:textAlignment w:val="baseline"/>
        <w:rPr>
          <w:rFonts w:ascii="Arial" w:eastAsia="Times New Roman" w:hAnsi="Arial" w:cs="Arial"/>
          <w:kern w:val="0"/>
          <w:lang w:eastAsia="en-GB"/>
          <w14:ligatures w14:val="none"/>
        </w:rPr>
      </w:pPr>
    </w:p>
    <w:p w14:paraId="6403401D" w14:textId="7F593408"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r w:rsidRPr="00235DDC">
        <w:rPr>
          <w:rFonts w:ascii="Arial" w:eastAsia="Times New Roman" w:hAnsi="Arial" w:cs="Arial"/>
          <w:kern w:val="0"/>
          <w:lang w:eastAsia="en-GB"/>
          <w14:ligatures w14:val="none"/>
        </w:rPr>
        <w:t xml:space="preserve">Mullins, L. J. (2019) </w:t>
      </w:r>
      <w:r w:rsidRPr="00235DDC">
        <w:rPr>
          <w:rFonts w:ascii="Arial" w:eastAsia="Times New Roman" w:hAnsi="Arial" w:cs="Arial"/>
          <w:i/>
          <w:iCs/>
          <w:kern w:val="0"/>
          <w:lang w:eastAsia="en-GB"/>
          <w14:ligatures w14:val="none"/>
        </w:rPr>
        <w:t xml:space="preserve">Mullins: Organisational Behaviour in the Workplace. </w:t>
      </w:r>
      <w:r w:rsidRPr="00235DDC">
        <w:rPr>
          <w:rFonts w:ascii="Arial" w:eastAsia="Times New Roman" w:hAnsi="Arial" w:cs="Arial"/>
          <w:kern w:val="0"/>
          <w:lang w:eastAsia="en-GB"/>
          <w14:ligatures w14:val="none"/>
        </w:rPr>
        <w:t>[eBook]. London: Pearsons Education.  </w:t>
      </w:r>
    </w:p>
    <w:p w14:paraId="0551E35E" w14:textId="77777777" w:rsidR="00235DDC" w:rsidRDefault="00235DDC" w:rsidP="00235DDC">
      <w:pPr>
        <w:spacing w:after="0" w:line="360" w:lineRule="auto"/>
        <w:jc w:val="both"/>
        <w:textAlignment w:val="baseline"/>
        <w:rPr>
          <w:rFonts w:ascii="Arial" w:eastAsia="Times New Roman" w:hAnsi="Arial" w:cs="Arial"/>
          <w:color w:val="000000"/>
          <w:kern w:val="0"/>
          <w:lang w:eastAsia="en-GB"/>
          <w14:ligatures w14:val="none"/>
        </w:rPr>
      </w:pPr>
    </w:p>
    <w:p w14:paraId="6BBF8EC5" w14:textId="38EA086C" w:rsidR="00235DDC" w:rsidRDefault="00235DDC" w:rsidP="00235DDC">
      <w:pPr>
        <w:spacing w:after="0" w:line="360" w:lineRule="auto"/>
        <w:jc w:val="both"/>
        <w:textAlignment w:val="baseline"/>
        <w:rPr>
          <w:rFonts w:ascii="Arial" w:eastAsia="Times New Roman" w:hAnsi="Arial" w:cs="Arial"/>
          <w:color w:val="000000"/>
          <w:kern w:val="0"/>
          <w:lang w:eastAsia="en-GB"/>
          <w14:ligatures w14:val="none"/>
        </w:rPr>
      </w:pPr>
      <w:r w:rsidRPr="00235DDC">
        <w:rPr>
          <w:rFonts w:ascii="Arial" w:eastAsia="Times New Roman" w:hAnsi="Arial" w:cs="Arial"/>
          <w:color w:val="000000"/>
          <w:kern w:val="0"/>
          <w:lang w:eastAsia="en-GB"/>
          <w14:ligatures w14:val="none"/>
        </w:rPr>
        <w:t xml:space="preserve">Naveed, R.T. Jantan, A.H. Saidu, M.B and Bhatti, S.M. (2017) ‘The validation of the organizational change construct using confirmatory factor analysis’, </w:t>
      </w:r>
      <w:r w:rsidRPr="00235DDC">
        <w:rPr>
          <w:rFonts w:ascii="Arial" w:eastAsia="Times New Roman" w:hAnsi="Arial" w:cs="Arial"/>
          <w:i/>
          <w:iCs/>
          <w:color w:val="000000"/>
          <w:kern w:val="0"/>
          <w:lang w:eastAsia="en-GB"/>
          <w14:ligatures w14:val="none"/>
        </w:rPr>
        <w:t>Cogent Business &amp; Management</w:t>
      </w:r>
      <w:r w:rsidRPr="00235DDC">
        <w:rPr>
          <w:rFonts w:ascii="Arial" w:eastAsia="Times New Roman" w:hAnsi="Arial" w:cs="Arial"/>
          <w:color w:val="000000"/>
          <w:kern w:val="0"/>
          <w:lang w:eastAsia="en-GB"/>
          <w14:ligatures w14:val="none"/>
        </w:rPr>
        <w:t>, 4(1), pp. 1-10. DOI: 10.1080/23311975.2017.1338330 </w:t>
      </w:r>
    </w:p>
    <w:p w14:paraId="2AF16737" w14:textId="77777777" w:rsidR="00B8413A" w:rsidRDefault="00B8413A" w:rsidP="00235DDC">
      <w:pPr>
        <w:spacing w:after="0" w:line="360" w:lineRule="auto"/>
        <w:jc w:val="both"/>
        <w:textAlignment w:val="baseline"/>
        <w:rPr>
          <w:rFonts w:ascii="Arial" w:eastAsia="Times New Roman" w:hAnsi="Arial" w:cs="Arial"/>
          <w:color w:val="000000"/>
          <w:kern w:val="0"/>
          <w:lang w:eastAsia="en-GB"/>
          <w14:ligatures w14:val="none"/>
        </w:rPr>
      </w:pPr>
    </w:p>
    <w:p w14:paraId="449A6E23" w14:textId="1501A7A3" w:rsidR="009C3CFE" w:rsidRPr="00471708" w:rsidRDefault="009C3CFE" w:rsidP="00235DDC">
      <w:pPr>
        <w:spacing w:after="0" w:line="360" w:lineRule="auto"/>
        <w:jc w:val="both"/>
        <w:textAlignment w:val="baseline"/>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NHS England (2024) </w:t>
      </w:r>
      <w:r w:rsidR="00471708">
        <w:rPr>
          <w:rFonts w:ascii="Arial" w:eastAsia="Times New Roman" w:hAnsi="Arial" w:cs="Arial"/>
          <w:i/>
          <w:iCs/>
          <w:color w:val="000000"/>
          <w:kern w:val="0"/>
          <w:lang w:eastAsia="en-GB"/>
          <w14:ligatures w14:val="none"/>
        </w:rPr>
        <w:t xml:space="preserve">About Us. </w:t>
      </w:r>
      <w:r w:rsidR="00471708">
        <w:rPr>
          <w:rFonts w:ascii="Arial" w:eastAsia="Times New Roman" w:hAnsi="Arial" w:cs="Arial"/>
          <w:color w:val="000000"/>
          <w:kern w:val="0"/>
          <w:lang w:eastAsia="en-GB"/>
          <w14:ligatures w14:val="none"/>
        </w:rPr>
        <w:t xml:space="preserve">Available at: </w:t>
      </w:r>
      <w:hyperlink r:id="rId19" w:history="1">
        <w:r w:rsidR="00471708" w:rsidRPr="0099386A">
          <w:rPr>
            <w:rStyle w:val="Hyperlink"/>
            <w:rFonts w:ascii="Arial" w:eastAsia="Times New Roman" w:hAnsi="Arial" w:cs="Arial"/>
            <w:kern w:val="0"/>
            <w:lang w:eastAsia="en-GB"/>
            <w14:ligatures w14:val="none"/>
          </w:rPr>
          <w:t>https://www.england.nhs.uk/about/</w:t>
        </w:r>
      </w:hyperlink>
      <w:r w:rsidR="00471708">
        <w:rPr>
          <w:rFonts w:ascii="Arial" w:eastAsia="Times New Roman" w:hAnsi="Arial" w:cs="Arial"/>
          <w:color w:val="000000"/>
          <w:kern w:val="0"/>
          <w:lang w:eastAsia="en-GB"/>
          <w14:ligatures w14:val="none"/>
        </w:rPr>
        <w:t xml:space="preserve">. (Accessed: 7 March 2024). </w:t>
      </w:r>
    </w:p>
    <w:p w14:paraId="7621EA93" w14:textId="77777777" w:rsidR="009C3CFE" w:rsidRPr="00235DDC" w:rsidRDefault="009C3CFE" w:rsidP="00235DDC">
      <w:pPr>
        <w:spacing w:after="0" w:line="360" w:lineRule="auto"/>
        <w:jc w:val="both"/>
        <w:textAlignment w:val="baseline"/>
        <w:rPr>
          <w:rFonts w:ascii="Arial" w:eastAsia="Times New Roman" w:hAnsi="Arial" w:cs="Arial"/>
          <w:kern w:val="0"/>
          <w:lang w:eastAsia="en-GB"/>
          <w14:ligatures w14:val="none"/>
        </w:rPr>
      </w:pPr>
    </w:p>
    <w:p w14:paraId="2ED50D89" w14:textId="77777777"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proofErr w:type="spellStart"/>
      <w:r w:rsidRPr="00235DDC">
        <w:rPr>
          <w:rFonts w:ascii="Arial" w:eastAsia="Times New Roman" w:hAnsi="Arial" w:cs="Arial"/>
          <w:color w:val="000000"/>
          <w:kern w:val="0"/>
          <w:lang w:eastAsia="en-GB"/>
          <w14:ligatures w14:val="none"/>
        </w:rPr>
        <w:t>Oreg</w:t>
      </w:r>
      <w:proofErr w:type="spellEnd"/>
      <w:r w:rsidRPr="00235DDC">
        <w:rPr>
          <w:rFonts w:ascii="Arial" w:eastAsia="Times New Roman" w:hAnsi="Arial" w:cs="Arial"/>
          <w:color w:val="000000"/>
          <w:kern w:val="0"/>
          <w:lang w:eastAsia="en-GB"/>
          <w14:ligatures w14:val="none"/>
        </w:rPr>
        <w:t xml:space="preserve">, S. (2006) ‘Personality, context, and resistance to organizational change’, </w:t>
      </w:r>
      <w:r w:rsidRPr="00235DDC">
        <w:rPr>
          <w:rFonts w:ascii="Arial" w:eastAsia="Times New Roman" w:hAnsi="Arial" w:cs="Arial"/>
          <w:i/>
          <w:iCs/>
          <w:color w:val="000000"/>
          <w:kern w:val="0"/>
          <w:lang w:eastAsia="en-GB"/>
          <w14:ligatures w14:val="none"/>
        </w:rPr>
        <w:t>European Journal of Work and Organizational Psychology</w:t>
      </w:r>
      <w:r w:rsidRPr="00235DDC">
        <w:rPr>
          <w:rFonts w:ascii="Arial" w:eastAsia="Times New Roman" w:hAnsi="Arial" w:cs="Arial"/>
          <w:color w:val="000000"/>
          <w:kern w:val="0"/>
          <w:lang w:eastAsia="en-GB"/>
          <w14:ligatures w14:val="none"/>
        </w:rPr>
        <w:t xml:space="preserve">, 15(1), pp. 73-101. </w:t>
      </w:r>
      <w:r w:rsidRPr="00235DDC">
        <w:rPr>
          <w:rFonts w:ascii="Arial" w:eastAsia="Times New Roman" w:hAnsi="Arial" w:cs="Arial"/>
          <w:color w:val="000000"/>
          <w:kern w:val="0"/>
          <w:lang w:eastAsia="en-GB"/>
          <w14:ligatures w14:val="none"/>
        </w:rPr>
        <w:lastRenderedPageBreak/>
        <w:t>Available at: http:// dx.doi.org/10.1080/13594320500451247. (Accessed: 4 March 2024).  </w:t>
      </w:r>
    </w:p>
    <w:p w14:paraId="1BB99085" w14:textId="77777777" w:rsidR="00235DDC" w:rsidRDefault="00235DDC" w:rsidP="00235DDC">
      <w:pPr>
        <w:spacing w:after="0" w:line="360" w:lineRule="auto"/>
        <w:jc w:val="both"/>
        <w:textAlignment w:val="baseline"/>
        <w:rPr>
          <w:rFonts w:ascii="Arial" w:eastAsia="Times New Roman" w:hAnsi="Arial" w:cs="Arial"/>
          <w:color w:val="000000"/>
          <w:kern w:val="0"/>
          <w:lang w:eastAsia="en-GB"/>
          <w14:ligatures w14:val="none"/>
        </w:rPr>
      </w:pPr>
    </w:p>
    <w:p w14:paraId="3E74FEE3" w14:textId="5860FC3D"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r w:rsidRPr="00235DDC">
        <w:rPr>
          <w:rFonts w:ascii="Arial" w:eastAsia="Times New Roman" w:hAnsi="Arial" w:cs="Arial"/>
          <w:color w:val="000000"/>
          <w:kern w:val="0"/>
          <w:lang w:eastAsia="en-GB"/>
          <w14:ligatures w14:val="none"/>
        </w:rPr>
        <w:t xml:space="preserve">Organ, D.W. (1997) ‘Organizational citizenship behaviour: It's construct cleanup time’, </w:t>
      </w:r>
      <w:r w:rsidRPr="00235DDC">
        <w:rPr>
          <w:rFonts w:ascii="Arial" w:eastAsia="Times New Roman" w:hAnsi="Arial" w:cs="Arial"/>
          <w:i/>
          <w:iCs/>
          <w:color w:val="000000"/>
          <w:kern w:val="0"/>
          <w:lang w:eastAsia="en-GB"/>
          <w14:ligatures w14:val="none"/>
        </w:rPr>
        <w:t>Human Performance</w:t>
      </w:r>
      <w:r w:rsidRPr="00235DDC">
        <w:rPr>
          <w:rFonts w:ascii="Arial" w:eastAsia="Times New Roman" w:hAnsi="Arial" w:cs="Arial"/>
          <w:color w:val="000000"/>
          <w:kern w:val="0"/>
          <w:lang w:eastAsia="en-GB"/>
          <w14:ligatures w14:val="none"/>
        </w:rPr>
        <w:t>, 10(2), pp. 85-97. Available at: </w:t>
      </w:r>
      <w:hyperlink r:id="rId20" w:tgtFrame="_blank" w:history="1">
        <w:r w:rsidRPr="00235DDC">
          <w:rPr>
            <w:rFonts w:ascii="Arial" w:eastAsia="Times New Roman" w:hAnsi="Arial" w:cs="Arial"/>
            <w:color w:val="0000FF"/>
            <w:kern w:val="0"/>
            <w:u w:val="single"/>
            <w:lang w:eastAsia="en-GB"/>
            <w14:ligatures w14:val="none"/>
          </w:rPr>
          <w:t>https://doi.org/10.1207/s15327043hup1002_2</w:t>
        </w:r>
      </w:hyperlink>
      <w:r w:rsidRPr="00235DDC">
        <w:rPr>
          <w:rFonts w:ascii="Arial" w:eastAsia="Times New Roman" w:hAnsi="Arial" w:cs="Arial"/>
          <w:color w:val="000000"/>
          <w:kern w:val="0"/>
          <w:lang w:eastAsia="en-GB"/>
          <w14:ligatures w14:val="none"/>
        </w:rPr>
        <w:t>. (Accessed: 2 March 2024).  </w:t>
      </w:r>
    </w:p>
    <w:p w14:paraId="0CF97097" w14:textId="77777777" w:rsidR="00235DDC" w:rsidRDefault="00235DDC" w:rsidP="00235DDC">
      <w:pPr>
        <w:spacing w:after="0" w:line="360" w:lineRule="auto"/>
        <w:jc w:val="both"/>
        <w:textAlignment w:val="baseline"/>
        <w:rPr>
          <w:rFonts w:ascii="Arial" w:eastAsia="Times New Roman" w:hAnsi="Arial" w:cs="Arial"/>
          <w:color w:val="000000"/>
          <w:kern w:val="0"/>
          <w:lang w:eastAsia="en-GB"/>
          <w14:ligatures w14:val="none"/>
        </w:rPr>
      </w:pPr>
    </w:p>
    <w:p w14:paraId="271E61BB" w14:textId="539818BA" w:rsidR="00235DDC" w:rsidRDefault="00235DDC" w:rsidP="00235DDC">
      <w:pPr>
        <w:spacing w:after="0" w:line="360" w:lineRule="auto"/>
        <w:jc w:val="both"/>
        <w:textAlignment w:val="baseline"/>
        <w:rPr>
          <w:rFonts w:ascii="Arial" w:eastAsia="Times New Roman" w:hAnsi="Arial" w:cs="Arial"/>
          <w:color w:val="000000"/>
          <w:kern w:val="0"/>
          <w:lang w:eastAsia="en-GB"/>
          <w14:ligatures w14:val="none"/>
        </w:rPr>
      </w:pPr>
      <w:r w:rsidRPr="00235DDC">
        <w:rPr>
          <w:rFonts w:ascii="Arial" w:eastAsia="Times New Roman" w:hAnsi="Arial" w:cs="Arial"/>
          <w:color w:val="000000"/>
          <w:kern w:val="0"/>
          <w:lang w:eastAsia="en-GB"/>
          <w14:ligatures w14:val="none"/>
        </w:rPr>
        <w:t>Ozawa, K. (2020) ‘The influence of managers’ successful change experience on organisational change: performance crisis and managers’ tenure’, K</w:t>
      </w:r>
      <w:r w:rsidRPr="00235DDC">
        <w:rPr>
          <w:rFonts w:ascii="Arial" w:eastAsia="Times New Roman" w:hAnsi="Arial" w:cs="Arial"/>
          <w:i/>
          <w:iCs/>
          <w:color w:val="000000"/>
          <w:kern w:val="0"/>
          <w:lang w:eastAsia="en-GB"/>
          <w14:ligatures w14:val="none"/>
        </w:rPr>
        <w:t xml:space="preserve">nowledge Management Research &amp; Practice, </w:t>
      </w:r>
      <w:r w:rsidRPr="00235DDC">
        <w:rPr>
          <w:rFonts w:ascii="Arial" w:eastAsia="Times New Roman" w:hAnsi="Arial" w:cs="Arial"/>
          <w:color w:val="000000"/>
          <w:kern w:val="0"/>
          <w:lang w:eastAsia="en-GB"/>
          <w14:ligatures w14:val="none"/>
        </w:rPr>
        <w:t>18(4), pp. 367-379, DOI: 10.1080/14778238.2019.1673677.</w:t>
      </w:r>
    </w:p>
    <w:p w14:paraId="29631432" w14:textId="7553B39C"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r w:rsidRPr="00235DDC">
        <w:rPr>
          <w:rFonts w:ascii="Arial" w:eastAsia="Times New Roman" w:hAnsi="Arial" w:cs="Arial"/>
          <w:color w:val="000000"/>
          <w:kern w:val="0"/>
          <w:lang w:eastAsia="en-GB"/>
          <w14:ligatures w14:val="none"/>
        </w:rPr>
        <w:t xml:space="preserve">  </w:t>
      </w:r>
    </w:p>
    <w:p w14:paraId="5E40C1B2" w14:textId="77777777" w:rsidR="00235DDC" w:rsidRDefault="00235DDC" w:rsidP="00235DDC">
      <w:pPr>
        <w:spacing w:after="0" w:line="360" w:lineRule="auto"/>
        <w:jc w:val="both"/>
        <w:textAlignment w:val="baseline"/>
        <w:rPr>
          <w:rFonts w:ascii="Arial" w:eastAsia="Times New Roman" w:hAnsi="Arial" w:cs="Arial"/>
          <w:kern w:val="0"/>
          <w:lang w:eastAsia="en-GB"/>
          <w14:ligatures w14:val="none"/>
        </w:rPr>
      </w:pPr>
      <w:r w:rsidRPr="00235DDC">
        <w:rPr>
          <w:rFonts w:ascii="Arial" w:eastAsia="Times New Roman" w:hAnsi="Arial" w:cs="Arial"/>
          <w:color w:val="000000"/>
          <w:kern w:val="0"/>
          <w:lang w:eastAsia="en-GB"/>
          <w14:ligatures w14:val="none"/>
        </w:rPr>
        <w:t xml:space="preserve">Pardo-del-Val, M. and Martinez-Fuentes, C. (2003) ‘Resistance to change: A literature review and empirical study’ </w:t>
      </w:r>
      <w:r w:rsidRPr="00235DDC">
        <w:rPr>
          <w:rFonts w:ascii="Arial" w:eastAsia="Times New Roman" w:hAnsi="Arial" w:cs="Arial"/>
          <w:i/>
          <w:iCs/>
          <w:color w:val="000000"/>
          <w:kern w:val="0"/>
          <w:lang w:eastAsia="en-GB"/>
          <w14:ligatures w14:val="none"/>
        </w:rPr>
        <w:t>Management Decision,</w:t>
      </w:r>
      <w:r w:rsidRPr="00235DDC">
        <w:rPr>
          <w:rFonts w:ascii="Arial" w:eastAsia="Times New Roman" w:hAnsi="Arial" w:cs="Arial"/>
          <w:color w:val="000000"/>
          <w:kern w:val="0"/>
          <w:lang w:eastAsia="en-GB"/>
          <w14:ligatures w14:val="none"/>
        </w:rPr>
        <w:t xml:space="preserve"> 41(2), pp. 148-155. Available at:</w:t>
      </w:r>
      <w:r w:rsidRPr="00235DDC">
        <w:rPr>
          <w:rFonts w:ascii="Arial" w:eastAsia="Times New Roman" w:hAnsi="Arial" w:cs="Arial"/>
          <w:kern w:val="0"/>
          <w:lang w:eastAsia="en-GB"/>
          <w14:ligatures w14:val="none"/>
        </w:rPr>
        <w:t xml:space="preserve"> </w:t>
      </w:r>
      <w:hyperlink r:id="rId21" w:tgtFrame="_blank" w:history="1">
        <w:r w:rsidRPr="00235DDC">
          <w:rPr>
            <w:rFonts w:ascii="Arial" w:eastAsia="Times New Roman" w:hAnsi="Arial" w:cs="Arial"/>
            <w:color w:val="0000FF"/>
            <w:kern w:val="0"/>
            <w:u w:val="single"/>
            <w:lang w:eastAsia="en-GB"/>
            <w14:ligatures w14:val="none"/>
          </w:rPr>
          <w:t>https://doi.org/10.1108/00251740310457597</w:t>
        </w:r>
      </w:hyperlink>
      <w:r w:rsidRPr="00235DDC">
        <w:rPr>
          <w:rFonts w:ascii="Arial" w:eastAsia="Times New Roman" w:hAnsi="Arial" w:cs="Arial"/>
          <w:kern w:val="0"/>
          <w:lang w:eastAsia="en-GB"/>
          <w14:ligatures w14:val="none"/>
        </w:rPr>
        <w:t>. (Accessed: 4 March 2024).</w:t>
      </w:r>
    </w:p>
    <w:p w14:paraId="590A91D0" w14:textId="6964E20B"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r w:rsidRPr="00235DDC">
        <w:rPr>
          <w:rFonts w:ascii="Arial" w:eastAsia="Times New Roman" w:hAnsi="Arial" w:cs="Arial"/>
          <w:kern w:val="0"/>
          <w:lang w:eastAsia="en-GB"/>
          <w14:ligatures w14:val="none"/>
        </w:rPr>
        <w:t xml:space="preserve">  </w:t>
      </w:r>
    </w:p>
    <w:p w14:paraId="0588B5A1" w14:textId="77777777" w:rsidR="00235DDC" w:rsidRDefault="00235DDC" w:rsidP="00235DDC">
      <w:pPr>
        <w:spacing w:after="0" w:line="360" w:lineRule="auto"/>
        <w:jc w:val="both"/>
        <w:textAlignment w:val="baseline"/>
        <w:rPr>
          <w:rFonts w:ascii="Arial" w:eastAsia="Times New Roman" w:hAnsi="Arial" w:cs="Arial"/>
          <w:kern w:val="0"/>
          <w:lang w:eastAsia="en-GB"/>
          <w14:ligatures w14:val="none"/>
        </w:rPr>
      </w:pPr>
      <w:r w:rsidRPr="00235DDC">
        <w:rPr>
          <w:rFonts w:ascii="Arial" w:eastAsia="Times New Roman" w:hAnsi="Arial" w:cs="Arial"/>
          <w:color w:val="000000"/>
          <w:kern w:val="0"/>
          <w:lang w:eastAsia="en-GB"/>
          <w14:ligatures w14:val="none"/>
        </w:rPr>
        <w:t xml:space="preserve">Petrou, P. Demerouti, E. and Schaufeli, W.B. (2018) ‘Crafting the Change: The Role of Employee Job Crafting Behaviours for Successful Organizational Change’, </w:t>
      </w:r>
      <w:r w:rsidRPr="00235DDC">
        <w:rPr>
          <w:rFonts w:ascii="Arial" w:eastAsia="Times New Roman" w:hAnsi="Arial" w:cs="Arial"/>
          <w:i/>
          <w:iCs/>
          <w:color w:val="000000"/>
          <w:kern w:val="0"/>
          <w:lang w:eastAsia="en-GB"/>
          <w14:ligatures w14:val="none"/>
        </w:rPr>
        <w:t xml:space="preserve">Journal of Management, </w:t>
      </w:r>
      <w:r w:rsidRPr="00235DDC">
        <w:rPr>
          <w:rFonts w:ascii="Arial" w:eastAsia="Times New Roman" w:hAnsi="Arial" w:cs="Arial"/>
          <w:color w:val="000000"/>
          <w:kern w:val="0"/>
          <w:lang w:eastAsia="en-GB"/>
          <w14:ligatures w14:val="none"/>
        </w:rPr>
        <w:t xml:space="preserve">44(5) pp. 1766-1792. Available at: </w:t>
      </w:r>
      <w:hyperlink r:id="rId22" w:tgtFrame="_blank" w:history="1">
        <w:r w:rsidRPr="00235DDC">
          <w:rPr>
            <w:rFonts w:ascii="Arial" w:eastAsia="Times New Roman" w:hAnsi="Arial" w:cs="Arial"/>
            <w:color w:val="0000FF"/>
            <w:kern w:val="0"/>
            <w:u w:val="single"/>
            <w:lang w:eastAsia="en-GB"/>
            <w14:ligatures w14:val="none"/>
          </w:rPr>
          <w:t>https://doi.org/10.1177/0149206315624961.</w:t>
        </w:r>
      </w:hyperlink>
      <w:r w:rsidRPr="00235DDC">
        <w:rPr>
          <w:rFonts w:ascii="Arial" w:eastAsia="Times New Roman" w:hAnsi="Arial" w:cs="Arial"/>
          <w:kern w:val="0"/>
          <w:lang w:eastAsia="en-GB"/>
          <w14:ligatures w14:val="none"/>
        </w:rPr>
        <w:t xml:space="preserve"> (Accessed: 3 March 2024).  </w:t>
      </w:r>
    </w:p>
    <w:p w14:paraId="73E31336" w14:textId="77777777"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p>
    <w:p w14:paraId="68AC8587" w14:textId="77777777" w:rsidR="00235DDC" w:rsidRDefault="00235DDC" w:rsidP="00235DDC">
      <w:pPr>
        <w:spacing w:after="0" w:line="360" w:lineRule="auto"/>
        <w:jc w:val="both"/>
        <w:textAlignment w:val="baseline"/>
        <w:rPr>
          <w:rFonts w:ascii="Arial" w:eastAsia="Times New Roman" w:hAnsi="Arial" w:cs="Arial"/>
          <w:kern w:val="0"/>
          <w:lang w:eastAsia="en-GB"/>
          <w14:ligatures w14:val="none"/>
        </w:rPr>
      </w:pPr>
      <w:r w:rsidRPr="00235DDC">
        <w:rPr>
          <w:rFonts w:ascii="Arial" w:eastAsia="Times New Roman" w:hAnsi="Arial" w:cs="Arial"/>
          <w:kern w:val="0"/>
          <w:lang w:eastAsia="en-GB"/>
          <w14:ligatures w14:val="none"/>
        </w:rPr>
        <w:t xml:space="preserve">Pomare, C. </w:t>
      </w:r>
      <w:proofErr w:type="spellStart"/>
      <w:r w:rsidRPr="00235DDC">
        <w:rPr>
          <w:rFonts w:ascii="Arial" w:eastAsia="Times New Roman" w:hAnsi="Arial" w:cs="Arial"/>
          <w:kern w:val="0"/>
          <w:lang w:eastAsia="en-GB"/>
          <w14:ligatures w14:val="none"/>
        </w:rPr>
        <w:t>Churruca</w:t>
      </w:r>
      <w:proofErr w:type="spellEnd"/>
      <w:r w:rsidRPr="00235DDC">
        <w:rPr>
          <w:rFonts w:ascii="Arial" w:eastAsia="Times New Roman" w:hAnsi="Arial" w:cs="Arial"/>
          <w:kern w:val="0"/>
          <w:lang w:eastAsia="en-GB"/>
          <w14:ligatures w14:val="none"/>
        </w:rPr>
        <w:t xml:space="preserve">, K. Long, J.C. Ellis, L.A. Braithwaite, J. (2019) ‘Organisational change in hospitals: a qualitative case-study of staff perspectives’, </w:t>
      </w:r>
      <w:r w:rsidRPr="00235DDC">
        <w:rPr>
          <w:rFonts w:ascii="Arial" w:eastAsia="Times New Roman" w:hAnsi="Arial" w:cs="Arial"/>
          <w:i/>
          <w:iCs/>
          <w:kern w:val="0"/>
          <w:lang w:eastAsia="en-GB"/>
          <w14:ligatures w14:val="none"/>
        </w:rPr>
        <w:t xml:space="preserve">BMC Health </w:t>
      </w:r>
      <w:proofErr w:type="spellStart"/>
      <w:r w:rsidRPr="00235DDC">
        <w:rPr>
          <w:rFonts w:ascii="Arial" w:eastAsia="Times New Roman" w:hAnsi="Arial" w:cs="Arial"/>
          <w:i/>
          <w:iCs/>
          <w:kern w:val="0"/>
          <w:lang w:eastAsia="en-GB"/>
          <w14:ligatures w14:val="none"/>
        </w:rPr>
        <w:t>Serv</w:t>
      </w:r>
      <w:proofErr w:type="spellEnd"/>
      <w:r w:rsidRPr="00235DDC">
        <w:rPr>
          <w:rFonts w:ascii="Arial" w:eastAsia="Times New Roman" w:hAnsi="Arial" w:cs="Arial"/>
          <w:i/>
          <w:iCs/>
          <w:kern w:val="0"/>
          <w:lang w:eastAsia="en-GB"/>
          <w14:ligatures w14:val="none"/>
        </w:rPr>
        <w:t xml:space="preserve"> Res, </w:t>
      </w:r>
      <w:r w:rsidRPr="00235DDC">
        <w:rPr>
          <w:rFonts w:ascii="Arial" w:eastAsia="Times New Roman" w:hAnsi="Arial" w:cs="Arial"/>
          <w:kern w:val="0"/>
          <w:lang w:eastAsia="en-GB"/>
          <w14:ligatures w14:val="none"/>
        </w:rPr>
        <w:t>14(19). DOI: 10.1186/s12913-019-4704-y.  </w:t>
      </w:r>
    </w:p>
    <w:p w14:paraId="67AEA451" w14:textId="77777777"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p>
    <w:p w14:paraId="4B2793E4" w14:textId="77777777" w:rsidR="00235DDC" w:rsidRDefault="00235DDC" w:rsidP="00235DDC">
      <w:pPr>
        <w:spacing w:after="0" w:line="360" w:lineRule="auto"/>
        <w:jc w:val="both"/>
        <w:textAlignment w:val="baseline"/>
        <w:rPr>
          <w:rFonts w:ascii="Arial" w:eastAsia="Times New Roman" w:hAnsi="Arial" w:cs="Arial"/>
          <w:kern w:val="0"/>
          <w:lang w:eastAsia="en-GB"/>
          <w14:ligatures w14:val="none"/>
        </w:rPr>
      </w:pPr>
      <w:proofErr w:type="spellStart"/>
      <w:r w:rsidRPr="00235DDC">
        <w:rPr>
          <w:rFonts w:ascii="Arial" w:eastAsia="Times New Roman" w:hAnsi="Arial" w:cs="Arial"/>
          <w:kern w:val="0"/>
          <w:lang w:eastAsia="en-GB"/>
          <w14:ligatures w14:val="none"/>
        </w:rPr>
        <w:t>Prosci</w:t>
      </w:r>
      <w:proofErr w:type="spellEnd"/>
      <w:r w:rsidRPr="00235DDC">
        <w:rPr>
          <w:rFonts w:ascii="Arial" w:eastAsia="Times New Roman" w:hAnsi="Arial" w:cs="Arial"/>
          <w:kern w:val="0"/>
          <w:lang w:eastAsia="en-GB"/>
          <w14:ligatures w14:val="none"/>
        </w:rPr>
        <w:t xml:space="preserve"> (2015) T</w:t>
      </w:r>
      <w:r w:rsidRPr="00235DDC">
        <w:rPr>
          <w:rFonts w:ascii="Arial" w:eastAsia="Times New Roman" w:hAnsi="Arial" w:cs="Arial"/>
          <w:i/>
          <w:iCs/>
          <w:kern w:val="0"/>
          <w:lang w:eastAsia="en-GB"/>
          <w14:ligatures w14:val="none"/>
        </w:rPr>
        <w:t xml:space="preserve">he </w:t>
      </w:r>
      <w:proofErr w:type="spellStart"/>
      <w:r w:rsidRPr="00235DDC">
        <w:rPr>
          <w:rFonts w:ascii="Arial" w:eastAsia="Times New Roman" w:hAnsi="Arial" w:cs="Arial"/>
          <w:i/>
          <w:iCs/>
          <w:kern w:val="0"/>
          <w:lang w:eastAsia="en-GB"/>
          <w14:ligatures w14:val="none"/>
        </w:rPr>
        <w:t>Prosci</w:t>
      </w:r>
      <w:proofErr w:type="spellEnd"/>
      <w:r w:rsidRPr="00235DDC">
        <w:rPr>
          <w:rFonts w:ascii="Arial" w:eastAsia="Times New Roman" w:hAnsi="Arial" w:cs="Arial"/>
          <w:i/>
          <w:iCs/>
          <w:kern w:val="0"/>
          <w:lang w:eastAsia="en-GB"/>
          <w14:ligatures w14:val="none"/>
        </w:rPr>
        <w:t xml:space="preserve"> ADKAR model. Change management learning </w:t>
      </w:r>
      <w:proofErr w:type="spellStart"/>
      <w:r w:rsidRPr="00235DDC">
        <w:rPr>
          <w:rFonts w:ascii="Arial" w:eastAsia="Times New Roman" w:hAnsi="Arial" w:cs="Arial"/>
          <w:i/>
          <w:iCs/>
          <w:kern w:val="0"/>
          <w:lang w:eastAsia="en-GB"/>
          <w14:ligatures w14:val="none"/>
        </w:rPr>
        <w:t>center</w:t>
      </w:r>
      <w:proofErr w:type="spellEnd"/>
      <w:r w:rsidRPr="00235DDC">
        <w:rPr>
          <w:rFonts w:ascii="Arial" w:eastAsia="Times New Roman" w:hAnsi="Arial" w:cs="Arial"/>
          <w:i/>
          <w:iCs/>
          <w:kern w:val="0"/>
          <w:lang w:eastAsia="en-GB"/>
          <w14:ligatures w14:val="none"/>
        </w:rPr>
        <w:t xml:space="preserve">. </w:t>
      </w:r>
      <w:r w:rsidRPr="00235DDC">
        <w:rPr>
          <w:rFonts w:ascii="Arial" w:eastAsia="Times New Roman" w:hAnsi="Arial" w:cs="Arial"/>
          <w:kern w:val="0"/>
          <w:lang w:eastAsia="en-GB"/>
          <w14:ligatures w14:val="none"/>
        </w:rPr>
        <w:t xml:space="preserve">Available at: </w:t>
      </w:r>
      <w:hyperlink r:id="rId23" w:tgtFrame="_blank" w:history="1">
        <w:r w:rsidRPr="00235DDC">
          <w:rPr>
            <w:rFonts w:ascii="Arial" w:eastAsia="Times New Roman" w:hAnsi="Arial" w:cs="Arial"/>
            <w:color w:val="0000FF"/>
            <w:kern w:val="0"/>
            <w:u w:val="single"/>
            <w:lang w:eastAsia="en-GB"/>
            <w14:ligatures w14:val="none"/>
          </w:rPr>
          <w:t>https://www.prosci.com/methodology/adkar</w:t>
        </w:r>
      </w:hyperlink>
      <w:r w:rsidRPr="00235DDC">
        <w:rPr>
          <w:rFonts w:ascii="Arial" w:eastAsia="Times New Roman" w:hAnsi="Arial" w:cs="Arial"/>
          <w:kern w:val="0"/>
          <w:lang w:eastAsia="en-GB"/>
          <w14:ligatures w14:val="none"/>
        </w:rPr>
        <w:t>. (Accessed: 1 March 2024).  </w:t>
      </w:r>
    </w:p>
    <w:p w14:paraId="5CB70D6E" w14:textId="77777777" w:rsidR="00235DDC" w:rsidRDefault="00235DDC" w:rsidP="00235DDC">
      <w:pPr>
        <w:spacing w:after="0" w:line="360" w:lineRule="auto"/>
        <w:jc w:val="both"/>
        <w:textAlignment w:val="baseline"/>
        <w:rPr>
          <w:rFonts w:ascii="Arial" w:eastAsia="Times New Roman" w:hAnsi="Arial" w:cs="Arial"/>
          <w:kern w:val="0"/>
          <w:lang w:eastAsia="en-GB"/>
          <w14:ligatures w14:val="none"/>
        </w:rPr>
      </w:pPr>
    </w:p>
    <w:p w14:paraId="29EFA855" w14:textId="48616D9D" w:rsidR="00235DDC" w:rsidRDefault="00235DDC" w:rsidP="00235DDC">
      <w:pPr>
        <w:spacing w:after="0" w:line="360" w:lineRule="auto"/>
        <w:jc w:val="both"/>
        <w:textAlignment w:val="baseline"/>
        <w:rPr>
          <w:rFonts w:ascii="Arial" w:eastAsia="Times New Roman" w:hAnsi="Arial" w:cs="Arial"/>
          <w:kern w:val="0"/>
          <w:lang w:eastAsia="en-GB"/>
          <w14:ligatures w14:val="none"/>
        </w:rPr>
      </w:pPr>
      <w:r w:rsidRPr="00235DDC">
        <w:rPr>
          <w:rFonts w:ascii="Arial" w:eastAsia="Times New Roman" w:hAnsi="Arial" w:cs="Arial"/>
          <w:kern w:val="0"/>
          <w:lang w:eastAsia="en-GB"/>
          <w14:ligatures w14:val="none"/>
        </w:rPr>
        <w:t xml:space="preserve">Rothwell, R. Freeman, C. </w:t>
      </w:r>
      <w:proofErr w:type="spellStart"/>
      <w:r w:rsidRPr="00235DDC">
        <w:rPr>
          <w:rFonts w:ascii="Arial" w:eastAsia="Times New Roman" w:hAnsi="Arial" w:cs="Arial"/>
          <w:kern w:val="0"/>
          <w:lang w:eastAsia="en-GB"/>
          <w14:ligatures w14:val="none"/>
        </w:rPr>
        <w:t>Horlsey</w:t>
      </w:r>
      <w:proofErr w:type="spellEnd"/>
      <w:r w:rsidRPr="00235DDC">
        <w:rPr>
          <w:rFonts w:ascii="Arial" w:eastAsia="Times New Roman" w:hAnsi="Arial" w:cs="Arial"/>
          <w:kern w:val="0"/>
          <w:lang w:eastAsia="en-GB"/>
          <w14:ligatures w14:val="none"/>
        </w:rPr>
        <w:t xml:space="preserve">, A. Jervis, V.T.P. Robertson, A.B. and Townsend, J. (1974) ‘SAPPHO updated-project SAPPHO phase II’, </w:t>
      </w:r>
      <w:r w:rsidRPr="00235DDC">
        <w:rPr>
          <w:rFonts w:ascii="Arial" w:eastAsia="Times New Roman" w:hAnsi="Arial" w:cs="Arial"/>
          <w:i/>
          <w:iCs/>
          <w:kern w:val="0"/>
          <w:lang w:eastAsia="en-GB"/>
          <w14:ligatures w14:val="none"/>
        </w:rPr>
        <w:t>Research Policy</w:t>
      </w:r>
      <w:r w:rsidRPr="00235DDC">
        <w:rPr>
          <w:rFonts w:ascii="Arial" w:eastAsia="Times New Roman" w:hAnsi="Arial" w:cs="Arial"/>
          <w:kern w:val="0"/>
          <w:lang w:eastAsia="en-GB"/>
          <w14:ligatures w14:val="none"/>
        </w:rPr>
        <w:t xml:space="preserve">, 3(3), pp. 258-291. </w:t>
      </w:r>
      <w:hyperlink r:id="rId24" w:tgtFrame="_blank" w:history="1">
        <w:r w:rsidRPr="00235DDC">
          <w:rPr>
            <w:rFonts w:ascii="Arial" w:eastAsia="Times New Roman" w:hAnsi="Arial" w:cs="Arial"/>
            <w:color w:val="0000FF"/>
            <w:kern w:val="0"/>
            <w:u w:val="single"/>
            <w:lang w:eastAsia="en-GB"/>
            <w14:ligatures w14:val="none"/>
          </w:rPr>
          <w:t>https://doi.org/10.1016/0048-7333(74)90010-9</w:t>
        </w:r>
      </w:hyperlink>
      <w:r w:rsidRPr="00235DDC">
        <w:rPr>
          <w:rFonts w:ascii="Arial" w:eastAsia="Times New Roman" w:hAnsi="Arial" w:cs="Arial"/>
          <w:kern w:val="0"/>
          <w:lang w:eastAsia="en-GB"/>
          <w14:ligatures w14:val="none"/>
        </w:rPr>
        <w:t>. (Accessed: 1 March 2024). </w:t>
      </w:r>
    </w:p>
    <w:p w14:paraId="01FF93FC" w14:textId="77777777"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p>
    <w:p w14:paraId="00B561D8" w14:textId="77777777" w:rsidR="00235DDC" w:rsidRDefault="00235DDC" w:rsidP="00235DDC">
      <w:pPr>
        <w:shd w:val="clear" w:color="auto" w:fill="FFFFFF"/>
        <w:spacing w:after="0" w:line="360" w:lineRule="auto"/>
        <w:jc w:val="both"/>
        <w:textAlignment w:val="baseline"/>
        <w:rPr>
          <w:rFonts w:ascii="Arial" w:eastAsia="Times New Roman" w:hAnsi="Arial" w:cs="Arial"/>
          <w:kern w:val="0"/>
          <w:lang w:eastAsia="en-GB"/>
          <w14:ligatures w14:val="none"/>
        </w:rPr>
      </w:pPr>
      <w:r w:rsidRPr="00235DDC">
        <w:rPr>
          <w:rFonts w:ascii="Arial" w:eastAsia="Times New Roman" w:hAnsi="Arial" w:cs="Arial"/>
          <w:kern w:val="0"/>
          <w:lang w:eastAsia="en-GB"/>
          <w14:ligatures w14:val="none"/>
        </w:rPr>
        <w:lastRenderedPageBreak/>
        <w:t xml:space="preserve">Scherer, A.G. (2009) </w:t>
      </w:r>
      <w:r w:rsidRPr="00235DDC">
        <w:rPr>
          <w:rFonts w:ascii="Arial" w:eastAsia="Times New Roman" w:hAnsi="Arial" w:cs="Arial"/>
          <w:i/>
          <w:iCs/>
          <w:kern w:val="0"/>
          <w:lang w:eastAsia="en-GB"/>
          <w14:ligatures w14:val="none"/>
        </w:rPr>
        <w:t xml:space="preserve">Critical theory and its contributions to Critical Management Studies; </w:t>
      </w:r>
      <w:r w:rsidRPr="00235DDC">
        <w:rPr>
          <w:rFonts w:ascii="Arial" w:eastAsia="Times New Roman" w:hAnsi="Arial" w:cs="Arial"/>
          <w:kern w:val="0"/>
          <w:lang w:eastAsia="en-GB"/>
          <w14:ligatures w14:val="none"/>
        </w:rPr>
        <w:t>The Oxford Handbook of Critical Management Studies. Oxford: University Press.  </w:t>
      </w:r>
    </w:p>
    <w:p w14:paraId="0213A078" w14:textId="77777777" w:rsidR="00235DDC" w:rsidRDefault="00235DDC" w:rsidP="00235DDC">
      <w:pPr>
        <w:shd w:val="clear" w:color="auto" w:fill="FFFFFF"/>
        <w:spacing w:after="0" w:line="360" w:lineRule="auto"/>
        <w:jc w:val="both"/>
        <w:textAlignment w:val="baseline"/>
        <w:rPr>
          <w:rFonts w:ascii="Arial" w:eastAsia="Times New Roman" w:hAnsi="Arial" w:cs="Arial"/>
          <w:kern w:val="0"/>
          <w:lang w:eastAsia="en-GB"/>
          <w14:ligatures w14:val="none"/>
        </w:rPr>
      </w:pPr>
    </w:p>
    <w:p w14:paraId="721BFF56" w14:textId="49775563" w:rsidR="00235DDC" w:rsidRDefault="00235DDC" w:rsidP="00235DDC">
      <w:pPr>
        <w:shd w:val="clear" w:color="auto" w:fill="FFFFFF"/>
        <w:spacing w:after="0" w:line="360" w:lineRule="auto"/>
        <w:jc w:val="both"/>
        <w:textAlignment w:val="baseline"/>
        <w:rPr>
          <w:rFonts w:ascii="Arial" w:eastAsia="Times New Roman" w:hAnsi="Arial" w:cs="Arial"/>
          <w:kern w:val="0"/>
          <w:lang w:eastAsia="en-GB"/>
          <w14:ligatures w14:val="none"/>
        </w:rPr>
      </w:pPr>
      <w:r w:rsidRPr="00235DDC">
        <w:rPr>
          <w:rFonts w:ascii="Arial" w:eastAsia="Times New Roman" w:hAnsi="Arial" w:cs="Arial"/>
          <w:color w:val="000000"/>
          <w:kern w:val="0"/>
          <w:lang w:eastAsia="en-GB"/>
          <w14:ligatures w14:val="none"/>
        </w:rPr>
        <w:t xml:space="preserve">Stalker, K. (2000) ‘The Individual, the Organisation and the Psychological Contract’, </w:t>
      </w:r>
      <w:r w:rsidRPr="00235DDC">
        <w:rPr>
          <w:rFonts w:ascii="Arial" w:eastAsia="Times New Roman" w:hAnsi="Arial" w:cs="Arial"/>
          <w:i/>
          <w:iCs/>
          <w:color w:val="000000"/>
          <w:kern w:val="0"/>
          <w:lang w:eastAsia="en-GB"/>
          <w14:ligatures w14:val="none"/>
        </w:rPr>
        <w:t>British Journal of Administrative Management</w:t>
      </w:r>
      <w:r w:rsidRPr="00235DDC">
        <w:rPr>
          <w:rFonts w:ascii="Arial" w:eastAsia="Times New Roman" w:hAnsi="Arial" w:cs="Arial"/>
          <w:color w:val="000000"/>
          <w:kern w:val="0"/>
          <w:lang w:eastAsia="en-GB"/>
          <w14:ligatures w14:val="none"/>
        </w:rPr>
        <w:t xml:space="preserve">, pp. 28– 34. Available at: </w:t>
      </w:r>
      <w:hyperlink r:id="rId25" w:tgtFrame="_blank" w:history="1">
        <w:r w:rsidRPr="00235DDC">
          <w:rPr>
            <w:rFonts w:ascii="Arial" w:eastAsia="Times New Roman" w:hAnsi="Arial" w:cs="Arial"/>
            <w:color w:val="0000FF"/>
            <w:kern w:val="0"/>
            <w:u w:val="single"/>
            <w:lang w:eastAsia="en-GB"/>
            <w14:ligatures w14:val="none"/>
          </w:rPr>
          <w:t>https://www.semanticscholar.org/paper/The-Individual%2C-the-Organisation-and-the-Contract-Stalker/9eb9f690e5b467922bc499d0cf98af5142ff630c.</w:t>
        </w:r>
      </w:hyperlink>
      <w:r w:rsidRPr="00235DDC">
        <w:rPr>
          <w:rFonts w:ascii="Arial" w:eastAsia="Times New Roman" w:hAnsi="Arial" w:cs="Arial"/>
          <w:kern w:val="0"/>
          <w:lang w:eastAsia="en-GB"/>
          <w14:ligatures w14:val="none"/>
        </w:rPr>
        <w:t xml:space="preserve"> (Accessed: 2 March 2024).  </w:t>
      </w:r>
    </w:p>
    <w:p w14:paraId="0479D7DD" w14:textId="77777777" w:rsidR="00B8413A" w:rsidRPr="00235DDC" w:rsidRDefault="00B8413A" w:rsidP="00235DDC">
      <w:pPr>
        <w:shd w:val="clear" w:color="auto" w:fill="FFFFFF"/>
        <w:spacing w:after="0" w:line="360" w:lineRule="auto"/>
        <w:jc w:val="both"/>
        <w:textAlignment w:val="baseline"/>
        <w:rPr>
          <w:rFonts w:ascii="Arial" w:eastAsia="Times New Roman" w:hAnsi="Arial" w:cs="Arial"/>
          <w:kern w:val="0"/>
          <w:lang w:eastAsia="en-GB"/>
          <w14:ligatures w14:val="none"/>
        </w:rPr>
      </w:pPr>
    </w:p>
    <w:p w14:paraId="371F6AF2" w14:textId="77777777" w:rsidR="00235DDC" w:rsidRDefault="00235DDC" w:rsidP="00235DDC">
      <w:pPr>
        <w:spacing w:after="0" w:line="360" w:lineRule="auto"/>
        <w:jc w:val="both"/>
        <w:textAlignment w:val="baseline"/>
        <w:rPr>
          <w:rFonts w:ascii="Arial" w:eastAsia="Times New Roman" w:hAnsi="Arial" w:cs="Arial"/>
          <w:color w:val="000000"/>
          <w:kern w:val="0"/>
          <w:lang w:eastAsia="en-GB"/>
          <w14:ligatures w14:val="none"/>
        </w:rPr>
      </w:pPr>
      <w:r w:rsidRPr="00235DDC">
        <w:rPr>
          <w:rFonts w:ascii="Arial" w:eastAsia="Times New Roman" w:hAnsi="Arial" w:cs="Arial"/>
          <w:color w:val="000000"/>
          <w:kern w:val="0"/>
          <w:lang w:eastAsia="en-GB"/>
          <w14:ligatures w14:val="none"/>
        </w:rPr>
        <w:t xml:space="preserve">Szabla, D.B. (2007) ‘A multidimensional view of resistance to organizational change: Exploring cognitive, emotional, and intentional responses to planned changed across perceived change leadership strategies’, </w:t>
      </w:r>
      <w:r w:rsidRPr="00235DDC">
        <w:rPr>
          <w:rFonts w:ascii="Arial" w:eastAsia="Times New Roman" w:hAnsi="Arial" w:cs="Arial"/>
          <w:i/>
          <w:iCs/>
          <w:color w:val="000000"/>
          <w:kern w:val="0"/>
          <w:lang w:eastAsia="en-GB"/>
          <w14:ligatures w14:val="none"/>
        </w:rPr>
        <w:t xml:space="preserve">Human Resource Development Quarterly, </w:t>
      </w:r>
      <w:r w:rsidRPr="00235DDC">
        <w:rPr>
          <w:rFonts w:ascii="Arial" w:eastAsia="Times New Roman" w:hAnsi="Arial" w:cs="Arial"/>
          <w:color w:val="000000"/>
          <w:kern w:val="0"/>
          <w:lang w:eastAsia="en-GB"/>
          <w14:ligatures w14:val="none"/>
        </w:rPr>
        <w:t>18</w:t>
      </w:r>
      <w:r w:rsidRPr="00235DDC">
        <w:rPr>
          <w:rFonts w:ascii="Arial" w:eastAsia="Times New Roman" w:hAnsi="Arial" w:cs="Arial"/>
          <w:i/>
          <w:iCs/>
          <w:color w:val="000000"/>
          <w:kern w:val="0"/>
          <w:lang w:eastAsia="en-GB"/>
          <w14:ligatures w14:val="none"/>
        </w:rPr>
        <w:t>(</w:t>
      </w:r>
      <w:r w:rsidRPr="00235DDC">
        <w:rPr>
          <w:rFonts w:ascii="Arial" w:eastAsia="Times New Roman" w:hAnsi="Arial" w:cs="Arial"/>
          <w:color w:val="000000"/>
          <w:kern w:val="0"/>
          <w:lang w:eastAsia="en-GB"/>
          <w14:ligatures w14:val="none"/>
        </w:rPr>
        <w:t xml:space="preserve">4), pp. 525-558. Available at: </w:t>
      </w:r>
      <w:hyperlink r:id="rId26" w:tgtFrame="_blank" w:history="1">
        <w:r w:rsidRPr="00235DDC">
          <w:rPr>
            <w:rFonts w:ascii="Arial" w:eastAsia="Times New Roman" w:hAnsi="Arial" w:cs="Arial"/>
            <w:color w:val="0000FF"/>
            <w:kern w:val="0"/>
            <w:u w:val="single"/>
            <w:lang w:eastAsia="en-GB"/>
            <w14:ligatures w14:val="none"/>
          </w:rPr>
          <w:t>http://dx.doi.org/10.1002/hrdq.1218</w:t>
        </w:r>
      </w:hyperlink>
      <w:r w:rsidRPr="00235DDC">
        <w:rPr>
          <w:rFonts w:ascii="Arial" w:eastAsia="Times New Roman" w:hAnsi="Arial" w:cs="Arial"/>
          <w:color w:val="000000"/>
          <w:kern w:val="0"/>
          <w:lang w:eastAsia="en-GB"/>
          <w14:ligatures w14:val="none"/>
        </w:rPr>
        <w:t>. (Accessed: 1 March 2024).  </w:t>
      </w:r>
    </w:p>
    <w:p w14:paraId="634CB0D9" w14:textId="77777777"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p>
    <w:p w14:paraId="3CD42655" w14:textId="31CF5A74" w:rsidR="00235DDC" w:rsidRDefault="00235DDC" w:rsidP="00235DDC">
      <w:pPr>
        <w:spacing w:after="0" w:line="360" w:lineRule="auto"/>
        <w:jc w:val="both"/>
        <w:textAlignment w:val="baseline"/>
        <w:rPr>
          <w:rFonts w:ascii="Arial" w:eastAsia="Times New Roman" w:hAnsi="Arial" w:cs="Arial"/>
          <w:color w:val="000000"/>
          <w:kern w:val="0"/>
          <w:lang w:eastAsia="en-GB"/>
          <w14:ligatures w14:val="none"/>
        </w:rPr>
      </w:pPr>
      <w:r w:rsidRPr="00235DDC">
        <w:rPr>
          <w:rFonts w:ascii="Arial" w:eastAsia="Times New Roman" w:hAnsi="Arial" w:cs="Arial"/>
          <w:color w:val="000000"/>
          <w:kern w:val="0"/>
          <w:lang w:eastAsia="en-GB"/>
          <w14:ligatures w14:val="none"/>
        </w:rPr>
        <w:t xml:space="preserve">The Department of Health (2005) Departmental Report – The Health and Personal Social Services Programmes. London: Crown. </w:t>
      </w:r>
    </w:p>
    <w:p w14:paraId="489FCE52" w14:textId="77777777" w:rsidR="00235DDC" w:rsidRDefault="00235DDC" w:rsidP="00235DDC">
      <w:pPr>
        <w:spacing w:after="0" w:line="360" w:lineRule="auto"/>
        <w:jc w:val="both"/>
        <w:textAlignment w:val="baseline"/>
        <w:rPr>
          <w:rFonts w:ascii="Arial" w:eastAsia="Times New Roman" w:hAnsi="Arial" w:cs="Arial"/>
          <w:kern w:val="0"/>
          <w:lang w:eastAsia="en-GB"/>
          <w14:ligatures w14:val="none"/>
        </w:rPr>
      </w:pPr>
    </w:p>
    <w:p w14:paraId="55F37882" w14:textId="1CECA073" w:rsidR="00235DDC" w:rsidRDefault="00235DDC" w:rsidP="00235DDC">
      <w:pPr>
        <w:spacing w:after="0" w:line="360" w:lineRule="auto"/>
        <w:jc w:val="both"/>
        <w:textAlignment w:val="baseline"/>
        <w:rPr>
          <w:rFonts w:ascii="Arial" w:eastAsia="Times New Roman" w:hAnsi="Arial" w:cs="Arial"/>
          <w:color w:val="000000"/>
          <w:kern w:val="0"/>
          <w:lang w:eastAsia="en-GB"/>
          <w14:ligatures w14:val="none"/>
        </w:rPr>
      </w:pPr>
      <w:r w:rsidRPr="00235DDC">
        <w:rPr>
          <w:rFonts w:ascii="Arial" w:eastAsia="Times New Roman" w:hAnsi="Arial" w:cs="Arial"/>
          <w:color w:val="000000"/>
          <w:kern w:val="0"/>
          <w:lang w:eastAsia="en-GB"/>
          <w14:ligatures w14:val="none"/>
        </w:rPr>
        <w:t xml:space="preserve">The Department of Health (2008) </w:t>
      </w:r>
      <w:r w:rsidRPr="00235DDC">
        <w:rPr>
          <w:rFonts w:ascii="Arial" w:eastAsia="Times New Roman" w:hAnsi="Arial" w:cs="Arial"/>
          <w:i/>
          <w:iCs/>
          <w:color w:val="000000"/>
          <w:kern w:val="0"/>
          <w:lang w:eastAsia="en-GB"/>
          <w14:ligatures w14:val="none"/>
        </w:rPr>
        <w:t xml:space="preserve">The Health and Personal Social Services Programmes. </w:t>
      </w:r>
      <w:r w:rsidRPr="00235DDC">
        <w:rPr>
          <w:rFonts w:ascii="Arial" w:eastAsia="Times New Roman" w:hAnsi="Arial" w:cs="Arial"/>
          <w:color w:val="000000"/>
          <w:kern w:val="0"/>
          <w:lang w:eastAsia="en-GB"/>
          <w14:ligatures w14:val="none"/>
        </w:rPr>
        <w:t>London: Crown.  </w:t>
      </w:r>
    </w:p>
    <w:p w14:paraId="32BBC63D" w14:textId="77777777"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p>
    <w:p w14:paraId="7862F169" w14:textId="77777777"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r w:rsidRPr="00235DDC">
        <w:rPr>
          <w:rFonts w:ascii="Arial" w:eastAsia="Times New Roman" w:hAnsi="Arial" w:cs="Arial"/>
          <w:color w:val="000000"/>
          <w:kern w:val="0"/>
          <w:lang w:eastAsia="en-GB"/>
          <w14:ligatures w14:val="none"/>
        </w:rPr>
        <w:t xml:space="preserve">The Department of Health (2011) </w:t>
      </w:r>
      <w:r w:rsidRPr="00235DDC">
        <w:rPr>
          <w:rFonts w:ascii="Arial" w:eastAsia="Times New Roman" w:hAnsi="Arial" w:cs="Arial"/>
          <w:i/>
          <w:iCs/>
          <w:color w:val="000000"/>
          <w:kern w:val="0"/>
          <w:lang w:eastAsia="en-GB"/>
          <w14:ligatures w14:val="none"/>
        </w:rPr>
        <w:t xml:space="preserve">Annual Report and Accounts. </w:t>
      </w:r>
      <w:r w:rsidRPr="00235DDC">
        <w:rPr>
          <w:rFonts w:ascii="Arial" w:eastAsia="Times New Roman" w:hAnsi="Arial" w:cs="Arial"/>
          <w:color w:val="000000"/>
          <w:kern w:val="0"/>
          <w:lang w:eastAsia="en-GB"/>
          <w14:ligatures w14:val="none"/>
        </w:rPr>
        <w:t>London: Crown.  </w:t>
      </w:r>
    </w:p>
    <w:p w14:paraId="06D42F5A" w14:textId="77777777" w:rsidR="00235DDC" w:rsidRDefault="00235DDC" w:rsidP="00235DDC">
      <w:pPr>
        <w:spacing w:after="0" w:line="360" w:lineRule="auto"/>
        <w:jc w:val="both"/>
        <w:textAlignment w:val="baseline"/>
        <w:rPr>
          <w:rFonts w:ascii="Arial" w:eastAsia="Times New Roman" w:hAnsi="Arial" w:cs="Arial"/>
          <w:color w:val="000000"/>
          <w:kern w:val="0"/>
          <w:lang w:eastAsia="en-GB"/>
          <w14:ligatures w14:val="none"/>
        </w:rPr>
      </w:pPr>
      <w:r w:rsidRPr="00235DDC">
        <w:rPr>
          <w:rFonts w:ascii="Arial" w:eastAsia="Times New Roman" w:hAnsi="Arial" w:cs="Arial"/>
          <w:color w:val="000000"/>
          <w:kern w:val="0"/>
          <w:lang w:eastAsia="en-GB"/>
          <w14:ligatures w14:val="none"/>
        </w:rPr>
        <w:t xml:space="preserve">Van der Ven, N. (2011) </w:t>
      </w:r>
      <w:r w:rsidRPr="00235DDC">
        <w:rPr>
          <w:rFonts w:ascii="Arial" w:eastAsia="Times New Roman" w:hAnsi="Arial" w:cs="Arial"/>
          <w:i/>
          <w:iCs/>
          <w:color w:val="000000"/>
          <w:kern w:val="0"/>
          <w:lang w:eastAsia="en-GB"/>
          <w14:ligatures w14:val="none"/>
        </w:rPr>
        <w:t xml:space="preserve">The shame of reason in organizational change: A </w:t>
      </w:r>
      <w:proofErr w:type="spellStart"/>
      <w:r w:rsidRPr="00235DDC">
        <w:rPr>
          <w:rFonts w:ascii="Arial" w:eastAsia="Times New Roman" w:hAnsi="Arial" w:cs="Arial"/>
          <w:i/>
          <w:iCs/>
          <w:color w:val="000000"/>
          <w:kern w:val="0"/>
          <w:lang w:eastAsia="en-GB"/>
          <w14:ligatures w14:val="none"/>
        </w:rPr>
        <w:t>Levinassian</w:t>
      </w:r>
      <w:proofErr w:type="spellEnd"/>
      <w:r w:rsidRPr="00235DDC">
        <w:rPr>
          <w:rFonts w:ascii="Arial" w:eastAsia="Times New Roman" w:hAnsi="Arial" w:cs="Arial"/>
          <w:i/>
          <w:iCs/>
          <w:color w:val="000000"/>
          <w:kern w:val="0"/>
          <w:lang w:eastAsia="en-GB"/>
          <w14:ligatures w14:val="none"/>
        </w:rPr>
        <w:t xml:space="preserve"> perspective. </w:t>
      </w:r>
      <w:r w:rsidRPr="00235DDC">
        <w:rPr>
          <w:rFonts w:ascii="Arial" w:eastAsia="Times New Roman" w:hAnsi="Arial" w:cs="Arial"/>
          <w:color w:val="000000"/>
          <w:kern w:val="0"/>
          <w:lang w:eastAsia="en-GB"/>
          <w14:ligatures w14:val="none"/>
        </w:rPr>
        <w:t>Netherlands: Springer. </w:t>
      </w:r>
    </w:p>
    <w:p w14:paraId="6711F975" w14:textId="77777777"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p>
    <w:p w14:paraId="152939E2" w14:textId="77777777" w:rsidR="00235DDC" w:rsidRDefault="00235DDC" w:rsidP="00235DDC">
      <w:pPr>
        <w:shd w:val="clear" w:color="auto" w:fill="FFFFFF"/>
        <w:spacing w:after="0" w:line="360" w:lineRule="auto"/>
        <w:jc w:val="both"/>
        <w:textAlignment w:val="baseline"/>
        <w:rPr>
          <w:rFonts w:ascii="Arial" w:eastAsia="Times New Roman" w:hAnsi="Arial" w:cs="Arial"/>
          <w:kern w:val="0"/>
          <w:lang w:eastAsia="en-GB"/>
          <w14:ligatures w14:val="none"/>
        </w:rPr>
      </w:pPr>
      <w:r w:rsidRPr="00235DDC">
        <w:rPr>
          <w:rFonts w:ascii="Arial" w:eastAsia="Times New Roman" w:hAnsi="Arial" w:cs="Arial"/>
          <w:kern w:val="0"/>
          <w:lang w:eastAsia="en-GB"/>
          <w14:ligatures w14:val="none"/>
        </w:rPr>
        <w:t xml:space="preserve">Wall, S. Austin, W.J. and Garros, D. (2016) ‘Organizational influences on health professionals’ experiences of moral distress in PICUs’, </w:t>
      </w:r>
      <w:r w:rsidRPr="00235DDC">
        <w:rPr>
          <w:rFonts w:ascii="Arial" w:eastAsia="Times New Roman" w:hAnsi="Arial" w:cs="Arial"/>
          <w:i/>
          <w:iCs/>
          <w:kern w:val="0"/>
          <w:lang w:eastAsia="en-GB"/>
          <w14:ligatures w14:val="none"/>
        </w:rPr>
        <w:t>HEC Forum</w:t>
      </w:r>
      <w:r w:rsidRPr="00235DDC">
        <w:rPr>
          <w:rFonts w:ascii="Arial" w:eastAsia="Times New Roman" w:hAnsi="Arial" w:cs="Arial"/>
          <w:kern w:val="0"/>
          <w:lang w:eastAsia="en-GB"/>
          <w14:ligatures w14:val="none"/>
        </w:rPr>
        <w:t xml:space="preserve">, 28(1), pp. 53-67. Available at: </w:t>
      </w:r>
      <w:hyperlink r:id="rId27" w:tgtFrame="_blank" w:history="1">
        <w:r w:rsidRPr="00235DDC">
          <w:rPr>
            <w:rFonts w:ascii="Arial" w:eastAsia="Times New Roman" w:hAnsi="Arial" w:cs="Arial"/>
            <w:color w:val="0000FF"/>
            <w:kern w:val="0"/>
            <w:u w:val="single"/>
            <w:lang w:eastAsia="en-GB"/>
            <w14:ligatures w14:val="none"/>
          </w:rPr>
          <w:t>https://doi.org/10.1007/s10730-015-9266-8</w:t>
        </w:r>
      </w:hyperlink>
      <w:r w:rsidRPr="00235DDC">
        <w:rPr>
          <w:rFonts w:ascii="Arial" w:eastAsia="Times New Roman" w:hAnsi="Arial" w:cs="Arial"/>
          <w:kern w:val="0"/>
          <w:lang w:eastAsia="en-GB"/>
          <w14:ligatures w14:val="none"/>
        </w:rPr>
        <w:t>. (Accessed: 2 March 2024).  </w:t>
      </w:r>
    </w:p>
    <w:p w14:paraId="72BAA474" w14:textId="77777777" w:rsidR="00235DDC" w:rsidRPr="00235DDC" w:rsidRDefault="00235DDC" w:rsidP="00235DDC">
      <w:pPr>
        <w:shd w:val="clear" w:color="auto" w:fill="FFFFFF"/>
        <w:spacing w:after="0" w:line="360" w:lineRule="auto"/>
        <w:jc w:val="both"/>
        <w:textAlignment w:val="baseline"/>
        <w:rPr>
          <w:rFonts w:ascii="Arial" w:eastAsia="Times New Roman" w:hAnsi="Arial" w:cs="Arial"/>
          <w:kern w:val="0"/>
          <w:lang w:eastAsia="en-GB"/>
          <w14:ligatures w14:val="none"/>
        </w:rPr>
      </w:pPr>
    </w:p>
    <w:p w14:paraId="699E50B1" w14:textId="77777777" w:rsidR="00235DDC" w:rsidRDefault="00235DDC" w:rsidP="00235DDC">
      <w:pPr>
        <w:spacing w:after="0" w:line="360" w:lineRule="auto"/>
        <w:jc w:val="both"/>
        <w:textAlignment w:val="baseline"/>
        <w:rPr>
          <w:rFonts w:ascii="Arial" w:eastAsia="Times New Roman" w:hAnsi="Arial" w:cs="Arial"/>
          <w:color w:val="000000"/>
          <w:kern w:val="0"/>
          <w:lang w:eastAsia="en-GB"/>
          <w14:ligatures w14:val="none"/>
        </w:rPr>
      </w:pPr>
      <w:r w:rsidRPr="00235DDC">
        <w:rPr>
          <w:rFonts w:ascii="Arial" w:eastAsia="Times New Roman" w:hAnsi="Arial" w:cs="Arial"/>
          <w:color w:val="000000"/>
          <w:kern w:val="0"/>
          <w:lang w:eastAsia="en-GB"/>
          <w14:ligatures w14:val="none"/>
        </w:rPr>
        <w:t xml:space="preserve">Wilkin, D. Gillam. S. and Smith, K. (2001) ‘Tackling organisational change in the new NHS’, </w:t>
      </w:r>
      <w:r w:rsidRPr="00235DDC">
        <w:rPr>
          <w:rFonts w:ascii="Arial" w:eastAsia="Times New Roman" w:hAnsi="Arial" w:cs="Arial"/>
          <w:i/>
          <w:iCs/>
          <w:color w:val="000000"/>
          <w:kern w:val="0"/>
          <w:lang w:eastAsia="en-GB"/>
          <w14:ligatures w14:val="none"/>
        </w:rPr>
        <w:t xml:space="preserve">British Medical Journal, </w:t>
      </w:r>
      <w:r w:rsidRPr="00235DDC">
        <w:rPr>
          <w:rFonts w:ascii="Arial" w:eastAsia="Times New Roman" w:hAnsi="Arial" w:cs="Arial"/>
          <w:color w:val="000000"/>
          <w:kern w:val="0"/>
          <w:lang w:eastAsia="en-GB"/>
          <w14:ligatures w14:val="none"/>
        </w:rPr>
        <w:t>322(7300), pp. 1464-1467. DOI:10.1136/bmj.322.7300.1464.  </w:t>
      </w:r>
    </w:p>
    <w:p w14:paraId="6EEEC883" w14:textId="77777777"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p>
    <w:p w14:paraId="0E937F46" w14:textId="77777777" w:rsidR="00235DDC" w:rsidRDefault="00235DDC" w:rsidP="00235DDC">
      <w:pPr>
        <w:spacing w:after="0" w:line="360" w:lineRule="auto"/>
        <w:jc w:val="both"/>
        <w:textAlignment w:val="baseline"/>
        <w:rPr>
          <w:rFonts w:ascii="Arial" w:eastAsia="Times New Roman" w:hAnsi="Arial" w:cs="Arial"/>
          <w:kern w:val="0"/>
          <w:lang w:eastAsia="en-GB"/>
          <w14:ligatures w14:val="none"/>
        </w:rPr>
      </w:pPr>
      <w:r w:rsidRPr="00235DDC">
        <w:rPr>
          <w:rFonts w:ascii="Arial" w:eastAsia="Times New Roman" w:hAnsi="Arial" w:cs="Arial"/>
          <w:kern w:val="0"/>
          <w:lang w:eastAsia="en-GB"/>
          <w14:ligatures w14:val="none"/>
        </w:rPr>
        <w:lastRenderedPageBreak/>
        <w:t xml:space="preserve">Wye, L. and McClenahan, J. (2000) </w:t>
      </w:r>
      <w:r w:rsidRPr="00235DDC">
        <w:rPr>
          <w:rFonts w:ascii="Arial" w:eastAsia="Times New Roman" w:hAnsi="Arial" w:cs="Arial"/>
          <w:i/>
          <w:iCs/>
          <w:kern w:val="0"/>
          <w:lang w:eastAsia="en-GB"/>
          <w14:ligatures w14:val="none"/>
        </w:rPr>
        <w:t>Getting better with evidence. Experience of Putting Evidence into Practice</w:t>
      </w:r>
      <w:r w:rsidRPr="00235DDC">
        <w:rPr>
          <w:rFonts w:ascii="Arial" w:eastAsia="Times New Roman" w:hAnsi="Arial" w:cs="Arial"/>
          <w:kern w:val="0"/>
          <w:lang w:eastAsia="en-GB"/>
          <w14:ligatures w14:val="none"/>
        </w:rPr>
        <w:t>. London: Kings Fund.  </w:t>
      </w:r>
    </w:p>
    <w:p w14:paraId="7E7B385A" w14:textId="77777777" w:rsidR="00235DDC" w:rsidRDefault="00235DDC" w:rsidP="00235DDC">
      <w:pPr>
        <w:spacing w:after="0" w:line="360" w:lineRule="auto"/>
        <w:jc w:val="both"/>
        <w:textAlignment w:val="baseline"/>
        <w:rPr>
          <w:rFonts w:ascii="Arial" w:eastAsia="Times New Roman" w:hAnsi="Arial" w:cs="Arial"/>
          <w:kern w:val="0"/>
          <w:lang w:eastAsia="en-GB"/>
          <w14:ligatures w14:val="none"/>
        </w:rPr>
      </w:pPr>
    </w:p>
    <w:p w14:paraId="50C31251" w14:textId="34933636" w:rsidR="00235DDC" w:rsidRPr="00235DDC" w:rsidRDefault="00235DDC" w:rsidP="00235DDC">
      <w:pPr>
        <w:spacing w:after="0" w:line="360" w:lineRule="auto"/>
        <w:jc w:val="both"/>
        <w:textAlignment w:val="baseline"/>
        <w:rPr>
          <w:rFonts w:ascii="Arial" w:eastAsia="Times New Roman" w:hAnsi="Arial" w:cs="Arial"/>
          <w:kern w:val="0"/>
          <w:lang w:eastAsia="en-GB"/>
          <w14:ligatures w14:val="none"/>
        </w:rPr>
      </w:pPr>
      <w:r w:rsidRPr="00235DDC">
        <w:rPr>
          <w:rFonts w:ascii="Arial" w:eastAsia="Times New Roman" w:hAnsi="Arial" w:cs="Arial"/>
          <w:kern w:val="0"/>
          <w:lang w:eastAsia="en-GB"/>
          <w14:ligatures w14:val="none"/>
        </w:rPr>
        <w:t xml:space="preserve">Xerri, M.J. and Brunetto, Y. (2013) ‘Fostering innovative behaviour: the importance of employee commitment and organisational citizenship behaviour’, </w:t>
      </w:r>
      <w:r w:rsidRPr="00235DDC">
        <w:rPr>
          <w:rFonts w:ascii="Arial" w:eastAsia="Times New Roman" w:hAnsi="Arial" w:cs="Arial"/>
          <w:i/>
          <w:iCs/>
          <w:kern w:val="0"/>
          <w:lang w:eastAsia="en-GB"/>
          <w14:ligatures w14:val="none"/>
        </w:rPr>
        <w:t>The International Journal of Human Resource Management</w:t>
      </w:r>
      <w:r w:rsidRPr="00235DDC">
        <w:rPr>
          <w:rFonts w:ascii="Arial" w:eastAsia="Times New Roman" w:hAnsi="Arial" w:cs="Arial"/>
          <w:kern w:val="0"/>
          <w:lang w:eastAsia="en-GB"/>
          <w14:ligatures w14:val="none"/>
        </w:rPr>
        <w:t xml:space="preserve">, 24(16), pp. 3163–3177. Available at: </w:t>
      </w:r>
      <w:hyperlink r:id="rId28" w:tgtFrame="_blank" w:history="1">
        <w:r w:rsidRPr="00235DDC">
          <w:rPr>
            <w:rFonts w:ascii="Arial" w:eastAsia="Times New Roman" w:hAnsi="Arial" w:cs="Arial"/>
            <w:color w:val="0000FF"/>
            <w:kern w:val="0"/>
            <w:u w:val="single"/>
            <w:lang w:eastAsia="en-GB"/>
            <w14:ligatures w14:val="none"/>
          </w:rPr>
          <w:t>http://dx.doi.org/10.1080/09585192.2013.775033.</w:t>
        </w:r>
      </w:hyperlink>
      <w:r w:rsidRPr="00235DDC">
        <w:rPr>
          <w:rFonts w:ascii="Arial" w:eastAsia="Times New Roman" w:hAnsi="Arial" w:cs="Arial"/>
          <w:kern w:val="0"/>
          <w:lang w:eastAsia="en-GB"/>
          <w14:ligatures w14:val="none"/>
        </w:rPr>
        <w:t xml:space="preserve"> (Accessed: 5 March 2024).  </w:t>
      </w:r>
    </w:p>
    <w:sectPr w:rsidR="00235DDC" w:rsidRPr="00235D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DDC"/>
    <w:rsid w:val="00043F1F"/>
    <w:rsid w:val="00235DDC"/>
    <w:rsid w:val="00282516"/>
    <w:rsid w:val="002847B8"/>
    <w:rsid w:val="00471708"/>
    <w:rsid w:val="0057729F"/>
    <w:rsid w:val="006D271E"/>
    <w:rsid w:val="007317B1"/>
    <w:rsid w:val="007836A5"/>
    <w:rsid w:val="009C3CFE"/>
    <w:rsid w:val="00A66420"/>
    <w:rsid w:val="00B8413A"/>
    <w:rsid w:val="00BC164D"/>
    <w:rsid w:val="00FC66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D821B"/>
  <w15:chartTrackingRefBased/>
  <w15:docId w15:val="{B257ADE9-E9FB-43FD-B708-FF5D5208E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5D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5D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5D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5D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5D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5D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5D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5D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5D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5D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5D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5D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5D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5D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5D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5D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5D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5DDC"/>
    <w:rPr>
      <w:rFonts w:eastAsiaTheme="majorEastAsia" w:cstheme="majorBidi"/>
      <w:color w:val="272727" w:themeColor="text1" w:themeTint="D8"/>
    </w:rPr>
  </w:style>
  <w:style w:type="paragraph" w:styleId="Title">
    <w:name w:val="Title"/>
    <w:basedOn w:val="Normal"/>
    <w:next w:val="Normal"/>
    <w:link w:val="TitleChar"/>
    <w:uiPriority w:val="10"/>
    <w:qFormat/>
    <w:rsid w:val="00235D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5D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5D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5D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5DDC"/>
    <w:pPr>
      <w:spacing w:before="160"/>
      <w:jc w:val="center"/>
    </w:pPr>
    <w:rPr>
      <w:i/>
      <w:iCs/>
      <w:color w:val="404040" w:themeColor="text1" w:themeTint="BF"/>
    </w:rPr>
  </w:style>
  <w:style w:type="character" w:customStyle="1" w:styleId="QuoteChar">
    <w:name w:val="Quote Char"/>
    <w:basedOn w:val="DefaultParagraphFont"/>
    <w:link w:val="Quote"/>
    <w:uiPriority w:val="29"/>
    <w:rsid w:val="00235DDC"/>
    <w:rPr>
      <w:i/>
      <w:iCs/>
      <w:color w:val="404040" w:themeColor="text1" w:themeTint="BF"/>
    </w:rPr>
  </w:style>
  <w:style w:type="paragraph" w:styleId="ListParagraph">
    <w:name w:val="List Paragraph"/>
    <w:basedOn w:val="Normal"/>
    <w:uiPriority w:val="34"/>
    <w:qFormat/>
    <w:rsid w:val="00235DDC"/>
    <w:pPr>
      <w:ind w:left="720"/>
      <w:contextualSpacing/>
    </w:pPr>
  </w:style>
  <w:style w:type="character" w:styleId="IntenseEmphasis">
    <w:name w:val="Intense Emphasis"/>
    <w:basedOn w:val="DefaultParagraphFont"/>
    <w:uiPriority w:val="21"/>
    <w:qFormat/>
    <w:rsid w:val="00235DDC"/>
    <w:rPr>
      <w:i/>
      <w:iCs/>
      <w:color w:val="0F4761" w:themeColor="accent1" w:themeShade="BF"/>
    </w:rPr>
  </w:style>
  <w:style w:type="paragraph" w:styleId="IntenseQuote">
    <w:name w:val="Intense Quote"/>
    <w:basedOn w:val="Normal"/>
    <w:next w:val="Normal"/>
    <w:link w:val="IntenseQuoteChar"/>
    <w:uiPriority w:val="30"/>
    <w:qFormat/>
    <w:rsid w:val="00235D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5DDC"/>
    <w:rPr>
      <w:i/>
      <w:iCs/>
      <w:color w:val="0F4761" w:themeColor="accent1" w:themeShade="BF"/>
    </w:rPr>
  </w:style>
  <w:style w:type="character" w:styleId="IntenseReference">
    <w:name w:val="Intense Reference"/>
    <w:basedOn w:val="DefaultParagraphFont"/>
    <w:uiPriority w:val="32"/>
    <w:qFormat/>
    <w:rsid w:val="00235DDC"/>
    <w:rPr>
      <w:b/>
      <w:bCs/>
      <w:smallCaps/>
      <w:color w:val="0F4761" w:themeColor="accent1" w:themeShade="BF"/>
      <w:spacing w:val="5"/>
    </w:rPr>
  </w:style>
  <w:style w:type="paragraph" w:customStyle="1" w:styleId="msonormal0">
    <w:name w:val="msonormal"/>
    <w:basedOn w:val="Normal"/>
    <w:rsid w:val="00235DD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aragraph">
    <w:name w:val="paragraph"/>
    <w:basedOn w:val="Normal"/>
    <w:rsid w:val="00235DD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textrun">
    <w:name w:val="textrun"/>
    <w:basedOn w:val="DefaultParagraphFont"/>
    <w:rsid w:val="00235DDC"/>
  </w:style>
  <w:style w:type="character" w:customStyle="1" w:styleId="normaltextrun">
    <w:name w:val="normaltextrun"/>
    <w:basedOn w:val="DefaultParagraphFont"/>
    <w:rsid w:val="00235DDC"/>
  </w:style>
  <w:style w:type="character" w:customStyle="1" w:styleId="eop">
    <w:name w:val="eop"/>
    <w:basedOn w:val="DefaultParagraphFont"/>
    <w:rsid w:val="00235DDC"/>
  </w:style>
  <w:style w:type="character" w:styleId="Hyperlink">
    <w:name w:val="Hyperlink"/>
    <w:basedOn w:val="DefaultParagraphFont"/>
    <w:uiPriority w:val="99"/>
    <w:unhideWhenUsed/>
    <w:rsid w:val="00235DDC"/>
    <w:rPr>
      <w:color w:val="0000FF"/>
      <w:u w:val="single"/>
    </w:rPr>
  </w:style>
  <w:style w:type="character" w:styleId="FollowedHyperlink">
    <w:name w:val="FollowedHyperlink"/>
    <w:basedOn w:val="DefaultParagraphFont"/>
    <w:uiPriority w:val="99"/>
    <w:semiHidden/>
    <w:unhideWhenUsed/>
    <w:rsid w:val="00235DDC"/>
    <w:rPr>
      <w:color w:val="800080"/>
      <w:u w:val="single"/>
    </w:rPr>
  </w:style>
  <w:style w:type="character" w:styleId="UnresolvedMention">
    <w:name w:val="Unresolved Mention"/>
    <w:basedOn w:val="DefaultParagraphFont"/>
    <w:uiPriority w:val="99"/>
    <w:semiHidden/>
    <w:unhideWhenUsed/>
    <w:rsid w:val="004717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9182921">
      <w:bodyDiv w:val="1"/>
      <w:marLeft w:val="0"/>
      <w:marRight w:val="0"/>
      <w:marTop w:val="0"/>
      <w:marBottom w:val="0"/>
      <w:divBdr>
        <w:top w:val="none" w:sz="0" w:space="0" w:color="auto"/>
        <w:left w:val="none" w:sz="0" w:space="0" w:color="auto"/>
        <w:bottom w:val="none" w:sz="0" w:space="0" w:color="auto"/>
        <w:right w:val="none" w:sz="0" w:space="0" w:color="auto"/>
      </w:divBdr>
      <w:divsChild>
        <w:div w:id="1964726428">
          <w:marLeft w:val="0"/>
          <w:marRight w:val="0"/>
          <w:marTop w:val="0"/>
          <w:marBottom w:val="0"/>
          <w:divBdr>
            <w:top w:val="none" w:sz="0" w:space="0" w:color="auto"/>
            <w:left w:val="none" w:sz="0" w:space="0" w:color="auto"/>
            <w:bottom w:val="none" w:sz="0" w:space="0" w:color="auto"/>
            <w:right w:val="none" w:sz="0" w:space="0" w:color="auto"/>
          </w:divBdr>
        </w:div>
        <w:div w:id="2146462370">
          <w:marLeft w:val="0"/>
          <w:marRight w:val="0"/>
          <w:marTop w:val="0"/>
          <w:marBottom w:val="0"/>
          <w:divBdr>
            <w:top w:val="none" w:sz="0" w:space="0" w:color="auto"/>
            <w:left w:val="none" w:sz="0" w:space="0" w:color="auto"/>
            <w:bottom w:val="none" w:sz="0" w:space="0" w:color="auto"/>
            <w:right w:val="none" w:sz="0" w:space="0" w:color="auto"/>
          </w:divBdr>
        </w:div>
        <w:div w:id="1851871097">
          <w:marLeft w:val="0"/>
          <w:marRight w:val="0"/>
          <w:marTop w:val="0"/>
          <w:marBottom w:val="0"/>
          <w:divBdr>
            <w:top w:val="none" w:sz="0" w:space="0" w:color="auto"/>
            <w:left w:val="none" w:sz="0" w:space="0" w:color="auto"/>
            <w:bottom w:val="none" w:sz="0" w:space="0" w:color="auto"/>
            <w:right w:val="none" w:sz="0" w:space="0" w:color="auto"/>
          </w:divBdr>
        </w:div>
        <w:div w:id="1943879474">
          <w:marLeft w:val="0"/>
          <w:marRight w:val="0"/>
          <w:marTop w:val="0"/>
          <w:marBottom w:val="0"/>
          <w:divBdr>
            <w:top w:val="none" w:sz="0" w:space="0" w:color="auto"/>
            <w:left w:val="none" w:sz="0" w:space="0" w:color="auto"/>
            <w:bottom w:val="none" w:sz="0" w:space="0" w:color="auto"/>
            <w:right w:val="none" w:sz="0" w:space="0" w:color="auto"/>
          </w:divBdr>
        </w:div>
        <w:div w:id="1908493673">
          <w:marLeft w:val="0"/>
          <w:marRight w:val="0"/>
          <w:marTop w:val="0"/>
          <w:marBottom w:val="0"/>
          <w:divBdr>
            <w:top w:val="none" w:sz="0" w:space="0" w:color="auto"/>
            <w:left w:val="none" w:sz="0" w:space="0" w:color="auto"/>
            <w:bottom w:val="none" w:sz="0" w:space="0" w:color="auto"/>
            <w:right w:val="none" w:sz="0" w:space="0" w:color="auto"/>
          </w:divBdr>
        </w:div>
        <w:div w:id="1508059125">
          <w:marLeft w:val="0"/>
          <w:marRight w:val="0"/>
          <w:marTop w:val="0"/>
          <w:marBottom w:val="0"/>
          <w:divBdr>
            <w:top w:val="none" w:sz="0" w:space="0" w:color="auto"/>
            <w:left w:val="none" w:sz="0" w:space="0" w:color="auto"/>
            <w:bottom w:val="none" w:sz="0" w:space="0" w:color="auto"/>
            <w:right w:val="none" w:sz="0" w:space="0" w:color="auto"/>
          </w:divBdr>
        </w:div>
        <w:div w:id="1843205877">
          <w:marLeft w:val="0"/>
          <w:marRight w:val="0"/>
          <w:marTop w:val="0"/>
          <w:marBottom w:val="0"/>
          <w:divBdr>
            <w:top w:val="none" w:sz="0" w:space="0" w:color="auto"/>
            <w:left w:val="none" w:sz="0" w:space="0" w:color="auto"/>
            <w:bottom w:val="none" w:sz="0" w:space="0" w:color="auto"/>
            <w:right w:val="none" w:sz="0" w:space="0" w:color="auto"/>
          </w:divBdr>
        </w:div>
        <w:div w:id="1453288304">
          <w:marLeft w:val="0"/>
          <w:marRight w:val="0"/>
          <w:marTop w:val="0"/>
          <w:marBottom w:val="0"/>
          <w:divBdr>
            <w:top w:val="none" w:sz="0" w:space="0" w:color="auto"/>
            <w:left w:val="none" w:sz="0" w:space="0" w:color="auto"/>
            <w:bottom w:val="none" w:sz="0" w:space="0" w:color="auto"/>
            <w:right w:val="none" w:sz="0" w:space="0" w:color="auto"/>
          </w:divBdr>
        </w:div>
        <w:div w:id="1375233966">
          <w:marLeft w:val="0"/>
          <w:marRight w:val="0"/>
          <w:marTop w:val="0"/>
          <w:marBottom w:val="0"/>
          <w:divBdr>
            <w:top w:val="none" w:sz="0" w:space="0" w:color="auto"/>
            <w:left w:val="none" w:sz="0" w:space="0" w:color="auto"/>
            <w:bottom w:val="none" w:sz="0" w:space="0" w:color="auto"/>
            <w:right w:val="none" w:sz="0" w:space="0" w:color="auto"/>
          </w:divBdr>
        </w:div>
        <w:div w:id="616136335">
          <w:marLeft w:val="0"/>
          <w:marRight w:val="0"/>
          <w:marTop w:val="0"/>
          <w:marBottom w:val="0"/>
          <w:divBdr>
            <w:top w:val="none" w:sz="0" w:space="0" w:color="auto"/>
            <w:left w:val="none" w:sz="0" w:space="0" w:color="auto"/>
            <w:bottom w:val="none" w:sz="0" w:space="0" w:color="auto"/>
            <w:right w:val="none" w:sz="0" w:space="0" w:color="auto"/>
          </w:divBdr>
        </w:div>
        <w:div w:id="1591964465">
          <w:marLeft w:val="0"/>
          <w:marRight w:val="0"/>
          <w:marTop w:val="0"/>
          <w:marBottom w:val="0"/>
          <w:divBdr>
            <w:top w:val="none" w:sz="0" w:space="0" w:color="auto"/>
            <w:left w:val="none" w:sz="0" w:space="0" w:color="auto"/>
            <w:bottom w:val="none" w:sz="0" w:space="0" w:color="auto"/>
            <w:right w:val="none" w:sz="0" w:space="0" w:color="auto"/>
          </w:divBdr>
        </w:div>
        <w:div w:id="1331252712">
          <w:marLeft w:val="0"/>
          <w:marRight w:val="0"/>
          <w:marTop w:val="0"/>
          <w:marBottom w:val="0"/>
          <w:divBdr>
            <w:top w:val="none" w:sz="0" w:space="0" w:color="auto"/>
            <w:left w:val="none" w:sz="0" w:space="0" w:color="auto"/>
            <w:bottom w:val="none" w:sz="0" w:space="0" w:color="auto"/>
            <w:right w:val="none" w:sz="0" w:space="0" w:color="auto"/>
          </w:divBdr>
        </w:div>
        <w:div w:id="1300527491">
          <w:marLeft w:val="0"/>
          <w:marRight w:val="0"/>
          <w:marTop w:val="0"/>
          <w:marBottom w:val="0"/>
          <w:divBdr>
            <w:top w:val="none" w:sz="0" w:space="0" w:color="auto"/>
            <w:left w:val="none" w:sz="0" w:space="0" w:color="auto"/>
            <w:bottom w:val="none" w:sz="0" w:space="0" w:color="auto"/>
            <w:right w:val="none" w:sz="0" w:space="0" w:color="auto"/>
          </w:divBdr>
        </w:div>
        <w:div w:id="955910917">
          <w:marLeft w:val="0"/>
          <w:marRight w:val="0"/>
          <w:marTop w:val="0"/>
          <w:marBottom w:val="0"/>
          <w:divBdr>
            <w:top w:val="none" w:sz="0" w:space="0" w:color="auto"/>
            <w:left w:val="none" w:sz="0" w:space="0" w:color="auto"/>
            <w:bottom w:val="none" w:sz="0" w:space="0" w:color="auto"/>
            <w:right w:val="none" w:sz="0" w:space="0" w:color="auto"/>
          </w:divBdr>
        </w:div>
        <w:div w:id="1557428597">
          <w:marLeft w:val="0"/>
          <w:marRight w:val="0"/>
          <w:marTop w:val="0"/>
          <w:marBottom w:val="0"/>
          <w:divBdr>
            <w:top w:val="none" w:sz="0" w:space="0" w:color="auto"/>
            <w:left w:val="none" w:sz="0" w:space="0" w:color="auto"/>
            <w:bottom w:val="none" w:sz="0" w:space="0" w:color="auto"/>
            <w:right w:val="none" w:sz="0" w:space="0" w:color="auto"/>
          </w:divBdr>
        </w:div>
        <w:div w:id="663707404">
          <w:marLeft w:val="0"/>
          <w:marRight w:val="0"/>
          <w:marTop w:val="0"/>
          <w:marBottom w:val="0"/>
          <w:divBdr>
            <w:top w:val="none" w:sz="0" w:space="0" w:color="auto"/>
            <w:left w:val="none" w:sz="0" w:space="0" w:color="auto"/>
            <w:bottom w:val="none" w:sz="0" w:space="0" w:color="auto"/>
            <w:right w:val="none" w:sz="0" w:space="0" w:color="auto"/>
          </w:divBdr>
        </w:div>
        <w:div w:id="1787233227">
          <w:marLeft w:val="0"/>
          <w:marRight w:val="0"/>
          <w:marTop w:val="0"/>
          <w:marBottom w:val="0"/>
          <w:divBdr>
            <w:top w:val="none" w:sz="0" w:space="0" w:color="auto"/>
            <w:left w:val="none" w:sz="0" w:space="0" w:color="auto"/>
            <w:bottom w:val="none" w:sz="0" w:space="0" w:color="auto"/>
            <w:right w:val="none" w:sz="0" w:space="0" w:color="auto"/>
          </w:divBdr>
        </w:div>
        <w:div w:id="172959765">
          <w:marLeft w:val="0"/>
          <w:marRight w:val="0"/>
          <w:marTop w:val="0"/>
          <w:marBottom w:val="0"/>
          <w:divBdr>
            <w:top w:val="none" w:sz="0" w:space="0" w:color="auto"/>
            <w:left w:val="none" w:sz="0" w:space="0" w:color="auto"/>
            <w:bottom w:val="none" w:sz="0" w:space="0" w:color="auto"/>
            <w:right w:val="none" w:sz="0" w:space="0" w:color="auto"/>
          </w:divBdr>
        </w:div>
        <w:div w:id="1260334398">
          <w:marLeft w:val="0"/>
          <w:marRight w:val="0"/>
          <w:marTop w:val="0"/>
          <w:marBottom w:val="0"/>
          <w:divBdr>
            <w:top w:val="none" w:sz="0" w:space="0" w:color="auto"/>
            <w:left w:val="none" w:sz="0" w:space="0" w:color="auto"/>
            <w:bottom w:val="none" w:sz="0" w:space="0" w:color="auto"/>
            <w:right w:val="none" w:sz="0" w:space="0" w:color="auto"/>
          </w:divBdr>
        </w:div>
        <w:div w:id="1001155824">
          <w:marLeft w:val="0"/>
          <w:marRight w:val="0"/>
          <w:marTop w:val="0"/>
          <w:marBottom w:val="0"/>
          <w:divBdr>
            <w:top w:val="none" w:sz="0" w:space="0" w:color="auto"/>
            <w:left w:val="none" w:sz="0" w:space="0" w:color="auto"/>
            <w:bottom w:val="none" w:sz="0" w:space="0" w:color="auto"/>
            <w:right w:val="none" w:sz="0" w:space="0" w:color="auto"/>
          </w:divBdr>
        </w:div>
        <w:div w:id="1714495598">
          <w:marLeft w:val="0"/>
          <w:marRight w:val="0"/>
          <w:marTop w:val="0"/>
          <w:marBottom w:val="0"/>
          <w:divBdr>
            <w:top w:val="none" w:sz="0" w:space="0" w:color="auto"/>
            <w:left w:val="none" w:sz="0" w:space="0" w:color="auto"/>
            <w:bottom w:val="none" w:sz="0" w:space="0" w:color="auto"/>
            <w:right w:val="none" w:sz="0" w:space="0" w:color="auto"/>
          </w:divBdr>
        </w:div>
        <w:div w:id="932206122">
          <w:marLeft w:val="0"/>
          <w:marRight w:val="0"/>
          <w:marTop w:val="0"/>
          <w:marBottom w:val="0"/>
          <w:divBdr>
            <w:top w:val="none" w:sz="0" w:space="0" w:color="auto"/>
            <w:left w:val="none" w:sz="0" w:space="0" w:color="auto"/>
            <w:bottom w:val="none" w:sz="0" w:space="0" w:color="auto"/>
            <w:right w:val="none" w:sz="0" w:space="0" w:color="auto"/>
          </w:divBdr>
        </w:div>
        <w:div w:id="867791271">
          <w:marLeft w:val="0"/>
          <w:marRight w:val="0"/>
          <w:marTop w:val="0"/>
          <w:marBottom w:val="0"/>
          <w:divBdr>
            <w:top w:val="none" w:sz="0" w:space="0" w:color="auto"/>
            <w:left w:val="none" w:sz="0" w:space="0" w:color="auto"/>
            <w:bottom w:val="none" w:sz="0" w:space="0" w:color="auto"/>
            <w:right w:val="none" w:sz="0" w:space="0" w:color="auto"/>
          </w:divBdr>
        </w:div>
        <w:div w:id="1236014903">
          <w:marLeft w:val="0"/>
          <w:marRight w:val="0"/>
          <w:marTop w:val="0"/>
          <w:marBottom w:val="0"/>
          <w:divBdr>
            <w:top w:val="none" w:sz="0" w:space="0" w:color="auto"/>
            <w:left w:val="none" w:sz="0" w:space="0" w:color="auto"/>
            <w:bottom w:val="none" w:sz="0" w:space="0" w:color="auto"/>
            <w:right w:val="none" w:sz="0" w:space="0" w:color="auto"/>
          </w:divBdr>
        </w:div>
        <w:div w:id="667372189">
          <w:marLeft w:val="0"/>
          <w:marRight w:val="0"/>
          <w:marTop w:val="0"/>
          <w:marBottom w:val="0"/>
          <w:divBdr>
            <w:top w:val="none" w:sz="0" w:space="0" w:color="auto"/>
            <w:left w:val="none" w:sz="0" w:space="0" w:color="auto"/>
            <w:bottom w:val="none" w:sz="0" w:space="0" w:color="auto"/>
            <w:right w:val="none" w:sz="0" w:space="0" w:color="auto"/>
          </w:divBdr>
        </w:div>
        <w:div w:id="19355238">
          <w:marLeft w:val="0"/>
          <w:marRight w:val="0"/>
          <w:marTop w:val="0"/>
          <w:marBottom w:val="0"/>
          <w:divBdr>
            <w:top w:val="none" w:sz="0" w:space="0" w:color="auto"/>
            <w:left w:val="none" w:sz="0" w:space="0" w:color="auto"/>
            <w:bottom w:val="none" w:sz="0" w:space="0" w:color="auto"/>
            <w:right w:val="none" w:sz="0" w:space="0" w:color="auto"/>
          </w:divBdr>
        </w:div>
        <w:div w:id="850342430">
          <w:marLeft w:val="0"/>
          <w:marRight w:val="0"/>
          <w:marTop w:val="0"/>
          <w:marBottom w:val="0"/>
          <w:divBdr>
            <w:top w:val="none" w:sz="0" w:space="0" w:color="auto"/>
            <w:left w:val="none" w:sz="0" w:space="0" w:color="auto"/>
            <w:bottom w:val="none" w:sz="0" w:space="0" w:color="auto"/>
            <w:right w:val="none" w:sz="0" w:space="0" w:color="auto"/>
          </w:divBdr>
        </w:div>
        <w:div w:id="1038168845">
          <w:marLeft w:val="0"/>
          <w:marRight w:val="0"/>
          <w:marTop w:val="0"/>
          <w:marBottom w:val="0"/>
          <w:divBdr>
            <w:top w:val="none" w:sz="0" w:space="0" w:color="auto"/>
            <w:left w:val="none" w:sz="0" w:space="0" w:color="auto"/>
            <w:bottom w:val="none" w:sz="0" w:space="0" w:color="auto"/>
            <w:right w:val="none" w:sz="0" w:space="0" w:color="auto"/>
          </w:divBdr>
        </w:div>
        <w:div w:id="395737198">
          <w:marLeft w:val="0"/>
          <w:marRight w:val="0"/>
          <w:marTop w:val="0"/>
          <w:marBottom w:val="0"/>
          <w:divBdr>
            <w:top w:val="none" w:sz="0" w:space="0" w:color="auto"/>
            <w:left w:val="none" w:sz="0" w:space="0" w:color="auto"/>
            <w:bottom w:val="none" w:sz="0" w:space="0" w:color="auto"/>
            <w:right w:val="none" w:sz="0" w:space="0" w:color="auto"/>
          </w:divBdr>
        </w:div>
        <w:div w:id="815340151">
          <w:marLeft w:val="0"/>
          <w:marRight w:val="0"/>
          <w:marTop w:val="0"/>
          <w:marBottom w:val="0"/>
          <w:divBdr>
            <w:top w:val="none" w:sz="0" w:space="0" w:color="auto"/>
            <w:left w:val="none" w:sz="0" w:space="0" w:color="auto"/>
            <w:bottom w:val="none" w:sz="0" w:space="0" w:color="auto"/>
            <w:right w:val="none" w:sz="0" w:space="0" w:color="auto"/>
          </w:divBdr>
        </w:div>
        <w:div w:id="1383020178">
          <w:marLeft w:val="0"/>
          <w:marRight w:val="0"/>
          <w:marTop w:val="0"/>
          <w:marBottom w:val="0"/>
          <w:divBdr>
            <w:top w:val="none" w:sz="0" w:space="0" w:color="auto"/>
            <w:left w:val="none" w:sz="0" w:space="0" w:color="auto"/>
            <w:bottom w:val="none" w:sz="0" w:space="0" w:color="auto"/>
            <w:right w:val="none" w:sz="0" w:space="0" w:color="auto"/>
          </w:divBdr>
        </w:div>
        <w:div w:id="584077406">
          <w:marLeft w:val="0"/>
          <w:marRight w:val="0"/>
          <w:marTop w:val="0"/>
          <w:marBottom w:val="0"/>
          <w:divBdr>
            <w:top w:val="none" w:sz="0" w:space="0" w:color="auto"/>
            <w:left w:val="none" w:sz="0" w:space="0" w:color="auto"/>
            <w:bottom w:val="none" w:sz="0" w:space="0" w:color="auto"/>
            <w:right w:val="none" w:sz="0" w:space="0" w:color="auto"/>
          </w:divBdr>
        </w:div>
        <w:div w:id="1378160506">
          <w:marLeft w:val="0"/>
          <w:marRight w:val="0"/>
          <w:marTop w:val="0"/>
          <w:marBottom w:val="0"/>
          <w:divBdr>
            <w:top w:val="none" w:sz="0" w:space="0" w:color="auto"/>
            <w:left w:val="none" w:sz="0" w:space="0" w:color="auto"/>
            <w:bottom w:val="none" w:sz="0" w:space="0" w:color="auto"/>
            <w:right w:val="none" w:sz="0" w:space="0" w:color="auto"/>
          </w:divBdr>
        </w:div>
        <w:div w:id="1272787333">
          <w:marLeft w:val="0"/>
          <w:marRight w:val="0"/>
          <w:marTop w:val="0"/>
          <w:marBottom w:val="0"/>
          <w:divBdr>
            <w:top w:val="none" w:sz="0" w:space="0" w:color="auto"/>
            <w:left w:val="none" w:sz="0" w:space="0" w:color="auto"/>
            <w:bottom w:val="none" w:sz="0" w:space="0" w:color="auto"/>
            <w:right w:val="none" w:sz="0" w:space="0" w:color="auto"/>
          </w:divBdr>
        </w:div>
        <w:div w:id="1186751532">
          <w:marLeft w:val="0"/>
          <w:marRight w:val="0"/>
          <w:marTop w:val="0"/>
          <w:marBottom w:val="0"/>
          <w:divBdr>
            <w:top w:val="none" w:sz="0" w:space="0" w:color="auto"/>
            <w:left w:val="none" w:sz="0" w:space="0" w:color="auto"/>
            <w:bottom w:val="none" w:sz="0" w:space="0" w:color="auto"/>
            <w:right w:val="none" w:sz="0" w:space="0" w:color="auto"/>
          </w:divBdr>
        </w:div>
        <w:div w:id="320357274">
          <w:marLeft w:val="0"/>
          <w:marRight w:val="0"/>
          <w:marTop w:val="0"/>
          <w:marBottom w:val="0"/>
          <w:divBdr>
            <w:top w:val="none" w:sz="0" w:space="0" w:color="auto"/>
            <w:left w:val="none" w:sz="0" w:space="0" w:color="auto"/>
            <w:bottom w:val="none" w:sz="0" w:space="0" w:color="auto"/>
            <w:right w:val="none" w:sz="0" w:space="0" w:color="auto"/>
          </w:divBdr>
        </w:div>
        <w:div w:id="2089228823">
          <w:marLeft w:val="0"/>
          <w:marRight w:val="0"/>
          <w:marTop w:val="0"/>
          <w:marBottom w:val="0"/>
          <w:divBdr>
            <w:top w:val="none" w:sz="0" w:space="0" w:color="auto"/>
            <w:left w:val="none" w:sz="0" w:space="0" w:color="auto"/>
            <w:bottom w:val="none" w:sz="0" w:space="0" w:color="auto"/>
            <w:right w:val="none" w:sz="0" w:space="0" w:color="auto"/>
          </w:divBdr>
        </w:div>
        <w:div w:id="1996646826">
          <w:marLeft w:val="0"/>
          <w:marRight w:val="0"/>
          <w:marTop w:val="0"/>
          <w:marBottom w:val="0"/>
          <w:divBdr>
            <w:top w:val="none" w:sz="0" w:space="0" w:color="auto"/>
            <w:left w:val="none" w:sz="0" w:space="0" w:color="auto"/>
            <w:bottom w:val="none" w:sz="0" w:space="0" w:color="auto"/>
            <w:right w:val="none" w:sz="0" w:space="0" w:color="auto"/>
          </w:divBdr>
        </w:div>
        <w:div w:id="1493401062">
          <w:marLeft w:val="0"/>
          <w:marRight w:val="0"/>
          <w:marTop w:val="0"/>
          <w:marBottom w:val="0"/>
          <w:divBdr>
            <w:top w:val="none" w:sz="0" w:space="0" w:color="auto"/>
            <w:left w:val="none" w:sz="0" w:space="0" w:color="auto"/>
            <w:bottom w:val="none" w:sz="0" w:space="0" w:color="auto"/>
            <w:right w:val="none" w:sz="0" w:space="0" w:color="auto"/>
          </w:divBdr>
        </w:div>
        <w:div w:id="28192168">
          <w:marLeft w:val="0"/>
          <w:marRight w:val="0"/>
          <w:marTop w:val="0"/>
          <w:marBottom w:val="0"/>
          <w:divBdr>
            <w:top w:val="none" w:sz="0" w:space="0" w:color="auto"/>
            <w:left w:val="none" w:sz="0" w:space="0" w:color="auto"/>
            <w:bottom w:val="none" w:sz="0" w:space="0" w:color="auto"/>
            <w:right w:val="none" w:sz="0" w:space="0" w:color="auto"/>
          </w:divBdr>
        </w:div>
        <w:div w:id="486168356">
          <w:marLeft w:val="0"/>
          <w:marRight w:val="0"/>
          <w:marTop w:val="0"/>
          <w:marBottom w:val="0"/>
          <w:divBdr>
            <w:top w:val="none" w:sz="0" w:space="0" w:color="auto"/>
            <w:left w:val="none" w:sz="0" w:space="0" w:color="auto"/>
            <w:bottom w:val="none" w:sz="0" w:space="0" w:color="auto"/>
            <w:right w:val="none" w:sz="0" w:space="0" w:color="auto"/>
          </w:divBdr>
        </w:div>
        <w:div w:id="752360193">
          <w:marLeft w:val="0"/>
          <w:marRight w:val="0"/>
          <w:marTop w:val="0"/>
          <w:marBottom w:val="0"/>
          <w:divBdr>
            <w:top w:val="none" w:sz="0" w:space="0" w:color="auto"/>
            <w:left w:val="none" w:sz="0" w:space="0" w:color="auto"/>
            <w:bottom w:val="none" w:sz="0" w:space="0" w:color="auto"/>
            <w:right w:val="none" w:sz="0" w:space="0" w:color="auto"/>
          </w:divBdr>
        </w:div>
        <w:div w:id="1964385312">
          <w:marLeft w:val="0"/>
          <w:marRight w:val="0"/>
          <w:marTop w:val="0"/>
          <w:marBottom w:val="0"/>
          <w:divBdr>
            <w:top w:val="none" w:sz="0" w:space="0" w:color="auto"/>
            <w:left w:val="none" w:sz="0" w:space="0" w:color="auto"/>
            <w:bottom w:val="none" w:sz="0" w:space="0" w:color="auto"/>
            <w:right w:val="none" w:sz="0" w:space="0" w:color="auto"/>
          </w:divBdr>
        </w:div>
        <w:div w:id="1718967370">
          <w:marLeft w:val="0"/>
          <w:marRight w:val="0"/>
          <w:marTop w:val="0"/>
          <w:marBottom w:val="0"/>
          <w:divBdr>
            <w:top w:val="none" w:sz="0" w:space="0" w:color="auto"/>
            <w:left w:val="none" w:sz="0" w:space="0" w:color="auto"/>
            <w:bottom w:val="none" w:sz="0" w:space="0" w:color="auto"/>
            <w:right w:val="none" w:sz="0" w:space="0" w:color="auto"/>
          </w:divBdr>
        </w:div>
        <w:div w:id="786585812">
          <w:marLeft w:val="0"/>
          <w:marRight w:val="0"/>
          <w:marTop w:val="0"/>
          <w:marBottom w:val="0"/>
          <w:divBdr>
            <w:top w:val="none" w:sz="0" w:space="0" w:color="auto"/>
            <w:left w:val="none" w:sz="0" w:space="0" w:color="auto"/>
            <w:bottom w:val="none" w:sz="0" w:space="0" w:color="auto"/>
            <w:right w:val="none" w:sz="0" w:space="0" w:color="auto"/>
          </w:divBdr>
        </w:div>
        <w:div w:id="1731078806">
          <w:marLeft w:val="0"/>
          <w:marRight w:val="0"/>
          <w:marTop w:val="0"/>
          <w:marBottom w:val="0"/>
          <w:divBdr>
            <w:top w:val="none" w:sz="0" w:space="0" w:color="auto"/>
            <w:left w:val="none" w:sz="0" w:space="0" w:color="auto"/>
            <w:bottom w:val="none" w:sz="0" w:space="0" w:color="auto"/>
            <w:right w:val="none" w:sz="0" w:space="0" w:color="auto"/>
          </w:divBdr>
        </w:div>
        <w:div w:id="1060398964">
          <w:marLeft w:val="0"/>
          <w:marRight w:val="0"/>
          <w:marTop w:val="0"/>
          <w:marBottom w:val="0"/>
          <w:divBdr>
            <w:top w:val="none" w:sz="0" w:space="0" w:color="auto"/>
            <w:left w:val="none" w:sz="0" w:space="0" w:color="auto"/>
            <w:bottom w:val="none" w:sz="0" w:space="0" w:color="auto"/>
            <w:right w:val="none" w:sz="0" w:space="0" w:color="auto"/>
          </w:divBdr>
        </w:div>
        <w:div w:id="1855416716">
          <w:marLeft w:val="0"/>
          <w:marRight w:val="0"/>
          <w:marTop w:val="0"/>
          <w:marBottom w:val="0"/>
          <w:divBdr>
            <w:top w:val="none" w:sz="0" w:space="0" w:color="auto"/>
            <w:left w:val="none" w:sz="0" w:space="0" w:color="auto"/>
            <w:bottom w:val="none" w:sz="0" w:space="0" w:color="auto"/>
            <w:right w:val="none" w:sz="0" w:space="0" w:color="auto"/>
          </w:divBdr>
        </w:div>
        <w:div w:id="942767125">
          <w:marLeft w:val="0"/>
          <w:marRight w:val="0"/>
          <w:marTop w:val="0"/>
          <w:marBottom w:val="0"/>
          <w:divBdr>
            <w:top w:val="none" w:sz="0" w:space="0" w:color="auto"/>
            <w:left w:val="none" w:sz="0" w:space="0" w:color="auto"/>
            <w:bottom w:val="none" w:sz="0" w:space="0" w:color="auto"/>
            <w:right w:val="none" w:sz="0" w:space="0" w:color="auto"/>
          </w:divBdr>
        </w:div>
      </w:divsChild>
    </w:div>
    <w:div w:id="2031177586">
      <w:bodyDiv w:val="1"/>
      <w:marLeft w:val="0"/>
      <w:marRight w:val="0"/>
      <w:marTop w:val="0"/>
      <w:marBottom w:val="0"/>
      <w:divBdr>
        <w:top w:val="none" w:sz="0" w:space="0" w:color="auto"/>
        <w:left w:val="none" w:sz="0" w:space="0" w:color="auto"/>
        <w:bottom w:val="none" w:sz="0" w:space="0" w:color="auto"/>
        <w:right w:val="none" w:sz="0" w:space="0" w:color="auto"/>
      </w:divBdr>
      <w:divsChild>
        <w:div w:id="1083066709">
          <w:marLeft w:val="0"/>
          <w:marRight w:val="0"/>
          <w:marTop w:val="0"/>
          <w:marBottom w:val="0"/>
          <w:divBdr>
            <w:top w:val="none" w:sz="0" w:space="0" w:color="auto"/>
            <w:left w:val="none" w:sz="0" w:space="0" w:color="auto"/>
            <w:bottom w:val="none" w:sz="0" w:space="0" w:color="auto"/>
            <w:right w:val="none" w:sz="0" w:space="0" w:color="auto"/>
          </w:divBdr>
        </w:div>
        <w:div w:id="1391465709">
          <w:marLeft w:val="0"/>
          <w:marRight w:val="0"/>
          <w:marTop w:val="0"/>
          <w:marBottom w:val="0"/>
          <w:divBdr>
            <w:top w:val="none" w:sz="0" w:space="0" w:color="auto"/>
            <w:left w:val="none" w:sz="0" w:space="0" w:color="auto"/>
            <w:bottom w:val="none" w:sz="0" w:space="0" w:color="auto"/>
            <w:right w:val="none" w:sz="0" w:space="0" w:color="auto"/>
          </w:divBdr>
        </w:div>
        <w:div w:id="1282760889">
          <w:marLeft w:val="0"/>
          <w:marRight w:val="0"/>
          <w:marTop w:val="0"/>
          <w:marBottom w:val="0"/>
          <w:divBdr>
            <w:top w:val="none" w:sz="0" w:space="0" w:color="auto"/>
            <w:left w:val="none" w:sz="0" w:space="0" w:color="auto"/>
            <w:bottom w:val="none" w:sz="0" w:space="0" w:color="auto"/>
            <w:right w:val="none" w:sz="0" w:space="0" w:color="auto"/>
          </w:divBdr>
        </w:div>
        <w:div w:id="1151752335">
          <w:marLeft w:val="0"/>
          <w:marRight w:val="0"/>
          <w:marTop w:val="0"/>
          <w:marBottom w:val="0"/>
          <w:divBdr>
            <w:top w:val="none" w:sz="0" w:space="0" w:color="auto"/>
            <w:left w:val="none" w:sz="0" w:space="0" w:color="auto"/>
            <w:bottom w:val="none" w:sz="0" w:space="0" w:color="auto"/>
            <w:right w:val="none" w:sz="0" w:space="0" w:color="auto"/>
          </w:divBdr>
        </w:div>
        <w:div w:id="166527581">
          <w:marLeft w:val="0"/>
          <w:marRight w:val="0"/>
          <w:marTop w:val="0"/>
          <w:marBottom w:val="0"/>
          <w:divBdr>
            <w:top w:val="none" w:sz="0" w:space="0" w:color="auto"/>
            <w:left w:val="none" w:sz="0" w:space="0" w:color="auto"/>
            <w:bottom w:val="none" w:sz="0" w:space="0" w:color="auto"/>
            <w:right w:val="none" w:sz="0" w:space="0" w:color="auto"/>
          </w:divBdr>
        </w:div>
        <w:div w:id="1060984966">
          <w:marLeft w:val="0"/>
          <w:marRight w:val="0"/>
          <w:marTop w:val="0"/>
          <w:marBottom w:val="0"/>
          <w:divBdr>
            <w:top w:val="none" w:sz="0" w:space="0" w:color="auto"/>
            <w:left w:val="none" w:sz="0" w:space="0" w:color="auto"/>
            <w:bottom w:val="none" w:sz="0" w:space="0" w:color="auto"/>
            <w:right w:val="none" w:sz="0" w:space="0" w:color="auto"/>
          </w:divBdr>
        </w:div>
        <w:div w:id="518932403">
          <w:marLeft w:val="0"/>
          <w:marRight w:val="0"/>
          <w:marTop w:val="0"/>
          <w:marBottom w:val="0"/>
          <w:divBdr>
            <w:top w:val="none" w:sz="0" w:space="0" w:color="auto"/>
            <w:left w:val="none" w:sz="0" w:space="0" w:color="auto"/>
            <w:bottom w:val="none" w:sz="0" w:space="0" w:color="auto"/>
            <w:right w:val="none" w:sz="0" w:space="0" w:color="auto"/>
          </w:divBdr>
        </w:div>
        <w:div w:id="724068065">
          <w:marLeft w:val="0"/>
          <w:marRight w:val="0"/>
          <w:marTop w:val="0"/>
          <w:marBottom w:val="0"/>
          <w:divBdr>
            <w:top w:val="none" w:sz="0" w:space="0" w:color="auto"/>
            <w:left w:val="none" w:sz="0" w:space="0" w:color="auto"/>
            <w:bottom w:val="none" w:sz="0" w:space="0" w:color="auto"/>
            <w:right w:val="none" w:sz="0" w:space="0" w:color="auto"/>
          </w:divBdr>
        </w:div>
        <w:div w:id="1850481498">
          <w:marLeft w:val="0"/>
          <w:marRight w:val="0"/>
          <w:marTop w:val="0"/>
          <w:marBottom w:val="0"/>
          <w:divBdr>
            <w:top w:val="none" w:sz="0" w:space="0" w:color="auto"/>
            <w:left w:val="none" w:sz="0" w:space="0" w:color="auto"/>
            <w:bottom w:val="none" w:sz="0" w:space="0" w:color="auto"/>
            <w:right w:val="none" w:sz="0" w:space="0" w:color="auto"/>
          </w:divBdr>
        </w:div>
        <w:div w:id="1405445055">
          <w:marLeft w:val="0"/>
          <w:marRight w:val="0"/>
          <w:marTop w:val="0"/>
          <w:marBottom w:val="0"/>
          <w:divBdr>
            <w:top w:val="none" w:sz="0" w:space="0" w:color="auto"/>
            <w:left w:val="none" w:sz="0" w:space="0" w:color="auto"/>
            <w:bottom w:val="none" w:sz="0" w:space="0" w:color="auto"/>
            <w:right w:val="none" w:sz="0" w:space="0" w:color="auto"/>
          </w:divBdr>
        </w:div>
        <w:div w:id="818156912">
          <w:marLeft w:val="0"/>
          <w:marRight w:val="0"/>
          <w:marTop w:val="0"/>
          <w:marBottom w:val="0"/>
          <w:divBdr>
            <w:top w:val="none" w:sz="0" w:space="0" w:color="auto"/>
            <w:left w:val="none" w:sz="0" w:space="0" w:color="auto"/>
            <w:bottom w:val="none" w:sz="0" w:space="0" w:color="auto"/>
            <w:right w:val="none" w:sz="0" w:space="0" w:color="auto"/>
          </w:divBdr>
        </w:div>
        <w:div w:id="105974459">
          <w:marLeft w:val="0"/>
          <w:marRight w:val="0"/>
          <w:marTop w:val="0"/>
          <w:marBottom w:val="0"/>
          <w:divBdr>
            <w:top w:val="none" w:sz="0" w:space="0" w:color="auto"/>
            <w:left w:val="none" w:sz="0" w:space="0" w:color="auto"/>
            <w:bottom w:val="none" w:sz="0" w:space="0" w:color="auto"/>
            <w:right w:val="none" w:sz="0" w:space="0" w:color="auto"/>
          </w:divBdr>
        </w:div>
        <w:div w:id="608706797">
          <w:marLeft w:val="0"/>
          <w:marRight w:val="0"/>
          <w:marTop w:val="0"/>
          <w:marBottom w:val="0"/>
          <w:divBdr>
            <w:top w:val="none" w:sz="0" w:space="0" w:color="auto"/>
            <w:left w:val="none" w:sz="0" w:space="0" w:color="auto"/>
            <w:bottom w:val="none" w:sz="0" w:space="0" w:color="auto"/>
            <w:right w:val="none" w:sz="0" w:space="0" w:color="auto"/>
          </w:divBdr>
        </w:div>
        <w:div w:id="1155339779">
          <w:marLeft w:val="0"/>
          <w:marRight w:val="0"/>
          <w:marTop w:val="0"/>
          <w:marBottom w:val="0"/>
          <w:divBdr>
            <w:top w:val="none" w:sz="0" w:space="0" w:color="auto"/>
            <w:left w:val="none" w:sz="0" w:space="0" w:color="auto"/>
            <w:bottom w:val="none" w:sz="0" w:space="0" w:color="auto"/>
            <w:right w:val="none" w:sz="0" w:space="0" w:color="auto"/>
          </w:divBdr>
        </w:div>
        <w:div w:id="1966111927">
          <w:marLeft w:val="0"/>
          <w:marRight w:val="0"/>
          <w:marTop w:val="0"/>
          <w:marBottom w:val="0"/>
          <w:divBdr>
            <w:top w:val="none" w:sz="0" w:space="0" w:color="auto"/>
            <w:left w:val="none" w:sz="0" w:space="0" w:color="auto"/>
            <w:bottom w:val="none" w:sz="0" w:space="0" w:color="auto"/>
            <w:right w:val="none" w:sz="0" w:space="0" w:color="auto"/>
          </w:divBdr>
        </w:div>
        <w:div w:id="930355295">
          <w:marLeft w:val="0"/>
          <w:marRight w:val="0"/>
          <w:marTop w:val="0"/>
          <w:marBottom w:val="0"/>
          <w:divBdr>
            <w:top w:val="none" w:sz="0" w:space="0" w:color="auto"/>
            <w:left w:val="none" w:sz="0" w:space="0" w:color="auto"/>
            <w:bottom w:val="none" w:sz="0" w:space="0" w:color="auto"/>
            <w:right w:val="none" w:sz="0" w:space="0" w:color="auto"/>
          </w:divBdr>
        </w:div>
        <w:div w:id="204756398">
          <w:marLeft w:val="0"/>
          <w:marRight w:val="0"/>
          <w:marTop w:val="0"/>
          <w:marBottom w:val="0"/>
          <w:divBdr>
            <w:top w:val="none" w:sz="0" w:space="0" w:color="auto"/>
            <w:left w:val="none" w:sz="0" w:space="0" w:color="auto"/>
            <w:bottom w:val="none" w:sz="0" w:space="0" w:color="auto"/>
            <w:right w:val="none" w:sz="0" w:space="0" w:color="auto"/>
          </w:divBdr>
        </w:div>
        <w:div w:id="388462241">
          <w:marLeft w:val="0"/>
          <w:marRight w:val="0"/>
          <w:marTop w:val="0"/>
          <w:marBottom w:val="0"/>
          <w:divBdr>
            <w:top w:val="none" w:sz="0" w:space="0" w:color="auto"/>
            <w:left w:val="none" w:sz="0" w:space="0" w:color="auto"/>
            <w:bottom w:val="none" w:sz="0" w:space="0" w:color="auto"/>
            <w:right w:val="none" w:sz="0" w:space="0" w:color="auto"/>
          </w:divBdr>
        </w:div>
        <w:div w:id="530922279">
          <w:marLeft w:val="0"/>
          <w:marRight w:val="0"/>
          <w:marTop w:val="0"/>
          <w:marBottom w:val="0"/>
          <w:divBdr>
            <w:top w:val="none" w:sz="0" w:space="0" w:color="auto"/>
            <w:left w:val="none" w:sz="0" w:space="0" w:color="auto"/>
            <w:bottom w:val="none" w:sz="0" w:space="0" w:color="auto"/>
            <w:right w:val="none" w:sz="0" w:space="0" w:color="auto"/>
          </w:divBdr>
        </w:div>
        <w:div w:id="1600067147">
          <w:marLeft w:val="0"/>
          <w:marRight w:val="0"/>
          <w:marTop w:val="0"/>
          <w:marBottom w:val="0"/>
          <w:divBdr>
            <w:top w:val="none" w:sz="0" w:space="0" w:color="auto"/>
            <w:left w:val="none" w:sz="0" w:space="0" w:color="auto"/>
            <w:bottom w:val="none" w:sz="0" w:space="0" w:color="auto"/>
            <w:right w:val="none" w:sz="0" w:space="0" w:color="auto"/>
          </w:divBdr>
        </w:div>
        <w:div w:id="998074114">
          <w:marLeft w:val="0"/>
          <w:marRight w:val="0"/>
          <w:marTop w:val="0"/>
          <w:marBottom w:val="0"/>
          <w:divBdr>
            <w:top w:val="none" w:sz="0" w:space="0" w:color="auto"/>
            <w:left w:val="none" w:sz="0" w:space="0" w:color="auto"/>
            <w:bottom w:val="none" w:sz="0" w:space="0" w:color="auto"/>
            <w:right w:val="none" w:sz="0" w:space="0" w:color="auto"/>
          </w:divBdr>
        </w:div>
        <w:div w:id="1700467393">
          <w:marLeft w:val="0"/>
          <w:marRight w:val="0"/>
          <w:marTop w:val="0"/>
          <w:marBottom w:val="0"/>
          <w:divBdr>
            <w:top w:val="none" w:sz="0" w:space="0" w:color="auto"/>
            <w:left w:val="none" w:sz="0" w:space="0" w:color="auto"/>
            <w:bottom w:val="none" w:sz="0" w:space="0" w:color="auto"/>
            <w:right w:val="none" w:sz="0" w:space="0" w:color="auto"/>
          </w:divBdr>
        </w:div>
        <w:div w:id="159515044">
          <w:marLeft w:val="0"/>
          <w:marRight w:val="0"/>
          <w:marTop w:val="0"/>
          <w:marBottom w:val="0"/>
          <w:divBdr>
            <w:top w:val="none" w:sz="0" w:space="0" w:color="auto"/>
            <w:left w:val="none" w:sz="0" w:space="0" w:color="auto"/>
            <w:bottom w:val="none" w:sz="0" w:space="0" w:color="auto"/>
            <w:right w:val="none" w:sz="0" w:space="0" w:color="auto"/>
          </w:divBdr>
        </w:div>
        <w:div w:id="1835876890">
          <w:marLeft w:val="0"/>
          <w:marRight w:val="0"/>
          <w:marTop w:val="0"/>
          <w:marBottom w:val="0"/>
          <w:divBdr>
            <w:top w:val="none" w:sz="0" w:space="0" w:color="auto"/>
            <w:left w:val="none" w:sz="0" w:space="0" w:color="auto"/>
            <w:bottom w:val="none" w:sz="0" w:space="0" w:color="auto"/>
            <w:right w:val="none" w:sz="0" w:space="0" w:color="auto"/>
          </w:divBdr>
        </w:div>
        <w:div w:id="1793671730">
          <w:marLeft w:val="0"/>
          <w:marRight w:val="0"/>
          <w:marTop w:val="0"/>
          <w:marBottom w:val="0"/>
          <w:divBdr>
            <w:top w:val="none" w:sz="0" w:space="0" w:color="auto"/>
            <w:left w:val="none" w:sz="0" w:space="0" w:color="auto"/>
            <w:bottom w:val="none" w:sz="0" w:space="0" w:color="auto"/>
            <w:right w:val="none" w:sz="0" w:space="0" w:color="auto"/>
          </w:divBdr>
        </w:div>
        <w:div w:id="452483339">
          <w:marLeft w:val="0"/>
          <w:marRight w:val="0"/>
          <w:marTop w:val="0"/>
          <w:marBottom w:val="0"/>
          <w:divBdr>
            <w:top w:val="none" w:sz="0" w:space="0" w:color="auto"/>
            <w:left w:val="none" w:sz="0" w:space="0" w:color="auto"/>
            <w:bottom w:val="none" w:sz="0" w:space="0" w:color="auto"/>
            <w:right w:val="none" w:sz="0" w:space="0" w:color="auto"/>
          </w:divBdr>
        </w:div>
        <w:div w:id="361521169">
          <w:marLeft w:val="0"/>
          <w:marRight w:val="0"/>
          <w:marTop w:val="0"/>
          <w:marBottom w:val="0"/>
          <w:divBdr>
            <w:top w:val="none" w:sz="0" w:space="0" w:color="auto"/>
            <w:left w:val="none" w:sz="0" w:space="0" w:color="auto"/>
            <w:bottom w:val="none" w:sz="0" w:space="0" w:color="auto"/>
            <w:right w:val="none" w:sz="0" w:space="0" w:color="auto"/>
          </w:divBdr>
        </w:div>
        <w:div w:id="403458895">
          <w:marLeft w:val="0"/>
          <w:marRight w:val="0"/>
          <w:marTop w:val="0"/>
          <w:marBottom w:val="0"/>
          <w:divBdr>
            <w:top w:val="none" w:sz="0" w:space="0" w:color="auto"/>
            <w:left w:val="none" w:sz="0" w:space="0" w:color="auto"/>
            <w:bottom w:val="none" w:sz="0" w:space="0" w:color="auto"/>
            <w:right w:val="none" w:sz="0" w:space="0" w:color="auto"/>
          </w:divBdr>
        </w:div>
        <w:div w:id="819154951">
          <w:marLeft w:val="0"/>
          <w:marRight w:val="0"/>
          <w:marTop w:val="0"/>
          <w:marBottom w:val="0"/>
          <w:divBdr>
            <w:top w:val="none" w:sz="0" w:space="0" w:color="auto"/>
            <w:left w:val="none" w:sz="0" w:space="0" w:color="auto"/>
            <w:bottom w:val="none" w:sz="0" w:space="0" w:color="auto"/>
            <w:right w:val="none" w:sz="0" w:space="0" w:color="auto"/>
          </w:divBdr>
        </w:div>
        <w:div w:id="1154492120">
          <w:marLeft w:val="0"/>
          <w:marRight w:val="0"/>
          <w:marTop w:val="0"/>
          <w:marBottom w:val="0"/>
          <w:divBdr>
            <w:top w:val="none" w:sz="0" w:space="0" w:color="auto"/>
            <w:left w:val="none" w:sz="0" w:space="0" w:color="auto"/>
            <w:bottom w:val="none" w:sz="0" w:space="0" w:color="auto"/>
            <w:right w:val="none" w:sz="0" w:space="0" w:color="auto"/>
          </w:divBdr>
        </w:div>
        <w:div w:id="1106387968">
          <w:marLeft w:val="0"/>
          <w:marRight w:val="0"/>
          <w:marTop w:val="0"/>
          <w:marBottom w:val="0"/>
          <w:divBdr>
            <w:top w:val="none" w:sz="0" w:space="0" w:color="auto"/>
            <w:left w:val="none" w:sz="0" w:space="0" w:color="auto"/>
            <w:bottom w:val="none" w:sz="0" w:space="0" w:color="auto"/>
            <w:right w:val="none" w:sz="0" w:space="0" w:color="auto"/>
          </w:divBdr>
        </w:div>
        <w:div w:id="504250755">
          <w:marLeft w:val="0"/>
          <w:marRight w:val="0"/>
          <w:marTop w:val="0"/>
          <w:marBottom w:val="0"/>
          <w:divBdr>
            <w:top w:val="none" w:sz="0" w:space="0" w:color="auto"/>
            <w:left w:val="none" w:sz="0" w:space="0" w:color="auto"/>
            <w:bottom w:val="none" w:sz="0" w:space="0" w:color="auto"/>
            <w:right w:val="none" w:sz="0" w:space="0" w:color="auto"/>
          </w:divBdr>
        </w:div>
        <w:div w:id="15984443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9/EMR.2018.28." TargetMode="External"/><Relationship Id="rId13" Type="http://schemas.openxmlformats.org/officeDocument/2006/relationships/hyperlink" Target="https://doi.org/10.1177/1059601104273067" TargetMode="External"/><Relationship Id="rId18" Type="http://schemas.openxmlformats.org/officeDocument/2006/relationships/hyperlink" Target="http://dx.doi.org/10.1080/1469701042000221696." TargetMode="External"/><Relationship Id="rId26" Type="http://schemas.openxmlformats.org/officeDocument/2006/relationships/hyperlink" Target="http://dx.doi.org/10.1002/hrdq.1218" TargetMode="External"/><Relationship Id="rId3" Type="http://schemas.openxmlformats.org/officeDocument/2006/relationships/webSettings" Target="webSettings.xml"/><Relationship Id="rId21" Type="http://schemas.openxmlformats.org/officeDocument/2006/relationships/hyperlink" Target="https://doi.org/10.1108/00251740310457597" TargetMode="External"/><Relationship Id="rId7" Type="http://schemas.openxmlformats.org/officeDocument/2006/relationships/hyperlink" Target="https://doi.org/10.1080/14697017.2018.1447006" TargetMode="External"/><Relationship Id="rId12" Type="http://schemas.openxmlformats.org/officeDocument/2006/relationships/hyperlink" Target="https://doi.org/10.1111/j.1365-2834.2012.01359.x" TargetMode="External"/><Relationship Id="rId17" Type="http://schemas.openxmlformats.org/officeDocument/2006/relationships/hyperlink" Target="https://doi.org/10.1002/0471264385.wei1214" TargetMode="External"/><Relationship Id="rId25" Type="http://schemas.openxmlformats.org/officeDocument/2006/relationships/hyperlink" Target="https://www.semanticscholar.org/paper/The-Individual%2C-the-Organisation-and-the-Contract-Stalker/9eb9f690e5b467922bc499d0cf98af5142ff630c." TargetMode="External"/><Relationship Id="rId2" Type="http://schemas.openxmlformats.org/officeDocument/2006/relationships/settings" Target="settings.xml"/><Relationship Id="rId16" Type="http://schemas.openxmlformats.org/officeDocument/2006/relationships/hyperlink" Target="https://cjni.net/journal/?p=10076" TargetMode="External"/><Relationship Id="rId20" Type="http://schemas.openxmlformats.org/officeDocument/2006/relationships/hyperlink" Target="https://doi.org/10.1207/s15327043hup1002_2"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002/hrm.20239" TargetMode="External"/><Relationship Id="rId11" Type="http://schemas.openxmlformats.org/officeDocument/2006/relationships/hyperlink" Target="https://doi.org/10.1037/0021-9010.87.3.474" TargetMode="External"/><Relationship Id="rId24" Type="http://schemas.openxmlformats.org/officeDocument/2006/relationships/hyperlink" Target="https://doi.org/10.1016/0048-7333(74)90010-9" TargetMode="External"/><Relationship Id="rId5" Type="http://schemas.openxmlformats.org/officeDocument/2006/relationships/hyperlink" Target="https://doi.org/10.1016/S0263-2373(99)00019-5" TargetMode="External"/><Relationship Id="rId15" Type="http://schemas.openxmlformats.org/officeDocument/2006/relationships/hyperlink" Target="https://doi.org/10.32598/jccnc.4.4.203." TargetMode="External"/><Relationship Id="rId23" Type="http://schemas.openxmlformats.org/officeDocument/2006/relationships/hyperlink" Target="https://www.prosci.com/methodology/adkar" TargetMode="External"/><Relationship Id="rId28" Type="http://schemas.openxmlformats.org/officeDocument/2006/relationships/hyperlink" Target="http://dx.doi.org/10.1080/09585192.2013.775033." TargetMode="External"/><Relationship Id="rId10" Type="http://schemas.openxmlformats.org/officeDocument/2006/relationships/hyperlink" Target="https://doi.org/10.1111/j.0887-378X.2004.00325.x" TargetMode="External"/><Relationship Id="rId19" Type="http://schemas.openxmlformats.org/officeDocument/2006/relationships/hyperlink" Target="https://www.england.nhs.uk/about/" TargetMode="External"/><Relationship Id="rId4" Type="http://schemas.openxmlformats.org/officeDocument/2006/relationships/hyperlink" Target="https://doi.org/10.12968/bjhc.2018.24.12.603" TargetMode="External"/><Relationship Id="rId9" Type="http://schemas.openxmlformats.org/officeDocument/2006/relationships/hyperlink" Target="https://doi.org/10.1080/19416520903047327" TargetMode="External"/><Relationship Id="rId14" Type="http://schemas.openxmlformats.org/officeDocument/2006/relationships/hyperlink" Target="https://ssrn.com/abstract=3708439" TargetMode="External"/><Relationship Id="rId22" Type="http://schemas.openxmlformats.org/officeDocument/2006/relationships/hyperlink" Target="https://doi.org/10.1177/0149206315624961." TargetMode="External"/><Relationship Id="rId27" Type="http://schemas.openxmlformats.org/officeDocument/2006/relationships/hyperlink" Target="https://doi.org/10.1007/s10730-015-9266-8"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12</Pages>
  <Words>3879</Words>
  <Characters>22113</Characters>
  <Application>Microsoft Office Word</Application>
  <DocSecurity>0</DocSecurity>
  <Lines>184</Lines>
  <Paragraphs>51</Paragraphs>
  <ScaleCrop>false</ScaleCrop>
  <Company/>
  <LinksUpToDate>false</LinksUpToDate>
  <CharactersWithSpaces>25941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Peyton Arnold</dc:creator>
  <cp:keywords/>
  <dc:description/>
  <cp:lastModifiedBy>Georgia Arnold</cp:lastModifiedBy>
  <cp:revision>5</cp:revision>
  <dcterms:created xsi:type="dcterms:W3CDTF">2024-03-08T21:45:00Z</dcterms:created>
  <dcterms:modified xsi:type="dcterms:W3CDTF">2024-03-08T21:57:00Z</dcterms:modified>
</cp:coreProperties>
</file>