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63F26" w14:textId="77777777" w:rsidR="00F44C5D" w:rsidRDefault="00F44C5D" w:rsidP="00F44C5D">
      <w:pPr>
        <w:jc w:val="center"/>
        <w:rPr>
          <w:b/>
          <w:bCs/>
          <w:sz w:val="28"/>
          <w:szCs w:val="28"/>
          <w:u w:val="single"/>
        </w:rPr>
      </w:pPr>
      <w:r w:rsidRPr="008067CB">
        <w:rPr>
          <w:noProof/>
          <w:sz w:val="28"/>
          <w:szCs w:val="28"/>
        </w:rPr>
        <w:drawing>
          <wp:inline distT="0" distB="0" distL="0" distR="0" wp14:anchorId="2B0E99F9" wp14:editId="0746E7FE">
            <wp:extent cx="2823210" cy="511093"/>
            <wp:effectExtent l="0" t="0" r="0" b="3810"/>
            <wp:docPr id="560892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892715" name="Picture 56089271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1819" cy="523513"/>
                    </a:xfrm>
                    <a:prstGeom prst="rect">
                      <a:avLst/>
                    </a:prstGeom>
                  </pic:spPr>
                </pic:pic>
              </a:graphicData>
            </a:graphic>
          </wp:inline>
        </w:drawing>
      </w:r>
    </w:p>
    <w:p w14:paraId="3EF16EF2" w14:textId="77777777" w:rsidR="00F44C5D" w:rsidRDefault="00F44C5D" w:rsidP="00F44C5D">
      <w:pPr>
        <w:rPr>
          <w:b/>
          <w:bCs/>
          <w:sz w:val="28"/>
          <w:szCs w:val="28"/>
          <w:u w:val="single"/>
        </w:rPr>
      </w:pPr>
    </w:p>
    <w:p w14:paraId="4F3A0118" w14:textId="77777777" w:rsidR="00F44C5D" w:rsidRDefault="00F44C5D" w:rsidP="00F44C5D">
      <w:pPr>
        <w:rPr>
          <w:b/>
          <w:bCs/>
          <w:sz w:val="28"/>
          <w:szCs w:val="28"/>
          <w:u w:val="single"/>
        </w:rPr>
      </w:pPr>
    </w:p>
    <w:p w14:paraId="7F48E4FC" w14:textId="77777777" w:rsidR="00F44C5D" w:rsidRPr="00093CC6" w:rsidRDefault="00F44C5D" w:rsidP="00F44C5D">
      <w:pPr>
        <w:jc w:val="center"/>
        <w:rPr>
          <w:sz w:val="28"/>
          <w:szCs w:val="28"/>
          <w:u w:val="single"/>
        </w:rPr>
      </w:pPr>
      <w:r w:rsidRPr="00093CC6">
        <w:rPr>
          <w:b/>
          <w:bCs/>
          <w:sz w:val="28"/>
          <w:szCs w:val="28"/>
          <w:u w:val="single"/>
        </w:rPr>
        <w:t>Doctorate in Education (EdD)</w:t>
      </w:r>
    </w:p>
    <w:p w14:paraId="7C42591D" w14:textId="77777777" w:rsidR="00695CAC" w:rsidRDefault="00695CAC" w:rsidP="00F44C5D">
      <w:pPr>
        <w:jc w:val="center"/>
        <w:rPr>
          <w:b/>
          <w:bCs/>
          <w:sz w:val="28"/>
          <w:szCs w:val="28"/>
        </w:rPr>
      </w:pPr>
      <w:r w:rsidRPr="00695CAC">
        <w:rPr>
          <w:b/>
          <w:bCs/>
          <w:sz w:val="28"/>
          <w:szCs w:val="28"/>
        </w:rPr>
        <w:t>Writing a Critical Literature Review in Education</w:t>
      </w:r>
    </w:p>
    <w:p w14:paraId="609763E1" w14:textId="61405679" w:rsidR="00F44C5D" w:rsidRDefault="00F44C5D" w:rsidP="00F44C5D">
      <w:pPr>
        <w:jc w:val="center"/>
        <w:rPr>
          <w:b/>
          <w:bCs/>
          <w:sz w:val="28"/>
          <w:szCs w:val="28"/>
        </w:rPr>
      </w:pPr>
      <w:r w:rsidRPr="00093CC6">
        <w:rPr>
          <w:b/>
          <w:bCs/>
          <w:sz w:val="28"/>
          <w:szCs w:val="28"/>
        </w:rPr>
        <w:t>Module</w:t>
      </w:r>
      <w:r w:rsidR="00AE2B46">
        <w:rPr>
          <w:b/>
          <w:bCs/>
          <w:sz w:val="28"/>
          <w:szCs w:val="28"/>
        </w:rPr>
        <w:t xml:space="preserve">: </w:t>
      </w:r>
      <w:r w:rsidRPr="00093CC6">
        <w:rPr>
          <w:b/>
          <w:bCs/>
          <w:sz w:val="28"/>
          <w:szCs w:val="28"/>
        </w:rPr>
        <w:t>ECDE70</w:t>
      </w:r>
      <w:r w:rsidR="00DD4B7E">
        <w:rPr>
          <w:b/>
          <w:bCs/>
          <w:sz w:val="28"/>
          <w:szCs w:val="28"/>
        </w:rPr>
        <w:t>16</w:t>
      </w:r>
    </w:p>
    <w:p w14:paraId="2ADF9B63" w14:textId="77777777" w:rsidR="00F44C5D" w:rsidRPr="00906E37" w:rsidRDefault="00F44C5D" w:rsidP="00F44C5D">
      <w:pPr>
        <w:rPr>
          <w:sz w:val="28"/>
          <w:szCs w:val="28"/>
        </w:rPr>
      </w:pPr>
    </w:p>
    <w:p w14:paraId="5F58E6FA" w14:textId="64701FB4" w:rsidR="00F44C5D" w:rsidRDefault="00F44C5D" w:rsidP="00F44C5D">
      <w:pPr>
        <w:jc w:val="center"/>
        <w:rPr>
          <w:sz w:val="28"/>
          <w:szCs w:val="28"/>
        </w:rPr>
      </w:pPr>
      <w:r w:rsidRPr="00171A67">
        <w:rPr>
          <w:sz w:val="28"/>
          <w:szCs w:val="28"/>
        </w:rPr>
        <w:t xml:space="preserve">Assessment Component </w:t>
      </w:r>
      <w:r w:rsidR="00166563">
        <w:rPr>
          <w:sz w:val="28"/>
          <w:szCs w:val="28"/>
        </w:rPr>
        <w:t>2</w:t>
      </w:r>
      <w:r w:rsidRPr="00171A67">
        <w:rPr>
          <w:sz w:val="28"/>
          <w:szCs w:val="28"/>
        </w:rPr>
        <w:t xml:space="preserve"> – (</w:t>
      </w:r>
      <w:r w:rsidR="00166563">
        <w:rPr>
          <w:sz w:val="28"/>
          <w:szCs w:val="28"/>
        </w:rPr>
        <w:t>80</w:t>
      </w:r>
      <w:r w:rsidRPr="00171A67">
        <w:rPr>
          <w:sz w:val="28"/>
          <w:szCs w:val="28"/>
        </w:rPr>
        <w:t>%)</w:t>
      </w:r>
    </w:p>
    <w:p w14:paraId="70A1DFA1" w14:textId="77777777" w:rsidR="00F44C5D" w:rsidRDefault="00F44C5D" w:rsidP="00F44C5D">
      <w:pPr>
        <w:jc w:val="center"/>
        <w:rPr>
          <w:sz w:val="28"/>
          <w:szCs w:val="28"/>
          <w:lang w:eastAsia="zh-CN"/>
        </w:rPr>
      </w:pPr>
    </w:p>
    <w:p w14:paraId="0D0D2963" w14:textId="77777777" w:rsidR="00F44C5D" w:rsidRPr="00171A67" w:rsidRDefault="00F44C5D" w:rsidP="00F44C5D">
      <w:pPr>
        <w:rPr>
          <w:sz w:val="28"/>
          <w:szCs w:val="28"/>
        </w:rPr>
      </w:pPr>
    </w:p>
    <w:p w14:paraId="4CF98538" w14:textId="77777777" w:rsidR="00F44C5D" w:rsidRDefault="00F44C5D" w:rsidP="00F44C5D">
      <w:pPr>
        <w:jc w:val="center"/>
        <w:rPr>
          <w:sz w:val="28"/>
          <w:szCs w:val="28"/>
        </w:rPr>
      </w:pPr>
    </w:p>
    <w:p w14:paraId="175A48F4" w14:textId="77777777" w:rsidR="00A24F2E" w:rsidRDefault="00A24F2E" w:rsidP="00F44C5D">
      <w:pPr>
        <w:jc w:val="center"/>
        <w:rPr>
          <w:sz w:val="28"/>
          <w:szCs w:val="28"/>
        </w:rPr>
      </w:pPr>
    </w:p>
    <w:p w14:paraId="1B788F69" w14:textId="29E6B7C6" w:rsidR="00F44C5D" w:rsidRPr="00171A67" w:rsidRDefault="00166563" w:rsidP="00F44C5D">
      <w:pPr>
        <w:jc w:val="center"/>
        <w:rPr>
          <w:b/>
          <w:bCs/>
          <w:i/>
          <w:iCs/>
          <w:sz w:val="40"/>
          <w:szCs w:val="40"/>
          <w:u w:val="single"/>
        </w:rPr>
      </w:pPr>
      <w:r>
        <w:rPr>
          <w:b/>
          <w:bCs/>
          <w:i/>
          <w:iCs/>
          <w:sz w:val="40"/>
          <w:szCs w:val="40"/>
          <w:u w:val="single"/>
        </w:rPr>
        <w:t>6</w:t>
      </w:r>
      <w:r w:rsidR="00481201">
        <w:rPr>
          <w:b/>
          <w:bCs/>
          <w:i/>
          <w:iCs/>
          <w:sz w:val="40"/>
          <w:szCs w:val="40"/>
          <w:u w:val="single"/>
        </w:rPr>
        <w:t>500</w:t>
      </w:r>
      <w:r w:rsidR="00F44C5D" w:rsidRPr="00171A67">
        <w:rPr>
          <w:b/>
          <w:bCs/>
          <w:i/>
          <w:iCs/>
          <w:sz w:val="40"/>
          <w:szCs w:val="40"/>
          <w:u w:val="single"/>
        </w:rPr>
        <w:t xml:space="preserve"> words</w:t>
      </w:r>
    </w:p>
    <w:p w14:paraId="7B226F5B" w14:textId="77777777" w:rsidR="00F44C5D" w:rsidRPr="00906E37" w:rsidRDefault="00F44C5D" w:rsidP="00F44C5D">
      <w:pPr>
        <w:jc w:val="center"/>
        <w:rPr>
          <w:sz w:val="28"/>
          <w:szCs w:val="28"/>
        </w:rPr>
      </w:pPr>
    </w:p>
    <w:p w14:paraId="7316E972" w14:textId="77777777" w:rsidR="00F44C5D" w:rsidRDefault="00F44C5D" w:rsidP="00F44C5D">
      <w:pPr>
        <w:jc w:val="center"/>
        <w:rPr>
          <w:sz w:val="28"/>
          <w:szCs w:val="28"/>
        </w:rPr>
      </w:pPr>
    </w:p>
    <w:p w14:paraId="5106B020" w14:textId="77777777" w:rsidR="00F44C5D" w:rsidRDefault="00F44C5D" w:rsidP="00F44C5D">
      <w:pPr>
        <w:jc w:val="center"/>
        <w:rPr>
          <w:sz w:val="28"/>
          <w:szCs w:val="28"/>
        </w:rPr>
      </w:pPr>
    </w:p>
    <w:p w14:paraId="315A0E74" w14:textId="77777777" w:rsidR="00A24F2E" w:rsidRDefault="00A24F2E" w:rsidP="00F44C5D">
      <w:pPr>
        <w:jc w:val="center"/>
        <w:rPr>
          <w:sz w:val="28"/>
          <w:szCs w:val="28"/>
        </w:rPr>
      </w:pPr>
    </w:p>
    <w:p w14:paraId="1B4C31C9" w14:textId="77777777" w:rsidR="00A24F2E" w:rsidRPr="00906E37" w:rsidRDefault="00A24F2E" w:rsidP="00F44C5D">
      <w:pPr>
        <w:jc w:val="center"/>
        <w:rPr>
          <w:sz w:val="28"/>
          <w:szCs w:val="28"/>
        </w:rPr>
      </w:pPr>
    </w:p>
    <w:p w14:paraId="6F46B01B" w14:textId="77777777" w:rsidR="00F44C5D" w:rsidRPr="00906E37" w:rsidRDefault="00F44C5D" w:rsidP="00F44C5D">
      <w:pPr>
        <w:jc w:val="center"/>
        <w:rPr>
          <w:sz w:val="28"/>
          <w:szCs w:val="28"/>
        </w:rPr>
      </w:pPr>
    </w:p>
    <w:p w14:paraId="05DEDE31" w14:textId="27D2D066" w:rsidR="00F44C5D" w:rsidRPr="00906E37" w:rsidRDefault="00F44C5D" w:rsidP="00F44C5D">
      <w:pPr>
        <w:spacing w:line="240" w:lineRule="auto"/>
        <w:jc w:val="center"/>
        <w:rPr>
          <w:b/>
          <w:bCs/>
          <w:sz w:val="28"/>
          <w:szCs w:val="28"/>
        </w:rPr>
      </w:pPr>
      <w:r w:rsidRPr="00906E37">
        <w:rPr>
          <w:sz w:val="28"/>
          <w:szCs w:val="28"/>
        </w:rPr>
        <w:t xml:space="preserve">Student: </w:t>
      </w:r>
      <w:r w:rsidR="00622962">
        <w:rPr>
          <w:b/>
          <w:bCs/>
          <w:sz w:val="28"/>
          <w:szCs w:val="28"/>
        </w:rPr>
        <w:t>Lifeng Chen</w:t>
      </w:r>
      <w:r w:rsidRPr="00906E37">
        <w:rPr>
          <w:b/>
          <w:bCs/>
          <w:sz w:val="28"/>
          <w:szCs w:val="28"/>
        </w:rPr>
        <w:t>, B</w:t>
      </w:r>
      <w:r w:rsidR="00140E2C">
        <w:rPr>
          <w:b/>
          <w:bCs/>
          <w:sz w:val="28"/>
          <w:szCs w:val="28"/>
        </w:rPr>
        <w:t>A</w:t>
      </w:r>
      <w:r w:rsidRPr="00906E37">
        <w:rPr>
          <w:b/>
          <w:bCs/>
          <w:sz w:val="28"/>
          <w:szCs w:val="28"/>
        </w:rPr>
        <w:t>, M</w:t>
      </w:r>
      <w:r w:rsidR="00140E2C">
        <w:rPr>
          <w:b/>
          <w:bCs/>
          <w:sz w:val="28"/>
          <w:szCs w:val="28"/>
        </w:rPr>
        <w:t>A</w:t>
      </w:r>
    </w:p>
    <w:p w14:paraId="51FEC44F" w14:textId="7DB1FDE0" w:rsidR="00F44C5D" w:rsidRPr="00906E37" w:rsidRDefault="00F44C5D" w:rsidP="000B1DFE">
      <w:pPr>
        <w:spacing w:line="240" w:lineRule="auto"/>
        <w:jc w:val="center"/>
        <w:rPr>
          <w:sz w:val="28"/>
          <w:szCs w:val="28"/>
        </w:rPr>
      </w:pPr>
      <w:r w:rsidRPr="00906E37">
        <w:rPr>
          <w:sz w:val="28"/>
          <w:szCs w:val="28"/>
        </w:rPr>
        <w:t>Student I</w:t>
      </w:r>
      <w:r>
        <w:rPr>
          <w:sz w:val="28"/>
          <w:szCs w:val="28"/>
        </w:rPr>
        <w:t>D</w:t>
      </w:r>
      <w:r w:rsidRPr="00906E37">
        <w:rPr>
          <w:sz w:val="28"/>
          <w:szCs w:val="28"/>
        </w:rPr>
        <w:t xml:space="preserve">: </w:t>
      </w:r>
      <w:r w:rsidR="000B1DFE" w:rsidRPr="000B1DFE">
        <w:rPr>
          <w:b/>
          <w:bCs/>
          <w:sz w:val="28"/>
          <w:szCs w:val="28"/>
        </w:rPr>
        <w:t>2242601</w:t>
      </w:r>
    </w:p>
    <w:p w14:paraId="21E2BD7E" w14:textId="77777777" w:rsidR="00F44C5D" w:rsidRPr="00906E37" w:rsidRDefault="00F44C5D" w:rsidP="00F44C5D">
      <w:pPr>
        <w:spacing w:line="240" w:lineRule="auto"/>
        <w:jc w:val="center"/>
        <w:rPr>
          <w:sz w:val="28"/>
          <w:szCs w:val="28"/>
        </w:rPr>
      </w:pPr>
      <w:r w:rsidRPr="00906E37">
        <w:rPr>
          <w:sz w:val="28"/>
          <w:szCs w:val="28"/>
        </w:rPr>
        <w:t>UWTSD</w:t>
      </w:r>
    </w:p>
    <w:p w14:paraId="128C4A64" w14:textId="77777777" w:rsidR="00F44C5D" w:rsidRPr="00906E37" w:rsidRDefault="00F44C5D" w:rsidP="00F44C5D">
      <w:pPr>
        <w:spacing w:line="240" w:lineRule="auto"/>
        <w:jc w:val="center"/>
        <w:rPr>
          <w:sz w:val="28"/>
          <w:szCs w:val="28"/>
        </w:rPr>
      </w:pPr>
      <w:r w:rsidRPr="00906E37">
        <w:rPr>
          <w:sz w:val="28"/>
          <w:szCs w:val="28"/>
        </w:rPr>
        <w:t>Swansea, SA1 Campus, IQ Building</w:t>
      </w:r>
    </w:p>
    <w:p w14:paraId="43DE5C88" w14:textId="77777777" w:rsidR="00F44C5D" w:rsidRDefault="00F44C5D"/>
    <w:p w14:paraId="1C56C457" w14:textId="77777777" w:rsidR="000B1DFE" w:rsidRDefault="000B1DFE"/>
    <w:p w14:paraId="52AC88B0" w14:textId="77777777" w:rsidR="007310F8" w:rsidRDefault="007310F8"/>
    <w:p w14:paraId="14F28747" w14:textId="5019C27C" w:rsidR="007310F8" w:rsidRPr="003A2FF9" w:rsidRDefault="007310F8" w:rsidP="007310F8">
      <w:pPr>
        <w:rPr>
          <w:rFonts w:cstheme="minorHAnsi"/>
          <w:b/>
          <w:bCs/>
          <w:sz w:val="24"/>
          <w:szCs w:val="24"/>
          <w:shd w:val="clear" w:color="auto" w:fill="FFFFFF"/>
        </w:rPr>
      </w:pPr>
      <w:r w:rsidRPr="003A2FF9">
        <w:rPr>
          <w:rFonts w:cstheme="minorHAnsi"/>
          <w:b/>
          <w:bCs/>
          <w:sz w:val="24"/>
          <w:szCs w:val="24"/>
          <w:shd w:val="clear" w:color="auto" w:fill="FFFFFF"/>
        </w:rPr>
        <w:lastRenderedPageBreak/>
        <w:t>Literature Review on Multimodal</w:t>
      </w:r>
      <w:r w:rsidR="000755CA">
        <w:rPr>
          <w:rFonts w:cstheme="minorHAnsi"/>
          <w:b/>
          <w:bCs/>
          <w:sz w:val="24"/>
          <w:szCs w:val="24"/>
          <w:shd w:val="clear" w:color="auto" w:fill="FFFFFF"/>
        </w:rPr>
        <w:t xml:space="preserve"> </w:t>
      </w:r>
      <w:r w:rsidRPr="003A2FF9">
        <w:rPr>
          <w:rFonts w:cstheme="minorHAnsi"/>
          <w:b/>
          <w:bCs/>
          <w:sz w:val="24"/>
          <w:szCs w:val="24"/>
          <w:shd w:val="clear" w:color="auto" w:fill="FFFFFF"/>
        </w:rPr>
        <w:t>Strategies in Teaching Chinese 24 Solar Terms</w:t>
      </w:r>
    </w:p>
    <w:p w14:paraId="373C589B"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Abstract</w:t>
      </w:r>
    </w:p>
    <w:p w14:paraId="211FF36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This literature review explores the application of multimodal teaching strategies within the context of teaching the Chinese 24 Solar Terms in Welsh primary schools. The review aligns with the Welsh Government's Global Futures strategy, aiming to enhance the learning experiences of modern languages and to foster a deeper cultural understanding among students. It highlights the importance of the Chinese 24 Solar Terms as an invaluable cultural and historical heritage, advocating for an integrative multimodal approach to education that leverages text, audio, and imagery. Despite the potential of such strategies to engage students and enrich learning outcomes, the review identifies key gaps in the literature, particularly concerning the effectiveness of these strategies in non-Western cultural education and their practical application in primary school settings. Addressing these gaps, the study proposes refined research questions aimed at investigating the implementation of multimodal teaching methods and their impact on students' cultural education. Through this inquiry, the research seeks to contribute to the pedagogical discourse on multimodal education and to offer insights into enhancing cultural education in diverse educational landscapes.</w:t>
      </w:r>
    </w:p>
    <w:p w14:paraId="61CA4A27"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1. Introduction </w:t>
      </w:r>
    </w:p>
    <w:p w14:paraId="288BA4CB"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1.1 Background and Rationale:</w:t>
      </w:r>
    </w:p>
    <w:p w14:paraId="103DC56F"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This study aligns closely with the Welsh Government’s Global Futures strategy, introduced in 2015, with the objective of enhancing modern languages as a crucial area of study, and aims to create more engaging and enriching learning experiences to captivate and inspire students (Welsh Government, 2020). This strategic alignment underscores the importance of integrating diverse educational approaches to broaden student engagement and learning outcomes.</w:t>
      </w:r>
    </w:p>
    <w:p w14:paraId="2CCBE3F4"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Moreover, the Chinese 24 Solar Terms represent a critical component of China's rich cultural and historical heritage, encompassing an ancient understanding of time and seasonal changes that are essential for agricultural practices (Cheng, 2002). Far from being mere markers of seasonal transitions, these terms are enriched with deep cultural significance, which reflects the harmony between human life and the natural world (Wang, Zhou and Wang, 2023). </w:t>
      </w:r>
    </w:p>
    <w:p w14:paraId="24F4DD10"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In addition, the significance of the Chinese 24 Solar Terms in both cultural and educational contexts is immense. Since approximately 600 CE, during the Tang Dynasty, these solar terms have been integrated into China's education in both social and physical sciences (Hung and Yeh, 2013). They have been specifically utilized to instruct children on topics related to science and nutrition (Xue, 2011). They provide a unique lens through which to explore Chinese culture, astronomy, and </w:t>
      </w:r>
      <w:r w:rsidRPr="003A2FF9">
        <w:rPr>
          <w:rFonts w:cstheme="minorHAnsi"/>
          <w:shd w:val="clear" w:color="auto" w:fill="FFFFFF"/>
        </w:rPr>
        <w:lastRenderedPageBreak/>
        <w:t>historical agricultural practices, thus establishing them as an invaluable resource for educational initiatives aimed at promoting cultural understanding and sustainability (Li, Ho and Yang, 2018). Within the structure of these solar units, children actively engage in understanding the calendar and how it connects to the four seasons. Delivering this knowledge to students to enhance their proficiency in Chinese can be effectively achieved through diverse multimodal methods.</w:t>
      </w:r>
    </w:p>
    <w:p w14:paraId="60D164F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Optimal learning in children is achieved through a variety of methods and modalities that highlight their distinct abilities (Yelland, 2018).According to Marchetti and Cullen (2015), a multimodal approach is defined as one that emphasizes the integration of text, audio, and imagery as distinct modes of communication. They highlight how the creative integration of these elements can generate meaning, foster engagement, and facilitate learning within the classroom setting. </w:t>
      </w:r>
    </w:p>
    <w:p w14:paraId="5C1BFDE6"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As the Chinese teacher of the Confucius Institute at the University of Wales Trinity St. David, I teach Chinese language and culture course in the local primary and secondary school. I possess a keen interest in the integration of culture teaching into language education, as well as in innovative teaching methodologies. My goal is to investigate the application of multimodal teaching strategies in cultural education, specifically focusing on the Chinese 24 Solar Terms as a case study. This perspective is deeply influenced by my positionality, aiming to enhance the learning experience about the Solar Terms for students, thereby deepening their connection with Chinese culture and boosting their engagement. </w:t>
      </w:r>
    </w:p>
    <w:p w14:paraId="38E83F0A" w14:textId="77777777" w:rsidR="007310F8" w:rsidRPr="003A2FF9" w:rsidRDefault="007310F8" w:rsidP="007310F8">
      <w:pPr>
        <w:rPr>
          <w:rFonts w:cstheme="minorHAnsi"/>
          <w:shd w:val="clear" w:color="auto" w:fill="FFFFFF"/>
        </w:rPr>
      </w:pPr>
      <w:r w:rsidRPr="003A2FF9">
        <w:rPr>
          <w:rFonts w:cstheme="minorHAnsi"/>
          <w:b/>
          <w:bCs/>
          <w:shd w:val="clear" w:color="auto" w:fill="FFFFFF"/>
        </w:rPr>
        <w:t>1.2 Key Terms and Process of Literature Review</w:t>
      </w:r>
      <w:r w:rsidRPr="003A2FF9">
        <w:rPr>
          <w:rFonts w:cstheme="minorHAnsi"/>
          <w:shd w:val="clear" w:color="auto" w:fill="FFFFFF"/>
        </w:rPr>
        <w:t xml:space="preserve"> </w:t>
      </w:r>
    </w:p>
    <w:p w14:paraId="40C73E58"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To lay the groundwork for a comprehensive investigation, this section clarifies the key terms crucial</w:t>
      </w:r>
      <w:r w:rsidRPr="003A2FF9">
        <w:rPr>
          <w:rFonts w:cstheme="minorHAnsi"/>
          <w:b/>
          <w:bCs/>
          <w:shd w:val="clear" w:color="auto" w:fill="FFFFFF"/>
        </w:rPr>
        <w:t xml:space="preserve"> </w:t>
      </w:r>
      <w:r w:rsidRPr="003A2FF9">
        <w:rPr>
          <w:rFonts w:cstheme="minorHAnsi"/>
          <w:shd w:val="clear" w:color="auto" w:fill="FFFFFF"/>
        </w:rPr>
        <w:t>to the study and outlines the steps undertaken during the literature review process.</w:t>
      </w:r>
    </w:p>
    <w:p w14:paraId="36AF9C66" w14:textId="77777777" w:rsidR="007310F8" w:rsidRPr="003A2FF9" w:rsidRDefault="007310F8" w:rsidP="007310F8">
      <w:pPr>
        <w:rPr>
          <w:rFonts w:cstheme="minorHAnsi"/>
          <w:shd w:val="clear" w:color="auto" w:fill="FFFFFF"/>
        </w:rPr>
      </w:pPr>
      <w:r w:rsidRPr="003A2FF9">
        <w:rPr>
          <w:rFonts w:cstheme="minorHAnsi"/>
          <w:b/>
          <w:bCs/>
          <w:shd w:val="clear" w:color="auto" w:fill="FFFFFF"/>
        </w:rPr>
        <w:t>1.2.1 Process and Strategy of Literature Review</w:t>
      </w:r>
    </w:p>
    <w:p w14:paraId="0A0FB426"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To facilitate a thorough understanding of the topic, the literature review was conducted through a systematic search across several academic databases. This included the UWTSD Library Database, Google Scholar, and JSTOR, using keywords such as "modes," "multimodality," "multimodal pedagogies," "multimodal approach," "cultural education," and "Chinese twenty-four solar terms." The search focused on peer-reviewed journal articles that directly address multimodal teaching strategies and the teaching of the Chinese 24 Solar Terms, ensuring the most relevance sources were reviewed.</w:t>
      </w:r>
    </w:p>
    <w:p w14:paraId="177EC709"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To organize the findings effectively, an Excel spreadsheet was utilized to catalogue articles. This tool  enabled a critical assessment of each piece's methodology, findings, and relevance to the research aims. Through this structured approach, key ideas and themes, such as the effectiveness of </w:t>
      </w:r>
      <w:r w:rsidRPr="003A2FF9">
        <w:rPr>
          <w:rFonts w:cstheme="minorHAnsi"/>
          <w:shd w:val="clear" w:color="auto" w:fill="FFFFFF"/>
        </w:rPr>
        <w:lastRenderedPageBreak/>
        <w:t xml:space="preserve">multimodal strategies in cultural education and the specific challenges and opportunities in teaching the Chinese 24 Solar Terms were identified. </w:t>
      </w:r>
    </w:p>
    <w:p w14:paraId="75A664B4"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1.2.2 Challenges and Observations</w:t>
      </w:r>
    </w:p>
    <w:p w14:paraId="0B7255B0" w14:textId="77777777" w:rsidR="007310F8" w:rsidRPr="003A2FF9" w:rsidRDefault="007310F8" w:rsidP="00BB3A7B">
      <w:pPr>
        <w:spacing w:line="360" w:lineRule="auto"/>
        <w:rPr>
          <w:rFonts w:ascii="Söhne" w:hAnsi="Söhne" w:hint="eastAsia"/>
          <w:shd w:val="clear" w:color="auto" w:fill="FFFFFF"/>
        </w:rPr>
      </w:pPr>
      <w:r w:rsidRPr="003A2FF9">
        <w:rPr>
          <w:rFonts w:cstheme="minorHAnsi"/>
          <w:shd w:val="clear" w:color="auto" w:fill="FFFFFF"/>
        </w:rPr>
        <w:t>A notable challenge encountered was the scarcity of literature discussing the application of multimodal approaches to Chinese language and cultural education, particularly within the context of the primary schools. Although  the multimodal approach has been extensively explored in English language teaching, its application to Chinese teaching remains less explored, thereby highlighting a gap in the literature.</w:t>
      </w:r>
    </w:p>
    <w:p w14:paraId="3C4E0400"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Despite this, the use of snowballing strategies, which involves following references from relevant articles to discover additional sources, proved beneficial in expanding the scope of literature reviewed. This flexible approach helped the discovery of deeper, more nuanced discussions on multimodal pedagogies and their potential in cultural education contexts. </w:t>
      </w:r>
    </w:p>
    <w:p w14:paraId="17FC3D48"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1.2.3 Critical Literature Review Approach</w:t>
      </w:r>
    </w:p>
    <w:p w14:paraId="42C7BF5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critical literature review goes beyond mere summarization, engaging in a deep dive to uncover gaps in the literature, challenge existing assumptions, and propose new perspectives or areas for further investigation (</w:t>
      </w:r>
      <w:proofErr w:type="spellStart"/>
      <w:r w:rsidRPr="003A2FF9">
        <w:rPr>
          <w:rFonts w:cstheme="minorHAnsi"/>
          <w:shd w:val="clear" w:color="auto" w:fill="FFFFFF"/>
        </w:rPr>
        <w:t>Kravariti</w:t>
      </w:r>
      <w:proofErr w:type="spellEnd"/>
      <w:r w:rsidRPr="003A2FF9">
        <w:rPr>
          <w:rFonts w:cstheme="minorHAnsi"/>
          <w:shd w:val="clear" w:color="auto" w:fill="FFFFFF"/>
        </w:rPr>
        <w:t xml:space="preserve"> and Johnston, 2019). This comprehensive analysis go deep into the methodologies, findings, theoretical underpinnings, and discussions of the selected studies. This involved evaluating the strengths and weaknesses of each study, questioning current educational practices, and critiquing the theoretical frameworks related to the multimodal approach and education on the 24 solar terms. Consequently, the review aimed to identify not just what is known but also what remains to be explored, particularly regarding the application of multimodal teaching strategies in the context of Chinese cultural education.</w:t>
      </w:r>
    </w:p>
    <w:p w14:paraId="0404FBD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This critical analysis confirmed the potential of multimodal strategies to enhance both engagement and learning outcomes in cultural education. It also highlighted the need for more empirical research focused on their implementation in teaching the Chinese 24 Solar Terms, especially in non-traditional settings like Welsh primary schools.</w:t>
      </w:r>
    </w:p>
    <w:p w14:paraId="4E3E7BFD"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1.2.4 Critiquing and Defining Key Terms</w:t>
      </w:r>
    </w:p>
    <w:p w14:paraId="4E276FAD"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In addressing the key terms and the literature review process, this study focuses on integrating multimodal teaching strategies within the context of teaching the Chinese 24 Solar Terms. According to UNESCO (2016), the Chinese 24 Solar Terms are recognized as a world intangible cultural heritage and represent specific solar points that reflect seasonal changes and guide agricultural activities. The cultural significance of the Chinese 24 Solar Terms, as a manifestation of ancient Chinese </w:t>
      </w:r>
      <w:r w:rsidRPr="003A2FF9">
        <w:rPr>
          <w:rFonts w:cstheme="minorHAnsi"/>
          <w:shd w:val="clear" w:color="auto" w:fill="FFFFFF"/>
        </w:rPr>
        <w:lastRenderedPageBreak/>
        <w:t>astronomical knowledge and its integration into daily life and agricultural practices, underscores the profound interconnection between human activities and the natural world, which has been preserved through generations (Fang, 2002).</w:t>
      </w:r>
    </w:p>
    <w:p w14:paraId="59F426B9"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Kress (2010),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and Mallahi (2019) both contribute to the concept formation of multimodality within semiotic and educational contexts, though their emphasis and scope slightly vary. Kress (2010) offers a detailed definition, focusing on the integration and design aspects of semiotic modes in creating a semiotic product or event, emphasizing the combination of these modes either simultaneously or sequentially. This definition underscores the importance of the design process and the diversity of semiotic resources, extending beyond mere language to include visual, auditory, gestural, spatial, and linguistic modes of communication. On the other hand,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and Mallahi (2019) focus on the generative aspect of meaning through the use of multiple communication modes, highlighting how these modes—language, images, graphs, sounds, music, gestures, etc.—collaboratively contribute to meaning-making in educational settings. Both definitions agree on the multiplicity of modes and their simultaneous usage in learning environments, yet Kress’s definition is more explicit in discussing the design and combination of these modes, whereas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&amp; Mallahi emphasize the practical application and the broad range of modes involved in meaning generation.</w:t>
      </w:r>
    </w:p>
    <w:p w14:paraId="067E701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Jewitt (2008),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and Mallahi (2019) provide nuanced perspectives on multimodal teaching, each emphasizing different aspects of its application and significance in educational settings. Jewitt's definition focuses on the integration of multiple semiotic modes within teaching, suggesting that these modes are organized in a complementary manner to enrich overall meaning and learning experiences. This view underlines the importance of using various forms of communication, such as visual, auditory, and textual, to enhance understanding in the classroom. On the other hand, </w:t>
      </w:r>
      <w:proofErr w:type="spellStart"/>
      <w:r w:rsidRPr="003A2FF9">
        <w:rPr>
          <w:rFonts w:cstheme="minorHAnsi"/>
          <w:shd w:val="clear" w:color="auto" w:fill="FFFFFF"/>
        </w:rPr>
        <w:t>Laadem</w:t>
      </w:r>
      <w:proofErr w:type="spellEnd"/>
      <w:r w:rsidRPr="003A2FF9">
        <w:rPr>
          <w:rFonts w:cstheme="minorHAnsi"/>
          <w:shd w:val="clear" w:color="auto" w:fill="FFFFFF"/>
        </w:rPr>
        <w:t xml:space="preserve"> and Mallahi (2019) frame multimodal teaching as part of a broader pedagogical revolution, emphasizing its relevance and effectiveness in addressing students' needs and interests. Their definition places a stronger emphasis on the pedagogy's adaptability and its foundation in student-centred approaches, suggesting that multimodal teaching should evolve based on what benefits the learner most directly.</w:t>
      </w:r>
    </w:p>
    <w:p w14:paraId="3B9FA10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While these definitions provide a comprehensive overview of multimodality and its application in teaching. However, these perspectives occasionally overlook the practical challenges and implications of implementing such strategies, particularly within specific cultural contexts like the teaching of traditional cultural content. Therefore, my interpretation of multimodal teaching emphasizes its role as an educational strategy that integrates various modes of communication to </w:t>
      </w:r>
      <w:r w:rsidRPr="003A2FF9">
        <w:rPr>
          <w:rFonts w:cstheme="minorHAnsi"/>
          <w:shd w:val="clear" w:color="auto" w:fill="FFFFFF"/>
        </w:rPr>
        <w:lastRenderedPageBreak/>
        <w:t>enhance learning and engagement within language and culture education contexts, such as teaching the Chinese 24 Solar Terms.</w:t>
      </w:r>
    </w:p>
    <w:p w14:paraId="75F1BF51"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1.3 Research aims and initial research questions </w:t>
      </w:r>
    </w:p>
    <w:p w14:paraId="56457997"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Research aims:</w:t>
      </w:r>
    </w:p>
    <w:p w14:paraId="425676BD"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study aims to integrate the study of the Chinese 24 Solar Terms by using a multimodal teaching approach into Chinese language teaching in a Welsh primary school, thereby fostering a global perspective among students and enhancing their engagement.</w:t>
      </w:r>
    </w:p>
    <w:p w14:paraId="0A16052F"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Additionally, it seeks to support Wales' Global Futures strategy by demonstrating how innovative multimodal teaching methods can enhance international language and culture education.</w:t>
      </w:r>
    </w:p>
    <w:p w14:paraId="09D18B5C" w14:textId="77777777" w:rsidR="007310F8" w:rsidRPr="003A2FF9" w:rsidRDefault="007310F8" w:rsidP="00BB3A7B">
      <w:pPr>
        <w:spacing w:line="360" w:lineRule="auto"/>
        <w:rPr>
          <w:rFonts w:cstheme="minorHAnsi"/>
          <w:shd w:val="clear" w:color="auto" w:fill="FFFFFF"/>
        </w:rPr>
      </w:pPr>
      <w:r w:rsidRPr="003A2FF9">
        <w:rPr>
          <w:rFonts w:cstheme="minorHAnsi"/>
          <w:b/>
          <w:bCs/>
          <w:shd w:val="clear" w:color="auto" w:fill="FFFFFF"/>
        </w:rPr>
        <w:t>Initial Research question is</w:t>
      </w:r>
      <w:r w:rsidRPr="003A2FF9">
        <w:rPr>
          <w:rFonts w:cstheme="minorHAnsi"/>
          <w:shd w:val="clear" w:color="auto" w:fill="FFFFFF"/>
        </w:rPr>
        <w:t>: How can multimodal teaching strategies be effectively applied to teach the Chinese 24 Solar Terms in a Welsh Primary School?</w:t>
      </w:r>
    </w:p>
    <w:p w14:paraId="46DBED23"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1.4 Summary </w:t>
      </w:r>
    </w:p>
    <w:p w14:paraId="7E2531B3"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In summary, Section 1 outlines the study's foundation by providing the context and rationale, identifying key terms and detailing the literature review process, thus emphasizing the need for multimodal teaching strategies in the context of the Chinese 24 Solar Terms. With its aims focused on evaluating these strategies' effectiveness, enhancing cultural understanding, and improving engagement and outcomes, the research is poised to address a significant gap in educational practices. The initial question probes the application of these strategies within a Welsh Primary School setting. Moving forward, Section 2 will delve into the existing literature, critically analysing the theoretical underpinnings and empirical evidence surrounding multimodal teaching approaches and their potential impact on cultural education.</w:t>
      </w:r>
    </w:p>
    <w:p w14:paraId="73F0A5FF"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2. Literature Review  </w:t>
      </w:r>
    </w:p>
    <w:p w14:paraId="721D1F25"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This literature review explores the theoretical foundations of multimodality and its pedagogical applications, highlighting key themes and offering critical analyses of significant works in the field. It then presents three critical analyses of key research, detailing their main themes, strengths, and limitations, and their relevance to the study.</w:t>
      </w:r>
    </w:p>
    <w:p w14:paraId="6240C3DA"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2.1 Introduction</w:t>
      </w:r>
    </w:p>
    <w:p w14:paraId="69A6744F"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The concept of multimodality has gained significant traction within the realm of educational research, presenting fresh perspectives on pedagogical practices suitable for the 21st century. In an era marked by digital transformation, the conventional method of relying solely on textbooks for learning specialized subjects is gradually being replaced by a multimodal approach (Bock,2016; The New London Group, 1996)This modern method integrates various resources, such as video clips </w:t>
      </w:r>
      <w:r w:rsidRPr="003A2FF9">
        <w:rPr>
          <w:rFonts w:cstheme="minorHAnsi"/>
          <w:shd w:val="clear" w:color="auto" w:fill="FFFFFF"/>
        </w:rPr>
        <w:lastRenderedPageBreak/>
        <w:t>readily accessible on the internet, to enrich and contemporize the educational experience (</w:t>
      </w:r>
      <w:proofErr w:type="spellStart"/>
      <w:r w:rsidRPr="003A2FF9">
        <w:rPr>
          <w:rFonts w:cstheme="minorHAnsi"/>
          <w:shd w:val="clear" w:color="auto" w:fill="FFFFFF"/>
        </w:rPr>
        <w:t>Plastina</w:t>
      </w:r>
      <w:proofErr w:type="spellEnd"/>
      <w:r w:rsidRPr="003A2FF9">
        <w:rPr>
          <w:rFonts w:cstheme="minorHAnsi"/>
          <w:shd w:val="clear" w:color="auto" w:fill="FFFFFF"/>
        </w:rPr>
        <w:t>, 2013). Reflecting this shift, numerous academics currently advocate for the necessity of multimodal classrooms. They argue that such an approach is essential for equipping students with the diverse set of skills demanded in today's workforce (Vaish and Towndrow, 2010).</w:t>
      </w:r>
    </w:p>
    <w:p w14:paraId="31C8ED0A"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 xml:space="preserve">2.2 Theoretical Framework – </w:t>
      </w:r>
      <w:r w:rsidRPr="003A2FF9">
        <w:rPr>
          <w:rFonts w:cstheme="minorHAnsi" w:hint="eastAsia"/>
          <w:b/>
          <w:bCs/>
          <w:shd w:val="clear" w:color="auto" w:fill="FFFFFF"/>
        </w:rPr>
        <w:t>M</w:t>
      </w:r>
      <w:r w:rsidRPr="003A2FF9">
        <w:rPr>
          <w:rFonts w:cstheme="minorHAnsi"/>
          <w:b/>
          <w:bCs/>
          <w:shd w:val="clear" w:color="auto" w:fill="FFFFFF"/>
        </w:rPr>
        <w:t>ultimodality and Multimodal Approach</w:t>
      </w:r>
    </w:p>
    <w:p w14:paraId="043A7985"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The concept of multimodality was introduced in a foundational article by the New London Group (1996), where they explored how advancements in technology have transformed communication methods. Crucially, the New London Group proposed that incorporating multimodality into education could significantly enhance the teaching and learning experience. This innovative pedagogical approach highlights the importance of diverse forms of representation that extend well beyond mere verbal language (The New London Group, 1996, p.64). </w:t>
      </w:r>
    </w:p>
    <w:p w14:paraId="52549179"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Scholars (Kress 2010, Jewitt, 2008; Kress and van Leeuwen, 2001) emphasizes that creating meaning can be achieved across various modes.</w:t>
      </w:r>
      <w:r w:rsidRPr="003A2FF9">
        <w:t xml:space="preserve"> </w:t>
      </w:r>
      <w:r w:rsidRPr="003A2FF9">
        <w:rPr>
          <w:rFonts w:cstheme="minorHAnsi"/>
          <w:shd w:val="clear" w:color="auto" w:fill="FFFFFF"/>
        </w:rPr>
        <w:t xml:space="preserve">Kress and Jewitt (2003) define a mode as a “regularised organised set of resources for meaning-making, including, image, gaze, gesture, movement, music, speech and sound-effect”. Any substance, sourced from the natural world (such as feathers, wood, metal) or derived from cultural heritage (like words, music, dance, three-dimensional objects), can serve as a mode. </w:t>
      </w:r>
    </w:p>
    <w:p w14:paraId="115DA49A" w14:textId="117CD88F"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Multimodal teaching pedagogy, adopting a multimodal learning strategy means "assigning equal importance to all modes for creating meaning and facilitating communication" (Kress and Jewitt 2003</w:t>
      </w:r>
      <w:r w:rsidR="006F2014">
        <w:rPr>
          <w:rFonts w:cstheme="minorHAnsi"/>
          <w:shd w:val="clear" w:color="auto" w:fill="FFFFFF"/>
        </w:rPr>
        <w:t>,p.</w:t>
      </w:r>
      <w:r w:rsidRPr="003A2FF9">
        <w:rPr>
          <w:rFonts w:cstheme="minorHAnsi"/>
          <w:shd w:val="clear" w:color="auto" w:fill="FFFFFF"/>
        </w:rPr>
        <w:t>2), acknowledging that all modes, not only language, play crucial roles in fostering cognitive growth and development. This approach differs from conventional Western educational methods that favour strict approaches to writing above drawing, and prioritize language over music and art. Multimodal strategies "provide full and effective entry to the wide range of representational and communicative capabilities" (Kress 2000</w:t>
      </w:r>
      <w:r w:rsidR="00796F59">
        <w:rPr>
          <w:rFonts w:cstheme="minorHAnsi"/>
          <w:shd w:val="clear" w:color="auto" w:fill="FFFFFF"/>
        </w:rPr>
        <w:t>,p.</w:t>
      </w:r>
      <w:r w:rsidRPr="003A2FF9">
        <w:rPr>
          <w:rFonts w:cstheme="minorHAnsi"/>
          <w:shd w:val="clear" w:color="auto" w:fill="FFFFFF"/>
        </w:rPr>
        <w:t>159), considered vital for learning and engaging in the technology-centric economies of the 21st century.</w:t>
      </w:r>
    </w:p>
    <w:p w14:paraId="50807306"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Kress (1997) argues that children employ a variety of modes and materials for meaning-making, effortlessly transitioning between and among modes—for example, watching a dinosaur film, drawing a dinosaur, cutting it out, and using it as a prop in the role-playing.</w:t>
      </w:r>
    </w:p>
    <w:p w14:paraId="6AC9872B" w14:textId="7FC04F09"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Lem (2018) discove</w:t>
      </w:r>
      <w:r w:rsidR="00796F59">
        <w:rPr>
          <w:rFonts w:cstheme="minorHAnsi"/>
          <w:shd w:val="clear" w:color="auto" w:fill="FFFFFF"/>
        </w:rPr>
        <w:t>rs</w:t>
      </w:r>
      <w:r w:rsidRPr="003A2FF9">
        <w:rPr>
          <w:rFonts w:cstheme="minorHAnsi"/>
          <w:shd w:val="clear" w:color="auto" w:fill="FFFFFF"/>
        </w:rPr>
        <w:t xml:space="preserve"> that music and songs could effectively assist children in acquiring a second language. Lem observed that these activities stimulate the brain's limbic system and serve as a natural means for introducing language, since they involve generating and using a specific set of sounds, learning new patterns and rules, and understanding the "syntax" of songs and compositions </w:t>
      </w:r>
      <w:r w:rsidRPr="003A2FF9">
        <w:rPr>
          <w:rFonts w:cstheme="minorHAnsi"/>
          <w:shd w:val="clear" w:color="auto" w:fill="FFFFFF"/>
        </w:rPr>
        <w:lastRenderedPageBreak/>
        <w:t>(Lem, 2018,p.15). Incorporating movement with music has proven to be an excellent strategy for developing second language skills, as it aligns bodily coordination with the rhythm and melody.</w:t>
      </w:r>
    </w:p>
    <w:p w14:paraId="50535C3B"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Children also learn from multimodal approach like drawing, writing and imaginings. Bock (2016) employs the case study of drawings, initial writings, and creative role-play from two children to demonstrate the diverse and imaginative ways children construct meaning, often surpassing adults' designs and expectations.</w:t>
      </w:r>
      <w:r w:rsidRPr="003A2FF9">
        <w:t xml:space="preserve"> </w:t>
      </w:r>
      <w:r w:rsidRPr="003A2FF9">
        <w:rPr>
          <w:rFonts w:cstheme="minorHAnsi"/>
          <w:shd w:val="clear" w:color="auto" w:fill="FFFFFF"/>
        </w:rPr>
        <w:t>This example highlights how the children in the study effortlessly and smoothly navigate through different materials and modes, utilizing the semiotic tools at their disposal within their surroundings to construct fantastical realms and convey meanings aligned with their interests.</w:t>
      </w:r>
    </w:p>
    <w:p w14:paraId="29061495"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Physical movement and play also serve as crucial channels for learning a foreign language. Shin (2017) explored how dance and movement particularly enhance young learners' acquisition of a foreign language. Specifically, integrating songs and movement stands out as an effective method to maximize teaching effectiveness in second and foreign language education. </w:t>
      </w:r>
    </w:p>
    <w:p w14:paraId="6950671A"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 Key Themes and Arguments</w:t>
      </w:r>
    </w:p>
    <w:p w14:paraId="4C903B84" w14:textId="43256EBD"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After critically reviewing a substantial list of literature, </w:t>
      </w:r>
      <w:r w:rsidR="00C2444F">
        <w:rPr>
          <w:rFonts w:cstheme="minorHAnsi"/>
          <w:shd w:val="clear" w:color="auto" w:fill="FFFFFF"/>
        </w:rPr>
        <w:t>four</w:t>
      </w:r>
      <w:r w:rsidRPr="003A2FF9">
        <w:rPr>
          <w:rFonts w:cstheme="minorHAnsi"/>
          <w:shd w:val="clear" w:color="auto" w:fill="FFFFFF"/>
        </w:rPr>
        <w:t xml:space="preserve"> themes and arguments that related closely with the study were synthesized. These include the efficiency of multimodal teaching strategies and the enhancement of student engagement and learning outcomes, setting the stage for a deeper dive into these areas.</w:t>
      </w:r>
    </w:p>
    <w:p w14:paraId="54482672"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2.3.1 Theme 1: The Effectiveness of Multimodal Teaching Strategies</w:t>
      </w:r>
    </w:p>
    <w:p w14:paraId="6EF7C80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effectiveness of multimodal teaching strategies is increasingly recognized in the realm of educational research, especially in the contexts of foreign language learning and cultural education. The essence of this pedagogical approach lies in its diversity; it leverages various communication modes beyond traditional verbal instruction, including visual, auditory, and kinaesthetic elements, to foster a deeper learning experience</w:t>
      </w:r>
      <w:r w:rsidRPr="003A2FF9">
        <w:rPr>
          <w:rFonts w:cstheme="minorHAnsi" w:hint="eastAsia"/>
          <w:shd w:val="clear" w:color="auto" w:fill="FFFFFF"/>
        </w:rPr>
        <w:t>.</w:t>
      </w:r>
      <w:r w:rsidRPr="003A2FF9">
        <w:rPr>
          <w:rFonts w:cstheme="minorHAnsi"/>
          <w:shd w:val="clear" w:color="auto" w:fill="FFFFFF"/>
        </w:rPr>
        <w:t xml:space="preserve"> This theme aligns closely with the research questions (RQs)</w:t>
      </w:r>
      <w:r w:rsidRPr="003A2FF9">
        <w:rPr>
          <w:rFonts w:cstheme="minorHAnsi" w:hint="eastAsia"/>
          <w:shd w:val="clear" w:color="auto" w:fill="FFFFFF"/>
        </w:rPr>
        <w:t>，</w:t>
      </w:r>
      <w:r w:rsidRPr="003A2FF9">
        <w:rPr>
          <w:rFonts w:cstheme="minorHAnsi" w:hint="eastAsia"/>
          <w:shd w:val="clear" w:color="auto" w:fill="FFFFFF"/>
        </w:rPr>
        <w:t xml:space="preserve"> </w:t>
      </w:r>
      <w:r w:rsidRPr="003A2FF9">
        <w:rPr>
          <w:rFonts w:cstheme="minorHAnsi"/>
          <w:shd w:val="clear" w:color="auto" w:fill="FFFFFF"/>
        </w:rPr>
        <w:t>sheds light on how the diversity of multimodal strategies enriches the educational experience, particularly in the context of foreign language learning and cultural education like the Chinese 24 Solar Terms.</w:t>
      </w:r>
    </w:p>
    <w:p w14:paraId="32C225AA"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Lem (2018) underscores the impact of music and songs in second language acquisition, highlighting how these elements stimulate the brain's limbic system, making them powerful tools for language learning. Similarly, Shin (2017) illustrates the positive effects of dance and movement on young learners, showing that synchronization of body movement with rhythm and melody can enhance language learning outcomes. These findings point towards the need for educational strategies that </w:t>
      </w:r>
      <w:r w:rsidRPr="003A2FF9">
        <w:rPr>
          <w:rFonts w:cstheme="minorHAnsi"/>
          <w:shd w:val="clear" w:color="auto" w:fill="FFFFFF"/>
        </w:rPr>
        <w:lastRenderedPageBreak/>
        <w:t xml:space="preserve">engage multiple senses and modes of understanding, reflecting a broader shift towards more holistic and inclusive teaching methods. Identifying and </w:t>
      </w:r>
      <w:proofErr w:type="spellStart"/>
      <w:r w:rsidRPr="003A2FF9">
        <w:rPr>
          <w:rFonts w:cstheme="minorHAnsi"/>
          <w:shd w:val="clear" w:color="auto" w:fill="FFFFFF"/>
        </w:rPr>
        <w:t>analyzing</w:t>
      </w:r>
      <w:proofErr w:type="spellEnd"/>
      <w:r w:rsidRPr="003A2FF9">
        <w:rPr>
          <w:rFonts w:cstheme="minorHAnsi"/>
          <w:shd w:val="clear" w:color="auto" w:fill="FFFFFF"/>
        </w:rPr>
        <w:t xml:space="preserve"> such strategies provide a roadmap for best practices in employing multimodal teaching approaches for the Chinese 24 Solar Terms</w:t>
      </w:r>
      <w:r w:rsidRPr="003A2FF9">
        <w:rPr>
          <w:rFonts w:cstheme="minorHAnsi" w:hint="eastAsia"/>
          <w:shd w:val="clear" w:color="auto" w:fill="FFFFFF"/>
        </w:rPr>
        <w:t>.</w:t>
      </w:r>
    </w:p>
    <w:p w14:paraId="5D2BB250"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Echoing these thoughts, Kress (1997) and the New London Group (1996) advocate for the inclusion of a broad spectrum of semiotic resources in education. They contend that engaging a variety of modalities fosters meaningful learning experiences, enabling students to construct knowledge in ways that align with their unique cognitive and sensory preferences. This approach not only recognizes but also appreciates the diverse methods through which students interact with and interpret their world. </w:t>
      </w:r>
    </w:p>
    <w:p w14:paraId="706492CF" w14:textId="375B3B48"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Despite the promising potential of multimodal teaching strategies, challenges remain in their implementation. Some researchers caution against the risk of cognitive overload, suggesting that an excessive integration of modes might diminish from rather than enhance learning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w:t>
      </w:r>
      <w:r w:rsidR="006F2014">
        <w:rPr>
          <w:rFonts w:cstheme="minorHAnsi"/>
          <w:shd w:val="clear" w:color="auto" w:fill="FFFFFF"/>
        </w:rPr>
        <w:t>and</w:t>
      </w:r>
      <w:r w:rsidRPr="003A2FF9">
        <w:rPr>
          <w:rFonts w:cstheme="minorHAnsi"/>
          <w:shd w:val="clear" w:color="auto" w:fill="FFFFFF"/>
        </w:rPr>
        <w:t xml:space="preserve"> Kress, 2016). This highlights the necessity for a balanced and well-considered application of multimodal strategies, tailored to the learners' capacity and the learning objectives at hand. Furthermore, the successful adoption of such pedagogies often requires a shift in teacher training and professional development practices. Educators need to be equipped with the skills and knowledge to effectively design and deliver multimodal learning experiences (Cope &amp; Kalantzis, 2009).</w:t>
      </w:r>
    </w:p>
    <w:p w14:paraId="5D60F0AE"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In summary, Theme 1 provides a foundational understanding of how multimodal teaching strategies can enhance the educational landscape, particularly in teaching the Chinese 24 Solar Terms. This theme offers crucial insights into the pedagogical practices that could potentially address the first RQ by delineating best practices for the effective implementation of multimodal strategies. Additionally, it lays the groundwork for responding to the second RQ by identifying both the challenges educators face and the opportunities that lie in the adoption of such approaches.</w:t>
      </w:r>
    </w:p>
    <w:p w14:paraId="6AFE2930"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2.3.2 Theme 2: Multimodality and Cultural Education</w:t>
      </w:r>
    </w:p>
    <w:p w14:paraId="337EF872"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The exploration of multimodality within cultural education, particularly through the teaching of the Chinese 24 Solar Terms, aligns directly with the refined research questions by illustrating how innovative, multimodal strategies can be effectively leveraged to enhance educational experiences and outcomes in cultural contexts. Bock (2016) highlights the creative potential of using multimodal texts and activities in exploring cultural concepts, suggesting that such approaches can significantly enhance students' engagement and deepen their cultural understanding. This perspective is reinforced by the broader educational discourse that emphasizes the relationship between language learning and cultural education (Mills, 2011; New London Group, 1996).</w:t>
      </w:r>
    </w:p>
    <w:p w14:paraId="290DF75F" w14:textId="7418382C"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lastRenderedPageBreak/>
        <w:t xml:space="preserve">Multimodal teaching, which incorporates visual, auditory, and kinaesthetic elements alongside traditional verbal instruction, offers a unique opportunity to bring cultural content to life. For instance, integrating videos, music, and interactive activities related to the Chinese 24 Solar Terms can provide students with a richer, more immersive learning experience. This method not only aids in grasping the cultural significance of these terms but also in understanding their relevance to Chinese history, agriculture, and astronomy (Li, Ho, </w:t>
      </w:r>
      <w:r w:rsidR="00445204">
        <w:rPr>
          <w:rFonts w:cstheme="minorHAnsi"/>
          <w:shd w:val="clear" w:color="auto" w:fill="FFFFFF"/>
        </w:rPr>
        <w:t xml:space="preserve">and </w:t>
      </w:r>
      <w:r w:rsidRPr="003A2FF9">
        <w:rPr>
          <w:rFonts w:cstheme="minorHAnsi"/>
          <w:shd w:val="clear" w:color="auto" w:fill="FFFFFF"/>
        </w:rPr>
        <w:t>Yang, 2018).</w:t>
      </w:r>
    </w:p>
    <w:p w14:paraId="17D7B5B4"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However, implementing such an integrative approach requires careful consideration to maintain a balance between language acquisition and cultural education. The challenge lies in ensuring that the introduction of cultural content through multimodal means enhances language learning, rather than overshadowing it (Marsh, 2004). As Jewitt (2008) argues, the effectiveness of multimodal teaching in cultural education lies in its ability to engage different learning styles and preferences, making learning more inclusive and accessible.</w:t>
      </w:r>
    </w:p>
    <w:p w14:paraId="49628B17" w14:textId="2A70BC7A"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Despite the potential challenges, the benefits of a multimodal approach in cultural education are clear. By employing a variety of modes, educators can cater to diverse learning needs, making complex cultural concepts more understandable and relatable (Kress, 2010). Furthermore, this approach aligns with contemporary pedagogical strategies that advocate for a more holistic, student-centred learning experience (Cope </w:t>
      </w:r>
      <w:r w:rsidR="00445204">
        <w:rPr>
          <w:rFonts w:cstheme="minorHAnsi"/>
          <w:shd w:val="clear" w:color="auto" w:fill="FFFFFF"/>
        </w:rPr>
        <w:t>and</w:t>
      </w:r>
      <w:r w:rsidRPr="003A2FF9">
        <w:rPr>
          <w:rFonts w:cstheme="minorHAnsi"/>
          <w:shd w:val="clear" w:color="auto" w:fill="FFFFFF"/>
        </w:rPr>
        <w:t xml:space="preserve"> Kalantzis, 2009).</w:t>
      </w:r>
    </w:p>
    <w:p w14:paraId="647EBCE2"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In summary, this theme sheds light on how the integration of multimodal strategies enhances the teaching and learning of cultural content, specifically the Chinese 24 Solar Terms. Moreover, this theme offers valuable perspectives on addressing the refined research questions by demonstrating effective practices for employing multimodal teaching strategies and highlighting the opportunities and challenges perceived by educators. </w:t>
      </w:r>
    </w:p>
    <w:p w14:paraId="6D210789"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2.3.3 Theme 3: Enhancement of Student Engagement and Learning Outcomes</w:t>
      </w:r>
    </w:p>
    <w:p w14:paraId="0B84FC01" w14:textId="77777777" w:rsidR="00A4326A" w:rsidRDefault="00C5492E" w:rsidP="00BB3A7B">
      <w:pPr>
        <w:spacing w:line="360" w:lineRule="auto"/>
        <w:rPr>
          <w:rFonts w:cstheme="minorHAnsi"/>
          <w:shd w:val="clear" w:color="auto" w:fill="FFFFFF"/>
        </w:rPr>
      </w:pPr>
      <w:r>
        <w:rPr>
          <w:rFonts w:cstheme="minorHAnsi"/>
          <w:shd w:val="clear" w:color="auto" w:fill="FFFFFF"/>
        </w:rPr>
        <w:t xml:space="preserve">The theme </w:t>
      </w:r>
      <w:r w:rsidRPr="00C5492E">
        <w:rPr>
          <w:rFonts w:cstheme="minorHAnsi"/>
          <w:shd w:val="clear" w:color="auto" w:fill="FFFFFF"/>
        </w:rPr>
        <w:t>directly engages with the refined research questions by demonstrating the transformative impact of multimodal teaching strategies on educational practices, particularly regarding student engagement and learning outcomes in the context of teaching the Chinese 24 Solar Terms.</w:t>
      </w:r>
      <w:r>
        <w:rPr>
          <w:rFonts w:cstheme="minorHAnsi"/>
          <w:shd w:val="clear" w:color="auto" w:fill="FFFFFF"/>
        </w:rPr>
        <w:t xml:space="preserve"> </w:t>
      </w:r>
    </w:p>
    <w:p w14:paraId="272B0004" w14:textId="3A207DC0"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Kress (2010) and the New London Group (1996) have been influential in advocating for the integration of various semiotic resources beyond traditional text, emphasizing the role of visual, auditory, gestural, and spatial modes in facilitating learning. This diversity not only caters to different learning styles but also mirrors the multimodal nature of communication in the digital age, thereby making learning more relevant and engaging for students.</w:t>
      </w:r>
    </w:p>
    <w:p w14:paraId="37AC6D00"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lastRenderedPageBreak/>
        <w:t>Research by Jewitt (2008) has demonstrated that incorporating multimodal resources in the classroom can significantly enhance students' engagement, as it aligns with their everyday experiences of consuming and interacting with digital content. By leveraging tools such as interactive digital media, video, and audio alongside traditional textual materials, educators can create a more stimulating learning environment that encourages active participation and deeper cognitive engagement.</w:t>
      </w:r>
    </w:p>
    <w:p w14:paraId="6CDE60C7"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Moreover,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and Kress (2016) highlight the potential of multimodal teaching strategies to improve learning outcomes. Their research points out that when students engage with content through multiple modes, they develop a more comprehensive understanding of the subject matter. This is attributed to the fact that multimodal learning allows students to process information in various ways, thus reinforcing learning through repetition and variation in presentation, which can lead to improved comprehension.</w:t>
      </w:r>
    </w:p>
    <w:p w14:paraId="2A33B2F2"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Cope and Kalantzis (2009) further support this notion, arguing that multimodality enables learners to express their knowledge and understanding in diverse ways, thereby facilitating a more personalized learning experience. This not only benefits students by accommodating different learning preferences but also encourages creative and critical thinking, as students are prompted to analyse and represent information through various modalities.</w:t>
      </w:r>
    </w:p>
    <w:p w14:paraId="1C64C31C"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In summary, Theme 3 provides a comprehensive response to the research questions by illustrating the effectiveness of multimodal teaching strategies in fostering deeper engagement and improving learning outcomes. It highlights the critical role these strategies play in modernizing educational practices to align with the digital age's multimodal nature of communication.</w:t>
      </w:r>
    </w:p>
    <w:p w14:paraId="609DD0CD"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2.3.4 Theme 4: Challenges and Opportunities in Implementing Multimodal Approaches</w:t>
      </w:r>
    </w:p>
    <w:p w14:paraId="21603B31"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Implementing multimodal approaches in education presents a dynamic relationship between challenges and opportunities, reshaping the pedagogical landscape. Kress (2010) and the New London Group (1996) have been crucial in underscoring the transformative potential of multimodality in education, advocating for a shift towards incorporating diverse modes of communication beyond traditional text. These modes encompass visual, auditory, spatial, and gestural elements, aiming to engage students more deeply and cater to a broader range of learning preferences.</w:t>
      </w:r>
    </w:p>
    <w:p w14:paraId="03CB7DCD"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Despite the enthusiasm surrounding multimodal teaching, educators encounter several challenges in its implementation. One significant challenge is the scarcity of resources—both material and instructional—to support such diverse teaching strategies (Jewitt, 2008). Additionally, there's a </w:t>
      </w:r>
      <w:r w:rsidRPr="003A2FF9">
        <w:rPr>
          <w:rFonts w:cstheme="minorHAnsi"/>
          <w:shd w:val="clear" w:color="auto" w:fill="FFFFFF"/>
        </w:rPr>
        <w:lastRenderedPageBreak/>
        <w:t>notable gap in educators' familiarity with these methods, which can stem from a lack of targeted professional development opportunities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and Kress, 2016). Furthermore, Choi and Yi (2016) points out that the teachers also identified various issues around technology and lack of support from administration.</w:t>
      </w:r>
    </w:p>
    <w:p w14:paraId="30A5E163"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However, alongside these challenges, multimodal approaches offer substantial opportunities for enhancing the educational process. Firstly, they provide a platform for teacher professional development, encouraging educators to expand their range of teaching strategies and become adept at integrating various modes of communication in their instruction (Cope and Kalantzis, 2009). Secondly, the adoption of multimodal strategies has been shown to significantly increase student engagement, capturing their interest through interactive and dynamic learning experiences that resonate with their everyday encounters with digital media (Jewitt, 2008).</w:t>
      </w:r>
    </w:p>
    <w:p w14:paraId="66C46A7B"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Moreover, multimodal approaches foster the development of creative and critical thinking skills among students. By engaging with content through various modes, students are encouraged to think critically about the information presented and explore creative avenues for expression and understanding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and Kress, 2016). This not only enhances their learning experience but also prepares them for the complexities of the modern world, where the ability to navigate diverse forms of communication is increasingly valuable.</w:t>
      </w:r>
    </w:p>
    <w:p w14:paraId="1835D085"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In conclusion, this theme intricately connects to the refined research questions by highlighting the challenges and opportunities of integrating multimodal teaching strategies, especially concerning the teaching of the Chinese 24 Solar Terms.</w:t>
      </w:r>
    </w:p>
    <w:p w14:paraId="638D3E01"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2.4 Critical Analysis of Key Research</w:t>
      </w:r>
    </w:p>
    <w:p w14:paraId="3C909557"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Within the extensive literature on multimodality, multimodal teaching strategies, and their</w:t>
      </w:r>
      <w:r w:rsidRPr="003A2FF9">
        <w:rPr>
          <w:rFonts w:cstheme="minorHAnsi"/>
          <w:b/>
          <w:bCs/>
          <w:shd w:val="clear" w:color="auto" w:fill="FFFFFF"/>
        </w:rPr>
        <w:t xml:space="preserve"> </w:t>
      </w:r>
      <w:r w:rsidRPr="003A2FF9">
        <w:rPr>
          <w:rFonts w:cstheme="minorHAnsi"/>
          <w:shd w:val="clear" w:color="auto" w:fill="FFFFFF"/>
        </w:rPr>
        <w:t>applications in language and cultural education, some key research articles have been carefully</w:t>
      </w:r>
      <w:r w:rsidRPr="003A2FF9">
        <w:rPr>
          <w:rFonts w:cstheme="minorHAnsi"/>
          <w:b/>
          <w:bCs/>
          <w:shd w:val="clear" w:color="auto" w:fill="FFFFFF"/>
        </w:rPr>
        <w:t xml:space="preserve"> </w:t>
      </w:r>
      <w:r w:rsidRPr="003A2FF9">
        <w:rPr>
          <w:rFonts w:cstheme="minorHAnsi"/>
          <w:shd w:val="clear" w:color="auto" w:fill="FFFFFF"/>
        </w:rPr>
        <w:t>analysed. Each important study encompasses a summary, strengths, weaknesses, and its relevance to the current study, providing a comprehensive understanding of how multimodal approaches can enhance language learning and cultural education. These analyses contribute to a deeper insight into the effective integration of multimodal strategies within educational contexts, particularly in teaching the Chinese 24 Solar Terms.</w:t>
      </w:r>
    </w:p>
    <w:p w14:paraId="11BDF071"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2.4.1 Key Research 1</w:t>
      </w:r>
    </w:p>
    <w:p w14:paraId="3EBDDD9E" w14:textId="77777777" w:rsidR="007310F8" w:rsidRPr="003A2FF9" w:rsidRDefault="007310F8" w:rsidP="00BB3A7B">
      <w:pPr>
        <w:spacing w:line="360" w:lineRule="auto"/>
        <w:rPr>
          <w:rFonts w:cstheme="minorHAnsi"/>
          <w:shd w:val="clear" w:color="auto" w:fill="FFFFFF"/>
        </w:rPr>
      </w:pPr>
      <w:r w:rsidRPr="003A2FF9">
        <w:rPr>
          <w:rFonts w:cstheme="minorHAnsi"/>
          <w:shd w:val="clear" w:color="auto" w:fill="FFFFFF"/>
        </w:rPr>
        <w:t xml:space="preserve">In their 2019 article, "Multimodality in Language Education – Implications for Teaching," Petra Magnusson and Anna-Lena </w:t>
      </w:r>
      <w:proofErr w:type="spellStart"/>
      <w:r w:rsidRPr="003A2FF9">
        <w:rPr>
          <w:rFonts w:cstheme="minorHAnsi"/>
          <w:shd w:val="clear" w:color="auto" w:fill="FFFFFF"/>
        </w:rPr>
        <w:t>Godhe</w:t>
      </w:r>
      <w:proofErr w:type="spellEnd"/>
      <w:r w:rsidRPr="003A2FF9">
        <w:rPr>
          <w:rFonts w:cstheme="minorHAnsi"/>
          <w:shd w:val="clear" w:color="auto" w:fill="FFFFFF"/>
        </w:rPr>
        <w:t xml:space="preserve"> delve into the integration of multimodal strategies within the realm of language education, particularly highlighting its support in the Swedish curriculum. The </w:t>
      </w:r>
      <w:r w:rsidRPr="003A2FF9">
        <w:rPr>
          <w:rFonts w:cstheme="minorHAnsi"/>
          <w:shd w:val="clear" w:color="auto" w:fill="FFFFFF"/>
        </w:rPr>
        <w:lastRenderedPageBreak/>
        <w:t xml:space="preserve">article presents a comprehensive analysis of how digitalization has transformed meaning-making processes, advocating for a socio-semiotic multimodal perspective to enhance student engagement and learning. </w:t>
      </w:r>
    </w:p>
    <w:p w14:paraId="14EBC394"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 xml:space="preserve">A significant strength of the study lies in its detailed exploration of multimodal approaches, aligning educational practices with the evolving landscape of digital communication and demonstrating the curriculum's support for diverse semiotic resources in learning. However, the research's primary focus on the Swedish educational context may limit its broader applicability, and the scarcity of specific classroom implementation examples could hinder its practical utility. </w:t>
      </w:r>
    </w:p>
    <w:p w14:paraId="33BABBB0" w14:textId="77777777" w:rsidR="007310F8" w:rsidRPr="003A2FF9" w:rsidRDefault="007310F8" w:rsidP="00716D08">
      <w:pPr>
        <w:spacing w:line="360" w:lineRule="auto"/>
        <w:rPr>
          <w:rFonts w:cstheme="minorHAnsi"/>
          <w:b/>
          <w:bCs/>
          <w:shd w:val="clear" w:color="auto" w:fill="FFFFFF"/>
        </w:rPr>
      </w:pPr>
      <w:r w:rsidRPr="003A2FF9">
        <w:rPr>
          <w:rFonts w:cstheme="minorHAnsi"/>
          <w:shd w:val="clear" w:color="auto" w:fill="FFFFFF"/>
        </w:rPr>
        <w:t xml:space="preserve">Despite these limitations, the article's insights into the efficacy of multimodal education are profoundly relevant to this study's objective of employing multimodal strategies to teach the Chinese 24 Solar Terms. By emphasizing the necessity of incorporating a variety of semiotic resources in education, Magnusson and </w:t>
      </w:r>
      <w:proofErr w:type="spellStart"/>
      <w:r w:rsidRPr="003A2FF9">
        <w:rPr>
          <w:rFonts w:cstheme="minorHAnsi"/>
          <w:shd w:val="clear" w:color="auto" w:fill="FFFFFF"/>
        </w:rPr>
        <w:t>Godhe's</w:t>
      </w:r>
      <w:proofErr w:type="spellEnd"/>
      <w:r w:rsidRPr="003A2FF9">
        <w:rPr>
          <w:rFonts w:cstheme="minorHAnsi"/>
          <w:shd w:val="clear" w:color="auto" w:fill="FFFFFF"/>
        </w:rPr>
        <w:t xml:space="preserve"> work underscores the potential to create an enriched learning environment. This aligns with the current study's aim to enhance cultural education through diverse modalities, offering a framework for integrating multimodal approaches in teaching complex cultural concepts like the Chinese 24 Solar Terms.</w:t>
      </w:r>
    </w:p>
    <w:p w14:paraId="1DBF2E40"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2.4.2 Key Research 2</w:t>
      </w:r>
    </w:p>
    <w:p w14:paraId="4A5E0286"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In "A Pedagogy of Multiliteracies: Designing Social Futures," The New London Group (1996) lays the foundation for the multiliteracies concept, advocating for an educational paradigm that embraces the multifaceted nature of communication in today's globalized society. This landmark article stresses the necessity of equipping students with the skills to create meanings across a variety of modalities, extending beyond conventional literacy to include visual, audio, gestural, and spatial elements. The strength of this work lies in its pioneering vision for literacy education, which seeks to adapt to the rapid technological changes and cultural diversification of the modern world. It offers an expansive, progressive framework that encourages critical thinking and active social engagement.</w:t>
      </w:r>
    </w:p>
    <w:p w14:paraId="1393AE24"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However, the article's theoretical orientation may pose challenges for educators desiring specific, actionable strategies for classroom implementation. Additionally, its broad perspective may not fully account for the practical complexities faced by teachers in varying educational contexts, particularly those constrained by resources.</w:t>
      </w:r>
    </w:p>
    <w:p w14:paraId="238C5E4A"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 xml:space="preserve">The relevance of The New London Group's multiliteracies framework to the present study on employing multimodal approaches to teach the Chinese 24 Solar Terms is profound. It underscores the importance of incorporating a diverse array of semiotic tools in education, reflecting with the goal of deepening students' engagement and comprehension of complex cultural concepts. This </w:t>
      </w:r>
      <w:r w:rsidRPr="003A2FF9">
        <w:rPr>
          <w:rFonts w:cstheme="minorHAnsi"/>
          <w:shd w:val="clear" w:color="auto" w:fill="FFFFFF"/>
        </w:rPr>
        <w:lastRenderedPageBreak/>
        <w:t>framework validates the study's intent to use multimodal strategies, enhancing the pedagogical approach to culturally rich subjects like the Chinese 24 Solar Terms by fostering a more inclusive and dynamic learning environment.</w:t>
      </w:r>
    </w:p>
    <w:p w14:paraId="5B0A1419"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2.4.3 Key Research 3</w:t>
      </w:r>
    </w:p>
    <w:p w14:paraId="2CB1ED68"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In "Teaching English and Solar Terms through a Multimodal Approach to Young Chinese Children," Zhou, Li, and Yeh (2022) delve into the application of multimodal strategies to impart both English language skills and knowledge of the Chinese 24 Solar Terms to preschoolers in Beijing and Taiwan. This innovative approach underlines the effectiveness of hands-on activities, drama, singing, and drawing, integrating these diverse modes of learning to foster a deeper connection with the material and to cultivate a multimodal learning environment. The study's strength lies in its practical application of multimodal education, demonstrating how various learning activities can significantly enhance students' engagement and understanding of both language and cultural content. Specifically, it showcases the integration of visual, auditory, and kinaesthetic learning modes, aligning closely with the multiliteracies framework's emphasis on diverse semiotic resources.</w:t>
      </w:r>
    </w:p>
    <w:p w14:paraId="40ED7EF4"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While the research offers insightful strategies for integrating the teaching of English and the Chinese 24 Solar Terms through multimodal approaches, its regional focus primarily on Chinese settings may not directly translate to the broader, global educational context. This specificity prompts concerns regarding the adaptability of these strategies across diverse cultural and linguistic environments, potentially limiting their effectiveness outside of similar contexts. Furthermore, the research falls short in thoroughly addressing the logistical and pedagogical challenges that educators might face when attempting to apply these multimodal strategies in varied educational landscapes, which vary significantly in terms of resources, infrastructure, and cultural receptiveness.</w:t>
      </w:r>
    </w:p>
    <w:p w14:paraId="722C3E1D"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This study holds significant relevance to the current investigation into teaching the Chinese 24 Solar Terms in Wales, particularly regarding the use of multimodal strategies to enhance language and cultural education. While Zhou, Li, and Yeh's work focuses on the Chinese context, where the concept of the Solar Terms is already familiar, the current study aims to adapt these strategies to teach both Mandarin and the Solar Terms in the UK, a context where these cultural concepts are less known. This shift highlights the potential of multimodal approaches to not only facilitate language acquisition but also deepen cultural understanding among students unfamiliar with the subject matter. By drawing on the strengths of Zhou, Li, and Yeh's research, this study seeks to explore how diverse modes of learning can be leveraged to make Chinese language and cultural education more impactful and meaningful in a Welsh educational setting, underscoring the broader implications of multimodal pedagogies in global education landscapes.</w:t>
      </w:r>
    </w:p>
    <w:p w14:paraId="2657D8D2"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lastRenderedPageBreak/>
        <w:t>2.5 Summary</w:t>
      </w:r>
    </w:p>
    <w:p w14:paraId="1325B48D" w14:textId="246C5D7B" w:rsidR="007310F8" w:rsidRPr="003A2FF9" w:rsidRDefault="007310F8" w:rsidP="00716D08">
      <w:pPr>
        <w:spacing w:line="360" w:lineRule="auto"/>
        <w:rPr>
          <w:rFonts w:cstheme="minorHAnsi"/>
          <w:b/>
          <w:bCs/>
          <w:shd w:val="clear" w:color="auto" w:fill="FFFFFF"/>
        </w:rPr>
      </w:pPr>
      <w:r w:rsidRPr="003A2FF9">
        <w:rPr>
          <w:rFonts w:cstheme="minorHAnsi"/>
          <w:shd w:val="clear" w:color="auto" w:fill="FFFFFF"/>
        </w:rPr>
        <w:t>Following an extensive critical review of literature, this section uncovers research gaps linked directly to the study, leading to the refined research questions. It further explores the implications of these findings, setting the stage for addressing how multimodal strategies can enhance cultural education within the context of teaching the Chinese 24 Solar Terms in</w:t>
      </w:r>
      <w:r w:rsidR="00376459">
        <w:rPr>
          <w:rFonts w:cstheme="minorHAnsi"/>
          <w:shd w:val="clear" w:color="auto" w:fill="FFFFFF"/>
        </w:rPr>
        <w:t xml:space="preserve"> </w:t>
      </w:r>
      <w:r w:rsidRPr="003A2FF9">
        <w:rPr>
          <w:rFonts w:cstheme="minorHAnsi"/>
          <w:shd w:val="clear" w:color="auto" w:fill="FFFFFF"/>
        </w:rPr>
        <w:t>Welsh primary schools.</w:t>
      </w:r>
    </w:p>
    <w:p w14:paraId="288C4AE8"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2.5.1 Linking Gaps Identified to the Study</w:t>
      </w:r>
    </w:p>
    <w:p w14:paraId="29227D46"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The exploration of multimodal teaching strategies, especially in the context of non-Western cultural education and their practical application in UK and Welsh primary schools, uncovers crucial research gaps that this study seeks to address. Despite the substantial evidence supporting the effectiveness of multimodal strategies in broad educational settings, a deeper understanding of these approaches within specific cultural and geographical contexts remains largely unexplored.</w:t>
      </w:r>
    </w:p>
    <w:p w14:paraId="2B2CBBD9"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Gap 1: Effectiveness in Non-Western Cultural Education</w:t>
      </w:r>
    </w:p>
    <w:p w14:paraId="6E2F505E"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The general agreement</w:t>
      </w:r>
      <w:r w:rsidRPr="003A2FF9">
        <w:rPr>
          <w:rFonts w:cstheme="minorHAnsi"/>
          <w:b/>
          <w:bCs/>
          <w:shd w:val="clear" w:color="auto" w:fill="FFFFFF"/>
        </w:rPr>
        <w:t xml:space="preserve"> </w:t>
      </w:r>
      <w:r w:rsidRPr="003A2FF9">
        <w:rPr>
          <w:rFonts w:cstheme="minorHAnsi"/>
          <w:shd w:val="clear" w:color="auto" w:fill="FFFFFF"/>
        </w:rPr>
        <w:t>within the academic community, as outlined by Cope and Kalantzis (2009) and Kress (2010), advocates for the significant benefits of multimodal strategies in fostering student engagement and facilitating diverse learning experiences. Yet, the specific application of these strategies in teaching non-Western cultural elements, such as the Chinese 24 Solar Terms, is not well documented. This gap indicates a profound need for research aimed at evaluating how multimodal approaches can be customized to effectively communicate the details of non-Western cultures. Investigating this could illuminate the potential of multimodal teaching to create a more inclusive and comprehensive pedagogical model that respects and integrates global cultural diversity.</w:t>
      </w:r>
    </w:p>
    <w:p w14:paraId="282B0C81"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Gap 2: Application in UK and Welsh Primary Schools</w:t>
      </w:r>
    </w:p>
    <w:p w14:paraId="168B6923"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The recognition of multimodal teaching's potential is widespread; however, empirical research focusing on its application within the primary education sector in the UK and Wales, particularly for Chinese language and cultural education, is insufficient. Walsh (2010) emphasizes the unique ability of multimodal strategies to captivate young learners, suggesting that these approaches could revolutionize how cultural education is delivered at an early educational stage. The absence of detailed studies in this area highlights an urgent need for practical research that not only explores the implementation of these strategies but also assesses their effectiveness in engaging primary school students with complex cultural content. This gap underscores the necessity for innovative educational practices that cater to the needs of a culturally diverse student population.</w:t>
      </w:r>
    </w:p>
    <w:p w14:paraId="7D4D26FF"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Bridging the Identified Gaps</w:t>
      </w:r>
    </w:p>
    <w:p w14:paraId="13DE0930"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lastRenderedPageBreak/>
        <w:t xml:space="preserve">This study proposes to address these significant gaps by undertaking a comprehensive investigation into the use of multimodal teaching strategies for imparting non-Western cultural knowledge, with a specific focus on the Chinese 24 Solar Terms, in primary schools across the UK and Wales. Through this research, we aim to generate critical insights into the practicality, challenges, and outcomes of employing multimodal approaches in a culturally varied educational landscape. By focusing on these under-researched areas, the study seeks to contribute to the pedagogical discourse, offering evidence-based recommendations for integrating multimodal strategies in cultural education effectively. </w:t>
      </w:r>
    </w:p>
    <w:p w14:paraId="4813365A"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2.5.2 Refined Research Questions Based on Literature Review</w:t>
      </w:r>
    </w:p>
    <w:p w14:paraId="2418F237"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Building upon the comprehensive literature review and identifying significant gaps within the field of multimodal teaching strategies, particularly regarding non-Western cultural education and their application in primary schools across the UK and Wales, refined research questions have been developed. These questions are intended to guide the investigation towards addressing the identified gaps and enriching the current knowledge base on multimodal education.</w:t>
      </w:r>
    </w:p>
    <w:p w14:paraId="6C10E173" w14:textId="77777777" w:rsidR="007310F8" w:rsidRPr="003A2FF9" w:rsidRDefault="007310F8" w:rsidP="007310F8">
      <w:pPr>
        <w:rPr>
          <w:rFonts w:cstheme="minorHAnsi"/>
          <w:shd w:val="clear" w:color="auto" w:fill="FFFFFF"/>
        </w:rPr>
      </w:pPr>
      <w:r w:rsidRPr="003A2FF9">
        <w:rPr>
          <w:rFonts w:cstheme="minorHAnsi"/>
          <w:b/>
          <w:bCs/>
          <w:shd w:val="clear" w:color="auto" w:fill="FFFFFF"/>
        </w:rPr>
        <w:t>Refined research question:</w:t>
      </w:r>
      <w:r w:rsidRPr="003A2FF9">
        <w:rPr>
          <w:rFonts w:cstheme="minorHAnsi"/>
          <w:shd w:val="clear" w:color="auto" w:fill="FFFFFF"/>
        </w:rPr>
        <w:t xml:space="preserve"> </w:t>
      </w:r>
    </w:p>
    <w:p w14:paraId="5EA5DED4"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How can multimodal teaching strategies be effectively utilized to teach the Chinese 24 Solar Terms in a Welsh Primary Schools?</w:t>
      </w:r>
    </w:p>
    <w:p w14:paraId="1C625424"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Sub-questions:</w:t>
      </w:r>
    </w:p>
    <w:p w14:paraId="0342BCDA"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1. What are the best practices for employing multimodal teaching strategies to impart knowledge of the Chinese 24 Solar Terms?</w:t>
      </w:r>
    </w:p>
    <w:p w14:paraId="3253AD85"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2. What challenges and opportunities are perceived by educators in applying multimodal approaches to cultural education, with a specific focus on teaching the Chinese 24 Solar Terms?</w:t>
      </w:r>
    </w:p>
    <w:p w14:paraId="4F34953E"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2.5.3 Implications for the Study</w:t>
      </w:r>
    </w:p>
    <w:p w14:paraId="2F4E58C5"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This research is poised to make significant contributions to the field of multimodal and cultural education, with a particular focus on the Chinese 24 Solar Terms. By delving into the effectiveness and application of multimodal teaching strategies within this specific cultural context, the study will illuminate the potential of such approaches in enriching students' cultural understanding and engagement. This investigation stands to extend the existing body of knowledge on multimodal education, particularly in how it can be tailored to teach complex cultural concepts in diverse educational settings (Cope and Kalantzis, 2009; Kress, 2010).</w:t>
      </w:r>
    </w:p>
    <w:p w14:paraId="6BB050F6"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 xml:space="preserve">Furthermore, the study aims to provide practical insights into the implementation of a multimodal approach for cultural education. These insights are expected to be valuable not only within the </w:t>
      </w:r>
      <w:r w:rsidRPr="003A2FF9">
        <w:rPr>
          <w:rFonts w:cstheme="minorHAnsi"/>
          <w:shd w:val="clear" w:color="auto" w:fill="FFFFFF"/>
        </w:rPr>
        <w:lastRenderedPageBreak/>
        <w:t>Welsh primary education context but also in broader educational landscapes. By identifying best practices, challenges, and opportunities in applying multimodal strategies, the research will offer actionable recommendations that educators can adopt to enhance cultural education across various settings (Walsh, 2010).</w:t>
      </w:r>
    </w:p>
    <w:p w14:paraId="661ECD93" w14:textId="77777777" w:rsidR="007310F8" w:rsidRPr="003A2FF9" w:rsidRDefault="007310F8" w:rsidP="00716D08">
      <w:pPr>
        <w:spacing w:line="360" w:lineRule="auto"/>
        <w:rPr>
          <w:rFonts w:cstheme="minorHAnsi"/>
          <w:shd w:val="clear" w:color="auto" w:fill="FFFFFF"/>
        </w:rPr>
      </w:pPr>
      <w:r w:rsidRPr="003A2FF9">
        <w:rPr>
          <w:rFonts w:cstheme="minorHAnsi"/>
          <w:shd w:val="clear" w:color="auto" w:fill="FFFFFF"/>
        </w:rPr>
        <w:t>Moreover, the findings from this study could encourage a paradigm shift in how cultural content is taught, advocating for more dynamic and engaging teaching methods that leverage the full range of multimodal resources. This approach aligns with contemporary pedagogical trends that emphasize student-centred learning and the integration of digital technologies in education (</w:t>
      </w:r>
      <w:proofErr w:type="spellStart"/>
      <w:r w:rsidRPr="003A2FF9">
        <w:rPr>
          <w:rFonts w:cstheme="minorHAnsi"/>
          <w:shd w:val="clear" w:color="auto" w:fill="FFFFFF"/>
        </w:rPr>
        <w:t>Bezemer</w:t>
      </w:r>
      <w:proofErr w:type="spellEnd"/>
      <w:r w:rsidRPr="003A2FF9">
        <w:rPr>
          <w:rFonts w:cstheme="minorHAnsi"/>
          <w:shd w:val="clear" w:color="auto" w:fill="FFFFFF"/>
        </w:rPr>
        <w:t xml:space="preserve"> and Kress, 2016). Ultimately, this research aims to foster a deeper appreciation and understanding of non-Western cultures among young learners, thereby promoting cultural diversity and inclusivity in education.</w:t>
      </w:r>
    </w:p>
    <w:p w14:paraId="46C162EF" w14:textId="77777777" w:rsidR="007310F8" w:rsidRPr="003A2FF9" w:rsidRDefault="007310F8" w:rsidP="007310F8">
      <w:pPr>
        <w:rPr>
          <w:rFonts w:cstheme="minorHAnsi"/>
          <w:shd w:val="clear" w:color="auto" w:fill="FFFFFF"/>
        </w:rPr>
      </w:pPr>
    </w:p>
    <w:p w14:paraId="03FD3F33" w14:textId="77777777" w:rsidR="007310F8" w:rsidRPr="003A2FF9" w:rsidRDefault="007310F8" w:rsidP="007310F8">
      <w:pPr>
        <w:rPr>
          <w:rFonts w:cstheme="minorHAnsi"/>
          <w:shd w:val="clear" w:color="auto" w:fill="FFFFFF"/>
        </w:rPr>
      </w:pPr>
    </w:p>
    <w:p w14:paraId="256E28DF" w14:textId="77777777" w:rsidR="007310F8" w:rsidRPr="003A2FF9" w:rsidRDefault="007310F8" w:rsidP="007310F8">
      <w:pPr>
        <w:rPr>
          <w:rFonts w:cstheme="minorHAnsi"/>
          <w:shd w:val="clear" w:color="auto" w:fill="FFFFFF"/>
        </w:rPr>
      </w:pPr>
    </w:p>
    <w:p w14:paraId="0E22C656" w14:textId="77777777" w:rsidR="007310F8" w:rsidRPr="003A2FF9" w:rsidRDefault="007310F8" w:rsidP="007310F8">
      <w:pPr>
        <w:rPr>
          <w:rFonts w:cstheme="minorHAnsi"/>
          <w:shd w:val="clear" w:color="auto" w:fill="FFFFFF"/>
        </w:rPr>
      </w:pPr>
    </w:p>
    <w:p w14:paraId="671F841E" w14:textId="77777777" w:rsidR="007310F8" w:rsidRPr="003A2FF9" w:rsidRDefault="007310F8" w:rsidP="007310F8">
      <w:pPr>
        <w:rPr>
          <w:rFonts w:cstheme="minorHAnsi"/>
          <w:shd w:val="clear" w:color="auto" w:fill="FFFFFF"/>
        </w:rPr>
      </w:pPr>
    </w:p>
    <w:p w14:paraId="3F1C598D" w14:textId="77777777" w:rsidR="007310F8" w:rsidRPr="003A2FF9" w:rsidRDefault="007310F8" w:rsidP="007310F8">
      <w:pPr>
        <w:rPr>
          <w:rFonts w:cstheme="minorHAnsi"/>
          <w:shd w:val="clear" w:color="auto" w:fill="FFFFFF"/>
        </w:rPr>
      </w:pPr>
    </w:p>
    <w:p w14:paraId="3DA44A38" w14:textId="77777777" w:rsidR="007310F8" w:rsidRPr="003A2FF9" w:rsidRDefault="007310F8" w:rsidP="007310F8">
      <w:pPr>
        <w:rPr>
          <w:rFonts w:cstheme="minorHAnsi"/>
          <w:shd w:val="clear" w:color="auto" w:fill="FFFFFF"/>
        </w:rPr>
      </w:pPr>
    </w:p>
    <w:p w14:paraId="62C01192" w14:textId="77777777" w:rsidR="007310F8" w:rsidRPr="003A2FF9" w:rsidRDefault="007310F8" w:rsidP="007310F8">
      <w:pPr>
        <w:rPr>
          <w:rFonts w:cstheme="minorHAnsi"/>
          <w:shd w:val="clear" w:color="auto" w:fill="FFFFFF"/>
        </w:rPr>
      </w:pPr>
    </w:p>
    <w:p w14:paraId="7D6EF5F6" w14:textId="77777777" w:rsidR="007310F8" w:rsidRDefault="007310F8" w:rsidP="007310F8">
      <w:pPr>
        <w:rPr>
          <w:rFonts w:cstheme="minorHAnsi"/>
          <w:shd w:val="clear" w:color="auto" w:fill="FFFFFF"/>
        </w:rPr>
      </w:pPr>
    </w:p>
    <w:p w14:paraId="71CA889A" w14:textId="77777777" w:rsidR="004A3E43" w:rsidRDefault="004A3E43" w:rsidP="007310F8">
      <w:pPr>
        <w:rPr>
          <w:rFonts w:cstheme="minorHAnsi"/>
          <w:shd w:val="clear" w:color="auto" w:fill="FFFFFF"/>
        </w:rPr>
      </w:pPr>
    </w:p>
    <w:p w14:paraId="264829F0" w14:textId="77777777" w:rsidR="004A3E43" w:rsidRDefault="004A3E43" w:rsidP="007310F8">
      <w:pPr>
        <w:rPr>
          <w:rFonts w:cstheme="minorHAnsi"/>
          <w:shd w:val="clear" w:color="auto" w:fill="FFFFFF"/>
        </w:rPr>
      </w:pPr>
    </w:p>
    <w:p w14:paraId="2178EFE0" w14:textId="77777777" w:rsidR="004A3E43" w:rsidRDefault="004A3E43" w:rsidP="007310F8">
      <w:pPr>
        <w:rPr>
          <w:rFonts w:cstheme="minorHAnsi"/>
          <w:shd w:val="clear" w:color="auto" w:fill="FFFFFF"/>
        </w:rPr>
      </w:pPr>
    </w:p>
    <w:p w14:paraId="3B3E4F13" w14:textId="77777777" w:rsidR="004A3E43" w:rsidRDefault="004A3E43" w:rsidP="007310F8">
      <w:pPr>
        <w:rPr>
          <w:rFonts w:cstheme="minorHAnsi"/>
          <w:shd w:val="clear" w:color="auto" w:fill="FFFFFF"/>
        </w:rPr>
      </w:pPr>
    </w:p>
    <w:p w14:paraId="37B650A6" w14:textId="77777777" w:rsidR="004A3E43" w:rsidRDefault="004A3E43" w:rsidP="007310F8">
      <w:pPr>
        <w:rPr>
          <w:rFonts w:cstheme="minorHAnsi"/>
          <w:shd w:val="clear" w:color="auto" w:fill="FFFFFF"/>
        </w:rPr>
      </w:pPr>
    </w:p>
    <w:p w14:paraId="1516E777" w14:textId="77777777" w:rsidR="004A3E43" w:rsidRDefault="004A3E43" w:rsidP="007310F8">
      <w:pPr>
        <w:rPr>
          <w:rFonts w:cstheme="minorHAnsi"/>
          <w:shd w:val="clear" w:color="auto" w:fill="FFFFFF"/>
        </w:rPr>
      </w:pPr>
    </w:p>
    <w:p w14:paraId="50DB570F" w14:textId="77777777" w:rsidR="004A3E43" w:rsidRDefault="004A3E43" w:rsidP="007310F8">
      <w:pPr>
        <w:rPr>
          <w:rFonts w:cstheme="minorHAnsi"/>
          <w:shd w:val="clear" w:color="auto" w:fill="FFFFFF"/>
        </w:rPr>
      </w:pPr>
    </w:p>
    <w:p w14:paraId="034EBA74" w14:textId="77777777" w:rsidR="004A3E43" w:rsidRDefault="004A3E43" w:rsidP="007310F8">
      <w:pPr>
        <w:rPr>
          <w:rFonts w:cstheme="minorHAnsi"/>
          <w:shd w:val="clear" w:color="auto" w:fill="FFFFFF"/>
        </w:rPr>
      </w:pPr>
    </w:p>
    <w:p w14:paraId="6A076D6F" w14:textId="77777777" w:rsidR="004A3E43" w:rsidRDefault="004A3E43" w:rsidP="007310F8">
      <w:pPr>
        <w:rPr>
          <w:rFonts w:cstheme="minorHAnsi"/>
          <w:shd w:val="clear" w:color="auto" w:fill="FFFFFF"/>
        </w:rPr>
      </w:pPr>
    </w:p>
    <w:p w14:paraId="24DEDC19" w14:textId="77777777" w:rsidR="007310F8" w:rsidRPr="003A2FF9" w:rsidRDefault="007310F8" w:rsidP="007310F8">
      <w:pPr>
        <w:rPr>
          <w:rFonts w:cstheme="minorHAnsi"/>
          <w:shd w:val="clear" w:color="auto" w:fill="FFFFFF"/>
        </w:rPr>
      </w:pPr>
    </w:p>
    <w:p w14:paraId="14AE7D22" w14:textId="77777777" w:rsidR="007310F8" w:rsidRPr="003A2FF9" w:rsidRDefault="007310F8" w:rsidP="007310F8">
      <w:pPr>
        <w:rPr>
          <w:rFonts w:cstheme="minorHAnsi"/>
          <w:shd w:val="clear" w:color="auto" w:fill="FFFFFF"/>
        </w:rPr>
      </w:pPr>
    </w:p>
    <w:p w14:paraId="050330DC" w14:textId="77777777" w:rsidR="007310F8" w:rsidRDefault="007310F8" w:rsidP="007310F8">
      <w:pPr>
        <w:rPr>
          <w:rFonts w:cstheme="minorHAnsi"/>
          <w:shd w:val="clear" w:color="auto" w:fill="FFFFFF"/>
        </w:rPr>
      </w:pPr>
    </w:p>
    <w:p w14:paraId="433C61D8" w14:textId="77777777" w:rsidR="003A4E4F" w:rsidRPr="003A2FF9" w:rsidRDefault="003A4E4F" w:rsidP="007310F8">
      <w:pPr>
        <w:rPr>
          <w:rFonts w:cstheme="minorHAnsi"/>
          <w:shd w:val="clear" w:color="auto" w:fill="FFFFFF"/>
        </w:rPr>
      </w:pPr>
    </w:p>
    <w:p w14:paraId="6676218A" w14:textId="77777777" w:rsidR="007310F8" w:rsidRPr="003A2FF9" w:rsidRDefault="007310F8" w:rsidP="007310F8">
      <w:pPr>
        <w:rPr>
          <w:rFonts w:cstheme="minorHAnsi"/>
          <w:b/>
          <w:bCs/>
          <w:shd w:val="clear" w:color="auto" w:fill="FFFFFF"/>
        </w:rPr>
      </w:pPr>
    </w:p>
    <w:p w14:paraId="5CF19F1F" w14:textId="77777777" w:rsidR="007310F8" w:rsidRPr="003A2FF9" w:rsidRDefault="007310F8" w:rsidP="007310F8">
      <w:pPr>
        <w:rPr>
          <w:rFonts w:cstheme="minorHAnsi"/>
          <w:b/>
          <w:bCs/>
          <w:shd w:val="clear" w:color="auto" w:fill="FFFFFF"/>
        </w:rPr>
      </w:pPr>
      <w:r w:rsidRPr="003A2FF9">
        <w:rPr>
          <w:rFonts w:cstheme="minorHAnsi"/>
          <w:b/>
          <w:bCs/>
          <w:shd w:val="clear" w:color="auto" w:fill="FFFFFF"/>
        </w:rPr>
        <w:t>References</w:t>
      </w:r>
    </w:p>
    <w:p w14:paraId="3C7248FF" w14:textId="77777777" w:rsidR="007310F8" w:rsidRPr="003A2FF9" w:rsidRDefault="007310F8" w:rsidP="007310F8">
      <w:pPr>
        <w:rPr>
          <w:rFonts w:cstheme="minorHAnsi"/>
          <w:shd w:val="clear" w:color="auto" w:fill="FFFFFF"/>
        </w:rPr>
      </w:pPr>
      <w:proofErr w:type="spellStart"/>
      <w:r w:rsidRPr="003A2FF9">
        <w:rPr>
          <w:rFonts w:cstheme="minorHAnsi"/>
          <w:shd w:val="clear" w:color="auto" w:fill="FFFFFF"/>
        </w:rPr>
        <w:t>Bezemer</w:t>
      </w:r>
      <w:proofErr w:type="spellEnd"/>
      <w:r w:rsidRPr="003A2FF9">
        <w:rPr>
          <w:rFonts w:cstheme="minorHAnsi"/>
          <w:shd w:val="clear" w:color="auto" w:fill="FFFFFF"/>
        </w:rPr>
        <w:t xml:space="preserve">, </w:t>
      </w:r>
      <w:proofErr w:type="spellStart"/>
      <w:r w:rsidRPr="003A2FF9">
        <w:rPr>
          <w:rFonts w:cstheme="minorHAnsi"/>
          <w:shd w:val="clear" w:color="auto" w:fill="FFFFFF"/>
        </w:rPr>
        <w:t>J.and</w:t>
      </w:r>
      <w:proofErr w:type="spellEnd"/>
      <w:r w:rsidRPr="003A2FF9">
        <w:rPr>
          <w:rFonts w:cstheme="minorHAnsi"/>
          <w:shd w:val="clear" w:color="auto" w:fill="FFFFFF"/>
        </w:rPr>
        <w:t xml:space="preserve"> Kress, G. (2016). </w:t>
      </w:r>
      <w:r w:rsidRPr="003A2FF9">
        <w:rPr>
          <w:rFonts w:cstheme="minorHAnsi"/>
          <w:i/>
          <w:iCs/>
          <w:shd w:val="clear" w:color="auto" w:fill="FFFFFF"/>
        </w:rPr>
        <w:t>Multimodality, Learning and Communication: A Social Semiotic Frame</w:t>
      </w:r>
      <w:r w:rsidRPr="003A2FF9">
        <w:rPr>
          <w:rFonts w:cstheme="minorHAnsi"/>
          <w:shd w:val="clear" w:color="auto" w:fill="FFFFFF"/>
        </w:rPr>
        <w:t>. London: Routledge.</w:t>
      </w:r>
    </w:p>
    <w:p w14:paraId="07672539"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Bock, M. (2016) ‘Creative multimodal learning environments and blended interaction for problem-based learning’, </w:t>
      </w:r>
      <w:r w:rsidRPr="003A2FF9">
        <w:rPr>
          <w:rFonts w:cstheme="minorHAnsi"/>
          <w:i/>
          <w:iCs/>
          <w:shd w:val="clear" w:color="auto" w:fill="FFFFFF"/>
        </w:rPr>
        <w:t>International Journal of Educational Technology in Higher Education</w:t>
      </w:r>
      <w:r w:rsidRPr="003A2FF9">
        <w:rPr>
          <w:rFonts w:cstheme="minorHAnsi"/>
          <w:shd w:val="clear" w:color="auto" w:fill="FFFFFF"/>
        </w:rPr>
        <w:t>, 13, pp.1-12.</w:t>
      </w:r>
    </w:p>
    <w:p w14:paraId="1B0BB33B"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Bock, Z. (2016) ‘ Multimodality, creativity and children’s meaning-making: Drawings, writings, imaginings’, </w:t>
      </w:r>
      <w:r w:rsidRPr="003A2FF9">
        <w:rPr>
          <w:rFonts w:cstheme="minorHAnsi"/>
          <w:i/>
          <w:iCs/>
          <w:shd w:val="clear" w:color="auto" w:fill="FFFFFF"/>
        </w:rPr>
        <w:t>Stellenbosch Papers in Linguistics Plus</w:t>
      </w:r>
      <w:r w:rsidRPr="003A2FF9">
        <w:rPr>
          <w:rFonts w:cstheme="minorHAnsi"/>
          <w:shd w:val="clear" w:color="auto" w:fill="FFFFFF"/>
        </w:rPr>
        <w:t>, 49(1), pp.1-21.</w:t>
      </w:r>
    </w:p>
    <w:p w14:paraId="2AE7A8C4" w14:textId="77777777" w:rsidR="007310F8" w:rsidRPr="003A2FF9" w:rsidRDefault="007310F8" w:rsidP="007310F8">
      <w:pPr>
        <w:rPr>
          <w:rFonts w:cstheme="minorHAnsi"/>
          <w:shd w:val="clear" w:color="auto" w:fill="FFFFFF"/>
        </w:rPr>
      </w:pPr>
      <w:r w:rsidRPr="003A2FF9">
        <w:rPr>
          <w:rFonts w:cstheme="minorHAnsi"/>
          <w:shd w:val="clear" w:color="auto" w:fill="FFFFFF"/>
        </w:rPr>
        <w:t>Choi, J. and Yi, Y. (2016) ‘Teachers' integration of multimodality into classroom practices for English language learners’, </w:t>
      </w:r>
      <w:proofErr w:type="spellStart"/>
      <w:r w:rsidRPr="003A2FF9">
        <w:rPr>
          <w:rFonts w:cstheme="minorHAnsi"/>
          <w:i/>
          <w:iCs/>
          <w:shd w:val="clear" w:color="auto" w:fill="FFFFFF"/>
        </w:rPr>
        <w:t>Tesol</w:t>
      </w:r>
      <w:proofErr w:type="spellEnd"/>
      <w:r w:rsidRPr="003A2FF9">
        <w:rPr>
          <w:rFonts w:cstheme="minorHAnsi"/>
          <w:i/>
          <w:iCs/>
          <w:shd w:val="clear" w:color="auto" w:fill="FFFFFF"/>
        </w:rPr>
        <w:t xml:space="preserve"> Journal</w:t>
      </w:r>
      <w:r w:rsidRPr="003A2FF9">
        <w:rPr>
          <w:rFonts w:cstheme="minorHAnsi"/>
          <w:shd w:val="clear" w:color="auto" w:fill="FFFFFF"/>
        </w:rPr>
        <w:t>, </w:t>
      </w:r>
      <w:r w:rsidRPr="003A2FF9">
        <w:rPr>
          <w:rFonts w:cstheme="minorHAnsi"/>
          <w:i/>
          <w:iCs/>
          <w:shd w:val="clear" w:color="auto" w:fill="FFFFFF"/>
        </w:rPr>
        <w:t>7</w:t>
      </w:r>
      <w:r w:rsidRPr="003A2FF9">
        <w:rPr>
          <w:rFonts w:cstheme="minorHAnsi"/>
          <w:shd w:val="clear" w:color="auto" w:fill="FFFFFF"/>
        </w:rPr>
        <w:t>(2), pp.304-327. Available at: https://doi.org/10.1002/tesj.204</w:t>
      </w:r>
    </w:p>
    <w:p w14:paraId="144221E0"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Cope, B. and Kalantzis, M. (2009) ‘Multiliteracies: New Literacies, New Learning’, </w:t>
      </w:r>
      <w:r w:rsidRPr="003A2FF9">
        <w:rPr>
          <w:rFonts w:cstheme="minorHAnsi"/>
          <w:i/>
          <w:iCs/>
          <w:shd w:val="clear" w:color="auto" w:fill="FFFFFF"/>
        </w:rPr>
        <w:t>Pedagogies: An International Journal</w:t>
      </w:r>
      <w:r w:rsidRPr="003A2FF9">
        <w:rPr>
          <w:rFonts w:cstheme="minorHAnsi"/>
          <w:shd w:val="clear" w:color="auto" w:fill="FFFFFF"/>
        </w:rPr>
        <w:t>, 4(3), pp. 164-195.</w:t>
      </w:r>
    </w:p>
    <w:p w14:paraId="481A4A78"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Fang, C. (2002) ‘Projects of the 23rd solar cycle study in China’, </w:t>
      </w:r>
      <w:r w:rsidRPr="003A2FF9">
        <w:rPr>
          <w:rFonts w:cstheme="minorHAnsi"/>
          <w:i/>
          <w:iCs/>
          <w:shd w:val="clear" w:color="auto" w:fill="FFFFFF"/>
        </w:rPr>
        <w:t>Advances in Space Research</w:t>
      </w:r>
      <w:r w:rsidRPr="003A2FF9">
        <w:rPr>
          <w:rFonts w:cstheme="minorHAnsi"/>
          <w:shd w:val="clear" w:color="auto" w:fill="FFFFFF"/>
        </w:rPr>
        <w:t>, 29(10), pp.1561-1563. Available at: https://doi.org/10.1016/S0273-1177(02)00222-3</w:t>
      </w:r>
    </w:p>
    <w:p w14:paraId="33A7AAFF" w14:textId="77777777" w:rsidR="007310F8" w:rsidRPr="003A2FF9" w:rsidRDefault="007310F8" w:rsidP="007310F8">
      <w:proofErr w:type="spellStart"/>
      <w:r w:rsidRPr="003A2FF9">
        <w:rPr>
          <w:rFonts w:ascii="Arial" w:hAnsi="Arial" w:cs="Arial"/>
          <w:sz w:val="20"/>
          <w:szCs w:val="20"/>
          <w:shd w:val="clear" w:color="auto" w:fill="FFFFFF"/>
        </w:rPr>
        <w:t>Kravariti</w:t>
      </w:r>
      <w:proofErr w:type="spellEnd"/>
      <w:r w:rsidRPr="003A2FF9">
        <w:rPr>
          <w:rFonts w:ascii="Arial" w:hAnsi="Arial" w:cs="Arial"/>
          <w:sz w:val="20"/>
          <w:szCs w:val="20"/>
          <w:shd w:val="clear" w:color="auto" w:fill="FFFFFF"/>
        </w:rPr>
        <w:t xml:space="preserve">, F. and Johnston, K. (2020) ‘Talent management: a critical literature review and research agenda for public sector human resource management,’ </w:t>
      </w:r>
      <w:r w:rsidRPr="003A2FF9">
        <w:rPr>
          <w:rFonts w:ascii="Arial" w:hAnsi="Arial" w:cs="Arial"/>
          <w:i/>
          <w:iCs/>
          <w:sz w:val="20"/>
          <w:szCs w:val="20"/>
          <w:shd w:val="clear" w:color="auto" w:fill="FFFFFF"/>
        </w:rPr>
        <w:t>Public Management Review</w:t>
      </w:r>
      <w:r w:rsidRPr="003A2FF9">
        <w:rPr>
          <w:rFonts w:ascii="Arial" w:hAnsi="Arial" w:cs="Arial"/>
          <w:sz w:val="20"/>
          <w:szCs w:val="20"/>
          <w:shd w:val="clear" w:color="auto" w:fill="FFFFFF"/>
        </w:rPr>
        <w:t>, </w:t>
      </w:r>
      <w:r w:rsidRPr="003A2FF9">
        <w:rPr>
          <w:rFonts w:ascii="Arial" w:hAnsi="Arial" w:cs="Arial"/>
          <w:i/>
          <w:iCs/>
          <w:sz w:val="20"/>
          <w:szCs w:val="20"/>
          <w:shd w:val="clear" w:color="auto" w:fill="FFFFFF"/>
        </w:rPr>
        <w:t>22</w:t>
      </w:r>
      <w:r w:rsidRPr="003A2FF9">
        <w:rPr>
          <w:rFonts w:ascii="Arial" w:hAnsi="Arial" w:cs="Arial"/>
          <w:sz w:val="20"/>
          <w:szCs w:val="20"/>
          <w:shd w:val="clear" w:color="auto" w:fill="FFFFFF"/>
        </w:rPr>
        <w:t>(1), pp.75-95.</w:t>
      </w:r>
      <w:r w:rsidRPr="003A2FF9">
        <w:rPr>
          <w:rFonts w:cstheme="minorHAnsi"/>
          <w:shd w:val="clear" w:color="auto" w:fill="FFFFFF"/>
        </w:rPr>
        <w:t xml:space="preserve"> </w:t>
      </w:r>
      <w:hyperlink r:id="rId8" w:history="1">
        <w:r w:rsidRPr="003A2FF9">
          <w:t>https://dx.doi.org/10.1080/14719037.2019.1638439</w:t>
        </w:r>
      </w:hyperlink>
      <w:r w:rsidRPr="003A2FF9">
        <w:t xml:space="preserve"> </w:t>
      </w:r>
    </w:p>
    <w:p w14:paraId="4257C477" w14:textId="77777777" w:rsidR="007310F8" w:rsidRPr="003A2FF9" w:rsidRDefault="007310F8" w:rsidP="007310F8">
      <w:pPr>
        <w:rPr>
          <w:rFonts w:cstheme="minorHAnsi"/>
          <w:shd w:val="clear" w:color="auto" w:fill="FFFFFF"/>
        </w:rPr>
      </w:pPr>
      <w:r w:rsidRPr="003A2FF9">
        <w:t xml:space="preserve">Hung, Y.S. and Yeh, S.F. (2013) ‘The </w:t>
      </w:r>
      <w:proofErr w:type="spellStart"/>
      <w:r w:rsidRPr="003A2FF9">
        <w:t>acsthetics</w:t>
      </w:r>
      <w:proofErr w:type="spellEnd"/>
      <w:r w:rsidRPr="003A2FF9">
        <w:t xml:space="preserve"> of curriculum and Taoism’, </w:t>
      </w:r>
      <w:r w:rsidRPr="003A2FF9">
        <w:rPr>
          <w:i/>
          <w:iCs/>
        </w:rPr>
        <w:t>International Journal of Chinese Education,</w:t>
      </w:r>
      <w:r w:rsidRPr="003A2FF9">
        <w:t xml:space="preserve"> 2 (1), pp.54-69.</w:t>
      </w:r>
    </w:p>
    <w:p w14:paraId="3C18DC2D"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Jewitt, C. (2008). </w:t>
      </w:r>
      <w:r w:rsidRPr="003A2FF9">
        <w:rPr>
          <w:rFonts w:cstheme="minorHAnsi"/>
          <w:i/>
          <w:iCs/>
          <w:shd w:val="clear" w:color="auto" w:fill="FFFFFF"/>
        </w:rPr>
        <w:t xml:space="preserve">Multimodal teaching and learning: The </w:t>
      </w:r>
      <w:proofErr w:type="spellStart"/>
      <w:r w:rsidRPr="003A2FF9">
        <w:rPr>
          <w:rFonts w:cstheme="minorHAnsi"/>
          <w:i/>
          <w:iCs/>
          <w:shd w:val="clear" w:color="auto" w:fill="FFFFFF"/>
        </w:rPr>
        <w:t>rhetorics</w:t>
      </w:r>
      <w:proofErr w:type="spellEnd"/>
      <w:r w:rsidRPr="003A2FF9">
        <w:rPr>
          <w:rFonts w:cstheme="minorHAnsi"/>
          <w:i/>
          <w:iCs/>
          <w:shd w:val="clear" w:color="auto" w:fill="FFFFFF"/>
        </w:rPr>
        <w:t xml:space="preserve"> of the science classroom</w:t>
      </w:r>
      <w:r w:rsidRPr="003A2FF9">
        <w:rPr>
          <w:rFonts w:cstheme="minorHAnsi"/>
          <w:shd w:val="clear" w:color="auto" w:fill="FFFFFF"/>
        </w:rPr>
        <w:t>. Edinburgh: Continuum.</w:t>
      </w:r>
    </w:p>
    <w:p w14:paraId="20C3871C"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Kress, G. (1997). </w:t>
      </w:r>
      <w:r w:rsidRPr="003A2FF9">
        <w:rPr>
          <w:rFonts w:cstheme="minorHAnsi"/>
          <w:i/>
          <w:iCs/>
          <w:shd w:val="clear" w:color="auto" w:fill="FFFFFF"/>
        </w:rPr>
        <w:t>Before Writing: Rethinking the Paths to Literacy</w:t>
      </w:r>
      <w:r w:rsidRPr="003A2FF9">
        <w:rPr>
          <w:rFonts w:cstheme="minorHAnsi"/>
          <w:shd w:val="clear" w:color="auto" w:fill="FFFFFF"/>
        </w:rPr>
        <w:t>. London: Routledge.</w:t>
      </w:r>
    </w:p>
    <w:p w14:paraId="08231212"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Kress, G. (2010). </w:t>
      </w:r>
      <w:r w:rsidRPr="003A2FF9">
        <w:rPr>
          <w:rFonts w:cstheme="minorHAnsi"/>
          <w:i/>
          <w:iCs/>
          <w:shd w:val="clear" w:color="auto" w:fill="FFFFFF"/>
        </w:rPr>
        <w:t>Multimodality: A Social Semiotic Approach to Contemporary Communication</w:t>
      </w:r>
      <w:r w:rsidRPr="003A2FF9">
        <w:rPr>
          <w:rFonts w:cstheme="minorHAnsi"/>
          <w:shd w:val="clear" w:color="auto" w:fill="FFFFFF"/>
        </w:rPr>
        <w:t>. London: Routledge.</w:t>
      </w:r>
    </w:p>
    <w:p w14:paraId="4478E84C"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Kress, G. and C, Jewitt (2003). </w:t>
      </w:r>
      <w:r w:rsidRPr="003A2FF9">
        <w:rPr>
          <w:rFonts w:cstheme="minorHAnsi"/>
          <w:i/>
          <w:iCs/>
          <w:shd w:val="clear" w:color="auto" w:fill="FFFFFF"/>
        </w:rPr>
        <w:t>Introduction. In C. Jewitt and G. Kress (eds.) Multimodal literacy.</w:t>
      </w:r>
      <w:r w:rsidRPr="003A2FF9">
        <w:rPr>
          <w:rFonts w:cstheme="minorHAnsi"/>
          <w:shd w:val="clear" w:color="auto" w:fill="FFFFFF"/>
        </w:rPr>
        <w:t xml:space="preserve"> New York: Peter Lang. pp.1-18.</w:t>
      </w:r>
    </w:p>
    <w:p w14:paraId="6D748871"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Kress, G. and van Leeuwen, T. (2001). </w:t>
      </w:r>
      <w:r w:rsidRPr="003A2FF9">
        <w:rPr>
          <w:rFonts w:cstheme="minorHAnsi"/>
          <w:i/>
          <w:iCs/>
          <w:shd w:val="clear" w:color="auto" w:fill="FFFFFF"/>
        </w:rPr>
        <w:t>Multimodal Discourse: The Modes and Media of Contemporary Communication</w:t>
      </w:r>
      <w:r w:rsidRPr="003A2FF9">
        <w:rPr>
          <w:rFonts w:cstheme="minorHAnsi"/>
          <w:shd w:val="clear" w:color="auto" w:fill="FFFFFF"/>
        </w:rPr>
        <w:t>. London: Arnold.</w:t>
      </w:r>
    </w:p>
    <w:p w14:paraId="2AA35947" w14:textId="77777777" w:rsidR="007310F8" w:rsidRPr="003A2FF9" w:rsidRDefault="007310F8" w:rsidP="007310F8">
      <w:pPr>
        <w:rPr>
          <w:rFonts w:cstheme="minorHAnsi"/>
          <w:shd w:val="clear" w:color="auto" w:fill="FFFFFF"/>
        </w:rPr>
      </w:pPr>
      <w:proofErr w:type="spellStart"/>
      <w:r w:rsidRPr="003A2FF9">
        <w:rPr>
          <w:rFonts w:cstheme="minorHAnsi"/>
          <w:shd w:val="clear" w:color="auto" w:fill="FFFFFF"/>
        </w:rPr>
        <w:t>Laadem</w:t>
      </w:r>
      <w:proofErr w:type="spellEnd"/>
      <w:r w:rsidRPr="003A2FF9">
        <w:rPr>
          <w:rFonts w:cstheme="minorHAnsi"/>
          <w:shd w:val="clear" w:color="auto" w:fill="FFFFFF"/>
        </w:rPr>
        <w:t xml:space="preserve">, </w:t>
      </w:r>
      <w:proofErr w:type="spellStart"/>
      <w:r w:rsidRPr="003A2FF9">
        <w:rPr>
          <w:rFonts w:cstheme="minorHAnsi"/>
          <w:shd w:val="clear" w:color="auto" w:fill="FFFFFF"/>
        </w:rPr>
        <w:t>M.and</w:t>
      </w:r>
      <w:proofErr w:type="spellEnd"/>
      <w:r w:rsidRPr="003A2FF9">
        <w:rPr>
          <w:rFonts w:cstheme="minorHAnsi"/>
          <w:shd w:val="clear" w:color="auto" w:fill="FFFFFF"/>
        </w:rPr>
        <w:t xml:space="preserve"> Mallahi, H. (2019) ‘Multimodal pedagogies in teaching English for specific purposes in higher education: Perceptions, challenges and strategies’, </w:t>
      </w:r>
      <w:r w:rsidRPr="003A2FF9">
        <w:rPr>
          <w:rFonts w:cstheme="minorHAnsi"/>
          <w:i/>
          <w:iCs/>
          <w:shd w:val="clear" w:color="auto" w:fill="FFFFFF"/>
        </w:rPr>
        <w:t>International Journal on Studies in Education</w:t>
      </w:r>
      <w:r w:rsidRPr="003A2FF9">
        <w:rPr>
          <w:rFonts w:cstheme="minorHAnsi"/>
          <w:shd w:val="clear" w:color="auto" w:fill="FFFFFF"/>
        </w:rPr>
        <w:t>, 1(1), pp.33-38.</w:t>
      </w:r>
    </w:p>
    <w:p w14:paraId="57A4C6F1"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Lem, S. (2018) ‘The role of music and songs in teaching foreign languages: A review’, </w:t>
      </w:r>
      <w:r w:rsidRPr="003A2FF9">
        <w:rPr>
          <w:rFonts w:cstheme="minorHAnsi"/>
          <w:i/>
          <w:iCs/>
          <w:shd w:val="clear" w:color="auto" w:fill="FFFFFF"/>
        </w:rPr>
        <w:t>Journal of Language Teaching and Research</w:t>
      </w:r>
      <w:r w:rsidRPr="003A2FF9">
        <w:rPr>
          <w:rFonts w:cstheme="minorHAnsi"/>
          <w:shd w:val="clear" w:color="auto" w:fill="FFFFFF"/>
        </w:rPr>
        <w:t>, 9(2), pp.262-267.</w:t>
      </w:r>
    </w:p>
    <w:p w14:paraId="6770F6B2"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Lems, K. (2018) ‘New ideas for teaching English using songs and music,’ </w:t>
      </w:r>
      <w:r w:rsidRPr="003A2FF9">
        <w:rPr>
          <w:rFonts w:cstheme="minorHAnsi"/>
          <w:i/>
          <w:iCs/>
          <w:shd w:val="clear" w:color="auto" w:fill="FFFFFF"/>
        </w:rPr>
        <w:t>English Teaching Forum</w:t>
      </w:r>
      <w:r w:rsidRPr="003A2FF9">
        <w:rPr>
          <w:rFonts w:cstheme="minorHAnsi"/>
          <w:shd w:val="clear" w:color="auto" w:fill="FFFFFF"/>
        </w:rPr>
        <w:t xml:space="preserve"> 56(1) pp.14-21.</w:t>
      </w:r>
    </w:p>
    <w:p w14:paraId="73B5011F" w14:textId="77777777" w:rsidR="007310F8" w:rsidRPr="003A2FF9" w:rsidRDefault="007310F8" w:rsidP="007310F8">
      <w:pPr>
        <w:rPr>
          <w:rFonts w:ascii="Arial" w:hAnsi="Arial" w:cs="Arial"/>
          <w:sz w:val="20"/>
          <w:szCs w:val="20"/>
          <w:shd w:val="clear" w:color="auto" w:fill="FFFFFF"/>
        </w:rPr>
      </w:pPr>
      <w:r w:rsidRPr="003A2FF9">
        <w:rPr>
          <w:rFonts w:cstheme="minorHAnsi"/>
          <w:shd w:val="clear" w:color="auto" w:fill="FFFFFF"/>
        </w:rPr>
        <w:lastRenderedPageBreak/>
        <w:t xml:space="preserve">Li, WT., Ho, MC. and </w:t>
      </w:r>
      <w:proofErr w:type="spellStart"/>
      <w:r w:rsidRPr="003A2FF9">
        <w:rPr>
          <w:rFonts w:cstheme="minorHAnsi"/>
          <w:shd w:val="clear" w:color="auto" w:fill="FFFFFF"/>
        </w:rPr>
        <w:t>Yang,C</w:t>
      </w:r>
      <w:proofErr w:type="spellEnd"/>
      <w:r w:rsidRPr="003A2FF9">
        <w:rPr>
          <w:rFonts w:cstheme="minorHAnsi"/>
          <w:shd w:val="clear" w:color="auto" w:fill="FFFFFF"/>
        </w:rPr>
        <w:t xml:space="preserve">. (2018) ‘Study on Design Strategy for Sustainable Development of Chinese Solar Term Culture’, </w:t>
      </w:r>
      <w:r w:rsidRPr="003A2FF9">
        <w:rPr>
          <w:rFonts w:cstheme="minorHAnsi"/>
          <w:i/>
          <w:iCs/>
          <w:shd w:val="clear" w:color="auto" w:fill="FFFFFF"/>
        </w:rPr>
        <w:t>Sustainability,</w:t>
      </w:r>
      <w:r w:rsidRPr="003A2FF9">
        <w:rPr>
          <w:rFonts w:cstheme="minorHAnsi"/>
          <w:shd w:val="clear" w:color="auto" w:fill="FFFFFF"/>
        </w:rPr>
        <w:t xml:space="preserve"> 10(12),p.4355. </w:t>
      </w:r>
      <w:hyperlink r:id="rId9" w:history="1">
        <w:r w:rsidRPr="003A2FF9">
          <w:rPr>
            <w:rFonts w:ascii="Arial" w:hAnsi="Arial" w:cs="Arial"/>
            <w:sz w:val="20"/>
            <w:szCs w:val="20"/>
          </w:rPr>
          <w:t>https://dx.doi.org/10.3390/SU10124355</w:t>
        </w:r>
      </w:hyperlink>
    </w:p>
    <w:p w14:paraId="01F90923"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Magnusson, P. and </w:t>
      </w:r>
      <w:proofErr w:type="spellStart"/>
      <w:r w:rsidRPr="003A2FF9">
        <w:rPr>
          <w:rFonts w:cstheme="minorHAnsi"/>
          <w:shd w:val="clear" w:color="auto" w:fill="FFFFFF"/>
        </w:rPr>
        <w:t>Godhe</w:t>
      </w:r>
      <w:proofErr w:type="spellEnd"/>
      <w:r w:rsidRPr="003A2FF9">
        <w:rPr>
          <w:rFonts w:cstheme="minorHAnsi"/>
          <w:shd w:val="clear" w:color="auto" w:fill="FFFFFF"/>
        </w:rPr>
        <w:t>, A. L. (2019) ‘Multimodality in language education: Implications for teaching’, </w:t>
      </w:r>
      <w:r w:rsidRPr="003A2FF9">
        <w:rPr>
          <w:rFonts w:cstheme="minorHAnsi"/>
          <w:i/>
          <w:iCs/>
          <w:shd w:val="clear" w:color="auto" w:fill="FFFFFF"/>
        </w:rPr>
        <w:t>Designs for learning</w:t>
      </w:r>
      <w:r w:rsidRPr="003A2FF9">
        <w:rPr>
          <w:rFonts w:cstheme="minorHAnsi"/>
          <w:shd w:val="clear" w:color="auto" w:fill="FFFFFF"/>
        </w:rPr>
        <w:t>, </w:t>
      </w:r>
      <w:r w:rsidRPr="003A2FF9">
        <w:rPr>
          <w:rFonts w:cstheme="minorHAnsi"/>
          <w:i/>
          <w:iCs/>
          <w:shd w:val="clear" w:color="auto" w:fill="FFFFFF"/>
        </w:rPr>
        <w:t>11</w:t>
      </w:r>
      <w:r w:rsidRPr="003A2FF9">
        <w:rPr>
          <w:rFonts w:cstheme="minorHAnsi"/>
          <w:shd w:val="clear" w:color="auto" w:fill="FFFFFF"/>
        </w:rPr>
        <w:t>(1), pp.127-137.</w:t>
      </w:r>
    </w:p>
    <w:p w14:paraId="49E03564"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Marchetti, L. and Cullen, P. (2015) ‘A multimodal approach in the classroom for creative learning and teaching’, </w:t>
      </w:r>
      <w:r w:rsidRPr="003A2FF9">
        <w:rPr>
          <w:rFonts w:cstheme="minorHAnsi"/>
          <w:i/>
          <w:iCs/>
          <w:shd w:val="clear" w:color="auto" w:fill="FFFFFF"/>
        </w:rPr>
        <w:t>CASALC Review</w:t>
      </w:r>
      <w:r w:rsidRPr="003A2FF9">
        <w:rPr>
          <w:rFonts w:cstheme="minorHAnsi"/>
          <w:shd w:val="clear" w:color="auto" w:fill="FFFFFF"/>
        </w:rPr>
        <w:t>, 5(1), pp.39-39.</w:t>
      </w:r>
    </w:p>
    <w:p w14:paraId="396D2794"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Marsh, J. (2004). </w:t>
      </w:r>
      <w:r w:rsidRPr="003A2FF9">
        <w:rPr>
          <w:rFonts w:cstheme="minorHAnsi"/>
          <w:i/>
          <w:iCs/>
          <w:shd w:val="clear" w:color="auto" w:fill="FFFFFF"/>
        </w:rPr>
        <w:t>Popular Culture, New Media and Digital Literacy in Early Childhood</w:t>
      </w:r>
      <w:r w:rsidRPr="003A2FF9">
        <w:rPr>
          <w:rFonts w:cstheme="minorHAnsi"/>
          <w:shd w:val="clear" w:color="auto" w:fill="FFFFFF"/>
        </w:rPr>
        <w:t xml:space="preserve">. London: </w:t>
      </w:r>
      <w:proofErr w:type="spellStart"/>
      <w:r w:rsidRPr="003A2FF9">
        <w:rPr>
          <w:rFonts w:cstheme="minorHAnsi"/>
          <w:shd w:val="clear" w:color="auto" w:fill="FFFFFF"/>
        </w:rPr>
        <w:t>RoutledgeFalmer</w:t>
      </w:r>
      <w:proofErr w:type="spellEnd"/>
      <w:r w:rsidRPr="003A2FF9">
        <w:rPr>
          <w:rFonts w:cstheme="minorHAnsi"/>
          <w:shd w:val="clear" w:color="auto" w:fill="FFFFFF"/>
        </w:rPr>
        <w:t>.</w:t>
      </w:r>
    </w:p>
    <w:p w14:paraId="2B9438FA"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Mills, K.A. (2011) ‘ I'm making it different to the book: </w:t>
      </w:r>
      <w:proofErr w:type="spellStart"/>
      <w:r w:rsidRPr="003A2FF9">
        <w:rPr>
          <w:rFonts w:cstheme="minorHAnsi"/>
          <w:shd w:val="clear" w:color="auto" w:fill="FFFFFF"/>
        </w:rPr>
        <w:t>Transmediation</w:t>
      </w:r>
      <w:proofErr w:type="spellEnd"/>
      <w:r w:rsidRPr="003A2FF9">
        <w:rPr>
          <w:rFonts w:cstheme="minorHAnsi"/>
          <w:shd w:val="clear" w:color="auto" w:fill="FFFFFF"/>
        </w:rPr>
        <w:t xml:space="preserve"> in young children's multimodal and digital texts,’ </w:t>
      </w:r>
      <w:r w:rsidRPr="003A2FF9">
        <w:rPr>
          <w:rFonts w:cstheme="minorHAnsi"/>
          <w:i/>
          <w:iCs/>
          <w:shd w:val="clear" w:color="auto" w:fill="FFFFFF"/>
        </w:rPr>
        <w:t>Australian Journal of Language and Literacy</w:t>
      </w:r>
      <w:r w:rsidRPr="003A2FF9">
        <w:rPr>
          <w:rFonts w:cstheme="minorHAnsi"/>
          <w:shd w:val="clear" w:color="auto" w:fill="FFFFFF"/>
        </w:rPr>
        <w:t>, 34(1), pp.14-23.</w:t>
      </w:r>
    </w:p>
    <w:p w14:paraId="705A8AFC"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New London Group (1996) ‘A pedagogy of multiliteracies: Designing social futures,’ </w:t>
      </w:r>
      <w:r w:rsidRPr="003A2FF9">
        <w:rPr>
          <w:rFonts w:cstheme="minorHAnsi"/>
          <w:i/>
          <w:iCs/>
          <w:shd w:val="clear" w:color="auto" w:fill="FFFFFF"/>
        </w:rPr>
        <w:t>Harvard Educational Review</w:t>
      </w:r>
      <w:r w:rsidRPr="003A2FF9">
        <w:rPr>
          <w:rFonts w:cstheme="minorHAnsi"/>
          <w:shd w:val="clear" w:color="auto" w:fill="FFFFFF"/>
        </w:rPr>
        <w:t>, 66(1), pp. 60-92.</w:t>
      </w:r>
    </w:p>
    <w:p w14:paraId="5C92E047" w14:textId="77777777" w:rsidR="007310F8" w:rsidRPr="003A2FF9" w:rsidRDefault="007310F8" w:rsidP="007310F8">
      <w:pPr>
        <w:rPr>
          <w:rFonts w:cstheme="minorHAnsi"/>
          <w:shd w:val="clear" w:color="auto" w:fill="FFFFFF"/>
        </w:rPr>
      </w:pPr>
      <w:proofErr w:type="spellStart"/>
      <w:r w:rsidRPr="003A2FF9">
        <w:rPr>
          <w:rFonts w:cstheme="minorHAnsi"/>
          <w:shd w:val="clear" w:color="auto" w:fill="FFFFFF"/>
        </w:rPr>
        <w:t>Plastina</w:t>
      </w:r>
      <w:proofErr w:type="spellEnd"/>
      <w:r w:rsidRPr="003A2FF9">
        <w:rPr>
          <w:rFonts w:cstheme="minorHAnsi"/>
          <w:shd w:val="clear" w:color="auto" w:fill="FFFFFF"/>
        </w:rPr>
        <w:t xml:space="preserve">, F. (2013) ‘Multimodality in English for specific purposes: Reconceptualizing meaning-making practices,’ </w:t>
      </w:r>
      <w:proofErr w:type="spellStart"/>
      <w:r w:rsidRPr="003A2FF9">
        <w:rPr>
          <w:rFonts w:cstheme="minorHAnsi"/>
          <w:i/>
          <w:iCs/>
          <w:shd w:val="clear" w:color="auto" w:fill="FFFFFF"/>
        </w:rPr>
        <w:t>Revista</w:t>
      </w:r>
      <w:proofErr w:type="spellEnd"/>
      <w:r w:rsidRPr="003A2FF9">
        <w:rPr>
          <w:rFonts w:cstheme="minorHAnsi"/>
          <w:i/>
          <w:iCs/>
          <w:shd w:val="clear" w:color="auto" w:fill="FFFFFF"/>
        </w:rPr>
        <w:t xml:space="preserve"> de Lenguas para Fines </w:t>
      </w:r>
      <w:proofErr w:type="spellStart"/>
      <w:r w:rsidRPr="003A2FF9">
        <w:rPr>
          <w:rFonts w:cstheme="minorHAnsi"/>
          <w:i/>
          <w:iCs/>
          <w:shd w:val="clear" w:color="auto" w:fill="FFFFFF"/>
        </w:rPr>
        <w:t>Específicos</w:t>
      </w:r>
      <w:proofErr w:type="spellEnd"/>
      <w:r w:rsidRPr="003A2FF9">
        <w:rPr>
          <w:rFonts w:cstheme="minorHAnsi"/>
          <w:shd w:val="clear" w:color="auto" w:fill="FFFFFF"/>
        </w:rPr>
        <w:t>, 19, pp. 372-396.</w:t>
      </w:r>
    </w:p>
    <w:p w14:paraId="09B2F204"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Shin, S. (2017) ‘Play to learn: Great reasons to use games in teaching English as a second language’, </w:t>
      </w:r>
      <w:r w:rsidRPr="003A2FF9">
        <w:rPr>
          <w:rFonts w:cstheme="minorHAnsi"/>
          <w:i/>
          <w:iCs/>
          <w:shd w:val="clear" w:color="auto" w:fill="FFFFFF"/>
        </w:rPr>
        <w:t>TESL Journal</w:t>
      </w:r>
      <w:r w:rsidRPr="003A2FF9">
        <w:rPr>
          <w:rFonts w:cstheme="minorHAnsi"/>
          <w:shd w:val="clear" w:color="auto" w:fill="FFFFFF"/>
        </w:rPr>
        <w:t>, 22(2), pp.153-158.</w:t>
      </w:r>
    </w:p>
    <w:p w14:paraId="30FB3E59"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United Nations Educational, Scientific and Cultural Organization [UNESCO] (2016) </w:t>
      </w:r>
      <w:r w:rsidRPr="003A2FF9">
        <w:rPr>
          <w:rFonts w:cstheme="minorHAnsi"/>
          <w:i/>
          <w:iCs/>
          <w:shd w:val="clear" w:color="auto" w:fill="FFFFFF"/>
        </w:rPr>
        <w:t>The 24 Solar Terms</w:t>
      </w:r>
      <w:r w:rsidRPr="003A2FF9">
        <w:rPr>
          <w:rFonts w:cstheme="minorHAnsi"/>
          <w:shd w:val="clear" w:color="auto" w:fill="FFFFFF"/>
        </w:rPr>
        <w:t>. Available at: https://ich.unesco.org/en/RL/the-twenty-four-solar-terms-01068 (Accessed:15 March 2024).</w:t>
      </w:r>
    </w:p>
    <w:p w14:paraId="3193AD55" w14:textId="77777777" w:rsidR="007310F8" w:rsidRPr="003A2FF9" w:rsidRDefault="007310F8" w:rsidP="007310F8">
      <w:pPr>
        <w:rPr>
          <w:rFonts w:cstheme="minorHAnsi"/>
          <w:shd w:val="clear" w:color="auto" w:fill="FFFFFF"/>
        </w:rPr>
      </w:pPr>
      <w:r w:rsidRPr="003A2FF9">
        <w:rPr>
          <w:rFonts w:cstheme="minorHAnsi"/>
          <w:shd w:val="clear" w:color="auto" w:fill="FFFFFF"/>
        </w:rPr>
        <w:t>Vaish, V. and Towndrow, P. A. (2010) ‘Multimodal literacy in language classrooms’</w:t>
      </w:r>
      <w:r w:rsidRPr="003A2FF9">
        <w:rPr>
          <w:rFonts w:cstheme="minorHAnsi"/>
          <w:i/>
          <w:iCs/>
          <w:shd w:val="clear" w:color="auto" w:fill="FFFFFF"/>
        </w:rPr>
        <w:t xml:space="preserve">, In Sociolinguistics and Language Education. Bristol, UK: Multilingual Matters, </w:t>
      </w:r>
      <w:r w:rsidRPr="003A2FF9">
        <w:rPr>
          <w:rFonts w:cstheme="minorHAnsi"/>
          <w:shd w:val="clear" w:color="auto" w:fill="FFFFFF"/>
        </w:rPr>
        <w:t>pp. 317-349.</w:t>
      </w:r>
    </w:p>
    <w:p w14:paraId="096D56EC" w14:textId="77777777" w:rsidR="007310F8" w:rsidRPr="003A2FF9" w:rsidRDefault="007310F8" w:rsidP="007310F8">
      <w:pPr>
        <w:rPr>
          <w:rFonts w:cstheme="minorHAnsi"/>
          <w:shd w:val="clear" w:color="auto" w:fill="FFFFFF"/>
        </w:rPr>
      </w:pPr>
      <w:r w:rsidRPr="003A2FF9">
        <w:rPr>
          <w:rFonts w:cstheme="minorHAnsi"/>
          <w:shd w:val="clear" w:color="auto" w:fill="FFFFFF"/>
        </w:rPr>
        <w:t xml:space="preserve">Walsh, M. (2010) ‘Multimodal literacy: What does it mean for classroom practice?’, </w:t>
      </w:r>
      <w:r w:rsidRPr="003A2FF9">
        <w:rPr>
          <w:rFonts w:cstheme="minorHAnsi"/>
          <w:i/>
          <w:iCs/>
          <w:shd w:val="clear" w:color="auto" w:fill="FFFFFF"/>
        </w:rPr>
        <w:t>Australian Journal of Language and Literacy</w:t>
      </w:r>
      <w:r w:rsidRPr="003A2FF9">
        <w:rPr>
          <w:rFonts w:cstheme="minorHAnsi"/>
          <w:shd w:val="clear" w:color="auto" w:fill="FFFFFF"/>
        </w:rPr>
        <w:t>, 33(3), pp.211-239.</w:t>
      </w:r>
    </w:p>
    <w:p w14:paraId="42AC4253" w14:textId="77777777" w:rsidR="007310F8" w:rsidRPr="003A2FF9" w:rsidRDefault="007310F8" w:rsidP="007310F8">
      <w:pPr>
        <w:rPr>
          <w:rFonts w:cstheme="minorHAnsi"/>
          <w:shd w:val="clear" w:color="auto" w:fill="FFFFFF"/>
        </w:rPr>
      </w:pPr>
      <w:r w:rsidRPr="003A2FF9">
        <w:rPr>
          <w:rFonts w:cstheme="minorHAnsi"/>
          <w:shd w:val="clear" w:color="auto" w:fill="FFFFFF"/>
        </w:rPr>
        <w:t>Wang, YF., Zhou, L. and Wang, H. (2023). ‘</w:t>
      </w:r>
      <w:r w:rsidRPr="003A2FF9">
        <w:rPr>
          <w:rFonts w:ascii="Arial" w:hAnsi="Arial" w:cs="Arial"/>
          <w:sz w:val="20"/>
          <w:szCs w:val="20"/>
          <w:shd w:val="clear" w:color="auto" w:fill="FFFFFF"/>
        </w:rPr>
        <w:t xml:space="preserve">A Probe into the Path of Integrating “24 Solar Terms” into International Chinese Language Education from the Perspective of Cultural Communication’, </w:t>
      </w:r>
      <w:r w:rsidRPr="003A2FF9">
        <w:rPr>
          <w:rFonts w:ascii="Arial" w:hAnsi="Arial" w:cs="Arial"/>
          <w:i/>
          <w:iCs/>
          <w:sz w:val="20"/>
          <w:szCs w:val="20"/>
          <w:shd w:val="clear" w:color="auto" w:fill="FFFFFF"/>
        </w:rPr>
        <w:t>International Journal of New Developments in Education</w:t>
      </w:r>
      <w:r w:rsidRPr="003A2FF9">
        <w:rPr>
          <w:rFonts w:ascii="Arial" w:hAnsi="Arial" w:cs="Arial"/>
          <w:sz w:val="20"/>
          <w:szCs w:val="20"/>
          <w:shd w:val="clear" w:color="auto" w:fill="FFFFFF"/>
        </w:rPr>
        <w:t>, </w:t>
      </w:r>
      <w:r w:rsidRPr="003A2FF9">
        <w:rPr>
          <w:rFonts w:ascii="Arial" w:hAnsi="Arial" w:cs="Arial"/>
          <w:i/>
          <w:iCs/>
          <w:sz w:val="20"/>
          <w:szCs w:val="20"/>
          <w:shd w:val="clear" w:color="auto" w:fill="FFFFFF"/>
        </w:rPr>
        <w:t>5</w:t>
      </w:r>
      <w:r w:rsidRPr="003A2FF9">
        <w:rPr>
          <w:rFonts w:ascii="Arial" w:hAnsi="Arial" w:cs="Arial"/>
          <w:sz w:val="20"/>
          <w:szCs w:val="20"/>
          <w:shd w:val="clear" w:color="auto" w:fill="FFFFFF"/>
        </w:rPr>
        <w:t xml:space="preserve">(12),pp.21-27. Available at: DOI: 10.25236/IJNDE.2023.051204 </w:t>
      </w:r>
    </w:p>
    <w:p w14:paraId="65793288" w14:textId="77777777" w:rsidR="007310F8" w:rsidRPr="003A2FF9" w:rsidRDefault="007310F8" w:rsidP="007310F8">
      <w:pPr>
        <w:rPr>
          <w:rFonts w:cstheme="minorHAnsi"/>
          <w:shd w:val="clear" w:color="auto" w:fill="FFFFFF"/>
        </w:rPr>
      </w:pPr>
      <w:r w:rsidRPr="003A2FF9">
        <w:rPr>
          <w:rFonts w:cstheme="minorHAnsi"/>
          <w:shd w:val="clear" w:color="auto" w:fill="FFFFFF"/>
        </w:rPr>
        <w:t>Welsh Government (2020) Global Futures 5-year summary report 2015–2020. Available at: https://www.gov.wales/global-futures-5-year-summary-report-2015-2020 (Accessed:10 March 2024).</w:t>
      </w:r>
    </w:p>
    <w:p w14:paraId="75947713" w14:textId="77777777" w:rsidR="007310F8" w:rsidRPr="003A2FF9" w:rsidRDefault="007310F8" w:rsidP="007310F8">
      <w:pPr>
        <w:rPr>
          <w:rFonts w:ascii="Arial" w:hAnsi="Arial" w:cs="Arial"/>
          <w:sz w:val="20"/>
          <w:szCs w:val="20"/>
          <w:shd w:val="clear" w:color="auto" w:fill="FFFFFF"/>
        </w:rPr>
      </w:pPr>
      <w:r w:rsidRPr="003A2FF9">
        <w:rPr>
          <w:rFonts w:ascii="Arial" w:hAnsi="Arial" w:cs="Arial"/>
          <w:sz w:val="20"/>
          <w:szCs w:val="20"/>
          <w:shd w:val="clear" w:color="auto" w:fill="FFFFFF"/>
        </w:rPr>
        <w:t xml:space="preserve">XUE, J. (2011). ‘Hao Shi </w:t>
      </w:r>
      <w:proofErr w:type="spellStart"/>
      <w:r w:rsidRPr="003A2FF9">
        <w:rPr>
          <w:rFonts w:ascii="Arial" w:hAnsi="Arial" w:cs="Arial"/>
          <w:sz w:val="20"/>
          <w:szCs w:val="20"/>
          <w:shd w:val="clear" w:color="auto" w:fill="FFFFFF"/>
        </w:rPr>
        <w:t>Shi</w:t>
      </w:r>
      <w:proofErr w:type="spellEnd"/>
      <w:r w:rsidRPr="003A2FF9">
        <w:rPr>
          <w:rFonts w:ascii="Arial" w:hAnsi="Arial" w:cs="Arial"/>
          <w:sz w:val="20"/>
          <w:szCs w:val="20"/>
          <w:shd w:val="clear" w:color="auto" w:fill="FFFFFF"/>
        </w:rPr>
        <w:t xml:space="preserve"> Hao: food education for children in the way of exploration, which is based on 24 solar terms’,</w:t>
      </w:r>
      <w:r w:rsidRPr="003A2FF9">
        <w:t xml:space="preserve"> </w:t>
      </w:r>
      <w:proofErr w:type="spellStart"/>
      <w:r w:rsidRPr="003A2FF9">
        <w:rPr>
          <w:rFonts w:ascii="Arial" w:hAnsi="Arial" w:cs="Arial"/>
          <w:sz w:val="20"/>
          <w:szCs w:val="20"/>
          <w:shd w:val="clear" w:color="auto" w:fill="FFFFFF"/>
        </w:rPr>
        <w:t>Politecnico</w:t>
      </w:r>
      <w:proofErr w:type="spellEnd"/>
      <w:r w:rsidRPr="003A2FF9">
        <w:rPr>
          <w:rFonts w:ascii="Arial" w:hAnsi="Arial" w:cs="Arial"/>
          <w:sz w:val="20"/>
          <w:szCs w:val="20"/>
          <w:shd w:val="clear" w:color="auto" w:fill="FFFFFF"/>
        </w:rPr>
        <w:t xml:space="preserve"> di Milano. </w:t>
      </w:r>
    </w:p>
    <w:p w14:paraId="5BA914C7" w14:textId="77777777" w:rsidR="007310F8" w:rsidRPr="003A2FF9" w:rsidRDefault="007310F8" w:rsidP="007310F8">
      <w:pPr>
        <w:rPr>
          <w:rFonts w:ascii="Arial" w:hAnsi="Arial" w:cs="Arial"/>
          <w:sz w:val="20"/>
          <w:szCs w:val="20"/>
          <w:shd w:val="clear" w:color="auto" w:fill="FFFFFF"/>
        </w:rPr>
      </w:pPr>
      <w:r w:rsidRPr="003A2FF9">
        <w:rPr>
          <w:rFonts w:ascii="Arial" w:hAnsi="Arial" w:cs="Arial"/>
          <w:sz w:val="20"/>
          <w:szCs w:val="20"/>
          <w:shd w:val="clear" w:color="auto" w:fill="FFFFFF"/>
        </w:rPr>
        <w:t xml:space="preserve">Yelland, N. J. (2018) ‘ A pedagogy of multiliteracies: Young children and multimodal learning with tablets’, </w:t>
      </w:r>
      <w:r w:rsidRPr="003A2FF9">
        <w:rPr>
          <w:rFonts w:ascii="Arial" w:hAnsi="Arial" w:cs="Arial"/>
          <w:i/>
          <w:iCs/>
          <w:sz w:val="20"/>
          <w:szCs w:val="20"/>
          <w:shd w:val="clear" w:color="auto" w:fill="FFFFFF"/>
        </w:rPr>
        <w:t>British Journal of Educational Technology</w:t>
      </w:r>
      <w:r w:rsidRPr="003A2FF9">
        <w:rPr>
          <w:rFonts w:ascii="Arial" w:hAnsi="Arial" w:cs="Arial"/>
          <w:sz w:val="20"/>
          <w:szCs w:val="20"/>
          <w:shd w:val="clear" w:color="auto" w:fill="FFFFFF"/>
        </w:rPr>
        <w:t>, 49(5), pp.847-858. Available at: https://doi.org/10.1111/bjet.12635</w:t>
      </w:r>
    </w:p>
    <w:p w14:paraId="008F0052" w14:textId="77777777" w:rsidR="007310F8" w:rsidRPr="003A2FF9" w:rsidRDefault="007310F8" w:rsidP="007310F8">
      <w:pPr>
        <w:rPr>
          <w:rFonts w:cstheme="minorHAnsi"/>
          <w:shd w:val="clear" w:color="auto" w:fill="FFFFFF"/>
        </w:rPr>
      </w:pPr>
      <w:r w:rsidRPr="003A2FF9">
        <w:rPr>
          <w:rFonts w:ascii="Arial" w:hAnsi="Arial" w:cs="Arial"/>
          <w:sz w:val="20"/>
          <w:szCs w:val="20"/>
          <w:shd w:val="clear" w:color="auto" w:fill="FFFFFF"/>
        </w:rPr>
        <w:t>Zhou, X., Li, Z. and Yeh, S. F. (2022) ‘6 Teaching English and Solar Terms through a Multimodal Approach to Young Chinese Children’, </w:t>
      </w:r>
      <w:r w:rsidRPr="003A2FF9">
        <w:rPr>
          <w:rFonts w:ascii="Arial" w:hAnsi="Arial" w:cs="Arial"/>
          <w:i/>
          <w:iCs/>
          <w:sz w:val="20"/>
          <w:szCs w:val="20"/>
          <w:shd w:val="clear" w:color="auto" w:fill="FFFFFF"/>
        </w:rPr>
        <w:t>Multimodal Literacies in Young Emergent Bilinguals: Beyond Print-Centric Practices</w:t>
      </w:r>
      <w:r w:rsidRPr="003A2FF9">
        <w:rPr>
          <w:rFonts w:ascii="Arial" w:hAnsi="Arial" w:cs="Arial"/>
          <w:sz w:val="20"/>
          <w:szCs w:val="20"/>
          <w:shd w:val="clear" w:color="auto" w:fill="FFFFFF"/>
        </w:rPr>
        <w:t>,</w:t>
      </w:r>
      <w:r w:rsidRPr="003A2FF9">
        <w:rPr>
          <w:rFonts w:ascii="Arial" w:hAnsi="Arial" w:cs="Arial"/>
          <w:i/>
          <w:iCs/>
          <w:sz w:val="20"/>
          <w:szCs w:val="20"/>
          <w:shd w:val="clear" w:color="auto" w:fill="FFFFFF"/>
        </w:rPr>
        <w:t>105</w:t>
      </w:r>
      <w:r w:rsidRPr="003A2FF9">
        <w:rPr>
          <w:rFonts w:ascii="Arial" w:hAnsi="Arial" w:cs="Arial"/>
          <w:sz w:val="20"/>
          <w:szCs w:val="20"/>
          <w:shd w:val="clear" w:color="auto" w:fill="FFFFFF"/>
        </w:rPr>
        <w:t>.</w:t>
      </w:r>
    </w:p>
    <w:p w14:paraId="50FC3390" w14:textId="77777777" w:rsidR="007310F8" w:rsidRPr="003A2FF9" w:rsidRDefault="007310F8" w:rsidP="007310F8">
      <w:pPr>
        <w:rPr>
          <w:rFonts w:cstheme="minorHAnsi"/>
          <w:shd w:val="clear" w:color="auto" w:fill="FFFFFF"/>
        </w:rPr>
      </w:pPr>
    </w:p>
    <w:p w14:paraId="7652FC4E" w14:textId="77777777" w:rsidR="007310F8" w:rsidRPr="003A2FF9" w:rsidRDefault="007310F8" w:rsidP="007310F8"/>
    <w:p w14:paraId="4D8143E0" w14:textId="77777777" w:rsidR="00F1327F" w:rsidRPr="00750874" w:rsidRDefault="00F1327F" w:rsidP="007310F8"/>
    <w:sectPr w:rsidR="00F1327F" w:rsidRPr="00750874" w:rsidSect="00761A79">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8400A" w14:textId="77777777" w:rsidR="00761A79" w:rsidRDefault="00761A79" w:rsidP="00A76D33">
      <w:pPr>
        <w:spacing w:after="0" w:line="240" w:lineRule="auto"/>
      </w:pPr>
      <w:r>
        <w:separator/>
      </w:r>
    </w:p>
  </w:endnote>
  <w:endnote w:type="continuationSeparator" w:id="0">
    <w:p w14:paraId="419A76DF" w14:textId="77777777" w:rsidR="00761A79" w:rsidRDefault="00761A79" w:rsidP="00A76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öhne">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529073"/>
      <w:docPartObj>
        <w:docPartGallery w:val="Page Numbers (Bottom of Page)"/>
        <w:docPartUnique/>
      </w:docPartObj>
    </w:sdtPr>
    <w:sdtEndPr>
      <w:rPr>
        <w:noProof/>
      </w:rPr>
    </w:sdtEndPr>
    <w:sdtContent>
      <w:p w14:paraId="0714B55E" w14:textId="4F7C861C" w:rsidR="00E562E9" w:rsidRDefault="00E562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3939CF" w14:textId="34DC6B7F" w:rsidR="008032C3" w:rsidRDefault="00803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E000C" w14:textId="77777777" w:rsidR="00761A79" w:rsidRDefault="00761A79" w:rsidP="00A76D33">
      <w:pPr>
        <w:spacing w:after="0" w:line="240" w:lineRule="auto"/>
      </w:pPr>
      <w:r>
        <w:separator/>
      </w:r>
    </w:p>
  </w:footnote>
  <w:footnote w:type="continuationSeparator" w:id="0">
    <w:p w14:paraId="74FFBD03" w14:textId="77777777" w:rsidR="00761A79" w:rsidRDefault="00761A79" w:rsidP="00A76D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C4400" w14:textId="5D9AAC6C" w:rsidR="001938F2" w:rsidRDefault="001938F2">
    <w:pPr>
      <w:pStyle w:val="Header"/>
    </w:pPr>
    <w:r>
      <w:t>2242</w:t>
    </w:r>
    <w:r w:rsidR="002269CB">
      <w:t>601</w:t>
    </w:r>
    <w:r w:rsidR="00312E0E">
      <w:t xml:space="preserve">                                                                                                                                   </w:t>
    </w:r>
    <w:r w:rsidR="00312E0E">
      <w:tab/>
    </w:r>
    <w:r w:rsidR="00312E0E" w:rsidRPr="00B42E84">
      <w:t>ECDE70</w:t>
    </w:r>
    <w:r w:rsidR="00F1327F">
      <w:t>02</w:t>
    </w:r>
    <w:r w:rsidR="00312E0E" w:rsidRPr="00B42E84">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5812D5"/>
    <w:multiLevelType w:val="hybridMultilevel"/>
    <w:tmpl w:val="D8FE43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D1D41BB"/>
    <w:multiLevelType w:val="hybridMultilevel"/>
    <w:tmpl w:val="4852D0E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28021356">
    <w:abstractNumId w:val="1"/>
  </w:num>
  <w:num w:numId="2" w16cid:durableId="19722498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C5D"/>
    <w:rsid w:val="000003BD"/>
    <w:rsid w:val="00051A74"/>
    <w:rsid w:val="00067589"/>
    <w:rsid w:val="00073439"/>
    <w:rsid w:val="00074321"/>
    <w:rsid w:val="000755CA"/>
    <w:rsid w:val="00075FEA"/>
    <w:rsid w:val="000B1DFE"/>
    <w:rsid w:val="000D2CFA"/>
    <w:rsid w:val="000D36AF"/>
    <w:rsid w:val="000F335F"/>
    <w:rsid w:val="00117BCA"/>
    <w:rsid w:val="001224B5"/>
    <w:rsid w:val="001241A0"/>
    <w:rsid w:val="00140091"/>
    <w:rsid w:val="00140E2C"/>
    <w:rsid w:val="00157799"/>
    <w:rsid w:val="00166563"/>
    <w:rsid w:val="00173082"/>
    <w:rsid w:val="001938F2"/>
    <w:rsid w:val="001B3B58"/>
    <w:rsid w:val="001F05F4"/>
    <w:rsid w:val="002104E8"/>
    <w:rsid w:val="002269CB"/>
    <w:rsid w:val="00227F76"/>
    <w:rsid w:val="00230220"/>
    <w:rsid w:val="00255FED"/>
    <w:rsid w:val="00277180"/>
    <w:rsid w:val="00282465"/>
    <w:rsid w:val="00292728"/>
    <w:rsid w:val="002B1496"/>
    <w:rsid w:val="002B5B9C"/>
    <w:rsid w:val="002D5522"/>
    <w:rsid w:val="002D7610"/>
    <w:rsid w:val="002E2C53"/>
    <w:rsid w:val="002F6521"/>
    <w:rsid w:val="00311410"/>
    <w:rsid w:val="00312E0E"/>
    <w:rsid w:val="003149B2"/>
    <w:rsid w:val="003263B7"/>
    <w:rsid w:val="003265FD"/>
    <w:rsid w:val="00340CBB"/>
    <w:rsid w:val="00360DFC"/>
    <w:rsid w:val="00376459"/>
    <w:rsid w:val="003839E8"/>
    <w:rsid w:val="00394FAD"/>
    <w:rsid w:val="003A4E4F"/>
    <w:rsid w:val="003F27A3"/>
    <w:rsid w:val="004068B8"/>
    <w:rsid w:val="004242AD"/>
    <w:rsid w:val="00445204"/>
    <w:rsid w:val="00453DD3"/>
    <w:rsid w:val="004541C6"/>
    <w:rsid w:val="00481201"/>
    <w:rsid w:val="004857BC"/>
    <w:rsid w:val="004A05DF"/>
    <w:rsid w:val="004A3E43"/>
    <w:rsid w:val="004A4EFA"/>
    <w:rsid w:val="004B42DA"/>
    <w:rsid w:val="004C5840"/>
    <w:rsid w:val="004E12BA"/>
    <w:rsid w:val="00572989"/>
    <w:rsid w:val="005B3CC0"/>
    <w:rsid w:val="00615C72"/>
    <w:rsid w:val="00621CA7"/>
    <w:rsid w:val="00622962"/>
    <w:rsid w:val="006644B5"/>
    <w:rsid w:val="00695CAC"/>
    <w:rsid w:val="006C0C1E"/>
    <w:rsid w:val="006F2014"/>
    <w:rsid w:val="00702E89"/>
    <w:rsid w:val="00716D08"/>
    <w:rsid w:val="007310F8"/>
    <w:rsid w:val="00760AA4"/>
    <w:rsid w:val="00761A79"/>
    <w:rsid w:val="00796F59"/>
    <w:rsid w:val="007A047D"/>
    <w:rsid w:val="007C5CC1"/>
    <w:rsid w:val="008032C3"/>
    <w:rsid w:val="00813D2B"/>
    <w:rsid w:val="00822D6B"/>
    <w:rsid w:val="0084335C"/>
    <w:rsid w:val="00856F19"/>
    <w:rsid w:val="008706E1"/>
    <w:rsid w:val="008751CB"/>
    <w:rsid w:val="008B651B"/>
    <w:rsid w:val="008D4015"/>
    <w:rsid w:val="008F2FA3"/>
    <w:rsid w:val="008F5E3D"/>
    <w:rsid w:val="00917A0D"/>
    <w:rsid w:val="0098678A"/>
    <w:rsid w:val="00A033E1"/>
    <w:rsid w:val="00A24F2E"/>
    <w:rsid w:val="00A4326A"/>
    <w:rsid w:val="00A563BC"/>
    <w:rsid w:val="00A620B4"/>
    <w:rsid w:val="00A673B0"/>
    <w:rsid w:val="00A76D33"/>
    <w:rsid w:val="00AA3419"/>
    <w:rsid w:val="00AC4A43"/>
    <w:rsid w:val="00AC7714"/>
    <w:rsid w:val="00AE1DE0"/>
    <w:rsid w:val="00AE2B46"/>
    <w:rsid w:val="00AE438B"/>
    <w:rsid w:val="00AF27E9"/>
    <w:rsid w:val="00B11FF0"/>
    <w:rsid w:val="00B34C2D"/>
    <w:rsid w:val="00B45843"/>
    <w:rsid w:val="00B70C77"/>
    <w:rsid w:val="00B86BCC"/>
    <w:rsid w:val="00B87D64"/>
    <w:rsid w:val="00BB3A7B"/>
    <w:rsid w:val="00BF05A4"/>
    <w:rsid w:val="00C2444F"/>
    <w:rsid w:val="00C244DC"/>
    <w:rsid w:val="00C31E2C"/>
    <w:rsid w:val="00C428C1"/>
    <w:rsid w:val="00C5492E"/>
    <w:rsid w:val="00C64518"/>
    <w:rsid w:val="00C77E94"/>
    <w:rsid w:val="00CE1D88"/>
    <w:rsid w:val="00D02ADB"/>
    <w:rsid w:val="00D05FCD"/>
    <w:rsid w:val="00D4014F"/>
    <w:rsid w:val="00D60F78"/>
    <w:rsid w:val="00D62D7B"/>
    <w:rsid w:val="00DC0EB0"/>
    <w:rsid w:val="00DD4B7E"/>
    <w:rsid w:val="00DD553C"/>
    <w:rsid w:val="00E51E49"/>
    <w:rsid w:val="00E562E9"/>
    <w:rsid w:val="00E857A3"/>
    <w:rsid w:val="00ED4BB0"/>
    <w:rsid w:val="00EE1C8A"/>
    <w:rsid w:val="00EE36B6"/>
    <w:rsid w:val="00EF54EA"/>
    <w:rsid w:val="00F00E3E"/>
    <w:rsid w:val="00F1327F"/>
    <w:rsid w:val="00F44C5D"/>
    <w:rsid w:val="00F717E6"/>
    <w:rsid w:val="00FD78D2"/>
    <w:rsid w:val="00FE79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283E9B"/>
  <w15:chartTrackingRefBased/>
  <w15:docId w15:val="{CD527CED-23B9-4F2B-8AC5-F02AB3EDA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C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6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D33"/>
  </w:style>
  <w:style w:type="paragraph" w:styleId="Footer">
    <w:name w:val="footer"/>
    <w:basedOn w:val="Normal"/>
    <w:link w:val="FooterChar"/>
    <w:uiPriority w:val="99"/>
    <w:unhideWhenUsed/>
    <w:rsid w:val="00A76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D33"/>
  </w:style>
  <w:style w:type="paragraph" w:styleId="ListParagraph">
    <w:name w:val="List Paragraph"/>
    <w:basedOn w:val="Normal"/>
    <w:uiPriority w:val="34"/>
    <w:qFormat/>
    <w:rsid w:val="00F1327F"/>
    <w:pPr>
      <w:ind w:left="720"/>
      <w:contextualSpacing/>
    </w:pPr>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088190">
      <w:bodyDiv w:val="1"/>
      <w:marLeft w:val="0"/>
      <w:marRight w:val="0"/>
      <w:marTop w:val="0"/>
      <w:marBottom w:val="0"/>
      <w:divBdr>
        <w:top w:val="none" w:sz="0" w:space="0" w:color="auto"/>
        <w:left w:val="none" w:sz="0" w:space="0" w:color="auto"/>
        <w:bottom w:val="none" w:sz="0" w:space="0" w:color="auto"/>
        <w:right w:val="none" w:sz="0" w:space="0" w:color="auto"/>
      </w:divBdr>
    </w:div>
    <w:div w:id="2130859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080/14719037.2019.163843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x.doi.org/10.3390/SU101243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7205</Words>
  <Characters>41074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Lifeng Chen</dc:creator>
  <cp:keywords/>
  <dc:description/>
  <cp:lastModifiedBy>Cindy Chen</cp:lastModifiedBy>
  <cp:revision>19</cp:revision>
  <dcterms:created xsi:type="dcterms:W3CDTF">2024-03-22T00:56:00Z</dcterms:created>
  <dcterms:modified xsi:type="dcterms:W3CDTF">2024-03-22T01:28:00Z</dcterms:modified>
</cp:coreProperties>
</file>