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2029688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31736">
              <w:rPr>
                <w:b/>
                <w:color w:val="auto"/>
                <w:sz w:val="32"/>
              </w:rPr>
              <w:t>Samuel Reynolds</w:t>
            </w:r>
          </w:p>
          <w:p w14:paraId="44290483" w14:textId="77777777" w:rsidR="00FF6BE0" w:rsidRDefault="00FF6BE0" w:rsidP="00340E9A">
            <w:pPr>
              <w:overflowPunct/>
              <w:autoSpaceDE/>
              <w:autoSpaceDN/>
              <w:adjustRightInd/>
              <w:ind w:right="237"/>
              <w:textAlignment w:val="auto"/>
              <w:rPr>
                <w:b/>
                <w:color w:val="auto"/>
                <w:sz w:val="32"/>
              </w:rPr>
            </w:pPr>
          </w:p>
          <w:p w14:paraId="161E8B2D" w14:textId="74B6370D"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31736">
              <w:t xml:space="preserve"> </w:t>
            </w:r>
            <w:r w:rsidR="00D31736" w:rsidRPr="00D31736">
              <w:rPr>
                <w:b/>
                <w:color w:val="auto"/>
                <w:sz w:val="32"/>
              </w:rPr>
              <w:t>1921214</w:t>
            </w: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F96FEE"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C50844">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11527C">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D31736" w:rsidRDefault="00FF7784" w:rsidP="00340E9A">
      <w:pPr>
        <w:ind w:right="237"/>
        <w:jc w:val="both"/>
        <w:rPr>
          <w:rFonts w:asciiTheme="minorHAnsi" w:hAnsiTheme="minorHAnsi" w:cstheme="minorHAnsi"/>
          <w:sz w:val="22"/>
          <w:szCs w:val="22"/>
        </w:rPr>
      </w:pPr>
    </w:p>
    <w:p w14:paraId="776819C9"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t xml:space="preserve">This essay will be reflecting on the different stresses such as working with Dyslexia and general stress in policing and the subsequent coping strategies which I developed during my twelve week tutor phase and evaluate the effectiveness of these strategies. I will be using Gibbs model of reflection during this essay.  </w:t>
      </w:r>
    </w:p>
    <w:p w14:paraId="6FB22143" w14:textId="77777777" w:rsidR="00D31736" w:rsidRPr="00D31736" w:rsidRDefault="00D31736" w:rsidP="00D31736">
      <w:pPr>
        <w:shd w:val="clear" w:color="auto" w:fill="FFFFFF"/>
        <w:rPr>
          <w:rFonts w:asciiTheme="minorHAnsi" w:hAnsiTheme="minorHAnsi" w:cstheme="minorHAnsi"/>
          <w:sz w:val="22"/>
          <w:szCs w:val="22"/>
        </w:rPr>
      </w:pPr>
      <w:r w:rsidRPr="00D31736">
        <w:rPr>
          <w:rFonts w:asciiTheme="minorHAnsi" w:hAnsiTheme="minorHAnsi" w:cstheme="minorHAnsi"/>
          <w:sz w:val="22"/>
          <w:szCs w:val="22"/>
        </w:rPr>
        <w:t xml:space="preserve">I found that early on into my tutorship phase I struggled in completing my paperwork when I found myself becoming tired, in particular, I found that I had immense difficulties in spelling simple words and the structuring of sentences, often leaving me frustrated and embarrassed as I would have to ask colleagues how to spell them. This resulted in a Dyslexia test in which indicated I had Dyslexia, which is a learning difference which affects a person’s reading, writing and information processing “What Is Dyslexia? - British Dyslexia Association.” </w:t>
      </w:r>
      <w:r w:rsidRPr="00D31736">
        <w:rPr>
          <w:rFonts w:asciiTheme="minorHAnsi" w:hAnsiTheme="minorHAnsi" w:cstheme="minorHAnsi"/>
          <w:i/>
          <w:iCs/>
          <w:sz w:val="22"/>
          <w:szCs w:val="22"/>
        </w:rPr>
        <w:t>British Dyslexia Association</w:t>
      </w:r>
      <w:r w:rsidRPr="00D31736">
        <w:rPr>
          <w:rFonts w:asciiTheme="minorHAnsi" w:hAnsiTheme="minorHAnsi" w:cstheme="minorHAnsi"/>
          <w:sz w:val="22"/>
          <w:szCs w:val="22"/>
        </w:rPr>
        <w:t xml:space="preserve">, 2009. The result of this was that I was significantly slower in completing my admin, taking contemporaneous accounts and writing statements all of which was frustrating and embarrassing. </w:t>
      </w:r>
    </w:p>
    <w:p w14:paraId="1FB30140" w14:textId="77777777" w:rsidR="00D31736" w:rsidRPr="00D31736" w:rsidRDefault="00D31736" w:rsidP="00D31736">
      <w:pPr>
        <w:shd w:val="clear" w:color="auto" w:fill="FFFFFF"/>
        <w:rPr>
          <w:rFonts w:asciiTheme="minorHAnsi" w:hAnsiTheme="minorHAnsi" w:cstheme="minorHAnsi"/>
          <w:sz w:val="22"/>
          <w:szCs w:val="22"/>
        </w:rPr>
      </w:pPr>
      <w:r w:rsidRPr="00D31736">
        <w:rPr>
          <w:rFonts w:asciiTheme="minorHAnsi" w:hAnsiTheme="minorHAnsi" w:cstheme="minorHAnsi"/>
          <w:sz w:val="22"/>
          <w:szCs w:val="22"/>
        </w:rPr>
        <w:t xml:space="preserve">As the International Dyslexia Association discusses, Dyslexia can affect a person self-confidence, particularly in cases where like myself someone’s has not been identified or received support until later in life, which as a result has caused me great amount of anxiety when it comes to paper work or written tests/assignments. ‘’The Dyslexia-Stress-Anxiety Connection’’ </w:t>
      </w:r>
      <w:r w:rsidRPr="00D31736">
        <w:rPr>
          <w:rFonts w:asciiTheme="minorHAnsi" w:hAnsiTheme="minorHAnsi" w:cstheme="minorHAnsi"/>
          <w:i/>
          <w:sz w:val="22"/>
          <w:szCs w:val="22"/>
        </w:rPr>
        <w:t xml:space="preserve">International Dyslexia Association </w:t>
      </w:r>
      <w:r w:rsidRPr="00D31736">
        <w:rPr>
          <w:rFonts w:asciiTheme="minorHAnsi" w:hAnsiTheme="minorHAnsi" w:cstheme="minorHAnsi"/>
          <w:sz w:val="22"/>
          <w:szCs w:val="22"/>
        </w:rPr>
        <w:t>which was something which affected me greatly during my twelve weeks.</w:t>
      </w:r>
    </w:p>
    <w:p w14:paraId="3143BC1C" w14:textId="77777777" w:rsidR="00D31736" w:rsidRPr="00D31736" w:rsidRDefault="00D31736" w:rsidP="00D31736">
      <w:pPr>
        <w:shd w:val="clear" w:color="auto" w:fill="FFFFFF"/>
        <w:rPr>
          <w:rFonts w:asciiTheme="minorHAnsi" w:hAnsiTheme="minorHAnsi" w:cstheme="minorHAnsi"/>
          <w:iCs/>
          <w:sz w:val="22"/>
          <w:szCs w:val="22"/>
        </w:rPr>
      </w:pPr>
      <w:r w:rsidRPr="00D31736">
        <w:rPr>
          <w:rFonts w:asciiTheme="minorHAnsi" w:hAnsiTheme="minorHAnsi" w:cstheme="minorHAnsi"/>
          <w:sz w:val="22"/>
          <w:szCs w:val="22"/>
        </w:rPr>
        <w:t xml:space="preserve">To deal with this particular stress, I raised the issue with my supervisor who directed me to apply to Access to work who after consultation provided me with spelling and grammar software in addition to a speech to text software. “Access to Work - The Dyslexia Association.” </w:t>
      </w:r>
      <w:hyperlink r:id="rId14" w:history="1">
        <w:r w:rsidRPr="00D31736">
          <w:rPr>
            <w:rStyle w:val="Hyperlink"/>
            <w:rFonts w:asciiTheme="minorHAnsi" w:hAnsiTheme="minorHAnsi" w:cstheme="minorHAnsi"/>
            <w:i/>
            <w:iCs/>
            <w:sz w:val="22"/>
            <w:szCs w:val="22"/>
          </w:rPr>
          <w:t>Www.Dyslexia.Uk.net</w:t>
        </w:r>
      </w:hyperlink>
      <w:r w:rsidRPr="00D31736">
        <w:rPr>
          <w:rFonts w:asciiTheme="minorHAnsi" w:hAnsiTheme="minorHAnsi" w:cstheme="minorHAnsi"/>
          <w:i/>
          <w:iCs/>
          <w:sz w:val="22"/>
          <w:szCs w:val="22"/>
        </w:rPr>
        <w:t xml:space="preserve"> . </w:t>
      </w:r>
      <w:r w:rsidRPr="00D31736">
        <w:rPr>
          <w:rFonts w:asciiTheme="minorHAnsi" w:hAnsiTheme="minorHAnsi" w:cstheme="minorHAnsi"/>
          <w:iCs/>
          <w:sz w:val="22"/>
          <w:szCs w:val="22"/>
        </w:rPr>
        <w:t xml:space="preserve">The implementation of this software on my work laptop helped me immensely and I found I had more confidence in completing my own admin and paperwork as I no longer needed to stop every few sentences to look up how to spell a word or have to ask a victim, witness or colleague how to spell something, this eliminated the source of embarrassment and frustration for me and I could then feel confident to take a statement or complete paperwork faster and without mistakes. </w:t>
      </w:r>
    </w:p>
    <w:p w14:paraId="0E943912" w14:textId="77777777" w:rsidR="00D31736" w:rsidRPr="00D31736" w:rsidRDefault="00D31736" w:rsidP="00D31736">
      <w:pPr>
        <w:shd w:val="clear" w:color="auto" w:fill="FFFFFF"/>
        <w:rPr>
          <w:rFonts w:asciiTheme="minorHAnsi" w:hAnsiTheme="minorHAnsi" w:cstheme="minorHAnsi"/>
          <w:sz w:val="22"/>
          <w:szCs w:val="22"/>
        </w:rPr>
      </w:pPr>
      <w:r w:rsidRPr="00D31736">
        <w:rPr>
          <w:rFonts w:asciiTheme="minorHAnsi" w:hAnsiTheme="minorHAnsi" w:cstheme="minorHAnsi"/>
          <w:iCs/>
          <w:sz w:val="22"/>
          <w:szCs w:val="22"/>
        </w:rPr>
        <w:t>Furthermore, my twelve week tutorship introduced me to the general stresses of operational policing. That being having a high workload to manage in addition to responding to calls for service. As Director of the Independent Officer of Police Complaints Michael Lockwood states in an article ‘’</w:t>
      </w:r>
      <w:r w:rsidRPr="00D31736">
        <w:rPr>
          <w:rFonts w:asciiTheme="minorHAnsi" w:hAnsiTheme="minorHAnsi" w:cstheme="minorHAnsi"/>
          <w:sz w:val="22"/>
          <w:szCs w:val="22"/>
        </w:rPr>
        <w:t xml:space="preserve">clearly the levels of stress there are huge; they seem to go from one job straight to the other and barely have enough time to do the paperwork.’’ “Police Watchdog Feels Frontline Pressures of Officers.” </w:t>
      </w:r>
      <w:r w:rsidRPr="00D31736">
        <w:rPr>
          <w:rFonts w:asciiTheme="minorHAnsi" w:hAnsiTheme="minorHAnsi" w:cstheme="minorHAnsi"/>
          <w:i/>
          <w:iCs/>
          <w:sz w:val="22"/>
          <w:szCs w:val="22"/>
        </w:rPr>
        <w:t>Www.Polfed.org</w:t>
      </w:r>
      <w:r w:rsidRPr="00D31736">
        <w:rPr>
          <w:rFonts w:asciiTheme="minorHAnsi" w:hAnsiTheme="minorHAnsi" w:cstheme="minorHAnsi"/>
          <w:sz w:val="22"/>
          <w:szCs w:val="22"/>
        </w:rPr>
        <w:t xml:space="preserve">, 22 May 2019. This highlighted to me how imperative it was to keep on top of my work load and the subsequent paperwork. The stress accompanied with this is ensuring that paperwork is completed to a high standard whilst still doing so in a timely manner to ensure that calls for service are answered. The result of this is that I had to strike a balance between </w:t>
      </w:r>
      <w:r w:rsidRPr="00D31736">
        <w:rPr>
          <w:rFonts w:asciiTheme="minorHAnsi" w:hAnsiTheme="minorHAnsi" w:cstheme="minorHAnsi"/>
          <w:sz w:val="22"/>
          <w:szCs w:val="22"/>
        </w:rPr>
        <w:lastRenderedPageBreak/>
        <w:t xml:space="preserve">ensuring paperwork was done accurately and thoroughly with completing it in a timely manner which I learned to do so simply getting experience with completing paperwork associated with each call. </w:t>
      </w:r>
    </w:p>
    <w:p w14:paraId="675E122C" w14:textId="77777777" w:rsidR="00D31736" w:rsidRPr="00D31736" w:rsidRDefault="00D31736" w:rsidP="00D31736">
      <w:pPr>
        <w:shd w:val="clear" w:color="auto" w:fill="FFFFFF"/>
        <w:rPr>
          <w:rFonts w:asciiTheme="minorHAnsi" w:hAnsiTheme="minorHAnsi" w:cstheme="minorHAnsi"/>
          <w:sz w:val="22"/>
          <w:szCs w:val="22"/>
        </w:rPr>
      </w:pPr>
      <w:r w:rsidRPr="00D31736">
        <w:rPr>
          <w:rFonts w:asciiTheme="minorHAnsi" w:hAnsiTheme="minorHAnsi" w:cstheme="minorHAnsi"/>
          <w:sz w:val="22"/>
          <w:szCs w:val="22"/>
        </w:rPr>
        <w:t xml:space="preserve">Moreover, I am aware that I must manage my workload and the associated stresses adequately, a police federation report studying the reasons officers resigned between 2017 to 2019 suggests that 40% of all officers who resigned stated that work associated stress was a significant factor in their decision to leave. </w:t>
      </w:r>
    </w:p>
    <w:p w14:paraId="1EEC0963" w14:textId="77777777" w:rsidR="00D31736" w:rsidRPr="00D31736" w:rsidRDefault="00D31736" w:rsidP="00D31736">
      <w:pPr>
        <w:shd w:val="clear" w:color="auto" w:fill="FFFFFF"/>
        <w:rPr>
          <w:rFonts w:asciiTheme="minorHAnsi" w:hAnsiTheme="minorHAnsi" w:cstheme="minorHAnsi"/>
          <w:sz w:val="22"/>
          <w:szCs w:val="22"/>
        </w:rPr>
      </w:pPr>
      <w:r w:rsidRPr="00D31736">
        <w:rPr>
          <w:rFonts w:asciiTheme="minorHAnsi" w:hAnsiTheme="minorHAnsi" w:cstheme="minorHAnsi"/>
          <w:sz w:val="22"/>
          <w:szCs w:val="22"/>
        </w:rPr>
        <w:t xml:space="preserve">Overall, despite the challenges I faced in relation to dyslexia, I feel I took appropriate actions to develop robust coping strategies to ensure I complete my paperwork to a high standard and minimize any stresses and anxiety associated. Furthermore, I have identified I am aware of the stresses placed on myself and have taken steps to manage these. </w:t>
      </w:r>
    </w:p>
    <w:p w14:paraId="6030E7EA" w14:textId="77777777" w:rsidR="00D31736" w:rsidRPr="00D31736" w:rsidRDefault="00D31736" w:rsidP="00D31736">
      <w:pPr>
        <w:shd w:val="clear" w:color="auto" w:fill="FFFFFF"/>
        <w:rPr>
          <w:rFonts w:asciiTheme="minorHAnsi" w:hAnsiTheme="minorHAnsi" w:cstheme="minorHAnsi"/>
          <w:sz w:val="22"/>
          <w:szCs w:val="22"/>
        </w:rPr>
      </w:pPr>
      <w:r w:rsidRPr="00D31736">
        <w:rPr>
          <w:rFonts w:asciiTheme="minorHAnsi" w:hAnsiTheme="minorHAnsi" w:cstheme="minorHAnsi"/>
          <w:sz w:val="22"/>
          <w:szCs w:val="22"/>
        </w:rPr>
        <w:t>Word count= 657</w:t>
      </w:r>
    </w:p>
    <w:p w14:paraId="4F3DEAC0" w14:textId="77777777" w:rsidR="00D31736" w:rsidRDefault="00D31736" w:rsidP="00D31736">
      <w:pPr>
        <w:rPr>
          <w:rFonts w:cstheme="minorHAnsi"/>
        </w:rPr>
      </w:pPr>
    </w:p>
    <w:p w14:paraId="1563B36D" w14:textId="77777777" w:rsidR="00D31736" w:rsidRDefault="00D31736" w:rsidP="00D31736"/>
    <w:p w14:paraId="2CE710C0" w14:textId="77777777" w:rsidR="00D31736" w:rsidRDefault="00D31736" w:rsidP="00D31736">
      <w:r>
        <w:t xml:space="preserve"> </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5EC31D6"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t xml:space="preserve">This essay I will be using Borton’s reflective model to reflect on an incident which took place outside a pub during the Corona- Virus Pandemic, I will be reviewing my use of communication, both verbal and non- verbal and will discuss the consideration in relation to vulnerability of individuals and my responsibility to safeguard individuals. This essay will also consider factors surrounding what is considered vulnerable, and how a culmination of varying factors can affect the vulnerability of people at any given time. </w:t>
      </w:r>
    </w:p>
    <w:p w14:paraId="3140D0B6"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t xml:space="preserve">Once at the location of the incident, I could see there were as many as fifty people outside the premises, many appeared to be under eighteen and had congregated as a result of the incident and upon exciting the vehicle there were many people moving around and shouting to each other.  I was aware at this time that the people present were very excitable and as such ensure my non-verbal communication and body language communicated confidence and authority. Bryant, Robin, and Sarah Bryant. </w:t>
      </w:r>
      <w:r w:rsidRPr="00D31736">
        <w:rPr>
          <w:rFonts w:asciiTheme="minorHAnsi" w:hAnsiTheme="minorHAnsi" w:cstheme="minorHAnsi"/>
          <w:i/>
          <w:iCs/>
          <w:sz w:val="22"/>
          <w:szCs w:val="22"/>
        </w:rPr>
        <w:t>Blackstone’s Handbook for Policing Students 2020</w:t>
      </w:r>
      <w:r w:rsidRPr="00D31736">
        <w:rPr>
          <w:rFonts w:asciiTheme="minorHAnsi" w:hAnsiTheme="minorHAnsi" w:cstheme="minorHAnsi"/>
          <w:sz w:val="22"/>
          <w:szCs w:val="22"/>
        </w:rPr>
        <w:t xml:space="preserve">. Oxford, Oxford University Press, 2019, p. 102.  In order to this do this I ensured that I maintained a good posture, held my head high and made direct eye contact with people who were present. I noticed when getting out of the vehicle a group of youths who were shouting and running around cross the road into a car park opposite. </w:t>
      </w:r>
    </w:p>
    <w:p w14:paraId="1E939429"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lastRenderedPageBreak/>
        <w:t xml:space="preserve">After exiting the vehicle I noticed a small group of people who appeared to be crouched around someone on the ground, fearing this was someone injured I began to approach, whilst doing so many of the people crouched around began shouting for me to help a young girl who appeared to be unconscious on the ground. I directed my colleague to go to the girl to provide first aid so I could find out who she was and how she had ended up unconscious on the floor. </w:t>
      </w:r>
    </w:p>
    <w:p w14:paraId="1EA7ABA8"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t xml:space="preserve">Realising that the people crouched around the girl while my colleague was giving first aid to the girl were causing issues rather than helping. I called a person who appeared to be being the most obstructive over to me and walked him a short distance away from the girl. Noticing that the male was intoxicated and emotionally charged from the situation I opted to ask him closed questions as oppose to open question as using closed questions was more likely to result in the person answering my question directly and was less likely to give a longwinded or irrelevant answer. Copeland, Andre. </w:t>
      </w:r>
      <w:r w:rsidRPr="00D31736">
        <w:rPr>
          <w:rFonts w:asciiTheme="minorHAnsi" w:hAnsiTheme="minorHAnsi" w:cstheme="minorHAnsi"/>
          <w:i/>
          <w:iCs/>
          <w:sz w:val="22"/>
          <w:szCs w:val="22"/>
        </w:rPr>
        <w:t>The Pros and Cons of Open and Closed Questions Closed Questions Usually Start With</w:t>
      </w:r>
      <w:r w:rsidRPr="00D31736">
        <w:rPr>
          <w:rFonts w:asciiTheme="minorHAnsi" w:hAnsiTheme="minorHAnsi" w:cstheme="minorHAnsi"/>
          <w:sz w:val="22"/>
          <w:szCs w:val="22"/>
        </w:rPr>
        <w:t xml:space="preserve">. Mar. 2017. The result of this was that the person I spoke to provided me with the information I needed at that moment, being who the girl was and the circumstances of her ending up unconscious on the floor. </w:t>
      </w:r>
    </w:p>
    <w:p w14:paraId="21711FCE"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t xml:space="preserve">Once I had gathered this information I was able to identify that the female who was unconscious was seventeen years old. This was a major vulnerability as she was effectivity a child who had been drinking inside of a licensed premises. Additionally her vulnerability was added to significantly as she was a child, who was unable to care for herself due to intoxication in an incident where fighting had been taking place.  The result of this was that a colleague along with myself placed her into a recovery position as she had been going in and out of consciousness and I instructed a male who said he was her boyfriend to call her parents. I stayed with the female and monitored to her. Whilst doing so I was crouched down next to her. As a result multiple people then began to approach us and attempt to interfere, after repeatedly warning people to move a projectile was thrown at us hitting a wall behind. Realising that the people present were becoming aggressive, and that officer presence and tactical communications were no longer effective resulting in an object being thrown. </w:t>
      </w:r>
      <w:r w:rsidRPr="00D31736">
        <w:rPr>
          <w:rFonts w:asciiTheme="minorHAnsi" w:hAnsiTheme="minorHAnsi" w:cstheme="minorHAnsi"/>
          <w:i/>
          <w:iCs/>
          <w:sz w:val="22"/>
          <w:szCs w:val="22"/>
        </w:rPr>
        <w:t>Blackstone’s Handbook for Policing Students 2020</w:t>
      </w:r>
      <w:r w:rsidRPr="00D31736">
        <w:rPr>
          <w:rFonts w:asciiTheme="minorHAnsi" w:hAnsiTheme="minorHAnsi" w:cstheme="minorHAnsi"/>
          <w:sz w:val="22"/>
          <w:szCs w:val="22"/>
        </w:rPr>
        <w:t>. Oxford, Oxford University Press, 2019, pp. 339–340.</w:t>
      </w:r>
    </w:p>
    <w:p w14:paraId="0BDDD82A" w14:textId="77777777" w:rsidR="00D31736" w:rsidRPr="00D31736" w:rsidRDefault="00D31736" w:rsidP="00D31736">
      <w:pPr>
        <w:pStyle w:val="NormalWeb"/>
        <w:shd w:val="clear" w:color="auto" w:fill="FFFFFF"/>
        <w:rPr>
          <w:rFonts w:asciiTheme="minorHAnsi" w:hAnsiTheme="minorHAnsi" w:cstheme="minorHAnsi"/>
          <w:color w:val="000000"/>
          <w:sz w:val="22"/>
          <w:szCs w:val="22"/>
        </w:rPr>
      </w:pPr>
      <w:r w:rsidRPr="00D31736">
        <w:rPr>
          <w:rFonts w:asciiTheme="minorHAnsi" w:hAnsiTheme="minorHAnsi" w:cstheme="minorHAnsi"/>
          <w:color w:val="000000"/>
          <w:sz w:val="22"/>
          <w:szCs w:val="22"/>
        </w:rPr>
        <w:t>‌</w:t>
      </w:r>
    </w:p>
    <w:p w14:paraId="58BA6AD2" w14:textId="77777777" w:rsidR="00D31736" w:rsidRPr="00D31736" w:rsidRDefault="00D31736" w:rsidP="00D31736">
      <w:pPr>
        <w:rPr>
          <w:rFonts w:asciiTheme="minorHAnsi" w:hAnsiTheme="minorHAnsi" w:cstheme="minorHAnsi"/>
          <w:sz w:val="22"/>
          <w:szCs w:val="22"/>
        </w:rPr>
      </w:pPr>
    </w:p>
    <w:p w14:paraId="02A0D089" w14:textId="77777777" w:rsidR="00D31736" w:rsidRPr="00D31736" w:rsidRDefault="00D31736" w:rsidP="00D31736">
      <w:pPr>
        <w:rPr>
          <w:rFonts w:asciiTheme="minorHAnsi" w:hAnsiTheme="minorHAnsi" w:cstheme="minorHAnsi"/>
          <w:sz w:val="22"/>
          <w:szCs w:val="22"/>
        </w:rPr>
      </w:pPr>
    </w:p>
    <w:p w14:paraId="6E6CCDDE"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t xml:space="preserve">Using the National Decision Model, </w:t>
      </w:r>
      <w:r w:rsidRPr="00D31736">
        <w:rPr>
          <w:rFonts w:asciiTheme="minorHAnsi" w:hAnsiTheme="minorHAnsi" w:cstheme="minorHAnsi"/>
          <w:i/>
          <w:sz w:val="22"/>
          <w:szCs w:val="22"/>
        </w:rPr>
        <w:t xml:space="preserve">College Of Policing. “National Decision Model.” </w:t>
      </w:r>
      <w:r w:rsidRPr="00D31736">
        <w:rPr>
          <w:rFonts w:asciiTheme="minorHAnsi" w:hAnsiTheme="minorHAnsi" w:cstheme="minorHAnsi"/>
          <w:i/>
          <w:iCs/>
          <w:sz w:val="22"/>
          <w:szCs w:val="22"/>
        </w:rPr>
        <w:t>Police.Uk</w:t>
      </w:r>
      <w:r w:rsidRPr="00D31736">
        <w:rPr>
          <w:rFonts w:asciiTheme="minorHAnsi" w:hAnsiTheme="minorHAnsi" w:cstheme="minorHAnsi"/>
          <w:i/>
          <w:sz w:val="22"/>
          <w:szCs w:val="22"/>
        </w:rPr>
        <w:t>, 2012, I</w:t>
      </w:r>
      <w:r w:rsidRPr="00D31736">
        <w:rPr>
          <w:rFonts w:asciiTheme="minorHAnsi" w:hAnsiTheme="minorHAnsi" w:cstheme="minorHAnsi"/>
          <w:sz w:val="22"/>
          <w:szCs w:val="22"/>
        </w:rPr>
        <w:t xml:space="preserve"> decided that for my safety, my colleagues and for the young female being cared for that the crowed would need to be dispersed. I stood up and approached the crowd, shouting at them to move away, they continued shouting and being aggressive. Due to the threat and risk that they presented to myself and others at that time, and that lesser strategies had been employed had failed. I took out my extendable baton and readied it on my shoulder and continued to shout at the crowd to move back. This appeared to be effective as the crowd began to disperse and many other moved up the street away from my location. This allowed me to return to my colleague and the female. </w:t>
      </w:r>
    </w:p>
    <w:p w14:paraId="5F229D08"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t xml:space="preserve">Shortly afterwards a male approached myself and my colleagues, I could see looking at him that he had facial injuries, in addition to the fact he was severely intoxicated as he was stumbling around. When talking to him it was hard to make sense as to what had happened as he could not provide a rational account of what had led to his injuries. Realising that the male had vulnerabilities in the form of he was highly intoxicated and had been attack resulting in facial injuries leaving him quite emotional. </w:t>
      </w:r>
    </w:p>
    <w:p w14:paraId="4DEF3584"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t xml:space="preserve">It is important to note that while the term ‘’vulnerable adult’’ is defined by the NHS ‘’as a vulnerable adult is a patient who is or may be for any reason unable to take care of him or herself, or unable to protect him or herself against significant harm or exploitation.’’ “What Does Vulnerable Adult Mean?” </w:t>
      </w:r>
      <w:r w:rsidRPr="00D31736">
        <w:rPr>
          <w:rFonts w:asciiTheme="minorHAnsi" w:hAnsiTheme="minorHAnsi" w:cstheme="minorHAnsi"/>
          <w:i/>
          <w:iCs/>
          <w:sz w:val="22"/>
          <w:szCs w:val="22"/>
        </w:rPr>
        <w:t>Uhs.Nhs.Uk</w:t>
      </w:r>
      <w:r w:rsidRPr="00D31736">
        <w:rPr>
          <w:rFonts w:asciiTheme="minorHAnsi" w:hAnsiTheme="minorHAnsi" w:cstheme="minorHAnsi"/>
          <w:sz w:val="22"/>
          <w:szCs w:val="22"/>
        </w:rPr>
        <w:t xml:space="preserve">, 2013 that the vulnerabilities of a person can vary at any given time as a result of the circumstances they are in. For example the male, in his ordinary everyday life he would be fully able and competent to care of himself and protect himself. However as a result of his situation the extent of his vulnerability can be defined in two distinct ways. Firstly, as a result of his drinking </w:t>
      </w:r>
      <w:r w:rsidRPr="00D31736">
        <w:rPr>
          <w:rFonts w:asciiTheme="minorHAnsi" w:hAnsiTheme="minorHAnsi" w:cstheme="minorHAnsi"/>
          <w:sz w:val="22"/>
          <w:szCs w:val="22"/>
        </w:rPr>
        <w:lastRenderedPageBreak/>
        <w:t xml:space="preserve">the male is highly intoxicated affecting his ability to make choices and to think rationally. </w:t>
      </w:r>
      <w:r w:rsidRPr="00D31736">
        <w:rPr>
          <w:rFonts w:asciiTheme="minorHAnsi" w:hAnsiTheme="minorHAnsi" w:cstheme="minorHAnsi"/>
          <w:i/>
          <w:sz w:val="22"/>
          <w:szCs w:val="22"/>
        </w:rPr>
        <w:t>Monico, Nicolle. “The Short &amp; Long-Term Physical &amp; Psychological Effects of Alcohol Use.”</w:t>
      </w:r>
      <w:r w:rsidRPr="00D31736">
        <w:rPr>
          <w:rFonts w:asciiTheme="minorHAnsi" w:hAnsiTheme="minorHAnsi" w:cstheme="minorHAnsi"/>
          <w:sz w:val="22"/>
          <w:szCs w:val="22"/>
        </w:rPr>
        <w:t xml:space="preserve">  In addition to this, the male had just been victim of an assault in which he sustained facial injuries. Moreover, VictimSupport.org explain that being the victim of crime can affect victims in numerous differing ways, one such is a rapid change of emotions. “How Can Crime Affect You? | Victim Support.” </w:t>
      </w:r>
      <w:r w:rsidRPr="00D31736">
        <w:rPr>
          <w:rFonts w:asciiTheme="minorHAnsi" w:hAnsiTheme="minorHAnsi" w:cstheme="minorHAnsi"/>
          <w:i/>
          <w:iCs/>
          <w:sz w:val="22"/>
          <w:szCs w:val="22"/>
        </w:rPr>
        <w:t>Victimsupport.org.Uk</w:t>
      </w:r>
      <w:r w:rsidRPr="00D31736">
        <w:rPr>
          <w:rFonts w:asciiTheme="minorHAnsi" w:hAnsiTheme="minorHAnsi" w:cstheme="minorHAnsi"/>
          <w:sz w:val="22"/>
          <w:szCs w:val="22"/>
        </w:rPr>
        <w:t xml:space="preserve">, 2016. When considering that the male is attempting processing the incident which had just taken place and noting the negative affect that alcohol has on rational thinking and choice it is therefore logical to conclude that as a result of the circumstances and events which had happened to the male that the extent of his vulnerabilities at that time is far greater at that moment in time than he would be in his ordinary everyday life. Due to this it is important to consider the male vulnerable at that moment in time and to treat him as such. </w:t>
      </w:r>
    </w:p>
    <w:p w14:paraId="6CE4DB39"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t xml:space="preserve">As a result of his intoxication, I was unable to take a formal witness statement and in line with force policy and guidelines of best practice published by the college of policing I was required to take a first account from the male instead, as his ability to recall and recant the information in a logical fashion was severely inhibited due to his intoxication. I escorted the male inside of the pub into a quite area where he was able to give an account detailing elements of an offence which he had been victim of, I explained that officers would contact him in the coming days in order to take a formal statement. </w:t>
      </w:r>
      <w:r w:rsidRPr="00D31736">
        <w:rPr>
          <w:rFonts w:asciiTheme="minorHAnsi" w:hAnsiTheme="minorHAnsi" w:cstheme="minorHAnsi"/>
          <w:i/>
          <w:iCs/>
          <w:sz w:val="22"/>
          <w:szCs w:val="22"/>
        </w:rPr>
        <w:t>Guidelines for First Responders</w:t>
      </w:r>
      <w:r w:rsidRPr="00D31736">
        <w:rPr>
          <w:rFonts w:asciiTheme="minorHAnsi" w:hAnsiTheme="minorHAnsi" w:cstheme="minorHAnsi"/>
          <w:sz w:val="22"/>
          <w:szCs w:val="22"/>
        </w:rPr>
        <w:t>. College of policing, 2019.</w:t>
      </w:r>
    </w:p>
    <w:p w14:paraId="22BB047B"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t xml:space="preserve">To conclude, I have reflected and reviewed my use of communication with both individuals and large groups and how my choice of open of closed questions can directly affect the answers I receive. I have considered how my body language can support or betray the message which I am attempting to convey. Moreover I have discussed the common consideration of what a vulnerable person is and considered an alternative view that vulnerability can be viewed as a scale with factors that push a person to be more or less vulnerable as a result of these factors. Overall, I feel for the most part I communicated effectively and considered the vulnerabilities of the individuals I encountered. That said I believe I could have utilized my tactical communication further when dealing with large crowds in addition to dealing with individuals, I believe I could have used more open questions to illicit further information which is something which I will take into consideration next time when interview victims  or witnesses as to what they have experienced or witnessed. </w:t>
      </w:r>
    </w:p>
    <w:p w14:paraId="7BA7B660" w14:textId="77777777" w:rsidR="00D31736" w:rsidRPr="00D31736" w:rsidRDefault="00D31736" w:rsidP="00D31736">
      <w:pPr>
        <w:pStyle w:val="NormalWeb"/>
        <w:shd w:val="clear" w:color="auto" w:fill="FFFFFF"/>
        <w:rPr>
          <w:rFonts w:asciiTheme="minorHAnsi" w:hAnsiTheme="minorHAnsi" w:cstheme="minorHAnsi"/>
          <w:color w:val="000000"/>
          <w:sz w:val="22"/>
          <w:szCs w:val="22"/>
        </w:rPr>
      </w:pPr>
      <w:r w:rsidRPr="00D31736">
        <w:rPr>
          <w:rFonts w:asciiTheme="minorHAnsi" w:hAnsiTheme="minorHAnsi" w:cstheme="minorHAnsi"/>
          <w:color w:val="000000"/>
          <w:sz w:val="22"/>
          <w:szCs w:val="22"/>
        </w:rPr>
        <w:t>‌Word Count = 1505</w:t>
      </w:r>
    </w:p>
    <w:p w14:paraId="6C0C7CF4" w14:textId="77777777" w:rsidR="00D31736" w:rsidRDefault="00D31736" w:rsidP="00D31736">
      <w:pPr>
        <w:rPr>
          <w:rFonts w:cstheme="minorHAnsi"/>
        </w:rPr>
      </w:pPr>
    </w:p>
    <w:p w14:paraId="3622950D" w14:textId="77777777" w:rsidR="00D31736" w:rsidRDefault="00D31736" w:rsidP="00D31736">
      <w:pPr>
        <w:pStyle w:val="NormalWeb"/>
        <w:shd w:val="clear" w:color="auto" w:fill="FFFFFF"/>
        <w:spacing w:before="0" w:beforeAutospacing="0" w:after="0" w:afterAutospacing="0" w:line="480" w:lineRule="atLeast"/>
        <w:rPr>
          <w:color w:val="000000"/>
        </w:rPr>
      </w:pPr>
    </w:p>
    <w:p w14:paraId="67BCE9AA" w14:textId="77777777" w:rsidR="00D31736" w:rsidRDefault="00D31736" w:rsidP="00D31736">
      <w:pPr>
        <w:pStyle w:val="NormalWeb"/>
        <w:shd w:val="clear" w:color="auto" w:fill="FFFFFF"/>
        <w:rPr>
          <w:color w:val="000000"/>
        </w:rPr>
      </w:pPr>
      <w:r>
        <w:rPr>
          <w:color w:val="000000"/>
        </w:rPr>
        <w:t>‌</w:t>
      </w:r>
    </w:p>
    <w:p w14:paraId="555D05B5" w14:textId="77777777" w:rsidR="00D31736" w:rsidRPr="00031854" w:rsidRDefault="00D31736" w:rsidP="00D31736">
      <w:pPr>
        <w:rPr>
          <w:rFonts w:cstheme="minorHAnsi"/>
        </w:rPr>
      </w:pPr>
    </w:p>
    <w:p w14:paraId="6CB0E09F" w14:textId="77777777" w:rsidR="00D31736" w:rsidRPr="009B77E7" w:rsidRDefault="00D31736" w:rsidP="00D31736">
      <w:pPr>
        <w:rPr>
          <w:rFonts w:cstheme="minorHAnsi"/>
        </w:rPr>
      </w:pPr>
    </w:p>
    <w:p w14:paraId="58A614DE" w14:textId="77777777" w:rsidR="00D31736" w:rsidRDefault="00D31736" w:rsidP="00D31736">
      <w:pPr>
        <w:pStyle w:val="NormalWeb"/>
        <w:shd w:val="clear" w:color="auto" w:fill="FFFFFF"/>
        <w:rPr>
          <w:color w:val="000000"/>
        </w:rPr>
      </w:pPr>
      <w:r>
        <w:rPr>
          <w:color w:val="000000"/>
        </w:rPr>
        <w:t>‌</w:t>
      </w:r>
    </w:p>
    <w:p w14:paraId="767B7212" w14:textId="77777777" w:rsidR="00D31736" w:rsidRPr="00735155" w:rsidRDefault="00D31736" w:rsidP="00D31736">
      <w:pPr>
        <w:rPr>
          <w:rFonts w:cstheme="minorHAnsi"/>
        </w:rPr>
      </w:pPr>
    </w:p>
    <w:p w14:paraId="78D40C2E" w14:textId="77777777" w:rsidR="00D31736" w:rsidRDefault="00D31736" w:rsidP="00D31736">
      <w:pPr>
        <w:pStyle w:val="NormalWeb"/>
        <w:shd w:val="clear" w:color="auto" w:fill="FFFFFF"/>
        <w:rPr>
          <w:color w:val="000000"/>
        </w:rPr>
      </w:pPr>
      <w:r>
        <w:rPr>
          <w:color w:val="000000"/>
        </w:rPr>
        <w:t>‌</w:t>
      </w:r>
    </w:p>
    <w:p w14:paraId="79E4336C" w14:textId="77777777" w:rsidR="00D31736" w:rsidRPr="00BC59C0" w:rsidRDefault="00D31736" w:rsidP="00D31736"/>
    <w:p w14:paraId="4295BA09" w14:textId="77777777" w:rsidR="00D31736" w:rsidRPr="00BC59C0" w:rsidRDefault="00D31736" w:rsidP="00D31736">
      <w:pPr>
        <w:pStyle w:val="NormalWeb"/>
        <w:shd w:val="clear" w:color="auto" w:fill="FFFFFF"/>
        <w:rPr>
          <w:rFonts w:asciiTheme="minorHAnsi" w:hAnsiTheme="minorHAnsi" w:cstheme="minorHAnsi"/>
          <w:color w:val="000000"/>
          <w:sz w:val="22"/>
          <w:szCs w:val="22"/>
        </w:rPr>
      </w:pPr>
      <w:r w:rsidRPr="00BC59C0">
        <w:rPr>
          <w:rFonts w:asciiTheme="minorHAnsi" w:hAnsiTheme="minorHAnsi" w:cstheme="minorHAnsi"/>
          <w:color w:val="000000"/>
          <w:sz w:val="22"/>
          <w:szCs w:val="22"/>
        </w:rPr>
        <w:t>‌</w:t>
      </w:r>
    </w:p>
    <w:p w14:paraId="050EB23B" w14:textId="77777777" w:rsidR="00D31736" w:rsidRDefault="00D31736" w:rsidP="00D31736"/>
    <w:p w14:paraId="1FD83570" w14:textId="77777777" w:rsidR="00D31736" w:rsidRDefault="00D31736" w:rsidP="00D31736"/>
    <w:p w14:paraId="79C6F38B" w14:textId="77777777" w:rsidR="00AA666E" w:rsidRPr="00D31736" w:rsidRDefault="00AA666E" w:rsidP="00340E9A">
      <w:pPr>
        <w:ind w:right="237"/>
        <w:jc w:val="both"/>
        <w:rPr>
          <w:rFonts w:asciiTheme="minorHAnsi" w:hAnsiTheme="minorHAnsi" w:cstheme="minorHAnsi"/>
          <w:sz w:val="22"/>
          <w:szCs w:val="22"/>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12154F4"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t>This essay I will be using Borton’s reflective model to reflect on an interview I conducted during the tutor phase of my probation. I will exploring the reasons PACE was introduced in relation to interviewing and discussing the standardised ‘’PEACE’’ model. I will then explore how I prepared for my interview the considerations and responsibilities I have when interviewing a suspect under eight teen. I will then discuss how I conducted the interview and will reflect on my successes and areas for improvement.</w:t>
      </w:r>
    </w:p>
    <w:p w14:paraId="36C4DC20"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t xml:space="preserve">The current ‘’PEACE’’ interviewing model which is currently applied has derived from the Police services failings leading up to the 1980’s, most notably cases such as the ‘Cardiff three’’ Campbell, Duncan. “The Cardiff Three: The Long Wait for Justice.” </w:t>
      </w:r>
      <w:r w:rsidRPr="00D31736">
        <w:rPr>
          <w:rFonts w:asciiTheme="minorHAnsi" w:hAnsiTheme="minorHAnsi" w:cstheme="minorHAnsi"/>
          <w:i/>
          <w:iCs/>
          <w:sz w:val="22"/>
          <w:szCs w:val="22"/>
        </w:rPr>
        <w:t>The Guardian</w:t>
      </w:r>
      <w:r w:rsidRPr="00D31736">
        <w:rPr>
          <w:rFonts w:asciiTheme="minorHAnsi" w:hAnsiTheme="minorHAnsi" w:cstheme="minorHAnsi"/>
          <w:sz w:val="22"/>
          <w:szCs w:val="22"/>
        </w:rPr>
        <w:t xml:space="preserve">, The Guardian, 17 Sept. 2012. Former Detective superintendent Dr. Andy Griffiths indicates that major contributing factors to miscarriages of justice such as the Cardiff Three, Birmingham Six and the Guildford four as a direct result of poor training as officer would often only seek to gain a confession, often as a result overlooking evidence which may disprove an offence. Griffiths, Andy. “How the UK Police Interview Suspects.” </w:t>
      </w:r>
      <w:r w:rsidRPr="00D31736">
        <w:rPr>
          <w:rFonts w:asciiTheme="minorHAnsi" w:hAnsiTheme="minorHAnsi" w:cstheme="minorHAnsi"/>
          <w:i/>
          <w:iCs/>
          <w:sz w:val="22"/>
          <w:szCs w:val="22"/>
        </w:rPr>
        <w:t>Innocence Project</w:t>
      </w:r>
      <w:r w:rsidRPr="00D31736">
        <w:rPr>
          <w:rFonts w:asciiTheme="minorHAnsi" w:hAnsiTheme="minorHAnsi" w:cstheme="minorHAnsi"/>
          <w:sz w:val="22"/>
          <w:szCs w:val="22"/>
        </w:rPr>
        <w:t xml:space="preserve">, 21 Dec. 2012. Moreover in his 1992 report, John Baldwin accredits the failings of police interviews during this period to ‘a lack of preparation, a general ineptitude, poor technique, an assumption of guilt, unduly repetitive, persistent or laboured questioning, a failure to establish relevant facts and the exertion of too much pressure’’ Baldwin, John, and Great Britain. Police Research Group. </w:t>
      </w:r>
      <w:r w:rsidRPr="00D31736">
        <w:rPr>
          <w:rFonts w:asciiTheme="minorHAnsi" w:hAnsiTheme="minorHAnsi" w:cstheme="minorHAnsi"/>
          <w:i/>
          <w:iCs/>
          <w:sz w:val="22"/>
          <w:szCs w:val="22"/>
        </w:rPr>
        <w:t>Video Taping Police Interviews with Suspects : An Evaluation</w:t>
      </w:r>
      <w:r w:rsidRPr="00D31736">
        <w:rPr>
          <w:rFonts w:asciiTheme="minorHAnsi" w:hAnsiTheme="minorHAnsi" w:cstheme="minorHAnsi"/>
          <w:sz w:val="22"/>
          <w:szCs w:val="22"/>
        </w:rPr>
        <w:t xml:space="preserve">. London, Home Office Police Department, 1992, p. p32. It is undoubtedly a combination of these factors which had led to the miscarriages of justice which left a stain on public perception of policing. It is precisely for this reason it is imperative to conduct all investigations and interviews in line with PACE. </w:t>
      </w:r>
    </w:p>
    <w:p w14:paraId="393D760A"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lastRenderedPageBreak/>
        <w:t xml:space="preserve">The Police and Criminal Evidence act introduced in 1984 provided national standardisation and training for all police forces England and Wales and provided the framework on which the current ‘’PEACE’’ model is built. This consists of Planning and preparation, this is considered the most important aspect of the model as it allows for officers to collate all evidence available at that time, from this they can ascertain facts they know in addition to any outstanding information they do not have, which can then be accounted for in interview. Moreover, it allows for an officer to ascertain which topics they wish to cover. Therefore, it is integral to have through planning and preparation as it will result in a professional effective interview.  </w:t>
      </w:r>
      <w:r w:rsidRPr="00D31736">
        <w:rPr>
          <w:rFonts w:asciiTheme="minorHAnsi" w:hAnsiTheme="minorHAnsi" w:cstheme="minorHAnsi"/>
          <w:i/>
          <w:iCs/>
          <w:sz w:val="22"/>
          <w:szCs w:val="22"/>
        </w:rPr>
        <w:t>Blackstone’s Handbook for Policing Students 2020</w:t>
      </w:r>
      <w:r w:rsidRPr="00D31736">
        <w:rPr>
          <w:rFonts w:asciiTheme="minorHAnsi" w:hAnsiTheme="minorHAnsi" w:cstheme="minorHAnsi"/>
          <w:sz w:val="22"/>
          <w:szCs w:val="22"/>
        </w:rPr>
        <w:t>. Oxford, Oxford University Press, 2019, pp. 563–564.</w:t>
      </w:r>
    </w:p>
    <w:p w14:paraId="05E6433D" w14:textId="77777777" w:rsidR="00D31736" w:rsidRPr="00D31736" w:rsidRDefault="00D31736" w:rsidP="00D31736">
      <w:pPr>
        <w:pStyle w:val="NormalWeb"/>
        <w:shd w:val="clear" w:color="auto" w:fill="FFFFFF"/>
        <w:rPr>
          <w:rFonts w:asciiTheme="minorHAnsi" w:hAnsiTheme="minorHAnsi" w:cstheme="minorHAnsi"/>
          <w:color w:val="000000"/>
          <w:sz w:val="22"/>
          <w:szCs w:val="22"/>
        </w:rPr>
      </w:pPr>
      <w:r w:rsidRPr="00D31736">
        <w:rPr>
          <w:rFonts w:asciiTheme="minorHAnsi" w:hAnsiTheme="minorHAnsi" w:cstheme="minorHAnsi"/>
          <w:color w:val="000000"/>
          <w:sz w:val="22"/>
          <w:szCs w:val="22"/>
        </w:rPr>
        <w:t xml:space="preserve">The Engage and explain essentially is set the atmosphere for the interview and is aimed to create an atmosphere where the suspect to engage in interviewing as a result of building rapport. Furthermore it aims to calm the interviewee as the interviewer essentially outlines how the interview will take place so the interviewee is left in no doubt as to what to interviewer is attempting to achieve and what is expected from the interviewee. “Investigative Interviewing.” </w:t>
      </w:r>
      <w:r w:rsidRPr="00D31736">
        <w:rPr>
          <w:rFonts w:asciiTheme="minorHAnsi" w:hAnsiTheme="minorHAnsi" w:cstheme="minorHAnsi"/>
          <w:i/>
          <w:iCs/>
          <w:color w:val="000000"/>
          <w:sz w:val="22"/>
          <w:szCs w:val="22"/>
        </w:rPr>
        <w:t>Police.Uk</w:t>
      </w:r>
      <w:r w:rsidRPr="00D31736">
        <w:rPr>
          <w:rFonts w:asciiTheme="minorHAnsi" w:hAnsiTheme="minorHAnsi" w:cstheme="minorHAnsi"/>
          <w:color w:val="000000"/>
          <w:sz w:val="22"/>
          <w:szCs w:val="22"/>
        </w:rPr>
        <w:t xml:space="preserve">, 2011, </w:t>
      </w:r>
    </w:p>
    <w:p w14:paraId="6DAE3A52" w14:textId="77777777" w:rsidR="00D31736" w:rsidRPr="00D31736" w:rsidRDefault="00D31736" w:rsidP="00D31736">
      <w:pPr>
        <w:pStyle w:val="NormalWeb"/>
        <w:shd w:val="clear" w:color="auto" w:fill="FFFFFF"/>
        <w:rPr>
          <w:rFonts w:asciiTheme="minorHAnsi" w:hAnsiTheme="minorHAnsi" w:cstheme="minorHAnsi"/>
          <w:color w:val="000000"/>
          <w:sz w:val="22"/>
          <w:szCs w:val="22"/>
        </w:rPr>
      </w:pPr>
      <w:r w:rsidRPr="00D31736">
        <w:rPr>
          <w:rFonts w:asciiTheme="minorHAnsi" w:hAnsiTheme="minorHAnsi" w:cstheme="minorHAnsi"/>
          <w:color w:val="000000"/>
          <w:sz w:val="22"/>
          <w:szCs w:val="22"/>
        </w:rPr>
        <w:t xml:space="preserve">Account, clarify and challenge. The account phase gives the interviewee a chance to provide a ‘free narrative’ in relation to the alleged offence, once this has concluded the interviewer will then ask probing question around the same topic the interviewee has already discussed to illicit further information of seek clarification. It is then best practice for the interviewer to summarize the information in relation to that topic, this allows for the interviewee to reflect on and change or clarify their account. The challenge phase is started when the account has finished, this is where the interviewer will compare the account given with evidence and will challenge any inconsistencies between the two in order to illicit further information as to why there is an inconsistency and allow for the interviewee to account for this. </w:t>
      </w:r>
      <w:r w:rsidRPr="00D31736">
        <w:rPr>
          <w:rFonts w:asciiTheme="minorHAnsi" w:hAnsiTheme="minorHAnsi" w:cstheme="minorHAnsi"/>
          <w:i/>
          <w:iCs/>
          <w:color w:val="000000"/>
          <w:sz w:val="22"/>
          <w:szCs w:val="22"/>
        </w:rPr>
        <w:t>Blackstone’s Handbook for Policing Students 2020</w:t>
      </w:r>
      <w:r w:rsidRPr="00D31736">
        <w:rPr>
          <w:rFonts w:asciiTheme="minorHAnsi" w:hAnsiTheme="minorHAnsi" w:cstheme="minorHAnsi"/>
          <w:color w:val="000000"/>
          <w:sz w:val="22"/>
          <w:szCs w:val="22"/>
        </w:rPr>
        <w:t>. Oxford, Oxford University Press, 2019, p. 567.</w:t>
      </w:r>
    </w:p>
    <w:p w14:paraId="25E31C29" w14:textId="171E513B" w:rsidR="00D31736" w:rsidRPr="00D31736" w:rsidRDefault="00D31736" w:rsidP="00D31736">
      <w:pPr>
        <w:pStyle w:val="NormalWeb"/>
        <w:shd w:val="clear" w:color="auto" w:fill="FFFFFF"/>
        <w:rPr>
          <w:rFonts w:asciiTheme="minorHAnsi" w:hAnsiTheme="minorHAnsi" w:cstheme="minorHAnsi"/>
          <w:color w:val="000000"/>
          <w:sz w:val="22"/>
          <w:szCs w:val="22"/>
        </w:rPr>
      </w:pPr>
      <w:r w:rsidRPr="00D31736">
        <w:rPr>
          <w:rFonts w:asciiTheme="minorHAnsi" w:hAnsiTheme="minorHAnsi" w:cstheme="minorHAnsi"/>
          <w:color w:val="000000"/>
          <w:sz w:val="22"/>
          <w:szCs w:val="22"/>
        </w:rPr>
        <w:t xml:space="preserve">‌ Closure and evaluation. Here the interviewer summarize the whole interview to allow the interviewee to review and clarify any information they have provided and allow them to ask them any questions they have in addition to explaining the steps. This allows for the rapport established throughout the interview to continue. </w:t>
      </w:r>
      <w:r w:rsidRPr="00D31736">
        <w:rPr>
          <w:rFonts w:asciiTheme="minorHAnsi" w:hAnsiTheme="minorHAnsi" w:cstheme="minorHAnsi"/>
          <w:i/>
          <w:iCs/>
          <w:color w:val="000000"/>
          <w:sz w:val="22"/>
          <w:szCs w:val="22"/>
        </w:rPr>
        <w:t>Blackstone’s Handbook for Policing Students 2020</w:t>
      </w:r>
      <w:r w:rsidRPr="00D31736">
        <w:rPr>
          <w:rFonts w:asciiTheme="minorHAnsi" w:hAnsiTheme="minorHAnsi" w:cstheme="minorHAnsi"/>
          <w:color w:val="000000"/>
          <w:sz w:val="22"/>
          <w:szCs w:val="22"/>
        </w:rPr>
        <w:t>. Oxford, Oxford University Press, 2019, p. 568.</w:t>
      </w:r>
    </w:p>
    <w:p w14:paraId="14BC081F" w14:textId="77777777" w:rsidR="00D31736" w:rsidRPr="00D31736" w:rsidRDefault="00D31736" w:rsidP="00D31736">
      <w:pPr>
        <w:pStyle w:val="NormalWeb"/>
        <w:shd w:val="clear" w:color="auto" w:fill="FFFFFF"/>
        <w:rPr>
          <w:rFonts w:asciiTheme="minorHAnsi" w:hAnsiTheme="minorHAnsi" w:cstheme="minorHAnsi"/>
          <w:color w:val="000000"/>
          <w:sz w:val="22"/>
          <w:szCs w:val="22"/>
        </w:rPr>
      </w:pPr>
      <w:r w:rsidRPr="00D31736">
        <w:rPr>
          <w:rFonts w:asciiTheme="minorHAnsi" w:hAnsiTheme="minorHAnsi" w:cstheme="minorHAnsi"/>
          <w:color w:val="000000"/>
          <w:sz w:val="22"/>
          <w:szCs w:val="22"/>
        </w:rPr>
        <w:t xml:space="preserve"> Through thorough and consistent use of this model and consideration when interviewing of the key principles which underpin the system. The benefits of this model include an increase in public confidence as this process allows for identification of the guilty and exoneration of innocent people, thus eliminating the chance of gross miscarriages of justice as discussed previously. Moreover, the model ensure a consistent performance from the interviewer as it provides a standardised framework in addition to correct use of this model allows for support of victims through correct interview technique and aids in dealing with suspects. “Investigative Interviewing.” </w:t>
      </w:r>
      <w:r w:rsidRPr="00D31736">
        <w:rPr>
          <w:rFonts w:asciiTheme="minorHAnsi" w:hAnsiTheme="minorHAnsi" w:cstheme="minorHAnsi"/>
          <w:i/>
          <w:iCs/>
          <w:color w:val="000000"/>
          <w:sz w:val="22"/>
          <w:szCs w:val="22"/>
        </w:rPr>
        <w:t>Police.Uk</w:t>
      </w:r>
      <w:r w:rsidRPr="00D31736">
        <w:rPr>
          <w:rFonts w:asciiTheme="minorHAnsi" w:hAnsiTheme="minorHAnsi" w:cstheme="minorHAnsi"/>
          <w:color w:val="000000"/>
          <w:sz w:val="22"/>
          <w:szCs w:val="22"/>
        </w:rPr>
        <w:t>, 2011.</w:t>
      </w:r>
    </w:p>
    <w:p w14:paraId="0C903BB9" w14:textId="77777777" w:rsidR="00D31736" w:rsidRPr="00D31736" w:rsidRDefault="00D31736" w:rsidP="00D31736">
      <w:pPr>
        <w:pStyle w:val="NormalWeb"/>
        <w:shd w:val="clear" w:color="auto" w:fill="FFFFFF"/>
        <w:rPr>
          <w:rFonts w:asciiTheme="minorHAnsi" w:hAnsiTheme="minorHAnsi" w:cstheme="minorHAnsi"/>
          <w:color w:val="000000"/>
          <w:sz w:val="22"/>
          <w:szCs w:val="22"/>
        </w:rPr>
      </w:pPr>
      <w:r w:rsidRPr="00D31736">
        <w:rPr>
          <w:rFonts w:asciiTheme="minorHAnsi" w:hAnsiTheme="minorHAnsi" w:cstheme="minorHAnsi"/>
          <w:color w:val="000000"/>
          <w:sz w:val="22"/>
          <w:szCs w:val="22"/>
        </w:rPr>
        <w:t xml:space="preserve">As discussed prior, the planning and preparation provides the baseline for a successful interview. My interview related to a dangerous driving where a male under eighteen had bought a vehicle, been seen driving by police before deciding to make off from police where he crashed the vehicle into a lamppost at a high speed before running away from the scene. </w:t>
      </w:r>
    </w:p>
    <w:p w14:paraId="144FCD00" w14:textId="77777777" w:rsidR="00D31736" w:rsidRPr="00D31736" w:rsidRDefault="00D31736" w:rsidP="00D31736">
      <w:pPr>
        <w:pStyle w:val="NormalWeb"/>
        <w:shd w:val="clear" w:color="auto" w:fill="FFFFFF"/>
        <w:rPr>
          <w:rFonts w:asciiTheme="minorHAnsi" w:hAnsiTheme="minorHAnsi" w:cstheme="minorHAnsi"/>
          <w:color w:val="000000"/>
          <w:sz w:val="22"/>
          <w:szCs w:val="22"/>
        </w:rPr>
      </w:pPr>
      <w:r w:rsidRPr="00D31736">
        <w:rPr>
          <w:rFonts w:asciiTheme="minorHAnsi" w:hAnsiTheme="minorHAnsi" w:cstheme="minorHAnsi"/>
          <w:color w:val="000000"/>
          <w:sz w:val="22"/>
          <w:szCs w:val="22"/>
        </w:rPr>
        <w:t xml:space="preserve">My first course of action was to ascertain what information I already had available to me. For this, I viewed the occurrence on local force systems which provided me with the command and dispatch log, containing transcripts of the officers radio transmissions in relation to the offence, in addition to two statements from arresting officers both containing a significant statement suggestive of the interviewee’s guilt and a statement from a male who the interviewee had bought the vehicle from. This provided me with evidence which I could put to the interviewee should he provide an alternate </w:t>
      </w:r>
      <w:r w:rsidRPr="00D31736">
        <w:rPr>
          <w:rFonts w:asciiTheme="minorHAnsi" w:hAnsiTheme="minorHAnsi" w:cstheme="minorHAnsi"/>
          <w:color w:val="000000"/>
          <w:sz w:val="22"/>
          <w:szCs w:val="22"/>
        </w:rPr>
        <w:lastRenderedPageBreak/>
        <w:t xml:space="preserve">account or not provide any account. Moreover, from researching local systems I was able to establish he had prior contact with police, but none in relation to motoring offences. However, the evidence which I was able to establish allowed me to create the base of my interview, as I now had multiple topics and multiple subsequent questions along with each topic. </w:t>
      </w:r>
    </w:p>
    <w:p w14:paraId="54783398" w14:textId="77777777" w:rsidR="00D31736" w:rsidRPr="00D31736" w:rsidRDefault="00D31736" w:rsidP="00D31736">
      <w:pPr>
        <w:pStyle w:val="NormalWeb"/>
        <w:shd w:val="clear" w:color="auto" w:fill="FFFFFF"/>
        <w:rPr>
          <w:rFonts w:asciiTheme="minorHAnsi" w:hAnsiTheme="minorHAnsi" w:cstheme="minorHAnsi"/>
          <w:color w:val="000000"/>
          <w:sz w:val="22"/>
          <w:szCs w:val="22"/>
        </w:rPr>
      </w:pPr>
      <w:r w:rsidRPr="00D31736">
        <w:rPr>
          <w:rFonts w:asciiTheme="minorHAnsi" w:hAnsiTheme="minorHAnsi" w:cstheme="minorHAnsi"/>
          <w:color w:val="000000"/>
          <w:sz w:val="22"/>
          <w:szCs w:val="22"/>
        </w:rPr>
        <w:t xml:space="preserve">Furthermore, through researching the individual I was able to ascertain he was under the age of eight teen. As such the Police and Criminal Evidence act entitles the juvenile to have an appropriate adult present with them whilst being interviewed as their role is to ensure that not only the interview is being conducted with fairness and respect to the interviewee. Although their role is not to provide legal advice, they are there to protect the rights of the detained person and to aid in communication with the interviewee. </w:t>
      </w:r>
      <w:r w:rsidRPr="00D31736">
        <w:rPr>
          <w:rFonts w:asciiTheme="minorHAnsi" w:hAnsiTheme="minorHAnsi" w:cstheme="minorHAnsi"/>
          <w:i/>
          <w:iCs/>
          <w:color w:val="000000"/>
          <w:sz w:val="22"/>
          <w:szCs w:val="22"/>
        </w:rPr>
        <w:t>GUIDANCE FOR APPROPRIATE ADULTS</w:t>
      </w:r>
      <w:r w:rsidRPr="00D31736">
        <w:rPr>
          <w:rFonts w:asciiTheme="minorHAnsi" w:hAnsiTheme="minorHAnsi" w:cstheme="minorHAnsi"/>
          <w:color w:val="000000"/>
          <w:sz w:val="22"/>
          <w:szCs w:val="22"/>
        </w:rPr>
        <w:t xml:space="preserve">. Home Office. I informed the appropriate adult of his responsibilities prior to interview as it was the first time he had acted as one, this was further explained in the explain and engage phase of the interview where I clarified he fully understood his role. </w:t>
      </w:r>
    </w:p>
    <w:p w14:paraId="226029B5" w14:textId="77777777" w:rsidR="00D31736" w:rsidRPr="00D31736" w:rsidRDefault="00D31736" w:rsidP="00D31736">
      <w:pPr>
        <w:pStyle w:val="NormalWeb"/>
        <w:shd w:val="clear" w:color="auto" w:fill="FFFFFF"/>
        <w:rPr>
          <w:rFonts w:asciiTheme="minorHAnsi" w:hAnsiTheme="minorHAnsi" w:cstheme="minorHAnsi"/>
          <w:color w:val="000000"/>
          <w:sz w:val="22"/>
          <w:szCs w:val="22"/>
        </w:rPr>
      </w:pPr>
      <w:r w:rsidRPr="00D31736">
        <w:rPr>
          <w:rFonts w:asciiTheme="minorHAnsi" w:hAnsiTheme="minorHAnsi" w:cstheme="minorHAnsi"/>
          <w:color w:val="000000"/>
          <w:sz w:val="22"/>
          <w:szCs w:val="22"/>
        </w:rPr>
        <w:t xml:space="preserve">In relation to the interview, as a result of the thorough planning and preparation I had done prior to interview, I was full aware of what information I had, and what I would like to obtain. This gave me ample topics should the male decide he did not want to engage. Once in interview and as I began the engage and explain phase I could see the young male was visibly nervous, although as I explained the reasons for the interview and what my aims and objectives were he appeared to relax somewhat. When given the chance to provide a free narrative, the male provide a full and frank account, I asked some probing questions in relation to where exactly he was driving, his manner of driving and any experience he had and what he was thinking at the time of the offence. To these he provided full answers and was actively providing information throughout the interview, this allowed me to ask more open questions as I could see it was eliciting far more information than closed questions, the only closed question I was required to ask was for clarification needing yes or no answers. I did not include a challenge phase as I believed I had covered all points to prove for the offence of dangerous driving, something which my tutor stepped in and conducted a challenge phase before closure and evaluation, I should have put all the points we had established to the male to establish that beyond all doubt his driving was dangerous, this will be something I take forward into future interviews. </w:t>
      </w:r>
    </w:p>
    <w:p w14:paraId="5E2CD646" w14:textId="77777777" w:rsidR="00D31736" w:rsidRPr="00D31736" w:rsidRDefault="00D31736" w:rsidP="00D31736">
      <w:pPr>
        <w:pStyle w:val="NormalWeb"/>
        <w:shd w:val="clear" w:color="auto" w:fill="FFFFFF"/>
        <w:rPr>
          <w:rFonts w:asciiTheme="minorHAnsi" w:hAnsiTheme="minorHAnsi" w:cstheme="minorHAnsi"/>
          <w:color w:val="000000"/>
          <w:sz w:val="22"/>
          <w:szCs w:val="22"/>
        </w:rPr>
      </w:pPr>
      <w:r w:rsidRPr="00D31736">
        <w:rPr>
          <w:rFonts w:asciiTheme="minorHAnsi" w:hAnsiTheme="minorHAnsi" w:cstheme="minorHAnsi"/>
          <w:color w:val="000000"/>
          <w:sz w:val="22"/>
          <w:szCs w:val="22"/>
        </w:rPr>
        <w:t xml:space="preserve">To conclude, I have explored the reasons and importance of the Police and Criminal Evidence act 1984 in addition to exploring the importance of having a structured interviewing model. I have discussed the current ‘’PEACE’’ model and explored its benefits for the police and public. Moreover I have explored an interview I conducted and demonstrated my considerations and responsibilities in relation to vulnerable people. Lastly, I have reflected on my own performance, illustrated what I achieved and areas for development. </w:t>
      </w:r>
    </w:p>
    <w:p w14:paraId="79252D3E" w14:textId="77777777" w:rsidR="00D31736" w:rsidRPr="00D31736" w:rsidRDefault="00D31736" w:rsidP="00D31736">
      <w:pPr>
        <w:pStyle w:val="NormalWeb"/>
        <w:shd w:val="clear" w:color="auto" w:fill="FFFFFF"/>
        <w:rPr>
          <w:rFonts w:asciiTheme="minorHAnsi" w:hAnsiTheme="minorHAnsi" w:cstheme="minorHAnsi"/>
          <w:color w:val="000000"/>
          <w:sz w:val="22"/>
          <w:szCs w:val="22"/>
        </w:rPr>
      </w:pPr>
      <w:r w:rsidRPr="00D31736">
        <w:rPr>
          <w:rFonts w:asciiTheme="minorHAnsi" w:hAnsiTheme="minorHAnsi" w:cstheme="minorHAnsi"/>
          <w:color w:val="000000"/>
          <w:sz w:val="22"/>
          <w:szCs w:val="22"/>
        </w:rPr>
        <w:t xml:space="preserve">Word Count = 1536 </w:t>
      </w:r>
    </w:p>
    <w:p w14:paraId="2245A05B" w14:textId="77777777" w:rsidR="00D31736" w:rsidRPr="008B7FDA" w:rsidRDefault="00D31736" w:rsidP="00D31736">
      <w:pPr>
        <w:pStyle w:val="NormalWeb"/>
        <w:shd w:val="clear" w:color="auto" w:fill="FFFFFF"/>
        <w:rPr>
          <w:rFonts w:asciiTheme="minorHAnsi" w:hAnsiTheme="minorHAnsi" w:cstheme="minorHAnsi"/>
          <w:color w:val="000000"/>
          <w:sz w:val="22"/>
          <w:szCs w:val="22"/>
        </w:rPr>
      </w:pPr>
      <w:r w:rsidRPr="008B7FDA">
        <w:rPr>
          <w:rFonts w:asciiTheme="minorHAnsi" w:hAnsiTheme="minorHAnsi" w:cstheme="minorHAnsi"/>
          <w:color w:val="000000"/>
          <w:sz w:val="22"/>
          <w:szCs w:val="22"/>
        </w:rPr>
        <w:t>‌</w:t>
      </w:r>
    </w:p>
    <w:p w14:paraId="64258E36" w14:textId="77777777" w:rsidR="00D31736" w:rsidRPr="00286FC6" w:rsidRDefault="00D31736" w:rsidP="00D31736">
      <w:pPr>
        <w:pStyle w:val="NormalWeb"/>
        <w:shd w:val="clear" w:color="auto" w:fill="FFFFFF"/>
        <w:rPr>
          <w:rFonts w:asciiTheme="minorHAnsi" w:hAnsiTheme="minorHAnsi" w:cstheme="minorHAnsi"/>
          <w:color w:val="000000"/>
          <w:sz w:val="22"/>
          <w:szCs w:val="22"/>
        </w:rPr>
      </w:pPr>
    </w:p>
    <w:p w14:paraId="0FCD8E94" w14:textId="77777777" w:rsidR="00D31736" w:rsidRPr="00DA3D48" w:rsidRDefault="00D31736" w:rsidP="00D31736">
      <w:pPr>
        <w:pStyle w:val="NormalWeb"/>
        <w:shd w:val="clear" w:color="auto" w:fill="FFFFFF"/>
        <w:rPr>
          <w:rFonts w:asciiTheme="minorHAnsi" w:hAnsiTheme="minorHAnsi" w:cstheme="minorHAnsi"/>
          <w:color w:val="000000"/>
          <w:sz w:val="22"/>
          <w:szCs w:val="22"/>
        </w:rPr>
      </w:pPr>
    </w:p>
    <w:p w14:paraId="5BE378E3" w14:textId="77777777" w:rsidR="00D31736" w:rsidRDefault="00D31736" w:rsidP="00D31736">
      <w:pPr>
        <w:rPr>
          <w:rFonts w:cstheme="minorHAnsi"/>
        </w:rPr>
      </w:pPr>
    </w:p>
    <w:p w14:paraId="40A1945A" w14:textId="77777777" w:rsidR="00D31736" w:rsidRPr="00243E38" w:rsidRDefault="00D31736" w:rsidP="00D31736">
      <w:pPr>
        <w:rPr>
          <w:rFonts w:cstheme="minorHAnsi"/>
        </w:rPr>
      </w:pPr>
    </w:p>
    <w:p w14:paraId="11C50C27" w14:textId="77777777" w:rsidR="00D31736" w:rsidRDefault="00D31736" w:rsidP="00D31736">
      <w:pPr>
        <w:pStyle w:val="NormalWeb"/>
        <w:shd w:val="clear" w:color="auto" w:fill="FFFFFF"/>
        <w:rPr>
          <w:color w:val="000000"/>
        </w:rPr>
      </w:pPr>
      <w:r>
        <w:rPr>
          <w:color w:val="000000"/>
        </w:rPr>
        <w:t>‌</w:t>
      </w:r>
    </w:p>
    <w:p w14:paraId="4F6FE445" w14:textId="77777777" w:rsidR="00D31736" w:rsidRPr="000A0386" w:rsidRDefault="00D31736" w:rsidP="00D31736">
      <w:pPr>
        <w:rPr>
          <w:rFonts w:cstheme="minorHAnsi"/>
        </w:rPr>
      </w:pPr>
    </w:p>
    <w:p w14:paraId="12951C70" w14:textId="77777777" w:rsidR="00D31736" w:rsidRDefault="00D31736" w:rsidP="00D31736">
      <w:pPr>
        <w:pStyle w:val="NormalWeb"/>
        <w:shd w:val="clear" w:color="auto" w:fill="FFFFFF"/>
        <w:rPr>
          <w:color w:val="000000"/>
        </w:rPr>
      </w:pPr>
      <w:r>
        <w:rPr>
          <w:color w:val="000000"/>
        </w:rPr>
        <w:t>‌</w:t>
      </w:r>
    </w:p>
    <w:p w14:paraId="7D70A157" w14:textId="77777777" w:rsidR="00D31736" w:rsidRPr="003249D4" w:rsidRDefault="00D31736" w:rsidP="00D31736"/>
    <w:p w14:paraId="64EA90B2" w14:textId="77777777" w:rsidR="00D31736" w:rsidRDefault="00D31736" w:rsidP="00D31736">
      <w:pPr>
        <w:pStyle w:val="NormalWeb"/>
        <w:shd w:val="clear" w:color="auto" w:fill="FFFFFF"/>
        <w:rPr>
          <w:color w:val="000000"/>
        </w:rPr>
      </w:pPr>
      <w:r>
        <w:rPr>
          <w:color w:val="000000"/>
        </w:rPr>
        <w:lastRenderedPageBreak/>
        <w:t>‌</w:t>
      </w:r>
    </w:p>
    <w:p w14:paraId="15BDF3E1" w14:textId="77777777" w:rsidR="00D31736" w:rsidRDefault="00D31736" w:rsidP="00D31736"/>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05B7790A" w:rsidR="00025650" w:rsidRDefault="00025650" w:rsidP="00340E9A">
      <w:pPr>
        <w:ind w:right="237"/>
        <w:jc w:val="both"/>
        <w:rPr>
          <w:sz w:val="24"/>
          <w:szCs w:val="24"/>
        </w:rPr>
      </w:pPr>
    </w:p>
    <w:p w14:paraId="7F77C602"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t xml:space="preserve">This essay will be using Borton’s reflective model to reflect on an operation I took part in during my tutorship period during the corona virus pandemic to tackle Anti-social Behaviour which was an ongoing issue in a town, I will be exploring what anti-social behaviour is and the potential impacts on communities and discussing the roles and responsivities of the police service in addressing Anti-social behaviour such as Problem Orientated Policing model and the Problem Analysis Triangle. Moreover, I will illustrate how I demonstrated policing values and consider have bias could impact my decision making when dealing with Anti-social behaviour. </w:t>
      </w:r>
    </w:p>
    <w:p w14:paraId="30F42D38"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lastRenderedPageBreak/>
        <w:t xml:space="preserve">Anti-social behaviour in law is defined as ‘’Behaviour by a person which causes, or is likely to cause, Harassment, Alarm or distress  to persons not of the same household as the person’’ “Anti-Social Behaviour Act 2003.” </w:t>
      </w:r>
      <w:r w:rsidRPr="00D31736">
        <w:rPr>
          <w:rFonts w:asciiTheme="minorHAnsi" w:hAnsiTheme="minorHAnsi" w:cstheme="minorHAnsi"/>
          <w:i/>
          <w:iCs/>
          <w:sz w:val="22"/>
          <w:szCs w:val="22"/>
        </w:rPr>
        <w:t>Legislation.Gov.Uk</w:t>
      </w:r>
      <w:r w:rsidRPr="00D31736">
        <w:rPr>
          <w:rFonts w:asciiTheme="minorHAnsi" w:hAnsiTheme="minorHAnsi" w:cstheme="minorHAnsi"/>
          <w:sz w:val="22"/>
          <w:szCs w:val="22"/>
        </w:rPr>
        <w:t xml:space="preserve">, 2020, </w:t>
      </w:r>
      <w:hyperlink r:id="rId16" w:history="1">
        <w:r w:rsidRPr="00D31736">
          <w:rPr>
            <w:rStyle w:val="Hyperlink"/>
            <w:rFonts w:asciiTheme="minorHAnsi" w:hAnsiTheme="minorHAnsi" w:cstheme="minorHAnsi"/>
            <w:sz w:val="22"/>
            <w:szCs w:val="22"/>
          </w:rPr>
          <w:t>www.legislation.gov.uk/ukpga/2003/38/contents</w:t>
        </w:r>
      </w:hyperlink>
      <w:r w:rsidRPr="00D31736">
        <w:rPr>
          <w:rFonts w:asciiTheme="minorHAnsi" w:hAnsiTheme="minorHAnsi" w:cstheme="minorHAnsi"/>
          <w:sz w:val="22"/>
          <w:szCs w:val="22"/>
        </w:rPr>
        <w:t xml:space="preserve">. However, it is important to note that Anti-social Behaviour can be identified as three main categories, these include: Personal Anti-Social Behaviour which is targeted towards one individual, Nuisance Anti-Social Behaviour which causes trouble, annoyance or suffering to the community and Environmental Anti-Social behaviour which is where a person/groups actions affect the wider environment such as public spaces or buildings. “What Is Antisocial Behaviour? | Thames Valley Police.” </w:t>
      </w:r>
      <w:r w:rsidRPr="00D31736">
        <w:rPr>
          <w:rFonts w:asciiTheme="minorHAnsi" w:hAnsiTheme="minorHAnsi" w:cstheme="minorHAnsi"/>
          <w:i/>
          <w:iCs/>
          <w:sz w:val="22"/>
          <w:szCs w:val="22"/>
        </w:rPr>
        <w:t>Police.Uk</w:t>
      </w:r>
      <w:r w:rsidRPr="00D31736">
        <w:rPr>
          <w:rFonts w:asciiTheme="minorHAnsi" w:hAnsiTheme="minorHAnsi" w:cstheme="minorHAnsi"/>
          <w:sz w:val="22"/>
          <w:szCs w:val="22"/>
        </w:rPr>
        <w:t xml:space="preserve">, 2011, </w:t>
      </w:r>
      <w:hyperlink r:id="rId17" w:history="1">
        <w:r w:rsidRPr="00D31736">
          <w:rPr>
            <w:rStyle w:val="Hyperlink"/>
            <w:rFonts w:asciiTheme="minorHAnsi" w:hAnsiTheme="minorHAnsi" w:cstheme="minorHAnsi"/>
            <w:sz w:val="22"/>
            <w:szCs w:val="22"/>
          </w:rPr>
          <w:t>www.thamesvalley.police.uk/advice/advice-and-information/asb/af/antisocial-behaviour/</w:t>
        </w:r>
      </w:hyperlink>
      <w:r w:rsidRPr="00D31736">
        <w:rPr>
          <w:rFonts w:asciiTheme="minorHAnsi" w:hAnsiTheme="minorHAnsi" w:cstheme="minorHAnsi"/>
          <w:sz w:val="22"/>
          <w:szCs w:val="22"/>
        </w:rPr>
        <w:t xml:space="preserve">. </w:t>
      </w:r>
    </w:p>
    <w:p w14:paraId="227785CD"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t xml:space="preserve">Moreover, it important to note the range of acts which encompass Anti-Social Behaviour, these include but are not limited to: Abandoned Vehicles, vehicle nuisance such as excessive speeding or revving and playing music loudly, Rowdy or inconsiderate behaviour such as general nuisance behaviour in public, Littering or drugs paraphernalia such as fly tipping, general littering and discarding of drug paraphernalia such as deal bags, trespassing whereby a person enters land where they have no lawful authority to be, street drinking in which people partake in unlicensed drinking occurs in public spaces , Prostitution-related activity  such as general loitering, approaching random vehicles and nuisance noise such as shouting in a street or causing otherwise unwanted noise in public. </w:t>
      </w:r>
    </w:p>
    <w:p w14:paraId="5E54D5C0"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t xml:space="preserve">Although at first glance, Anti-Social Behaviour can appear to be low level and often perceived to be perpetrated by youths, the actual impact of Anti-Social Behaviour can have severe impact on not only the community but individuals.  Most notably is the case of Fiona Pilkington, who took the life of herself and her eighteen year old disabled daughter by setting the vehicle they were in alight in 2007 following three years of sustained Personal anti-social behaviour aimed directly at their family by local youths. Davies, Katie. “Ten Years after the Death of Fiona Pilkington, Have the Police Got Better at Tackling Hate Crime?” </w:t>
      </w:r>
      <w:r w:rsidRPr="00D31736">
        <w:rPr>
          <w:rFonts w:asciiTheme="minorHAnsi" w:hAnsiTheme="minorHAnsi" w:cstheme="minorHAnsi"/>
          <w:i/>
          <w:iCs/>
          <w:sz w:val="22"/>
          <w:szCs w:val="22"/>
        </w:rPr>
        <w:t>The Independent</w:t>
      </w:r>
      <w:r w:rsidRPr="00D31736">
        <w:rPr>
          <w:rFonts w:asciiTheme="minorHAnsi" w:hAnsiTheme="minorHAnsi" w:cstheme="minorHAnsi"/>
          <w:sz w:val="22"/>
          <w:szCs w:val="22"/>
        </w:rPr>
        <w:t>, 18 Oct. 2017, www.independent.co.uk/news/long_reads/fiona-pilkington-frankie-pilkington-suicide-learning-disabilities-bullying-hate-crime-a8004526.html.</w:t>
      </w:r>
    </w:p>
    <w:p w14:paraId="7798FD24" w14:textId="77777777" w:rsidR="00D31736" w:rsidRPr="00D31736" w:rsidRDefault="00D31736" w:rsidP="00D31736">
      <w:pPr>
        <w:pStyle w:val="NormalWeb"/>
        <w:shd w:val="clear" w:color="auto" w:fill="FFFFFF"/>
        <w:rPr>
          <w:rFonts w:asciiTheme="minorHAnsi" w:hAnsiTheme="minorHAnsi" w:cstheme="minorHAnsi"/>
          <w:color w:val="000000"/>
          <w:sz w:val="22"/>
          <w:szCs w:val="22"/>
        </w:rPr>
      </w:pPr>
      <w:r w:rsidRPr="00D31736">
        <w:rPr>
          <w:rFonts w:asciiTheme="minorHAnsi" w:hAnsiTheme="minorHAnsi" w:cstheme="minorHAnsi"/>
          <w:color w:val="000000"/>
          <w:sz w:val="22"/>
          <w:szCs w:val="22"/>
        </w:rPr>
        <w:t>‌Furthermore there is significant evidence to suggest that the prevalence of Anti-Social Behaviour leads to further criminal offences such as possession of offence weapons ‘’</w:t>
      </w:r>
      <w:r w:rsidRPr="00D31736">
        <w:rPr>
          <w:rFonts w:asciiTheme="minorHAnsi" w:hAnsiTheme="minorHAnsi" w:cstheme="minorHAnsi"/>
          <w:sz w:val="22"/>
          <w:szCs w:val="22"/>
        </w:rPr>
        <w:t xml:space="preserve"> </w:t>
      </w:r>
      <w:r w:rsidRPr="00D31736">
        <w:rPr>
          <w:rFonts w:asciiTheme="minorHAnsi" w:hAnsiTheme="minorHAnsi" w:cstheme="minorHAnsi"/>
          <w:color w:val="000000"/>
          <w:sz w:val="22"/>
          <w:szCs w:val="22"/>
        </w:rPr>
        <w:t xml:space="preserve">engaging in ASB, substance use or criminal activity are consistently more prevalent among those involved with weapons than those who are not involved’’ Smith, Victoria, and Edward Wynne-Mchardy. </w:t>
      </w:r>
      <w:r w:rsidRPr="00D31736">
        <w:rPr>
          <w:rFonts w:asciiTheme="minorHAnsi" w:hAnsiTheme="minorHAnsi" w:cstheme="minorHAnsi"/>
          <w:i/>
          <w:iCs/>
          <w:color w:val="000000"/>
          <w:sz w:val="22"/>
          <w:szCs w:val="22"/>
        </w:rPr>
        <w:t>An Analysis of Indicators of Serious Violence Findings from the Millennium Cohort Study and the Environmental Risk (E-Risk) Longitudinal Twin Study</w:t>
      </w:r>
      <w:r w:rsidRPr="00D31736">
        <w:rPr>
          <w:rFonts w:asciiTheme="minorHAnsi" w:hAnsiTheme="minorHAnsi" w:cstheme="minorHAnsi"/>
          <w:color w:val="000000"/>
          <w:sz w:val="22"/>
          <w:szCs w:val="22"/>
        </w:rPr>
        <w:t>. 2019.</w:t>
      </w:r>
    </w:p>
    <w:p w14:paraId="4334387A" w14:textId="77777777" w:rsidR="00D31736" w:rsidRPr="00D31736" w:rsidRDefault="00D31736" w:rsidP="00D31736">
      <w:pPr>
        <w:pStyle w:val="NormalWeb"/>
        <w:shd w:val="clear" w:color="auto" w:fill="FFFFFF"/>
        <w:rPr>
          <w:rFonts w:asciiTheme="minorHAnsi" w:hAnsiTheme="minorHAnsi" w:cstheme="minorHAnsi"/>
          <w:color w:val="000000"/>
          <w:sz w:val="22"/>
          <w:szCs w:val="22"/>
        </w:rPr>
      </w:pPr>
      <w:r w:rsidRPr="00D31736">
        <w:rPr>
          <w:rFonts w:asciiTheme="minorHAnsi" w:hAnsiTheme="minorHAnsi" w:cstheme="minorHAnsi"/>
          <w:color w:val="000000"/>
          <w:sz w:val="22"/>
          <w:szCs w:val="22"/>
        </w:rPr>
        <w:t xml:space="preserve">The problem of Anti-Social Behaviour was becoming prevalent in a particular town in the area I worked and appeared to mainly consist of Nuisance anti-social Behaviour and Environmental Anti-social behaviour. This was evident through the numerous calls relating to youths congregating drinking alcohol and doing drugs, this then resulted in rowdy behaviour, littering and discarding of drug paraphernalia and much nuisance noise. Additionally, as many of the residence who lived in the area were elderly, they were particularly vulnerable and as a result could not confront this behaviour themselves.  Moreover, it was becoming evident that the severity of the Anti-Social Behaviour was escalating into criminal offences in the form of blatant drug dealing and taking, criminal damage and theft. It was clear that there would need to be some proactive action in order to combat this problem and from speaking to local residents and the feedback provided by the local area Police Community Support Officers that it was having a distinct impact on the residents in the area as many were afraid or nervous to walk around the locality and many had concerns in letting their children out in the street due to the Anti-social behaviour. </w:t>
      </w:r>
    </w:p>
    <w:p w14:paraId="45677776"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t xml:space="preserve">One way in which community problem can be addressed by the police service is through Problem Orientated Policing, which the college of policing describes as ‘’an approach to tackling crime and disorder that involves the identification of a specific problem, thorough analysis to understand the </w:t>
      </w:r>
      <w:r w:rsidRPr="00D31736">
        <w:rPr>
          <w:rFonts w:asciiTheme="minorHAnsi" w:hAnsiTheme="minorHAnsi" w:cstheme="minorHAnsi"/>
          <w:sz w:val="22"/>
          <w:szCs w:val="22"/>
        </w:rPr>
        <w:lastRenderedPageBreak/>
        <w:t xml:space="preserve">problem, the development of a tailored response and an assessment of the effects of the response’’ “Problem-Orientated Policing.” </w:t>
      </w:r>
      <w:r w:rsidRPr="00D31736">
        <w:rPr>
          <w:rFonts w:asciiTheme="minorHAnsi" w:hAnsiTheme="minorHAnsi" w:cstheme="minorHAnsi"/>
          <w:i/>
          <w:iCs/>
          <w:sz w:val="22"/>
          <w:szCs w:val="22"/>
        </w:rPr>
        <w:t>Police.Uk</w:t>
      </w:r>
      <w:r w:rsidRPr="00D31736">
        <w:rPr>
          <w:rFonts w:asciiTheme="minorHAnsi" w:hAnsiTheme="minorHAnsi" w:cstheme="minorHAnsi"/>
          <w:sz w:val="22"/>
          <w:szCs w:val="22"/>
        </w:rPr>
        <w:t xml:space="preserve">, 2019, whatworks.college.police.uk/toolkit/Pages/Intervention.aspx?InterventionID=47. Furthermore, there is plenty of evidence to support the use of Problem Orientated Policing approaches for policing problems. One study concluded ‘’we find that POP approaches have a significant effect on the outcomes examined.  Importantly, the results are similar whether we look at experimental or non-experimental studies.’’ Wiesburd, D. “The Effects of Problem-Oriented Policing on Crime and Disorder.” </w:t>
      </w:r>
      <w:r w:rsidRPr="00D31736">
        <w:rPr>
          <w:rFonts w:asciiTheme="minorHAnsi" w:hAnsiTheme="minorHAnsi" w:cstheme="minorHAnsi"/>
          <w:i/>
          <w:iCs/>
          <w:sz w:val="22"/>
          <w:szCs w:val="22"/>
        </w:rPr>
        <w:t>The Effects of Problem Oriented Policing on Crime and Disorder</w:t>
      </w:r>
      <w:r w:rsidRPr="00D31736">
        <w:rPr>
          <w:rFonts w:asciiTheme="minorHAnsi" w:hAnsiTheme="minorHAnsi" w:cstheme="minorHAnsi"/>
          <w:sz w:val="22"/>
          <w:szCs w:val="22"/>
        </w:rPr>
        <w:t xml:space="preserve">, 3 Nov. 2008, 10.4073/csr.2008.14. However Wiesburd goes on to state that police forces must be committed to Problem Orientated Policing in addition to officers workloads must allow them the freedom to do so. </w:t>
      </w:r>
    </w:p>
    <w:p w14:paraId="2D5ECD39"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t xml:space="preserve">This problem was negated with the operation to combat Anti-Social Behaviour as this was conducted by the neighbourhood policing team, whose role is to address issues within the community and proactively solve issues within the community. They do not respond to emergency calls and as such they have an open workload, this allows them to employ Problem Orientated Policing in order to address issues in their community. </w:t>
      </w:r>
    </w:p>
    <w:p w14:paraId="28F3D801"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t xml:space="preserve">One way in which Problem Orientated Policing can be adopted is through use of the ‘SARA’ model. The ‘SARA’ model is based upon the core concept that if you can identify and subsequently understand the root of problem, then the solution to combat it is more likely to be effective in addressing the problem. The ‘SARA’ model consists of four distinct phases, these are: Scanning, Analysis, Response and Assessment. “Problem-Orientated Policing.” </w:t>
      </w:r>
      <w:r w:rsidRPr="00D31736">
        <w:rPr>
          <w:rFonts w:asciiTheme="minorHAnsi" w:hAnsiTheme="minorHAnsi" w:cstheme="minorHAnsi"/>
          <w:i/>
          <w:iCs/>
          <w:sz w:val="22"/>
          <w:szCs w:val="22"/>
        </w:rPr>
        <w:t>Police.Uk</w:t>
      </w:r>
      <w:r w:rsidRPr="00D31736">
        <w:rPr>
          <w:rFonts w:asciiTheme="minorHAnsi" w:hAnsiTheme="minorHAnsi" w:cstheme="minorHAnsi"/>
          <w:sz w:val="22"/>
          <w:szCs w:val="22"/>
        </w:rPr>
        <w:t>, 2019, whatworks.college.police.uk/toolkit/Pages/Intervention.aspx?InterventionID=47.</w:t>
      </w:r>
    </w:p>
    <w:p w14:paraId="2DB25F1A"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t xml:space="preserve">The first phase is scanning, this consists of identifying the problem which is affecting the community and the consequences should the problem persist. Further information will be gathered such as what exactly the problem is, where it occurs, by whom and at what times The problems identified will then be prioritised and the aims and objectives will be devised for the problem in order to ascertain what a successful operation will look like. For the Antisocial behaviour operation youths alcohol and drugs were at the centre of the problem, additional issues such as noise nuisance, criminal damage and littering and drug paraphernalia all appeared to stem from the sole issues of youths partaking in alcohol and drugs within the area. The areas where the problem had been identified and the time appeared to be evening between six in the evening and midnight, individuals however had not been identified. The aims and objectives of the operation was to engage with local youths in the area and disrupt any criminality taking place, this was to include stop searches of vehicles and persons for drugs given that it was a leading factor in the Anti- Social behaviour. </w:t>
      </w:r>
    </w:p>
    <w:p w14:paraId="2EF73FE3"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t xml:space="preserve">The second phase is Analysis, this will be the collection of all relevant data such as persons, vehicle or addresses involved. Research will then be conducted on the type of problem whether this be late night economy, drug dealing within an area or a spate of burglaries within an area. Through gaining a deeper understanding of the problem and the severity of it. As a result it can then be identified the number of resources needed in order to achieve the aims and objectives as identified in the scanning phase.  Although there was no specific intelligence in relation to specific people or vehicles it was identified that youths were the cause of the problems and it was identified that the issues stemmed from youths within the locality partaking in drugs and alcohol which was then resulting in Anti-Social behaviour and low level criminal offences. </w:t>
      </w:r>
    </w:p>
    <w:p w14:paraId="5E5AC054"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t xml:space="preserve">The third phases is known as Response, this will involve the creation of new strategies of interventions in addition to seeing what partnering forces or forces in similar areas have done to combat similar problems. Once this has been done, a plan will then be devised which will consist of specific aims and objectives and providing an insight into how exactly the problem will be solved and lastly, the plan will be actioned. In relation to the operation, the plan devised was that a combination of police officer in marked and unmarked vehicles and Police Community Support Officers would flood the areas highlighted from opposite directions in order to catch the youths off guard, officer were then to engage with them if there were grounds to search for drugs or disperse </w:t>
      </w:r>
      <w:r w:rsidRPr="00D31736">
        <w:rPr>
          <w:rFonts w:asciiTheme="minorHAnsi" w:hAnsiTheme="minorHAnsi" w:cstheme="minorHAnsi"/>
          <w:sz w:val="22"/>
          <w:szCs w:val="22"/>
        </w:rPr>
        <w:lastRenderedPageBreak/>
        <w:t xml:space="preserve">them. The operation would be considered a success if following the operation there was a visible decrease in Anti-Social behaviour in the area. </w:t>
      </w:r>
    </w:p>
    <w:p w14:paraId="5A9140B0"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t xml:space="preserve">The fourth and final phase of the ‘SARA’ model is Assessment, this will consists of reviewing the previously set aims and objectives and comparing this will the results of the response in order to determine whether or not the solution was effective. However, assessment of the response will allow for the creation of new strategies as a result of the previous plan. I was unable to be part of the assessment phase as I finished my tutor period prior to completion of the operation. “The SARA Model | ASU Centre for Problem-Oriented Policing.” </w:t>
      </w:r>
      <w:r w:rsidRPr="00D31736">
        <w:rPr>
          <w:rFonts w:asciiTheme="minorHAnsi" w:hAnsiTheme="minorHAnsi" w:cstheme="minorHAnsi"/>
          <w:i/>
          <w:iCs/>
          <w:sz w:val="22"/>
          <w:szCs w:val="22"/>
        </w:rPr>
        <w:t>Asu.Edu</w:t>
      </w:r>
      <w:r w:rsidRPr="00D31736">
        <w:rPr>
          <w:rFonts w:asciiTheme="minorHAnsi" w:hAnsiTheme="minorHAnsi" w:cstheme="minorHAnsi"/>
          <w:sz w:val="22"/>
          <w:szCs w:val="22"/>
        </w:rPr>
        <w:t>, 2019, popcenter.asu.edu/content/sara-model-0.</w:t>
      </w:r>
    </w:p>
    <w:p w14:paraId="116B888A" w14:textId="77777777" w:rsidR="00D31736" w:rsidRPr="00D31736" w:rsidRDefault="00D31736" w:rsidP="00D31736">
      <w:pPr>
        <w:rPr>
          <w:rFonts w:asciiTheme="minorHAnsi" w:hAnsiTheme="minorHAnsi" w:cstheme="minorHAnsi"/>
          <w:sz w:val="22"/>
          <w:szCs w:val="22"/>
        </w:rPr>
      </w:pPr>
      <w:r w:rsidRPr="00D31736">
        <w:rPr>
          <w:rFonts w:asciiTheme="minorHAnsi" w:hAnsiTheme="minorHAnsi" w:cstheme="minorHAnsi"/>
          <w:sz w:val="22"/>
          <w:szCs w:val="22"/>
        </w:rPr>
        <w:t xml:space="preserve">Moreover, to support the ‘SARA’ model, often a ‘Problem Analysis Triangle’ is employed. The Problem Analysis Triangle often consist of three distinct parts, Offender, Location and victim. The Problem Analysis Triangle is often employed in the Scanning and Analysis phase and also response phase. The use of the Problem Analysis Triangle during this phase allows the police to get to the root of a problem through focusing on the offender, location and victim.  In relation to the Anti-Social Behaviour operation it was identified that the location consisted of a small area in a town where the bulk of incident appeared to be happening, the victims of the behaviour did not appear to be specifically targeted, they were instead victims of the Anti-Social behaviour due to the alcohol and drugs being sued, moreover the offender were not identified, however as a result of the report it was concluded that it was youths and the issues were occurring between six in the evening to midnight. </w:t>
      </w:r>
    </w:p>
    <w:p w14:paraId="6561DF7C" w14:textId="77777777" w:rsidR="00D31736" w:rsidRPr="00D31736" w:rsidRDefault="00D31736" w:rsidP="00D31736">
      <w:pPr>
        <w:pStyle w:val="NormalWeb"/>
        <w:shd w:val="clear" w:color="auto" w:fill="FFFFFF"/>
        <w:rPr>
          <w:rFonts w:asciiTheme="minorHAnsi" w:hAnsiTheme="minorHAnsi" w:cstheme="minorHAnsi"/>
          <w:color w:val="000000"/>
          <w:sz w:val="22"/>
          <w:szCs w:val="22"/>
        </w:rPr>
      </w:pPr>
      <w:r w:rsidRPr="00D31736">
        <w:rPr>
          <w:rFonts w:asciiTheme="minorHAnsi" w:hAnsiTheme="minorHAnsi" w:cstheme="minorHAnsi"/>
          <w:color w:val="000000"/>
          <w:sz w:val="22"/>
          <w:szCs w:val="22"/>
        </w:rPr>
        <w:t xml:space="preserve">‌As part of the operation targeting Anti-Social behaviour my role was to work from an unmarked vehicle and conduct mobile and on foot patrols in the areas highlighted as problem areas during the briefing. I was informed to cover any parks and areas youths were known to congregate and engage with them and inform them of the current Coronavirus Regulations and direct them to leave the area. If I had grounds, to search any persons I suspected to be in possession of drugs. In addition to this I was task to conduct high visibility foot patrols within these areas to deter crime and reassure residents. </w:t>
      </w:r>
    </w:p>
    <w:p w14:paraId="76C79194" w14:textId="77777777" w:rsidR="00D31736" w:rsidRPr="00D31736" w:rsidRDefault="00D31736" w:rsidP="00D31736">
      <w:pPr>
        <w:pStyle w:val="NormalWeb"/>
        <w:shd w:val="clear" w:color="auto" w:fill="FFFFFF"/>
        <w:rPr>
          <w:rFonts w:asciiTheme="minorHAnsi" w:hAnsiTheme="minorHAnsi" w:cstheme="minorHAnsi"/>
          <w:color w:val="000000"/>
          <w:sz w:val="22"/>
          <w:szCs w:val="22"/>
        </w:rPr>
      </w:pPr>
      <w:r w:rsidRPr="00D31736">
        <w:rPr>
          <w:rFonts w:asciiTheme="minorHAnsi" w:hAnsiTheme="minorHAnsi" w:cstheme="minorHAnsi"/>
          <w:color w:val="000000"/>
          <w:sz w:val="22"/>
          <w:szCs w:val="22"/>
        </w:rPr>
        <w:t xml:space="preserve">Whilst on foot patrol entering into a park which had been highlighted for drug use I could smell the aroma of cannabis, upon entering the park I could see a group of four youths sat facing away from me and upon getting near them I could see one of the youths had a cannabis joint in his hand and was smoking it. As a result I made my presence known and informed him I would be searching him for drugs. I conducted the search under section thirty two of the misuse of drugs act where I found a bag containing Cannabis. The male who was eighteen admitted it was his and what I was and that he was the only one smoking it. I conducted checks on the male and ascertained he was eligible for a cannabis warning, which I provided him with before directing him to leave the area. </w:t>
      </w:r>
    </w:p>
    <w:p w14:paraId="6128CC6E" w14:textId="77777777" w:rsidR="00D31736" w:rsidRPr="00D31736" w:rsidRDefault="00D31736" w:rsidP="00D31736">
      <w:pPr>
        <w:pStyle w:val="NormalWeb"/>
        <w:shd w:val="clear" w:color="auto" w:fill="FFFFFF"/>
        <w:rPr>
          <w:rFonts w:asciiTheme="minorHAnsi" w:hAnsiTheme="minorHAnsi" w:cstheme="minorHAnsi"/>
          <w:color w:val="000000"/>
          <w:sz w:val="22"/>
          <w:szCs w:val="22"/>
        </w:rPr>
      </w:pPr>
      <w:r w:rsidRPr="00D31736">
        <w:rPr>
          <w:rFonts w:asciiTheme="minorHAnsi" w:hAnsiTheme="minorHAnsi" w:cstheme="minorHAnsi"/>
          <w:color w:val="000000"/>
          <w:sz w:val="22"/>
          <w:szCs w:val="22"/>
        </w:rPr>
        <w:t xml:space="preserve">There were three other youths with the male, however, it is important to note that just because they were youths and were with the male who was smoking that I was be biased in merely assuming that they also would have drugs on them. Instead I took their details and directed them to leave the area. </w:t>
      </w:r>
    </w:p>
    <w:p w14:paraId="753786ED" w14:textId="77777777" w:rsidR="00D31736" w:rsidRPr="00D31736" w:rsidRDefault="00D31736" w:rsidP="00D31736">
      <w:pPr>
        <w:pStyle w:val="NormalWeb"/>
        <w:shd w:val="clear" w:color="auto" w:fill="FFFFFF"/>
        <w:rPr>
          <w:rFonts w:asciiTheme="minorHAnsi" w:hAnsiTheme="minorHAnsi" w:cstheme="minorHAnsi"/>
          <w:color w:val="000000"/>
          <w:sz w:val="22"/>
          <w:szCs w:val="22"/>
        </w:rPr>
      </w:pPr>
      <w:r w:rsidRPr="00D31736">
        <w:rPr>
          <w:rFonts w:asciiTheme="minorHAnsi" w:hAnsiTheme="minorHAnsi" w:cstheme="minorHAnsi"/>
          <w:color w:val="000000"/>
          <w:sz w:val="22"/>
          <w:szCs w:val="22"/>
        </w:rPr>
        <w:t xml:space="preserve">Later on during the operation whilst on patrol in an unmarked vehicle, whilst stopped at a traffic light I could smell the aroma of Cannabis, I could see that three vehicle ahead there appeared to be smoke emanating from the driver side of the vehicle. As I was in an unmarked vehicle I was unable to pull the vehicle over however it came to a natural stop at a petrol station a short while later. Although I smelt cannabis whilst in the vehicle I would be biased to assume that the driver was under the influence as a result of just the mere smell of cannabis. Instead I began speaking with the driver in order to check his licence, it was whilst talking with him that I observed that his eyes were bloodshot and glazed and his speech was slurred. The male then opened his car door to get his licence at which point I could smell Cannabis distinctly coming from the vehicle. I asked the male if he had cannabis to which he replied that the female passenger did before reaching in and producing </w:t>
      </w:r>
      <w:r w:rsidRPr="00D31736">
        <w:rPr>
          <w:rFonts w:asciiTheme="minorHAnsi" w:hAnsiTheme="minorHAnsi" w:cstheme="minorHAnsi"/>
          <w:color w:val="000000"/>
          <w:sz w:val="22"/>
          <w:szCs w:val="22"/>
        </w:rPr>
        <w:lastRenderedPageBreak/>
        <w:t xml:space="preserve">it. Given this new information I decided that I would search the male for drugs, this did not produce anything. However given the observations I made of the male and that he had produced cannabis I had reasonable cause to suspect that he was unfit to drive and as such I detained him in order to provide a drugs swab, to which he subsequently did and failed for Cannabis and Cocaine and was duly arrested. </w:t>
      </w:r>
    </w:p>
    <w:p w14:paraId="6E4032AC" w14:textId="77777777" w:rsidR="00D31736" w:rsidRPr="00D31736" w:rsidRDefault="00D31736" w:rsidP="00D31736">
      <w:pPr>
        <w:pStyle w:val="NormalWeb"/>
        <w:shd w:val="clear" w:color="auto" w:fill="FFFFFF"/>
        <w:rPr>
          <w:rFonts w:asciiTheme="minorHAnsi" w:hAnsiTheme="minorHAnsi" w:cstheme="minorHAnsi"/>
          <w:color w:val="000000"/>
          <w:sz w:val="22"/>
          <w:szCs w:val="22"/>
        </w:rPr>
      </w:pPr>
      <w:r w:rsidRPr="00D31736">
        <w:rPr>
          <w:rFonts w:asciiTheme="minorHAnsi" w:hAnsiTheme="minorHAnsi" w:cstheme="minorHAnsi"/>
          <w:color w:val="000000"/>
          <w:sz w:val="22"/>
          <w:szCs w:val="22"/>
        </w:rPr>
        <w:t xml:space="preserve">During this essay I have considered what Anti-Social Behaviour is and explored the impact of this on individuals and communities and have discussed my role and responsibilities in responding with and dealing with Anti-Social Behaviour. I have explored the method of Problem Orientated Policing and the Problem Analysis Triangle and I have explained how these methods have been implemented in an Anti-Social Behaviour operation during my tutor period and how I observed and conducted myself in line with policing values whilst dealing with all people during this operation. </w:t>
      </w:r>
    </w:p>
    <w:p w14:paraId="2FE4E500" w14:textId="77777777" w:rsidR="00D31736" w:rsidRPr="00D31736" w:rsidRDefault="00D31736" w:rsidP="00D31736">
      <w:pPr>
        <w:pStyle w:val="NormalWeb"/>
        <w:shd w:val="clear" w:color="auto" w:fill="FFFFFF"/>
        <w:rPr>
          <w:rFonts w:asciiTheme="minorHAnsi" w:hAnsiTheme="minorHAnsi" w:cstheme="minorHAnsi"/>
          <w:color w:val="000000"/>
          <w:sz w:val="22"/>
          <w:szCs w:val="22"/>
        </w:rPr>
      </w:pPr>
      <w:r w:rsidRPr="00D31736">
        <w:rPr>
          <w:rFonts w:asciiTheme="minorHAnsi" w:hAnsiTheme="minorHAnsi" w:cstheme="minorHAnsi"/>
          <w:color w:val="000000"/>
          <w:sz w:val="22"/>
          <w:szCs w:val="22"/>
        </w:rPr>
        <w:t>Word count = 2424</w:t>
      </w:r>
    </w:p>
    <w:p w14:paraId="7B31F5DB" w14:textId="77777777" w:rsidR="00D31736" w:rsidRPr="00D31736" w:rsidRDefault="00D31736" w:rsidP="00D31736">
      <w:pPr>
        <w:rPr>
          <w:rFonts w:asciiTheme="minorHAnsi" w:hAnsiTheme="minorHAnsi" w:cstheme="minorHAnsi"/>
          <w:sz w:val="22"/>
          <w:szCs w:val="22"/>
        </w:rPr>
      </w:pPr>
    </w:p>
    <w:p w14:paraId="46B1CFFD" w14:textId="77777777" w:rsidR="00D31736" w:rsidRDefault="00D31736" w:rsidP="00D31736">
      <w:pPr>
        <w:pStyle w:val="NormalWeb"/>
        <w:shd w:val="clear" w:color="auto" w:fill="FFFFFF"/>
        <w:rPr>
          <w:color w:val="000000"/>
        </w:rPr>
      </w:pPr>
      <w:r>
        <w:rPr>
          <w:color w:val="000000"/>
        </w:rPr>
        <w:t>‌</w:t>
      </w:r>
    </w:p>
    <w:p w14:paraId="2E84F973" w14:textId="77777777" w:rsidR="00D31736" w:rsidRPr="00C826E2" w:rsidRDefault="00D31736" w:rsidP="00D31736">
      <w:pPr>
        <w:rPr>
          <w:rFonts w:cstheme="minorHAnsi"/>
        </w:rPr>
      </w:pPr>
    </w:p>
    <w:p w14:paraId="3E6270C4" w14:textId="77777777" w:rsidR="00D31736" w:rsidRDefault="00D31736" w:rsidP="00D31736">
      <w:pPr>
        <w:pStyle w:val="NormalWeb"/>
        <w:shd w:val="clear" w:color="auto" w:fill="FFFFFF"/>
        <w:rPr>
          <w:color w:val="000000"/>
        </w:rPr>
      </w:pPr>
      <w:r>
        <w:rPr>
          <w:color w:val="000000"/>
        </w:rPr>
        <w:t>‌</w:t>
      </w:r>
    </w:p>
    <w:p w14:paraId="618CEDB0" w14:textId="77777777" w:rsidR="00D31736" w:rsidRDefault="00D31736" w:rsidP="00D31736">
      <w:pPr>
        <w:pStyle w:val="NormalWeb"/>
        <w:shd w:val="clear" w:color="auto" w:fill="FFFFFF"/>
        <w:rPr>
          <w:color w:val="000000"/>
        </w:rPr>
      </w:pPr>
    </w:p>
    <w:p w14:paraId="768754A6" w14:textId="77777777" w:rsidR="00D31736" w:rsidRPr="003A622B" w:rsidRDefault="00D31736" w:rsidP="00D31736">
      <w:pPr>
        <w:rPr>
          <w:rFonts w:cstheme="minorHAnsi"/>
        </w:rPr>
      </w:pPr>
    </w:p>
    <w:p w14:paraId="40C74ABB" w14:textId="77777777" w:rsidR="00D31736" w:rsidRDefault="00D31736" w:rsidP="00D31736">
      <w:pPr>
        <w:pStyle w:val="NormalWeb"/>
        <w:shd w:val="clear" w:color="auto" w:fill="FFFFFF"/>
        <w:rPr>
          <w:color w:val="000000"/>
        </w:rPr>
      </w:pPr>
      <w:r>
        <w:rPr>
          <w:color w:val="000000"/>
        </w:rPr>
        <w:t>‌</w:t>
      </w:r>
    </w:p>
    <w:p w14:paraId="388ACD76" w14:textId="77777777" w:rsidR="00D31736" w:rsidRPr="006E2A8D" w:rsidRDefault="00D31736" w:rsidP="00D31736">
      <w:r>
        <w:rPr>
          <w:rFonts w:cstheme="minorHAnsi"/>
        </w:rPr>
        <w:t xml:space="preserve">   </w:t>
      </w:r>
    </w:p>
    <w:p w14:paraId="3FF9066D" w14:textId="77777777" w:rsidR="00D31736" w:rsidRDefault="00D31736" w:rsidP="00D31736">
      <w:pPr>
        <w:pStyle w:val="NormalWeb"/>
        <w:shd w:val="clear" w:color="auto" w:fill="FFFFFF"/>
        <w:rPr>
          <w:color w:val="000000"/>
        </w:rPr>
      </w:pPr>
      <w:r>
        <w:rPr>
          <w:color w:val="000000"/>
        </w:rPr>
        <w:t>‌</w:t>
      </w:r>
    </w:p>
    <w:p w14:paraId="4F786647" w14:textId="77777777" w:rsidR="00D31736" w:rsidRDefault="00D31736" w:rsidP="00D31736"/>
    <w:p w14:paraId="6AAB276F" w14:textId="77777777" w:rsidR="00D31736" w:rsidRPr="00270EEB" w:rsidRDefault="00D31736"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72E997E2" w14:textId="77777777" w:rsidR="00D31736" w:rsidRPr="00D31736" w:rsidRDefault="00D31736" w:rsidP="00D31736">
      <w:pPr>
        <w:widowControl w:val="0"/>
        <w:spacing w:line="480" w:lineRule="auto"/>
        <w:jc w:val="center"/>
        <w:rPr>
          <w:rFonts w:asciiTheme="minorHAnsi" w:hAnsiTheme="minorHAnsi" w:cstheme="minorHAnsi"/>
          <w:sz w:val="22"/>
          <w:szCs w:val="22"/>
          <w:lang w:val="en-US"/>
        </w:rPr>
      </w:pPr>
      <w:r w:rsidRPr="00D31736">
        <w:rPr>
          <w:rFonts w:asciiTheme="minorHAnsi" w:hAnsiTheme="minorHAnsi" w:cstheme="minorHAnsi"/>
          <w:sz w:val="22"/>
          <w:szCs w:val="22"/>
          <w:lang w:val="en-US"/>
        </w:rPr>
        <w:t>Works Cited</w:t>
      </w:r>
    </w:p>
    <w:p w14:paraId="0674B782"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“Access to Work - The Dyslexia Association.” </w:t>
      </w:r>
      <w:r w:rsidRPr="00D31736">
        <w:rPr>
          <w:rFonts w:asciiTheme="minorHAnsi" w:hAnsiTheme="minorHAnsi" w:cstheme="minorHAnsi"/>
          <w:i/>
          <w:iCs/>
          <w:sz w:val="22"/>
          <w:szCs w:val="22"/>
          <w:lang w:val="en-US"/>
        </w:rPr>
        <w:t>Www.Dyslexia.Uk.net</w:t>
      </w:r>
      <w:r w:rsidRPr="00D31736">
        <w:rPr>
          <w:rFonts w:asciiTheme="minorHAnsi" w:hAnsiTheme="minorHAnsi" w:cstheme="minorHAnsi"/>
          <w:sz w:val="22"/>
          <w:szCs w:val="22"/>
          <w:lang w:val="en-US"/>
        </w:rPr>
        <w:t>, www.dyslexia.uk.net/employers/access-to-work/. Accessed 6 Dec. 2020.</w:t>
      </w:r>
    </w:p>
    <w:p w14:paraId="46B0BA30"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“Anti-Social Behaviour Act 2003.” </w:t>
      </w:r>
      <w:r w:rsidRPr="00D31736">
        <w:rPr>
          <w:rFonts w:asciiTheme="minorHAnsi" w:hAnsiTheme="minorHAnsi" w:cstheme="minorHAnsi"/>
          <w:i/>
          <w:iCs/>
          <w:sz w:val="22"/>
          <w:szCs w:val="22"/>
          <w:lang w:val="en-US"/>
        </w:rPr>
        <w:t>Legislation.Gov.Uk</w:t>
      </w:r>
      <w:r w:rsidRPr="00D31736">
        <w:rPr>
          <w:rFonts w:asciiTheme="minorHAnsi" w:hAnsiTheme="minorHAnsi" w:cstheme="minorHAnsi"/>
          <w:sz w:val="22"/>
          <w:szCs w:val="22"/>
          <w:lang w:val="en-US"/>
        </w:rPr>
        <w:t>, 2020, www.legislation.gov.uk/ukpga/2003/38/contents.</w:t>
      </w:r>
    </w:p>
    <w:p w14:paraId="04E3939D"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Baldwin, John, and Great Britain. Police Research Group. </w:t>
      </w:r>
      <w:r w:rsidRPr="00D31736">
        <w:rPr>
          <w:rFonts w:asciiTheme="minorHAnsi" w:hAnsiTheme="minorHAnsi" w:cstheme="minorHAnsi"/>
          <w:i/>
          <w:iCs/>
          <w:sz w:val="22"/>
          <w:szCs w:val="22"/>
          <w:lang w:val="en-US"/>
        </w:rPr>
        <w:t>Video Taping Police Interviews with Suspects : An Evaluation</w:t>
      </w:r>
      <w:r w:rsidRPr="00D31736">
        <w:rPr>
          <w:rFonts w:asciiTheme="minorHAnsi" w:hAnsiTheme="minorHAnsi" w:cstheme="minorHAnsi"/>
          <w:sz w:val="22"/>
          <w:szCs w:val="22"/>
          <w:lang w:val="en-US"/>
        </w:rPr>
        <w:t>. London, Home Office Police Department, 1992, p. p32.</w:t>
      </w:r>
    </w:p>
    <w:p w14:paraId="29A2AF26"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British Dyslexia Association. “What Is Dyslexia? - British Dyslexia Association.” </w:t>
      </w:r>
      <w:r w:rsidRPr="00D31736">
        <w:rPr>
          <w:rFonts w:asciiTheme="minorHAnsi" w:hAnsiTheme="minorHAnsi" w:cstheme="minorHAnsi"/>
          <w:i/>
          <w:iCs/>
          <w:sz w:val="22"/>
          <w:szCs w:val="22"/>
          <w:lang w:val="en-US"/>
        </w:rPr>
        <w:t>British Dyslexia Association</w:t>
      </w:r>
      <w:r w:rsidRPr="00D31736">
        <w:rPr>
          <w:rFonts w:asciiTheme="minorHAnsi" w:hAnsiTheme="minorHAnsi" w:cstheme="minorHAnsi"/>
          <w:sz w:val="22"/>
          <w:szCs w:val="22"/>
          <w:lang w:val="en-US"/>
        </w:rPr>
        <w:t>, 2009, www.bdadyslexia.org.uk/dyslexia/about-dyslexia/what-is-dyslexia.</w:t>
      </w:r>
    </w:p>
    <w:p w14:paraId="612618B9"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Bryant, Robin, and Sarah Bryant. </w:t>
      </w:r>
      <w:r w:rsidRPr="00D31736">
        <w:rPr>
          <w:rFonts w:asciiTheme="minorHAnsi" w:hAnsiTheme="minorHAnsi" w:cstheme="minorHAnsi"/>
          <w:i/>
          <w:iCs/>
          <w:sz w:val="22"/>
          <w:szCs w:val="22"/>
          <w:lang w:val="en-US"/>
        </w:rPr>
        <w:t>Blackstone’s Handbook for Policing Students 2020</w:t>
      </w:r>
      <w:r w:rsidRPr="00D31736">
        <w:rPr>
          <w:rFonts w:asciiTheme="minorHAnsi" w:hAnsiTheme="minorHAnsi" w:cstheme="minorHAnsi"/>
          <w:sz w:val="22"/>
          <w:szCs w:val="22"/>
          <w:lang w:val="en-US"/>
        </w:rPr>
        <w:t>. Oxford, Oxford University Press, 2019, p. 102.</w:t>
      </w:r>
    </w:p>
    <w:p w14:paraId="0D8F5BD5"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 </w:t>
      </w:r>
      <w:r w:rsidRPr="00D31736">
        <w:rPr>
          <w:rFonts w:asciiTheme="minorHAnsi" w:hAnsiTheme="minorHAnsi" w:cstheme="minorHAnsi"/>
          <w:i/>
          <w:iCs/>
          <w:sz w:val="22"/>
          <w:szCs w:val="22"/>
          <w:lang w:val="en-US"/>
        </w:rPr>
        <w:t>Blackstone’s Handbook for Policing Students 2020</w:t>
      </w:r>
      <w:r w:rsidRPr="00D31736">
        <w:rPr>
          <w:rFonts w:asciiTheme="minorHAnsi" w:hAnsiTheme="minorHAnsi" w:cstheme="minorHAnsi"/>
          <w:sz w:val="22"/>
          <w:szCs w:val="22"/>
          <w:lang w:val="en-US"/>
        </w:rPr>
        <w:t>. Oxford, Oxford University Press, 2019, pp. 339–340.</w:t>
      </w:r>
    </w:p>
    <w:p w14:paraId="4FC2C010"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 </w:t>
      </w:r>
      <w:r w:rsidRPr="00D31736">
        <w:rPr>
          <w:rFonts w:asciiTheme="minorHAnsi" w:hAnsiTheme="minorHAnsi" w:cstheme="minorHAnsi"/>
          <w:i/>
          <w:iCs/>
          <w:sz w:val="22"/>
          <w:szCs w:val="22"/>
          <w:lang w:val="en-US"/>
        </w:rPr>
        <w:t>Blackstone’s Handbook for Policing Students 2020</w:t>
      </w:r>
      <w:r w:rsidRPr="00D31736">
        <w:rPr>
          <w:rFonts w:asciiTheme="minorHAnsi" w:hAnsiTheme="minorHAnsi" w:cstheme="minorHAnsi"/>
          <w:sz w:val="22"/>
          <w:szCs w:val="22"/>
          <w:lang w:val="en-US"/>
        </w:rPr>
        <w:t>. Oxford, Oxford University Press, 2019, pp. 563–564.</w:t>
      </w:r>
    </w:p>
    <w:p w14:paraId="7D4EFCCD"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 </w:t>
      </w:r>
      <w:r w:rsidRPr="00D31736">
        <w:rPr>
          <w:rFonts w:asciiTheme="minorHAnsi" w:hAnsiTheme="minorHAnsi" w:cstheme="minorHAnsi"/>
          <w:i/>
          <w:iCs/>
          <w:sz w:val="22"/>
          <w:szCs w:val="22"/>
          <w:lang w:val="en-US"/>
        </w:rPr>
        <w:t>Blackstone’s Handbook for Policing Students 2020</w:t>
      </w:r>
      <w:r w:rsidRPr="00D31736">
        <w:rPr>
          <w:rFonts w:asciiTheme="minorHAnsi" w:hAnsiTheme="minorHAnsi" w:cstheme="minorHAnsi"/>
          <w:sz w:val="22"/>
          <w:szCs w:val="22"/>
          <w:lang w:val="en-US"/>
        </w:rPr>
        <w:t>. Oxford, Oxford University Press, 2019, p. 567.</w:t>
      </w:r>
    </w:p>
    <w:p w14:paraId="5A454041"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 </w:t>
      </w:r>
      <w:r w:rsidRPr="00D31736">
        <w:rPr>
          <w:rFonts w:asciiTheme="minorHAnsi" w:hAnsiTheme="minorHAnsi" w:cstheme="minorHAnsi"/>
          <w:i/>
          <w:iCs/>
          <w:sz w:val="22"/>
          <w:szCs w:val="22"/>
          <w:lang w:val="en-US"/>
        </w:rPr>
        <w:t>Blackstone’s Handbook for Policing Students 2020</w:t>
      </w:r>
      <w:r w:rsidRPr="00D31736">
        <w:rPr>
          <w:rFonts w:asciiTheme="minorHAnsi" w:hAnsiTheme="minorHAnsi" w:cstheme="minorHAnsi"/>
          <w:sz w:val="22"/>
          <w:szCs w:val="22"/>
          <w:lang w:val="en-US"/>
        </w:rPr>
        <w:t>. Oxford, Oxford University Press, 2019, p. 568.</w:t>
      </w:r>
    </w:p>
    <w:p w14:paraId="2DBEDA27"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Campbell, Duncan. “The Cardiff Three: The Long Wait for Justice.” </w:t>
      </w:r>
      <w:r w:rsidRPr="00D31736">
        <w:rPr>
          <w:rFonts w:asciiTheme="minorHAnsi" w:hAnsiTheme="minorHAnsi" w:cstheme="minorHAnsi"/>
          <w:i/>
          <w:iCs/>
          <w:sz w:val="22"/>
          <w:szCs w:val="22"/>
          <w:lang w:val="en-US"/>
        </w:rPr>
        <w:t>The Guardian</w:t>
      </w:r>
      <w:r w:rsidRPr="00D31736">
        <w:rPr>
          <w:rFonts w:asciiTheme="minorHAnsi" w:hAnsiTheme="minorHAnsi" w:cstheme="minorHAnsi"/>
          <w:sz w:val="22"/>
          <w:szCs w:val="22"/>
          <w:lang w:val="en-US"/>
        </w:rPr>
        <w:t>, The Guardian, 17 Sept. 2012, www.theguardian.com/uk/2012/sep/17/cardiff-three-five-wait-justice.</w:t>
      </w:r>
    </w:p>
    <w:p w14:paraId="0DC3CA29"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Chandler, Nicola. “Leavers Survey Headline Report.” </w:t>
      </w:r>
      <w:r w:rsidRPr="00D31736">
        <w:rPr>
          <w:rFonts w:asciiTheme="minorHAnsi" w:hAnsiTheme="minorHAnsi" w:cstheme="minorHAnsi"/>
          <w:i/>
          <w:iCs/>
          <w:sz w:val="22"/>
          <w:szCs w:val="22"/>
          <w:lang w:val="en-US"/>
        </w:rPr>
        <w:t>Www.Polfed.orgf</w:t>
      </w:r>
      <w:r w:rsidRPr="00D31736">
        <w:rPr>
          <w:rFonts w:asciiTheme="minorHAnsi" w:hAnsiTheme="minorHAnsi" w:cstheme="minorHAnsi"/>
          <w:sz w:val="22"/>
          <w:szCs w:val="22"/>
          <w:lang w:val="en-US"/>
        </w:rPr>
        <w:t>, Aug. 2019, www.polfed.org/media/15183/leavers-survey-report-2019-02-09-19-v013.pdf.</w:t>
      </w:r>
    </w:p>
    <w:p w14:paraId="2B2F3F04"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lastRenderedPageBreak/>
        <w:t xml:space="preserve">College Of Policing. “National Decision Model.” </w:t>
      </w:r>
      <w:r w:rsidRPr="00D31736">
        <w:rPr>
          <w:rFonts w:asciiTheme="minorHAnsi" w:hAnsiTheme="minorHAnsi" w:cstheme="minorHAnsi"/>
          <w:i/>
          <w:iCs/>
          <w:sz w:val="22"/>
          <w:szCs w:val="22"/>
          <w:lang w:val="en-US"/>
        </w:rPr>
        <w:t>Police.Uk</w:t>
      </w:r>
      <w:r w:rsidRPr="00D31736">
        <w:rPr>
          <w:rFonts w:asciiTheme="minorHAnsi" w:hAnsiTheme="minorHAnsi" w:cstheme="minorHAnsi"/>
          <w:sz w:val="22"/>
          <w:szCs w:val="22"/>
          <w:lang w:val="en-US"/>
        </w:rPr>
        <w:t>, 2012, www.app.college.police.uk/app-content/national-decision-model/the-national-decision-model/.</w:t>
      </w:r>
    </w:p>
    <w:p w14:paraId="4E91582A"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Copeland, Andre. </w:t>
      </w:r>
      <w:r w:rsidRPr="00D31736">
        <w:rPr>
          <w:rFonts w:asciiTheme="minorHAnsi" w:hAnsiTheme="minorHAnsi" w:cstheme="minorHAnsi"/>
          <w:i/>
          <w:iCs/>
          <w:sz w:val="22"/>
          <w:szCs w:val="22"/>
          <w:lang w:val="en-US"/>
        </w:rPr>
        <w:t>The Pros and Cons of Open and Closed Questions Closed Questions Usually Start With</w:t>
      </w:r>
      <w:r w:rsidRPr="00D31736">
        <w:rPr>
          <w:rFonts w:asciiTheme="minorHAnsi" w:hAnsiTheme="minorHAnsi" w:cstheme="minorHAnsi"/>
          <w:sz w:val="22"/>
          <w:szCs w:val="22"/>
          <w:lang w:val="en-US"/>
        </w:rPr>
        <w:t>. Mar. 2017.</w:t>
      </w:r>
    </w:p>
    <w:p w14:paraId="38F029AF"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Davies, Katie. “Ten Years after the Death of Fiona Pilkington, Have the Police Got Better at Tackling Hate Crime?” </w:t>
      </w:r>
      <w:r w:rsidRPr="00D31736">
        <w:rPr>
          <w:rFonts w:asciiTheme="minorHAnsi" w:hAnsiTheme="minorHAnsi" w:cstheme="minorHAnsi"/>
          <w:i/>
          <w:iCs/>
          <w:sz w:val="22"/>
          <w:szCs w:val="22"/>
          <w:lang w:val="en-US"/>
        </w:rPr>
        <w:t>The Independent</w:t>
      </w:r>
      <w:r w:rsidRPr="00D31736">
        <w:rPr>
          <w:rFonts w:asciiTheme="minorHAnsi" w:hAnsiTheme="minorHAnsi" w:cstheme="minorHAnsi"/>
          <w:sz w:val="22"/>
          <w:szCs w:val="22"/>
          <w:lang w:val="en-US"/>
        </w:rPr>
        <w:t>, 18 Oct. 2017, www.independent.co.uk/news/long_reads/fiona-pilkington-frankie-pilkington-suicide-learning-disabilities-bullying-hate-crime-a8004526.html.</w:t>
      </w:r>
    </w:p>
    <w:p w14:paraId="707C0406"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Griffiths, Andy. “How the UK Police Interview Suspects.” </w:t>
      </w:r>
      <w:r w:rsidRPr="00D31736">
        <w:rPr>
          <w:rFonts w:asciiTheme="minorHAnsi" w:hAnsiTheme="minorHAnsi" w:cstheme="minorHAnsi"/>
          <w:i/>
          <w:iCs/>
          <w:sz w:val="22"/>
          <w:szCs w:val="22"/>
          <w:lang w:val="en-US"/>
        </w:rPr>
        <w:t>Innocence Project</w:t>
      </w:r>
      <w:r w:rsidRPr="00D31736">
        <w:rPr>
          <w:rFonts w:asciiTheme="minorHAnsi" w:hAnsiTheme="minorHAnsi" w:cstheme="minorHAnsi"/>
          <w:sz w:val="22"/>
          <w:szCs w:val="22"/>
          <w:lang w:val="en-US"/>
        </w:rPr>
        <w:t>, 21 Dec. 2012, innocenceproject.org/how-the-uk-police-interview-suspects/. Accessed 11 Dec. 2020.</w:t>
      </w:r>
    </w:p>
    <w:p w14:paraId="60B35822"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i/>
          <w:iCs/>
          <w:sz w:val="22"/>
          <w:szCs w:val="22"/>
          <w:lang w:val="en-US"/>
        </w:rPr>
        <w:t>GUIDANCE FOR APPROPRIATE ADULTS</w:t>
      </w:r>
      <w:r w:rsidRPr="00D31736">
        <w:rPr>
          <w:rFonts w:asciiTheme="minorHAnsi" w:hAnsiTheme="minorHAnsi" w:cstheme="minorHAnsi"/>
          <w:sz w:val="22"/>
          <w:szCs w:val="22"/>
          <w:lang w:val="en-US"/>
        </w:rPr>
        <w:t>. Home Office.</w:t>
      </w:r>
    </w:p>
    <w:p w14:paraId="5B48F73A"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i/>
          <w:iCs/>
          <w:sz w:val="22"/>
          <w:szCs w:val="22"/>
          <w:lang w:val="en-US"/>
        </w:rPr>
        <w:t>Guidelines for First Responders</w:t>
      </w:r>
      <w:r w:rsidRPr="00D31736">
        <w:rPr>
          <w:rFonts w:asciiTheme="minorHAnsi" w:hAnsiTheme="minorHAnsi" w:cstheme="minorHAnsi"/>
          <w:sz w:val="22"/>
          <w:szCs w:val="22"/>
          <w:lang w:val="en-US"/>
        </w:rPr>
        <w:t>. College of policing, 2019.</w:t>
      </w:r>
    </w:p>
    <w:p w14:paraId="194154F9"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“How Can Crime Affect You? | Victim Support.” </w:t>
      </w:r>
      <w:r w:rsidRPr="00D31736">
        <w:rPr>
          <w:rFonts w:asciiTheme="minorHAnsi" w:hAnsiTheme="minorHAnsi" w:cstheme="minorHAnsi"/>
          <w:i/>
          <w:iCs/>
          <w:sz w:val="22"/>
          <w:szCs w:val="22"/>
          <w:lang w:val="en-US"/>
        </w:rPr>
        <w:t>Victimsupport.org.Uk</w:t>
      </w:r>
      <w:r w:rsidRPr="00D31736">
        <w:rPr>
          <w:rFonts w:asciiTheme="minorHAnsi" w:hAnsiTheme="minorHAnsi" w:cstheme="minorHAnsi"/>
          <w:sz w:val="22"/>
          <w:szCs w:val="22"/>
          <w:lang w:val="en-US"/>
        </w:rPr>
        <w:t>, 2016, www.victimsupport.org.uk/help-and-support/coping-crime/how-can-crime-affect-you.</w:t>
      </w:r>
    </w:p>
    <w:p w14:paraId="7A659352"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“Investigative Interviewing.” </w:t>
      </w:r>
      <w:r w:rsidRPr="00D31736">
        <w:rPr>
          <w:rFonts w:asciiTheme="minorHAnsi" w:hAnsiTheme="minorHAnsi" w:cstheme="minorHAnsi"/>
          <w:i/>
          <w:iCs/>
          <w:sz w:val="22"/>
          <w:szCs w:val="22"/>
          <w:lang w:val="en-US"/>
        </w:rPr>
        <w:t>Police.Uk</w:t>
      </w:r>
      <w:r w:rsidRPr="00D31736">
        <w:rPr>
          <w:rFonts w:asciiTheme="minorHAnsi" w:hAnsiTheme="minorHAnsi" w:cstheme="minorHAnsi"/>
          <w:sz w:val="22"/>
          <w:szCs w:val="22"/>
          <w:lang w:val="en-US"/>
        </w:rPr>
        <w:t>, 2011, www.app.college.police.uk/app-content/investigations/investigative-interviewing/.</w:t>
      </w:r>
    </w:p>
    <w:p w14:paraId="25D199D7"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Monico, Nicolle. “The Short &amp; Long-Term Physical &amp; Psychological Effects of Alcohol Use.” </w:t>
      </w:r>
      <w:r w:rsidRPr="00D31736">
        <w:rPr>
          <w:rFonts w:asciiTheme="minorHAnsi" w:hAnsiTheme="minorHAnsi" w:cstheme="minorHAnsi"/>
          <w:i/>
          <w:iCs/>
          <w:sz w:val="22"/>
          <w:szCs w:val="22"/>
          <w:lang w:val="en-US"/>
        </w:rPr>
        <w:t>Alcohol.org</w:t>
      </w:r>
      <w:r w:rsidRPr="00D31736">
        <w:rPr>
          <w:rFonts w:asciiTheme="minorHAnsi" w:hAnsiTheme="minorHAnsi" w:cstheme="minorHAnsi"/>
          <w:sz w:val="22"/>
          <w:szCs w:val="22"/>
          <w:lang w:val="en-US"/>
        </w:rPr>
        <w:t>, 2018, www.alcohol.org/effects/.</w:t>
      </w:r>
    </w:p>
    <w:p w14:paraId="75079A0E"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“Police Watchdog Feels Frontline Pressures of Officers.” </w:t>
      </w:r>
      <w:r w:rsidRPr="00D31736">
        <w:rPr>
          <w:rFonts w:asciiTheme="minorHAnsi" w:hAnsiTheme="minorHAnsi" w:cstheme="minorHAnsi"/>
          <w:i/>
          <w:iCs/>
          <w:sz w:val="22"/>
          <w:szCs w:val="22"/>
          <w:lang w:val="en-US"/>
        </w:rPr>
        <w:t>Www.Polfed.org</w:t>
      </w:r>
      <w:r w:rsidRPr="00D31736">
        <w:rPr>
          <w:rFonts w:asciiTheme="minorHAnsi" w:hAnsiTheme="minorHAnsi" w:cstheme="minorHAnsi"/>
          <w:sz w:val="22"/>
          <w:szCs w:val="22"/>
          <w:lang w:val="en-US"/>
        </w:rPr>
        <w:t>, 22 May 2019, www.polfed.org/news-media-campaigns/latest-news/2019/police-watchdog-feels-frontline-pressures-of-officers/.</w:t>
      </w:r>
    </w:p>
    <w:p w14:paraId="3FADF9D5"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“Problem-Orientated Policing.” </w:t>
      </w:r>
      <w:r w:rsidRPr="00D31736">
        <w:rPr>
          <w:rFonts w:asciiTheme="minorHAnsi" w:hAnsiTheme="minorHAnsi" w:cstheme="minorHAnsi"/>
          <w:i/>
          <w:iCs/>
          <w:sz w:val="22"/>
          <w:szCs w:val="22"/>
          <w:lang w:val="en-US"/>
        </w:rPr>
        <w:t>Police.Uk</w:t>
      </w:r>
      <w:r w:rsidRPr="00D31736">
        <w:rPr>
          <w:rFonts w:asciiTheme="minorHAnsi" w:hAnsiTheme="minorHAnsi" w:cstheme="minorHAnsi"/>
          <w:sz w:val="22"/>
          <w:szCs w:val="22"/>
          <w:lang w:val="en-US"/>
        </w:rPr>
        <w:t>, 2019, whatworks.college.police.uk/toolkit/Pages/Intervention.aspx?InterventionID=47.</w:t>
      </w:r>
    </w:p>
    <w:p w14:paraId="105625D7"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Smith, Victoria, and Edward Wynne-Mchardy. </w:t>
      </w:r>
      <w:r w:rsidRPr="00D31736">
        <w:rPr>
          <w:rFonts w:asciiTheme="minorHAnsi" w:hAnsiTheme="minorHAnsi" w:cstheme="minorHAnsi"/>
          <w:i/>
          <w:iCs/>
          <w:sz w:val="22"/>
          <w:szCs w:val="22"/>
          <w:lang w:val="en-US"/>
        </w:rPr>
        <w:t>An Analysis of Indicators of Serious Violence Findings from the Millennium Cohort Study and the Environmental Risk (E-Risk) Longitudinal Twin Study</w:t>
      </w:r>
      <w:r w:rsidRPr="00D31736">
        <w:rPr>
          <w:rFonts w:asciiTheme="minorHAnsi" w:hAnsiTheme="minorHAnsi" w:cstheme="minorHAnsi"/>
          <w:sz w:val="22"/>
          <w:szCs w:val="22"/>
          <w:lang w:val="en-US"/>
        </w:rPr>
        <w:t>. 2019.</w:t>
      </w:r>
    </w:p>
    <w:p w14:paraId="53F66B31"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lastRenderedPageBreak/>
        <w:t xml:space="preserve">“The Dyslexia-Stress-Anxiety Connection – International Dyslexia Association.” </w:t>
      </w:r>
      <w:r w:rsidRPr="00D31736">
        <w:rPr>
          <w:rFonts w:asciiTheme="minorHAnsi" w:hAnsiTheme="minorHAnsi" w:cstheme="minorHAnsi"/>
          <w:i/>
          <w:iCs/>
          <w:sz w:val="22"/>
          <w:szCs w:val="22"/>
          <w:lang w:val="en-US"/>
        </w:rPr>
        <w:t>Dyslexiaida.org</w:t>
      </w:r>
      <w:r w:rsidRPr="00D31736">
        <w:rPr>
          <w:rFonts w:asciiTheme="minorHAnsi" w:hAnsiTheme="minorHAnsi" w:cstheme="minorHAnsi"/>
          <w:sz w:val="22"/>
          <w:szCs w:val="22"/>
          <w:lang w:val="en-US"/>
        </w:rPr>
        <w:t>, 2016, dyslexiaida.org/the-dyslexia-stress-anxiety-connection/.</w:t>
      </w:r>
    </w:p>
    <w:p w14:paraId="2F7B1895"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“The SARA Model | ASU Center for Problem-Oriented Policing.” </w:t>
      </w:r>
      <w:r w:rsidRPr="00D31736">
        <w:rPr>
          <w:rFonts w:asciiTheme="minorHAnsi" w:hAnsiTheme="minorHAnsi" w:cstheme="minorHAnsi"/>
          <w:i/>
          <w:iCs/>
          <w:sz w:val="22"/>
          <w:szCs w:val="22"/>
          <w:lang w:val="en-US"/>
        </w:rPr>
        <w:t>Asu.Edu</w:t>
      </w:r>
      <w:r w:rsidRPr="00D31736">
        <w:rPr>
          <w:rFonts w:asciiTheme="minorHAnsi" w:hAnsiTheme="minorHAnsi" w:cstheme="minorHAnsi"/>
          <w:sz w:val="22"/>
          <w:szCs w:val="22"/>
          <w:lang w:val="en-US"/>
        </w:rPr>
        <w:t>, 2019, popcenter.asu.edu/content/sara-model-0.</w:t>
      </w:r>
    </w:p>
    <w:p w14:paraId="206AE78B"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“What Does Vulnerable Adult Mean?” </w:t>
      </w:r>
      <w:r w:rsidRPr="00D31736">
        <w:rPr>
          <w:rFonts w:asciiTheme="minorHAnsi" w:hAnsiTheme="minorHAnsi" w:cstheme="minorHAnsi"/>
          <w:i/>
          <w:iCs/>
          <w:sz w:val="22"/>
          <w:szCs w:val="22"/>
          <w:lang w:val="en-US"/>
        </w:rPr>
        <w:t>Uhs.Nhs.Uk</w:t>
      </w:r>
      <w:r w:rsidRPr="00D31736">
        <w:rPr>
          <w:rFonts w:asciiTheme="minorHAnsi" w:hAnsiTheme="minorHAnsi" w:cstheme="minorHAnsi"/>
          <w:sz w:val="22"/>
          <w:szCs w:val="22"/>
          <w:lang w:val="en-US"/>
        </w:rPr>
        <w:t>, 2013, www.uhs.nhs.uk/HealthProfessionals/Clinical-law-updates/Whatismeantbyavulnerableadult.aspx.</w:t>
      </w:r>
    </w:p>
    <w:p w14:paraId="40418A0D"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“What Is Antisocial Behaviour? | Thames Valley Police.” </w:t>
      </w:r>
      <w:r w:rsidRPr="00D31736">
        <w:rPr>
          <w:rFonts w:asciiTheme="minorHAnsi" w:hAnsiTheme="minorHAnsi" w:cstheme="minorHAnsi"/>
          <w:i/>
          <w:iCs/>
          <w:sz w:val="22"/>
          <w:szCs w:val="22"/>
          <w:lang w:val="en-US"/>
        </w:rPr>
        <w:t>Police.Uk</w:t>
      </w:r>
      <w:r w:rsidRPr="00D31736">
        <w:rPr>
          <w:rFonts w:asciiTheme="minorHAnsi" w:hAnsiTheme="minorHAnsi" w:cstheme="minorHAnsi"/>
          <w:sz w:val="22"/>
          <w:szCs w:val="22"/>
          <w:lang w:val="en-US"/>
        </w:rPr>
        <w:t>, 2011, www.thamesvalley.police.uk/advice/advice-and-information/asb/af/antisocial-behaviour/.</w:t>
      </w:r>
    </w:p>
    <w:p w14:paraId="2D59E44C" w14:textId="77777777" w:rsidR="00D31736" w:rsidRPr="00D31736" w:rsidRDefault="00D31736" w:rsidP="00D31736">
      <w:pPr>
        <w:widowControl w:val="0"/>
        <w:spacing w:line="480" w:lineRule="auto"/>
        <w:ind w:left="720" w:hanging="720"/>
        <w:rPr>
          <w:rFonts w:asciiTheme="minorHAnsi" w:hAnsiTheme="minorHAnsi" w:cstheme="minorHAnsi"/>
          <w:sz w:val="22"/>
          <w:szCs w:val="22"/>
          <w:lang w:val="en-US"/>
        </w:rPr>
      </w:pPr>
      <w:r w:rsidRPr="00D31736">
        <w:rPr>
          <w:rFonts w:asciiTheme="minorHAnsi" w:hAnsiTheme="minorHAnsi" w:cstheme="minorHAnsi"/>
          <w:sz w:val="22"/>
          <w:szCs w:val="22"/>
          <w:lang w:val="en-US"/>
        </w:rPr>
        <w:t xml:space="preserve">Wiesburd, D. “The Effects of Problem-Oriented Policing on Crime and Disorder.” </w:t>
      </w:r>
      <w:r w:rsidRPr="00D31736">
        <w:rPr>
          <w:rFonts w:asciiTheme="minorHAnsi" w:hAnsiTheme="minorHAnsi" w:cstheme="minorHAnsi"/>
          <w:i/>
          <w:iCs/>
          <w:sz w:val="22"/>
          <w:szCs w:val="22"/>
          <w:lang w:val="en-US"/>
        </w:rPr>
        <w:t>The Effects of ProblemOriented Policing on Crime and Disorder</w:t>
      </w:r>
      <w:r w:rsidRPr="00D31736">
        <w:rPr>
          <w:rFonts w:asciiTheme="minorHAnsi" w:hAnsiTheme="minorHAnsi" w:cstheme="minorHAnsi"/>
          <w:sz w:val="22"/>
          <w:szCs w:val="22"/>
          <w:lang w:val="en-US"/>
        </w:rPr>
        <w:t>, 3 Nov. 2008, 10.4073/csr.2008.14.</w:t>
      </w: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153FA90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D31736">
        <w:rPr>
          <w:rFonts w:eastAsia="Arial"/>
          <w:color w:val="000000" w:themeColor="text1"/>
          <w:sz w:val="24"/>
          <w:szCs w:val="24"/>
        </w:rPr>
        <w:t xml:space="preserve">Samuel Reynolds </w:t>
      </w:r>
    </w:p>
    <w:p w14:paraId="5473B39D" w14:textId="25489F28" w:rsidR="5848403C" w:rsidRDefault="5848403C" w:rsidP="5848403C">
      <w:pPr>
        <w:jc w:val="both"/>
        <w:rPr>
          <w:rFonts w:eastAsia="Arial"/>
          <w:color w:val="000000" w:themeColor="text1"/>
          <w:sz w:val="24"/>
          <w:szCs w:val="24"/>
        </w:rPr>
      </w:pPr>
    </w:p>
    <w:p w14:paraId="4EC5D203" w14:textId="532D2FAA" w:rsidR="5848403C" w:rsidRDefault="00D31736" w:rsidP="5848403C">
      <w:pPr>
        <w:jc w:val="both"/>
        <w:rPr>
          <w:rFonts w:eastAsia="Arial"/>
          <w:color w:val="000000" w:themeColor="text1"/>
          <w:sz w:val="24"/>
          <w:szCs w:val="24"/>
        </w:rPr>
      </w:pPr>
      <w:r>
        <w:rPr>
          <w:rFonts w:eastAsia="Arial"/>
          <w:color w:val="000000" w:themeColor="text1"/>
          <w:sz w:val="24"/>
          <w:szCs w:val="24"/>
        </w:rPr>
        <w:t>Date: 14.12.2020</w:t>
      </w:r>
      <w:bookmarkStart w:id="0" w:name="_GoBack"/>
      <w:bookmarkEnd w:id="0"/>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51027E" w14:textId="77777777" w:rsidR="00F96FEE" w:rsidRDefault="00F96FEE">
      <w:r>
        <w:separator/>
      </w:r>
    </w:p>
  </w:endnote>
  <w:endnote w:type="continuationSeparator" w:id="0">
    <w:p w14:paraId="18FFFD00" w14:textId="77777777" w:rsidR="00F96FEE" w:rsidRDefault="00F96F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2C95DAC1" w:rsidR="00F6513F" w:rsidRDefault="00F6513F">
    <w:pPr>
      <w:pStyle w:val="Footer"/>
      <w:jc w:val="right"/>
    </w:pPr>
    <w:r>
      <w:fldChar w:fldCharType="begin"/>
    </w:r>
    <w:r>
      <w:instrText xml:space="preserve"> PAGE   \* MERGEFORMAT </w:instrText>
    </w:r>
    <w:r>
      <w:fldChar w:fldCharType="separate"/>
    </w:r>
    <w:r w:rsidR="00D31736">
      <w:rPr>
        <w:noProof/>
      </w:rPr>
      <w:t>24</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129ACF9" w14:textId="77777777" w:rsidR="00F96FEE" w:rsidRDefault="00F96FEE">
      <w:r>
        <w:separator/>
      </w:r>
    </w:p>
  </w:footnote>
  <w:footnote w:type="continuationSeparator" w:id="0">
    <w:p w14:paraId="2EE892CD" w14:textId="77777777" w:rsidR="00F96FEE" w:rsidRDefault="00F96F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0C16"/>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2801"/>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1736"/>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4E30"/>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96FEE"/>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D3173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thamesvalley.police.uk/advice/advice-and-information/asb/af/antisocial-behaviour/" TargetMode="External"/><Relationship Id="rId2" Type="http://schemas.openxmlformats.org/officeDocument/2006/relationships/customXml" Target="../customXml/item2.xml"/><Relationship Id="rId16" Type="http://schemas.openxmlformats.org/officeDocument/2006/relationships/hyperlink" Target="http://www.legislation.gov.uk/ukpga/2003/38/cont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Dyslexia.Uk.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148DA35-5A66-4E37-8054-7037B09EF4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25</Pages>
  <Words>8112</Words>
  <Characters>46243</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Reynolds, Samuel</cp:lastModifiedBy>
  <cp:revision>3</cp:revision>
  <cp:lastPrinted>2019-09-26T14:40:00Z</cp:lastPrinted>
  <dcterms:created xsi:type="dcterms:W3CDTF">2020-11-17T07:42:00Z</dcterms:created>
  <dcterms:modified xsi:type="dcterms:W3CDTF">2020-12-14T10:28:00Z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