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14:ligatures w14:val="standardContextual"/>
        </w:rPr>
        <w:id w:val="558214878"/>
        <w:docPartObj>
          <w:docPartGallery w:val="Cover Pages"/>
          <w:docPartUnique/>
        </w:docPartObj>
      </w:sdtPr>
      <w:sdtEndPr>
        <w:rPr>
          <w:color w:val="auto"/>
        </w:rPr>
      </w:sdtEndPr>
      <w:sdtContent>
        <w:p w14:paraId="795D131F" w14:textId="5CD91FBA" w:rsidR="00C62A9A" w:rsidRDefault="00C62A9A">
          <w:pPr>
            <w:pStyle w:val="NoSpacing"/>
            <w:spacing w:before="1540" w:after="240"/>
            <w:jc w:val="center"/>
            <w:rPr>
              <w:color w:val="156082" w:themeColor="accent1"/>
            </w:rPr>
          </w:pPr>
          <w:r>
            <w:rPr>
              <w:noProof/>
              <w:color w:val="156082" w:themeColor="accent1"/>
            </w:rPr>
            <w:drawing>
              <wp:inline distT="0" distB="0" distL="0" distR="0" wp14:anchorId="156EAD25" wp14:editId="51F5170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b/>
              <w:bCs/>
              <w:caps/>
              <w:color w:val="000000" w:themeColor="text1"/>
              <w:sz w:val="28"/>
              <w:szCs w:val="28"/>
            </w:rPr>
            <w:alias w:val="Title"/>
            <w:tag w:val=""/>
            <w:id w:val="1735040861"/>
            <w:placeholder>
              <w:docPart w:val="C0FC589BC1A54D4F8D420C065318EAB8"/>
            </w:placeholder>
            <w:dataBinding w:prefixMappings="xmlns:ns0='http://purl.org/dc/elements/1.1/' xmlns:ns1='http://schemas.openxmlformats.org/package/2006/metadata/core-properties' " w:xpath="/ns1:coreProperties[1]/ns0:title[1]" w:storeItemID="{6C3C8BC8-F283-45AE-878A-BAB7291924A1}"/>
            <w:text/>
          </w:sdtPr>
          <w:sdtContent>
            <w:p w14:paraId="02B38A5F" w14:textId="6F902D0A" w:rsidR="00C62A9A" w:rsidRPr="00C62A9A" w:rsidRDefault="00C62A9A" w:rsidP="00C62A9A">
              <w:pPr>
                <w:pStyle w:val="NoSpacing"/>
                <w:pBdr>
                  <w:top w:val="single" w:sz="6" w:space="6" w:color="156082" w:themeColor="accent1"/>
                  <w:bottom w:val="single" w:sz="6" w:space="6" w:color="156082" w:themeColor="accent1"/>
                </w:pBdr>
                <w:spacing w:after="240"/>
                <w:jc w:val="center"/>
                <w:rPr>
                  <w:rFonts w:asciiTheme="minorBidi" w:eastAsiaTheme="majorEastAsia" w:hAnsiTheme="minorBidi"/>
                  <w:b/>
                  <w:bCs/>
                  <w:caps/>
                  <w:color w:val="000000" w:themeColor="text1"/>
                  <w:sz w:val="28"/>
                  <w:szCs w:val="28"/>
                </w:rPr>
              </w:pPr>
              <w:r w:rsidRPr="00C62A9A">
                <w:rPr>
                  <w:rFonts w:asciiTheme="minorBidi" w:eastAsiaTheme="majorEastAsia" w:hAnsiTheme="minorBidi"/>
                  <w:b/>
                  <w:bCs/>
                  <w:caps/>
                  <w:color w:val="000000" w:themeColor="text1"/>
                  <w:sz w:val="28"/>
                  <w:szCs w:val="28"/>
                </w:rPr>
                <w:t>BMHP6029-Psychopathological Classifications and Provisions</w:t>
              </w:r>
            </w:p>
          </w:sdtContent>
        </w:sdt>
        <w:p w14:paraId="3CD00699" w14:textId="3050FDD5" w:rsidR="00C62A9A" w:rsidRDefault="00C62A9A" w:rsidP="00C62A9A">
          <w:pPr>
            <w:pStyle w:val="NoSpacing"/>
            <w:rPr>
              <w:color w:val="156082" w:themeColor="accent1"/>
              <w:sz w:val="28"/>
              <w:szCs w:val="28"/>
            </w:rPr>
          </w:pPr>
          <w:r>
            <w:rPr>
              <w:noProof/>
              <w:color w:val="156082" w:themeColor="accent1"/>
            </w:rPr>
            <w:drawing>
              <wp:anchor distT="0" distB="0" distL="114300" distR="114300" simplePos="0" relativeHeight="251658240" behindDoc="0" locked="0" layoutInCell="1" allowOverlap="1" wp14:anchorId="2E269BA3" wp14:editId="249C6188">
                <wp:simplePos x="0" y="0"/>
                <wp:positionH relativeFrom="margin">
                  <wp:posOffset>2536371</wp:posOffset>
                </wp:positionH>
                <wp:positionV relativeFrom="paragraph">
                  <wp:posOffset>85634</wp:posOffset>
                </wp:positionV>
                <wp:extent cx="758825" cy="478790"/>
                <wp:effectExtent l="0" t="0" r="3175" b="0"/>
                <wp:wrapNone/>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1399FC3F" w14:textId="245BE2B2" w:rsidR="00C62A9A" w:rsidRDefault="00C62A9A">
          <w:pPr>
            <w:pStyle w:val="NoSpacing"/>
            <w:spacing w:before="480"/>
            <w:jc w:val="center"/>
            <w:rPr>
              <w:color w:val="156082" w:themeColor="accent1"/>
            </w:rPr>
          </w:pPr>
        </w:p>
        <w:p w14:paraId="259C8B3F" w14:textId="77777777" w:rsidR="00B334BC" w:rsidRDefault="00F40A4D" w:rsidP="00B334BC">
          <w:pPr>
            <w:jc w:val="center"/>
          </w:pPr>
          <w:r>
            <w:rPr>
              <w:noProof/>
            </w:rPr>
            <w:drawing>
              <wp:inline distT="0" distB="0" distL="0" distR="0" wp14:anchorId="1E708694" wp14:editId="1A770A60">
                <wp:extent cx="3309257" cy="1088390"/>
                <wp:effectExtent l="0" t="0" r="5715"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07129" cy="1153469"/>
                        </a:xfrm>
                        <a:prstGeom prst="rect">
                          <a:avLst/>
                        </a:prstGeom>
                        <a:noFill/>
                        <a:ln>
                          <a:noFill/>
                        </a:ln>
                      </pic:spPr>
                    </pic:pic>
                  </a:graphicData>
                </a:graphic>
              </wp:inline>
            </w:drawing>
          </w:r>
        </w:p>
        <w:p w14:paraId="0F728582" w14:textId="77777777" w:rsidR="00B334BC" w:rsidRDefault="00B334BC" w:rsidP="00B334BC">
          <w:pPr>
            <w:jc w:val="center"/>
          </w:pPr>
        </w:p>
        <w:p w14:paraId="22D98FCF" w14:textId="77777777" w:rsidR="00B334BC" w:rsidRDefault="00B334BC" w:rsidP="00B334BC">
          <w:pPr>
            <w:jc w:val="center"/>
          </w:pPr>
        </w:p>
        <w:p w14:paraId="28998586" w14:textId="77777777" w:rsidR="00B334BC" w:rsidRPr="00A03C82" w:rsidRDefault="00B334BC" w:rsidP="00A03C82">
          <w:pPr>
            <w:rPr>
              <w:rFonts w:asciiTheme="minorBidi" w:hAnsiTheme="minorBidi"/>
              <w:b/>
              <w:bCs/>
            </w:rPr>
          </w:pPr>
        </w:p>
        <w:p w14:paraId="712CF655" w14:textId="77777777" w:rsidR="00A03C82" w:rsidRPr="00A03C82" w:rsidRDefault="00A03C82" w:rsidP="00A03C82">
          <w:pPr>
            <w:rPr>
              <w:rFonts w:asciiTheme="minorBidi" w:hAnsiTheme="minorBidi"/>
              <w:b/>
              <w:bCs/>
              <w:sz w:val="28"/>
              <w:szCs w:val="28"/>
            </w:rPr>
          </w:pPr>
          <w:r w:rsidRPr="00A03C82">
            <w:rPr>
              <w:rFonts w:asciiTheme="minorBidi" w:hAnsiTheme="minorBidi"/>
              <w:b/>
              <w:bCs/>
              <w:sz w:val="28"/>
              <w:szCs w:val="28"/>
            </w:rPr>
            <w:t xml:space="preserve">Component 2: Written Assignment (Report) </w:t>
          </w:r>
        </w:p>
        <w:p w14:paraId="64F318C2" w14:textId="65EB6D2C" w:rsidR="00A03C82" w:rsidRPr="00A03C82" w:rsidRDefault="00A03C82" w:rsidP="00A03C82">
          <w:pPr>
            <w:rPr>
              <w:rFonts w:asciiTheme="minorBidi" w:hAnsiTheme="minorBidi"/>
              <w:b/>
              <w:bCs/>
              <w:sz w:val="28"/>
              <w:szCs w:val="28"/>
            </w:rPr>
          </w:pPr>
          <w:r w:rsidRPr="00A03C82">
            <w:rPr>
              <w:rFonts w:asciiTheme="minorBidi" w:hAnsiTheme="minorBidi"/>
              <w:b/>
              <w:bCs/>
              <w:sz w:val="28"/>
              <w:szCs w:val="28"/>
            </w:rPr>
            <w:t>Student name</w:t>
          </w:r>
          <w:r>
            <w:rPr>
              <w:rFonts w:asciiTheme="minorBidi" w:hAnsiTheme="minorBidi"/>
              <w:b/>
              <w:bCs/>
              <w:sz w:val="28"/>
              <w:szCs w:val="28"/>
            </w:rPr>
            <w:t>: Fatemeh Heydari</w:t>
          </w:r>
        </w:p>
        <w:p w14:paraId="492065C7" w14:textId="74FE20EA" w:rsidR="00B334BC" w:rsidRPr="00A03C82" w:rsidRDefault="00A03C82" w:rsidP="00A03C82">
          <w:pPr>
            <w:rPr>
              <w:rFonts w:asciiTheme="minorBidi" w:hAnsiTheme="minorBidi"/>
              <w:b/>
              <w:bCs/>
              <w:sz w:val="28"/>
              <w:szCs w:val="28"/>
            </w:rPr>
          </w:pPr>
          <w:r w:rsidRPr="00A03C82">
            <w:rPr>
              <w:rFonts w:asciiTheme="minorBidi" w:hAnsiTheme="minorBidi"/>
              <w:b/>
              <w:bCs/>
              <w:sz w:val="28"/>
              <w:szCs w:val="28"/>
            </w:rPr>
            <w:t>Student number</w:t>
          </w:r>
          <w:r>
            <w:rPr>
              <w:rFonts w:asciiTheme="minorBidi" w:hAnsiTheme="minorBidi"/>
              <w:b/>
              <w:bCs/>
              <w:sz w:val="28"/>
              <w:szCs w:val="28"/>
            </w:rPr>
            <w:t>: 2323552</w:t>
          </w:r>
        </w:p>
        <w:p w14:paraId="4C747A11" w14:textId="24A42B5D" w:rsidR="00B334BC" w:rsidRDefault="00C62A9A" w:rsidP="00B334BC">
          <w:pPr>
            <w:jc w:val="center"/>
          </w:pPr>
          <w:r>
            <w:br w:type="page"/>
          </w:r>
        </w:p>
      </w:sdtContent>
    </w:sdt>
    <w:p w14:paraId="563A7395" w14:textId="77777777" w:rsidR="000264A1" w:rsidRDefault="000264A1" w:rsidP="000264A1">
      <w:pPr>
        <w:rPr>
          <w:rFonts w:ascii="Arial" w:hAnsi="Arial" w:cs="Arial"/>
          <w:sz w:val="36"/>
          <w:szCs w:val="36"/>
        </w:rPr>
      </w:pPr>
    </w:p>
    <w:p w14:paraId="0FD37E23" w14:textId="4E8DAA68" w:rsidR="6070AEFB" w:rsidRDefault="6070AEFB" w:rsidP="6070AEFB">
      <w:pPr>
        <w:jc w:val="center"/>
        <w:rPr>
          <w:rFonts w:ascii="Arial" w:hAnsi="Arial" w:cs="Arial"/>
          <w:b/>
          <w:bCs/>
          <w:color w:val="000000" w:themeColor="text1"/>
          <w:sz w:val="28"/>
          <w:szCs w:val="28"/>
        </w:rPr>
      </w:pPr>
    </w:p>
    <w:p w14:paraId="1D8FABA7" w14:textId="5A74E2CC" w:rsidR="6070AEFB" w:rsidRDefault="6070AEFB" w:rsidP="6070AEFB">
      <w:pPr>
        <w:jc w:val="center"/>
        <w:rPr>
          <w:rFonts w:ascii="Arial" w:hAnsi="Arial" w:cs="Arial"/>
          <w:b/>
          <w:bCs/>
          <w:color w:val="000000" w:themeColor="text1"/>
          <w:sz w:val="28"/>
          <w:szCs w:val="28"/>
        </w:rPr>
      </w:pPr>
    </w:p>
    <w:p w14:paraId="175CE80C" w14:textId="0F47CBAA" w:rsidR="6070AEFB" w:rsidRDefault="6070AEFB" w:rsidP="6070AEFB">
      <w:pPr>
        <w:jc w:val="center"/>
        <w:rPr>
          <w:rFonts w:ascii="Arial" w:hAnsi="Arial" w:cs="Arial"/>
          <w:b/>
          <w:bCs/>
          <w:color w:val="000000" w:themeColor="text1"/>
          <w:sz w:val="28"/>
          <w:szCs w:val="28"/>
        </w:rPr>
      </w:pPr>
    </w:p>
    <w:p w14:paraId="4448BF01" w14:textId="13F32A34" w:rsidR="6070AEFB" w:rsidRDefault="6070AEFB" w:rsidP="6070AEFB">
      <w:pPr>
        <w:jc w:val="center"/>
        <w:rPr>
          <w:rFonts w:ascii="Arial" w:hAnsi="Arial" w:cs="Arial"/>
          <w:b/>
          <w:bCs/>
          <w:color w:val="000000" w:themeColor="text1"/>
          <w:sz w:val="28"/>
          <w:szCs w:val="28"/>
        </w:rPr>
      </w:pPr>
    </w:p>
    <w:p w14:paraId="1DEC40D5" w14:textId="25DFB9D4" w:rsidR="000264A1" w:rsidRPr="002B2E12" w:rsidRDefault="001E7C7E" w:rsidP="7699BF25">
      <w:pPr>
        <w:jc w:val="center"/>
        <w:rPr>
          <w:rFonts w:ascii="Arial" w:hAnsi="Arial" w:cs="Arial"/>
          <w:b/>
          <w:bCs/>
          <w:sz w:val="28"/>
          <w:szCs w:val="28"/>
        </w:rPr>
      </w:pPr>
      <w:r w:rsidRPr="7699BF25">
        <w:rPr>
          <w:rFonts w:ascii="Arial" w:hAnsi="Arial" w:cs="Arial"/>
          <w:b/>
          <w:bCs/>
          <w:color w:val="000000" w:themeColor="text1"/>
          <w:sz w:val="28"/>
          <w:szCs w:val="28"/>
        </w:rPr>
        <w:t>Contents table</w:t>
      </w:r>
    </w:p>
    <w:p w14:paraId="432AEE04" w14:textId="77777777" w:rsidR="000264A1" w:rsidRDefault="000264A1" w:rsidP="000264A1">
      <w:pPr>
        <w:rPr>
          <w:rFonts w:ascii="Arial" w:hAnsi="Arial" w:cs="Arial"/>
          <w:sz w:val="36"/>
          <w:szCs w:val="36"/>
        </w:rPr>
      </w:pPr>
    </w:p>
    <w:p w14:paraId="762FC242" w14:textId="77777777" w:rsidR="00A03C82" w:rsidRDefault="00A03C82" w:rsidP="009F1463">
      <w:pPr>
        <w:pStyle w:val="NormalWeb"/>
        <w:spacing w:line="360" w:lineRule="auto"/>
        <w:jc w:val="both"/>
        <w:rPr>
          <w:rFonts w:ascii="Arial" w:hAnsi="Arial" w:cs="Arial"/>
          <w:color w:val="000000"/>
          <w:sz w:val="22"/>
          <w:szCs w:val="22"/>
        </w:rPr>
      </w:pPr>
    </w:p>
    <w:sdt>
      <w:sdtPr>
        <w:rPr>
          <w:rFonts w:asciiTheme="minorHAnsi" w:eastAsiaTheme="minorEastAsia" w:hAnsiTheme="minorHAnsi" w:cstheme="minorBidi"/>
          <w:color w:val="auto"/>
          <w:kern w:val="2"/>
          <w:sz w:val="24"/>
          <w:szCs w:val="24"/>
          <w:lang w:val="en-GB"/>
          <w14:ligatures w14:val="standardContextual"/>
        </w:rPr>
        <w:id w:val="1716466034"/>
        <w:docPartObj>
          <w:docPartGallery w:val="Table of Contents"/>
          <w:docPartUnique/>
        </w:docPartObj>
      </w:sdtPr>
      <w:sdtEndPr>
        <w:rPr>
          <w:b/>
          <w:bCs/>
          <w:color w:val="000000" w:themeColor="text1"/>
          <w:sz w:val="28"/>
          <w:szCs w:val="28"/>
        </w:rPr>
      </w:sdtEndPr>
      <w:sdtContent>
        <w:p w14:paraId="6B22CFEE" w14:textId="111D58D4" w:rsidR="008C4C7C" w:rsidRDefault="008C4C7C" w:rsidP="008C4C7C">
          <w:pPr>
            <w:pStyle w:val="TOCHeading"/>
          </w:pPr>
        </w:p>
        <w:p w14:paraId="5F0314E7" w14:textId="4232E053" w:rsidR="008C4C7C" w:rsidRPr="008C4C7C" w:rsidRDefault="008C4C7C">
          <w:pPr>
            <w:pStyle w:val="TOC1"/>
            <w:tabs>
              <w:tab w:val="right" w:leader="dot" w:pos="9016"/>
            </w:tabs>
            <w:rPr>
              <w:b/>
              <w:bCs/>
              <w:noProof/>
              <w:color w:val="000000" w:themeColor="text1"/>
              <w:sz w:val="28"/>
              <w:szCs w:val="28"/>
            </w:rPr>
          </w:pPr>
          <w:r w:rsidRPr="008C4C7C">
            <w:rPr>
              <w:b/>
              <w:bCs/>
              <w:color w:val="000000" w:themeColor="text1"/>
              <w:sz w:val="28"/>
              <w:szCs w:val="28"/>
            </w:rPr>
            <w:fldChar w:fldCharType="begin"/>
          </w:r>
          <w:r w:rsidRPr="008C4C7C">
            <w:rPr>
              <w:b/>
              <w:bCs/>
              <w:color w:val="000000" w:themeColor="text1"/>
              <w:sz w:val="28"/>
              <w:szCs w:val="28"/>
            </w:rPr>
            <w:instrText xml:space="preserve"> TOC \o "1-3" \h \z \u </w:instrText>
          </w:r>
          <w:r w:rsidRPr="008C4C7C">
            <w:rPr>
              <w:b/>
              <w:bCs/>
              <w:color w:val="000000" w:themeColor="text1"/>
              <w:sz w:val="28"/>
              <w:szCs w:val="28"/>
            </w:rPr>
            <w:fldChar w:fldCharType="separate"/>
          </w:r>
          <w:hyperlink w:anchor="_Toc227436971" w:history="1">
            <w:r w:rsidRPr="008C4C7C">
              <w:rPr>
                <w:rStyle w:val="Hyperlink"/>
                <w:b/>
                <w:bCs/>
                <w:noProof/>
                <w:color w:val="000000" w:themeColor="text1"/>
                <w:sz w:val="28"/>
                <w:szCs w:val="28"/>
              </w:rPr>
              <w:t>Introduction</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_Toc227436971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2</w:t>
            </w:r>
            <w:r w:rsidRPr="008C4C7C">
              <w:rPr>
                <w:b/>
                <w:bCs/>
                <w:noProof/>
                <w:webHidden/>
                <w:color w:val="000000" w:themeColor="text1"/>
                <w:sz w:val="28"/>
                <w:szCs w:val="28"/>
              </w:rPr>
              <w:fldChar w:fldCharType="end"/>
            </w:r>
          </w:hyperlink>
        </w:p>
        <w:p w14:paraId="1445BDB5" w14:textId="5F6A5159" w:rsidR="008C4C7C" w:rsidRPr="008C4C7C" w:rsidRDefault="008C4C7C">
          <w:pPr>
            <w:pStyle w:val="TOC1"/>
            <w:tabs>
              <w:tab w:val="right" w:leader="dot" w:pos="9016"/>
            </w:tabs>
            <w:rPr>
              <w:b/>
              <w:bCs/>
              <w:noProof/>
              <w:color w:val="000000" w:themeColor="text1"/>
              <w:sz w:val="28"/>
              <w:szCs w:val="28"/>
            </w:rPr>
          </w:pPr>
          <w:hyperlink w:anchor="_Toc227436972" w:history="1">
            <w:r w:rsidRPr="008C4C7C">
              <w:rPr>
                <w:rStyle w:val="Hyperlink"/>
                <w:b/>
                <w:bCs/>
                <w:noProof/>
                <w:color w:val="000000" w:themeColor="text1"/>
                <w:sz w:val="28"/>
                <w:szCs w:val="28"/>
              </w:rPr>
              <w:t>Classification and Diagnosis</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_Toc227436972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2</w:t>
            </w:r>
            <w:r w:rsidRPr="008C4C7C">
              <w:rPr>
                <w:b/>
                <w:bCs/>
                <w:noProof/>
                <w:webHidden/>
                <w:color w:val="000000" w:themeColor="text1"/>
                <w:sz w:val="28"/>
                <w:szCs w:val="28"/>
              </w:rPr>
              <w:fldChar w:fldCharType="end"/>
            </w:r>
          </w:hyperlink>
        </w:p>
        <w:p w14:paraId="528B8FC9" w14:textId="2E454F6D" w:rsidR="008C4C7C" w:rsidRPr="008C4C7C" w:rsidRDefault="008C4C7C">
          <w:pPr>
            <w:pStyle w:val="TOC1"/>
            <w:tabs>
              <w:tab w:val="right" w:leader="dot" w:pos="9016"/>
            </w:tabs>
            <w:rPr>
              <w:b/>
              <w:bCs/>
              <w:noProof/>
              <w:color w:val="000000" w:themeColor="text1"/>
              <w:sz w:val="28"/>
              <w:szCs w:val="28"/>
            </w:rPr>
          </w:pPr>
          <w:hyperlink w:anchor="_Toc227436973" w:history="1">
            <w:r w:rsidRPr="008C4C7C">
              <w:rPr>
                <w:rStyle w:val="Hyperlink"/>
                <w:rFonts w:ascii="Arial" w:hAnsi="Arial" w:cs="Arial"/>
                <w:b/>
                <w:bCs/>
                <w:noProof/>
                <w:color w:val="000000" w:themeColor="text1"/>
                <w:sz w:val="28"/>
                <w:szCs w:val="28"/>
              </w:rPr>
              <w:t>Treatment and Rehabilitation</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_Toc227436973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4</w:t>
            </w:r>
            <w:r w:rsidRPr="008C4C7C">
              <w:rPr>
                <w:b/>
                <w:bCs/>
                <w:noProof/>
                <w:webHidden/>
                <w:color w:val="000000" w:themeColor="text1"/>
                <w:sz w:val="28"/>
                <w:szCs w:val="28"/>
              </w:rPr>
              <w:fldChar w:fldCharType="end"/>
            </w:r>
          </w:hyperlink>
        </w:p>
        <w:p w14:paraId="4F17F35A" w14:textId="366D8288" w:rsidR="008C4C7C" w:rsidRPr="008C4C7C" w:rsidRDefault="008C4C7C">
          <w:pPr>
            <w:pStyle w:val="TOC1"/>
            <w:tabs>
              <w:tab w:val="right" w:leader="dot" w:pos="9016"/>
            </w:tabs>
            <w:rPr>
              <w:b/>
              <w:bCs/>
              <w:noProof/>
              <w:color w:val="000000" w:themeColor="text1"/>
              <w:sz w:val="28"/>
              <w:szCs w:val="28"/>
            </w:rPr>
          </w:pPr>
          <w:hyperlink w:anchor="_Toc227436974" w:history="1">
            <w:r w:rsidRPr="008C4C7C">
              <w:rPr>
                <w:rStyle w:val="Hyperlink"/>
                <w:b/>
                <w:bCs/>
                <w:noProof/>
                <w:color w:val="000000" w:themeColor="text1"/>
                <w:sz w:val="28"/>
                <w:szCs w:val="28"/>
              </w:rPr>
              <w:t>Current Debates and Emerging Issues</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_Toc227436974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5</w:t>
            </w:r>
            <w:r w:rsidRPr="008C4C7C">
              <w:rPr>
                <w:b/>
                <w:bCs/>
                <w:noProof/>
                <w:webHidden/>
                <w:color w:val="000000" w:themeColor="text1"/>
                <w:sz w:val="28"/>
                <w:szCs w:val="28"/>
              </w:rPr>
              <w:fldChar w:fldCharType="end"/>
            </w:r>
          </w:hyperlink>
        </w:p>
        <w:p w14:paraId="64DF9BA9" w14:textId="74114F66" w:rsidR="008C4C7C" w:rsidRPr="008C4C7C" w:rsidRDefault="008C4C7C">
          <w:pPr>
            <w:pStyle w:val="TOC1"/>
            <w:tabs>
              <w:tab w:val="right" w:leader="dot" w:pos="9016"/>
            </w:tabs>
            <w:rPr>
              <w:b/>
              <w:bCs/>
              <w:noProof/>
              <w:color w:val="000000" w:themeColor="text1"/>
              <w:sz w:val="28"/>
              <w:szCs w:val="28"/>
            </w:rPr>
          </w:pPr>
          <w:hyperlink w:anchor="_Toc227436975" w:history="1">
            <w:r w:rsidRPr="008C4C7C">
              <w:rPr>
                <w:rStyle w:val="Hyperlink"/>
                <w:b/>
                <w:bCs/>
                <w:noProof/>
                <w:color w:val="000000" w:themeColor="text1"/>
                <w:sz w:val="28"/>
                <w:szCs w:val="28"/>
              </w:rPr>
              <w:t>Recommendations</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_Toc227436975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6</w:t>
            </w:r>
            <w:r w:rsidRPr="008C4C7C">
              <w:rPr>
                <w:b/>
                <w:bCs/>
                <w:noProof/>
                <w:webHidden/>
                <w:color w:val="000000" w:themeColor="text1"/>
                <w:sz w:val="28"/>
                <w:szCs w:val="28"/>
              </w:rPr>
              <w:fldChar w:fldCharType="end"/>
            </w:r>
          </w:hyperlink>
        </w:p>
        <w:p w14:paraId="716385AC" w14:textId="7DB0893D" w:rsidR="008C4C7C" w:rsidRPr="008C4C7C" w:rsidRDefault="008C4C7C">
          <w:pPr>
            <w:pStyle w:val="TOC1"/>
            <w:tabs>
              <w:tab w:val="right" w:leader="dot" w:pos="9016"/>
            </w:tabs>
            <w:rPr>
              <w:b/>
              <w:bCs/>
              <w:noProof/>
              <w:color w:val="000000" w:themeColor="text1"/>
              <w:sz w:val="28"/>
              <w:szCs w:val="28"/>
            </w:rPr>
          </w:pPr>
          <w:hyperlink w:anchor="_Toc227436976" w:history="1">
            <w:r w:rsidRPr="008C4C7C">
              <w:rPr>
                <w:rStyle w:val="Hyperlink"/>
                <w:b/>
                <w:bCs/>
                <w:noProof/>
                <w:color w:val="000000" w:themeColor="text1"/>
                <w:sz w:val="28"/>
                <w:szCs w:val="28"/>
              </w:rPr>
              <w:t>Conclusion</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_Toc227436976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7</w:t>
            </w:r>
            <w:r w:rsidRPr="008C4C7C">
              <w:rPr>
                <w:b/>
                <w:bCs/>
                <w:noProof/>
                <w:webHidden/>
                <w:color w:val="000000" w:themeColor="text1"/>
                <w:sz w:val="28"/>
                <w:szCs w:val="28"/>
              </w:rPr>
              <w:fldChar w:fldCharType="end"/>
            </w:r>
          </w:hyperlink>
        </w:p>
        <w:p w14:paraId="120C0B2D" w14:textId="77E7FEF9" w:rsidR="008C4C7C" w:rsidRPr="008C4C7C" w:rsidRDefault="008C4C7C">
          <w:pPr>
            <w:pStyle w:val="TOC1"/>
            <w:tabs>
              <w:tab w:val="right" w:leader="dot" w:pos="9016"/>
            </w:tabs>
            <w:rPr>
              <w:b/>
              <w:bCs/>
              <w:noProof/>
              <w:color w:val="000000" w:themeColor="text1"/>
              <w:sz w:val="28"/>
              <w:szCs w:val="28"/>
            </w:rPr>
          </w:pPr>
          <w:hyperlink w:anchor="_Toc227436977" w:history="1">
            <w:r w:rsidRPr="008C4C7C">
              <w:rPr>
                <w:rStyle w:val="Hyperlink"/>
                <w:b/>
                <w:bCs/>
                <w:noProof/>
                <w:color w:val="000000" w:themeColor="text1"/>
                <w:sz w:val="28"/>
                <w:szCs w:val="28"/>
              </w:rPr>
              <w:t>References</w:t>
            </w:r>
            <w:r w:rsidRPr="008C4C7C">
              <w:rPr>
                <w:b/>
                <w:bCs/>
                <w:noProof/>
                <w:webHidden/>
                <w:color w:val="000000" w:themeColor="text1"/>
                <w:sz w:val="28"/>
                <w:szCs w:val="28"/>
              </w:rPr>
              <w:tab/>
            </w:r>
            <w:r w:rsidRPr="008C4C7C">
              <w:rPr>
                <w:b/>
                <w:bCs/>
                <w:noProof/>
                <w:webHidden/>
                <w:color w:val="000000" w:themeColor="text1"/>
                <w:sz w:val="28"/>
                <w:szCs w:val="28"/>
              </w:rPr>
              <w:fldChar w:fldCharType="begin"/>
            </w:r>
            <w:r w:rsidRPr="008C4C7C">
              <w:rPr>
                <w:b/>
                <w:bCs/>
                <w:noProof/>
                <w:webHidden/>
                <w:color w:val="000000" w:themeColor="text1"/>
                <w:sz w:val="28"/>
                <w:szCs w:val="28"/>
              </w:rPr>
              <w:instrText xml:space="preserve"> PAGEREF _Toc227436977 \h </w:instrText>
            </w:r>
            <w:r w:rsidRPr="008C4C7C">
              <w:rPr>
                <w:b/>
                <w:bCs/>
                <w:noProof/>
                <w:webHidden/>
                <w:color w:val="000000" w:themeColor="text1"/>
                <w:sz w:val="28"/>
                <w:szCs w:val="28"/>
              </w:rPr>
            </w:r>
            <w:r w:rsidRPr="008C4C7C">
              <w:rPr>
                <w:b/>
                <w:bCs/>
                <w:noProof/>
                <w:webHidden/>
                <w:color w:val="000000" w:themeColor="text1"/>
                <w:sz w:val="28"/>
                <w:szCs w:val="28"/>
              </w:rPr>
              <w:fldChar w:fldCharType="separate"/>
            </w:r>
            <w:r w:rsidRPr="008C4C7C">
              <w:rPr>
                <w:b/>
                <w:bCs/>
                <w:noProof/>
                <w:webHidden/>
                <w:color w:val="000000" w:themeColor="text1"/>
                <w:sz w:val="28"/>
                <w:szCs w:val="28"/>
              </w:rPr>
              <w:t>9</w:t>
            </w:r>
            <w:r w:rsidRPr="008C4C7C">
              <w:rPr>
                <w:b/>
                <w:bCs/>
                <w:noProof/>
                <w:webHidden/>
                <w:color w:val="000000" w:themeColor="text1"/>
                <w:sz w:val="28"/>
                <w:szCs w:val="28"/>
              </w:rPr>
              <w:fldChar w:fldCharType="end"/>
            </w:r>
          </w:hyperlink>
        </w:p>
        <w:p w14:paraId="318FDC3E" w14:textId="1A2D9743" w:rsidR="008C4C7C" w:rsidRPr="008C4C7C" w:rsidRDefault="008C4C7C">
          <w:pPr>
            <w:rPr>
              <w:b/>
              <w:bCs/>
              <w:color w:val="000000" w:themeColor="text1"/>
              <w:sz w:val="28"/>
              <w:szCs w:val="28"/>
            </w:rPr>
          </w:pPr>
          <w:r w:rsidRPr="008C4C7C">
            <w:rPr>
              <w:b/>
              <w:bCs/>
              <w:noProof/>
              <w:color w:val="000000" w:themeColor="text1"/>
              <w:sz w:val="28"/>
              <w:szCs w:val="28"/>
            </w:rPr>
            <w:fldChar w:fldCharType="end"/>
          </w:r>
        </w:p>
      </w:sdtContent>
    </w:sdt>
    <w:p w14:paraId="2443790B" w14:textId="77777777" w:rsidR="00A03C82" w:rsidRPr="008C4C7C" w:rsidRDefault="00A03C82" w:rsidP="009F1463">
      <w:pPr>
        <w:pStyle w:val="NormalWeb"/>
        <w:spacing w:line="360" w:lineRule="auto"/>
        <w:jc w:val="both"/>
        <w:rPr>
          <w:rFonts w:ascii="Arial" w:hAnsi="Arial" w:cs="Arial"/>
          <w:b/>
          <w:bCs/>
          <w:color w:val="000000" w:themeColor="text1"/>
          <w:sz w:val="28"/>
          <w:szCs w:val="28"/>
        </w:rPr>
      </w:pPr>
    </w:p>
    <w:p w14:paraId="23724BC2" w14:textId="77777777" w:rsidR="00A03C82" w:rsidRDefault="00A03C82" w:rsidP="009F1463">
      <w:pPr>
        <w:pStyle w:val="NormalWeb"/>
        <w:spacing w:line="360" w:lineRule="auto"/>
        <w:jc w:val="both"/>
        <w:rPr>
          <w:rFonts w:ascii="Arial" w:hAnsi="Arial" w:cs="Arial"/>
          <w:color w:val="000000"/>
          <w:sz w:val="22"/>
          <w:szCs w:val="22"/>
        </w:rPr>
      </w:pPr>
    </w:p>
    <w:p w14:paraId="58B7AACD" w14:textId="77777777" w:rsidR="00A03C82" w:rsidRDefault="00A03C82" w:rsidP="009F1463">
      <w:pPr>
        <w:pStyle w:val="NormalWeb"/>
        <w:spacing w:line="360" w:lineRule="auto"/>
        <w:jc w:val="both"/>
        <w:rPr>
          <w:rFonts w:ascii="Arial" w:hAnsi="Arial" w:cs="Arial"/>
          <w:color w:val="000000"/>
          <w:sz w:val="22"/>
          <w:szCs w:val="22"/>
        </w:rPr>
      </w:pPr>
    </w:p>
    <w:p w14:paraId="0AC7B649" w14:textId="77777777" w:rsidR="00A03C82" w:rsidRDefault="00A03C82" w:rsidP="009F1463">
      <w:pPr>
        <w:pStyle w:val="NormalWeb"/>
        <w:spacing w:line="360" w:lineRule="auto"/>
        <w:jc w:val="both"/>
        <w:rPr>
          <w:rFonts w:ascii="Arial" w:hAnsi="Arial" w:cs="Arial"/>
          <w:color w:val="000000"/>
          <w:sz w:val="22"/>
          <w:szCs w:val="22"/>
        </w:rPr>
      </w:pPr>
    </w:p>
    <w:p w14:paraId="29324DC6" w14:textId="77777777" w:rsidR="00A03C82" w:rsidRDefault="00A03C82" w:rsidP="009F1463">
      <w:pPr>
        <w:pStyle w:val="NormalWeb"/>
        <w:spacing w:line="360" w:lineRule="auto"/>
        <w:jc w:val="both"/>
        <w:rPr>
          <w:rFonts w:ascii="Arial" w:hAnsi="Arial" w:cs="Arial"/>
          <w:color w:val="000000"/>
          <w:sz w:val="22"/>
          <w:szCs w:val="22"/>
        </w:rPr>
      </w:pPr>
    </w:p>
    <w:p w14:paraId="3476427C" w14:textId="77777777" w:rsidR="00A03C82" w:rsidRDefault="00A03C82" w:rsidP="009F1463">
      <w:pPr>
        <w:pStyle w:val="NormalWeb"/>
        <w:spacing w:line="360" w:lineRule="auto"/>
        <w:jc w:val="both"/>
        <w:rPr>
          <w:rFonts w:ascii="Arial" w:hAnsi="Arial" w:cs="Arial"/>
          <w:color w:val="000000"/>
          <w:sz w:val="22"/>
          <w:szCs w:val="22"/>
        </w:rPr>
      </w:pPr>
    </w:p>
    <w:p w14:paraId="5D14630D" w14:textId="77777777" w:rsidR="00A03C82" w:rsidRDefault="00A03C82" w:rsidP="009F1463">
      <w:pPr>
        <w:pStyle w:val="NormalWeb"/>
        <w:spacing w:line="360" w:lineRule="auto"/>
        <w:jc w:val="both"/>
        <w:rPr>
          <w:rFonts w:ascii="Arial" w:hAnsi="Arial" w:cs="Arial"/>
          <w:color w:val="000000"/>
          <w:sz w:val="22"/>
          <w:szCs w:val="22"/>
        </w:rPr>
      </w:pPr>
    </w:p>
    <w:p w14:paraId="214AB855" w14:textId="77777777" w:rsidR="00A03C82" w:rsidRDefault="00A03C82" w:rsidP="009F1463">
      <w:pPr>
        <w:pStyle w:val="NormalWeb"/>
        <w:spacing w:line="360" w:lineRule="auto"/>
        <w:jc w:val="both"/>
        <w:rPr>
          <w:rFonts w:ascii="Arial" w:hAnsi="Arial" w:cs="Arial"/>
          <w:color w:val="000000"/>
          <w:sz w:val="22"/>
          <w:szCs w:val="22"/>
        </w:rPr>
      </w:pPr>
    </w:p>
    <w:p w14:paraId="50329474" w14:textId="77777777" w:rsidR="00A03C82" w:rsidRDefault="00A03C82" w:rsidP="009F1463">
      <w:pPr>
        <w:pStyle w:val="NormalWeb"/>
        <w:spacing w:line="360" w:lineRule="auto"/>
        <w:jc w:val="both"/>
        <w:rPr>
          <w:rFonts w:ascii="Arial" w:hAnsi="Arial" w:cs="Arial"/>
          <w:color w:val="000000"/>
          <w:sz w:val="22"/>
          <w:szCs w:val="22"/>
        </w:rPr>
      </w:pPr>
    </w:p>
    <w:p w14:paraId="2D90CA5B" w14:textId="77777777" w:rsidR="00A03C82" w:rsidRDefault="00A03C82" w:rsidP="009F1463">
      <w:pPr>
        <w:pStyle w:val="NormalWeb"/>
        <w:spacing w:line="360" w:lineRule="auto"/>
        <w:jc w:val="both"/>
        <w:rPr>
          <w:rFonts w:ascii="Arial" w:hAnsi="Arial" w:cs="Arial"/>
          <w:color w:val="000000"/>
          <w:sz w:val="22"/>
          <w:szCs w:val="22"/>
        </w:rPr>
      </w:pPr>
    </w:p>
    <w:p w14:paraId="17142A6F" w14:textId="477689BC" w:rsidR="00733375" w:rsidRPr="002B2E12" w:rsidRDefault="00733375" w:rsidP="008C4C7C">
      <w:pPr>
        <w:pStyle w:val="Heading1"/>
        <w:rPr>
          <w:rFonts w:asciiTheme="minorBidi" w:hAnsiTheme="minorBidi" w:cstheme="minorBidi"/>
          <w:b/>
          <w:bCs/>
          <w:color w:val="000000" w:themeColor="text1"/>
          <w:sz w:val="24"/>
          <w:szCs w:val="24"/>
        </w:rPr>
      </w:pPr>
      <w:bookmarkStart w:id="0" w:name="_Toc227436971"/>
      <w:r w:rsidRPr="002B2E12">
        <w:rPr>
          <w:rFonts w:asciiTheme="minorBidi" w:hAnsiTheme="minorBidi" w:cstheme="minorBidi"/>
          <w:b/>
          <w:bCs/>
          <w:color w:val="000000" w:themeColor="text1"/>
          <w:sz w:val="24"/>
          <w:szCs w:val="24"/>
        </w:rPr>
        <w:t>Introduction</w:t>
      </w:r>
      <w:bookmarkEnd w:id="0"/>
    </w:p>
    <w:p w14:paraId="097D67D7" w14:textId="0846B623" w:rsidR="00BA7884" w:rsidRPr="00BA7884" w:rsidRDefault="00BA7884" w:rsidP="00BA7884">
      <w:pPr>
        <w:pStyle w:val="NormalWeb"/>
        <w:spacing w:line="360" w:lineRule="auto"/>
        <w:jc w:val="both"/>
        <w:rPr>
          <w:rFonts w:ascii="Arial" w:hAnsi="Arial" w:cs="Arial"/>
          <w:color w:val="000000"/>
          <w:sz w:val="22"/>
          <w:szCs w:val="22"/>
        </w:rPr>
      </w:pPr>
      <w:r w:rsidRPr="00BA7884">
        <w:rPr>
          <w:rFonts w:ascii="Arial" w:hAnsi="Arial" w:cs="Arial"/>
          <w:color w:val="000000"/>
          <w:sz w:val="22"/>
          <w:szCs w:val="22"/>
        </w:rPr>
        <w:t>Disorders of Intellectual Development, classified in ICD-11 under code 6A00, refer to conditions characterised by difficulties in intellectual functioning and adaptive skills that emerge during the developmental period (W</w:t>
      </w:r>
      <w:r>
        <w:rPr>
          <w:rFonts w:ascii="Arial" w:hAnsi="Arial" w:cs="Arial"/>
          <w:color w:val="000000"/>
          <w:sz w:val="22"/>
          <w:szCs w:val="22"/>
        </w:rPr>
        <w:t>HO</w:t>
      </w:r>
      <w:r w:rsidRPr="00BA7884">
        <w:rPr>
          <w:rFonts w:ascii="Arial" w:hAnsi="Arial" w:cs="Arial"/>
          <w:color w:val="000000"/>
          <w:sz w:val="22"/>
          <w:szCs w:val="22"/>
        </w:rPr>
        <w:t>, 2019). These difficulties affect how individuals process information, communicate, and manage daily activities, although the extent of impact varies.</w:t>
      </w:r>
    </w:p>
    <w:p w14:paraId="0716A0F6" w14:textId="77777777" w:rsidR="00BA7884" w:rsidRPr="00BA7884" w:rsidRDefault="00BA7884" w:rsidP="00BA7884">
      <w:pPr>
        <w:pStyle w:val="NormalWeb"/>
        <w:spacing w:line="360" w:lineRule="auto"/>
        <w:jc w:val="both"/>
        <w:rPr>
          <w:rFonts w:ascii="Arial" w:hAnsi="Arial" w:cs="Arial"/>
          <w:color w:val="000000"/>
          <w:sz w:val="22"/>
          <w:szCs w:val="22"/>
        </w:rPr>
      </w:pPr>
      <w:r w:rsidRPr="00BA7884">
        <w:rPr>
          <w:rFonts w:ascii="Arial" w:hAnsi="Arial" w:cs="Arial"/>
          <w:color w:val="000000"/>
          <w:sz w:val="22"/>
          <w:szCs w:val="22"/>
        </w:rPr>
        <w:t>Recent diagnostic approaches place greater emphasis on functioning in everyday contexts rather than relying solely on cognitive test scores. This reflects a shift in understanding, where intellectual ability alone is no longer considered sufficient to explain real-life performance. For instance, some individuals may function well in structured environments but experience difficulties in less predictable social situations. As a result, adaptive functioning is central to identifying support needs (Mattie et al., 2023; Babiker et al., 2025).</w:t>
      </w:r>
    </w:p>
    <w:p w14:paraId="0D4E5B34" w14:textId="7A4A38F8" w:rsidR="00BA7884" w:rsidRPr="00BA7884" w:rsidRDefault="00BA7884" w:rsidP="00BA7884">
      <w:pPr>
        <w:pStyle w:val="NormalWeb"/>
        <w:spacing w:line="360" w:lineRule="auto"/>
        <w:jc w:val="both"/>
        <w:rPr>
          <w:rFonts w:ascii="Arial" w:hAnsi="Arial" w:cs="Arial"/>
          <w:color w:val="000000"/>
          <w:sz w:val="22"/>
          <w:szCs w:val="22"/>
        </w:rPr>
      </w:pPr>
      <w:r w:rsidRPr="00BA7884">
        <w:rPr>
          <w:rFonts w:ascii="Arial" w:hAnsi="Arial" w:cs="Arial"/>
          <w:color w:val="000000"/>
          <w:sz w:val="22"/>
          <w:szCs w:val="22"/>
        </w:rPr>
        <w:t>This report examines how Disorders of Intellectual Development are classified and diagnosed within ICD-11. It also considers treatment and rehabilitation approaches, followed by a discussion of current debates, including stigma, inequalities in healthcare access, and service provision. Recommendations are then outlined to support improvements in practice.</w:t>
      </w:r>
    </w:p>
    <w:p w14:paraId="1365EA43" w14:textId="77777777" w:rsidR="00BA7884" w:rsidRPr="00BA7884" w:rsidRDefault="00BA7884" w:rsidP="00BA7884">
      <w:pPr>
        <w:pStyle w:val="NormalWeb"/>
        <w:spacing w:line="360" w:lineRule="auto"/>
        <w:jc w:val="both"/>
        <w:rPr>
          <w:rFonts w:ascii="Arial" w:hAnsi="Arial" w:cs="Arial"/>
          <w:color w:val="000000"/>
          <w:sz w:val="22"/>
          <w:szCs w:val="22"/>
        </w:rPr>
      </w:pPr>
    </w:p>
    <w:p w14:paraId="5DD55A3B" w14:textId="4CC8ACF2" w:rsidR="008A6D32" w:rsidRPr="002B2E12" w:rsidRDefault="008A6D32" w:rsidP="008C4C7C">
      <w:pPr>
        <w:pStyle w:val="Heading1"/>
        <w:rPr>
          <w:rFonts w:asciiTheme="minorBidi" w:hAnsiTheme="minorBidi" w:cstheme="minorBidi"/>
          <w:b/>
          <w:bCs/>
          <w:color w:val="auto"/>
          <w:sz w:val="24"/>
          <w:szCs w:val="24"/>
        </w:rPr>
      </w:pPr>
      <w:bookmarkStart w:id="1" w:name="_Toc227436972"/>
      <w:r w:rsidRPr="002B2E12">
        <w:rPr>
          <w:rFonts w:asciiTheme="minorBidi" w:hAnsiTheme="minorBidi" w:cstheme="minorBidi"/>
          <w:b/>
          <w:bCs/>
          <w:color w:val="auto"/>
          <w:sz w:val="24"/>
          <w:szCs w:val="24"/>
        </w:rPr>
        <w:t>Classification and Diagnosis</w:t>
      </w:r>
      <w:bookmarkEnd w:id="1"/>
    </w:p>
    <w:p w14:paraId="19FCBBE5" w14:textId="05A0390D" w:rsidR="00690322" w:rsidRPr="00690322" w:rsidRDefault="00690322" w:rsidP="005C2EA0">
      <w:pPr>
        <w:pStyle w:val="NormalWeb"/>
        <w:spacing w:line="360" w:lineRule="auto"/>
        <w:jc w:val="both"/>
        <w:rPr>
          <w:rFonts w:ascii="Arial" w:hAnsi="Arial" w:cs="Arial"/>
          <w:color w:val="000000"/>
          <w:sz w:val="22"/>
          <w:szCs w:val="22"/>
        </w:rPr>
      </w:pPr>
      <w:r w:rsidRPr="00690322">
        <w:rPr>
          <w:rFonts w:ascii="Arial" w:hAnsi="Arial" w:cs="Arial"/>
          <w:color w:val="000000"/>
          <w:sz w:val="22"/>
          <w:szCs w:val="22"/>
        </w:rPr>
        <w:t>Disorders of Intellectual Development are classified within ICD-11 under code 6A00 as part of neurodevelopmental disorders. The World Health Organization describes these conditions as involving significant limitations in both intellectual functioning and adaptive behaviour, with onset during the developmental period (W</w:t>
      </w:r>
      <w:r w:rsidR="00C778F8">
        <w:rPr>
          <w:rFonts w:ascii="Arial" w:hAnsi="Arial" w:cs="Arial"/>
          <w:color w:val="000000"/>
          <w:sz w:val="22"/>
          <w:szCs w:val="22"/>
        </w:rPr>
        <w:t>HO</w:t>
      </w:r>
      <w:r w:rsidRPr="00690322">
        <w:rPr>
          <w:rFonts w:ascii="Arial" w:hAnsi="Arial" w:cs="Arial"/>
          <w:color w:val="000000"/>
          <w:sz w:val="22"/>
          <w:szCs w:val="22"/>
        </w:rPr>
        <w:t xml:space="preserve">, 2019). </w:t>
      </w:r>
      <w:r w:rsidR="00C778F8" w:rsidRPr="00C778F8">
        <w:rPr>
          <w:rFonts w:ascii="Arial" w:hAnsi="Arial" w:cs="Arial"/>
          <w:color w:val="000000"/>
          <w:sz w:val="22"/>
          <w:szCs w:val="22"/>
        </w:rPr>
        <w:t>While this provides a standardised international framework, it also reflects a system that still depends on categorical labelling rather than purely functional interpretation.</w:t>
      </w:r>
    </w:p>
    <w:p w14:paraId="174A0390" w14:textId="77777777" w:rsidR="00DE4E25" w:rsidRDefault="00DE4E25" w:rsidP="00690322">
      <w:pPr>
        <w:pStyle w:val="NormalWeb"/>
        <w:spacing w:line="360" w:lineRule="auto"/>
        <w:jc w:val="both"/>
        <w:rPr>
          <w:rFonts w:ascii="Arial" w:hAnsi="Arial" w:cs="Arial"/>
          <w:color w:val="000000"/>
          <w:sz w:val="22"/>
          <w:szCs w:val="22"/>
        </w:rPr>
      </w:pPr>
      <w:r w:rsidRPr="00DE4E25">
        <w:rPr>
          <w:rFonts w:ascii="Arial" w:hAnsi="Arial" w:cs="Arial"/>
          <w:color w:val="000000"/>
          <w:sz w:val="22"/>
          <w:szCs w:val="22"/>
        </w:rPr>
        <w:t>Adaptive functioning is central to classification and refers to conceptual, social, and practical life skills. These include communication, numerical reasoning, interpersonal interaction, and self-care abilities. Instead of relying only on cognitive testing, adaptive behaviour provides a more accurate reflection of everyday functioning, particularly because individuals may show uneven ability profiles across different environments (Mattie et al., 2023; Drijver et al., 2025).</w:t>
      </w:r>
    </w:p>
    <w:p w14:paraId="6D717CD3" w14:textId="77777777" w:rsidR="00F2179C" w:rsidRDefault="00F2179C" w:rsidP="00690322">
      <w:pPr>
        <w:pStyle w:val="NormalWeb"/>
        <w:spacing w:line="360" w:lineRule="auto"/>
        <w:jc w:val="both"/>
        <w:rPr>
          <w:rFonts w:ascii="Arial" w:hAnsi="Arial" w:cs="Arial"/>
          <w:color w:val="000000"/>
          <w:sz w:val="22"/>
          <w:szCs w:val="22"/>
        </w:rPr>
      </w:pPr>
      <w:r w:rsidRPr="00F2179C">
        <w:rPr>
          <w:rFonts w:ascii="Arial" w:hAnsi="Arial" w:cs="Arial"/>
          <w:color w:val="000000"/>
          <w:sz w:val="22"/>
          <w:szCs w:val="22"/>
        </w:rPr>
        <w:t>Diagnosis requires multi-dimensional assessment combining intellectual testing with structured adaptive behaviour measures. However, despite the use of standardised tools, outcomes may still vary depending on clinical interpretation and context. Carbajal et al. (2024) highlight that although assessment instruments improve consistency, differences in application can still influence diagnostic reliability and classification decisions.</w:t>
      </w:r>
    </w:p>
    <w:p w14:paraId="333D130D" w14:textId="77777777" w:rsidR="00B20784" w:rsidRPr="00B20784" w:rsidRDefault="00B20784" w:rsidP="00511C85">
      <w:pPr>
        <w:pStyle w:val="NormalWeb"/>
        <w:spacing w:line="360" w:lineRule="auto"/>
        <w:jc w:val="both"/>
        <w:rPr>
          <w:rFonts w:ascii="Arial" w:hAnsi="Arial" w:cs="Arial"/>
          <w:color w:val="000000"/>
          <w:sz w:val="22"/>
          <w:szCs w:val="22"/>
        </w:rPr>
      </w:pPr>
      <w:r w:rsidRPr="00B20784">
        <w:rPr>
          <w:rFonts w:ascii="Arial" w:hAnsi="Arial" w:cs="Arial"/>
          <w:color w:val="000000"/>
          <w:sz w:val="22"/>
          <w:szCs w:val="22"/>
        </w:rPr>
        <w:t>ICD-11 defines severity levels as mild, moderate, severe, or profound based on support needs rather than strict IQ cut-offs. This shift aims to reflect functional reality, although it increases reliance on professional judgement, which may introduce variability across services and practitioners.</w:t>
      </w:r>
    </w:p>
    <w:p w14:paraId="1C47A0B8" w14:textId="77777777" w:rsidR="00B20784" w:rsidRPr="00B20784" w:rsidRDefault="00B20784" w:rsidP="00511C85">
      <w:pPr>
        <w:pStyle w:val="NormalWeb"/>
        <w:spacing w:line="360" w:lineRule="auto"/>
        <w:jc w:val="both"/>
        <w:rPr>
          <w:rFonts w:ascii="Arial" w:hAnsi="Arial" w:cs="Arial"/>
          <w:color w:val="000000"/>
          <w:sz w:val="22"/>
          <w:szCs w:val="22"/>
        </w:rPr>
      </w:pPr>
      <w:r w:rsidRPr="00B20784">
        <w:rPr>
          <w:rFonts w:ascii="Arial" w:hAnsi="Arial" w:cs="Arial"/>
          <w:color w:val="000000"/>
          <w:sz w:val="22"/>
          <w:szCs w:val="22"/>
        </w:rPr>
        <w:t>The language used in classification also shapes understanding. The term “disorder” reflects a medical model focused on impairment, while UK practice often uses “learning disability” to emphasise support and inclusion. This difference is not purely linguistic, as terminology influences perception and may contribute to stigma in clinical and social settings (Pelleboer-Gunnink et al., 2019).</w:t>
      </w:r>
    </w:p>
    <w:p w14:paraId="033BDCF5" w14:textId="3A890C2A" w:rsidR="00B20784" w:rsidRDefault="00B20784" w:rsidP="00511C85">
      <w:pPr>
        <w:pStyle w:val="NormalWeb"/>
        <w:spacing w:line="360" w:lineRule="auto"/>
        <w:jc w:val="both"/>
        <w:rPr>
          <w:rFonts w:ascii="Arial" w:hAnsi="Arial" w:cs="Arial"/>
          <w:color w:val="000000"/>
          <w:sz w:val="22"/>
          <w:szCs w:val="22"/>
        </w:rPr>
      </w:pPr>
      <w:r w:rsidRPr="00B20784">
        <w:rPr>
          <w:rFonts w:ascii="Arial" w:hAnsi="Arial" w:cs="Arial"/>
          <w:color w:val="000000"/>
          <w:sz w:val="22"/>
          <w:szCs w:val="22"/>
        </w:rPr>
        <w:t>At the same time, environmental perspectives challenge purely individual interpretations of disability</w:t>
      </w:r>
      <w:r w:rsidR="00296D69">
        <w:rPr>
          <w:rFonts w:ascii="Arial" w:hAnsi="Arial" w:cs="Arial"/>
          <w:color w:val="000000"/>
          <w:sz w:val="22"/>
          <w:szCs w:val="22"/>
        </w:rPr>
        <w:t xml:space="preserve"> </w:t>
      </w:r>
      <w:r w:rsidR="00296D69" w:rsidRPr="00296D69">
        <w:rPr>
          <w:rFonts w:ascii="Arial" w:hAnsi="Arial" w:cs="Arial"/>
          <w:color w:val="000000"/>
          <w:sz w:val="22"/>
          <w:szCs w:val="22"/>
        </w:rPr>
        <w:t xml:space="preserve">by emphasising the interaction between impairment and </w:t>
      </w:r>
      <w:r w:rsidR="00B80768" w:rsidRPr="00296D69">
        <w:rPr>
          <w:rFonts w:ascii="Arial" w:hAnsi="Arial" w:cs="Arial"/>
          <w:color w:val="000000"/>
          <w:sz w:val="22"/>
          <w:szCs w:val="22"/>
        </w:rPr>
        <w:t>context.</w:t>
      </w:r>
      <w:r w:rsidR="00B80768" w:rsidRPr="00B20784">
        <w:rPr>
          <w:rFonts w:ascii="Arial" w:hAnsi="Arial" w:cs="Arial"/>
          <w:color w:val="000000"/>
          <w:sz w:val="22"/>
          <w:szCs w:val="22"/>
        </w:rPr>
        <w:t xml:space="preserve"> </w:t>
      </w:r>
      <w:r w:rsidR="00B80768">
        <w:rPr>
          <w:rFonts w:ascii="Arial" w:hAnsi="Arial" w:cs="Arial"/>
          <w:color w:val="000000"/>
          <w:sz w:val="22"/>
          <w:szCs w:val="22"/>
        </w:rPr>
        <w:t>This h</w:t>
      </w:r>
      <w:r w:rsidR="00B80768" w:rsidRPr="00B20784">
        <w:rPr>
          <w:rFonts w:ascii="Arial" w:hAnsi="Arial" w:cs="Arial"/>
          <w:color w:val="000000"/>
          <w:sz w:val="22"/>
          <w:szCs w:val="22"/>
        </w:rPr>
        <w:t>ighligh</w:t>
      </w:r>
      <w:r w:rsidR="00FC6116">
        <w:rPr>
          <w:rFonts w:ascii="Arial" w:hAnsi="Arial" w:cs="Arial"/>
          <w:color w:val="000000"/>
          <w:sz w:val="22"/>
          <w:szCs w:val="22"/>
        </w:rPr>
        <w:t>ts</w:t>
      </w:r>
      <w:r w:rsidRPr="00B20784">
        <w:rPr>
          <w:rFonts w:ascii="Arial" w:hAnsi="Arial" w:cs="Arial"/>
          <w:color w:val="000000"/>
          <w:sz w:val="22"/>
          <w:szCs w:val="22"/>
        </w:rPr>
        <w:t xml:space="preserve"> that functioning is shaped by context as well as cognitive ability (Jansen-van Vuuren et al., 2020). In addition, inconsistencies in recording intellectual disability within healthcare systems can affect diagnosis and care planning, with evidence showing that under-recording reduces access to appropriate adjustments (Sheehan et al., 2023).</w:t>
      </w:r>
    </w:p>
    <w:p w14:paraId="492678D0" w14:textId="77777777" w:rsidR="00B20784" w:rsidRPr="002B2E12" w:rsidRDefault="00B20784" w:rsidP="00B240D5">
      <w:pPr>
        <w:pStyle w:val="NormalWeb"/>
        <w:spacing w:line="360" w:lineRule="auto"/>
        <w:rPr>
          <w:rStyle w:val="apple-converted-space"/>
          <w:rFonts w:ascii="Arial" w:eastAsiaTheme="majorEastAsia" w:hAnsi="Arial" w:cs="Arial"/>
          <w:b/>
          <w:bCs/>
          <w:color w:val="000000"/>
        </w:rPr>
      </w:pPr>
    </w:p>
    <w:p w14:paraId="3E419555" w14:textId="3D5A3816" w:rsidR="00B240D5" w:rsidRPr="002B2E12" w:rsidRDefault="00B240D5" w:rsidP="008C4C7C">
      <w:pPr>
        <w:pStyle w:val="Heading1"/>
        <w:rPr>
          <w:rStyle w:val="apple-converted-space"/>
          <w:rFonts w:ascii="Arial" w:hAnsi="Arial" w:cs="Arial"/>
          <w:b/>
          <w:bCs/>
          <w:color w:val="000000"/>
          <w:sz w:val="24"/>
          <w:szCs w:val="24"/>
        </w:rPr>
      </w:pPr>
      <w:bookmarkStart w:id="2" w:name="_Toc227436973"/>
      <w:r w:rsidRPr="002B2E12">
        <w:rPr>
          <w:rStyle w:val="apple-converted-space"/>
          <w:rFonts w:ascii="Arial" w:hAnsi="Arial" w:cs="Arial"/>
          <w:b/>
          <w:bCs/>
          <w:color w:val="000000"/>
          <w:sz w:val="24"/>
          <w:szCs w:val="24"/>
        </w:rPr>
        <w:t>Treatment and Rehabilitation</w:t>
      </w:r>
      <w:bookmarkEnd w:id="2"/>
    </w:p>
    <w:p w14:paraId="62D5AA99" w14:textId="0535D835" w:rsidR="00A47159" w:rsidRPr="00A47159" w:rsidRDefault="00D10861" w:rsidP="00A47159">
      <w:pPr>
        <w:pStyle w:val="NormalWeb"/>
        <w:spacing w:line="360" w:lineRule="auto"/>
        <w:jc w:val="both"/>
        <w:rPr>
          <w:rStyle w:val="apple-converted-space"/>
          <w:rFonts w:ascii="Arial" w:eastAsiaTheme="majorEastAsia" w:hAnsi="Arial" w:cs="Arial"/>
          <w:color w:val="000000"/>
          <w:sz w:val="22"/>
          <w:szCs w:val="22"/>
        </w:rPr>
      </w:pPr>
      <w:r w:rsidRPr="00D10861">
        <w:rPr>
          <w:rStyle w:val="apple-converted-space"/>
          <w:rFonts w:ascii="Arial" w:eastAsiaTheme="majorEastAsia" w:hAnsi="Arial" w:cs="Arial"/>
          <w:color w:val="000000"/>
          <w:sz w:val="22"/>
          <w:szCs w:val="22"/>
        </w:rPr>
        <w:t>Management of Disorders of Intellectual Development focuses on long-term support rather than cure, with the aim of improving independence, communication, and quality of life. Interventions are typically multidisciplinary and adjusted according to individual need.</w:t>
      </w:r>
    </w:p>
    <w:p w14:paraId="74B1487D" w14:textId="1830EA54" w:rsidR="00A47159" w:rsidRDefault="0094155A" w:rsidP="008B0C15">
      <w:pPr>
        <w:pStyle w:val="NormalWeb"/>
        <w:spacing w:line="360" w:lineRule="auto"/>
        <w:jc w:val="both"/>
        <w:rPr>
          <w:rStyle w:val="apple-converted-space"/>
          <w:rFonts w:ascii="Arial" w:eastAsiaTheme="majorEastAsia" w:hAnsi="Arial" w:cs="Arial"/>
          <w:color w:val="000000"/>
          <w:sz w:val="22"/>
          <w:szCs w:val="22"/>
        </w:rPr>
      </w:pPr>
      <w:r w:rsidRPr="0094155A">
        <w:rPr>
          <w:rStyle w:val="apple-converted-space"/>
          <w:rFonts w:ascii="Arial" w:eastAsiaTheme="majorEastAsia" w:hAnsi="Arial" w:cs="Arial"/>
          <w:color w:val="000000"/>
          <w:sz w:val="22"/>
          <w:szCs w:val="22"/>
        </w:rPr>
        <w:t>Positive Behaviour Support (PBS) is widely used to address behaviours that challenge by identifying underlying causes and implementing preventative strategies. Evidence suggests PBS can be effective when implemented consistently and with appropriate training (Bosco et al., 2019).</w:t>
      </w:r>
      <w:r>
        <w:rPr>
          <w:rStyle w:val="apple-converted-space"/>
          <w:rFonts w:ascii="Arial" w:eastAsiaTheme="majorEastAsia" w:hAnsi="Arial" w:cs="Arial"/>
          <w:color w:val="000000"/>
          <w:sz w:val="22"/>
          <w:szCs w:val="22"/>
        </w:rPr>
        <w:t xml:space="preserve"> </w:t>
      </w:r>
      <w:r w:rsidR="00EF5B93" w:rsidRPr="00EF5B93">
        <w:rPr>
          <w:rStyle w:val="apple-converted-space"/>
          <w:rFonts w:ascii="Arial" w:eastAsiaTheme="majorEastAsia" w:hAnsi="Arial" w:cs="Arial"/>
          <w:color w:val="000000"/>
          <w:sz w:val="22"/>
          <w:szCs w:val="22"/>
        </w:rPr>
        <w:t xml:space="preserve">However, </w:t>
      </w:r>
      <w:r w:rsidR="00A3357B">
        <w:rPr>
          <w:rStyle w:val="apple-converted-space"/>
          <w:rFonts w:ascii="Arial" w:eastAsiaTheme="majorEastAsia" w:hAnsi="Arial" w:cs="Arial"/>
          <w:color w:val="000000"/>
          <w:sz w:val="22"/>
          <w:szCs w:val="22"/>
        </w:rPr>
        <w:t>it</w:t>
      </w:r>
      <w:r w:rsidR="00FC6116">
        <w:rPr>
          <w:rStyle w:val="apple-converted-space"/>
          <w:rFonts w:ascii="Arial" w:eastAsiaTheme="majorEastAsia" w:hAnsi="Arial" w:cs="Arial"/>
          <w:color w:val="000000"/>
          <w:sz w:val="22"/>
          <w:szCs w:val="22"/>
        </w:rPr>
        <w:t>s</w:t>
      </w:r>
      <w:r w:rsidR="00A050D3">
        <w:rPr>
          <w:rStyle w:val="apple-converted-space"/>
          <w:rFonts w:ascii="Arial" w:eastAsiaTheme="majorEastAsia" w:hAnsi="Arial" w:cs="Arial"/>
          <w:color w:val="000000"/>
          <w:sz w:val="22"/>
          <w:szCs w:val="22"/>
        </w:rPr>
        <w:t xml:space="preserve"> </w:t>
      </w:r>
      <w:r w:rsidR="00EF5B93" w:rsidRPr="00EF5B93">
        <w:rPr>
          <w:rStyle w:val="apple-converted-space"/>
          <w:rFonts w:ascii="Arial" w:eastAsiaTheme="majorEastAsia" w:hAnsi="Arial" w:cs="Arial"/>
          <w:color w:val="000000"/>
          <w:sz w:val="22"/>
          <w:szCs w:val="22"/>
        </w:rPr>
        <w:t xml:space="preserve">effectiveness is strongly dependent on implementation quality rather than </w:t>
      </w:r>
      <w:r w:rsidR="00D52F77" w:rsidRPr="00D52F77">
        <w:rPr>
          <w:rStyle w:val="apple-converted-space"/>
          <w:rFonts w:ascii="Arial" w:eastAsiaTheme="majorEastAsia" w:hAnsi="Arial" w:cs="Arial"/>
          <w:color w:val="000000"/>
          <w:sz w:val="22"/>
          <w:szCs w:val="22"/>
        </w:rPr>
        <w:t>the theoretical model itself, highlighting a key limitation in real-world application.</w:t>
      </w:r>
    </w:p>
    <w:p w14:paraId="1F016C11" w14:textId="0C24CFDB" w:rsidR="0081251A" w:rsidRDefault="0081251A" w:rsidP="6070AEFB">
      <w:pPr>
        <w:pStyle w:val="NormalWeb"/>
        <w:spacing w:line="360" w:lineRule="auto"/>
        <w:jc w:val="both"/>
        <w:rPr>
          <w:rStyle w:val="apple-converted-space"/>
          <w:rFonts w:ascii="Arial" w:eastAsiaTheme="majorEastAsia" w:hAnsi="Arial" w:cs="Arial"/>
          <w:color w:val="000000"/>
          <w:sz w:val="22"/>
          <w:szCs w:val="22"/>
        </w:rPr>
      </w:pPr>
      <w:r w:rsidRPr="6070AEFB">
        <w:rPr>
          <w:rStyle w:val="apple-converted-space"/>
          <w:rFonts w:ascii="Arial" w:eastAsiaTheme="majorEastAsia" w:hAnsi="Arial" w:cs="Arial"/>
          <w:color w:val="000000" w:themeColor="text1"/>
          <w:sz w:val="22"/>
          <w:szCs w:val="22"/>
        </w:rPr>
        <w:t xml:space="preserve">In practice, outcomes vary </w:t>
      </w:r>
      <w:r w:rsidR="3608DEEC" w:rsidRPr="6070AEFB">
        <w:rPr>
          <w:rStyle w:val="apple-converted-space"/>
          <w:rFonts w:ascii="Arial" w:eastAsiaTheme="majorEastAsia" w:hAnsi="Arial" w:cs="Arial"/>
          <w:color w:val="000000" w:themeColor="text1"/>
          <w:sz w:val="22"/>
          <w:szCs w:val="22"/>
        </w:rPr>
        <w:t>depending</w:t>
      </w:r>
      <w:r w:rsidRPr="6070AEFB">
        <w:rPr>
          <w:rStyle w:val="apple-converted-space"/>
          <w:rFonts w:ascii="Arial" w:eastAsiaTheme="majorEastAsia" w:hAnsi="Arial" w:cs="Arial"/>
          <w:color w:val="000000" w:themeColor="text1"/>
          <w:sz w:val="22"/>
          <w:szCs w:val="22"/>
        </w:rPr>
        <w:t xml:space="preserve"> on staff expertise, service coordination, and consistency of delivery across settings. Beqiraj et al. (2022) emphasise that such variability creates a gap between evidence-based frameworks and actual service provision, limiting overall effectiveness.</w:t>
      </w:r>
    </w:p>
    <w:p w14:paraId="755E3E1B" w14:textId="72B581D3" w:rsidR="00730DE5" w:rsidRPr="00A47159" w:rsidRDefault="00730DE5" w:rsidP="00642ACD">
      <w:pPr>
        <w:pStyle w:val="NormalWeb"/>
        <w:spacing w:line="360" w:lineRule="auto"/>
        <w:jc w:val="both"/>
        <w:rPr>
          <w:rStyle w:val="apple-converted-space"/>
          <w:rFonts w:ascii="Arial" w:eastAsiaTheme="majorEastAsia" w:hAnsi="Arial" w:cs="Arial"/>
          <w:color w:val="000000"/>
          <w:sz w:val="22"/>
          <w:szCs w:val="22"/>
        </w:rPr>
      </w:pPr>
      <w:r w:rsidRPr="00730DE5">
        <w:rPr>
          <w:rStyle w:val="apple-converted-space"/>
          <w:rFonts w:ascii="Arial" w:eastAsiaTheme="majorEastAsia" w:hAnsi="Arial" w:cs="Arial"/>
          <w:color w:val="000000"/>
          <w:sz w:val="22"/>
          <w:szCs w:val="22"/>
        </w:rPr>
        <w:t>Cognitive and behavioural interventions are also used, particularly for emotional regulation and behavioural difficulties. However, these approaches often require adaptation due to cognitive limitations. Prior et al. (2023)</w:t>
      </w:r>
      <w:r w:rsidR="005A635D" w:rsidRPr="005A635D">
        <w:t xml:space="preserve"> </w:t>
      </w:r>
      <w:r w:rsidR="005A635D" w:rsidRPr="005A635D">
        <w:rPr>
          <w:rStyle w:val="apple-converted-space"/>
          <w:rFonts w:ascii="Arial" w:eastAsiaTheme="majorEastAsia" w:hAnsi="Arial" w:cs="Arial"/>
          <w:color w:val="000000"/>
          <w:sz w:val="22"/>
          <w:szCs w:val="22"/>
        </w:rPr>
        <w:t>note that effectiveness is therefore conditional, making outcomes less predictable compared to general population interventions.</w:t>
      </w:r>
    </w:p>
    <w:p w14:paraId="59BC00F2" w14:textId="77777777" w:rsidR="00291F52" w:rsidRDefault="00291F52" w:rsidP="00642ACD">
      <w:pPr>
        <w:pStyle w:val="NormalWeb"/>
        <w:spacing w:line="360" w:lineRule="auto"/>
        <w:jc w:val="both"/>
        <w:rPr>
          <w:rFonts w:ascii="Arial" w:hAnsi="Arial" w:cs="Arial"/>
          <w:color w:val="000000"/>
          <w:sz w:val="22"/>
          <w:szCs w:val="22"/>
        </w:rPr>
      </w:pPr>
      <w:r w:rsidRPr="00291F52">
        <w:rPr>
          <w:rFonts w:ascii="Arial" w:hAnsi="Arial" w:cs="Arial"/>
          <w:color w:val="000000"/>
          <w:sz w:val="22"/>
          <w:szCs w:val="22"/>
        </w:rPr>
        <w:t>Early intervention is a key protective factor in improving long-term developmental outcomes. Structured support during childhood can enhance communication, learning, and social functioning, although effectiveness is dependent on timing, intensity, and continuity of provision (Babiker et al., 2025).</w:t>
      </w:r>
    </w:p>
    <w:p w14:paraId="3CCC9C53" w14:textId="77777777" w:rsidR="00627077" w:rsidRDefault="00627077" w:rsidP="00642ACD">
      <w:pPr>
        <w:pStyle w:val="NormalWeb"/>
        <w:spacing w:line="360" w:lineRule="auto"/>
        <w:jc w:val="both"/>
        <w:rPr>
          <w:rFonts w:ascii="Arial" w:hAnsi="Arial" w:cs="Arial"/>
          <w:color w:val="000000"/>
          <w:sz w:val="22"/>
          <w:szCs w:val="22"/>
        </w:rPr>
      </w:pPr>
      <w:r w:rsidRPr="00627077">
        <w:rPr>
          <w:rFonts w:ascii="Arial" w:hAnsi="Arial" w:cs="Arial"/>
          <w:color w:val="000000"/>
          <w:sz w:val="22"/>
          <w:szCs w:val="22"/>
        </w:rPr>
        <w:t>Rehabilitation approaches are increasingly focused on improving adaptive functioning and social participation rather than behavioural normalisation. However, fragmentation across health, education, and social care systems can disrupt continuity of care, particularly during transitions from child to adult services (de Kuijper et al., 2023).</w:t>
      </w:r>
    </w:p>
    <w:p w14:paraId="31553A7A" w14:textId="7A4ED19E" w:rsidR="008463FB" w:rsidRPr="008463FB" w:rsidRDefault="008463FB" w:rsidP="00642ACD">
      <w:pPr>
        <w:pStyle w:val="NormalWeb"/>
        <w:spacing w:line="360" w:lineRule="auto"/>
        <w:jc w:val="both"/>
        <w:rPr>
          <w:rFonts w:ascii="Arial" w:hAnsi="Arial" w:cs="Arial"/>
          <w:color w:val="000000"/>
          <w:sz w:val="22"/>
          <w:szCs w:val="22"/>
        </w:rPr>
      </w:pPr>
      <w:r w:rsidRPr="008463FB">
        <w:rPr>
          <w:rFonts w:ascii="Arial" w:hAnsi="Arial" w:cs="Arial"/>
          <w:color w:val="000000"/>
          <w:sz w:val="22"/>
          <w:szCs w:val="22"/>
        </w:rPr>
        <w:t>Specialist intensive support services aim to reduce crisis escalation and support individuals with complex needs in community settings. Hassiotis et al. (2020) report that these services can improve stability, although access is inconsistent due to resource variation.</w:t>
      </w:r>
    </w:p>
    <w:p w14:paraId="001432A0" w14:textId="0E5F37D6" w:rsidR="008463FB" w:rsidRPr="008463FB" w:rsidRDefault="008463FB" w:rsidP="00E4333C">
      <w:pPr>
        <w:pStyle w:val="NormalWeb"/>
        <w:spacing w:line="360" w:lineRule="auto"/>
        <w:jc w:val="both"/>
        <w:rPr>
          <w:rFonts w:ascii="Arial" w:hAnsi="Arial" w:cs="Arial"/>
          <w:color w:val="000000"/>
          <w:sz w:val="22"/>
          <w:szCs w:val="22"/>
        </w:rPr>
      </w:pPr>
      <w:r w:rsidRPr="008463FB">
        <w:rPr>
          <w:rFonts w:ascii="Arial" w:hAnsi="Arial" w:cs="Arial"/>
          <w:color w:val="000000"/>
          <w:sz w:val="22"/>
          <w:szCs w:val="22"/>
        </w:rPr>
        <w:t xml:space="preserve">Policy guidance such as NICE (2018) </w:t>
      </w:r>
      <w:r w:rsidR="00C83E6F">
        <w:rPr>
          <w:rFonts w:ascii="Arial" w:hAnsi="Arial" w:cs="Arial"/>
          <w:color w:val="000000"/>
          <w:sz w:val="22"/>
          <w:szCs w:val="22"/>
        </w:rPr>
        <w:t xml:space="preserve">advocate </w:t>
      </w:r>
      <w:r w:rsidRPr="008463FB">
        <w:rPr>
          <w:rFonts w:ascii="Arial" w:hAnsi="Arial" w:cs="Arial"/>
          <w:color w:val="000000"/>
          <w:sz w:val="22"/>
          <w:szCs w:val="22"/>
        </w:rPr>
        <w:t>structured</w:t>
      </w:r>
      <w:r w:rsidR="006342B9">
        <w:rPr>
          <w:rFonts w:ascii="Arial" w:hAnsi="Arial" w:cs="Arial"/>
          <w:color w:val="000000"/>
          <w:sz w:val="22"/>
          <w:szCs w:val="22"/>
        </w:rPr>
        <w:t xml:space="preserve">, </w:t>
      </w:r>
      <w:r w:rsidR="003246AF" w:rsidRPr="003246AF">
        <w:rPr>
          <w:rFonts w:ascii="Arial" w:hAnsi="Arial" w:cs="Arial"/>
          <w:color w:val="000000"/>
          <w:sz w:val="22"/>
          <w:szCs w:val="22"/>
        </w:rPr>
        <w:t>person-centred care approaches. However, implementation varies significantly due to organisational constraints, workforce limitations, and resource pressures. Similarly, Moloney et al. (2024) highlight that reasonable adjustments are not consistently implemented, limiting equitable access to services.</w:t>
      </w:r>
    </w:p>
    <w:p w14:paraId="668504A0" w14:textId="36F5DFB4" w:rsidR="008A6D32" w:rsidRPr="00A47159" w:rsidRDefault="009B5BC4" w:rsidP="00642ACD">
      <w:pPr>
        <w:pStyle w:val="NormalWeb"/>
        <w:spacing w:line="360" w:lineRule="auto"/>
        <w:jc w:val="both"/>
        <w:rPr>
          <w:rFonts w:ascii="Arial" w:hAnsi="Arial" w:cs="Arial"/>
          <w:color w:val="000000"/>
          <w:sz w:val="22"/>
          <w:szCs w:val="22"/>
        </w:rPr>
      </w:pPr>
      <w:r w:rsidRPr="009B5BC4">
        <w:rPr>
          <w:rFonts w:ascii="Arial" w:hAnsi="Arial" w:cs="Arial"/>
          <w:color w:val="000000"/>
          <w:sz w:val="22"/>
          <w:szCs w:val="22"/>
        </w:rPr>
        <w:t>Healthcare inequality remains a persistent issue, with individuals facing barriers related to communication difficulties and inflexible service structures (Barrington, 2025)</w:t>
      </w:r>
      <w:r>
        <w:rPr>
          <w:rFonts w:ascii="Arial" w:hAnsi="Arial" w:cs="Arial"/>
          <w:color w:val="000000"/>
          <w:sz w:val="22"/>
          <w:szCs w:val="22"/>
        </w:rPr>
        <w:t xml:space="preserve"> </w:t>
      </w:r>
      <w:r w:rsidR="008015E1">
        <w:rPr>
          <w:rFonts w:ascii="Arial" w:hAnsi="Arial" w:cs="Arial"/>
          <w:color w:val="000000"/>
          <w:sz w:val="22"/>
          <w:szCs w:val="22"/>
        </w:rPr>
        <w:t xml:space="preserve">In addition, </w:t>
      </w:r>
      <w:r w:rsidR="00AD3913">
        <w:rPr>
          <w:rFonts w:ascii="Arial" w:hAnsi="Arial" w:cs="Arial"/>
          <w:color w:val="000000"/>
          <w:sz w:val="22"/>
          <w:szCs w:val="22"/>
        </w:rPr>
        <w:t>v</w:t>
      </w:r>
      <w:r w:rsidR="008463FB" w:rsidRPr="008463FB">
        <w:rPr>
          <w:rFonts w:ascii="Arial" w:hAnsi="Arial" w:cs="Arial"/>
          <w:color w:val="000000"/>
          <w:sz w:val="22"/>
          <w:szCs w:val="22"/>
        </w:rPr>
        <w:t xml:space="preserve">ariability in care quality </w:t>
      </w:r>
      <w:r w:rsidR="00797A82">
        <w:rPr>
          <w:rFonts w:ascii="Arial" w:hAnsi="Arial" w:cs="Arial"/>
          <w:color w:val="000000"/>
          <w:sz w:val="22"/>
          <w:szCs w:val="22"/>
        </w:rPr>
        <w:t xml:space="preserve">has </w:t>
      </w:r>
      <w:r w:rsidR="008463FB" w:rsidRPr="008463FB">
        <w:rPr>
          <w:rFonts w:ascii="Arial" w:hAnsi="Arial" w:cs="Arial"/>
          <w:color w:val="000000"/>
          <w:sz w:val="22"/>
          <w:szCs w:val="22"/>
        </w:rPr>
        <w:t>also</w:t>
      </w:r>
      <w:r w:rsidR="00EA53D2">
        <w:rPr>
          <w:rFonts w:ascii="Arial" w:hAnsi="Arial" w:cs="Arial"/>
          <w:color w:val="000000"/>
          <w:sz w:val="22"/>
          <w:szCs w:val="22"/>
        </w:rPr>
        <w:t xml:space="preserve"> been</w:t>
      </w:r>
      <w:r w:rsidR="008463FB" w:rsidRPr="008463FB">
        <w:rPr>
          <w:rFonts w:ascii="Arial" w:hAnsi="Arial" w:cs="Arial"/>
          <w:color w:val="000000"/>
          <w:sz w:val="22"/>
          <w:szCs w:val="22"/>
        </w:rPr>
        <w:t xml:space="preserve"> reported across healthcare settings</w:t>
      </w:r>
      <w:r w:rsidR="005E0711">
        <w:rPr>
          <w:rFonts w:ascii="Arial" w:hAnsi="Arial" w:cs="Arial"/>
          <w:color w:val="000000"/>
          <w:sz w:val="22"/>
          <w:szCs w:val="22"/>
        </w:rPr>
        <w:t xml:space="preserve">, </w:t>
      </w:r>
      <w:r w:rsidR="008463FB" w:rsidRPr="008463FB">
        <w:rPr>
          <w:rFonts w:ascii="Arial" w:hAnsi="Arial" w:cs="Arial"/>
          <w:color w:val="000000"/>
          <w:sz w:val="22"/>
          <w:szCs w:val="22"/>
        </w:rPr>
        <w:t>particularly in general hospital</w:t>
      </w:r>
      <w:r w:rsidR="00BB65F8">
        <w:rPr>
          <w:rFonts w:ascii="Arial" w:hAnsi="Arial" w:cs="Arial"/>
          <w:color w:val="000000"/>
          <w:sz w:val="22"/>
          <w:szCs w:val="22"/>
        </w:rPr>
        <w:t xml:space="preserve"> </w:t>
      </w:r>
      <w:r w:rsidR="004C445E">
        <w:rPr>
          <w:rFonts w:ascii="Arial" w:hAnsi="Arial" w:cs="Arial"/>
          <w:color w:val="000000"/>
          <w:sz w:val="22"/>
          <w:szCs w:val="22"/>
        </w:rPr>
        <w:t>en</w:t>
      </w:r>
      <w:r w:rsidR="00DA1338">
        <w:rPr>
          <w:rFonts w:ascii="Arial" w:hAnsi="Arial" w:cs="Arial"/>
          <w:color w:val="000000"/>
          <w:sz w:val="22"/>
          <w:szCs w:val="22"/>
        </w:rPr>
        <w:t>vironments</w:t>
      </w:r>
      <w:r w:rsidR="008463FB" w:rsidRPr="008463FB">
        <w:rPr>
          <w:rFonts w:ascii="Arial" w:hAnsi="Arial" w:cs="Arial"/>
          <w:color w:val="000000"/>
          <w:sz w:val="22"/>
          <w:szCs w:val="22"/>
        </w:rPr>
        <w:t xml:space="preserve"> (Wyborn et al., 2025). </w:t>
      </w:r>
      <w:r w:rsidR="00E16C81" w:rsidRPr="00E16C81">
        <w:rPr>
          <w:rFonts w:ascii="Arial" w:hAnsi="Arial" w:cs="Arial"/>
          <w:color w:val="000000"/>
          <w:sz w:val="22"/>
          <w:szCs w:val="22"/>
        </w:rPr>
        <w:t>These issues are further compounded when intellectual disability is not accurately recorded within healthcare systems, which directly impacts care planning and access to appropriate treatment pathways (Sheehan et al., 2023).</w:t>
      </w:r>
    </w:p>
    <w:p w14:paraId="18AC1B5E" w14:textId="77777777" w:rsidR="008463FB" w:rsidRDefault="008A57CA" w:rsidP="008A6D32">
      <w:pPr>
        <w:pStyle w:val="NormalWeb"/>
        <w:rPr>
          <w:rFonts w:ascii="Arial" w:hAnsi="Arial" w:cs="Arial"/>
          <w:b/>
          <w:bCs/>
          <w:color w:val="000000"/>
        </w:rPr>
      </w:pPr>
      <w:r>
        <w:rPr>
          <w:rFonts w:ascii="Arial" w:hAnsi="Arial" w:cs="Arial"/>
          <w:b/>
          <w:bCs/>
          <w:color w:val="000000"/>
        </w:rPr>
        <w:t xml:space="preserve"> </w:t>
      </w:r>
    </w:p>
    <w:p w14:paraId="0D06B3CB" w14:textId="685CF64E" w:rsidR="008A6D32" w:rsidRPr="002B2E12" w:rsidRDefault="008A6D32" w:rsidP="008C4C7C">
      <w:pPr>
        <w:pStyle w:val="Heading1"/>
        <w:rPr>
          <w:rFonts w:asciiTheme="minorBidi" w:hAnsiTheme="minorBidi" w:cstheme="minorBidi"/>
          <w:b/>
          <w:bCs/>
          <w:color w:val="auto"/>
          <w:sz w:val="24"/>
          <w:szCs w:val="24"/>
        </w:rPr>
      </w:pPr>
      <w:bookmarkStart w:id="3" w:name="_Toc227436974"/>
      <w:r w:rsidRPr="002B2E12">
        <w:rPr>
          <w:rFonts w:asciiTheme="minorBidi" w:hAnsiTheme="minorBidi" w:cstheme="minorBidi"/>
          <w:b/>
          <w:bCs/>
          <w:color w:val="auto"/>
          <w:sz w:val="24"/>
          <w:szCs w:val="24"/>
        </w:rPr>
        <w:t>Current Debates and Emerging Issues</w:t>
      </w:r>
      <w:bookmarkEnd w:id="3"/>
    </w:p>
    <w:p w14:paraId="45D6A4EA" w14:textId="77777777" w:rsidR="00947985" w:rsidRDefault="00947985" w:rsidP="00CF49A3">
      <w:pPr>
        <w:pStyle w:val="NormalWeb"/>
        <w:spacing w:line="360" w:lineRule="auto"/>
        <w:jc w:val="both"/>
        <w:rPr>
          <w:rFonts w:ascii="Arial" w:hAnsi="Arial" w:cs="Arial"/>
          <w:color w:val="000000"/>
          <w:sz w:val="22"/>
          <w:szCs w:val="22"/>
        </w:rPr>
      </w:pPr>
      <w:r w:rsidRPr="00947985">
        <w:rPr>
          <w:rFonts w:ascii="Arial" w:hAnsi="Arial" w:cs="Arial"/>
          <w:color w:val="000000"/>
          <w:sz w:val="22"/>
          <w:szCs w:val="22"/>
        </w:rPr>
        <w:t>Debates surrounding intellectual developmental disorders centre on how classification systems frame difference, how treatment approaches are shaped by competing models of disability, and how emerging neurodivergence perspectives challenge traditional diagnostic language</w:t>
      </w:r>
    </w:p>
    <w:p w14:paraId="46AB8000" w14:textId="7B7A7EE3" w:rsidR="007470C3" w:rsidRDefault="008E7571" w:rsidP="00CF49A3">
      <w:pPr>
        <w:pStyle w:val="NormalWeb"/>
        <w:spacing w:line="360" w:lineRule="auto"/>
        <w:jc w:val="both"/>
        <w:rPr>
          <w:rFonts w:ascii="Arial" w:hAnsi="Arial" w:cs="Arial"/>
          <w:color w:val="000000"/>
          <w:sz w:val="22"/>
          <w:szCs w:val="22"/>
        </w:rPr>
      </w:pPr>
      <w:r w:rsidRPr="008E7571">
        <w:rPr>
          <w:rFonts w:ascii="Arial" w:hAnsi="Arial" w:cs="Arial"/>
          <w:color w:val="000000"/>
          <w:sz w:val="22"/>
          <w:szCs w:val="22"/>
        </w:rPr>
        <w:t>ICD-11 provides a structured classification for Disorders of Intellectual Development, yet its use of diagnostic categories continues to attract criticism for reinforcing deficit-based interpretations. Labelling an individual within a “disorder” framework can unintentionally strengthen stigma, which remains evident across education, healthcare, and employment contexts (Pelleboer-Gunnink et al., 2019). This is significant because classification systems do not operate neutrally; they influence how intellectual differences are interpreted and how services are justified</w:t>
      </w:r>
      <w:r w:rsidR="007470C3" w:rsidRPr="007470C3">
        <w:rPr>
          <w:rFonts w:ascii="Arial" w:hAnsi="Arial" w:cs="Arial"/>
          <w:color w:val="000000"/>
          <w:sz w:val="22"/>
          <w:szCs w:val="22"/>
        </w:rPr>
        <w:t>.</w:t>
      </w:r>
    </w:p>
    <w:p w14:paraId="6B778E84" w14:textId="77777777" w:rsidR="00934E95" w:rsidRDefault="00934E95" w:rsidP="000B269E">
      <w:pPr>
        <w:pStyle w:val="NormalWeb"/>
        <w:spacing w:line="360" w:lineRule="auto"/>
        <w:jc w:val="both"/>
        <w:rPr>
          <w:rFonts w:ascii="Arial" w:hAnsi="Arial" w:cs="Arial"/>
          <w:color w:val="000000"/>
          <w:sz w:val="22"/>
          <w:szCs w:val="22"/>
        </w:rPr>
      </w:pPr>
      <w:r w:rsidRPr="00934E95">
        <w:rPr>
          <w:rFonts w:ascii="Arial" w:hAnsi="Arial" w:cs="Arial"/>
          <w:color w:val="000000"/>
          <w:sz w:val="22"/>
          <w:szCs w:val="22"/>
        </w:rPr>
        <w:t>The tension between the medical and social models further complicates classification and treatment debates. The medical model positions intellectual disability as an internal impairment, whereas the social model argues that disability is produced through environmental barriers and lack of support. Evidence supports the importance of environmental adaptation, with improved participation observed when appropriate adjustments are made (Jansen-van Vuuren et al., 2020). This challenges purely diagnostic interpretations and suggests that functional outcomes cannot be separated from context.</w:t>
      </w:r>
    </w:p>
    <w:p w14:paraId="2CFF01D3" w14:textId="77777777" w:rsidR="00B5598A" w:rsidRDefault="00B5598A" w:rsidP="00CF49A3">
      <w:pPr>
        <w:pStyle w:val="NormalWeb"/>
        <w:spacing w:line="360" w:lineRule="auto"/>
        <w:jc w:val="both"/>
        <w:rPr>
          <w:rFonts w:ascii="Arial" w:hAnsi="Arial" w:cs="Arial"/>
          <w:color w:val="000000"/>
          <w:sz w:val="22"/>
          <w:szCs w:val="22"/>
        </w:rPr>
      </w:pPr>
      <w:r w:rsidRPr="00B5598A">
        <w:rPr>
          <w:rFonts w:ascii="Arial" w:hAnsi="Arial" w:cs="Arial"/>
          <w:color w:val="000000"/>
          <w:sz w:val="22"/>
          <w:szCs w:val="22"/>
        </w:rPr>
        <w:t>Neurodivergence perspectives extend this critique by reframing intellectual differences as natural variation rather than pathology. This creates a conceptual challenge for ICD-11, where the term “disorder” continues to imply deviation from normative functioning. As a result, there is ongoing debate about whether current classification systems accurately reflect lived experience or whether they contribute to unnecessary medicalisation of cognitive diversity (World Health Organization, 2019). This also links to broader calls for more rights-based and inclusion-focused approaches within neurodevelopmental policy.</w:t>
      </w:r>
    </w:p>
    <w:p w14:paraId="1A889A48" w14:textId="7037EFFF" w:rsidR="00A747CF" w:rsidRDefault="00A747CF" w:rsidP="00CF49A3">
      <w:pPr>
        <w:pStyle w:val="NormalWeb"/>
        <w:spacing w:line="360" w:lineRule="auto"/>
        <w:jc w:val="both"/>
        <w:rPr>
          <w:rFonts w:ascii="Arial" w:hAnsi="Arial" w:cs="Arial"/>
          <w:color w:val="000000"/>
          <w:sz w:val="22"/>
          <w:szCs w:val="22"/>
        </w:rPr>
      </w:pPr>
      <w:r w:rsidRPr="00A747CF">
        <w:rPr>
          <w:rFonts w:ascii="Arial" w:hAnsi="Arial" w:cs="Arial"/>
          <w:color w:val="000000"/>
          <w:sz w:val="22"/>
          <w:szCs w:val="22"/>
        </w:rPr>
        <w:t>These debates have direct implications for practice. A medicalised or deficit-focused model tends to prioritise management and correction of difficulties, whereas social and neurodivergence-informed approaches emphasise environmental adaptation, communication support, and removal of barriers to participation. This shifts the focus of intervention from individual impairment to structural and contextual change.</w:t>
      </w:r>
    </w:p>
    <w:p w14:paraId="1720EF48" w14:textId="77777777" w:rsidR="00965480" w:rsidRPr="00965480" w:rsidRDefault="00965480" w:rsidP="00965480">
      <w:pPr>
        <w:pStyle w:val="NormalWeb"/>
        <w:spacing w:line="360" w:lineRule="auto"/>
        <w:jc w:val="both"/>
        <w:rPr>
          <w:rFonts w:ascii="Arial" w:hAnsi="Arial" w:cs="Arial"/>
          <w:color w:val="000000"/>
          <w:sz w:val="22"/>
          <w:szCs w:val="22"/>
        </w:rPr>
      </w:pPr>
      <w:r w:rsidRPr="00965480">
        <w:rPr>
          <w:rFonts w:ascii="Arial" w:hAnsi="Arial" w:cs="Arial"/>
          <w:color w:val="000000"/>
          <w:sz w:val="22"/>
          <w:szCs w:val="22"/>
        </w:rPr>
        <w:t>In practice, however, outcomes are heavily shaped by system-level constraints. Barrington (2025) highlights that individuals frequently experience barriers to healthcare access, including communication difficulties and inflexible service structures. This indicates that inequalities are not solely clinical issues but are embedded within organisational systems.</w:t>
      </w:r>
    </w:p>
    <w:p w14:paraId="708E5ED6" w14:textId="758CC2B2" w:rsidR="00965480" w:rsidRPr="00965480" w:rsidRDefault="00965480" w:rsidP="003628E4">
      <w:pPr>
        <w:pStyle w:val="NormalWeb"/>
        <w:spacing w:line="360" w:lineRule="auto"/>
        <w:jc w:val="both"/>
        <w:rPr>
          <w:rFonts w:ascii="Arial" w:hAnsi="Arial" w:cs="Arial"/>
          <w:color w:val="000000"/>
          <w:sz w:val="22"/>
          <w:szCs w:val="22"/>
        </w:rPr>
      </w:pPr>
      <w:r w:rsidRPr="00965480">
        <w:rPr>
          <w:rFonts w:ascii="Arial" w:hAnsi="Arial" w:cs="Arial"/>
          <w:color w:val="000000"/>
          <w:sz w:val="22"/>
          <w:szCs w:val="22"/>
        </w:rPr>
        <w:t>Variation in healthcare quality further reinforces these concerns. Wyborn et al. (2025) show that care standards differ significantly across settings, particularly when intellectual disability-specific needs are not consistently recognised. This inconsistency weakens the impact of both classification systems and treatment frameworks in practice.</w:t>
      </w:r>
      <w:r w:rsidR="005F32E4">
        <w:rPr>
          <w:rFonts w:ascii="Arial" w:hAnsi="Arial" w:cs="Arial"/>
          <w:color w:val="000000"/>
          <w:sz w:val="22"/>
          <w:szCs w:val="22"/>
        </w:rPr>
        <w:t xml:space="preserve"> </w:t>
      </w:r>
      <w:r w:rsidRPr="00965480">
        <w:rPr>
          <w:rFonts w:ascii="Arial" w:hAnsi="Arial" w:cs="Arial"/>
          <w:color w:val="000000"/>
          <w:sz w:val="22"/>
          <w:szCs w:val="22"/>
        </w:rPr>
        <w:t>Documentation practices also play a critical role. Sheehan et al. (2023) demonstrate that incomplete recording of intellectual disability can directly affect care planning and limit access to reasonable adjustments. This shows that classification is not only conceptual but also operational, influencing how individuals are treated within healthcare systems.</w:t>
      </w:r>
    </w:p>
    <w:p w14:paraId="54431543" w14:textId="49294C28" w:rsidR="00545DF7" w:rsidRPr="00545DF7" w:rsidRDefault="00965480" w:rsidP="00965480">
      <w:pPr>
        <w:pStyle w:val="NormalWeb"/>
        <w:spacing w:line="360" w:lineRule="auto"/>
        <w:jc w:val="both"/>
        <w:rPr>
          <w:rFonts w:ascii="Arial" w:hAnsi="Arial" w:cs="Arial"/>
          <w:color w:val="000000"/>
          <w:sz w:val="22"/>
          <w:szCs w:val="22"/>
        </w:rPr>
      </w:pPr>
      <w:r w:rsidRPr="00965480">
        <w:rPr>
          <w:rFonts w:ascii="Arial" w:hAnsi="Arial" w:cs="Arial"/>
          <w:color w:val="000000"/>
          <w:sz w:val="22"/>
          <w:szCs w:val="22"/>
        </w:rPr>
        <w:t>Although policy frameworks such as reasonable adjustments aim to reduce inequality, their implementation remains inconsistent due to workforce limitations and organisational barriers (Moloney et al., 2024). This creates a persistent gap between policy intention and actual practice delivery. Overall, these debates therefore show that classification, neurodivergence perspectives, and service delivery are closely linked in shaping both understanding and practical outcomes in intellectual developmental disorders.</w:t>
      </w:r>
    </w:p>
    <w:p w14:paraId="71F57B9B" w14:textId="77777777" w:rsidR="00545DF7" w:rsidRPr="00545DF7" w:rsidRDefault="00545DF7" w:rsidP="00545DF7">
      <w:pPr>
        <w:pStyle w:val="NormalWeb"/>
        <w:spacing w:line="360" w:lineRule="auto"/>
        <w:jc w:val="both"/>
        <w:rPr>
          <w:rFonts w:ascii="Arial" w:hAnsi="Arial" w:cs="Arial"/>
          <w:color w:val="000000"/>
          <w:sz w:val="22"/>
          <w:szCs w:val="22"/>
        </w:rPr>
      </w:pPr>
    </w:p>
    <w:p w14:paraId="663F265C" w14:textId="4145A9D1" w:rsidR="008A6D32" w:rsidRPr="002B2E12" w:rsidRDefault="008A6D32" w:rsidP="008C4C7C">
      <w:pPr>
        <w:pStyle w:val="Heading1"/>
        <w:rPr>
          <w:rStyle w:val="apple-converted-space"/>
          <w:rFonts w:asciiTheme="minorBidi" w:hAnsiTheme="minorBidi" w:cstheme="minorBidi"/>
          <w:b/>
          <w:bCs/>
          <w:color w:val="auto"/>
          <w:sz w:val="24"/>
          <w:szCs w:val="24"/>
        </w:rPr>
      </w:pPr>
      <w:bookmarkStart w:id="4" w:name="_Toc227436975"/>
      <w:r w:rsidRPr="002B2E12">
        <w:rPr>
          <w:rFonts w:asciiTheme="minorBidi" w:hAnsiTheme="minorBidi" w:cstheme="minorBidi"/>
          <w:b/>
          <w:bCs/>
          <w:color w:val="auto"/>
          <w:sz w:val="24"/>
          <w:szCs w:val="24"/>
        </w:rPr>
        <w:t>Recommendations</w:t>
      </w:r>
      <w:bookmarkEnd w:id="4"/>
      <w:r w:rsidRPr="002B2E12">
        <w:rPr>
          <w:rStyle w:val="apple-converted-space"/>
          <w:rFonts w:asciiTheme="minorBidi" w:hAnsiTheme="minorBidi" w:cstheme="minorBidi"/>
          <w:b/>
          <w:bCs/>
          <w:color w:val="auto"/>
          <w:sz w:val="24"/>
          <w:szCs w:val="24"/>
        </w:rPr>
        <w:t> </w:t>
      </w:r>
    </w:p>
    <w:p w14:paraId="5AF3B61A" w14:textId="77777777" w:rsidR="00817E8A" w:rsidRPr="00817E8A" w:rsidRDefault="00817E8A" w:rsidP="00817E8A">
      <w:pPr>
        <w:pStyle w:val="NormalWeb"/>
        <w:spacing w:line="360" w:lineRule="auto"/>
        <w:jc w:val="both"/>
        <w:rPr>
          <w:rFonts w:ascii="Arial" w:hAnsi="Arial" w:cs="Arial"/>
          <w:color w:val="000000"/>
          <w:sz w:val="22"/>
          <w:szCs w:val="22"/>
        </w:rPr>
      </w:pPr>
      <w:r w:rsidRPr="00817E8A">
        <w:rPr>
          <w:rFonts w:ascii="Arial" w:hAnsi="Arial" w:cs="Arial"/>
          <w:color w:val="000000"/>
          <w:sz w:val="22"/>
          <w:szCs w:val="22"/>
        </w:rPr>
        <w:t>Improving outcomes for Disorders of Intellectual Development requires more consistent and structured approaches across classification, diagnosis, treatment, and service delivery. A key priority is strengthening diagnostic accuracy through greater reliance on standardised adaptive functioning assessments alongside cognitive testing. Although ICD-11 provides a clear classification framework, variation in clinical interpretation can still affect diagnostic outcomes and access to services. Carbajal et al. (2024) highlight that inconsistencies in assessment practices reduce reliability, indicating a need for improved professional training and clearer guidance on the application of adaptive behaviour measures in practice. This would enhance consistency in diagnosis and ensure more equitable access to appropriate support.</w:t>
      </w:r>
    </w:p>
    <w:p w14:paraId="11B157FB" w14:textId="77777777" w:rsidR="00817E8A" w:rsidRPr="00817E8A" w:rsidRDefault="00817E8A" w:rsidP="004F5976">
      <w:pPr>
        <w:pStyle w:val="NormalWeb"/>
        <w:spacing w:line="360" w:lineRule="auto"/>
        <w:jc w:val="both"/>
        <w:rPr>
          <w:rFonts w:ascii="Arial" w:hAnsi="Arial" w:cs="Arial"/>
          <w:color w:val="000000"/>
          <w:sz w:val="22"/>
          <w:szCs w:val="22"/>
        </w:rPr>
      </w:pPr>
      <w:r w:rsidRPr="00817E8A">
        <w:rPr>
          <w:rFonts w:ascii="Arial" w:hAnsi="Arial" w:cs="Arial"/>
          <w:color w:val="000000"/>
          <w:sz w:val="22"/>
          <w:szCs w:val="22"/>
        </w:rPr>
        <w:t>Early intervention should also be prioritised, particularly within child development and educational services. Evidence suggests that structured behavioural and educational interventions can improve communication, learning, and long-term adaptive functioning when implemented consistently (Beqiraj et al., 2022; Babiker et al., 2025). However, the effectiveness of these approaches depends heavily on continuity of support and workforce capacity. This highlights the need for sustained investment in specialist training and long-term service resourcing to ensure that early intervention is both accessible and effective in practice.</w:t>
      </w:r>
    </w:p>
    <w:p w14:paraId="315AA653" w14:textId="77777777" w:rsidR="00817E8A" w:rsidRPr="00817E8A" w:rsidRDefault="00817E8A" w:rsidP="00817E8A">
      <w:pPr>
        <w:pStyle w:val="NormalWeb"/>
        <w:spacing w:line="360" w:lineRule="auto"/>
        <w:jc w:val="both"/>
        <w:rPr>
          <w:rFonts w:ascii="Arial" w:hAnsi="Arial" w:cs="Arial"/>
          <w:color w:val="000000"/>
          <w:sz w:val="22"/>
          <w:szCs w:val="22"/>
        </w:rPr>
      </w:pPr>
      <w:r w:rsidRPr="00817E8A">
        <w:rPr>
          <w:rFonts w:ascii="Arial" w:hAnsi="Arial" w:cs="Arial"/>
          <w:color w:val="000000"/>
          <w:sz w:val="22"/>
          <w:szCs w:val="22"/>
        </w:rPr>
        <w:t>Healthcare systems additionally require stronger and more consistent implementation of reasonable adjustments to reduce ongoing inequalities in access to care. Barrington (2025) identifies that barriers are often structural, including communication difficulties and inflexible service design, rather than being directly related to the condition itself. Similarly, Moloney et al. (2024) highlight that even where policies exist, implementation remains inconsistent due to staff uncertainty and organisational constraints. This indicates that policy frameworks must be supported by practical training, clearer operational guidance, and accountability mechanisms to ensure consistent application across services and settings.</w:t>
      </w:r>
    </w:p>
    <w:p w14:paraId="36D0EC8A" w14:textId="77777777" w:rsidR="00817E8A" w:rsidRPr="00817E8A" w:rsidRDefault="00817E8A" w:rsidP="00817E8A">
      <w:pPr>
        <w:pStyle w:val="NormalWeb"/>
        <w:spacing w:line="360" w:lineRule="auto"/>
        <w:jc w:val="both"/>
        <w:rPr>
          <w:rFonts w:ascii="Arial" w:hAnsi="Arial" w:cs="Arial"/>
          <w:color w:val="000000"/>
          <w:sz w:val="22"/>
          <w:szCs w:val="22"/>
        </w:rPr>
      </w:pPr>
      <w:r w:rsidRPr="00817E8A">
        <w:rPr>
          <w:rFonts w:ascii="Arial" w:hAnsi="Arial" w:cs="Arial"/>
          <w:color w:val="000000"/>
          <w:sz w:val="22"/>
          <w:szCs w:val="22"/>
        </w:rPr>
        <w:t>Finally, improving the recording and identification of intellectual disability within healthcare systems is essential for enhancing care quality and safety. Sheehan et al. (2023) demonstrate that incomplete or inconsistent documentation can directly affect care planning and limit access to appropriate adjustments. Strengthening recording systems and ensuring routine identification of intellectual disability in healthcare records would therefore improve continuity of care and reduce avoidable inequalities in treatment delivery.</w:t>
      </w:r>
    </w:p>
    <w:p w14:paraId="223E7F5F" w14:textId="49F218AF" w:rsidR="00CF67AA" w:rsidRPr="00817E8A" w:rsidRDefault="00817E8A" w:rsidP="00817E8A">
      <w:pPr>
        <w:pStyle w:val="NormalWeb"/>
        <w:spacing w:line="360" w:lineRule="auto"/>
        <w:jc w:val="both"/>
        <w:rPr>
          <w:rFonts w:ascii="Arial" w:hAnsi="Arial" w:cs="Arial"/>
          <w:color w:val="000000"/>
          <w:sz w:val="22"/>
          <w:szCs w:val="22"/>
        </w:rPr>
      </w:pPr>
      <w:r w:rsidRPr="00817E8A">
        <w:rPr>
          <w:rFonts w:ascii="Arial" w:hAnsi="Arial" w:cs="Arial"/>
          <w:color w:val="000000"/>
          <w:sz w:val="22"/>
          <w:szCs w:val="22"/>
        </w:rPr>
        <w:t>In terms of wider implications, these recommendations emphasise the need for closer integration across health, education, and social care systems to reduce fragmentation in support pathways. For policy, this requires stronger enforcement of existing frameworks alongside investment in workforce development. For practice, it highlights the importance of consistent implementation and professional training. For research, there is a clear need for further investigation into how diagnostic tools, reasonable adjustments, and service frameworks are applied in real-world settings, particularly in relation to consistency, accessibility, and long-term outcomes.</w:t>
      </w:r>
    </w:p>
    <w:p w14:paraId="7DC3DB46" w14:textId="77777777" w:rsidR="004F5976" w:rsidRDefault="004F5976" w:rsidP="008C4C7C">
      <w:pPr>
        <w:pStyle w:val="Heading1"/>
      </w:pPr>
    </w:p>
    <w:p w14:paraId="75C42BB4" w14:textId="4562E3A4" w:rsidR="008A6D32" w:rsidRPr="002B2E12" w:rsidRDefault="008A6D32" w:rsidP="008C4C7C">
      <w:pPr>
        <w:pStyle w:val="Heading1"/>
        <w:rPr>
          <w:rFonts w:asciiTheme="minorBidi" w:hAnsiTheme="minorBidi" w:cstheme="minorBidi"/>
          <w:b/>
          <w:bCs/>
          <w:color w:val="000000" w:themeColor="text1"/>
          <w:sz w:val="24"/>
          <w:szCs w:val="24"/>
        </w:rPr>
      </w:pPr>
      <w:bookmarkStart w:id="5" w:name="_Toc227436976"/>
      <w:r w:rsidRPr="002B2E12">
        <w:rPr>
          <w:rFonts w:asciiTheme="minorBidi" w:hAnsiTheme="minorBidi" w:cstheme="minorBidi"/>
          <w:b/>
          <w:bCs/>
          <w:color w:val="000000" w:themeColor="text1"/>
          <w:sz w:val="24"/>
          <w:szCs w:val="24"/>
        </w:rPr>
        <w:t>Conclusion</w:t>
      </w:r>
      <w:bookmarkEnd w:id="5"/>
    </w:p>
    <w:p w14:paraId="6BB10AE1" w14:textId="77777777" w:rsidR="00251B40" w:rsidRPr="00251B40" w:rsidRDefault="00251B40" w:rsidP="00251B40">
      <w:pPr>
        <w:pStyle w:val="NormalWeb"/>
        <w:spacing w:line="360" w:lineRule="auto"/>
        <w:jc w:val="both"/>
        <w:rPr>
          <w:rFonts w:ascii="Arial" w:hAnsi="Arial" w:cs="Arial"/>
          <w:color w:val="000000"/>
          <w:sz w:val="22"/>
          <w:szCs w:val="22"/>
        </w:rPr>
      </w:pPr>
      <w:r w:rsidRPr="00251B40">
        <w:rPr>
          <w:rFonts w:ascii="Arial" w:hAnsi="Arial" w:cs="Arial"/>
          <w:color w:val="000000"/>
          <w:sz w:val="22"/>
          <w:szCs w:val="22"/>
        </w:rPr>
        <w:t>Disorders of Intellectual Development are defined within ICD-11 as neurodevelopmental conditions involving limitations in intellectual functioning and adaptive behaviour, with emphasis placed on functional impact in everyday life rather than cognitive ability alone (World Health Organization, 2019). This reflects a broader shift in classification toward understanding disability through support needs and real-world functioning.</w:t>
      </w:r>
    </w:p>
    <w:p w14:paraId="1FA587AE" w14:textId="77777777" w:rsidR="00251B40" w:rsidRPr="00251B40" w:rsidRDefault="00251B40" w:rsidP="00251B40">
      <w:pPr>
        <w:pStyle w:val="NormalWeb"/>
        <w:spacing w:line="360" w:lineRule="auto"/>
        <w:jc w:val="both"/>
        <w:rPr>
          <w:rFonts w:ascii="Arial" w:hAnsi="Arial" w:cs="Arial"/>
          <w:color w:val="000000"/>
          <w:sz w:val="22"/>
          <w:szCs w:val="22"/>
        </w:rPr>
      </w:pPr>
      <w:r w:rsidRPr="00251B40">
        <w:rPr>
          <w:rFonts w:ascii="Arial" w:hAnsi="Arial" w:cs="Arial"/>
          <w:color w:val="000000"/>
          <w:sz w:val="22"/>
          <w:szCs w:val="22"/>
        </w:rPr>
        <w:t>Across diagnosis, treatment, and rehabilitation, the evidence shows a move toward more structured and evidence-based approaches, including adaptive functioning assessment and behavioural interventions. However, the effectiveness of these approaches is strongly influenced by consistency of implementation, professional training, and service coordination across systems (Carbajal et al., 2024; Beqiraj et al., 2022). As a result, outcomes vary significantly depending on how services are organised and delivered in practice.</w:t>
      </w:r>
    </w:p>
    <w:p w14:paraId="0428A8BD" w14:textId="77777777" w:rsidR="00251B40" w:rsidRPr="00251B40" w:rsidRDefault="00251B40" w:rsidP="00251B40">
      <w:pPr>
        <w:pStyle w:val="NormalWeb"/>
        <w:spacing w:line="360" w:lineRule="auto"/>
        <w:jc w:val="both"/>
        <w:rPr>
          <w:rFonts w:ascii="Arial" w:hAnsi="Arial" w:cs="Arial"/>
          <w:color w:val="000000"/>
          <w:sz w:val="22"/>
          <w:szCs w:val="22"/>
        </w:rPr>
      </w:pPr>
      <w:r w:rsidRPr="00251B40">
        <w:rPr>
          <w:rFonts w:ascii="Arial" w:hAnsi="Arial" w:cs="Arial"/>
          <w:color w:val="000000"/>
          <w:sz w:val="22"/>
          <w:szCs w:val="22"/>
        </w:rPr>
        <w:t>Current debates further highlight that intellectual developmental disorders cannot be fully understood through a purely clinical lens. Issues such as stigma, healthcare inequality, and differences between medical and social models of disability continue to shape both policy and lived experience (Pelleboer-Gunnink et al., 2019; Barrington, 2025). These factors demonstrate that classification systems and treatment frameworks operate within wider social and organisational contexts that directly influence effectiveness and equity of care.</w:t>
      </w:r>
    </w:p>
    <w:p w14:paraId="76F1D54C" w14:textId="4BE57B10" w:rsidR="00251B40" w:rsidRPr="00251B40" w:rsidRDefault="00251B40" w:rsidP="00251B40">
      <w:pPr>
        <w:pStyle w:val="NormalWeb"/>
        <w:spacing w:line="360" w:lineRule="auto"/>
        <w:jc w:val="both"/>
        <w:rPr>
          <w:rFonts w:ascii="Arial" w:hAnsi="Arial" w:cs="Arial"/>
          <w:color w:val="000000"/>
          <w:sz w:val="22"/>
          <w:szCs w:val="22"/>
        </w:rPr>
      </w:pPr>
      <w:r w:rsidRPr="00251B40">
        <w:rPr>
          <w:rFonts w:ascii="Arial" w:hAnsi="Arial" w:cs="Arial"/>
          <w:color w:val="000000"/>
          <w:sz w:val="22"/>
          <w:szCs w:val="22"/>
        </w:rPr>
        <w:t>Overall, the condition requires an integrated approach that combines accurate classification, consistent service delivery, and attention to structural barriers in healthcare and social systems.</w:t>
      </w:r>
      <w:r w:rsidR="0006153D" w:rsidRPr="0006153D">
        <w:t xml:space="preserve"> </w:t>
      </w:r>
      <w:r w:rsidR="0006153D" w:rsidRPr="0006153D">
        <w:rPr>
          <w:rFonts w:ascii="Arial" w:hAnsi="Arial" w:cs="Arial"/>
          <w:color w:val="000000"/>
          <w:sz w:val="22"/>
          <w:szCs w:val="22"/>
        </w:rPr>
        <w:t>However, without sustained structural investment and consistent implementation across services, these improvements risk remaining theoretical rather than producing measurable change in outcomes.</w:t>
      </w:r>
    </w:p>
    <w:p w14:paraId="26E30AAE" w14:textId="77777777" w:rsidR="00993E35" w:rsidRDefault="00993E35" w:rsidP="00CE6DF2">
      <w:pPr>
        <w:pStyle w:val="NormalWeb"/>
        <w:spacing w:line="360" w:lineRule="auto"/>
        <w:jc w:val="both"/>
        <w:rPr>
          <w:rFonts w:ascii="Arial" w:hAnsi="Arial" w:cs="Arial"/>
          <w:b/>
          <w:bCs/>
          <w:color w:val="000000"/>
        </w:rPr>
      </w:pPr>
    </w:p>
    <w:p w14:paraId="4F7597D5" w14:textId="77777777" w:rsidR="008A6D32" w:rsidRPr="003C30E2" w:rsidRDefault="008A6D32" w:rsidP="003C30E2">
      <w:pPr>
        <w:pStyle w:val="NormalWeb"/>
        <w:spacing w:line="360" w:lineRule="auto"/>
        <w:jc w:val="both"/>
        <w:rPr>
          <w:rFonts w:ascii="Arial" w:hAnsi="Arial" w:cs="Arial"/>
          <w:color w:val="000000"/>
          <w:sz w:val="22"/>
          <w:szCs w:val="22"/>
        </w:rPr>
      </w:pPr>
    </w:p>
    <w:p w14:paraId="7AD2E81E" w14:textId="77777777" w:rsidR="008A6D32" w:rsidRPr="008A6D32" w:rsidRDefault="008A6D32" w:rsidP="008A6D32">
      <w:pPr>
        <w:pStyle w:val="NormalWeb"/>
        <w:rPr>
          <w:rFonts w:ascii="Arial" w:hAnsi="Arial" w:cs="Arial"/>
          <w:color w:val="000000"/>
        </w:rPr>
      </w:pPr>
    </w:p>
    <w:p w14:paraId="4FFD4735" w14:textId="77777777" w:rsidR="00CE6DF2" w:rsidRDefault="00CE6DF2" w:rsidP="008A6D32">
      <w:pPr>
        <w:pStyle w:val="NormalWeb"/>
        <w:rPr>
          <w:rFonts w:ascii="Arial" w:hAnsi="Arial" w:cs="Arial"/>
          <w:b/>
          <w:bCs/>
          <w:color w:val="000000"/>
        </w:rPr>
      </w:pPr>
    </w:p>
    <w:p w14:paraId="4BFC68E8" w14:textId="77777777" w:rsidR="00CE6DF2" w:rsidRDefault="00CE6DF2" w:rsidP="008A6D32">
      <w:pPr>
        <w:pStyle w:val="NormalWeb"/>
        <w:rPr>
          <w:rFonts w:ascii="Arial" w:hAnsi="Arial" w:cs="Arial"/>
          <w:b/>
          <w:bCs/>
          <w:color w:val="000000"/>
        </w:rPr>
      </w:pPr>
    </w:p>
    <w:p w14:paraId="292EA942" w14:textId="77777777" w:rsidR="00CE6DF2" w:rsidRDefault="00CE6DF2" w:rsidP="008A6D32">
      <w:pPr>
        <w:pStyle w:val="NormalWeb"/>
        <w:rPr>
          <w:rFonts w:ascii="Arial" w:hAnsi="Arial" w:cs="Arial"/>
          <w:b/>
          <w:bCs/>
          <w:color w:val="000000"/>
        </w:rPr>
      </w:pPr>
    </w:p>
    <w:p w14:paraId="31E47D99" w14:textId="77777777" w:rsidR="00CE6DF2" w:rsidRDefault="00CE6DF2" w:rsidP="008A6D32">
      <w:pPr>
        <w:pStyle w:val="NormalWeb"/>
        <w:rPr>
          <w:rFonts w:ascii="Arial" w:hAnsi="Arial" w:cs="Arial"/>
          <w:b/>
          <w:bCs/>
          <w:color w:val="000000"/>
        </w:rPr>
      </w:pPr>
    </w:p>
    <w:p w14:paraId="6649F16C" w14:textId="77777777" w:rsidR="00CE6DF2" w:rsidRDefault="00CE6DF2" w:rsidP="008A6D32">
      <w:pPr>
        <w:pStyle w:val="NormalWeb"/>
        <w:rPr>
          <w:rFonts w:ascii="Arial" w:hAnsi="Arial" w:cs="Arial"/>
          <w:b/>
          <w:bCs/>
          <w:color w:val="000000"/>
        </w:rPr>
      </w:pPr>
    </w:p>
    <w:p w14:paraId="7C544CE5" w14:textId="77777777" w:rsidR="00CE6DF2" w:rsidRDefault="00CE6DF2" w:rsidP="008A6D32">
      <w:pPr>
        <w:pStyle w:val="NormalWeb"/>
        <w:rPr>
          <w:rFonts w:ascii="Arial" w:hAnsi="Arial" w:cs="Arial"/>
          <w:b/>
          <w:bCs/>
          <w:color w:val="000000"/>
        </w:rPr>
      </w:pPr>
    </w:p>
    <w:p w14:paraId="464E4062" w14:textId="42EE1EDC" w:rsidR="008A6D32" w:rsidRPr="002B2E12" w:rsidRDefault="008A6D32" w:rsidP="008C4C7C">
      <w:pPr>
        <w:pStyle w:val="Heading1"/>
        <w:rPr>
          <w:rFonts w:asciiTheme="minorBidi" w:hAnsiTheme="minorBidi" w:cstheme="minorBidi"/>
          <w:b/>
          <w:bCs/>
          <w:color w:val="auto"/>
          <w:sz w:val="24"/>
          <w:szCs w:val="24"/>
        </w:rPr>
      </w:pPr>
      <w:bookmarkStart w:id="6" w:name="_Toc227436977"/>
      <w:r w:rsidRPr="002B2E12">
        <w:rPr>
          <w:rFonts w:asciiTheme="minorBidi" w:hAnsiTheme="minorBidi" w:cstheme="minorBidi"/>
          <w:b/>
          <w:bCs/>
          <w:color w:val="auto"/>
          <w:sz w:val="24"/>
          <w:szCs w:val="24"/>
        </w:rPr>
        <w:t>References</w:t>
      </w:r>
      <w:bookmarkEnd w:id="6"/>
      <w:r w:rsidRPr="002B2E12">
        <w:rPr>
          <w:rFonts w:asciiTheme="minorBidi" w:hAnsiTheme="minorBidi" w:cstheme="minorBidi"/>
          <w:b/>
          <w:bCs/>
          <w:color w:val="auto"/>
          <w:sz w:val="24"/>
          <w:szCs w:val="24"/>
        </w:rPr>
        <w:t xml:space="preserve"> </w:t>
      </w:r>
    </w:p>
    <w:p w14:paraId="3146DB84" w14:textId="77777777" w:rsidR="006C7370" w:rsidRDefault="006C7370" w:rsidP="00230B4D">
      <w:pPr>
        <w:pStyle w:val="NormalWeb"/>
        <w:jc w:val="both"/>
        <w:rPr>
          <w:rFonts w:ascii="Arial" w:hAnsi="Arial" w:cs="Arial"/>
          <w:color w:val="000000"/>
          <w:sz w:val="22"/>
          <w:szCs w:val="22"/>
        </w:rPr>
      </w:pPr>
      <w:r w:rsidRPr="00B65414">
        <w:rPr>
          <w:rFonts w:ascii="Arial" w:hAnsi="Arial" w:cs="Arial"/>
          <w:color w:val="000000"/>
          <w:sz w:val="22"/>
          <w:szCs w:val="22"/>
        </w:rPr>
        <w:t xml:space="preserve">Babiker, R., et al. (2025) ‘Types and diagnosis of childhood intellectual disabilities’, </w:t>
      </w:r>
      <w:r w:rsidRPr="00B65414">
        <w:rPr>
          <w:rFonts w:ascii="Arial" w:hAnsi="Arial" w:cs="Arial"/>
          <w:i/>
          <w:iCs/>
          <w:color w:val="000000"/>
          <w:sz w:val="22"/>
          <w:szCs w:val="22"/>
        </w:rPr>
        <w:t>Open Access Review.</w:t>
      </w:r>
      <w:r w:rsidRPr="00B65414">
        <w:rPr>
          <w:rFonts w:ascii="Arial" w:hAnsi="Arial" w:cs="Arial"/>
          <w:color w:val="000000"/>
          <w:sz w:val="22"/>
          <w:szCs w:val="22"/>
        </w:rPr>
        <w:t xml:space="preserve"> Available at:</w:t>
      </w:r>
      <w:r>
        <w:rPr>
          <w:rFonts w:ascii="Arial" w:hAnsi="Arial" w:cs="Arial"/>
          <w:color w:val="000000"/>
          <w:sz w:val="22"/>
          <w:szCs w:val="22"/>
        </w:rPr>
        <w:t xml:space="preserve"> </w:t>
      </w:r>
      <w:hyperlink r:id="rId13" w:history="1">
        <w:r w:rsidRPr="00404E5C">
          <w:rPr>
            <w:rStyle w:val="Hyperlink"/>
            <w:rFonts w:ascii="Arial" w:hAnsi="Arial" w:cs="Arial"/>
            <w:sz w:val="22"/>
            <w:szCs w:val="22"/>
          </w:rPr>
          <w:t>https://pmc.ncbi.nlm.nih.gov/articles/PMC12732167/</w:t>
        </w:r>
      </w:hyperlink>
      <w:r>
        <w:rPr>
          <w:rFonts w:ascii="Arial" w:hAnsi="Arial" w:cs="Arial"/>
          <w:color w:val="000000"/>
          <w:sz w:val="22"/>
          <w:szCs w:val="22"/>
        </w:rPr>
        <w:t xml:space="preserve"> (Accessed: 14 April 2026).</w:t>
      </w:r>
    </w:p>
    <w:p w14:paraId="06603059" w14:textId="77777777" w:rsidR="006C7370" w:rsidRDefault="006C7370" w:rsidP="00230B4D">
      <w:pPr>
        <w:pStyle w:val="NormalWeb"/>
        <w:jc w:val="both"/>
        <w:rPr>
          <w:rFonts w:ascii="Arial" w:hAnsi="Arial" w:cs="Arial"/>
          <w:color w:val="000000"/>
          <w:sz w:val="22"/>
          <w:szCs w:val="22"/>
        </w:rPr>
      </w:pPr>
      <w:r w:rsidRPr="00697DC0">
        <w:rPr>
          <w:rFonts w:ascii="Arial" w:hAnsi="Arial" w:cs="Arial"/>
          <w:color w:val="000000"/>
          <w:sz w:val="22"/>
          <w:szCs w:val="22"/>
        </w:rPr>
        <w:t xml:space="preserve">Barrington, M. (2025) ‘Access to healthcare for people with intellectual disability’, </w:t>
      </w:r>
      <w:r w:rsidRPr="00697DC0">
        <w:rPr>
          <w:rFonts w:ascii="Arial" w:hAnsi="Arial" w:cs="Arial"/>
          <w:i/>
          <w:iCs/>
          <w:color w:val="000000"/>
          <w:sz w:val="22"/>
          <w:szCs w:val="22"/>
        </w:rPr>
        <w:t>BMC Health Services Research</w:t>
      </w:r>
      <w:r w:rsidRPr="00697DC0">
        <w:rPr>
          <w:rFonts w:ascii="Arial" w:hAnsi="Arial" w:cs="Arial"/>
          <w:color w:val="000000"/>
          <w:sz w:val="22"/>
          <w:szCs w:val="22"/>
        </w:rPr>
        <w:t>. Available at:</w:t>
      </w:r>
      <w:r>
        <w:rPr>
          <w:rFonts w:ascii="Arial" w:hAnsi="Arial" w:cs="Arial"/>
          <w:color w:val="000000"/>
          <w:sz w:val="22"/>
          <w:szCs w:val="22"/>
        </w:rPr>
        <w:t xml:space="preserve"> </w:t>
      </w:r>
      <w:hyperlink r:id="rId14" w:history="1">
        <w:r w:rsidRPr="00404E5C">
          <w:rPr>
            <w:rStyle w:val="Hyperlink"/>
            <w:rFonts w:ascii="Arial" w:hAnsi="Arial" w:cs="Arial"/>
            <w:sz w:val="22"/>
            <w:szCs w:val="22"/>
          </w:rPr>
          <w:t>https://pmc.ncbi.nlm.nih.gov/articles/PMC12936145/</w:t>
        </w:r>
      </w:hyperlink>
      <w:r>
        <w:rPr>
          <w:rFonts w:ascii="Arial" w:hAnsi="Arial" w:cs="Arial"/>
          <w:color w:val="000000"/>
          <w:sz w:val="22"/>
          <w:szCs w:val="22"/>
        </w:rPr>
        <w:t xml:space="preserve"> (Accessed: 14 April 2026).</w:t>
      </w:r>
    </w:p>
    <w:p w14:paraId="332B6E32" w14:textId="3B4C8783" w:rsidR="006C7370" w:rsidRDefault="006C7370" w:rsidP="00230B4D">
      <w:pPr>
        <w:pStyle w:val="NormalWeb"/>
        <w:jc w:val="both"/>
        <w:rPr>
          <w:rFonts w:ascii="Arial" w:hAnsi="Arial" w:cs="Arial"/>
          <w:color w:val="000000"/>
          <w:sz w:val="22"/>
          <w:szCs w:val="22"/>
        </w:rPr>
      </w:pPr>
      <w:r w:rsidRPr="6070AEFB">
        <w:rPr>
          <w:rFonts w:ascii="Arial" w:hAnsi="Arial" w:cs="Arial"/>
          <w:color w:val="000000" w:themeColor="text1"/>
          <w:sz w:val="22"/>
          <w:szCs w:val="22"/>
        </w:rPr>
        <w:t xml:space="preserve">Beqiraj, L., Hassiotis, A., Murphy, G.H., Oliver, </w:t>
      </w:r>
      <w:r w:rsidR="143E8FC4" w:rsidRPr="6070AEFB">
        <w:rPr>
          <w:rFonts w:ascii="Arial" w:hAnsi="Arial" w:cs="Arial"/>
          <w:color w:val="000000" w:themeColor="text1"/>
          <w:sz w:val="22"/>
          <w:szCs w:val="22"/>
        </w:rPr>
        <w:t>C.,</w:t>
      </w:r>
      <w:r w:rsidRPr="6070AEFB">
        <w:rPr>
          <w:rFonts w:ascii="Arial" w:hAnsi="Arial" w:cs="Arial"/>
          <w:color w:val="000000" w:themeColor="text1"/>
          <w:sz w:val="22"/>
          <w:szCs w:val="22"/>
        </w:rPr>
        <w:t xml:space="preserve"> and Langdon, P.E. (2022) ‘Positive behavioural support for children and young people with developmental disabilities’, </w:t>
      </w:r>
      <w:r w:rsidRPr="6070AEFB">
        <w:rPr>
          <w:rFonts w:ascii="Arial" w:hAnsi="Arial" w:cs="Arial"/>
          <w:i/>
          <w:iCs/>
          <w:color w:val="000000" w:themeColor="text1"/>
          <w:sz w:val="22"/>
          <w:szCs w:val="22"/>
        </w:rPr>
        <w:t>BMC Psychiatry.</w:t>
      </w:r>
      <w:r w:rsidRPr="6070AEFB">
        <w:rPr>
          <w:rFonts w:ascii="Arial" w:hAnsi="Arial" w:cs="Arial"/>
          <w:color w:val="000000" w:themeColor="text1"/>
          <w:sz w:val="22"/>
          <w:szCs w:val="22"/>
        </w:rPr>
        <w:t xml:space="preserve"> Available at: </w:t>
      </w:r>
      <w:hyperlink r:id="rId15">
        <w:r w:rsidRPr="6070AEFB">
          <w:rPr>
            <w:rStyle w:val="Hyperlink"/>
            <w:rFonts w:ascii="Arial" w:hAnsi="Arial" w:cs="Arial"/>
            <w:sz w:val="22"/>
            <w:szCs w:val="22"/>
          </w:rPr>
          <w:t>https://pmc.ncbi.nlm.nih.gov/articles/PMC9306923/</w:t>
        </w:r>
      </w:hyperlink>
      <w:r w:rsidRPr="6070AEFB">
        <w:rPr>
          <w:rFonts w:ascii="Arial" w:hAnsi="Arial" w:cs="Arial"/>
          <w:color w:val="000000" w:themeColor="text1"/>
          <w:sz w:val="22"/>
          <w:szCs w:val="22"/>
        </w:rPr>
        <w:t xml:space="preserve"> (Accessed: 14 April 2026).</w:t>
      </w:r>
    </w:p>
    <w:p w14:paraId="242F3FEB" w14:textId="77777777" w:rsidR="006C7370" w:rsidRDefault="006C7370" w:rsidP="00230B4D">
      <w:pPr>
        <w:pStyle w:val="NormalWeb"/>
        <w:jc w:val="both"/>
        <w:rPr>
          <w:rFonts w:ascii="Arial" w:hAnsi="Arial" w:cs="Arial"/>
          <w:color w:val="000000"/>
          <w:sz w:val="22"/>
          <w:szCs w:val="22"/>
        </w:rPr>
      </w:pPr>
      <w:r w:rsidRPr="00386614">
        <w:rPr>
          <w:rFonts w:ascii="Arial" w:hAnsi="Arial" w:cs="Arial"/>
          <w:color w:val="000000"/>
          <w:sz w:val="22"/>
          <w:szCs w:val="22"/>
        </w:rPr>
        <w:t xml:space="preserve">Bosco, A., Grey, I., McGill, P. and Hastings, R.P. (2019) ‘Process evaluation of a Positive Behaviour Support intervention for adults with intellectual disability’, </w:t>
      </w:r>
      <w:r w:rsidRPr="00386614">
        <w:rPr>
          <w:rFonts w:ascii="Arial" w:hAnsi="Arial" w:cs="Arial"/>
          <w:i/>
          <w:iCs/>
          <w:color w:val="000000"/>
          <w:sz w:val="22"/>
          <w:szCs w:val="22"/>
        </w:rPr>
        <w:t>BMC Psychiatry.</w:t>
      </w:r>
      <w:r w:rsidRPr="00386614">
        <w:rPr>
          <w:rFonts w:ascii="Arial" w:hAnsi="Arial" w:cs="Arial"/>
          <w:color w:val="000000"/>
          <w:sz w:val="22"/>
          <w:szCs w:val="22"/>
        </w:rPr>
        <w:t xml:space="preserve"> Available at:</w:t>
      </w:r>
      <w:r>
        <w:rPr>
          <w:rFonts w:ascii="Arial" w:hAnsi="Arial" w:cs="Arial"/>
          <w:color w:val="000000"/>
          <w:sz w:val="22"/>
          <w:szCs w:val="22"/>
        </w:rPr>
        <w:t xml:space="preserve"> </w:t>
      </w:r>
      <w:hyperlink r:id="rId16" w:history="1">
        <w:r w:rsidRPr="00404E5C">
          <w:rPr>
            <w:rStyle w:val="Hyperlink"/>
            <w:rFonts w:ascii="Arial" w:hAnsi="Arial" w:cs="Arial"/>
            <w:sz w:val="22"/>
            <w:szCs w:val="22"/>
          </w:rPr>
          <w:t>https://pmc.ncbi.nlm.nih.gov/articles/PMC6705827/</w:t>
        </w:r>
      </w:hyperlink>
      <w:r>
        <w:rPr>
          <w:rFonts w:ascii="Arial" w:hAnsi="Arial" w:cs="Arial"/>
          <w:color w:val="000000"/>
          <w:sz w:val="22"/>
          <w:szCs w:val="22"/>
        </w:rPr>
        <w:t xml:space="preserve"> (Accessed: 14 April 2026).</w:t>
      </w:r>
    </w:p>
    <w:p w14:paraId="43B3E659" w14:textId="77777777" w:rsidR="006C7370" w:rsidRDefault="006C7370" w:rsidP="00230B4D">
      <w:pPr>
        <w:pStyle w:val="NormalWeb"/>
        <w:jc w:val="both"/>
        <w:rPr>
          <w:rFonts w:ascii="Arial" w:hAnsi="Arial" w:cs="Arial"/>
          <w:color w:val="000000"/>
          <w:sz w:val="22"/>
          <w:szCs w:val="22"/>
        </w:rPr>
      </w:pPr>
      <w:r w:rsidRPr="00B65414">
        <w:rPr>
          <w:rFonts w:ascii="Arial" w:hAnsi="Arial" w:cs="Arial"/>
          <w:color w:val="000000"/>
          <w:sz w:val="22"/>
          <w:szCs w:val="22"/>
        </w:rPr>
        <w:t xml:space="preserve">Carbajal, A.B., Gutiérrez-Rojas, L., Pardo, J. and Sánchez, J. (2024) ‘Assessment of adaptive behavior in people with intellectual disabilities’, </w:t>
      </w:r>
      <w:r w:rsidRPr="00B65414">
        <w:rPr>
          <w:rFonts w:ascii="Arial" w:hAnsi="Arial" w:cs="Arial"/>
          <w:i/>
          <w:iCs/>
          <w:color w:val="000000"/>
          <w:sz w:val="22"/>
          <w:szCs w:val="22"/>
        </w:rPr>
        <w:t>Journal of Clinical Medicine</w:t>
      </w:r>
      <w:r w:rsidRPr="00B65414">
        <w:rPr>
          <w:rFonts w:ascii="Arial" w:hAnsi="Arial" w:cs="Arial"/>
          <w:color w:val="000000"/>
          <w:sz w:val="22"/>
          <w:szCs w:val="22"/>
        </w:rPr>
        <w:t>, 13(5). Available at:</w:t>
      </w:r>
      <w:r>
        <w:rPr>
          <w:rFonts w:ascii="Arial" w:hAnsi="Arial" w:cs="Arial"/>
          <w:color w:val="000000"/>
          <w:sz w:val="22"/>
          <w:szCs w:val="22"/>
        </w:rPr>
        <w:t xml:space="preserve"> </w:t>
      </w:r>
      <w:hyperlink r:id="rId17" w:history="1">
        <w:r w:rsidRPr="00404E5C">
          <w:rPr>
            <w:rStyle w:val="Hyperlink"/>
            <w:rFonts w:ascii="Arial" w:hAnsi="Arial" w:cs="Arial"/>
            <w:sz w:val="22"/>
            <w:szCs w:val="22"/>
          </w:rPr>
          <w:t>https://pmc.ncbi.nlm.nih.gov/articles/PMC11108992/</w:t>
        </w:r>
      </w:hyperlink>
      <w:r>
        <w:rPr>
          <w:rFonts w:ascii="Arial" w:hAnsi="Arial" w:cs="Arial"/>
          <w:color w:val="000000"/>
          <w:sz w:val="22"/>
          <w:szCs w:val="22"/>
        </w:rPr>
        <w:t xml:space="preserve"> (Accessed: 14 April 2026).</w:t>
      </w:r>
    </w:p>
    <w:p w14:paraId="6798C536" w14:textId="77777777" w:rsidR="006C7370" w:rsidRDefault="006C7370" w:rsidP="00230B4D">
      <w:pPr>
        <w:pStyle w:val="NormalWeb"/>
        <w:jc w:val="both"/>
        <w:rPr>
          <w:rFonts w:ascii="Arial" w:hAnsi="Arial" w:cs="Arial"/>
          <w:color w:val="000000"/>
          <w:sz w:val="22"/>
          <w:szCs w:val="22"/>
        </w:rPr>
      </w:pPr>
      <w:r w:rsidRPr="00DC6BA7">
        <w:rPr>
          <w:rFonts w:ascii="Arial" w:hAnsi="Arial" w:cs="Arial"/>
          <w:color w:val="000000"/>
          <w:sz w:val="22"/>
          <w:szCs w:val="22"/>
        </w:rPr>
        <w:t>de Kuijper, G.M., Hoekstra, P.J., Visser, F.E., Evenhuis, H.M. and Koot, H.M. (2023) ‘Difficulties in diagnostics, treatment and care for people with intellectual disability and challenging behaviour’</w:t>
      </w:r>
      <w:r w:rsidRPr="00DC6BA7">
        <w:rPr>
          <w:rFonts w:ascii="Arial" w:hAnsi="Arial" w:cs="Arial"/>
          <w:i/>
          <w:iCs/>
          <w:color w:val="000000"/>
          <w:sz w:val="22"/>
          <w:szCs w:val="22"/>
        </w:rPr>
        <w:t>, BMC Psychiatry</w:t>
      </w:r>
      <w:r w:rsidRPr="00DC6BA7">
        <w:rPr>
          <w:rFonts w:ascii="Arial" w:hAnsi="Arial" w:cs="Arial"/>
          <w:color w:val="000000"/>
          <w:sz w:val="22"/>
          <w:szCs w:val="22"/>
        </w:rPr>
        <w:t>, 23. Available at:</w:t>
      </w:r>
      <w:r>
        <w:rPr>
          <w:rFonts w:ascii="Arial" w:hAnsi="Arial" w:cs="Arial"/>
          <w:color w:val="000000"/>
          <w:sz w:val="22"/>
          <w:szCs w:val="22"/>
        </w:rPr>
        <w:t xml:space="preserve"> </w:t>
      </w:r>
      <w:hyperlink r:id="rId18" w:history="1">
        <w:r w:rsidRPr="00404E5C">
          <w:rPr>
            <w:rStyle w:val="Hyperlink"/>
            <w:rFonts w:ascii="Arial" w:hAnsi="Arial" w:cs="Arial"/>
            <w:sz w:val="22"/>
            <w:szCs w:val="22"/>
          </w:rPr>
          <w:t>https://pmc.ncbi.nlm.nih.gov/articles/PMC10378833/</w:t>
        </w:r>
      </w:hyperlink>
      <w:r>
        <w:rPr>
          <w:rFonts w:ascii="Arial" w:hAnsi="Arial" w:cs="Arial"/>
          <w:color w:val="000000"/>
          <w:sz w:val="22"/>
          <w:szCs w:val="22"/>
        </w:rPr>
        <w:t xml:space="preserve"> (Accessed: 14 April 2026).</w:t>
      </w:r>
    </w:p>
    <w:p w14:paraId="6AD2A37F" w14:textId="77777777" w:rsidR="006C7370" w:rsidRDefault="006C7370" w:rsidP="00230B4D">
      <w:pPr>
        <w:pStyle w:val="NormalWeb"/>
        <w:jc w:val="both"/>
        <w:rPr>
          <w:rFonts w:ascii="Arial" w:hAnsi="Arial" w:cs="Arial"/>
          <w:color w:val="000000"/>
          <w:sz w:val="22"/>
          <w:szCs w:val="22"/>
        </w:rPr>
      </w:pPr>
      <w:r w:rsidRPr="00B65414">
        <w:rPr>
          <w:rFonts w:ascii="Arial" w:hAnsi="Arial" w:cs="Arial"/>
          <w:color w:val="000000"/>
          <w:sz w:val="22"/>
          <w:szCs w:val="22"/>
          <w:lang w:val="nl-NL"/>
        </w:rPr>
        <w:t xml:space="preserve">Drijver, H.E., et al. </w:t>
      </w:r>
      <w:r w:rsidRPr="00B65414">
        <w:rPr>
          <w:rFonts w:ascii="Arial" w:hAnsi="Arial" w:cs="Arial"/>
          <w:color w:val="000000"/>
          <w:sz w:val="22"/>
          <w:szCs w:val="22"/>
        </w:rPr>
        <w:t>(2025) ‘Reliability and validity of the Diagnostic Instrument on Adaptive Skills in people with intellectual disability’</w:t>
      </w:r>
      <w:r w:rsidRPr="00B65414">
        <w:rPr>
          <w:rFonts w:ascii="Arial" w:hAnsi="Arial" w:cs="Arial"/>
          <w:i/>
          <w:iCs/>
          <w:color w:val="000000"/>
          <w:sz w:val="22"/>
          <w:szCs w:val="22"/>
        </w:rPr>
        <w:t>, Open Access Article.</w:t>
      </w:r>
      <w:r w:rsidRPr="00B65414">
        <w:rPr>
          <w:rFonts w:ascii="Arial" w:hAnsi="Arial" w:cs="Arial"/>
          <w:color w:val="000000"/>
          <w:sz w:val="22"/>
          <w:szCs w:val="22"/>
        </w:rPr>
        <w:t xml:space="preserve"> Available at:</w:t>
      </w:r>
      <w:r>
        <w:rPr>
          <w:rFonts w:ascii="Arial" w:hAnsi="Arial" w:cs="Arial"/>
          <w:color w:val="000000"/>
          <w:sz w:val="22"/>
          <w:szCs w:val="22"/>
        </w:rPr>
        <w:t xml:space="preserve"> </w:t>
      </w:r>
      <w:hyperlink r:id="rId19" w:history="1">
        <w:r w:rsidRPr="00404E5C">
          <w:rPr>
            <w:rStyle w:val="Hyperlink"/>
            <w:rFonts w:ascii="Arial" w:hAnsi="Arial" w:cs="Arial"/>
            <w:sz w:val="22"/>
            <w:szCs w:val="22"/>
          </w:rPr>
          <w:t>https://pmc.ncbi.nlm.nih.gov/articles/PMC12618112/</w:t>
        </w:r>
      </w:hyperlink>
      <w:r>
        <w:rPr>
          <w:rFonts w:ascii="Arial" w:hAnsi="Arial" w:cs="Arial"/>
          <w:color w:val="000000"/>
          <w:sz w:val="22"/>
          <w:szCs w:val="22"/>
        </w:rPr>
        <w:t xml:space="preserve"> (Accessed: 14 April 2026).</w:t>
      </w:r>
    </w:p>
    <w:p w14:paraId="3504C598" w14:textId="77777777" w:rsidR="006C7370" w:rsidRDefault="006C7370" w:rsidP="00230B4D">
      <w:pPr>
        <w:pStyle w:val="NormalWeb"/>
        <w:jc w:val="both"/>
        <w:rPr>
          <w:rFonts w:ascii="Arial" w:hAnsi="Arial" w:cs="Arial"/>
          <w:color w:val="000000"/>
          <w:sz w:val="22"/>
          <w:szCs w:val="22"/>
        </w:rPr>
      </w:pPr>
      <w:r w:rsidRPr="00DC6BA7">
        <w:rPr>
          <w:rFonts w:ascii="Arial" w:hAnsi="Arial" w:cs="Arial"/>
          <w:color w:val="000000"/>
          <w:sz w:val="22"/>
          <w:szCs w:val="22"/>
        </w:rPr>
        <w:t xml:space="preserve">Hassiotis, A., Walsh, A., Budgett, J., Harrison, I., Jones, R., Morant, N. and Lloyd-Evans, B. (2020) ‘Intensive support for adults with intellectual disability and behaviours that challenge’, </w:t>
      </w:r>
      <w:r w:rsidRPr="00DC6BA7">
        <w:rPr>
          <w:rFonts w:ascii="Arial" w:hAnsi="Arial" w:cs="Arial"/>
          <w:i/>
          <w:iCs/>
          <w:color w:val="000000"/>
          <w:sz w:val="22"/>
          <w:szCs w:val="22"/>
        </w:rPr>
        <w:t>BJPsych Open</w:t>
      </w:r>
      <w:r w:rsidRPr="00DC6BA7">
        <w:rPr>
          <w:rFonts w:ascii="Arial" w:hAnsi="Arial" w:cs="Arial"/>
          <w:color w:val="000000"/>
          <w:sz w:val="22"/>
          <w:szCs w:val="22"/>
        </w:rPr>
        <w:t>, 6(2), E20. Available at:</w:t>
      </w:r>
      <w:r>
        <w:rPr>
          <w:rFonts w:ascii="Arial" w:hAnsi="Arial" w:cs="Arial"/>
          <w:color w:val="000000"/>
          <w:sz w:val="22"/>
          <w:szCs w:val="22"/>
        </w:rPr>
        <w:t xml:space="preserve"> </w:t>
      </w:r>
      <w:hyperlink r:id="rId20" w:history="1">
        <w:r w:rsidRPr="00404E5C">
          <w:rPr>
            <w:rStyle w:val="Hyperlink"/>
            <w:rFonts w:ascii="Arial" w:hAnsi="Arial" w:cs="Arial"/>
            <w:sz w:val="22"/>
            <w:szCs w:val="22"/>
          </w:rPr>
          <w:t>https://pureadmin.qub.ac.uk/ws/portalfiles/portal/634107712/intensive-support-for-adults-with-intellectual-disability-and-behaviours-that-challenge-a-survey-of-provision-and-service-typologies-in-england.pdf</w:t>
        </w:r>
      </w:hyperlink>
      <w:r>
        <w:rPr>
          <w:rFonts w:ascii="Arial" w:hAnsi="Arial" w:cs="Arial"/>
          <w:color w:val="000000"/>
          <w:sz w:val="22"/>
          <w:szCs w:val="22"/>
        </w:rPr>
        <w:t xml:space="preserve"> (Accessed: 14 April 2026).</w:t>
      </w:r>
    </w:p>
    <w:p w14:paraId="131D392E" w14:textId="77777777" w:rsidR="006C7370" w:rsidRDefault="006C7370" w:rsidP="00230B4D">
      <w:pPr>
        <w:pStyle w:val="NormalWeb"/>
        <w:jc w:val="both"/>
        <w:rPr>
          <w:rFonts w:ascii="Arial" w:hAnsi="Arial" w:cs="Arial"/>
          <w:color w:val="000000"/>
          <w:sz w:val="22"/>
          <w:szCs w:val="22"/>
        </w:rPr>
      </w:pPr>
      <w:r w:rsidRPr="00697DC0">
        <w:rPr>
          <w:rFonts w:ascii="Arial" w:hAnsi="Arial" w:cs="Arial"/>
          <w:color w:val="000000"/>
          <w:sz w:val="22"/>
          <w:szCs w:val="22"/>
          <w:lang w:val="nl-NL"/>
        </w:rPr>
        <w:t xml:space="preserve">Jansen-van Vuuren, E., et al. </w:t>
      </w:r>
      <w:r w:rsidRPr="00697DC0">
        <w:rPr>
          <w:rFonts w:ascii="Arial" w:hAnsi="Arial" w:cs="Arial"/>
          <w:color w:val="000000"/>
          <w:sz w:val="22"/>
          <w:szCs w:val="22"/>
        </w:rPr>
        <w:t>(2020) ‘Stigma, acceptance and belonging for people with intellectual disabilities’</w:t>
      </w:r>
      <w:r w:rsidRPr="00697DC0">
        <w:rPr>
          <w:rFonts w:ascii="Arial" w:hAnsi="Arial" w:cs="Arial"/>
          <w:i/>
          <w:iCs/>
          <w:color w:val="000000"/>
          <w:sz w:val="22"/>
          <w:szCs w:val="22"/>
        </w:rPr>
        <w:t>, Open Access Review.</w:t>
      </w:r>
      <w:r w:rsidRPr="00697DC0">
        <w:rPr>
          <w:rFonts w:ascii="Arial" w:hAnsi="Arial" w:cs="Arial"/>
          <w:color w:val="000000"/>
          <w:sz w:val="22"/>
          <w:szCs w:val="22"/>
        </w:rPr>
        <w:t xml:space="preserve"> Available at:</w:t>
      </w:r>
      <w:r>
        <w:rPr>
          <w:rFonts w:ascii="Arial" w:hAnsi="Arial" w:cs="Arial"/>
          <w:color w:val="000000"/>
          <w:sz w:val="22"/>
          <w:szCs w:val="22"/>
        </w:rPr>
        <w:t xml:space="preserve"> </w:t>
      </w:r>
      <w:hyperlink r:id="rId21" w:history="1">
        <w:r w:rsidRPr="00404E5C">
          <w:rPr>
            <w:rStyle w:val="Hyperlink"/>
            <w:rFonts w:ascii="Arial" w:hAnsi="Arial" w:cs="Arial"/>
            <w:sz w:val="22"/>
            <w:szCs w:val="22"/>
          </w:rPr>
          <w:t>https://pmc.ncbi.nlm.nih.gov/articles/PMC7326393/</w:t>
        </w:r>
      </w:hyperlink>
      <w:r>
        <w:rPr>
          <w:rFonts w:ascii="Arial" w:hAnsi="Arial" w:cs="Arial"/>
          <w:color w:val="000000"/>
          <w:sz w:val="22"/>
          <w:szCs w:val="22"/>
        </w:rPr>
        <w:t xml:space="preserve"> (Accessed: 14 April 2026).</w:t>
      </w:r>
    </w:p>
    <w:p w14:paraId="63274ED5" w14:textId="77777777" w:rsidR="006C7370" w:rsidRDefault="006C7370" w:rsidP="00230B4D">
      <w:pPr>
        <w:pStyle w:val="NormalWeb"/>
        <w:jc w:val="both"/>
        <w:rPr>
          <w:rFonts w:ascii="Arial" w:hAnsi="Arial" w:cs="Arial"/>
          <w:color w:val="000000"/>
          <w:sz w:val="22"/>
          <w:szCs w:val="22"/>
        </w:rPr>
      </w:pPr>
      <w:r w:rsidRPr="00DC6BA7">
        <w:rPr>
          <w:rFonts w:ascii="Arial" w:hAnsi="Arial" w:cs="Arial"/>
          <w:color w:val="000000"/>
          <w:sz w:val="22"/>
          <w:szCs w:val="22"/>
        </w:rPr>
        <w:t xml:space="preserve">Konstantinidou, I., Langdon, P.E., Murphy, G.H., Clare, I.C.H. and Thorne, I. (2023) ‘Positive behaviour support: a systematic review of recent evidence’, </w:t>
      </w:r>
      <w:r w:rsidRPr="00DC6BA7">
        <w:rPr>
          <w:rFonts w:ascii="Arial" w:hAnsi="Arial" w:cs="Arial"/>
          <w:i/>
          <w:iCs/>
          <w:color w:val="000000"/>
          <w:sz w:val="22"/>
          <w:szCs w:val="22"/>
        </w:rPr>
        <w:t>Open Access Journal</w:t>
      </w:r>
      <w:r w:rsidRPr="00DC6BA7">
        <w:rPr>
          <w:rFonts w:ascii="Arial" w:hAnsi="Arial" w:cs="Arial"/>
          <w:color w:val="000000"/>
          <w:sz w:val="22"/>
          <w:szCs w:val="22"/>
        </w:rPr>
        <w:t>. Available at:</w:t>
      </w:r>
      <w:r>
        <w:rPr>
          <w:rFonts w:ascii="Arial" w:hAnsi="Arial" w:cs="Arial"/>
          <w:color w:val="000000"/>
          <w:sz w:val="22"/>
          <w:szCs w:val="22"/>
        </w:rPr>
        <w:t xml:space="preserve"> </w:t>
      </w:r>
      <w:hyperlink r:id="rId22" w:history="1">
        <w:r w:rsidRPr="00404E5C">
          <w:rPr>
            <w:rStyle w:val="Hyperlink"/>
            <w:rFonts w:ascii="Arial" w:hAnsi="Arial" w:cs="Arial"/>
            <w:sz w:val="22"/>
            <w:szCs w:val="22"/>
          </w:rPr>
          <w:t>https://pmc.ncbi.nlm.nih.gov/articles/PMC9897795/</w:t>
        </w:r>
      </w:hyperlink>
      <w:r>
        <w:rPr>
          <w:rFonts w:ascii="Arial" w:hAnsi="Arial" w:cs="Arial"/>
          <w:color w:val="000000"/>
          <w:sz w:val="22"/>
          <w:szCs w:val="22"/>
        </w:rPr>
        <w:t xml:space="preserve"> (Accessed: 14 April 2026).</w:t>
      </w:r>
    </w:p>
    <w:p w14:paraId="76083943" w14:textId="77777777" w:rsidR="006C7370" w:rsidRDefault="006C7370" w:rsidP="00230B4D">
      <w:pPr>
        <w:pStyle w:val="NormalWeb"/>
        <w:jc w:val="both"/>
        <w:rPr>
          <w:rFonts w:ascii="Arial" w:hAnsi="Arial" w:cs="Arial"/>
          <w:color w:val="000000"/>
          <w:sz w:val="22"/>
          <w:szCs w:val="22"/>
        </w:rPr>
      </w:pPr>
      <w:r w:rsidRPr="00B65414">
        <w:rPr>
          <w:rFonts w:ascii="Arial" w:hAnsi="Arial" w:cs="Arial"/>
          <w:color w:val="000000"/>
          <w:sz w:val="22"/>
          <w:szCs w:val="22"/>
        </w:rPr>
        <w:t>Mattie, L.J., Ward, G., Kanne, S.M. and Carpenter, L.A. (2023) ‘Perspectives on adaptive functioning and intellectual functioning measures for intellectual disabilities’</w:t>
      </w:r>
      <w:r w:rsidRPr="00B65414">
        <w:rPr>
          <w:rFonts w:ascii="Arial" w:hAnsi="Arial" w:cs="Arial"/>
          <w:i/>
          <w:iCs/>
          <w:color w:val="000000"/>
          <w:sz w:val="22"/>
          <w:szCs w:val="22"/>
        </w:rPr>
        <w:t>, Frontiers in Psychology</w:t>
      </w:r>
      <w:r w:rsidRPr="00B65414">
        <w:rPr>
          <w:rFonts w:ascii="Arial" w:hAnsi="Arial" w:cs="Arial"/>
          <w:color w:val="000000"/>
          <w:sz w:val="22"/>
          <w:szCs w:val="22"/>
        </w:rPr>
        <w:t>, 14. Available at:</w:t>
      </w:r>
      <w:r>
        <w:rPr>
          <w:rFonts w:ascii="Arial" w:hAnsi="Arial" w:cs="Arial"/>
          <w:color w:val="000000"/>
          <w:sz w:val="22"/>
          <w:szCs w:val="22"/>
        </w:rPr>
        <w:t xml:space="preserve"> </w:t>
      </w:r>
      <w:hyperlink r:id="rId23" w:history="1">
        <w:r w:rsidRPr="00404E5C">
          <w:rPr>
            <w:rStyle w:val="Hyperlink"/>
            <w:rFonts w:ascii="Arial" w:hAnsi="Arial" w:cs="Arial"/>
            <w:sz w:val="22"/>
            <w:szCs w:val="22"/>
          </w:rPr>
          <w:t>https://www.frontiersin.org/journals/psychology/articles/10.3389/fpsyg.2023.1084576/full</w:t>
        </w:r>
      </w:hyperlink>
      <w:r>
        <w:rPr>
          <w:rFonts w:ascii="Arial" w:hAnsi="Arial" w:cs="Arial"/>
          <w:color w:val="000000"/>
          <w:sz w:val="22"/>
          <w:szCs w:val="22"/>
        </w:rPr>
        <w:t xml:space="preserve"> (Accessed: 14 April 2026).</w:t>
      </w:r>
    </w:p>
    <w:p w14:paraId="215E2213" w14:textId="77777777" w:rsidR="006C7370" w:rsidRDefault="006C7370" w:rsidP="00230B4D">
      <w:pPr>
        <w:pStyle w:val="NormalWeb"/>
        <w:jc w:val="both"/>
        <w:rPr>
          <w:rFonts w:ascii="Arial" w:hAnsi="Arial" w:cs="Arial"/>
          <w:color w:val="000000"/>
          <w:sz w:val="22"/>
          <w:szCs w:val="22"/>
        </w:rPr>
      </w:pPr>
      <w:r w:rsidRPr="00C866BF">
        <w:rPr>
          <w:rFonts w:ascii="Arial" w:hAnsi="Arial" w:cs="Arial"/>
          <w:color w:val="000000"/>
          <w:sz w:val="22"/>
          <w:szCs w:val="22"/>
        </w:rPr>
        <w:t xml:space="preserve">Moloney, M., Taggart, L., Hennessy, T. and Doody, O. (2024) ‘Exploring implementation of reasonable adjustments in hospitals for people with intellectual disability’, </w:t>
      </w:r>
      <w:r w:rsidRPr="00C866BF">
        <w:rPr>
          <w:rFonts w:ascii="Arial" w:hAnsi="Arial" w:cs="Arial"/>
          <w:i/>
          <w:iCs/>
          <w:color w:val="000000"/>
          <w:sz w:val="22"/>
          <w:szCs w:val="22"/>
        </w:rPr>
        <w:t>Journal of Advanced Nursing</w:t>
      </w:r>
      <w:r w:rsidRPr="00C866BF">
        <w:rPr>
          <w:rFonts w:ascii="Arial" w:hAnsi="Arial" w:cs="Arial"/>
          <w:color w:val="000000"/>
          <w:sz w:val="22"/>
          <w:szCs w:val="22"/>
        </w:rPr>
        <w:t>. Available at:</w:t>
      </w:r>
      <w:r>
        <w:rPr>
          <w:rFonts w:ascii="Arial" w:hAnsi="Arial" w:cs="Arial"/>
          <w:color w:val="000000"/>
          <w:sz w:val="22"/>
          <w:szCs w:val="22"/>
        </w:rPr>
        <w:t xml:space="preserve"> </w:t>
      </w:r>
      <w:hyperlink r:id="rId24" w:history="1">
        <w:r w:rsidRPr="00404E5C">
          <w:rPr>
            <w:rStyle w:val="Hyperlink"/>
            <w:rFonts w:ascii="Arial" w:hAnsi="Arial" w:cs="Arial"/>
            <w:sz w:val="22"/>
            <w:szCs w:val="22"/>
          </w:rPr>
          <w:t>https://pmc.ncbi.nlm.nih.gov/articles/PMC12535352/</w:t>
        </w:r>
      </w:hyperlink>
      <w:r>
        <w:rPr>
          <w:rFonts w:ascii="Arial" w:hAnsi="Arial" w:cs="Arial"/>
          <w:color w:val="000000"/>
          <w:sz w:val="22"/>
          <w:szCs w:val="22"/>
        </w:rPr>
        <w:t xml:space="preserve"> (Accessed: 14 April 2026).</w:t>
      </w:r>
    </w:p>
    <w:p w14:paraId="334E04E0" w14:textId="77777777" w:rsidR="006C7370" w:rsidRDefault="006C7370" w:rsidP="00230B4D">
      <w:pPr>
        <w:pStyle w:val="NormalWeb"/>
        <w:jc w:val="both"/>
        <w:rPr>
          <w:rFonts w:ascii="Arial" w:hAnsi="Arial" w:cs="Arial"/>
          <w:color w:val="000000"/>
          <w:sz w:val="22"/>
          <w:szCs w:val="22"/>
        </w:rPr>
      </w:pPr>
      <w:r w:rsidRPr="00C866BF">
        <w:rPr>
          <w:rFonts w:ascii="Arial" w:hAnsi="Arial" w:cs="Arial"/>
          <w:color w:val="000000"/>
          <w:sz w:val="22"/>
          <w:szCs w:val="22"/>
        </w:rPr>
        <w:t xml:space="preserve">National Institute for Health and Care Excellence (NICE) (2018) Learning disabilities and behaviour that challenges: service design and delivery </w:t>
      </w:r>
      <w:r w:rsidRPr="006C7370">
        <w:rPr>
          <w:rFonts w:ascii="Arial" w:hAnsi="Arial" w:cs="Arial"/>
          <w:i/>
          <w:iCs/>
          <w:color w:val="000000"/>
          <w:sz w:val="22"/>
          <w:szCs w:val="22"/>
        </w:rPr>
        <w:t>(NG93).</w:t>
      </w:r>
      <w:r w:rsidRPr="00C866BF">
        <w:rPr>
          <w:rFonts w:ascii="Arial" w:hAnsi="Arial" w:cs="Arial"/>
          <w:color w:val="000000"/>
          <w:sz w:val="22"/>
          <w:szCs w:val="22"/>
        </w:rPr>
        <w:t xml:space="preserve"> Available at:</w:t>
      </w:r>
      <w:r>
        <w:rPr>
          <w:rFonts w:ascii="Arial" w:hAnsi="Arial" w:cs="Arial"/>
          <w:color w:val="000000"/>
          <w:sz w:val="22"/>
          <w:szCs w:val="22"/>
        </w:rPr>
        <w:t xml:space="preserve"> </w:t>
      </w:r>
      <w:hyperlink r:id="rId25" w:history="1">
        <w:r w:rsidRPr="00404E5C">
          <w:rPr>
            <w:rStyle w:val="Hyperlink"/>
            <w:rFonts w:ascii="Arial" w:hAnsi="Arial" w:cs="Arial"/>
            <w:sz w:val="22"/>
            <w:szCs w:val="22"/>
          </w:rPr>
          <w:t>https://www.nice.org.uk/guidance/ng93</w:t>
        </w:r>
      </w:hyperlink>
      <w:r>
        <w:rPr>
          <w:rFonts w:ascii="Arial" w:hAnsi="Arial" w:cs="Arial"/>
          <w:color w:val="000000"/>
          <w:sz w:val="22"/>
          <w:szCs w:val="22"/>
        </w:rPr>
        <w:t xml:space="preserve"> (Accessed: 14 April 2026).</w:t>
      </w:r>
    </w:p>
    <w:p w14:paraId="531DD446" w14:textId="77777777" w:rsidR="006C7370" w:rsidRDefault="006C7370" w:rsidP="00230B4D">
      <w:pPr>
        <w:pStyle w:val="NormalWeb"/>
        <w:jc w:val="both"/>
        <w:rPr>
          <w:rFonts w:ascii="Arial" w:hAnsi="Arial" w:cs="Arial"/>
          <w:color w:val="000000"/>
          <w:sz w:val="22"/>
          <w:szCs w:val="22"/>
        </w:rPr>
      </w:pPr>
      <w:r w:rsidRPr="00DC6BA7">
        <w:rPr>
          <w:rFonts w:ascii="Arial" w:hAnsi="Arial" w:cs="Arial"/>
          <w:color w:val="000000"/>
          <w:sz w:val="22"/>
          <w:szCs w:val="22"/>
        </w:rPr>
        <w:t>Pelleboer-Gunnink, H.A., Van Oorsouw, W.M.W.J., Van Weeghel, J. and Embregts, P.J.C.M. (2019) ‘Stigma research in the field of intellectual disabilities: a scoping review’, Journal of Applied Research in Intellectual Disabilities. Available at:</w:t>
      </w:r>
      <w:r>
        <w:rPr>
          <w:rFonts w:ascii="Arial" w:hAnsi="Arial" w:cs="Arial"/>
          <w:color w:val="000000"/>
          <w:sz w:val="22"/>
          <w:szCs w:val="22"/>
        </w:rPr>
        <w:t xml:space="preserve"> </w:t>
      </w:r>
      <w:hyperlink r:id="rId26" w:anchor=":~:text=Outcome:,barriers%20in%20accessing%20health%20care" w:history="1">
        <w:r w:rsidRPr="00404E5C">
          <w:rPr>
            <w:rStyle w:val="Hyperlink"/>
            <w:rFonts w:ascii="Arial" w:hAnsi="Arial" w:cs="Arial"/>
            <w:sz w:val="22"/>
            <w:szCs w:val="22"/>
          </w:rPr>
          <w:t>https://pmc.ncbi.nlm.nih.gov/articles/PMC8211133/#:~:text=Outcome:,barriers%20in%20accessing%20health%20care</w:t>
        </w:r>
      </w:hyperlink>
      <w:r>
        <w:rPr>
          <w:rFonts w:ascii="Arial" w:hAnsi="Arial" w:cs="Arial"/>
          <w:color w:val="000000"/>
          <w:sz w:val="22"/>
          <w:szCs w:val="22"/>
        </w:rPr>
        <w:t xml:space="preserve"> (Accessed: 14 April 2026).</w:t>
      </w:r>
    </w:p>
    <w:p w14:paraId="3A656589" w14:textId="77777777" w:rsidR="006C7370" w:rsidRDefault="006C7370" w:rsidP="00230B4D">
      <w:pPr>
        <w:pStyle w:val="NormalWeb"/>
        <w:jc w:val="both"/>
        <w:rPr>
          <w:rFonts w:ascii="Arial" w:hAnsi="Arial" w:cs="Arial"/>
          <w:color w:val="000000"/>
          <w:sz w:val="22"/>
          <w:szCs w:val="22"/>
        </w:rPr>
      </w:pPr>
      <w:r w:rsidRPr="00DC6BA7">
        <w:rPr>
          <w:rFonts w:ascii="Arial" w:hAnsi="Arial" w:cs="Arial"/>
          <w:color w:val="000000"/>
          <w:sz w:val="22"/>
          <w:szCs w:val="22"/>
        </w:rPr>
        <w:t xml:space="preserve">Prior, K., et al. (2023) ‘Behavioural and cognitive behavioural interventions for aggression in adults with intellectual disability’, </w:t>
      </w:r>
      <w:r w:rsidRPr="00DC6BA7">
        <w:rPr>
          <w:rFonts w:ascii="Arial" w:hAnsi="Arial" w:cs="Arial"/>
          <w:i/>
          <w:iCs/>
          <w:color w:val="000000"/>
          <w:sz w:val="22"/>
          <w:szCs w:val="22"/>
        </w:rPr>
        <w:t>Open Access Review</w:t>
      </w:r>
      <w:r w:rsidRPr="00DC6BA7">
        <w:rPr>
          <w:rFonts w:ascii="Arial" w:hAnsi="Arial" w:cs="Arial"/>
          <w:color w:val="000000"/>
          <w:sz w:val="22"/>
          <w:szCs w:val="22"/>
        </w:rPr>
        <w:t>. Available at:</w:t>
      </w:r>
      <w:r>
        <w:rPr>
          <w:rFonts w:ascii="Arial" w:hAnsi="Arial" w:cs="Arial"/>
          <w:color w:val="000000"/>
          <w:sz w:val="22"/>
          <w:szCs w:val="22"/>
        </w:rPr>
        <w:t xml:space="preserve"> </w:t>
      </w:r>
      <w:hyperlink r:id="rId27" w:history="1">
        <w:r w:rsidRPr="00404E5C">
          <w:rPr>
            <w:rStyle w:val="Hyperlink"/>
            <w:rFonts w:ascii="Arial" w:hAnsi="Arial" w:cs="Arial"/>
            <w:sz w:val="22"/>
            <w:szCs w:val="22"/>
          </w:rPr>
          <w:t>https://pmc.ncbi.nlm.nih.gov/articles/PMC9901280/</w:t>
        </w:r>
      </w:hyperlink>
      <w:r>
        <w:rPr>
          <w:rFonts w:ascii="Arial" w:hAnsi="Arial" w:cs="Arial"/>
          <w:color w:val="000000"/>
          <w:sz w:val="22"/>
          <w:szCs w:val="22"/>
        </w:rPr>
        <w:t xml:space="preserve"> (Accessed: 14 April 2026).</w:t>
      </w:r>
    </w:p>
    <w:p w14:paraId="78F4D211" w14:textId="77777777" w:rsidR="006C7370" w:rsidRDefault="006C7370" w:rsidP="00230B4D">
      <w:pPr>
        <w:pStyle w:val="NormalWeb"/>
        <w:jc w:val="both"/>
        <w:rPr>
          <w:rFonts w:ascii="Arial" w:hAnsi="Arial" w:cs="Arial"/>
          <w:color w:val="000000"/>
          <w:sz w:val="22"/>
          <w:szCs w:val="22"/>
        </w:rPr>
      </w:pPr>
      <w:r w:rsidRPr="00C866BF">
        <w:rPr>
          <w:rFonts w:ascii="Arial" w:hAnsi="Arial" w:cs="Arial"/>
          <w:color w:val="000000"/>
          <w:sz w:val="22"/>
          <w:szCs w:val="22"/>
        </w:rPr>
        <w:t xml:space="preserve">Sheehan, R., Hassiotis, A., Walters, K., Osborn, D. and Strydom, A. (2023) ‘Recording intellectual disability in general hospitals: a cohort study’, </w:t>
      </w:r>
      <w:r w:rsidRPr="00C866BF">
        <w:rPr>
          <w:rFonts w:ascii="Arial" w:hAnsi="Arial" w:cs="Arial"/>
          <w:i/>
          <w:iCs/>
          <w:color w:val="000000"/>
          <w:sz w:val="22"/>
          <w:szCs w:val="22"/>
        </w:rPr>
        <w:t>BMJ Open</w:t>
      </w:r>
      <w:r w:rsidRPr="00C866BF">
        <w:rPr>
          <w:rFonts w:ascii="Arial" w:hAnsi="Arial" w:cs="Arial"/>
          <w:color w:val="000000"/>
          <w:sz w:val="22"/>
          <w:szCs w:val="22"/>
        </w:rPr>
        <w:t>. Available at</w:t>
      </w:r>
      <w:r>
        <w:rPr>
          <w:rFonts w:ascii="Arial" w:hAnsi="Arial" w:cs="Arial"/>
          <w:color w:val="000000"/>
          <w:sz w:val="22"/>
          <w:szCs w:val="22"/>
        </w:rPr>
        <w:t xml:space="preserve">: </w:t>
      </w:r>
      <w:hyperlink r:id="rId28" w:history="1">
        <w:r w:rsidRPr="00404E5C">
          <w:rPr>
            <w:rStyle w:val="Hyperlink"/>
            <w:rFonts w:ascii="Arial" w:hAnsi="Arial" w:cs="Arial"/>
            <w:sz w:val="22"/>
            <w:szCs w:val="22"/>
          </w:rPr>
          <w:t>https://pmc.ncbi.nlm.nih.gov/articles/PMC10069786/</w:t>
        </w:r>
      </w:hyperlink>
      <w:r>
        <w:rPr>
          <w:rFonts w:ascii="Arial" w:hAnsi="Arial" w:cs="Arial"/>
          <w:color w:val="000000"/>
          <w:sz w:val="22"/>
          <w:szCs w:val="22"/>
        </w:rPr>
        <w:t xml:space="preserve"> (Accessed: 14 April 2026).</w:t>
      </w:r>
    </w:p>
    <w:p w14:paraId="632BD7BA" w14:textId="77777777" w:rsidR="006C7370" w:rsidRDefault="006C7370" w:rsidP="006D54C1">
      <w:pPr>
        <w:pStyle w:val="NormalWeb"/>
        <w:jc w:val="both"/>
        <w:rPr>
          <w:rFonts w:ascii="Arial" w:hAnsi="Arial" w:cs="Arial"/>
          <w:color w:val="000000"/>
          <w:sz w:val="22"/>
          <w:szCs w:val="22"/>
        </w:rPr>
      </w:pPr>
      <w:r w:rsidRPr="004879D0">
        <w:rPr>
          <w:rFonts w:ascii="Arial" w:hAnsi="Arial" w:cs="Arial"/>
          <w:color w:val="000000"/>
          <w:sz w:val="22"/>
          <w:szCs w:val="22"/>
        </w:rPr>
        <w:t xml:space="preserve">World Health Organization (2019) </w:t>
      </w:r>
      <w:r w:rsidRPr="004879D0">
        <w:rPr>
          <w:rFonts w:ascii="Arial" w:hAnsi="Arial" w:cs="Arial"/>
          <w:i/>
          <w:iCs/>
          <w:color w:val="000000"/>
          <w:sz w:val="22"/>
          <w:szCs w:val="22"/>
        </w:rPr>
        <w:t>International classification of diseases for mortality and morbidity statistics (11th revision)</w:t>
      </w:r>
      <w:r w:rsidRPr="004879D0">
        <w:rPr>
          <w:rFonts w:ascii="Arial" w:hAnsi="Arial" w:cs="Arial"/>
          <w:color w:val="000000"/>
          <w:sz w:val="22"/>
          <w:szCs w:val="22"/>
        </w:rPr>
        <w:t>. Available at:</w:t>
      </w:r>
      <w:r>
        <w:rPr>
          <w:rFonts w:ascii="Arial" w:hAnsi="Arial" w:cs="Arial"/>
          <w:color w:val="000000"/>
          <w:sz w:val="22"/>
          <w:szCs w:val="22"/>
        </w:rPr>
        <w:t xml:space="preserve"> </w:t>
      </w:r>
      <w:hyperlink r:id="rId29" w:history="1">
        <w:r w:rsidRPr="00404E5C">
          <w:rPr>
            <w:rStyle w:val="Hyperlink"/>
            <w:rFonts w:ascii="Arial" w:hAnsi="Arial" w:cs="Arial"/>
            <w:sz w:val="22"/>
            <w:szCs w:val="22"/>
          </w:rPr>
          <w:t>https://icd.who.int/browse/2026-01/mms/en</w:t>
        </w:r>
      </w:hyperlink>
      <w:r>
        <w:rPr>
          <w:rFonts w:ascii="Arial" w:hAnsi="Arial" w:cs="Arial"/>
          <w:color w:val="000000"/>
          <w:sz w:val="22"/>
          <w:szCs w:val="22"/>
        </w:rPr>
        <w:t xml:space="preserve"> (Accessed: 14 April 2026).</w:t>
      </w:r>
    </w:p>
    <w:p w14:paraId="23FFD6A9" w14:textId="77777777" w:rsidR="006C7370" w:rsidRDefault="006C7370" w:rsidP="00230B4D">
      <w:pPr>
        <w:pStyle w:val="NormalWeb"/>
        <w:jc w:val="both"/>
        <w:rPr>
          <w:rFonts w:ascii="Arial" w:hAnsi="Arial" w:cs="Arial"/>
          <w:color w:val="000000"/>
          <w:sz w:val="22"/>
          <w:szCs w:val="22"/>
        </w:rPr>
      </w:pPr>
      <w:r w:rsidRPr="00171C1A">
        <w:rPr>
          <w:rFonts w:ascii="Arial" w:hAnsi="Arial" w:cs="Arial"/>
          <w:color w:val="000000"/>
          <w:sz w:val="22"/>
          <w:szCs w:val="22"/>
        </w:rPr>
        <w:t xml:space="preserve">Wyborn, J., Carey, I.M., Shah, S.M., DeWilde, S. and Cook, D.G. (2025) ‘Quality of healthcare for people with intellectual disability’, </w:t>
      </w:r>
      <w:r w:rsidRPr="00171C1A">
        <w:rPr>
          <w:rFonts w:ascii="Arial" w:hAnsi="Arial" w:cs="Arial"/>
          <w:i/>
          <w:iCs/>
          <w:color w:val="000000"/>
          <w:sz w:val="22"/>
          <w:szCs w:val="22"/>
        </w:rPr>
        <w:t>BMJ Open</w:t>
      </w:r>
      <w:r w:rsidRPr="00171C1A">
        <w:rPr>
          <w:rFonts w:ascii="Arial" w:hAnsi="Arial" w:cs="Arial"/>
          <w:color w:val="000000"/>
          <w:sz w:val="22"/>
          <w:szCs w:val="22"/>
        </w:rPr>
        <w:t>. Available at:</w:t>
      </w:r>
      <w:r>
        <w:rPr>
          <w:rFonts w:ascii="Arial" w:hAnsi="Arial" w:cs="Arial"/>
          <w:color w:val="000000"/>
          <w:sz w:val="22"/>
          <w:szCs w:val="22"/>
        </w:rPr>
        <w:t xml:space="preserve"> </w:t>
      </w:r>
      <w:hyperlink r:id="rId30" w:history="1">
        <w:r w:rsidRPr="00404E5C">
          <w:rPr>
            <w:rStyle w:val="Hyperlink"/>
            <w:rFonts w:ascii="Arial" w:hAnsi="Arial" w:cs="Arial"/>
            <w:sz w:val="22"/>
            <w:szCs w:val="22"/>
          </w:rPr>
          <w:t>https://bmjopen.bmj.com/content/15/3/e094181</w:t>
        </w:r>
      </w:hyperlink>
      <w:r>
        <w:rPr>
          <w:rFonts w:ascii="Arial" w:hAnsi="Arial" w:cs="Arial"/>
          <w:color w:val="000000"/>
          <w:sz w:val="22"/>
          <w:szCs w:val="22"/>
        </w:rPr>
        <w:t xml:space="preserve"> (Accessed: 14 April 2026).</w:t>
      </w:r>
    </w:p>
    <w:p w14:paraId="3E35A919" w14:textId="77777777" w:rsidR="006C7370" w:rsidRDefault="006C7370" w:rsidP="00230B4D">
      <w:pPr>
        <w:pStyle w:val="NormalWeb"/>
        <w:jc w:val="both"/>
        <w:rPr>
          <w:rFonts w:ascii="Arial" w:hAnsi="Arial" w:cs="Arial"/>
          <w:color w:val="000000"/>
          <w:sz w:val="22"/>
          <w:szCs w:val="22"/>
        </w:rPr>
      </w:pPr>
    </w:p>
    <w:p w14:paraId="60248C03" w14:textId="77777777" w:rsidR="00C866BF" w:rsidRDefault="00C866BF" w:rsidP="00230B4D">
      <w:pPr>
        <w:pStyle w:val="NormalWeb"/>
        <w:jc w:val="both"/>
        <w:rPr>
          <w:rFonts w:ascii="Arial" w:hAnsi="Arial" w:cs="Arial"/>
          <w:color w:val="000000"/>
          <w:sz w:val="22"/>
          <w:szCs w:val="22"/>
        </w:rPr>
      </w:pPr>
    </w:p>
    <w:p w14:paraId="6372C7CC" w14:textId="77777777" w:rsidR="00697DC0" w:rsidRDefault="00697DC0" w:rsidP="00230B4D">
      <w:pPr>
        <w:pStyle w:val="NormalWeb"/>
        <w:jc w:val="both"/>
        <w:rPr>
          <w:rFonts w:ascii="Arial" w:hAnsi="Arial" w:cs="Arial"/>
          <w:color w:val="000000"/>
          <w:sz w:val="22"/>
          <w:szCs w:val="22"/>
        </w:rPr>
      </w:pPr>
    </w:p>
    <w:p w14:paraId="21DE341B" w14:textId="77777777" w:rsidR="00DC6BA7" w:rsidRDefault="00DC6BA7" w:rsidP="00230B4D">
      <w:pPr>
        <w:pStyle w:val="NormalWeb"/>
        <w:jc w:val="both"/>
        <w:rPr>
          <w:rFonts w:ascii="Arial" w:hAnsi="Arial" w:cs="Arial"/>
          <w:color w:val="000000"/>
          <w:sz w:val="22"/>
          <w:szCs w:val="22"/>
        </w:rPr>
      </w:pPr>
    </w:p>
    <w:p w14:paraId="2747A288" w14:textId="77777777" w:rsidR="00B65414" w:rsidRDefault="00B65414" w:rsidP="00230B4D">
      <w:pPr>
        <w:pStyle w:val="NormalWeb"/>
        <w:jc w:val="both"/>
        <w:rPr>
          <w:rFonts w:ascii="Arial" w:hAnsi="Arial" w:cs="Arial"/>
          <w:color w:val="000000"/>
          <w:sz w:val="22"/>
          <w:szCs w:val="22"/>
        </w:rPr>
      </w:pPr>
    </w:p>
    <w:p w14:paraId="7C274DC9" w14:textId="77777777" w:rsidR="00171C1A" w:rsidRDefault="00171C1A" w:rsidP="00230B4D">
      <w:pPr>
        <w:pStyle w:val="NormalWeb"/>
        <w:jc w:val="both"/>
        <w:rPr>
          <w:rFonts w:ascii="Arial" w:hAnsi="Arial" w:cs="Arial"/>
          <w:color w:val="000000"/>
          <w:sz w:val="22"/>
          <w:szCs w:val="22"/>
        </w:rPr>
      </w:pPr>
    </w:p>
    <w:p w14:paraId="01D5DB2A" w14:textId="77777777" w:rsidR="00171C1A" w:rsidRDefault="00171C1A" w:rsidP="00230B4D">
      <w:pPr>
        <w:pStyle w:val="NormalWeb"/>
        <w:jc w:val="both"/>
        <w:rPr>
          <w:rFonts w:ascii="Arial" w:hAnsi="Arial" w:cs="Arial"/>
          <w:color w:val="000000"/>
          <w:sz w:val="22"/>
          <w:szCs w:val="22"/>
        </w:rPr>
      </w:pPr>
    </w:p>
    <w:p w14:paraId="639EF1CF" w14:textId="77777777" w:rsidR="00171C1A" w:rsidRDefault="00171C1A" w:rsidP="00230B4D">
      <w:pPr>
        <w:pStyle w:val="NormalWeb"/>
        <w:jc w:val="both"/>
        <w:rPr>
          <w:rFonts w:ascii="Arial" w:hAnsi="Arial" w:cs="Arial"/>
          <w:color w:val="000000"/>
          <w:sz w:val="22"/>
          <w:szCs w:val="22"/>
        </w:rPr>
      </w:pPr>
    </w:p>
    <w:p w14:paraId="7B988107" w14:textId="77777777" w:rsidR="00171C1A" w:rsidRDefault="00171C1A" w:rsidP="00230B4D">
      <w:pPr>
        <w:pStyle w:val="NormalWeb"/>
        <w:jc w:val="both"/>
        <w:rPr>
          <w:rFonts w:ascii="Arial" w:hAnsi="Arial" w:cs="Arial"/>
          <w:color w:val="000000"/>
          <w:sz w:val="22"/>
          <w:szCs w:val="22"/>
        </w:rPr>
      </w:pPr>
    </w:p>
    <w:p w14:paraId="0CB8BB04" w14:textId="77777777" w:rsidR="00386614" w:rsidRDefault="00386614" w:rsidP="00230B4D">
      <w:pPr>
        <w:pStyle w:val="NormalWeb"/>
        <w:jc w:val="both"/>
        <w:rPr>
          <w:rFonts w:ascii="Arial" w:hAnsi="Arial" w:cs="Arial"/>
          <w:color w:val="000000"/>
          <w:sz w:val="22"/>
          <w:szCs w:val="22"/>
        </w:rPr>
      </w:pPr>
    </w:p>
    <w:p w14:paraId="105BD126" w14:textId="77777777" w:rsidR="00386614" w:rsidRPr="00230B4D" w:rsidRDefault="00386614" w:rsidP="00230B4D">
      <w:pPr>
        <w:pStyle w:val="NormalWeb"/>
        <w:jc w:val="both"/>
        <w:rPr>
          <w:rFonts w:ascii="Arial" w:hAnsi="Arial" w:cs="Arial"/>
          <w:color w:val="000000"/>
          <w:sz w:val="22"/>
          <w:szCs w:val="22"/>
        </w:rPr>
      </w:pPr>
    </w:p>
    <w:p w14:paraId="41393BD6" w14:textId="77777777" w:rsidR="008A6D32" w:rsidRPr="008A6D32" w:rsidRDefault="008A6D32" w:rsidP="008A6D32">
      <w:pPr>
        <w:pStyle w:val="NormalWeb"/>
        <w:rPr>
          <w:rFonts w:ascii="Arial" w:hAnsi="Arial" w:cs="Arial"/>
          <w:color w:val="000000"/>
        </w:rPr>
      </w:pPr>
    </w:p>
    <w:p w14:paraId="6E41165F" w14:textId="77777777" w:rsidR="000264A1" w:rsidRPr="008A6D32" w:rsidRDefault="000264A1" w:rsidP="000264A1">
      <w:pPr>
        <w:rPr>
          <w:rFonts w:ascii="Arial" w:hAnsi="Arial" w:cs="Arial"/>
          <w:sz w:val="36"/>
          <w:szCs w:val="36"/>
        </w:rPr>
      </w:pPr>
    </w:p>
    <w:p w14:paraId="07786E37" w14:textId="77777777" w:rsidR="000264A1" w:rsidRPr="000264A1" w:rsidRDefault="000264A1" w:rsidP="000264A1">
      <w:pPr>
        <w:rPr>
          <w:rFonts w:ascii="Arial" w:hAnsi="Arial" w:cs="Arial"/>
          <w:sz w:val="36"/>
          <w:szCs w:val="36"/>
        </w:rPr>
      </w:pPr>
    </w:p>
    <w:sectPr w:rsidR="000264A1" w:rsidRPr="000264A1" w:rsidSect="00C62A9A">
      <w:footerReference w:type="even"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FD6A8" w14:textId="77777777" w:rsidR="00D25F37" w:rsidRDefault="00D25F37" w:rsidP="000264A1">
      <w:pPr>
        <w:spacing w:after="0" w:line="240" w:lineRule="auto"/>
      </w:pPr>
      <w:r>
        <w:separator/>
      </w:r>
    </w:p>
  </w:endnote>
  <w:endnote w:type="continuationSeparator" w:id="0">
    <w:p w14:paraId="3728886D" w14:textId="77777777" w:rsidR="00D25F37" w:rsidRDefault="00D25F37"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B5F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B5F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A448B" w14:textId="77777777" w:rsidR="00D25F37" w:rsidRDefault="00D25F37" w:rsidP="000264A1">
      <w:pPr>
        <w:spacing w:after="0" w:line="240" w:lineRule="auto"/>
      </w:pPr>
      <w:r>
        <w:separator/>
      </w:r>
    </w:p>
  </w:footnote>
  <w:footnote w:type="continuationSeparator" w:id="0">
    <w:p w14:paraId="7E8BCB1F" w14:textId="77777777" w:rsidR="00D25F37" w:rsidRDefault="00D25F37" w:rsidP="000264A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UIsyCjGwLAV3y" int2:id="eBfoje3K">
      <int2:state int2:value="Rejected" int2:type="spell"/>
    </int2:textHash>
    <int2:textHash int2:hashCode="uW2phiPLG/MERQ" int2:id="DVakeb6K">
      <int2:state int2:value="Rejected" int2:type="spell"/>
    </int2:textHash>
    <int2:textHash int2:hashCode="FSo6cRURBQ57Fa" int2:id="hnBlohPW">
      <int2:state int2:value="Rejected" int2:type="spell"/>
    </int2:textHash>
    <int2:textHash int2:hashCode="DFm/S/3QpWr6hM" int2:id="PNJVrRti">
      <int2:state int2:value="Rejected" int2:type="spell"/>
    </int2:textHash>
    <int2:textHash int2:hashCode="nPVpyUH4GTJh0x" int2:id="xQlaSdeb">
      <int2:state int2:value="Rejected" int2:type="spell"/>
    </int2:textHash>
    <int2:textHash int2:hashCode="ewnzblLx/mgkkY" int2:id="5KlE01u5">
      <int2:state int2:value="Rejected" int2:type="spell"/>
    </int2:textHash>
    <int2:textHash int2:hashCode="TCU5uk0TLWdPVV" int2:id="1UZMIS9Q">
      <int2:state int2:value="Rejected" int2:type="spell"/>
    </int2:textHash>
    <int2:textHash int2:hashCode="R3AiunxubeZGkH" int2:id="9vmXb38X">
      <int2:state int2:value="Rejected" int2:type="spell"/>
    </int2:textHash>
    <int2:textHash int2:hashCode="RYUj8Pdexk3uXh" int2:id="VedQuFZk">
      <int2:state int2:value="Rejected" int2:type="spell"/>
    </int2:textHash>
    <int2:textHash int2:hashCode="u0bK0yW4ZzcgJW" int2:id="3InLCFdn">
      <int2:state int2:value="Rejected" int2:type="spell"/>
    </int2:textHash>
    <int2:textHash int2:hashCode="vPJJxhZwrZBPkr" int2:id="ov1ChX3G">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2529"/>
    <w:rsid w:val="000264A1"/>
    <w:rsid w:val="00027D33"/>
    <w:rsid w:val="000406D8"/>
    <w:rsid w:val="00047F38"/>
    <w:rsid w:val="00054F15"/>
    <w:rsid w:val="00060FB4"/>
    <w:rsid w:val="0006153D"/>
    <w:rsid w:val="000A0B3C"/>
    <w:rsid w:val="000A0BD8"/>
    <w:rsid w:val="000B269E"/>
    <w:rsid w:val="000C3197"/>
    <w:rsid w:val="000F3802"/>
    <w:rsid w:val="00134022"/>
    <w:rsid w:val="00134AB8"/>
    <w:rsid w:val="00134B50"/>
    <w:rsid w:val="00134C71"/>
    <w:rsid w:val="00136E2A"/>
    <w:rsid w:val="00171C1A"/>
    <w:rsid w:val="00184CE2"/>
    <w:rsid w:val="001B2931"/>
    <w:rsid w:val="001B7B6C"/>
    <w:rsid w:val="001E555D"/>
    <w:rsid w:val="001E7C7E"/>
    <w:rsid w:val="00213A02"/>
    <w:rsid w:val="00230B4D"/>
    <w:rsid w:val="002437A8"/>
    <w:rsid w:val="00251B40"/>
    <w:rsid w:val="00263999"/>
    <w:rsid w:val="00270D50"/>
    <w:rsid w:val="002826BC"/>
    <w:rsid w:val="00287E3A"/>
    <w:rsid w:val="00291F52"/>
    <w:rsid w:val="00292D87"/>
    <w:rsid w:val="00296D69"/>
    <w:rsid w:val="002B0C63"/>
    <w:rsid w:val="002B2E12"/>
    <w:rsid w:val="002C26D1"/>
    <w:rsid w:val="002D02AB"/>
    <w:rsid w:val="002D26D6"/>
    <w:rsid w:val="002D7D44"/>
    <w:rsid w:val="003149EB"/>
    <w:rsid w:val="00320F75"/>
    <w:rsid w:val="003246AF"/>
    <w:rsid w:val="00334E06"/>
    <w:rsid w:val="003628E4"/>
    <w:rsid w:val="0037368C"/>
    <w:rsid w:val="00384CD9"/>
    <w:rsid w:val="00386614"/>
    <w:rsid w:val="00392F60"/>
    <w:rsid w:val="003A445C"/>
    <w:rsid w:val="003B64E7"/>
    <w:rsid w:val="003C30E2"/>
    <w:rsid w:val="003E4A41"/>
    <w:rsid w:val="003F7924"/>
    <w:rsid w:val="0042226B"/>
    <w:rsid w:val="00454507"/>
    <w:rsid w:val="004602D7"/>
    <w:rsid w:val="004604A6"/>
    <w:rsid w:val="00474961"/>
    <w:rsid w:val="004879D0"/>
    <w:rsid w:val="004B305E"/>
    <w:rsid w:val="004C0E81"/>
    <w:rsid w:val="004C3C5D"/>
    <w:rsid w:val="004C445E"/>
    <w:rsid w:val="004F5976"/>
    <w:rsid w:val="00502373"/>
    <w:rsid w:val="00503100"/>
    <w:rsid w:val="00511C85"/>
    <w:rsid w:val="0051326D"/>
    <w:rsid w:val="00517CD2"/>
    <w:rsid w:val="0052370D"/>
    <w:rsid w:val="00545DF7"/>
    <w:rsid w:val="00556503"/>
    <w:rsid w:val="005638B5"/>
    <w:rsid w:val="005955B9"/>
    <w:rsid w:val="005A635D"/>
    <w:rsid w:val="005A6765"/>
    <w:rsid w:val="005C2EA0"/>
    <w:rsid w:val="005E0711"/>
    <w:rsid w:val="005E4F50"/>
    <w:rsid w:val="005F32E4"/>
    <w:rsid w:val="0060668D"/>
    <w:rsid w:val="00610162"/>
    <w:rsid w:val="00616145"/>
    <w:rsid w:val="00621CC4"/>
    <w:rsid w:val="00627077"/>
    <w:rsid w:val="006342B9"/>
    <w:rsid w:val="00637171"/>
    <w:rsid w:val="0064038F"/>
    <w:rsid w:val="00642ACD"/>
    <w:rsid w:val="0064701F"/>
    <w:rsid w:val="0067244B"/>
    <w:rsid w:val="00690322"/>
    <w:rsid w:val="00694C26"/>
    <w:rsid w:val="00697DC0"/>
    <w:rsid w:val="006A4C2D"/>
    <w:rsid w:val="006B3C5E"/>
    <w:rsid w:val="006C1463"/>
    <w:rsid w:val="006C7370"/>
    <w:rsid w:val="006C7F93"/>
    <w:rsid w:val="006D54C1"/>
    <w:rsid w:val="006E5E01"/>
    <w:rsid w:val="006E634E"/>
    <w:rsid w:val="006F0C3A"/>
    <w:rsid w:val="00715B81"/>
    <w:rsid w:val="00722ABC"/>
    <w:rsid w:val="00730DE5"/>
    <w:rsid w:val="00733375"/>
    <w:rsid w:val="007470C3"/>
    <w:rsid w:val="00754293"/>
    <w:rsid w:val="007658F8"/>
    <w:rsid w:val="00786CFB"/>
    <w:rsid w:val="0079468C"/>
    <w:rsid w:val="00797A82"/>
    <w:rsid w:val="007E7209"/>
    <w:rsid w:val="007F03A4"/>
    <w:rsid w:val="008015E1"/>
    <w:rsid w:val="0081251A"/>
    <w:rsid w:val="00817E8A"/>
    <w:rsid w:val="00820A0B"/>
    <w:rsid w:val="00843325"/>
    <w:rsid w:val="008463FB"/>
    <w:rsid w:val="0086611F"/>
    <w:rsid w:val="008724A0"/>
    <w:rsid w:val="00880B1D"/>
    <w:rsid w:val="008A57CA"/>
    <w:rsid w:val="008A6D32"/>
    <w:rsid w:val="008B0C15"/>
    <w:rsid w:val="008C19BB"/>
    <w:rsid w:val="008C4C7C"/>
    <w:rsid w:val="008D7130"/>
    <w:rsid w:val="008E7571"/>
    <w:rsid w:val="008E76BC"/>
    <w:rsid w:val="00902BF0"/>
    <w:rsid w:val="00934E95"/>
    <w:rsid w:val="0094111A"/>
    <w:rsid w:val="0094155A"/>
    <w:rsid w:val="00947985"/>
    <w:rsid w:val="00962452"/>
    <w:rsid w:val="00965480"/>
    <w:rsid w:val="00993E35"/>
    <w:rsid w:val="009B046A"/>
    <w:rsid w:val="009B5BC4"/>
    <w:rsid w:val="009D24CF"/>
    <w:rsid w:val="009F1463"/>
    <w:rsid w:val="00A03C82"/>
    <w:rsid w:val="00A050D3"/>
    <w:rsid w:val="00A1265F"/>
    <w:rsid w:val="00A3357B"/>
    <w:rsid w:val="00A37DB3"/>
    <w:rsid w:val="00A423BB"/>
    <w:rsid w:val="00A47159"/>
    <w:rsid w:val="00A747CF"/>
    <w:rsid w:val="00A85670"/>
    <w:rsid w:val="00AB17D5"/>
    <w:rsid w:val="00AD2CE4"/>
    <w:rsid w:val="00AD3913"/>
    <w:rsid w:val="00AD5780"/>
    <w:rsid w:val="00B20784"/>
    <w:rsid w:val="00B240D5"/>
    <w:rsid w:val="00B334BC"/>
    <w:rsid w:val="00B34AEA"/>
    <w:rsid w:val="00B5598A"/>
    <w:rsid w:val="00B640E0"/>
    <w:rsid w:val="00B65414"/>
    <w:rsid w:val="00B80768"/>
    <w:rsid w:val="00B83DBE"/>
    <w:rsid w:val="00B90FA6"/>
    <w:rsid w:val="00BA7884"/>
    <w:rsid w:val="00BB65F8"/>
    <w:rsid w:val="00BD7422"/>
    <w:rsid w:val="00BE454D"/>
    <w:rsid w:val="00BE4CCD"/>
    <w:rsid w:val="00BE590D"/>
    <w:rsid w:val="00C079D8"/>
    <w:rsid w:val="00C62A9A"/>
    <w:rsid w:val="00C651EE"/>
    <w:rsid w:val="00C74571"/>
    <w:rsid w:val="00C778F8"/>
    <w:rsid w:val="00C8341F"/>
    <w:rsid w:val="00C83E6F"/>
    <w:rsid w:val="00C8504C"/>
    <w:rsid w:val="00C866BF"/>
    <w:rsid w:val="00C87F05"/>
    <w:rsid w:val="00C91470"/>
    <w:rsid w:val="00CA13D9"/>
    <w:rsid w:val="00CA4A99"/>
    <w:rsid w:val="00CA6BBB"/>
    <w:rsid w:val="00CB5F59"/>
    <w:rsid w:val="00CE6DF2"/>
    <w:rsid w:val="00CF49A3"/>
    <w:rsid w:val="00CF67AA"/>
    <w:rsid w:val="00D01E8B"/>
    <w:rsid w:val="00D10861"/>
    <w:rsid w:val="00D13CED"/>
    <w:rsid w:val="00D22C29"/>
    <w:rsid w:val="00D25F37"/>
    <w:rsid w:val="00D453B4"/>
    <w:rsid w:val="00D50BD9"/>
    <w:rsid w:val="00D52F77"/>
    <w:rsid w:val="00D76F89"/>
    <w:rsid w:val="00DA1338"/>
    <w:rsid w:val="00DA4174"/>
    <w:rsid w:val="00DA495A"/>
    <w:rsid w:val="00DC6BA7"/>
    <w:rsid w:val="00DD2149"/>
    <w:rsid w:val="00DE39A6"/>
    <w:rsid w:val="00DE4E25"/>
    <w:rsid w:val="00E16C81"/>
    <w:rsid w:val="00E4333C"/>
    <w:rsid w:val="00E62E87"/>
    <w:rsid w:val="00E7354C"/>
    <w:rsid w:val="00EA1804"/>
    <w:rsid w:val="00EA53D2"/>
    <w:rsid w:val="00EB6A2B"/>
    <w:rsid w:val="00EF5B93"/>
    <w:rsid w:val="00F011FA"/>
    <w:rsid w:val="00F2179C"/>
    <w:rsid w:val="00F25FDF"/>
    <w:rsid w:val="00F374A2"/>
    <w:rsid w:val="00F40A4D"/>
    <w:rsid w:val="00F44A24"/>
    <w:rsid w:val="00F844CA"/>
    <w:rsid w:val="00F90FF7"/>
    <w:rsid w:val="00F97ACB"/>
    <w:rsid w:val="00FB247F"/>
    <w:rsid w:val="00FC6116"/>
    <w:rsid w:val="00FD03E5"/>
    <w:rsid w:val="143E8FC4"/>
    <w:rsid w:val="3608DEEC"/>
    <w:rsid w:val="6070AEFB"/>
    <w:rsid w:val="7699BF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4B8A9522-1991-4DC7-915B-A3B72A47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NoSpacing">
    <w:name w:val="No Spacing"/>
    <w:link w:val="NoSpacingChar"/>
    <w:uiPriority w:val="1"/>
    <w:qFormat/>
    <w:rsid w:val="00C62A9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62A9A"/>
    <w:rPr>
      <w:rFonts w:eastAsiaTheme="minorEastAsia"/>
      <w:kern w:val="0"/>
      <w:sz w:val="22"/>
      <w:szCs w:val="22"/>
      <w:lang w:val="en-US"/>
      <w14:ligatures w14:val="none"/>
    </w:rPr>
  </w:style>
  <w:style w:type="character" w:styleId="Hyperlink">
    <w:name w:val="Hyperlink"/>
    <w:basedOn w:val="DefaultParagraphFont"/>
    <w:uiPriority w:val="99"/>
    <w:unhideWhenUsed/>
    <w:rsid w:val="00962452"/>
    <w:rPr>
      <w:color w:val="467886" w:themeColor="hyperlink"/>
      <w:u w:val="single"/>
    </w:rPr>
  </w:style>
  <w:style w:type="character" w:styleId="UnresolvedMention">
    <w:name w:val="Unresolved Mention"/>
    <w:basedOn w:val="DefaultParagraphFont"/>
    <w:uiPriority w:val="99"/>
    <w:semiHidden/>
    <w:unhideWhenUsed/>
    <w:rsid w:val="00962452"/>
    <w:rPr>
      <w:color w:val="605E5C"/>
      <w:shd w:val="clear" w:color="auto" w:fill="E1DFDD"/>
    </w:rPr>
  </w:style>
  <w:style w:type="paragraph" w:styleId="TOCHeading">
    <w:name w:val="TOC Heading"/>
    <w:basedOn w:val="Heading1"/>
    <w:next w:val="Normal"/>
    <w:uiPriority w:val="39"/>
    <w:unhideWhenUsed/>
    <w:qFormat/>
    <w:rsid w:val="008C4C7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C4C7C"/>
    <w:pPr>
      <w:spacing w:after="100"/>
    </w:pPr>
  </w:style>
  <w:style w:type="paragraph" w:styleId="Header">
    <w:name w:val="header"/>
    <w:basedOn w:val="Normal"/>
    <w:link w:val="HeaderChar"/>
    <w:uiPriority w:val="99"/>
    <w:semiHidden/>
    <w:unhideWhenUsed/>
    <w:rsid w:val="00184CE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4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12732167/" TargetMode="External"/><Relationship Id="rId18" Type="http://schemas.openxmlformats.org/officeDocument/2006/relationships/hyperlink" Target="https://pmc.ncbi.nlm.nih.gov/articles/PMC10378833/" TargetMode="External"/><Relationship Id="rId26" Type="http://schemas.openxmlformats.org/officeDocument/2006/relationships/hyperlink" Target="https://pmc.ncbi.nlm.nih.gov/articles/PMC8211133/" TargetMode="External"/><Relationship Id="rId3" Type="http://schemas.openxmlformats.org/officeDocument/2006/relationships/customXml" Target="../customXml/item3.xml"/><Relationship Id="rId21" Type="http://schemas.openxmlformats.org/officeDocument/2006/relationships/hyperlink" Target="https://pmc.ncbi.nlm.nih.gov/articles/PMC7326393/" TargetMode="External"/><Relationship Id="rId34"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pmc.ncbi.nlm.nih.gov/articles/PMC11108992/" TargetMode="External"/><Relationship Id="rId25" Type="http://schemas.openxmlformats.org/officeDocument/2006/relationships/hyperlink" Target="https://www.nice.org.uk/guidance/ng93"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mc.ncbi.nlm.nih.gov/articles/PMC6705827/" TargetMode="External"/><Relationship Id="rId20" Type="http://schemas.openxmlformats.org/officeDocument/2006/relationships/hyperlink" Target="https://pureadmin.qub.ac.uk/ws/portalfiles/portal/634107712/intensive-support-for-adults-with-intellectual-disability-and-behaviours-that-challenge-a-survey-of-provision-and-service-typologies-in-england.pdf" TargetMode="External"/><Relationship Id="rId29" Type="http://schemas.openxmlformats.org/officeDocument/2006/relationships/hyperlink" Target="https://icd.who.int/browse/2026-01/mms/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pmc.ncbi.nlm.nih.gov/articles/PMC12535352/"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pmc.ncbi.nlm.nih.gov/articles/PMC9306923/" TargetMode="External"/><Relationship Id="rId23" Type="http://schemas.openxmlformats.org/officeDocument/2006/relationships/hyperlink" Target="https://www.frontiersin.org/journals/psychology/articles/10.3389/fpsyg.2023.1084576/full" TargetMode="External"/><Relationship Id="rId28" Type="http://schemas.openxmlformats.org/officeDocument/2006/relationships/hyperlink" Target="https://pmc.ncbi.nlm.nih.gov/articles/PMC10069786/" TargetMode="External"/><Relationship Id="rId36"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pmc.ncbi.nlm.nih.gov/articles/PMC12618112/"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pmc.ncbi.nlm.nih.gov/articles/PMC12936145/" TargetMode="External"/><Relationship Id="rId22" Type="http://schemas.openxmlformats.org/officeDocument/2006/relationships/hyperlink" Target="https://pmc.ncbi.nlm.nih.gov/articles/PMC9897795/" TargetMode="External"/><Relationship Id="rId27" Type="http://schemas.openxmlformats.org/officeDocument/2006/relationships/hyperlink" Target="https://pmc.ncbi.nlm.nih.gov/articles/PMC9901280/" TargetMode="External"/><Relationship Id="rId30" Type="http://schemas.openxmlformats.org/officeDocument/2006/relationships/hyperlink" Target="https://bmjopen.bmj.com/content/15/3/e094181" TargetMode="External"/><Relationship Id="rId35" Type="http://schemas.openxmlformats.org/officeDocument/2006/relationships/theme" Target="theme/theme1.xml"/><Relationship Id="rId8"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FC589BC1A54D4F8D420C065318EAB8"/>
        <w:category>
          <w:name w:val="General"/>
          <w:gallery w:val="placeholder"/>
        </w:category>
        <w:types>
          <w:type w:val="bbPlcHdr"/>
        </w:types>
        <w:behaviors>
          <w:behavior w:val="content"/>
        </w:behaviors>
        <w:guid w:val="{0FCA9F9B-03D3-4DAE-BCCA-85F94A84AEB2}"/>
      </w:docPartPr>
      <w:docPartBody>
        <w:p w:rsidR="00010A63" w:rsidRDefault="00002529" w:rsidP="00002529">
          <w:pPr>
            <w:pStyle w:val="C0FC589BC1A54D4F8D420C065318EAB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29"/>
    <w:rsid w:val="00002529"/>
    <w:rsid w:val="00010A63"/>
    <w:rsid w:val="000C3197"/>
    <w:rsid w:val="001825F8"/>
    <w:rsid w:val="002416B6"/>
    <w:rsid w:val="002D26D6"/>
    <w:rsid w:val="00334E06"/>
    <w:rsid w:val="003835FC"/>
    <w:rsid w:val="004C33BB"/>
    <w:rsid w:val="006F0C3A"/>
    <w:rsid w:val="008724A0"/>
    <w:rsid w:val="00AA0804"/>
    <w:rsid w:val="00B50EC8"/>
    <w:rsid w:val="00BD7422"/>
    <w:rsid w:val="00D453B4"/>
    <w:rsid w:val="00D60D2A"/>
    <w:rsid w:val="00EF2525"/>
    <w:rsid w:val="00FD03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FC589BC1A54D4F8D420C065318EAB8">
    <w:name w:val="C0FC589BC1A54D4F8D420C065318EAB8"/>
    <w:rsid w:val="000025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887035d4e898cddc4c2a70bbcb600a12">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f0403ca7055f550e3968d5ad1c66b273"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DEA20A-00F8-40F1-8C42-02101FBA0F38}">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84C0DB27-0483-4656-B458-D0B844FE5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DF228-CFF9-4396-82E1-478B96B37CC1}">
  <ds:schemaRefs>
    <ds:schemaRef ds:uri="http://schemas.openxmlformats.org/officeDocument/2006/bibliography"/>
  </ds:schemaRefs>
</ds:datastoreItem>
</file>

<file path=customXml/itemProps4.xml><?xml version="1.0" encoding="utf-8"?>
<ds:datastoreItem xmlns:ds="http://schemas.openxmlformats.org/officeDocument/2006/customXml" ds:itemID="{1940E6CA-D004-4CFC-B2FD-A2BC79C50E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3548</Words>
  <Characters>20227</Characters>
  <Application>Microsoft Office Word</Application>
  <DocSecurity>4</DocSecurity>
  <Lines>168</Lines>
  <Paragraphs>47</Paragraphs>
  <ScaleCrop>false</ScaleCrop>
  <Company/>
  <LinksUpToDate>false</LinksUpToDate>
  <CharactersWithSpaces>23728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BMHP6029-Psychopathological Classifications and Provisions</dc:title>
  <dc:subject/>
  <dc:creator>Bianca Sanfilippo</dc:creator>
  <cp:keywords/>
  <dc:description/>
  <cp:lastModifiedBy>Fatemeh Heydari (2323552)</cp:lastModifiedBy>
  <cp:revision>180</cp:revision>
  <dcterms:created xsi:type="dcterms:W3CDTF">2026-04-06T19:04:00Z</dcterms:created>
  <dcterms:modified xsi:type="dcterms:W3CDTF">2026-04-18T20:09:00Z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